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2E0" w:rsidRPr="002B374F" w:rsidRDefault="005132E0" w:rsidP="0030408A">
      <w:pPr>
        <w:pStyle w:val="p0"/>
        <w:adjustRightInd w:val="0"/>
        <w:snapToGrid w:val="0"/>
        <w:spacing w:line="360" w:lineRule="auto"/>
        <w:rPr>
          <w:rFonts w:ascii="Book Antiqua" w:hAnsi="Book Antiqua"/>
          <w:color w:val="000000"/>
        </w:rPr>
      </w:pPr>
      <w:bookmarkStart w:id="0" w:name="OLE_LINK452"/>
      <w:bookmarkStart w:id="1" w:name="OLE_LINK598"/>
      <w:bookmarkStart w:id="2" w:name="OLE_LINK760"/>
      <w:bookmarkStart w:id="3" w:name="OLE_LINK923"/>
      <w:bookmarkStart w:id="4" w:name="OLE_LINK9"/>
      <w:bookmarkStart w:id="5" w:name="OLE_LINK10"/>
      <w:r w:rsidRPr="002B374F">
        <w:rPr>
          <w:rFonts w:ascii="Book Antiqua" w:hAnsi="Book Antiqua"/>
          <w:b/>
          <w:color w:val="0033CC"/>
          <w:sz w:val="24"/>
        </w:rPr>
        <w:t>Name of journal:</w:t>
      </w:r>
      <w:r w:rsidRPr="002B374F">
        <w:rPr>
          <w:rFonts w:ascii="Book Antiqua" w:hAnsi="Book Antiqua"/>
          <w:b/>
          <w:color w:val="000000"/>
          <w:sz w:val="24"/>
        </w:rPr>
        <w:t xml:space="preserve"> </w:t>
      </w:r>
      <w:bookmarkStart w:id="6" w:name="OLE_LINK718"/>
      <w:bookmarkStart w:id="7" w:name="OLE_LINK719"/>
      <w:r w:rsidRPr="002B374F">
        <w:rPr>
          <w:rFonts w:ascii="Book Antiqua" w:hAnsi="Book Antiqua"/>
          <w:i/>
          <w:color w:val="000000"/>
          <w:sz w:val="24"/>
        </w:rPr>
        <w:t>World Journal of Gastroenterology</w:t>
      </w:r>
      <w:bookmarkEnd w:id="6"/>
      <w:bookmarkEnd w:id="7"/>
    </w:p>
    <w:p w:rsidR="005132E0" w:rsidRPr="002B374F" w:rsidRDefault="005132E0" w:rsidP="0030408A">
      <w:pPr>
        <w:adjustRightInd w:val="0"/>
        <w:snapToGrid w:val="0"/>
        <w:spacing w:line="360" w:lineRule="auto"/>
        <w:rPr>
          <w:rFonts w:ascii="Book Antiqua" w:hAnsi="Book Antiqua" w:cs="宋体"/>
          <w:b/>
          <w:i/>
          <w:color w:val="000000"/>
          <w:sz w:val="24"/>
        </w:rPr>
      </w:pPr>
      <w:r w:rsidRPr="002B374F">
        <w:rPr>
          <w:rFonts w:ascii="Book Antiqua" w:hAnsi="Book Antiqua" w:cs="Arial"/>
          <w:b/>
          <w:color w:val="0033CC"/>
          <w:sz w:val="24"/>
        </w:rPr>
        <w:t>ESPS Manuscript NO:</w:t>
      </w:r>
      <w:r w:rsidRPr="002B374F">
        <w:rPr>
          <w:rFonts w:ascii="Book Antiqua" w:hAnsi="Book Antiqua" w:cs="Arial"/>
          <w:b/>
          <w:color w:val="222222"/>
          <w:sz w:val="24"/>
        </w:rPr>
        <w:t xml:space="preserve"> 5825</w:t>
      </w:r>
    </w:p>
    <w:p w:rsidR="005132E0" w:rsidRPr="002B374F" w:rsidRDefault="005132E0" w:rsidP="0030408A">
      <w:pPr>
        <w:suppressAutoHyphens/>
        <w:autoSpaceDE w:val="0"/>
        <w:autoSpaceDN w:val="0"/>
        <w:adjustRightInd w:val="0"/>
        <w:snapToGrid w:val="0"/>
        <w:spacing w:line="360" w:lineRule="auto"/>
        <w:rPr>
          <w:rFonts w:ascii="Book Antiqua" w:hAnsi="Book Antiqua"/>
          <w:b/>
          <w:color w:val="000000"/>
          <w:kern w:val="0"/>
          <w:sz w:val="24"/>
        </w:rPr>
      </w:pPr>
      <w:bookmarkStart w:id="8" w:name="OLE_LINK1617"/>
      <w:bookmarkStart w:id="9" w:name="OLE_LINK1618"/>
      <w:bookmarkStart w:id="10" w:name="OLE_LINK1966"/>
      <w:bookmarkStart w:id="11" w:name="OLE_LINK2328"/>
      <w:bookmarkStart w:id="12" w:name="OLE_LINK2329"/>
      <w:bookmarkStart w:id="13" w:name="OLE_LINK2330"/>
      <w:bookmarkStart w:id="14" w:name="OLE_LINK2335"/>
      <w:bookmarkStart w:id="15" w:name="OLE_LINK2357"/>
      <w:bookmarkStart w:id="16" w:name="OLE_LINK2358"/>
      <w:r w:rsidRPr="002B374F">
        <w:rPr>
          <w:rFonts w:ascii="Book Antiqua" w:hAnsi="Book Antiqua"/>
          <w:b/>
          <w:color w:val="0033CC"/>
          <w:kern w:val="0"/>
          <w:sz w:val="24"/>
        </w:rPr>
        <w:t>Columns:</w:t>
      </w:r>
      <w:r w:rsidRPr="002B374F">
        <w:rPr>
          <w:rFonts w:ascii="Book Antiqua" w:hAnsi="Book Antiqua"/>
          <w:b/>
          <w:color w:val="000000"/>
          <w:kern w:val="0"/>
          <w:sz w:val="24"/>
        </w:rPr>
        <w:t xml:space="preserve"> TOPIC HIGHLIGHT</w:t>
      </w:r>
    </w:p>
    <w:p w:rsidR="005132E0" w:rsidRPr="002B374F" w:rsidRDefault="005132E0" w:rsidP="0030408A">
      <w:pPr>
        <w:suppressAutoHyphens/>
        <w:autoSpaceDE w:val="0"/>
        <w:autoSpaceDN w:val="0"/>
        <w:adjustRightInd w:val="0"/>
        <w:snapToGrid w:val="0"/>
        <w:spacing w:line="360" w:lineRule="auto"/>
        <w:rPr>
          <w:rFonts w:ascii="Book Antiqua" w:hAnsi="Book Antiqua"/>
          <w:b/>
          <w:color w:val="000000"/>
          <w:kern w:val="0"/>
          <w:sz w:val="24"/>
        </w:rPr>
      </w:pPr>
    </w:p>
    <w:bookmarkEnd w:id="0"/>
    <w:bookmarkEnd w:id="1"/>
    <w:bookmarkEnd w:id="2"/>
    <w:bookmarkEnd w:id="3"/>
    <w:bookmarkEnd w:id="8"/>
    <w:bookmarkEnd w:id="9"/>
    <w:bookmarkEnd w:id="10"/>
    <w:bookmarkEnd w:id="11"/>
    <w:bookmarkEnd w:id="12"/>
    <w:bookmarkEnd w:id="13"/>
    <w:bookmarkEnd w:id="14"/>
    <w:bookmarkEnd w:id="15"/>
    <w:bookmarkEnd w:id="16"/>
    <w:p w:rsidR="005132E0" w:rsidRPr="002B374F" w:rsidRDefault="005132E0" w:rsidP="0030408A">
      <w:pPr>
        <w:spacing w:line="360" w:lineRule="auto"/>
        <w:rPr>
          <w:rFonts w:ascii="Book Antiqua" w:hAnsi="Book Antiqua"/>
          <w:sz w:val="24"/>
        </w:rPr>
      </w:pPr>
      <w:r w:rsidRPr="002B374F">
        <w:rPr>
          <w:rFonts w:ascii="Book Antiqua" w:hAnsi="Book Antiqua" w:cs="TwCenMT-Bold"/>
          <w:bCs/>
          <w:sz w:val="24"/>
        </w:rPr>
        <w:t>WJG 20th Anniversary Special Issues</w:t>
      </w:r>
      <w:r w:rsidRPr="002B374F">
        <w:rPr>
          <w:rFonts w:ascii="Book Antiqua" w:hAnsi="Book Antiqua"/>
          <w:sz w:val="24"/>
        </w:rPr>
        <w:t xml:space="preserve"> (8): Gastric cancer</w:t>
      </w:r>
    </w:p>
    <w:p w:rsidR="005132E0" w:rsidRPr="002B374F" w:rsidRDefault="005132E0" w:rsidP="009D615E">
      <w:pPr>
        <w:autoSpaceDE w:val="0"/>
        <w:autoSpaceDN w:val="0"/>
        <w:adjustRightInd w:val="0"/>
        <w:spacing w:line="360" w:lineRule="auto"/>
        <w:rPr>
          <w:rFonts w:ascii="Book Antiqua" w:hAnsi="Book Antiqua"/>
          <w:b/>
          <w:bCs/>
          <w:kern w:val="0"/>
          <w:sz w:val="24"/>
        </w:rPr>
      </w:pPr>
    </w:p>
    <w:p w:rsidR="005132E0" w:rsidRPr="002B374F" w:rsidRDefault="005132E0" w:rsidP="009D615E">
      <w:pPr>
        <w:autoSpaceDE w:val="0"/>
        <w:autoSpaceDN w:val="0"/>
        <w:adjustRightInd w:val="0"/>
        <w:spacing w:line="360" w:lineRule="auto"/>
        <w:rPr>
          <w:rFonts w:ascii="Book Antiqua" w:hAnsi="Book Antiqua"/>
          <w:b/>
          <w:bCs/>
          <w:kern w:val="0"/>
          <w:sz w:val="24"/>
        </w:rPr>
      </w:pPr>
      <w:r w:rsidRPr="002B374F">
        <w:rPr>
          <w:rFonts w:ascii="Book Antiqua" w:hAnsi="Book Antiqua"/>
          <w:b/>
          <w:bCs/>
          <w:kern w:val="0"/>
          <w:sz w:val="24"/>
        </w:rPr>
        <w:t>New insights into the functions and localization of the homeotic gene CDX2 in gastric cancer</w:t>
      </w:r>
      <w:bookmarkStart w:id="17" w:name="_GoBack"/>
      <w:bookmarkEnd w:id="17"/>
    </w:p>
    <w:bookmarkEnd w:id="4"/>
    <w:bookmarkEnd w:id="5"/>
    <w:p w:rsidR="005132E0" w:rsidRPr="002B374F" w:rsidRDefault="005132E0" w:rsidP="009D615E">
      <w:pPr>
        <w:autoSpaceDE w:val="0"/>
        <w:autoSpaceDN w:val="0"/>
        <w:adjustRightInd w:val="0"/>
        <w:spacing w:line="360" w:lineRule="auto"/>
        <w:rPr>
          <w:rFonts w:ascii="Book Antiqua" w:hAnsi="Book Antiqua"/>
          <w:b/>
          <w:bCs/>
          <w:kern w:val="0"/>
          <w:sz w:val="24"/>
        </w:rPr>
      </w:pPr>
    </w:p>
    <w:p w:rsidR="005132E0" w:rsidRPr="002B374F" w:rsidRDefault="005132E0" w:rsidP="009D615E">
      <w:pPr>
        <w:autoSpaceDE w:val="0"/>
        <w:autoSpaceDN w:val="0"/>
        <w:adjustRightInd w:val="0"/>
        <w:spacing w:line="360" w:lineRule="auto"/>
        <w:rPr>
          <w:rFonts w:ascii="Book Antiqua" w:hAnsi="Book Antiqua"/>
          <w:kern w:val="0"/>
          <w:sz w:val="24"/>
        </w:rPr>
      </w:pPr>
      <w:r w:rsidRPr="002B374F">
        <w:rPr>
          <w:rFonts w:ascii="Book Antiqua" w:hAnsi="Book Antiqua"/>
          <w:bCs/>
          <w:kern w:val="0"/>
          <w:sz w:val="24"/>
        </w:rPr>
        <w:t xml:space="preserve">Yan LH </w:t>
      </w:r>
      <w:r w:rsidRPr="002B374F">
        <w:rPr>
          <w:rFonts w:ascii="Book Antiqua" w:hAnsi="Book Antiqua"/>
          <w:bCs/>
          <w:i/>
          <w:iCs/>
          <w:kern w:val="0"/>
          <w:sz w:val="24"/>
        </w:rPr>
        <w:t xml:space="preserve">et al. </w:t>
      </w:r>
      <w:r w:rsidRPr="002B374F">
        <w:rPr>
          <w:rFonts w:ascii="Book Antiqua" w:hAnsi="Book Antiqua"/>
          <w:color w:val="000000"/>
          <w:kern w:val="0"/>
          <w:sz w:val="24"/>
        </w:rPr>
        <w:t>CDX</w:t>
      </w:r>
      <w:smartTag w:uri="urn:schemas-microsoft-com:office:smarttags" w:element="chmetcnv">
        <w:smartTagPr>
          <w:attr w:name="UnitName" w:val="in"/>
          <w:attr w:name="SourceValue" w:val="2"/>
          <w:attr w:name="HasSpace" w:val="True"/>
          <w:attr w:name="Negative" w:val="False"/>
          <w:attr w:name="NumberType" w:val="1"/>
          <w:attr w:name="TCSC" w:val="0"/>
        </w:smartTagPr>
        <w:r w:rsidRPr="002B374F">
          <w:rPr>
            <w:rFonts w:ascii="Book Antiqua" w:hAnsi="Book Antiqua"/>
            <w:color w:val="000000"/>
            <w:kern w:val="0"/>
            <w:sz w:val="24"/>
          </w:rPr>
          <w:t>2 in</w:t>
        </w:r>
      </w:smartTag>
      <w:r w:rsidRPr="002B374F">
        <w:rPr>
          <w:rFonts w:ascii="Book Antiqua" w:hAnsi="Book Antiqua"/>
          <w:color w:val="000000"/>
          <w:kern w:val="0"/>
          <w:sz w:val="24"/>
        </w:rPr>
        <w:t xml:space="preserve"> gastric cancer</w:t>
      </w:r>
    </w:p>
    <w:p w:rsidR="005132E0" w:rsidRPr="002B374F" w:rsidRDefault="005132E0" w:rsidP="009D615E">
      <w:pPr>
        <w:autoSpaceDE w:val="0"/>
        <w:autoSpaceDN w:val="0"/>
        <w:adjustRightInd w:val="0"/>
        <w:spacing w:line="360" w:lineRule="auto"/>
        <w:rPr>
          <w:rFonts w:ascii="Book Antiqua" w:hAnsi="Book Antiqua"/>
          <w:kern w:val="0"/>
          <w:sz w:val="24"/>
        </w:rPr>
      </w:pPr>
    </w:p>
    <w:p w:rsidR="005132E0" w:rsidRPr="002B374F" w:rsidRDefault="005132E0" w:rsidP="009D615E">
      <w:pPr>
        <w:autoSpaceDE w:val="0"/>
        <w:autoSpaceDN w:val="0"/>
        <w:adjustRightInd w:val="0"/>
        <w:spacing w:line="360" w:lineRule="auto"/>
        <w:rPr>
          <w:rFonts w:ascii="Book Antiqua" w:hAnsi="Book Antiqua"/>
          <w:kern w:val="0"/>
          <w:sz w:val="24"/>
        </w:rPr>
      </w:pPr>
      <w:bookmarkStart w:id="18" w:name="OLE_LINK11"/>
      <w:bookmarkStart w:id="19" w:name="OLE_LINK12"/>
      <w:r w:rsidRPr="002B374F">
        <w:rPr>
          <w:rFonts w:ascii="Book Antiqua" w:hAnsi="Book Antiqua"/>
          <w:kern w:val="0"/>
          <w:sz w:val="24"/>
        </w:rPr>
        <w:t>Lin-Hai Yan, Wei-Yuan Wei, Yu-Bo Xie, Qiang Xiao</w:t>
      </w:r>
    </w:p>
    <w:bookmarkEnd w:id="18"/>
    <w:bookmarkEnd w:id="19"/>
    <w:p w:rsidR="005132E0" w:rsidRPr="002B374F" w:rsidRDefault="005132E0" w:rsidP="009D615E">
      <w:pPr>
        <w:autoSpaceDE w:val="0"/>
        <w:autoSpaceDN w:val="0"/>
        <w:adjustRightInd w:val="0"/>
        <w:spacing w:line="360" w:lineRule="auto"/>
        <w:rPr>
          <w:rFonts w:ascii="Book Antiqua" w:hAnsi="Book Antiqua"/>
          <w:b/>
          <w:bCs/>
          <w:kern w:val="0"/>
          <w:sz w:val="24"/>
        </w:rPr>
      </w:pPr>
    </w:p>
    <w:p w:rsidR="005132E0" w:rsidRPr="002B374F" w:rsidRDefault="005132E0" w:rsidP="009D615E">
      <w:pPr>
        <w:autoSpaceDE w:val="0"/>
        <w:autoSpaceDN w:val="0"/>
        <w:adjustRightInd w:val="0"/>
        <w:spacing w:line="360" w:lineRule="auto"/>
        <w:rPr>
          <w:rFonts w:ascii="Book Antiqua" w:hAnsi="Book Antiqua"/>
          <w:kern w:val="0"/>
          <w:sz w:val="24"/>
        </w:rPr>
      </w:pPr>
      <w:r w:rsidRPr="002B374F">
        <w:rPr>
          <w:rFonts w:ascii="Book Antiqua" w:hAnsi="Book Antiqua"/>
          <w:b/>
          <w:bCs/>
          <w:kern w:val="0"/>
          <w:sz w:val="24"/>
        </w:rPr>
        <w:t xml:space="preserve">Lin-Hai Yan, Wei-Yuan Wei, Qiang Xiao, </w:t>
      </w:r>
      <w:r w:rsidRPr="002B374F">
        <w:rPr>
          <w:rFonts w:ascii="Book Antiqua" w:hAnsi="Book Antiqua"/>
          <w:kern w:val="0"/>
          <w:sz w:val="24"/>
        </w:rPr>
        <w:t>Department of Surgery, The First Affiliated Hospital of Guangxi Medical University, Nanning 530021, Guangxi Zhuang Autonomous Region, China</w:t>
      </w:r>
    </w:p>
    <w:p w:rsidR="005132E0" w:rsidRPr="002B374F" w:rsidRDefault="005132E0" w:rsidP="009D615E">
      <w:pPr>
        <w:autoSpaceDE w:val="0"/>
        <w:autoSpaceDN w:val="0"/>
        <w:adjustRightInd w:val="0"/>
        <w:spacing w:line="360" w:lineRule="auto"/>
        <w:rPr>
          <w:rFonts w:ascii="Book Antiqua" w:hAnsi="Book Antiqua"/>
          <w:kern w:val="0"/>
          <w:sz w:val="24"/>
        </w:rPr>
      </w:pPr>
    </w:p>
    <w:p w:rsidR="005132E0" w:rsidRPr="002B374F" w:rsidRDefault="005132E0" w:rsidP="009D615E">
      <w:pPr>
        <w:autoSpaceDE w:val="0"/>
        <w:autoSpaceDN w:val="0"/>
        <w:adjustRightInd w:val="0"/>
        <w:spacing w:line="360" w:lineRule="auto"/>
        <w:rPr>
          <w:rFonts w:ascii="Book Antiqua" w:hAnsi="Book Antiqua"/>
          <w:kern w:val="0"/>
          <w:sz w:val="24"/>
        </w:rPr>
      </w:pPr>
      <w:r w:rsidRPr="002B374F">
        <w:rPr>
          <w:rFonts w:ascii="Book Antiqua" w:hAnsi="Book Antiqua"/>
          <w:b/>
          <w:bCs/>
          <w:kern w:val="0"/>
          <w:sz w:val="24"/>
        </w:rPr>
        <w:t xml:space="preserve">Yu-Bo Xie, </w:t>
      </w:r>
      <w:r w:rsidRPr="002B374F">
        <w:rPr>
          <w:rFonts w:ascii="Book Antiqua" w:hAnsi="Book Antiqua"/>
          <w:kern w:val="0"/>
          <w:sz w:val="24"/>
        </w:rPr>
        <w:t>Department of Anesthesiology, The First Affiliated Hospital of Guangxi Medical University, Nanning 530021, Guangxi Zhuang Autonomous Region, China</w:t>
      </w:r>
    </w:p>
    <w:p w:rsidR="005132E0" w:rsidRPr="002B374F" w:rsidRDefault="005132E0" w:rsidP="009D615E">
      <w:pPr>
        <w:autoSpaceDE w:val="0"/>
        <w:autoSpaceDN w:val="0"/>
        <w:adjustRightInd w:val="0"/>
        <w:spacing w:line="360" w:lineRule="auto"/>
        <w:rPr>
          <w:rFonts w:ascii="Book Antiqua" w:hAnsi="Book Antiqua"/>
          <w:kern w:val="0"/>
          <w:sz w:val="24"/>
        </w:rPr>
      </w:pPr>
    </w:p>
    <w:p w:rsidR="005132E0" w:rsidRPr="002B374F" w:rsidRDefault="005132E0" w:rsidP="009D615E">
      <w:pPr>
        <w:autoSpaceDE w:val="0"/>
        <w:autoSpaceDN w:val="0"/>
        <w:adjustRightInd w:val="0"/>
        <w:spacing w:line="360" w:lineRule="auto"/>
        <w:rPr>
          <w:rFonts w:ascii="Book Antiqua" w:hAnsi="Book Antiqua"/>
          <w:b/>
          <w:bCs/>
          <w:kern w:val="0"/>
          <w:sz w:val="24"/>
        </w:rPr>
      </w:pPr>
      <w:r w:rsidRPr="002B374F">
        <w:rPr>
          <w:rFonts w:ascii="Book Antiqua" w:hAnsi="Book Antiqua"/>
          <w:b/>
          <w:bCs/>
          <w:kern w:val="0"/>
          <w:sz w:val="24"/>
        </w:rPr>
        <w:t xml:space="preserve">Author contributions: </w:t>
      </w:r>
      <w:r w:rsidRPr="002B374F">
        <w:rPr>
          <w:rFonts w:ascii="Book Antiqua" w:hAnsi="Book Antiqua"/>
          <w:kern w:val="0"/>
          <w:sz w:val="24"/>
        </w:rPr>
        <w:t>Xiao Q and Xie YB conceived and designed this review; Xiao Q and Xie YB contributed equally to this work</w:t>
      </w:r>
      <w:r w:rsidRPr="002B374F">
        <w:rPr>
          <w:rFonts w:ascii="Book Antiqua" w:hAnsi="Book Antiqua"/>
          <w:bCs/>
          <w:kern w:val="0"/>
          <w:sz w:val="24"/>
        </w:rPr>
        <w:t xml:space="preserve">; </w:t>
      </w:r>
      <w:r w:rsidRPr="002B374F">
        <w:rPr>
          <w:rFonts w:ascii="Book Antiqua" w:hAnsi="Book Antiqua"/>
          <w:kern w:val="0"/>
          <w:sz w:val="24"/>
        </w:rPr>
        <w:t>Wei WY performed the literature search; Yan LH and Wei WY analyzed the data; Yan LH and Wei WY wrote the paper; Yan LH and Wei WY are equal contributors.</w:t>
      </w:r>
    </w:p>
    <w:p w:rsidR="005132E0" w:rsidRPr="002B374F" w:rsidRDefault="005132E0" w:rsidP="009D615E">
      <w:pPr>
        <w:autoSpaceDE w:val="0"/>
        <w:autoSpaceDN w:val="0"/>
        <w:adjustRightInd w:val="0"/>
        <w:spacing w:line="360" w:lineRule="auto"/>
        <w:rPr>
          <w:rFonts w:ascii="Book Antiqua" w:hAnsi="Book Antiqua"/>
          <w:kern w:val="0"/>
          <w:sz w:val="24"/>
        </w:rPr>
      </w:pPr>
    </w:p>
    <w:p w:rsidR="005132E0" w:rsidRPr="002B374F" w:rsidRDefault="005132E0" w:rsidP="009D615E">
      <w:pPr>
        <w:autoSpaceDE w:val="0"/>
        <w:autoSpaceDN w:val="0"/>
        <w:adjustRightInd w:val="0"/>
        <w:spacing w:line="360" w:lineRule="auto"/>
        <w:rPr>
          <w:rFonts w:ascii="Book Antiqua" w:hAnsi="Book Antiqua"/>
          <w:kern w:val="0"/>
          <w:sz w:val="24"/>
        </w:rPr>
      </w:pPr>
      <w:r w:rsidRPr="002B374F">
        <w:rPr>
          <w:rFonts w:ascii="Book Antiqua" w:hAnsi="Book Antiqua"/>
          <w:b/>
          <w:bCs/>
          <w:kern w:val="0"/>
          <w:sz w:val="24"/>
        </w:rPr>
        <w:t xml:space="preserve">Supported by </w:t>
      </w:r>
      <w:r w:rsidRPr="002B374F">
        <w:rPr>
          <w:rFonts w:ascii="Book Antiqua" w:hAnsi="Book Antiqua"/>
          <w:kern w:val="0"/>
          <w:sz w:val="24"/>
        </w:rPr>
        <w:t xml:space="preserve">The National Natural Science Foundation of China, No. 81060201; Natural Science Foundation of Guangxi Zhuang Autonomous Region of China, No. 2011GXNSFA018273 and No. 2013GXNSFAA019163; and the Key Health </w:t>
      </w:r>
      <w:r w:rsidRPr="002B374F">
        <w:rPr>
          <w:rFonts w:ascii="Book Antiqua" w:hAnsi="Book Antiqua"/>
          <w:kern w:val="0"/>
          <w:sz w:val="24"/>
        </w:rPr>
        <w:lastRenderedPageBreak/>
        <w:t>Science Fund of Guangxi Zhuang Autonomous Region of China, No. 129</w:t>
      </w:r>
      <w:smartTag w:uri="urn:schemas-microsoft-com:office:smarttags" w:element="chsdate">
        <w:smartTagPr>
          <w:attr w:name="IsROCDate" w:val="False"/>
          <w:attr w:name="IsLunarDate" w:val="False"/>
          <w:attr w:name="Day" w:val="6"/>
          <w:attr w:name="Month" w:val="2"/>
          <w:attr w:name="Year" w:val="8003"/>
        </w:smartTagPr>
        <w:r w:rsidRPr="002B374F">
          <w:rPr>
            <w:rFonts w:ascii="Book Antiqua" w:hAnsi="Book Antiqua"/>
            <w:kern w:val="0"/>
            <w:sz w:val="24"/>
          </w:rPr>
          <w:t>8003-2-6</w:t>
        </w:r>
      </w:smartTag>
    </w:p>
    <w:p w:rsidR="005132E0" w:rsidRPr="002B374F" w:rsidRDefault="005132E0" w:rsidP="009D615E">
      <w:pPr>
        <w:autoSpaceDE w:val="0"/>
        <w:autoSpaceDN w:val="0"/>
        <w:adjustRightInd w:val="0"/>
        <w:spacing w:line="360" w:lineRule="auto"/>
        <w:rPr>
          <w:rFonts w:ascii="Book Antiqua" w:hAnsi="Book Antiqua"/>
          <w:kern w:val="0"/>
          <w:sz w:val="24"/>
        </w:rPr>
      </w:pPr>
    </w:p>
    <w:p w:rsidR="005132E0" w:rsidRPr="002B374F" w:rsidRDefault="005132E0" w:rsidP="009D615E">
      <w:pPr>
        <w:autoSpaceDE w:val="0"/>
        <w:autoSpaceDN w:val="0"/>
        <w:adjustRightInd w:val="0"/>
        <w:spacing w:line="360" w:lineRule="auto"/>
        <w:rPr>
          <w:rFonts w:ascii="Book Antiqua" w:hAnsi="Book Antiqua"/>
          <w:kern w:val="0"/>
          <w:sz w:val="24"/>
        </w:rPr>
      </w:pPr>
      <w:r w:rsidRPr="002B374F">
        <w:rPr>
          <w:rFonts w:ascii="Book Antiqua" w:hAnsi="Book Antiqua"/>
          <w:b/>
          <w:bCs/>
          <w:kern w:val="0"/>
          <w:sz w:val="24"/>
        </w:rPr>
        <w:t>Correspondence to:</w:t>
      </w:r>
      <w:r w:rsidRPr="002B374F">
        <w:rPr>
          <w:rFonts w:ascii="Book Antiqua" w:hAnsi="Book Antiqua"/>
          <w:kern w:val="0"/>
          <w:sz w:val="24"/>
        </w:rPr>
        <w:t xml:space="preserve"> </w:t>
      </w:r>
      <w:r w:rsidRPr="002B374F">
        <w:rPr>
          <w:rFonts w:ascii="Book Antiqua" w:hAnsi="Book Antiqua"/>
          <w:b/>
          <w:kern w:val="0"/>
          <w:sz w:val="24"/>
        </w:rPr>
        <w:t xml:space="preserve">Qiang Xiao, MD, PhD, </w:t>
      </w:r>
      <w:r w:rsidRPr="002B374F">
        <w:rPr>
          <w:rFonts w:ascii="Book Antiqua" w:hAnsi="Book Antiqua"/>
          <w:kern w:val="0"/>
          <w:sz w:val="24"/>
        </w:rPr>
        <w:t xml:space="preserve">Department of Surgery, the First Affiliated Hospital of Guangxi Medical University, No. 22, Shuangyong Road, Nanning 530021, Guangxi Zhuang Autonomous Region, China. </w:t>
      </w:r>
      <w:r>
        <w:rPr>
          <w:rFonts w:ascii="Book Antiqua" w:hAnsi="Book Antiqua"/>
          <w:kern w:val="0"/>
          <w:sz w:val="24"/>
        </w:rPr>
        <w:t xml:space="preserve"> </w:t>
      </w:r>
      <w:hyperlink r:id="rId7" w:history="1">
        <w:r w:rsidRPr="002B374F">
          <w:rPr>
            <w:rFonts w:ascii="Book Antiqua" w:hAnsi="Book Antiqua"/>
            <w:kern w:val="0"/>
            <w:sz w:val="24"/>
          </w:rPr>
          <w:t>xiaoqiang20050@aliyun.com</w:t>
        </w:r>
      </w:hyperlink>
    </w:p>
    <w:p w:rsidR="005132E0" w:rsidRPr="002B374F" w:rsidRDefault="005132E0" w:rsidP="009D615E">
      <w:pPr>
        <w:autoSpaceDE w:val="0"/>
        <w:autoSpaceDN w:val="0"/>
        <w:adjustRightInd w:val="0"/>
        <w:spacing w:line="360" w:lineRule="auto"/>
        <w:rPr>
          <w:rFonts w:ascii="Book Antiqua" w:hAnsi="Book Antiqua"/>
          <w:b/>
          <w:bCs/>
          <w:kern w:val="0"/>
          <w:sz w:val="24"/>
        </w:rPr>
      </w:pPr>
    </w:p>
    <w:p w:rsidR="005132E0" w:rsidRPr="002B374F" w:rsidRDefault="005132E0" w:rsidP="009D615E">
      <w:pPr>
        <w:autoSpaceDE w:val="0"/>
        <w:autoSpaceDN w:val="0"/>
        <w:adjustRightInd w:val="0"/>
        <w:spacing w:line="360" w:lineRule="auto"/>
        <w:rPr>
          <w:rFonts w:ascii="Book Antiqua" w:hAnsi="Book Antiqua"/>
          <w:kern w:val="0"/>
          <w:sz w:val="24"/>
        </w:rPr>
      </w:pPr>
      <w:r w:rsidRPr="002B374F">
        <w:rPr>
          <w:rFonts w:ascii="Book Antiqua" w:hAnsi="Book Antiqua"/>
          <w:b/>
          <w:bCs/>
          <w:kern w:val="0"/>
          <w:sz w:val="24"/>
        </w:rPr>
        <w:t>Telephone:</w:t>
      </w:r>
      <w:r w:rsidRPr="002B374F">
        <w:rPr>
          <w:rFonts w:ascii="Book Antiqua" w:hAnsi="Book Antiqua"/>
          <w:kern w:val="0"/>
          <w:sz w:val="24"/>
        </w:rPr>
        <w:t xml:space="preserve"> +86-771-5358325        </w:t>
      </w:r>
      <w:r w:rsidRPr="002B374F">
        <w:rPr>
          <w:rFonts w:ascii="Book Antiqua" w:hAnsi="Book Antiqua"/>
          <w:b/>
          <w:bCs/>
          <w:kern w:val="0"/>
          <w:sz w:val="24"/>
        </w:rPr>
        <w:t xml:space="preserve"> Fax: </w:t>
      </w:r>
      <w:r w:rsidRPr="002B374F">
        <w:rPr>
          <w:rFonts w:ascii="Book Antiqua" w:hAnsi="Book Antiqua"/>
          <w:kern w:val="0"/>
          <w:sz w:val="24"/>
        </w:rPr>
        <w:t>+86-771-5358325</w:t>
      </w:r>
    </w:p>
    <w:p w:rsidR="005132E0" w:rsidRPr="002B374F" w:rsidRDefault="005132E0" w:rsidP="00B84CF8">
      <w:pPr>
        <w:adjustRightInd w:val="0"/>
        <w:snapToGrid w:val="0"/>
        <w:spacing w:line="360" w:lineRule="auto"/>
        <w:rPr>
          <w:rFonts w:ascii="Book Antiqua" w:hAnsi="Book Antiqua"/>
          <w:b/>
          <w:sz w:val="24"/>
        </w:rPr>
      </w:pPr>
      <w:bookmarkStart w:id="20" w:name="OLE_LINK25"/>
      <w:bookmarkStart w:id="21" w:name="OLE_LINK26"/>
      <w:bookmarkStart w:id="22" w:name="OLE_LINK145"/>
      <w:bookmarkStart w:id="23" w:name="OLE_LINK215"/>
      <w:bookmarkStart w:id="24" w:name="OLE_LINK352"/>
      <w:bookmarkStart w:id="25" w:name="OLE_LINK364"/>
      <w:bookmarkStart w:id="26" w:name="OLE_LINK383"/>
      <w:bookmarkStart w:id="27" w:name="OLE_LINK361"/>
      <w:bookmarkStart w:id="28" w:name="OLE_LINK444"/>
      <w:bookmarkStart w:id="29" w:name="OLE_LINK501"/>
      <w:bookmarkStart w:id="30" w:name="OLE_LINK572"/>
      <w:bookmarkStart w:id="31" w:name="OLE_LINK573"/>
      <w:bookmarkStart w:id="32" w:name="OLE_LINK756"/>
      <w:bookmarkStart w:id="33" w:name="OLE_LINK757"/>
      <w:bookmarkStart w:id="34" w:name="OLE_LINK805"/>
      <w:bookmarkStart w:id="35" w:name="OLE_LINK806"/>
      <w:bookmarkStart w:id="36" w:name="OLE_LINK958"/>
      <w:bookmarkStart w:id="37" w:name="OLE_LINK1018"/>
      <w:bookmarkStart w:id="38" w:name="OLE_LINK1059"/>
      <w:bookmarkStart w:id="39" w:name="OLE_LINK1122"/>
      <w:bookmarkStart w:id="40" w:name="OLE_LINK1123"/>
      <w:bookmarkStart w:id="41" w:name="OLE_LINK1402"/>
      <w:bookmarkStart w:id="42" w:name="OLE_LINK1750"/>
      <w:bookmarkStart w:id="43" w:name="OLE_LINK1751"/>
      <w:bookmarkStart w:id="44" w:name="OLE_LINK1832"/>
      <w:bookmarkStart w:id="45" w:name="OLE_LINK1878"/>
      <w:bookmarkStart w:id="46" w:name="OLE_LINK1917"/>
      <w:bookmarkStart w:id="47" w:name="OLE_LINK1918"/>
      <w:bookmarkStart w:id="48" w:name="OLE_LINK1985"/>
      <w:bookmarkStart w:id="49" w:name="OLE_LINK1986"/>
      <w:bookmarkStart w:id="50" w:name="OLE_LINK1927"/>
      <w:bookmarkStart w:id="51" w:name="OLE_LINK1928"/>
      <w:bookmarkStart w:id="52" w:name="OLE_LINK2044"/>
      <w:bookmarkStart w:id="53" w:name="OLE_LINK2352"/>
      <w:bookmarkStart w:id="54" w:name="OLE_LINK2220"/>
      <w:bookmarkStart w:id="55" w:name="OLE_LINK2344"/>
      <w:bookmarkStart w:id="56" w:name="OLE_LINK2347"/>
      <w:bookmarkStart w:id="57" w:name="OLE_LINK2626"/>
      <w:bookmarkStart w:id="58" w:name="OLE_LINK2390"/>
      <w:bookmarkStart w:id="59" w:name="OLE_LINK2752"/>
      <w:bookmarkStart w:id="60" w:name="OLE_LINK2753"/>
      <w:bookmarkStart w:id="61" w:name="OLE_LINK2855"/>
      <w:bookmarkStart w:id="62" w:name="OLE_LINK2992"/>
      <w:bookmarkStart w:id="63" w:name="OLE_LINK3241"/>
      <w:bookmarkStart w:id="64" w:name="OLE_LINK2682"/>
      <w:r w:rsidRPr="002B374F">
        <w:rPr>
          <w:rFonts w:ascii="Book Antiqua" w:hAnsi="Book Antiqua"/>
          <w:b/>
          <w:sz w:val="24"/>
        </w:rPr>
        <w:t xml:space="preserve">Received: </w:t>
      </w:r>
      <w:r w:rsidRPr="002B374F">
        <w:rPr>
          <w:rFonts w:ascii="Book Antiqua" w:hAnsi="Book Antiqua"/>
          <w:sz w:val="24"/>
        </w:rPr>
        <w:t xml:space="preserve">September 26, 2013  </w:t>
      </w:r>
      <w:r w:rsidRPr="002B374F">
        <w:rPr>
          <w:rFonts w:ascii="Book Antiqua" w:hAnsi="Book Antiqua"/>
          <w:b/>
          <w:sz w:val="24"/>
        </w:rPr>
        <w:t xml:space="preserve">      Revised:</w:t>
      </w:r>
      <w:bookmarkEnd w:id="20"/>
      <w:bookmarkEnd w:id="21"/>
      <w:r w:rsidRPr="002B374F">
        <w:rPr>
          <w:rFonts w:ascii="Book Antiqua" w:hAnsi="Book Antiqua"/>
          <w:sz w:val="24"/>
        </w:rPr>
        <w:t xml:space="preserve"> December 22, 2013 </w:t>
      </w:r>
      <w:bookmarkStart w:id="65" w:name="OLE_LINK103"/>
      <w:bookmarkStart w:id="66" w:name="OLE_LINK104"/>
      <w:bookmarkStart w:id="67" w:name="OLE_LINK69"/>
      <w:bookmarkStart w:id="68" w:name="OLE_LINK70"/>
    </w:p>
    <w:p w:rsidR="001A363B" w:rsidRPr="003D3887" w:rsidRDefault="005132E0" w:rsidP="001A363B">
      <w:pPr>
        <w:rPr>
          <w:rFonts w:ascii="Book Antiqua" w:hAnsi="Book Antiqua"/>
          <w:sz w:val="24"/>
        </w:rPr>
      </w:pPr>
      <w:bookmarkStart w:id="69" w:name="OLE_LINK303"/>
      <w:bookmarkStart w:id="70" w:name="OLE_LINK304"/>
      <w:bookmarkStart w:id="71" w:name="OLE_LINK1382"/>
      <w:bookmarkStart w:id="72" w:name="OLE_LINK2188"/>
      <w:bookmarkStart w:id="73" w:name="OLE_LINK2189"/>
      <w:bookmarkStart w:id="74" w:name="OLE_LINK2615"/>
      <w:r w:rsidRPr="002B374F">
        <w:rPr>
          <w:rFonts w:ascii="Book Antiqua" w:hAnsi="Book Antiqua"/>
          <w:b/>
          <w:sz w:val="24"/>
        </w:rPr>
        <w:t xml:space="preserve">Accepted: </w:t>
      </w:r>
      <w:r w:rsidR="001A363B" w:rsidRPr="003D3887">
        <w:rPr>
          <w:rFonts w:ascii="Book Antiqua" w:hAnsi="Book Antiqua"/>
          <w:sz w:val="24"/>
        </w:rPr>
        <w:t>February 20, 2014</w:t>
      </w:r>
    </w:p>
    <w:p w:rsidR="005132E0" w:rsidRPr="002B374F" w:rsidRDefault="005132E0" w:rsidP="00B84CF8">
      <w:pPr>
        <w:adjustRightInd w:val="0"/>
        <w:snapToGrid w:val="0"/>
        <w:spacing w:line="360" w:lineRule="auto"/>
        <w:rPr>
          <w:rFonts w:ascii="Book Antiqua" w:hAnsi="Book Antiqua"/>
          <w:b/>
          <w:sz w:val="24"/>
        </w:rPr>
      </w:pPr>
      <w:r w:rsidRPr="002B374F">
        <w:rPr>
          <w:rFonts w:ascii="Book Antiqua" w:hAnsi="Book Antiqua"/>
          <w:b/>
          <w:sz w:val="24"/>
        </w:rPr>
        <w:t xml:space="preserve"> </w:t>
      </w:r>
    </w:p>
    <w:p w:rsidR="005132E0" w:rsidRPr="002B374F" w:rsidRDefault="005132E0" w:rsidP="00B84CF8">
      <w:pPr>
        <w:adjustRightInd w:val="0"/>
        <w:snapToGrid w:val="0"/>
        <w:spacing w:line="360" w:lineRule="auto"/>
        <w:rPr>
          <w:rFonts w:ascii="Book Antiqua" w:hAnsi="Book Antiqua"/>
          <w:b/>
          <w:sz w:val="24"/>
        </w:rPr>
      </w:pPr>
      <w:r w:rsidRPr="002B374F">
        <w:rPr>
          <w:rFonts w:ascii="Book Antiqua" w:hAnsi="Book Antiqua"/>
          <w:b/>
          <w:sz w:val="24"/>
        </w:rPr>
        <w:t xml:space="preserve">Published online: </w:t>
      </w:r>
      <w:bookmarkEnd w:id="65"/>
      <w:bookmarkEnd w:id="66"/>
    </w:p>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7"/>
    <w:bookmarkEnd w:id="68"/>
    <w:bookmarkEnd w:id="69"/>
    <w:bookmarkEnd w:id="70"/>
    <w:bookmarkEnd w:id="71"/>
    <w:bookmarkEnd w:id="72"/>
    <w:bookmarkEnd w:id="73"/>
    <w:bookmarkEnd w:id="74"/>
    <w:p w:rsidR="005132E0" w:rsidRPr="002B374F" w:rsidRDefault="005132E0" w:rsidP="009D615E">
      <w:pPr>
        <w:autoSpaceDE w:val="0"/>
        <w:autoSpaceDN w:val="0"/>
        <w:adjustRightInd w:val="0"/>
        <w:spacing w:line="360" w:lineRule="auto"/>
        <w:rPr>
          <w:rFonts w:ascii="Book Antiqua" w:hAnsi="Book Antiqua"/>
          <w:kern w:val="0"/>
          <w:sz w:val="24"/>
        </w:rPr>
      </w:pPr>
    </w:p>
    <w:p w:rsidR="005132E0" w:rsidRPr="002B374F" w:rsidRDefault="005132E0">
      <w:pPr>
        <w:widowControl/>
        <w:jc w:val="left"/>
        <w:rPr>
          <w:rFonts w:ascii="Book Antiqua" w:hAnsi="Book Antiqua"/>
          <w:b/>
          <w:bCs/>
          <w:kern w:val="0"/>
          <w:sz w:val="24"/>
        </w:rPr>
      </w:pPr>
      <w:r w:rsidRPr="002B374F">
        <w:rPr>
          <w:rFonts w:ascii="Book Antiqua" w:hAnsi="Book Antiqua"/>
          <w:b/>
          <w:bCs/>
          <w:kern w:val="0"/>
          <w:sz w:val="24"/>
        </w:rPr>
        <w:br w:type="page"/>
      </w:r>
    </w:p>
    <w:p w:rsidR="005132E0" w:rsidRPr="002B374F" w:rsidRDefault="005132E0" w:rsidP="009D615E">
      <w:pPr>
        <w:autoSpaceDE w:val="0"/>
        <w:autoSpaceDN w:val="0"/>
        <w:adjustRightInd w:val="0"/>
        <w:spacing w:line="360" w:lineRule="auto"/>
        <w:rPr>
          <w:rFonts w:ascii="Book Antiqua" w:hAnsi="Book Antiqua"/>
          <w:b/>
          <w:bCs/>
          <w:kern w:val="0"/>
          <w:sz w:val="24"/>
        </w:rPr>
      </w:pPr>
      <w:r w:rsidRPr="002B374F">
        <w:rPr>
          <w:rFonts w:ascii="Book Antiqua" w:hAnsi="Book Antiqua"/>
          <w:b/>
          <w:bCs/>
          <w:kern w:val="0"/>
          <w:sz w:val="24"/>
        </w:rPr>
        <w:t>Abstract</w:t>
      </w:r>
    </w:p>
    <w:p w:rsidR="005132E0" w:rsidRPr="002B374F" w:rsidRDefault="005132E0" w:rsidP="005C74AF">
      <w:pPr>
        <w:autoSpaceDE w:val="0"/>
        <w:autoSpaceDN w:val="0"/>
        <w:adjustRightInd w:val="0"/>
        <w:spacing w:line="360" w:lineRule="auto"/>
        <w:rPr>
          <w:rFonts w:ascii="Book Antiqua" w:hAnsi="Book Antiqua"/>
          <w:color w:val="000000"/>
          <w:kern w:val="0"/>
          <w:sz w:val="24"/>
        </w:rPr>
      </w:pPr>
      <w:r w:rsidRPr="002B374F">
        <w:rPr>
          <w:rFonts w:ascii="Book Antiqua" w:hAnsi="Book Antiqua"/>
          <w:color w:val="000000"/>
          <w:kern w:val="0"/>
          <w:sz w:val="24"/>
        </w:rPr>
        <w:t xml:space="preserve">Gastric cancer is one of the most frequent cancers, and it ranks the third most common cancer in China. The most recently caudal-related homeobox transcription factor 2 (CDX2) is expressed in a large number of human </w:t>
      </w:r>
      <w:bookmarkStart w:id="75" w:name="OLE_LINK19"/>
      <w:bookmarkStart w:id="76" w:name="OLE_LINK20"/>
      <w:r w:rsidRPr="002B374F">
        <w:rPr>
          <w:rFonts w:ascii="Book Antiqua" w:hAnsi="Book Antiqua"/>
          <w:color w:val="000000"/>
          <w:kern w:val="0"/>
          <w:sz w:val="24"/>
        </w:rPr>
        <w:t>gastrointestinal cancers</w:t>
      </w:r>
      <w:bookmarkEnd w:id="75"/>
      <w:bookmarkEnd w:id="76"/>
      <w:r w:rsidRPr="002B374F">
        <w:rPr>
          <w:rFonts w:ascii="Book Antiqua" w:hAnsi="Book Antiqua"/>
          <w:color w:val="000000"/>
          <w:kern w:val="0"/>
          <w:sz w:val="24"/>
        </w:rPr>
        <w:t>. In addition, gastric epithelial cell mutations in CDX2 result in tumor promotion, which is characterized by cellular drug resistance and a high proclivity for developing cancer. A series of publications over the past years suggests a mechanism by which CDX2 overexpression results in multidrug resistance. CDX2 appears to forward control regenerating IV and the multidrug resistance 1 expression signaling pathway for regulation of cell drug resistance.</w:t>
      </w:r>
    </w:p>
    <w:p w:rsidR="005132E0" w:rsidRDefault="005132E0" w:rsidP="009D615E">
      <w:pPr>
        <w:autoSpaceDE w:val="0"/>
        <w:autoSpaceDN w:val="0"/>
        <w:adjustRightInd w:val="0"/>
        <w:spacing w:line="360" w:lineRule="auto"/>
        <w:rPr>
          <w:rFonts w:ascii="Book Antiqua" w:hAnsi="Book Antiqua"/>
          <w:color w:val="000000"/>
          <w:kern w:val="0"/>
          <w:sz w:val="24"/>
        </w:rPr>
      </w:pPr>
    </w:p>
    <w:p w:rsidR="005132E0" w:rsidRPr="00C56046" w:rsidRDefault="005132E0" w:rsidP="00E0525E">
      <w:pPr>
        <w:adjustRightInd w:val="0"/>
        <w:snapToGrid w:val="0"/>
        <w:spacing w:line="360" w:lineRule="auto"/>
        <w:rPr>
          <w:rFonts w:ascii="Book Antiqua" w:hAnsi="Book Antiqua"/>
          <w:sz w:val="24"/>
        </w:rPr>
      </w:pPr>
      <w:bookmarkStart w:id="77" w:name="OLE_LINK98"/>
      <w:bookmarkStart w:id="78" w:name="OLE_LINK156"/>
      <w:bookmarkStart w:id="79" w:name="OLE_LINK196"/>
      <w:bookmarkStart w:id="80" w:name="OLE_LINK217"/>
      <w:bookmarkStart w:id="81" w:name="OLE_LINK242"/>
      <w:bookmarkStart w:id="82" w:name="OLE_LINK247"/>
      <w:bookmarkStart w:id="83" w:name="OLE_LINK311"/>
      <w:bookmarkStart w:id="84" w:name="OLE_LINK312"/>
      <w:bookmarkStart w:id="85" w:name="OLE_LINK325"/>
      <w:bookmarkStart w:id="86" w:name="OLE_LINK330"/>
      <w:bookmarkStart w:id="87" w:name="OLE_LINK513"/>
      <w:bookmarkStart w:id="88" w:name="OLE_LINK514"/>
      <w:bookmarkStart w:id="89" w:name="OLE_LINK464"/>
      <w:bookmarkStart w:id="90" w:name="OLE_LINK465"/>
      <w:bookmarkStart w:id="91" w:name="OLE_LINK466"/>
      <w:bookmarkStart w:id="92" w:name="OLE_LINK470"/>
      <w:bookmarkStart w:id="93" w:name="OLE_LINK471"/>
      <w:bookmarkStart w:id="94" w:name="OLE_LINK472"/>
      <w:bookmarkStart w:id="95" w:name="OLE_LINK474"/>
      <w:bookmarkStart w:id="96" w:name="OLE_LINK512"/>
      <w:bookmarkStart w:id="97" w:name="OLE_LINK800"/>
      <w:bookmarkStart w:id="98" w:name="OLE_LINK982"/>
      <w:bookmarkStart w:id="99" w:name="OLE_LINK1027"/>
      <w:bookmarkStart w:id="100" w:name="OLE_LINK504"/>
      <w:bookmarkStart w:id="101" w:name="OLE_LINK546"/>
      <w:bookmarkStart w:id="102" w:name="OLE_LINK547"/>
      <w:bookmarkStart w:id="103" w:name="OLE_LINK575"/>
      <w:bookmarkStart w:id="104" w:name="OLE_LINK640"/>
      <w:bookmarkStart w:id="105" w:name="OLE_LINK672"/>
      <w:bookmarkStart w:id="106" w:name="OLE_LINK714"/>
      <w:bookmarkStart w:id="107" w:name="OLE_LINK651"/>
      <w:bookmarkStart w:id="108" w:name="OLE_LINK652"/>
      <w:bookmarkStart w:id="109" w:name="OLE_LINK744"/>
      <w:bookmarkStart w:id="110" w:name="OLE_LINK758"/>
      <w:bookmarkStart w:id="111" w:name="OLE_LINK787"/>
      <w:bookmarkStart w:id="112" w:name="OLE_LINK807"/>
      <w:bookmarkStart w:id="113" w:name="OLE_LINK820"/>
      <w:bookmarkStart w:id="114" w:name="OLE_LINK862"/>
      <w:bookmarkStart w:id="115" w:name="OLE_LINK879"/>
      <w:bookmarkStart w:id="116" w:name="OLE_LINK906"/>
      <w:bookmarkStart w:id="117" w:name="OLE_LINK928"/>
      <w:bookmarkStart w:id="118" w:name="OLE_LINK960"/>
      <w:bookmarkStart w:id="119" w:name="OLE_LINK861"/>
      <w:bookmarkStart w:id="120" w:name="OLE_LINK983"/>
      <w:bookmarkStart w:id="121" w:name="OLE_LINK1334"/>
      <w:bookmarkStart w:id="122" w:name="OLE_LINK1029"/>
      <w:bookmarkStart w:id="123" w:name="OLE_LINK1060"/>
      <w:bookmarkStart w:id="124" w:name="OLE_LINK1061"/>
      <w:bookmarkStart w:id="125" w:name="OLE_LINK1348"/>
      <w:bookmarkStart w:id="126" w:name="OLE_LINK1086"/>
      <w:bookmarkStart w:id="127" w:name="OLE_LINK1100"/>
      <w:bookmarkStart w:id="128" w:name="OLE_LINK1125"/>
      <w:bookmarkStart w:id="129" w:name="OLE_LINK1163"/>
      <w:bookmarkStart w:id="130" w:name="OLE_LINK1193"/>
      <w:bookmarkStart w:id="131" w:name="OLE_LINK1219"/>
      <w:bookmarkStart w:id="132" w:name="OLE_LINK1247"/>
      <w:bookmarkStart w:id="133" w:name="OLE_LINK1284"/>
      <w:bookmarkStart w:id="134" w:name="OLE_LINK1313"/>
      <w:bookmarkStart w:id="135" w:name="OLE_LINK1361"/>
      <w:bookmarkStart w:id="136" w:name="OLE_LINK1384"/>
      <w:bookmarkStart w:id="137" w:name="OLE_LINK1403"/>
      <w:bookmarkStart w:id="138" w:name="OLE_LINK1437"/>
      <w:bookmarkStart w:id="139" w:name="OLE_LINK1454"/>
      <w:bookmarkStart w:id="140" w:name="OLE_LINK1480"/>
      <w:bookmarkStart w:id="141" w:name="OLE_LINK1504"/>
      <w:bookmarkStart w:id="142" w:name="OLE_LINK1516"/>
      <w:bookmarkStart w:id="143" w:name="OLE_LINK135"/>
      <w:bookmarkStart w:id="144" w:name="OLE_LINK216"/>
      <w:bookmarkStart w:id="145" w:name="OLE_LINK259"/>
      <w:bookmarkStart w:id="146" w:name="OLE_LINK1186"/>
      <w:bookmarkStart w:id="147" w:name="OLE_LINK1265"/>
      <w:bookmarkStart w:id="148" w:name="OLE_LINK1373"/>
      <w:bookmarkStart w:id="149" w:name="OLE_LINK1478"/>
      <w:bookmarkStart w:id="150" w:name="OLE_LINK1644"/>
      <w:bookmarkStart w:id="151" w:name="OLE_LINK1884"/>
      <w:bookmarkStart w:id="152" w:name="OLE_LINK1885"/>
      <w:bookmarkStart w:id="153" w:name="OLE_LINK1538"/>
      <w:bookmarkStart w:id="154" w:name="OLE_LINK1539"/>
      <w:bookmarkStart w:id="155" w:name="OLE_LINK1543"/>
      <w:bookmarkStart w:id="156" w:name="OLE_LINK1549"/>
      <w:bookmarkStart w:id="157" w:name="OLE_LINK1778"/>
      <w:bookmarkStart w:id="158" w:name="OLE_LINK1756"/>
      <w:bookmarkStart w:id="159" w:name="OLE_LINK1776"/>
      <w:bookmarkStart w:id="160" w:name="OLE_LINK1777"/>
      <w:bookmarkStart w:id="161" w:name="OLE_LINK1868"/>
      <w:bookmarkStart w:id="162" w:name="OLE_LINK1744"/>
      <w:bookmarkStart w:id="163" w:name="OLE_LINK1817"/>
      <w:bookmarkStart w:id="164" w:name="OLE_LINK1835"/>
      <w:bookmarkStart w:id="165" w:name="OLE_LINK1866"/>
      <w:bookmarkStart w:id="166" w:name="OLE_LINK1882"/>
      <w:bookmarkStart w:id="167" w:name="OLE_LINK1901"/>
      <w:bookmarkStart w:id="168" w:name="OLE_LINK1902"/>
      <w:bookmarkStart w:id="169" w:name="OLE_LINK2013"/>
      <w:bookmarkStart w:id="170" w:name="OLE_LINK1894"/>
      <w:bookmarkStart w:id="171" w:name="OLE_LINK1929"/>
      <w:bookmarkStart w:id="172" w:name="OLE_LINK1941"/>
      <w:bookmarkStart w:id="173" w:name="OLE_LINK1995"/>
      <w:bookmarkStart w:id="174" w:name="OLE_LINK1938"/>
      <w:bookmarkStart w:id="175" w:name="OLE_LINK2081"/>
      <w:bookmarkStart w:id="176" w:name="OLE_LINK2082"/>
      <w:bookmarkStart w:id="177" w:name="OLE_LINK2292"/>
      <w:bookmarkStart w:id="178" w:name="OLE_LINK1931"/>
      <w:bookmarkStart w:id="179" w:name="OLE_LINK1964"/>
      <w:bookmarkStart w:id="180" w:name="OLE_LINK2020"/>
      <w:bookmarkStart w:id="181" w:name="OLE_LINK2071"/>
      <w:bookmarkStart w:id="182" w:name="OLE_LINK2134"/>
      <w:bookmarkStart w:id="183" w:name="OLE_LINK2265"/>
      <w:bookmarkStart w:id="184" w:name="OLE_LINK2562"/>
      <w:bookmarkStart w:id="185" w:name="OLE_LINK1923"/>
      <w:bookmarkStart w:id="186" w:name="OLE_LINK2192"/>
      <w:bookmarkStart w:id="187" w:name="OLE_LINK2110"/>
      <w:bookmarkStart w:id="188" w:name="OLE_LINK2445"/>
      <w:bookmarkStart w:id="189" w:name="OLE_LINK2446"/>
      <w:bookmarkStart w:id="190" w:name="OLE_LINK2169"/>
      <w:bookmarkStart w:id="191" w:name="OLE_LINK2190"/>
      <w:bookmarkStart w:id="192" w:name="OLE_LINK2331"/>
      <w:bookmarkStart w:id="193" w:name="OLE_LINK2345"/>
      <w:bookmarkStart w:id="194" w:name="OLE_LINK2467"/>
      <w:bookmarkStart w:id="195" w:name="OLE_LINK2484"/>
      <w:bookmarkStart w:id="196" w:name="OLE_LINK2157"/>
      <w:bookmarkStart w:id="197" w:name="OLE_LINK2221"/>
      <w:bookmarkStart w:id="198" w:name="OLE_LINK2252"/>
      <w:bookmarkStart w:id="199" w:name="OLE_LINK2348"/>
      <w:bookmarkStart w:id="200" w:name="OLE_LINK2451"/>
      <w:bookmarkStart w:id="201" w:name="OLE_LINK2627"/>
      <w:bookmarkStart w:id="202" w:name="OLE_LINK2482"/>
      <w:bookmarkStart w:id="203" w:name="OLE_LINK2663"/>
      <w:bookmarkStart w:id="204" w:name="OLE_LINK2761"/>
      <w:bookmarkStart w:id="205" w:name="OLE_LINK2856"/>
      <w:bookmarkStart w:id="206" w:name="OLE_LINK2993"/>
      <w:bookmarkStart w:id="207" w:name="OLE_LINK2643"/>
      <w:bookmarkStart w:id="208" w:name="OLE_LINK2583"/>
      <w:bookmarkStart w:id="209" w:name="OLE_LINK2762"/>
      <w:bookmarkStart w:id="210" w:name="OLE_LINK2962"/>
      <w:bookmarkStart w:id="211" w:name="OLE_LINK2582"/>
      <w:r w:rsidRPr="00C56046">
        <w:rPr>
          <w:rFonts w:ascii="Book Antiqua" w:hAnsi="Book Antiqua"/>
          <w:sz w:val="24"/>
        </w:rPr>
        <w:t>© 201</w:t>
      </w:r>
      <w:r>
        <w:rPr>
          <w:rFonts w:ascii="Book Antiqua" w:hAnsi="Book Antiqua"/>
          <w:sz w:val="24"/>
        </w:rPr>
        <w:t>4</w:t>
      </w:r>
      <w:r w:rsidRPr="00C56046">
        <w:rPr>
          <w:rFonts w:ascii="Book Antiqua" w:hAnsi="Book Antiqua"/>
          <w:sz w:val="24"/>
        </w:rPr>
        <w:t xml:space="preserve"> Baishideng</w:t>
      </w:r>
      <w:r>
        <w:rPr>
          <w:rFonts w:ascii="Book Antiqua" w:hAnsi="Book Antiqua"/>
          <w:sz w:val="24"/>
        </w:rPr>
        <w:t xml:space="preserve"> Publishing Group Co., Limited</w:t>
      </w:r>
      <w:r w:rsidRPr="00C56046">
        <w:rPr>
          <w:rFonts w:ascii="Book Antiqua" w:hAnsi="Book Antiqua"/>
          <w:sz w:val="24"/>
        </w:rPr>
        <w:t xml:space="preserve">. All rights reserved.  </w:t>
      </w:r>
    </w:p>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rsidR="005132E0" w:rsidRPr="00E0525E" w:rsidRDefault="005132E0" w:rsidP="009D615E">
      <w:pPr>
        <w:autoSpaceDE w:val="0"/>
        <w:autoSpaceDN w:val="0"/>
        <w:adjustRightInd w:val="0"/>
        <w:spacing w:line="360" w:lineRule="auto"/>
        <w:rPr>
          <w:rFonts w:ascii="Book Antiqua" w:hAnsi="Book Antiqua"/>
          <w:color w:val="000000"/>
          <w:kern w:val="0"/>
          <w:sz w:val="24"/>
        </w:rPr>
      </w:pPr>
    </w:p>
    <w:p w:rsidR="005132E0" w:rsidRPr="002B374F" w:rsidRDefault="005132E0" w:rsidP="009D615E">
      <w:pPr>
        <w:autoSpaceDE w:val="0"/>
        <w:autoSpaceDN w:val="0"/>
        <w:adjustRightInd w:val="0"/>
        <w:spacing w:line="360" w:lineRule="auto"/>
        <w:rPr>
          <w:rFonts w:ascii="Book Antiqua" w:hAnsi="Book Antiqua"/>
          <w:kern w:val="0"/>
          <w:sz w:val="24"/>
        </w:rPr>
      </w:pPr>
      <w:r w:rsidRPr="002B374F">
        <w:rPr>
          <w:rFonts w:ascii="Book Antiqua" w:hAnsi="Book Antiqua"/>
          <w:b/>
          <w:bCs/>
          <w:kern w:val="0"/>
          <w:sz w:val="24"/>
        </w:rPr>
        <w:t xml:space="preserve">Key words: </w:t>
      </w:r>
      <w:r w:rsidRPr="002B374F">
        <w:rPr>
          <w:rFonts w:ascii="Book Antiqua" w:hAnsi="Book Antiqua"/>
          <w:color w:val="000000"/>
          <w:kern w:val="0"/>
          <w:sz w:val="24"/>
        </w:rPr>
        <w:t>Caudal-related homeobox transcription factor 2</w:t>
      </w:r>
      <w:r w:rsidRPr="002B374F">
        <w:rPr>
          <w:rFonts w:ascii="Book Antiqua" w:hAnsi="Book Antiqua"/>
          <w:kern w:val="0"/>
          <w:sz w:val="24"/>
        </w:rPr>
        <w:t>; Gastric cancer; Intestinal metaplasia; Apoptosis; Drug resistance</w:t>
      </w:r>
    </w:p>
    <w:p w:rsidR="005132E0" w:rsidRPr="002B374F" w:rsidRDefault="005132E0" w:rsidP="009D615E">
      <w:pPr>
        <w:autoSpaceDE w:val="0"/>
        <w:autoSpaceDN w:val="0"/>
        <w:adjustRightInd w:val="0"/>
        <w:spacing w:line="360" w:lineRule="auto"/>
        <w:rPr>
          <w:rFonts w:ascii="Book Antiqua" w:hAnsi="Book Antiqua"/>
          <w:kern w:val="0"/>
          <w:sz w:val="24"/>
        </w:rPr>
      </w:pPr>
    </w:p>
    <w:p w:rsidR="005132E0" w:rsidRPr="002B374F" w:rsidRDefault="005132E0" w:rsidP="009D615E">
      <w:pPr>
        <w:autoSpaceDE w:val="0"/>
        <w:autoSpaceDN w:val="0"/>
        <w:adjustRightInd w:val="0"/>
        <w:spacing w:line="360" w:lineRule="auto"/>
        <w:rPr>
          <w:rFonts w:ascii="Book Antiqua" w:hAnsi="Book Antiqua"/>
          <w:color w:val="000000"/>
          <w:kern w:val="0"/>
          <w:sz w:val="24"/>
        </w:rPr>
      </w:pPr>
      <w:r w:rsidRPr="002B374F">
        <w:rPr>
          <w:rFonts w:ascii="Book Antiqua" w:hAnsi="Book Antiqua"/>
          <w:b/>
          <w:bCs/>
          <w:kern w:val="0"/>
          <w:sz w:val="24"/>
        </w:rPr>
        <w:t>Core tip:</w:t>
      </w:r>
      <w:r w:rsidRPr="002B374F">
        <w:rPr>
          <w:rFonts w:ascii="Book Antiqua" w:hAnsi="Book Antiqua"/>
          <w:kern w:val="0"/>
          <w:sz w:val="24"/>
        </w:rPr>
        <w:t xml:space="preserve"> T</w:t>
      </w:r>
      <w:r w:rsidRPr="002B374F">
        <w:rPr>
          <w:rFonts w:ascii="Book Antiqua" w:hAnsi="Book Antiqua"/>
          <w:color w:val="000000"/>
          <w:kern w:val="0"/>
          <w:sz w:val="24"/>
        </w:rPr>
        <w:t xml:space="preserve">his review elucidates the relationship between caudal-related homeobox transcription factor 2 (CDX2) and gastric carcinoma, and promotes research to establish whether CDX2 induces drug resistance in gastric cancer. The review highlights that CDX2-positive expression should be </w:t>
      </w:r>
      <w:bookmarkStart w:id="212" w:name="OLE_LINK30"/>
      <w:r w:rsidRPr="002B374F">
        <w:rPr>
          <w:rFonts w:ascii="Book Antiqua" w:hAnsi="Book Antiqua"/>
          <w:color w:val="000000"/>
          <w:kern w:val="0"/>
          <w:sz w:val="24"/>
        </w:rPr>
        <w:t>a useful maker for diagnosis for patients with intestinal-phenotype gastric cancer, because of this useful maker, future drug and gene therapy targets in gastric cancer might be influenced.</w:t>
      </w:r>
      <w:bookmarkEnd w:id="212"/>
    </w:p>
    <w:p w:rsidR="005132E0" w:rsidRPr="002B374F" w:rsidRDefault="005132E0" w:rsidP="00B84CF8">
      <w:pPr>
        <w:autoSpaceDE w:val="0"/>
        <w:autoSpaceDN w:val="0"/>
        <w:adjustRightInd w:val="0"/>
        <w:spacing w:line="360" w:lineRule="auto"/>
        <w:rPr>
          <w:rFonts w:ascii="Book Antiqua" w:hAnsi="Book Antiqua"/>
          <w:kern w:val="0"/>
          <w:sz w:val="24"/>
        </w:rPr>
      </w:pPr>
    </w:p>
    <w:p w:rsidR="005132E0" w:rsidRPr="002B374F" w:rsidRDefault="005132E0" w:rsidP="00B84CF8">
      <w:pPr>
        <w:autoSpaceDE w:val="0"/>
        <w:autoSpaceDN w:val="0"/>
        <w:adjustRightInd w:val="0"/>
        <w:spacing w:line="360" w:lineRule="auto"/>
        <w:rPr>
          <w:rFonts w:ascii="Book Antiqua" w:hAnsi="Book Antiqua"/>
          <w:kern w:val="0"/>
          <w:sz w:val="24"/>
        </w:rPr>
      </w:pPr>
      <w:r w:rsidRPr="002B374F">
        <w:rPr>
          <w:rFonts w:ascii="Book Antiqua" w:hAnsi="Book Antiqua"/>
          <w:kern w:val="0"/>
          <w:sz w:val="24"/>
        </w:rPr>
        <w:t xml:space="preserve">Yan LH, Wei WY, Xie YB, Xiao Q. </w:t>
      </w:r>
      <w:r w:rsidRPr="002B374F">
        <w:rPr>
          <w:rFonts w:ascii="Book Antiqua" w:hAnsi="Book Antiqua"/>
          <w:bCs/>
          <w:kern w:val="0"/>
          <w:sz w:val="24"/>
        </w:rPr>
        <w:t>New insights into the functions and localization of the homeotic gene CDX2 in gastric cancer.</w:t>
      </w:r>
      <w:bookmarkStart w:id="213" w:name="OLE_LINK335"/>
      <w:bookmarkStart w:id="214" w:name="OLE_LINK336"/>
      <w:bookmarkStart w:id="215" w:name="OLE_LINK87"/>
      <w:bookmarkStart w:id="216" w:name="OLE_LINK97"/>
      <w:bookmarkStart w:id="217" w:name="OLE_LINK1297"/>
      <w:bookmarkStart w:id="218" w:name="OLE_LINK1298"/>
      <w:bookmarkStart w:id="219" w:name="OLE_LINK1689"/>
      <w:bookmarkStart w:id="220" w:name="OLE_LINK144"/>
      <w:bookmarkStart w:id="221" w:name="OLE_LINK152"/>
      <w:bookmarkStart w:id="222" w:name="OLE_LINK163"/>
      <w:bookmarkStart w:id="223" w:name="OLE_LINK1895"/>
      <w:bookmarkStart w:id="224" w:name="OLE_LINK1897"/>
      <w:bookmarkStart w:id="225" w:name="OLE_LINK1937"/>
      <w:bookmarkStart w:id="226" w:name="OLE_LINK2087"/>
      <w:bookmarkStart w:id="227" w:name="OLE_LINK2088"/>
      <w:bookmarkStart w:id="228" w:name="OLE_LINK2569"/>
      <w:bookmarkStart w:id="229" w:name="OLE_LINK2570"/>
      <w:bookmarkStart w:id="230" w:name="OLE_LINK2127"/>
      <w:bookmarkStart w:id="231" w:name="OLE_LINK2128"/>
      <w:bookmarkStart w:id="232" w:name="OLE_LINK2200"/>
      <w:bookmarkStart w:id="233" w:name="OLE_LINK2113"/>
      <w:bookmarkStart w:id="234" w:name="OLE_LINK2391"/>
      <w:bookmarkStart w:id="235" w:name="OLE_LINK2392"/>
      <w:bookmarkStart w:id="236" w:name="OLE_LINK2499"/>
      <w:bookmarkStart w:id="237" w:name="OLE_LINK2782"/>
      <w:bookmarkStart w:id="238" w:name="OLE_LINK2783"/>
      <w:bookmarkStart w:id="239" w:name="OLE_LINK2667"/>
      <w:bookmarkStart w:id="240" w:name="OLE_LINK2668"/>
      <w:bookmarkStart w:id="241" w:name="OLE_LINK2766"/>
      <w:bookmarkStart w:id="242" w:name="OLE_LINK3008"/>
      <w:bookmarkStart w:id="243" w:name="OLE_LINK3156"/>
      <w:bookmarkStart w:id="244" w:name="OLE_LINK3303"/>
      <w:bookmarkStart w:id="245" w:name="OLE_LINK3304"/>
      <w:bookmarkStart w:id="246" w:name="OLE_LINK2689"/>
      <w:bookmarkStart w:id="247" w:name="OLE_LINK2588"/>
      <w:bookmarkStart w:id="248" w:name="OLE_LINK2769"/>
      <w:bookmarkStart w:id="249" w:name="OLE_LINK3019"/>
      <w:bookmarkStart w:id="250" w:name="OLE_LINK3020"/>
      <w:r w:rsidRPr="002B374F">
        <w:rPr>
          <w:rFonts w:ascii="Book Antiqua" w:hAnsi="Book Antiqua"/>
          <w:kern w:val="0"/>
          <w:sz w:val="24"/>
        </w:rPr>
        <w:t xml:space="preserve"> </w:t>
      </w:r>
      <w:r w:rsidRPr="002B374F">
        <w:rPr>
          <w:rFonts w:ascii="Book Antiqua" w:hAnsi="Book Antiqua"/>
          <w:i/>
          <w:sz w:val="24"/>
        </w:rPr>
        <w:t>World J Gastroenterol</w:t>
      </w:r>
      <w:r w:rsidRPr="002B374F">
        <w:rPr>
          <w:rFonts w:ascii="Book Antiqua" w:hAnsi="Book Antiqua"/>
          <w:sz w:val="24"/>
        </w:rPr>
        <w:t xml:space="preserve"> </w:t>
      </w:r>
      <w:bookmarkEnd w:id="213"/>
      <w:bookmarkEnd w:id="214"/>
      <w:r w:rsidRPr="002B374F">
        <w:rPr>
          <w:rFonts w:ascii="Book Antiqua" w:hAnsi="Book Antiqua"/>
          <w:sz w:val="24"/>
        </w:rPr>
        <w:t xml:space="preserve">2014;  </w:t>
      </w:r>
    </w:p>
    <w:p w:rsidR="005132E0" w:rsidRPr="002B374F" w:rsidRDefault="005132E0" w:rsidP="00B84CF8">
      <w:pPr>
        <w:pStyle w:val="p0"/>
        <w:adjustRightInd w:val="0"/>
        <w:snapToGrid w:val="0"/>
        <w:spacing w:line="360" w:lineRule="auto"/>
        <w:jc w:val="both"/>
        <w:rPr>
          <w:rFonts w:ascii="Book Antiqua" w:hAnsi="Book Antiqua"/>
          <w:sz w:val="24"/>
          <w:szCs w:val="24"/>
        </w:rPr>
      </w:pPr>
      <w:bookmarkStart w:id="251" w:name="OLE_LINK404"/>
      <w:bookmarkStart w:id="252" w:name="OLE_LINK405"/>
      <w:bookmarkStart w:id="253" w:name="OLE_LINK406"/>
      <w:bookmarkStart w:id="254" w:name="OLE_LINK407"/>
      <w:bookmarkStart w:id="255" w:name="OLE_LINK629"/>
      <w:bookmarkStart w:id="256" w:name="OLE_LINK630"/>
      <w:bookmarkStart w:id="257" w:name="OLE_LINK1908"/>
      <w:bookmarkStart w:id="258" w:name="OLE_LINK1864"/>
      <w:bookmarkStart w:id="259" w:name="OLE_LINK2809"/>
      <w:bookmarkStart w:id="260" w:name="OLE_LINK2930"/>
      <w:bookmarkStart w:id="261" w:name="OLE_LINK2296"/>
      <w:bookmarkStart w:id="262" w:name="OLE_LINK2297"/>
      <w:bookmarkStart w:id="263" w:name="OLE_LINK1016"/>
      <w:bookmarkStart w:id="264" w:name="OLE_LINK401"/>
      <w:bookmarkStart w:id="265" w:name="OLE_LINK402"/>
      <w:bookmarkStart w:id="266" w:name="OLE_LINK99"/>
      <w:bookmarkStart w:id="267" w:name="OLE_LINK100"/>
      <w:bookmarkStart w:id="268" w:name="OLE_LINK271"/>
      <w:bookmarkStart w:id="269" w:name="OLE_LINK272"/>
      <w:bookmarkStart w:id="270" w:name="OLE_LINK300"/>
      <w:bookmarkStart w:id="271" w:name="OLE_LINK302"/>
      <w:bookmarkStart w:id="272" w:name="OLE_LINK1824"/>
      <w:bookmarkStart w:id="273" w:name="OLE_LINK1825"/>
      <w:bookmarkStart w:id="274" w:name="OLE_LINK1945"/>
      <w:bookmarkStart w:id="275" w:name="OLE_LINK1826"/>
      <w:bookmarkStart w:id="276" w:name="OLE_LINK1921"/>
      <w:bookmarkStart w:id="277" w:name="OLE_LINK1912"/>
      <w:bookmarkStart w:id="278" w:name="OLE_LINK1974"/>
      <w:bookmarkStart w:id="279" w:name="OLE_LINK1975"/>
      <w:bookmarkStart w:id="280" w:name="OLE_LINK1946"/>
      <w:bookmarkStart w:id="281" w:name="OLE_LINK1998"/>
      <w:bookmarkStart w:id="282" w:name="OLE_LINK2000"/>
      <w:bookmarkStart w:id="283" w:name="OLE_LINK1944"/>
      <w:bookmarkStart w:id="284" w:name="OLE_LINK2001"/>
      <w:bookmarkStart w:id="285" w:name="OLE_LINK2307"/>
      <w:bookmarkStart w:id="286" w:name="OLE_LINK2453"/>
      <w:bookmarkStart w:id="287" w:name="OLE_LINK2454"/>
      <w:bookmarkStart w:id="288" w:name="OLE_LINK2228"/>
      <w:bookmarkStart w:id="289" w:name="OLE_LINK2346"/>
      <w:bookmarkStart w:id="290" w:name="OLE_LINK2389"/>
      <w:bookmarkStart w:id="291" w:name="OLE_LINK2550"/>
      <w:bookmarkStart w:id="292" w:name="OLE_LINK2551"/>
      <w:bookmarkStart w:id="293" w:name="OLE_LINK2394"/>
      <w:bookmarkStart w:id="294" w:name="OLE_LINK2860"/>
      <w:bookmarkStart w:id="295" w:name="OLE_LINK2644"/>
      <w:bookmarkStart w:id="296" w:name="OLE_LINK2879"/>
      <w:bookmarkStart w:id="297" w:name="OLE_LINK2880"/>
      <w:bookmarkStart w:id="298" w:name="OLE_LINK2966"/>
      <w:bookmarkStart w:id="299" w:name="OLE_LINK2967"/>
      <w:bookmarkStart w:id="300" w:name="OLE_LINK2589"/>
      <w:bookmarkStart w:id="301" w:name="OLE_LINK2590"/>
      <w:bookmarkStart w:id="302" w:name="OLE_LINK206"/>
      <w:bookmarkStart w:id="303" w:name="OLE_LINK449"/>
      <w:bookmarkStart w:id="304" w:name="OLE_LINK450"/>
      <w:bookmarkStart w:id="305" w:name="OLE_LINK456"/>
      <w:bookmarkStart w:id="306" w:name="OLE_LINK705"/>
      <w:bookmarkStart w:id="307" w:name="OLE_LINK522"/>
      <w:bookmarkStart w:id="308" w:name="OLE_LINK621"/>
      <w:bookmarkStart w:id="309" w:name="OLE_LINK1242"/>
      <w:bookmarkStart w:id="310" w:name="OLE_LINK1102"/>
      <w:bookmarkStart w:id="311" w:name="OLE_LINK1103"/>
      <w:bookmarkStart w:id="312" w:name="OLE_LINK1546"/>
      <w:bookmarkStart w:id="313" w:name="OLE_LINK2014"/>
      <w:bookmarkStart w:id="314" w:name="OLE_LINK2015"/>
      <w:bookmarkStart w:id="315" w:name="OLE_LINK2138"/>
      <w:bookmarkStart w:id="316" w:name="OLE_LINK2139"/>
      <w:bookmarkStart w:id="317" w:name="OLE_LINK2202"/>
      <w:bookmarkStart w:id="318" w:name="OLE_LINK2203"/>
      <w:bookmarkStart w:id="319" w:name="OLE_LINK2205"/>
      <w:bookmarkStart w:id="320" w:name="OLE_LINK2206"/>
      <w:bookmarkStart w:id="321" w:name="OLE_LINK2485"/>
      <w:bookmarkStart w:id="322" w:name="OLE_LINK2398"/>
      <w:bookmarkEnd w:id="215"/>
      <w:bookmarkEnd w:id="216"/>
      <w:bookmarkEnd w:id="217"/>
      <w:bookmarkEnd w:id="218"/>
      <w:bookmarkEnd w:id="219"/>
      <w:r w:rsidRPr="002B374F">
        <w:rPr>
          <w:rFonts w:ascii="Book Antiqua" w:hAnsi="Book Antiqua"/>
          <w:b/>
          <w:bCs/>
          <w:sz w:val="24"/>
          <w:szCs w:val="24"/>
        </w:rPr>
        <w:t>Available from:</w:t>
      </w:r>
      <w:r w:rsidRPr="002B374F">
        <w:rPr>
          <w:rFonts w:ascii="Book Antiqua" w:hAnsi="Book Antiqua"/>
          <w:sz w:val="24"/>
          <w:szCs w:val="24"/>
        </w:rPr>
        <w:t xml:space="preserve"> </w:t>
      </w:r>
      <w:bookmarkEnd w:id="251"/>
      <w:bookmarkEnd w:id="252"/>
      <w:r w:rsidRPr="002B374F">
        <w:rPr>
          <w:rFonts w:ascii="Book Antiqua" w:hAnsi="Book Antiqua"/>
          <w:color w:val="000000"/>
          <w:sz w:val="24"/>
          <w:szCs w:val="24"/>
        </w:rPr>
        <w:t>URL:</w:t>
      </w:r>
      <w:bookmarkEnd w:id="253"/>
      <w:bookmarkEnd w:id="254"/>
      <w:bookmarkEnd w:id="255"/>
      <w:bookmarkEnd w:id="256"/>
      <w:bookmarkEnd w:id="257"/>
      <w:bookmarkEnd w:id="258"/>
      <w:bookmarkEnd w:id="259"/>
      <w:bookmarkEnd w:id="260"/>
      <w:r w:rsidRPr="002B374F">
        <w:rPr>
          <w:rFonts w:ascii="Book Antiqua" w:hAnsi="Book Antiqua"/>
          <w:color w:val="000000"/>
          <w:sz w:val="24"/>
          <w:szCs w:val="24"/>
        </w:rPr>
        <w:t xml:space="preserve"> </w:t>
      </w:r>
      <w:bookmarkEnd w:id="261"/>
      <w:bookmarkEnd w:id="262"/>
      <w:bookmarkEnd w:id="263"/>
      <w:r w:rsidRPr="002B374F">
        <w:rPr>
          <w:rFonts w:ascii="Book Antiqua" w:hAnsi="Book Antiqua"/>
          <w:color w:val="000000"/>
          <w:sz w:val="24"/>
          <w:szCs w:val="24"/>
        </w:rPr>
        <w:t>http://</w:t>
      </w:r>
      <w:bookmarkEnd w:id="264"/>
      <w:bookmarkEnd w:id="265"/>
      <w:r w:rsidRPr="002B374F">
        <w:rPr>
          <w:rFonts w:ascii="Book Antiqua" w:hAnsi="Book Antiqua"/>
          <w:color w:val="000000"/>
          <w:sz w:val="24"/>
          <w:szCs w:val="24"/>
        </w:rPr>
        <w:t xml:space="preserve">www.wjgnet.com/esps/  </w:t>
      </w:r>
    </w:p>
    <w:p w:rsidR="005132E0" w:rsidRDefault="005132E0" w:rsidP="00B84CF8">
      <w:pPr>
        <w:autoSpaceDE w:val="0"/>
        <w:autoSpaceDN w:val="0"/>
        <w:adjustRightInd w:val="0"/>
        <w:spacing w:line="360" w:lineRule="auto"/>
        <w:rPr>
          <w:rFonts w:ascii="Book Antiqua" w:hAnsi="Book Antiqua"/>
          <w:bCs/>
          <w:sz w:val="24"/>
        </w:rPr>
      </w:pPr>
      <w:bookmarkStart w:id="323" w:name="OLE_LINK399"/>
      <w:bookmarkStart w:id="324" w:name="OLE_LINK400"/>
      <w:bookmarkStart w:id="325" w:name="OLE_LINK494"/>
      <w:bookmarkStart w:id="326" w:name="OLE_LINK495"/>
      <w:bookmarkStart w:id="327" w:name="OLE_LINK607"/>
      <w:bookmarkStart w:id="328" w:name="OLE_LINK608"/>
      <w:bookmarkStart w:id="329" w:name="OLE_LINK609"/>
      <w:bookmarkStart w:id="330" w:name="OLE_LINK727"/>
      <w:bookmarkStart w:id="331" w:name="OLE_LINK853"/>
      <w:bookmarkStart w:id="332" w:name="OLE_LINK585"/>
      <w:bookmarkStart w:id="333" w:name="OLE_LINK689"/>
      <w:bookmarkStart w:id="334" w:name="OLE_LINK539"/>
      <w:bookmarkEnd w:id="220"/>
      <w:bookmarkEnd w:id="221"/>
      <w:bookmarkEnd w:id="222"/>
      <w:bookmarkEnd w:id="266"/>
      <w:bookmarkEnd w:id="267"/>
      <w:bookmarkEnd w:id="268"/>
      <w:bookmarkEnd w:id="269"/>
      <w:bookmarkEnd w:id="270"/>
      <w:bookmarkEnd w:id="271"/>
      <w:r w:rsidRPr="002B374F">
        <w:rPr>
          <w:rFonts w:ascii="Book Antiqua" w:hAnsi="Book Antiqua"/>
          <w:b/>
          <w:bCs/>
          <w:sz w:val="24"/>
        </w:rPr>
        <w:lastRenderedPageBreak/>
        <w:t xml:space="preserve">DOI: </w:t>
      </w:r>
      <w:r w:rsidRPr="00F67C18">
        <w:rPr>
          <w:rFonts w:ascii="Book Antiqua" w:hAnsi="Book Antiqua"/>
          <w:bCs/>
          <w:sz w:val="24"/>
        </w:rPr>
        <w:t>http://dx.doi.org/10.3748/wjg.v20.i0.0000</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rsidR="005132E0" w:rsidRPr="002B374F" w:rsidRDefault="005132E0" w:rsidP="00B84CF8">
      <w:pPr>
        <w:autoSpaceDE w:val="0"/>
        <w:autoSpaceDN w:val="0"/>
        <w:adjustRightInd w:val="0"/>
        <w:spacing w:line="360" w:lineRule="auto"/>
        <w:rPr>
          <w:rFonts w:ascii="Book Antiqua" w:hAnsi="Book Antiqua"/>
          <w:kern w:val="0"/>
          <w:sz w:val="24"/>
        </w:rPr>
      </w:pPr>
    </w:p>
    <w:p w:rsidR="005132E0" w:rsidRPr="002B374F" w:rsidRDefault="005132E0" w:rsidP="009D615E">
      <w:pPr>
        <w:autoSpaceDE w:val="0"/>
        <w:autoSpaceDN w:val="0"/>
        <w:adjustRightInd w:val="0"/>
        <w:spacing w:line="360" w:lineRule="auto"/>
        <w:rPr>
          <w:rFonts w:ascii="Book Antiqua" w:hAnsi="Book Antiqua"/>
          <w:b/>
          <w:bCs/>
          <w:caps/>
          <w:kern w:val="0"/>
          <w:sz w:val="24"/>
        </w:rPr>
      </w:pPr>
      <w:r w:rsidRPr="002B374F">
        <w:rPr>
          <w:rFonts w:ascii="Book Antiqua" w:hAnsi="Book Antiqua"/>
          <w:b/>
          <w:bCs/>
          <w:caps/>
          <w:kern w:val="0"/>
          <w:sz w:val="24"/>
        </w:rPr>
        <w:t>Introduction</w:t>
      </w:r>
    </w:p>
    <w:p w:rsidR="005132E0" w:rsidRPr="002B374F" w:rsidRDefault="005132E0" w:rsidP="009D615E">
      <w:pPr>
        <w:autoSpaceDE w:val="0"/>
        <w:autoSpaceDN w:val="0"/>
        <w:adjustRightInd w:val="0"/>
        <w:spacing w:line="360" w:lineRule="auto"/>
        <w:rPr>
          <w:rFonts w:ascii="Book Antiqua" w:hAnsi="Book Antiqua"/>
          <w:color w:val="000000"/>
          <w:kern w:val="0"/>
          <w:sz w:val="24"/>
        </w:rPr>
      </w:pPr>
      <w:r w:rsidRPr="002B374F">
        <w:rPr>
          <w:rFonts w:ascii="Book Antiqua" w:hAnsi="Book Antiqua"/>
          <w:color w:val="000000"/>
          <w:kern w:val="0"/>
          <w:sz w:val="24"/>
        </w:rPr>
        <w:t>Caudal-related homeobox transcription factor 2 (CDX2) is a member of the cadual type homeobox gene family. The encoded protein is a major regulator of intestine-specific genes and is involved in cell growth and differentiation, but also has several other functions, including early embryonic development of the intestinal tract, and intestinal inflammation and tumorigenesis</w:t>
      </w:r>
      <w:r w:rsidRPr="002B374F">
        <w:rPr>
          <w:rFonts w:ascii="Book Antiqua" w:hAnsi="Book Antiqua"/>
          <w:color w:val="000000"/>
          <w:kern w:val="0"/>
          <w:sz w:val="24"/>
          <w:vertAlign w:val="superscript"/>
        </w:rPr>
        <w:t>[1-3]</w:t>
      </w:r>
      <w:r w:rsidRPr="002B374F">
        <w:rPr>
          <w:rFonts w:ascii="Book Antiqua" w:hAnsi="Book Antiqua"/>
          <w:color w:val="000000"/>
          <w:kern w:val="0"/>
          <w:sz w:val="24"/>
        </w:rPr>
        <w:t xml:space="preserve">. We showed that multidrug resistance was reversed in gastric cancer SGC7901/DDP cells </w:t>
      </w:r>
      <w:r w:rsidRPr="002B374F">
        <w:rPr>
          <w:rFonts w:ascii="Book Antiqua" w:hAnsi="Book Antiqua"/>
          <w:i/>
          <w:color w:val="000000"/>
          <w:kern w:val="0"/>
          <w:sz w:val="24"/>
        </w:rPr>
        <w:t>in vitro</w:t>
      </w:r>
      <w:r w:rsidRPr="002B374F">
        <w:rPr>
          <w:rFonts w:ascii="Book Antiqua" w:hAnsi="Book Antiqua"/>
          <w:color w:val="000000"/>
          <w:kern w:val="0"/>
          <w:sz w:val="24"/>
        </w:rPr>
        <w:t xml:space="preserve"> and </w:t>
      </w:r>
      <w:r w:rsidRPr="002B374F">
        <w:rPr>
          <w:rFonts w:ascii="Book Antiqua" w:hAnsi="Book Antiqua"/>
          <w:i/>
          <w:color w:val="000000"/>
          <w:kern w:val="0"/>
          <w:sz w:val="24"/>
        </w:rPr>
        <w:t>in vivo</w:t>
      </w:r>
      <w:r w:rsidRPr="002B374F">
        <w:rPr>
          <w:rFonts w:ascii="Book Antiqua" w:hAnsi="Book Antiqua"/>
          <w:color w:val="000000"/>
          <w:kern w:val="0"/>
          <w:sz w:val="24"/>
        </w:rPr>
        <w:t xml:space="preserve"> by CDX2 downregulation</w:t>
      </w:r>
      <w:r w:rsidRPr="002B374F">
        <w:rPr>
          <w:rFonts w:ascii="Book Antiqua" w:hAnsi="Book Antiqua"/>
          <w:color w:val="000000"/>
          <w:kern w:val="0"/>
          <w:sz w:val="24"/>
          <w:vertAlign w:val="superscript"/>
        </w:rPr>
        <w:t>[4]</w:t>
      </w:r>
      <w:r w:rsidRPr="002B374F">
        <w:rPr>
          <w:rFonts w:ascii="Book Antiqua" w:hAnsi="Book Antiqua"/>
          <w:color w:val="000000"/>
          <w:kern w:val="0"/>
          <w:sz w:val="24"/>
        </w:rPr>
        <w:t>. Overexpression of CDX2 in HT-29 cells revealed increased resistance to the known substrates of multidrug resistance protein (MDR1), vincristine and paclitaxel, which was reversed by MDR1 inhibitor verapamil</w:t>
      </w:r>
      <w:r w:rsidRPr="002B374F">
        <w:rPr>
          <w:rFonts w:ascii="Book Antiqua" w:hAnsi="Book Antiqua"/>
          <w:color w:val="000000"/>
          <w:kern w:val="0"/>
          <w:sz w:val="24"/>
          <w:vertAlign w:val="superscript"/>
        </w:rPr>
        <w:t>[5]</w:t>
      </w:r>
      <w:r w:rsidRPr="002B374F">
        <w:rPr>
          <w:rFonts w:ascii="Book Antiqua" w:hAnsi="Book Antiqua"/>
          <w:color w:val="000000"/>
          <w:kern w:val="0"/>
          <w:sz w:val="24"/>
        </w:rPr>
        <w:t>, thereby supporting cell growth. However, high expression of CDX2 significantly reduces tumorigenicity in BGC-823 cells</w:t>
      </w:r>
      <w:r w:rsidRPr="002B374F">
        <w:rPr>
          <w:rFonts w:ascii="Book Antiqua" w:hAnsi="Book Antiqua"/>
          <w:color w:val="000000"/>
          <w:kern w:val="0"/>
          <w:sz w:val="24"/>
          <w:vertAlign w:val="superscript"/>
        </w:rPr>
        <w:t>[6]</w:t>
      </w:r>
      <w:r w:rsidRPr="002B374F">
        <w:rPr>
          <w:rFonts w:ascii="Book Antiqua" w:hAnsi="Book Antiqua"/>
          <w:color w:val="000000"/>
          <w:kern w:val="0"/>
          <w:sz w:val="24"/>
        </w:rPr>
        <w:t xml:space="preserve">, and CDX2 may play a growth-suppressive or proapoptotic role in gastric cancer cells. These findings suggest that a unique feature of </w:t>
      </w:r>
      <w:r w:rsidRPr="002B374F">
        <w:rPr>
          <w:rFonts w:ascii="Book Antiqua" w:hAnsi="Book Antiqua"/>
          <w:i/>
          <w:color w:val="000000"/>
          <w:kern w:val="0"/>
          <w:sz w:val="24"/>
        </w:rPr>
        <w:t>CDX2</w:t>
      </w:r>
      <w:r w:rsidRPr="002B374F">
        <w:rPr>
          <w:rFonts w:ascii="Book Antiqua" w:hAnsi="Book Antiqua"/>
          <w:color w:val="000000"/>
          <w:kern w:val="0"/>
          <w:sz w:val="24"/>
        </w:rPr>
        <w:t xml:space="preserve"> gene is that it plays opposing functions with regard to the regulation of cell growth and death in gastric cancer. However, the molecular networks connecting CDX2 to its function and regulation in gastric cancer remain largely unknown. </w:t>
      </w:r>
    </w:p>
    <w:p w:rsidR="005132E0" w:rsidRPr="002B374F" w:rsidRDefault="005132E0" w:rsidP="009D615E">
      <w:pPr>
        <w:autoSpaceDE w:val="0"/>
        <w:autoSpaceDN w:val="0"/>
        <w:adjustRightInd w:val="0"/>
        <w:spacing w:line="360" w:lineRule="auto"/>
        <w:rPr>
          <w:rFonts w:ascii="Book Antiqua" w:hAnsi="Book Antiqua"/>
          <w:color w:val="000000"/>
          <w:kern w:val="0"/>
          <w:sz w:val="24"/>
        </w:rPr>
      </w:pPr>
    </w:p>
    <w:p w:rsidR="005132E0" w:rsidRPr="002B374F" w:rsidRDefault="005132E0" w:rsidP="009D615E">
      <w:pPr>
        <w:autoSpaceDE w:val="0"/>
        <w:autoSpaceDN w:val="0"/>
        <w:adjustRightInd w:val="0"/>
        <w:spacing w:line="360" w:lineRule="auto"/>
        <w:rPr>
          <w:rFonts w:ascii="Book Antiqua" w:hAnsi="Book Antiqua"/>
          <w:b/>
          <w:bCs/>
          <w:caps/>
          <w:color w:val="000000"/>
          <w:kern w:val="0"/>
          <w:sz w:val="24"/>
        </w:rPr>
      </w:pPr>
      <w:r w:rsidRPr="002B374F">
        <w:rPr>
          <w:rFonts w:ascii="Book Antiqua" w:hAnsi="Book Antiqua"/>
          <w:b/>
          <w:bCs/>
          <w:caps/>
          <w:color w:val="000000"/>
          <w:kern w:val="0"/>
          <w:sz w:val="24"/>
        </w:rPr>
        <w:t>Identification of CDX2</w:t>
      </w:r>
    </w:p>
    <w:p w:rsidR="005132E0" w:rsidRPr="002B374F" w:rsidRDefault="005132E0" w:rsidP="009D615E">
      <w:pPr>
        <w:autoSpaceDE w:val="0"/>
        <w:autoSpaceDN w:val="0"/>
        <w:adjustRightInd w:val="0"/>
        <w:spacing w:line="360" w:lineRule="auto"/>
        <w:rPr>
          <w:rFonts w:ascii="Book Antiqua" w:hAnsi="Book Antiqua"/>
          <w:color w:val="000000"/>
          <w:kern w:val="0"/>
          <w:sz w:val="24"/>
        </w:rPr>
      </w:pPr>
      <w:r w:rsidRPr="002B374F">
        <w:rPr>
          <w:rFonts w:ascii="Book Antiqua" w:hAnsi="Book Antiqua"/>
          <w:color w:val="000000"/>
          <w:kern w:val="0"/>
          <w:sz w:val="24"/>
        </w:rPr>
        <w:t>Several studies have demonstrated that CDX2 is largely present in intestinal homeostasis and inflammation</w:t>
      </w:r>
      <w:r w:rsidRPr="002B374F">
        <w:rPr>
          <w:rFonts w:ascii="Book Antiqua" w:hAnsi="Book Antiqua"/>
          <w:color w:val="000000"/>
          <w:kern w:val="0"/>
          <w:sz w:val="24"/>
          <w:vertAlign w:val="superscript"/>
        </w:rPr>
        <w:t xml:space="preserve">[7,8] </w:t>
      </w:r>
      <w:r w:rsidRPr="002B374F">
        <w:rPr>
          <w:rFonts w:ascii="Book Antiqua" w:hAnsi="Book Antiqua"/>
          <w:color w:val="000000"/>
          <w:kern w:val="0"/>
          <w:sz w:val="24"/>
        </w:rPr>
        <w:t xml:space="preserve">. The first description of the caudal homeobox gene was in </w:t>
      </w:r>
      <w:r w:rsidRPr="002B374F">
        <w:rPr>
          <w:rFonts w:ascii="Book Antiqua" w:hAnsi="Book Antiqua"/>
          <w:i/>
          <w:color w:val="000000"/>
          <w:kern w:val="0"/>
          <w:sz w:val="24"/>
        </w:rPr>
        <w:t>Drosophila</w:t>
      </w:r>
      <w:r w:rsidRPr="002B374F">
        <w:rPr>
          <w:rFonts w:ascii="Book Antiqua" w:hAnsi="Book Antiqua"/>
          <w:color w:val="000000"/>
          <w:kern w:val="0"/>
          <w:sz w:val="24"/>
        </w:rPr>
        <w:t xml:space="preserve"> by Mlodzik </w:t>
      </w:r>
      <w:r w:rsidRPr="002B374F">
        <w:rPr>
          <w:rFonts w:ascii="Book Antiqua" w:hAnsi="Book Antiqua"/>
          <w:i/>
          <w:color w:val="000000"/>
          <w:kern w:val="0"/>
          <w:sz w:val="24"/>
        </w:rPr>
        <w:t>et al</w:t>
      </w:r>
      <w:r w:rsidRPr="002B374F">
        <w:rPr>
          <w:rFonts w:ascii="Book Antiqua" w:hAnsi="Book Antiqua"/>
          <w:color w:val="000000"/>
          <w:kern w:val="0"/>
          <w:sz w:val="24"/>
          <w:vertAlign w:val="superscript"/>
        </w:rPr>
        <w:t>[9]</w:t>
      </w:r>
      <w:r w:rsidRPr="002B374F">
        <w:rPr>
          <w:rFonts w:ascii="Book Antiqua" w:hAnsi="Book Antiqua"/>
          <w:color w:val="000000"/>
          <w:kern w:val="0"/>
          <w:sz w:val="24"/>
        </w:rPr>
        <w:t>. Six years later, James and Kazenwadel</w:t>
      </w:r>
      <w:r w:rsidRPr="002B374F">
        <w:rPr>
          <w:rFonts w:ascii="Book Antiqua" w:hAnsi="Book Antiqua"/>
          <w:color w:val="000000"/>
          <w:kern w:val="0"/>
          <w:sz w:val="24"/>
          <w:vertAlign w:val="superscript"/>
        </w:rPr>
        <w:t>[10]</w:t>
      </w:r>
      <w:r w:rsidRPr="002B374F">
        <w:rPr>
          <w:rFonts w:ascii="Book Antiqua" w:hAnsi="Book Antiqua"/>
          <w:color w:val="000000"/>
          <w:kern w:val="0"/>
          <w:sz w:val="24"/>
        </w:rPr>
        <w:t xml:space="preserve"> reported CDX2 gene expression in the intestinal epithelium of adult mice. They found that all nine homeobox genes were expressed in different regions of the intestine, with a unique expression profile for each gene, and CDX2 was present in a single copy in the mouse genome. Suh and Traber</w:t>
      </w:r>
      <w:r w:rsidRPr="002B374F">
        <w:rPr>
          <w:rFonts w:ascii="Book Antiqua" w:hAnsi="Book Antiqua"/>
          <w:color w:val="000000"/>
          <w:kern w:val="0"/>
          <w:sz w:val="24"/>
          <w:vertAlign w:val="superscript"/>
        </w:rPr>
        <w:t xml:space="preserve">[11] </w:t>
      </w:r>
      <w:r w:rsidRPr="002B374F">
        <w:rPr>
          <w:rFonts w:ascii="Book Antiqua" w:hAnsi="Book Antiqua"/>
          <w:color w:val="000000"/>
          <w:kern w:val="0"/>
          <w:sz w:val="24"/>
        </w:rPr>
        <w:t xml:space="preserve">further showed that the intestine-specific homeobox gene, CDX2, was a </w:t>
      </w:r>
      <w:r w:rsidRPr="002B374F">
        <w:rPr>
          <w:rFonts w:ascii="Book Antiqua" w:hAnsi="Book Antiqua"/>
          <w:color w:val="000000"/>
          <w:kern w:val="0"/>
          <w:sz w:val="24"/>
        </w:rPr>
        <w:lastRenderedPageBreak/>
        <w:t xml:space="preserve">transcription factor that regulated both proliferation and differentiation in intestinal epithelial cells. Rao </w:t>
      </w:r>
      <w:r w:rsidRPr="002B374F">
        <w:rPr>
          <w:rFonts w:ascii="Book Antiqua" w:hAnsi="Book Antiqua"/>
          <w:i/>
          <w:color w:val="000000"/>
          <w:kern w:val="0"/>
          <w:sz w:val="24"/>
        </w:rPr>
        <w:t>et al</w:t>
      </w:r>
      <w:r w:rsidRPr="002B374F">
        <w:rPr>
          <w:rFonts w:ascii="Book Antiqua" w:hAnsi="Book Antiqua"/>
          <w:color w:val="000000"/>
          <w:kern w:val="0"/>
          <w:sz w:val="24"/>
          <w:vertAlign w:val="superscript"/>
        </w:rPr>
        <w:t>[12]</w:t>
      </w:r>
      <w:r w:rsidRPr="002B374F">
        <w:rPr>
          <w:rFonts w:ascii="Book Antiqua" w:hAnsi="Book Antiqua"/>
          <w:color w:val="000000"/>
          <w:kern w:val="0"/>
          <w:sz w:val="24"/>
        </w:rPr>
        <w:t xml:space="preserve"> showed that overexpression of CDX</w:t>
      </w:r>
      <w:smartTag w:uri="urn:schemas-microsoft-com:office:smarttags" w:element="chmetcnv">
        <w:smartTagPr>
          <w:attr w:name="TCSC" w:val="0"/>
          <w:attr w:name="NumberType" w:val="1"/>
          <w:attr w:name="Negative" w:val="False"/>
          <w:attr w:name="HasSpace" w:val="True"/>
          <w:attr w:name="SourceValue" w:val="2"/>
          <w:attr w:name="UnitName" w:val="in"/>
        </w:smartTagPr>
        <w:r w:rsidRPr="002B374F">
          <w:rPr>
            <w:rFonts w:ascii="Book Antiqua" w:hAnsi="Book Antiqua"/>
            <w:color w:val="000000"/>
            <w:kern w:val="0"/>
            <w:sz w:val="24"/>
          </w:rPr>
          <w:t>2 in</w:t>
        </w:r>
      </w:smartTag>
      <w:r w:rsidRPr="002B374F">
        <w:rPr>
          <w:rFonts w:ascii="Book Antiqua" w:hAnsi="Book Antiqua"/>
          <w:color w:val="000000"/>
          <w:kern w:val="0"/>
          <w:sz w:val="24"/>
        </w:rPr>
        <w:t xml:space="preserve"> intestinal epithelial cells increased migration in wound healing, while a more recent work of Gross </w:t>
      </w:r>
      <w:r w:rsidRPr="002B374F">
        <w:rPr>
          <w:rFonts w:ascii="Book Antiqua" w:hAnsi="Book Antiqua"/>
          <w:i/>
          <w:color w:val="000000"/>
          <w:kern w:val="0"/>
          <w:sz w:val="24"/>
        </w:rPr>
        <w:t>et al</w:t>
      </w:r>
      <w:r w:rsidRPr="002B374F">
        <w:rPr>
          <w:rFonts w:ascii="Book Antiqua" w:hAnsi="Book Antiqua"/>
          <w:color w:val="000000"/>
          <w:kern w:val="0"/>
          <w:sz w:val="24"/>
          <w:vertAlign w:val="superscript"/>
        </w:rPr>
        <w:t xml:space="preserve">[13] </w:t>
      </w:r>
      <w:r w:rsidRPr="002B374F">
        <w:rPr>
          <w:rFonts w:ascii="Book Antiqua" w:hAnsi="Book Antiqua"/>
          <w:color w:val="000000"/>
          <w:kern w:val="0"/>
          <w:sz w:val="24"/>
        </w:rPr>
        <w:t xml:space="preserve">indicated that decreased CDX2 expression enhanced intestinal cell migration. A similar phenomenon also occurred in gastric cancer (GC). Silberg </w:t>
      </w:r>
      <w:r w:rsidRPr="002B374F">
        <w:rPr>
          <w:rFonts w:ascii="Book Antiqua" w:hAnsi="Book Antiqua"/>
          <w:i/>
          <w:color w:val="000000"/>
          <w:kern w:val="0"/>
          <w:sz w:val="24"/>
        </w:rPr>
        <w:t>et al</w:t>
      </w:r>
      <w:r w:rsidRPr="002B374F">
        <w:rPr>
          <w:rFonts w:ascii="Book Antiqua" w:hAnsi="Book Antiqua"/>
          <w:color w:val="000000"/>
          <w:kern w:val="0"/>
          <w:sz w:val="24"/>
          <w:vertAlign w:val="superscript"/>
        </w:rPr>
        <w:t xml:space="preserve">[14] </w:t>
      </w:r>
      <w:r w:rsidRPr="002B374F">
        <w:rPr>
          <w:rFonts w:ascii="Book Antiqua" w:hAnsi="Book Antiqua"/>
          <w:color w:val="000000"/>
          <w:kern w:val="0"/>
          <w:sz w:val="24"/>
        </w:rPr>
        <w:t>showed that ectopic expression of CDX2 induced gastric intestinal metaplasia in transgenic mice. Our recent research</w:t>
      </w:r>
      <w:r w:rsidRPr="002B374F">
        <w:rPr>
          <w:rFonts w:ascii="Book Antiqua" w:hAnsi="Book Antiqua"/>
          <w:color w:val="000000"/>
          <w:kern w:val="0"/>
          <w:sz w:val="24"/>
          <w:vertAlign w:val="superscript"/>
        </w:rPr>
        <w:t xml:space="preserve">[15] </w:t>
      </w:r>
      <w:r w:rsidRPr="002B374F">
        <w:rPr>
          <w:rFonts w:ascii="Book Antiqua" w:hAnsi="Book Antiqua"/>
          <w:color w:val="000000"/>
          <w:kern w:val="0"/>
          <w:sz w:val="24"/>
        </w:rPr>
        <w:t xml:space="preserve">found that overexpression of CDX2 inhibited cell growth and proliferation, blocked entry into the cell cycle S phase, reduced motility and invasion of MGC-803 cells, and increased the rate of apoptosis in GC cells </w:t>
      </w:r>
      <w:r w:rsidRPr="002B374F">
        <w:rPr>
          <w:rFonts w:ascii="Book Antiqua" w:hAnsi="Book Antiqua"/>
          <w:i/>
          <w:color w:val="000000"/>
          <w:kern w:val="0"/>
          <w:sz w:val="24"/>
        </w:rPr>
        <w:t>in vitro</w:t>
      </w:r>
      <w:r w:rsidRPr="002B374F">
        <w:rPr>
          <w:rFonts w:ascii="Book Antiqua" w:hAnsi="Book Antiqua"/>
          <w:color w:val="000000"/>
          <w:kern w:val="0"/>
          <w:sz w:val="24"/>
        </w:rPr>
        <w:t xml:space="preserve">. Moreover, Dang </w:t>
      </w:r>
      <w:r w:rsidRPr="002B374F">
        <w:rPr>
          <w:rFonts w:ascii="Book Antiqua" w:hAnsi="Book Antiqua"/>
          <w:i/>
          <w:color w:val="000000"/>
          <w:kern w:val="0"/>
          <w:sz w:val="24"/>
        </w:rPr>
        <w:t>et al</w:t>
      </w:r>
      <w:r w:rsidRPr="002B374F">
        <w:rPr>
          <w:rFonts w:ascii="Book Antiqua" w:hAnsi="Book Antiqua"/>
          <w:color w:val="000000"/>
          <w:kern w:val="0"/>
          <w:sz w:val="24"/>
          <w:vertAlign w:val="superscript"/>
        </w:rPr>
        <w:t xml:space="preserve">[16] </w:t>
      </w:r>
      <w:r w:rsidRPr="002B374F">
        <w:rPr>
          <w:rFonts w:ascii="Book Antiqua" w:hAnsi="Book Antiqua"/>
          <w:color w:val="000000"/>
          <w:kern w:val="0"/>
          <w:sz w:val="24"/>
        </w:rPr>
        <w:t>found that loss of CDX2 predominantly altered the expression of genes involved in intestinal glandular differentiation and adhesion, but disruption of CDX</w:t>
      </w:r>
      <w:smartTag w:uri="urn:schemas-microsoft-com:office:smarttags" w:element="chmetcnv">
        <w:smartTagPr>
          <w:attr w:name="TCSC" w:val="0"/>
          <w:attr w:name="NumberType" w:val="1"/>
          <w:attr w:name="Negative" w:val="False"/>
          <w:attr w:name="HasSpace" w:val="True"/>
          <w:attr w:name="SourceValue" w:val="2"/>
          <w:attr w:name="UnitName" w:val="in"/>
        </w:smartTagPr>
        <w:r w:rsidRPr="002B374F">
          <w:rPr>
            <w:rFonts w:ascii="Book Antiqua" w:hAnsi="Book Antiqua"/>
            <w:color w:val="000000"/>
            <w:kern w:val="0"/>
            <w:sz w:val="24"/>
          </w:rPr>
          <w:t>2 in</w:t>
        </w:r>
      </w:smartTag>
      <w:r w:rsidRPr="002B374F">
        <w:rPr>
          <w:rFonts w:ascii="Book Antiqua" w:hAnsi="Book Antiqua"/>
          <w:color w:val="000000"/>
          <w:kern w:val="0"/>
          <w:sz w:val="24"/>
        </w:rPr>
        <w:t xml:space="preserve"> MKN45 cells did not significantly affect their tumorigenic potential.</w:t>
      </w:r>
    </w:p>
    <w:p w:rsidR="005132E0" w:rsidRPr="002B374F" w:rsidRDefault="005132E0" w:rsidP="009D118D">
      <w:pPr>
        <w:autoSpaceDE w:val="0"/>
        <w:autoSpaceDN w:val="0"/>
        <w:adjustRightInd w:val="0"/>
        <w:spacing w:line="360" w:lineRule="auto"/>
        <w:ind w:firstLineChars="100" w:firstLine="240"/>
        <w:rPr>
          <w:rFonts w:ascii="Book Antiqua" w:hAnsi="Book Antiqua"/>
          <w:color w:val="000000"/>
          <w:kern w:val="0"/>
          <w:sz w:val="24"/>
        </w:rPr>
      </w:pPr>
      <w:r w:rsidRPr="002B374F">
        <w:rPr>
          <w:rFonts w:ascii="Book Antiqua" w:hAnsi="Book Antiqua"/>
          <w:color w:val="000000"/>
          <w:kern w:val="0"/>
          <w:sz w:val="24"/>
        </w:rPr>
        <w:t xml:space="preserve">CDX2 contains two conserved protein domains that play different roles. The Caudal-like protein activation region is thought to mediate transcription activation, which consists of the N termini of proteins belonging to the caudal-related homeobox protein family. The level of activation caused by mouse CDX2 is affected by phosphorylation at serine 60 </w:t>
      </w:r>
      <w:r w:rsidRPr="002B374F">
        <w:rPr>
          <w:rFonts w:ascii="Book Antiqua" w:hAnsi="Book Antiqua"/>
          <w:i/>
          <w:color w:val="000000"/>
          <w:kern w:val="0"/>
          <w:sz w:val="24"/>
        </w:rPr>
        <w:t>via</w:t>
      </w:r>
      <w:r w:rsidRPr="002B374F">
        <w:rPr>
          <w:rFonts w:ascii="Book Antiqua" w:hAnsi="Book Antiqua"/>
          <w:color w:val="000000"/>
          <w:kern w:val="0"/>
          <w:sz w:val="24"/>
        </w:rPr>
        <w:t xml:space="preserve"> the mitogen-activated protein kinase pathway</w:t>
      </w:r>
      <w:r w:rsidRPr="002B374F">
        <w:rPr>
          <w:rFonts w:ascii="Book Antiqua" w:hAnsi="Book Antiqua"/>
          <w:color w:val="000000"/>
          <w:kern w:val="0"/>
          <w:sz w:val="24"/>
          <w:vertAlign w:val="superscript"/>
        </w:rPr>
        <w:t>[17]</w:t>
      </w:r>
      <w:r w:rsidRPr="002B374F">
        <w:rPr>
          <w:rFonts w:ascii="Book Antiqua" w:hAnsi="Book Antiqua"/>
          <w:color w:val="000000"/>
          <w:kern w:val="0"/>
          <w:sz w:val="24"/>
        </w:rPr>
        <w:t xml:space="preserve">. In this region, </w:t>
      </w:r>
      <w:r w:rsidRPr="002B374F">
        <w:rPr>
          <w:rFonts w:ascii="Book Antiqua" w:hAnsi="Book Antiqua"/>
          <w:i/>
          <w:color w:val="000000"/>
          <w:kern w:val="0"/>
          <w:sz w:val="24"/>
        </w:rPr>
        <w:t>CDX2</w:t>
      </w:r>
      <w:r w:rsidRPr="002B374F">
        <w:rPr>
          <w:rFonts w:ascii="Book Antiqua" w:hAnsi="Book Antiqua"/>
          <w:color w:val="000000"/>
          <w:kern w:val="0"/>
          <w:sz w:val="24"/>
        </w:rPr>
        <w:t xml:space="preserve"> gene always has homeodomains that interact with the DNA-binding domain of DNA replication-related element binding factor, which is an 80-kDa polypeptide homodimer that plays an important role in regulating cell-proliferation-related genes</w:t>
      </w:r>
      <w:r w:rsidRPr="002B374F">
        <w:rPr>
          <w:rFonts w:ascii="Book Antiqua" w:hAnsi="Book Antiqua"/>
          <w:color w:val="000000"/>
          <w:kern w:val="0"/>
          <w:sz w:val="24"/>
          <w:vertAlign w:val="superscript"/>
        </w:rPr>
        <w:t>[18]</w:t>
      </w:r>
      <w:r w:rsidRPr="002B374F">
        <w:rPr>
          <w:rFonts w:ascii="Book Antiqua" w:hAnsi="Book Antiqua"/>
          <w:color w:val="000000"/>
          <w:kern w:val="0"/>
          <w:sz w:val="24"/>
        </w:rPr>
        <w:t>. Another conserved protein domain is the protein kinase and catalytic domain, which contains the catalytic domain of the serine/threonine kinase (STK), mitogen-activated protein kinase (MAPK)/</w:t>
      </w:r>
      <w:bookmarkStart w:id="335" w:name="OLE_LINK7"/>
      <w:bookmarkStart w:id="336" w:name="OLE_LINK8"/>
      <w:bookmarkStart w:id="337" w:name="OLE_LINK5"/>
      <w:bookmarkStart w:id="338" w:name="OLE_LINK6"/>
      <w:r w:rsidRPr="002B374F">
        <w:rPr>
          <w:rFonts w:ascii="Book Antiqua" w:hAnsi="Book Antiqua"/>
          <w:color w:val="000000"/>
          <w:kern w:val="0"/>
          <w:sz w:val="24"/>
        </w:rPr>
        <w:t>MAK</w:t>
      </w:r>
      <w:bookmarkEnd w:id="335"/>
      <w:bookmarkEnd w:id="336"/>
      <w:r w:rsidRPr="002B374F">
        <w:rPr>
          <w:rFonts w:ascii="Book Antiqua" w:hAnsi="Book Antiqua"/>
          <w:color w:val="000000"/>
          <w:kern w:val="0"/>
          <w:sz w:val="24"/>
        </w:rPr>
        <w:t>/MRK</w:t>
      </w:r>
      <w:bookmarkEnd w:id="337"/>
      <w:bookmarkEnd w:id="338"/>
      <w:r w:rsidRPr="002B374F">
        <w:rPr>
          <w:rFonts w:ascii="Book Antiqua" w:hAnsi="Book Antiqua"/>
          <w:color w:val="000000"/>
          <w:kern w:val="0"/>
          <w:sz w:val="24"/>
        </w:rPr>
        <w:t xml:space="preserve"> overlapping kinase. The protein kinase superfamily is mainly composed of the catalytic domains of serine/threonine-specific and tyrosine-specific protein kinases. It also includes the RIO kinases, which are atypical serine protein kinases, aminoglycoside phosphotransferases, and choline kinases</w:t>
      </w:r>
      <w:r w:rsidRPr="002B374F">
        <w:rPr>
          <w:rFonts w:ascii="Book Antiqua" w:hAnsi="Book Antiqua"/>
          <w:color w:val="000000"/>
          <w:kern w:val="0"/>
          <w:sz w:val="24"/>
          <w:vertAlign w:val="superscript"/>
        </w:rPr>
        <w:t>[19]</w:t>
      </w:r>
      <w:r w:rsidRPr="002B374F">
        <w:rPr>
          <w:rFonts w:ascii="Book Antiqua" w:hAnsi="Book Antiqua"/>
          <w:color w:val="000000"/>
          <w:kern w:val="0"/>
          <w:sz w:val="24"/>
        </w:rPr>
        <w:t xml:space="preserve">. When the catalytic domain of STKs </w:t>
      </w:r>
      <w:r w:rsidRPr="002B374F">
        <w:rPr>
          <w:rFonts w:ascii="Book Antiqua" w:hAnsi="Book Antiqua"/>
          <w:color w:val="000000"/>
          <w:kern w:val="0"/>
          <w:sz w:val="24"/>
        </w:rPr>
        <w:lastRenderedPageBreak/>
        <w:t>is activated, these proteins catalyze the transfer of the γ-phosphoryl group from ATP to hydroxyl groups in specific substrates such as serine, threonine, or tyrosine residues of proteins</w:t>
      </w:r>
      <w:r w:rsidRPr="002B374F">
        <w:rPr>
          <w:rFonts w:ascii="Book Antiqua" w:hAnsi="Book Antiqua"/>
          <w:color w:val="000000"/>
          <w:kern w:val="0"/>
          <w:sz w:val="24"/>
          <w:vertAlign w:val="superscript"/>
        </w:rPr>
        <w:t>[20]</w:t>
      </w:r>
      <w:r w:rsidRPr="002B374F">
        <w:rPr>
          <w:rFonts w:ascii="Book Antiqua" w:hAnsi="Book Antiqua"/>
          <w:color w:val="000000"/>
          <w:kern w:val="0"/>
          <w:sz w:val="24"/>
        </w:rPr>
        <w:t>.</w:t>
      </w:r>
      <w:r w:rsidRPr="002B374F">
        <w:rPr>
          <w:rFonts w:ascii="Book Antiqua" w:hAnsi="Book Antiqua"/>
          <w:color w:val="000000"/>
          <w:kern w:val="0"/>
          <w:sz w:val="24"/>
        </w:rPr>
        <w:tab/>
        <w:t xml:space="preserve"> Duncan </w:t>
      </w:r>
      <w:r w:rsidRPr="002B374F">
        <w:rPr>
          <w:rFonts w:ascii="Book Antiqua" w:hAnsi="Book Antiqua"/>
          <w:i/>
          <w:color w:val="000000"/>
          <w:kern w:val="0"/>
          <w:sz w:val="24"/>
        </w:rPr>
        <w:t>et al</w:t>
      </w:r>
      <w:r w:rsidRPr="002B374F">
        <w:rPr>
          <w:rFonts w:ascii="Book Antiqua" w:hAnsi="Book Antiqua"/>
          <w:color w:val="000000"/>
          <w:kern w:val="0"/>
          <w:sz w:val="24"/>
          <w:vertAlign w:val="superscript"/>
        </w:rPr>
        <w:t xml:space="preserve">[21] </w:t>
      </w:r>
      <w:r w:rsidRPr="002B374F">
        <w:rPr>
          <w:rFonts w:ascii="Book Antiqua" w:hAnsi="Book Antiqua"/>
          <w:color w:val="000000"/>
          <w:kern w:val="0"/>
          <w:sz w:val="24"/>
        </w:rPr>
        <w:t>have reported that protein kinase and caspase networks induce alterations in cell survival and frequently accompany transformation and tumorigenesis.</w:t>
      </w:r>
    </w:p>
    <w:p w:rsidR="005132E0" w:rsidRPr="002B374F" w:rsidRDefault="005132E0" w:rsidP="009D118D">
      <w:pPr>
        <w:autoSpaceDE w:val="0"/>
        <w:autoSpaceDN w:val="0"/>
        <w:adjustRightInd w:val="0"/>
        <w:spacing w:line="360" w:lineRule="auto"/>
        <w:ind w:firstLineChars="100" w:firstLine="240"/>
        <w:rPr>
          <w:rFonts w:ascii="Book Antiqua" w:hAnsi="Book Antiqua"/>
          <w:kern w:val="0"/>
          <w:sz w:val="24"/>
        </w:rPr>
      </w:pPr>
      <w:r w:rsidRPr="002B374F">
        <w:rPr>
          <w:rFonts w:ascii="Book Antiqua" w:hAnsi="Book Antiqua"/>
          <w:color w:val="000000"/>
          <w:kern w:val="0"/>
          <w:sz w:val="24"/>
        </w:rPr>
        <w:t xml:space="preserve">Subsequent studies have shown that CDX2 controls the transcription of cellular genes that are essential for gastric intestinal metaplasia. </w:t>
      </w:r>
      <w:r w:rsidRPr="002B374F">
        <w:rPr>
          <w:rFonts w:ascii="Book Antiqua" w:hAnsi="Book Antiqua"/>
          <w:color w:val="000000"/>
          <w:sz w:val="24"/>
        </w:rPr>
        <w:t xml:space="preserve">CDX2 </w:t>
      </w:r>
      <w:r w:rsidRPr="002B374F">
        <w:rPr>
          <w:rFonts w:ascii="Book Antiqua" w:hAnsi="Book Antiqua"/>
          <w:color w:val="000000"/>
          <w:kern w:val="0"/>
          <w:sz w:val="24"/>
        </w:rPr>
        <w:t>contains catalytic domain of MAPK, which is involved in various key cellular activities. And the MAPK signaling pathways have been implicated in the pathogenesis of cancer, which plays a key role in several steps of tumorigenesis including cancer cell proliferation, migration, and invasion</w:t>
      </w:r>
      <w:r w:rsidRPr="002B374F">
        <w:rPr>
          <w:rFonts w:ascii="Book Antiqua" w:hAnsi="Book Antiqua"/>
          <w:color w:val="000000"/>
          <w:kern w:val="0"/>
          <w:sz w:val="24"/>
          <w:vertAlign w:val="superscript"/>
        </w:rPr>
        <w:t>[22]</w:t>
      </w:r>
      <w:r w:rsidRPr="002B374F">
        <w:rPr>
          <w:rFonts w:ascii="Book Antiqua" w:hAnsi="Book Antiqua"/>
          <w:color w:val="000000"/>
          <w:kern w:val="0"/>
          <w:sz w:val="24"/>
        </w:rPr>
        <w:t>. Cell cycle progression is related to mutable transcription factors and cofactors. Several studies have shown that CDX2 is modified post-translationally, which seems to regulate its activity and</w:t>
      </w:r>
      <w:r w:rsidRPr="002B374F">
        <w:rPr>
          <w:rFonts w:ascii="Book Antiqua" w:hAnsi="Book Antiqua"/>
          <w:kern w:val="0"/>
          <w:sz w:val="24"/>
        </w:rPr>
        <w:t xml:space="preserve"> modulate its interactions with other transcription factors and cofactors</w:t>
      </w:r>
      <w:r w:rsidRPr="002B374F">
        <w:rPr>
          <w:rFonts w:ascii="Book Antiqua" w:hAnsi="Book Antiqua"/>
          <w:kern w:val="0"/>
          <w:sz w:val="24"/>
          <w:vertAlign w:val="superscript"/>
        </w:rPr>
        <w:t>[17,23]</w:t>
      </w:r>
      <w:r w:rsidRPr="002B374F">
        <w:rPr>
          <w:rFonts w:ascii="Book Antiqua" w:hAnsi="Book Antiqua"/>
          <w:kern w:val="0"/>
          <w:sz w:val="24"/>
        </w:rPr>
        <w:t xml:space="preserve">. </w:t>
      </w:r>
    </w:p>
    <w:p w:rsidR="005132E0" w:rsidRPr="002B374F" w:rsidRDefault="005132E0" w:rsidP="009D615E">
      <w:pPr>
        <w:autoSpaceDE w:val="0"/>
        <w:autoSpaceDN w:val="0"/>
        <w:adjustRightInd w:val="0"/>
        <w:spacing w:line="360" w:lineRule="auto"/>
        <w:rPr>
          <w:rFonts w:ascii="Book Antiqua" w:hAnsi="Book Antiqua"/>
          <w:kern w:val="0"/>
          <w:sz w:val="24"/>
        </w:rPr>
      </w:pPr>
    </w:p>
    <w:p w:rsidR="005132E0" w:rsidRPr="002B374F" w:rsidRDefault="005132E0" w:rsidP="009D615E">
      <w:pPr>
        <w:autoSpaceDE w:val="0"/>
        <w:autoSpaceDN w:val="0"/>
        <w:adjustRightInd w:val="0"/>
        <w:spacing w:line="360" w:lineRule="auto"/>
        <w:rPr>
          <w:rFonts w:ascii="Book Antiqua" w:hAnsi="Book Antiqua"/>
          <w:b/>
          <w:bCs/>
          <w:caps/>
          <w:kern w:val="0"/>
          <w:sz w:val="24"/>
        </w:rPr>
      </w:pPr>
      <w:r w:rsidRPr="002B374F">
        <w:rPr>
          <w:rFonts w:ascii="Book Antiqua" w:hAnsi="Book Antiqua"/>
          <w:b/>
          <w:bCs/>
          <w:caps/>
          <w:kern w:val="0"/>
          <w:sz w:val="24"/>
        </w:rPr>
        <w:t>role of CDX2 in gastric intestinal metaplasia</w:t>
      </w:r>
    </w:p>
    <w:p w:rsidR="005132E0" w:rsidRPr="002B374F" w:rsidRDefault="005132E0" w:rsidP="009D615E">
      <w:pPr>
        <w:autoSpaceDE w:val="0"/>
        <w:autoSpaceDN w:val="0"/>
        <w:adjustRightInd w:val="0"/>
        <w:spacing w:line="360" w:lineRule="auto"/>
        <w:rPr>
          <w:rFonts w:ascii="Book Antiqua" w:hAnsi="Book Antiqua"/>
          <w:kern w:val="0"/>
          <w:sz w:val="24"/>
        </w:rPr>
      </w:pPr>
      <w:r w:rsidRPr="002B374F">
        <w:rPr>
          <w:rFonts w:ascii="Book Antiqua" w:hAnsi="Book Antiqua"/>
          <w:kern w:val="0"/>
          <w:sz w:val="24"/>
        </w:rPr>
        <w:t>Gastric intestinal metaplasia is a multifocal regenerative lesion characterized by the presence of intestinal cell types, such as goblet, Paneth and absorptive cells, alone or in combination, within the gastric mucosa</w:t>
      </w:r>
      <w:r w:rsidRPr="002B374F">
        <w:rPr>
          <w:rFonts w:ascii="Book Antiqua" w:hAnsi="Book Antiqua"/>
          <w:kern w:val="0"/>
          <w:sz w:val="24"/>
          <w:vertAlign w:val="superscript"/>
        </w:rPr>
        <w:t>[24]</w:t>
      </w:r>
      <w:r w:rsidRPr="002B374F">
        <w:rPr>
          <w:rFonts w:ascii="Book Antiqua" w:hAnsi="Book Antiqua"/>
          <w:kern w:val="0"/>
          <w:sz w:val="24"/>
        </w:rPr>
        <w:t>. The ectopic intestinal glands are completely reorganized, with displacement of the proliferative zone from the neck region down to the base of the crypt, thus resembling the normal intestine, concomitant with alterations in the stromal sheath surrounding the metaplastic gland, which also acquires an intestinal phenotype</w:t>
      </w:r>
      <w:r w:rsidRPr="002B374F">
        <w:rPr>
          <w:rFonts w:ascii="Book Antiqua" w:hAnsi="Book Antiqua"/>
          <w:kern w:val="0"/>
          <w:sz w:val="24"/>
          <w:vertAlign w:val="superscript"/>
        </w:rPr>
        <w:t>[25]</w:t>
      </w:r>
      <w:r w:rsidRPr="002B374F">
        <w:rPr>
          <w:rFonts w:ascii="Book Antiqua" w:hAnsi="Book Antiqua"/>
          <w:kern w:val="0"/>
          <w:sz w:val="24"/>
        </w:rPr>
        <w:t>. Intestinal metaplasia is thus generally accepted as a preneoplastic lesion conferring increased risk for gastric cancer development</w:t>
      </w:r>
      <w:r w:rsidRPr="002B374F">
        <w:rPr>
          <w:rFonts w:ascii="Book Antiqua" w:hAnsi="Book Antiqua"/>
          <w:kern w:val="0"/>
          <w:sz w:val="24"/>
          <w:vertAlign w:val="superscript"/>
        </w:rPr>
        <w:t>[26]</w:t>
      </w:r>
      <w:r w:rsidRPr="002B374F">
        <w:rPr>
          <w:rFonts w:ascii="Book Antiqua" w:hAnsi="Book Antiqua"/>
          <w:kern w:val="0"/>
          <w:sz w:val="24"/>
        </w:rPr>
        <w:t>, and its cause</w:t>
      </w:r>
      <w:r w:rsidRPr="002B374F">
        <w:rPr>
          <w:rFonts w:ascii="Book Antiqua" w:hAnsi="Book Antiqua" w:cs="宋体"/>
          <w:kern w:val="0"/>
          <w:sz w:val="24"/>
        </w:rPr>
        <w:t>–</w:t>
      </w:r>
      <w:r w:rsidRPr="002B374F">
        <w:rPr>
          <w:rFonts w:ascii="Book Antiqua" w:hAnsi="Book Antiqua"/>
          <w:kern w:val="0"/>
          <w:sz w:val="24"/>
        </w:rPr>
        <w:t xml:space="preserve">effect relationship with </w:t>
      </w:r>
      <w:r w:rsidRPr="002B374F">
        <w:rPr>
          <w:rFonts w:ascii="Book Antiqua" w:hAnsi="Book Antiqua"/>
          <w:i/>
          <w:kern w:val="0"/>
          <w:sz w:val="24"/>
        </w:rPr>
        <w:t>Helicobacter pylori</w:t>
      </w:r>
      <w:r w:rsidRPr="002B374F">
        <w:rPr>
          <w:rFonts w:ascii="Book Antiqua" w:hAnsi="Book Antiqua"/>
          <w:kern w:val="0"/>
          <w:sz w:val="24"/>
        </w:rPr>
        <w:t xml:space="preserve"> (</w:t>
      </w:r>
      <w:r w:rsidRPr="002B374F">
        <w:rPr>
          <w:rFonts w:ascii="Book Antiqua" w:hAnsi="Book Antiqua"/>
          <w:i/>
          <w:kern w:val="0"/>
          <w:sz w:val="24"/>
        </w:rPr>
        <w:t>H. pylori</w:t>
      </w:r>
      <w:r w:rsidRPr="002B374F">
        <w:rPr>
          <w:rFonts w:ascii="Book Antiqua" w:hAnsi="Book Antiqua"/>
          <w:kern w:val="0"/>
          <w:sz w:val="24"/>
        </w:rPr>
        <w:t>) infection is indisputable. However, intestinal metaplasia arises in only approximately 30% of infected individuals, from which only around 7% will develop gastric cancer</w:t>
      </w:r>
      <w:r w:rsidRPr="002B374F">
        <w:rPr>
          <w:rFonts w:ascii="Book Antiqua" w:hAnsi="Book Antiqua"/>
          <w:kern w:val="0"/>
          <w:sz w:val="24"/>
          <w:vertAlign w:val="superscript"/>
        </w:rPr>
        <w:t>[27]</w:t>
      </w:r>
      <w:r w:rsidRPr="002B374F">
        <w:rPr>
          <w:rFonts w:ascii="Book Antiqua" w:hAnsi="Book Antiqua"/>
          <w:kern w:val="0"/>
          <w:sz w:val="24"/>
        </w:rPr>
        <w:t xml:space="preserve">. Although low, these percentages acquire particular importance in countries where the prevalence of infection </w:t>
      </w:r>
      <w:r w:rsidRPr="002B374F">
        <w:rPr>
          <w:rFonts w:ascii="Book Antiqua" w:hAnsi="Book Antiqua"/>
          <w:kern w:val="0"/>
          <w:sz w:val="24"/>
        </w:rPr>
        <w:lastRenderedPageBreak/>
        <w:t>remains high, such as Asia</w:t>
      </w:r>
      <w:r w:rsidRPr="002B374F">
        <w:rPr>
          <w:rFonts w:ascii="Book Antiqua" w:hAnsi="Book Antiqua"/>
          <w:kern w:val="0"/>
          <w:sz w:val="24"/>
          <w:vertAlign w:val="superscript"/>
        </w:rPr>
        <w:t>[28]</w:t>
      </w:r>
      <w:r w:rsidRPr="002B374F">
        <w:rPr>
          <w:rFonts w:ascii="Book Antiqua" w:hAnsi="Book Antiqua"/>
          <w:kern w:val="0"/>
          <w:sz w:val="24"/>
        </w:rPr>
        <w:t xml:space="preserve">, where approximately 75% of the population is infected. Over the past two decades, several animal models of developing intestinal metaplasia have been reported. The Mongolian gerbil model is the best for recreation of all gastric histological events following </w:t>
      </w:r>
      <w:r w:rsidRPr="002B374F">
        <w:rPr>
          <w:rFonts w:ascii="Book Antiqua" w:hAnsi="Book Antiqua"/>
          <w:i/>
          <w:kern w:val="0"/>
          <w:sz w:val="24"/>
        </w:rPr>
        <w:t>H. pylori</w:t>
      </w:r>
      <w:r w:rsidRPr="002B374F">
        <w:rPr>
          <w:rFonts w:ascii="Book Antiqua" w:hAnsi="Book Antiqua"/>
          <w:kern w:val="0"/>
          <w:sz w:val="24"/>
        </w:rPr>
        <w:t xml:space="preserve"> infection leading to intestinal metaplasia and ultimately gastric cancer, thus corroborating the causal role of infection in preneoplastic lesions and cancer development. Several studies show that after long-term infection these animals develop intestinal metaplastic lesions that resemble human disease</w:t>
      </w:r>
      <w:r w:rsidRPr="002B374F">
        <w:rPr>
          <w:rFonts w:ascii="Book Antiqua" w:hAnsi="Book Antiqua"/>
          <w:kern w:val="0"/>
          <w:sz w:val="24"/>
          <w:vertAlign w:val="superscript"/>
        </w:rPr>
        <w:t>[29,30]</w:t>
      </w:r>
      <w:r w:rsidRPr="002B374F">
        <w:rPr>
          <w:rFonts w:ascii="Book Antiqua" w:hAnsi="Book Antiqua"/>
          <w:kern w:val="0"/>
          <w:sz w:val="24"/>
        </w:rPr>
        <w:t>, which develop into gastric adenocarcinoma.</w:t>
      </w:r>
    </w:p>
    <w:p w:rsidR="005132E0" w:rsidRPr="002B374F" w:rsidRDefault="005132E0" w:rsidP="009D118D">
      <w:pPr>
        <w:autoSpaceDE w:val="0"/>
        <w:autoSpaceDN w:val="0"/>
        <w:adjustRightInd w:val="0"/>
        <w:spacing w:line="360" w:lineRule="auto"/>
        <w:ind w:firstLineChars="100" w:firstLine="240"/>
        <w:rPr>
          <w:rFonts w:ascii="Book Antiqua" w:hAnsi="Book Antiqua"/>
          <w:kern w:val="0"/>
          <w:sz w:val="24"/>
        </w:rPr>
      </w:pPr>
      <w:r w:rsidRPr="002B374F">
        <w:rPr>
          <w:rFonts w:ascii="Book Antiqua" w:hAnsi="Book Antiqua"/>
          <w:kern w:val="0"/>
          <w:sz w:val="24"/>
        </w:rPr>
        <w:t>Recently, the induction of an ectopic intestinal phenotype in the stomach has also been achieved in animal models by manipulating downstream events in the carcinogenic cascade. Two mouse cell lines have been developed to help understand the causal role of ectopic CDX2 expression in the stomach for development of extensive intestinal metaplasia</w:t>
      </w:r>
      <w:r w:rsidRPr="002B374F">
        <w:rPr>
          <w:rFonts w:ascii="Book Antiqua" w:hAnsi="Book Antiqua"/>
          <w:kern w:val="0"/>
          <w:sz w:val="24"/>
          <w:vertAlign w:val="superscript"/>
        </w:rPr>
        <w:t>[14]</w:t>
      </w:r>
      <w:r w:rsidRPr="002B374F">
        <w:rPr>
          <w:rFonts w:ascii="Book Antiqua" w:hAnsi="Book Antiqua"/>
          <w:kern w:val="0"/>
          <w:sz w:val="24"/>
        </w:rPr>
        <w:t>. In these models, CDX2 is under the control of promoters from different gastric-specific genes that are transcribed during embryonic development</w:t>
      </w:r>
      <w:r w:rsidRPr="002B374F">
        <w:rPr>
          <w:rFonts w:ascii="Book Antiqua" w:hAnsi="Book Antiqua"/>
          <w:kern w:val="0"/>
          <w:sz w:val="24"/>
          <w:vertAlign w:val="superscript"/>
        </w:rPr>
        <w:t>[14]</w:t>
      </w:r>
      <w:r w:rsidRPr="002B374F">
        <w:rPr>
          <w:rFonts w:ascii="Book Antiqua" w:hAnsi="Book Antiqua"/>
          <w:kern w:val="0"/>
          <w:sz w:val="24"/>
        </w:rPr>
        <w:t xml:space="preserve">. </w:t>
      </w:r>
      <w:r w:rsidRPr="002B374F">
        <w:rPr>
          <w:rFonts w:ascii="Book Antiqua" w:hAnsi="Book Antiqua"/>
          <w:sz w:val="24"/>
        </w:rPr>
        <w:t>The promoter such as H</w:t>
      </w:r>
      <w:r w:rsidRPr="002B374F">
        <w:rPr>
          <w:rFonts w:ascii="Book Antiqua" w:hAnsi="Book Antiqua"/>
          <w:sz w:val="24"/>
          <w:vertAlign w:val="superscript"/>
        </w:rPr>
        <w:t>+</w:t>
      </w:r>
      <w:r w:rsidRPr="002B374F">
        <w:rPr>
          <w:rFonts w:ascii="Book Antiqua" w:hAnsi="Book Antiqua"/>
          <w:sz w:val="24"/>
        </w:rPr>
        <w:t>/K</w:t>
      </w:r>
      <w:r w:rsidRPr="002B374F">
        <w:rPr>
          <w:rFonts w:ascii="Book Antiqua" w:hAnsi="Book Antiqua"/>
          <w:sz w:val="24"/>
          <w:vertAlign w:val="superscript"/>
        </w:rPr>
        <w:t>+</w:t>
      </w:r>
      <w:r w:rsidRPr="002B374F">
        <w:rPr>
          <w:rFonts w:ascii="Book Antiqua" w:hAnsi="Book Antiqua"/>
          <w:sz w:val="24"/>
        </w:rPr>
        <w:t>-ATPase b-subunit</w:t>
      </w:r>
      <w:r w:rsidRPr="002B374F">
        <w:rPr>
          <w:rFonts w:ascii="Book Antiqua" w:hAnsi="Book Antiqua"/>
          <w:sz w:val="24"/>
          <w:vertAlign w:val="superscript"/>
        </w:rPr>
        <w:t>[31]</w:t>
      </w:r>
      <w:r w:rsidRPr="002B374F">
        <w:rPr>
          <w:rFonts w:ascii="Book Antiqua" w:hAnsi="Book Antiqua"/>
          <w:sz w:val="24"/>
        </w:rPr>
        <w:t>, is only active postnatally.</w:t>
      </w:r>
      <w:r w:rsidRPr="002B374F">
        <w:rPr>
          <w:rFonts w:ascii="Book Antiqua" w:hAnsi="Book Antiqua"/>
          <w:kern w:val="0"/>
          <w:sz w:val="24"/>
        </w:rPr>
        <w:t xml:space="preserve"> Both models display extensive intestinal metaplasia, presenting all intestinal cell types except Paneth cells, as well as several intestine-specific gene products typical of the different lineages. These two models suggest two separate pathways for metaplastic development. Expression of CDX2 during fetal development may affect the undifferentiated endodermal cells of the foregut, normally devoid of this protein, and thus interfere with determination of cell fate, resulting in the induction of intestinal rather than gastric differentiation in a subset of these cells. Conversely, fresh expression of CDX2 in differentiated parietal cells suggests cellular transdifferentiation, with loss of gastric marker expression and gain of intestinal markers. </w:t>
      </w:r>
    </w:p>
    <w:p w:rsidR="005132E0" w:rsidRPr="002B374F" w:rsidRDefault="005132E0" w:rsidP="008F7C84">
      <w:pPr>
        <w:pStyle w:val="a5"/>
        <w:spacing w:line="360" w:lineRule="auto"/>
        <w:ind w:firstLineChars="100" w:firstLine="240"/>
        <w:rPr>
          <w:rFonts w:ascii="Book Antiqua" w:hAnsi="Book Antiqua"/>
          <w:sz w:val="24"/>
          <w:szCs w:val="24"/>
        </w:rPr>
      </w:pPr>
      <w:r w:rsidRPr="002B374F">
        <w:rPr>
          <w:rFonts w:ascii="Book Antiqua" w:hAnsi="Book Antiqua"/>
          <w:kern w:val="0"/>
          <w:sz w:val="24"/>
          <w:szCs w:val="24"/>
        </w:rPr>
        <w:t xml:space="preserve">Other mouse models have been shown or suggested to exhibit aberrant development of an intestinal phenotype in the stomach. The gastrin knockout </w:t>
      </w:r>
      <w:r w:rsidRPr="002B374F">
        <w:rPr>
          <w:rFonts w:ascii="Book Antiqua" w:hAnsi="Book Antiqua"/>
          <w:kern w:val="0"/>
          <w:sz w:val="24"/>
          <w:szCs w:val="24"/>
        </w:rPr>
        <w:lastRenderedPageBreak/>
        <w:t>mouse shows achlorhydria and develops intestinal metaplasia, with CDX2 expression, and gastric tumors</w:t>
      </w:r>
      <w:r w:rsidRPr="002B374F">
        <w:rPr>
          <w:rFonts w:ascii="Book Antiqua" w:hAnsi="Book Antiqua"/>
          <w:kern w:val="0"/>
          <w:sz w:val="24"/>
          <w:szCs w:val="24"/>
          <w:vertAlign w:val="superscript"/>
        </w:rPr>
        <w:t>[32,33]</w:t>
      </w:r>
      <w:r w:rsidRPr="002B374F">
        <w:rPr>
          <w:rFonts w:ascii="Book Antiqua" w:hAnsi="Book Antiqua"/>
          <w:kern w:val="0"/>
          <w:sz w:val="24"/>
          <w:szCs w:val="24"/>
        </w:rPr>
        <w:t xml:space="preserve">. Homozygous mutation of the </w:t>
      </w:r>
      <w:bookmarkStart w:id="339" w:name="OLE_LINK13"/>
      <w:bookmarkStart w:id="340" w:name="OLE_LINK14"/>
      <w:r w:rsidRPr="002B374F">
        <w:rPr>
          <w:rFonts w:ascii="Book Antiqua" w:hAnsi="Book Antiqua"/>
          <w:kern w:val="0"/>
          <w:sz w:val="24"/>
          <w:szCs w:val="24"/>
        </w:rPr>
        <w:t>SHP2</w:t>
      </w:r>
      <w:bookmarkEnd w:id="339"/>
      <w:bookmarkEnd w:id="340"/>
      <w:r w:rsidRPr="002B374F">
        <w:rPr>
          <w:rFonts w:ascii="Book Antiqua" w:hAnsi="Book Antiqua"/>
          <w:kern w:val="0"/>
          <w:sz w:val="24"/>
          <w:szCs w:val="24"/>
        </w:rPr>
        <w:t>-binding site within the interleukin (IL)-6 family receptor gp130 led to the development of two metaplastic lineages,</w:t>
      </w:r>
      <w:r w:rsidRPr="002B374F">
        <w:rPr>
          <w:rFonts w:ascii="Book Antiqua" w:hAnsi="Book Antiqua"/>
          <w:color w:val="000000"/>
          <w:kern w:val="0"/>
          <w:sz w:val="24"/>
          <w:szCs w:val="24"/>
        </w:rPr>
        <w:t xml:space="preserve"> </w:t>
      </w:r>
      <w:bookmarkStart w:id="341" w:name="OLE_LINK15"/>
      <w:bookmarkStart w:id="342" w:name="OLE_LINK16"/>
      <w:r w:rsidRPr="002B374F">
        <w:rPr>
          <w:rFonts w:ascii="Book Antiqua" w:hAnsi="Book Antiqua"/>
          <w:color w:val="000000"/>
          <w:sz w:val="24"/>
          <w:szCs w:val="24"/>
        </w:rPr>
        <w:t xml:space="preserve">spasmolytic polypeptide-expressing metaplasia (SPEM) </w:t>
      </w:r>
      <w:bookmarkEnd w:id="341"/>
      <w:bookmarkEnd w:id="342"/>
      <w:r w:rsidRPr="002B374F">
        <w:rPr>
          <w:rFonts w:ascii="Book Antiqua" w:hAnsi="Book Antiqua"/>
          <w:kern w:val="0"/>
          <w:sz w:val="24"/>
          <w:szCs w:val="24"/>
        </w:rPr>
        <w:t>and intestinal-like cells, as determined by the presence of acidic mucins and clear brush border morphology, but with no evidence of goblet cell differentiation</w:t>
      </w:r>
      <w:r w:rsidRPr="002B374F">
        <w:rPr>
          <w:rFonts w:ascii="Book Antiqua" w:hAnsi="Book Antiqua"/>
          <w:kern w:val="0"/>
          <w:sz w:val="24"/>
          <w:szCs w:val="24"/>
          <w:vertAlign w:val="superscript"/>
        </w:rPr>
        <w:t>[34]</w:t>
      </w:r>
      <w:r w:rsidRPr="002B374F">
        <w:rPr>
          <w:rFonts w:ascii="Book Antiqua" w:hAnsi="Book Antiqua"/>
          <w:kern w:val="0"/>
          <w:sz w:val="24"/>
          <w:szCs w:val="24"/>
        </w:rPr>
        <w:t>. Early stages of intestinal transformation of the fetal stomach are found in both Sonic Hedgehog homozygous null</w:t>
      </w:r>
      <w:r w:rsidRPr="002B374F">
        <w:rPr>
          <w:rFonts w:ascii="Book Antiqua" w:hAnsi="Book Antiqua"/>
          <w:kern w:val="0"/>
          <w:sz w:val="24"/>
          <w:szCs w:val="24"/>
          <w:vertAlign w:val="superscript"/>
        </w:rPr>
        <w:t xml:space="preserve">[35] </w:t>
      </w:r>
      <w:r w:rsidRPr="002B374F">
        <w:rPr>
          <w:rFonts w:ascii="Book Antiqua" w:hAnsi="Book Antiqua"/>
          <w:kern w:val="0"/>
          <w:sz w:val="24"/>
          <w:szCs w:val="24"/>
        </w:rPr>
        <w:t>and Gli3 null embryos, which lack this downstream effector of Hedgehog signaling</w:t>
      </w:r>
      <w:r w:rsidRPr="002B374F">
        <w:rPr>
          <w:rFonts w:ascii="Book Antiqua" w:hAnsi="Book Antiqua"/>
          <w:kern w:val="0"/>
          <w:sz w:val="24"/>
          <w:szCs w:val="24"/>
          <w:vertAlign w:val="superscript"/>
        </w:rPr>
        <w:t>[36]</w:t>
      </w:r>
      <w:r w:rsidRPr="002B374F">
        <w:rPr>
          <w:rFonts w:ascii="Book Antiqua" w:hAnsi="Book Antiqua"/>
          <w:kern w:val="0"/>
          <w:sz w:val="24"/>
          <w:szCs w:val="24"/>
        </w:rPr>
        <w:t>, as assessed by alkaline phosphatase activity. However, these changes do not have an overall impact on gastric differentiation. Finally, intestinal differentiation with associated goblet cells and expression of CDX2 appear in subcutaneously grafted gastric cells derived from Runx3</w:t>
      </w:r>
      <w:r w:rsidRPr="002B374F">
        <w:rPr>
          <w:rFonts w:ascii="Book Antiqua" w:hAnsi="Book Antiqua" w:cs="宋体"/>
          <w:kern w:val="0"/>
          <w:sz w:val="24"/>
          <w:szCs w:val="24"/>
          <w:vertAlign w:val="superscript"/>
        </w:rPr>
        <w:t>–</w:t>
      </w:r>
      <w:r w:rsidRPr="002B374F">
        <w:rPr>
          <w:rFonts w:ascii="Book Antiqua" w:hAnsi="Book Antiqua"/>
          <w:kern w:val="0"/>
          <w:sz w:val="24"/>
          <w:szCs w:val="24"/>
          <w:vertAlign w:val="superscript"/>
        </w:rPr>
        <w:t>/</w:t>
      </w:r>
      <w:r w:rsidRPr="002B374F">
        <w:rPr>
          <w:rFonts w:ascii="Book Antiqua" w:hAnsi="Book Antiqua" w:cs="宋体"/>
          <w:kern w:val="0"/>
          <w:sz w:val="24"/>
          <w:szCs w:val="24"/>
          <w:vertAlign w:val="superscript"/>
        </w:rPr>
        <w:t>–</w:t>
      </w:r>
      <w:r w:rsidRPr="002B374F">
        <w:rPr>
          <w:rFonts w:ascii="Book Antiqua" w:hAnsi="Book Antiqua"/>
          <w:kern w:val="0"/>
          <w:sz w:val="24"/>
          <w:szCs w:val="24"/>
        </w:rPr>
        <w:t xml:space="preserve"> mouse fetuses</w:t>
      </w:r>
      <w:r w:rsidRPr="002B374F">
        <w:rPr>
          <w:rFonts w:ascii="Book Antiqua" w:hAnsi="Book Antiqua"/>
          <w:kern w:val="0"/>
          <w:sz w:val="24"/>
          <w:szCs w:val="24"/>
          <w:vertAlign w:val="superscript"/>
        </w:rPr>
        <w:t>[37]</w:t>
      </w:r>
      <w:r w:rsidRPr="002B374F">
        <w:rPr>
          <w:rFonts w:ascii="Book Antiqua" w:hAnsi="Book Antiqua"/>
          <w:kern w:val="0"/>
          <w:sz w:val="24"/>
          <w:szCs w:val="24"/>
        </w:rPr>
        <w:t>. The same genotype in another mouse strain results in the loss of chief cells, SPEM, and an intestinal phenotype with CDX2 expression, without apparent inflammation and with increased malignant potential</w:t>
      </w:r>
      <w:r w:rsidRPr="002B374F">
        <w:rPr>
          <w:rFonts w:ascii="Book Antiqua" w:hAnsi="Book Antiqua"/>
          <w:kern w:val="0"/>
          <w:sz w:val="24"/>
          <w:szCs w:val="24"/>
          <w:vertAlign w:val="superscript"/>
        </w:rPr>
        <w:t>[38]</w:t>
      </w:r>
      <w:r w:rsidRPr="002B374F">
        <w:rPr>
          <w:rFonts w:ascii="Book Antiqua" w:hAnsi="Book Antiqua"/>
          <w:kern w:val="0"/>
          <w:sz w:val="24"/>
          <w:szCs w:val="24"/>
        </w:rPr>
        <w:t>.</w:t>
      </w:r>
    </w:p>
    <w:p w:rsidR="005132E0" w:rsidRPr="002B374F" w:rsidRDefault="005132E0" w:rsidP="009D615E">
      <w:pPr>
        <w:autoSpaceDE w:val="0"/>
        <w:autoSpaceDN w:val="0"/>
        <w:adjustRightInd w:val="0"/>
        <w:spacing w:line="360" w:lineRule="auto"/>
        <w:rPr>
          <w:rFonts w:ascii="Book Antiqua" w:hAnsi="Book Antiqua"/>
          <w:kern w:val="0"/>
          <w:sz w:val="24"/>
        </w:rPr>
      </w:pPr>
    </w:p>
    <w:p w:rsidR="005132E0" w:rsidRPr="002B374F" w:rsidRDefault="005132E0" w:rsidP="009D615E">
      <w:pPr>
        <w:autoSpaceDE w:val="0"/>
        <w:autoSpaceDN w:val="0"/>
        <w:adjustRightInd w:val="0"/>
        <w:spacing w:line="360" w:lineRule="auto"/>
        <w:rPr>
          <w:rFonts w:ascii="Book Antiqua" w:hAnsi="Book Antiqua"/>
          <w:b/>
          <w:bCs/>
          <w:caps/>
          <w:color w:val="000000"/>
          <w:kern w:val="0"/>
          <w:sz w:val="24"/>
        </w:rPr>
      </w:pPr>
      <w:r w:rsidRPr="002B374F">
        <w:rPr>
          <w:rFonts w:ascii="Book Antiqua" w:hAnsi="Book Antiqua"/>
          <w:b/>
          <w:bCs/>
          <w:caps/>
          <w:color w:val="000000"/>
          <w:kern w:val="0"/>
          <w:sz w:val="24"/>
        </w:rPr>
        <w:t>CDX2 seems likely as an oncogene in gastric cancer</w:t>
      </w:r>
    </w:p>
    <w:p w:rsidR="005132E0" w:rsidRPr="002B374F" w:rsidRDefault="005132E0" w:rsidP="009D615E">
      <w:pPr>
        <w:autoSpaceDE w:val="0"/>
        <w:autoSpaceDN w:val="0"/>
        <w:adjustRightInd w:val="0"/>
        <w:spacing w:line="360" w:lineRule="auto"/>
        <w:rPr>
          <w:rFonts w:ascii="Book Antiqua" w:hAnsi="Book Antiqua"/>
          <w:color w:val="FF0000"/>
          <w:kern w:val="0"/>
          <w:sz w:val="24"/>
        </w:rPr>
      </w:pPr>
      <w:r w:rsidRPr="002B374F">
        <w:rPr>
          <w:rFonts w:ascii="Book Antiqua" w:hAnsi="Book Antiqua"/>
          <w:kern w:val="0"/>
          <w:sz w:val="24"/>
        </w:rPr>
        <w:t>CDX2 may have a unique role compared to other CDXs, showing characteristics of both an oncogene and a tumor suppressor</w:t>
      </w:r>
      <w:r w:rsidRPr="002B374F">
        <w:rPr>
          <w:rFonts w:ascii="Book Antiqua" w:hAnsi="Book Antiqua"/>
          <w:kern w:val="0"/>
          <w:sz w:val="24"/>
          <w:vertAlign w:val="superscript"/>
        </w:rPr>
        <w:t>[39-41]</w:t>
      </w:r>
      <w:r w:rsidRPr="002B374F">
        <w:rPr>
          <w:rFonts w:ascii="Book Antiqua" w:hAnsi="Book Antiqua"/>
          <w:kern w:val="0"/>
          <w:sz w:val="24"/>
        </w:rPr>
        <w:t xml:space="preserve">. Many researchers report that CDX2 is an inhibitor of cancer cell growth. Cell growth inhibition by CDX2 is associated with significant cell cycle arrest at the G0/G1 phase and CDX2 suppresses cell proliferation by controlling the G1 and S checkpoints and inducing a specific block in cell cycle progression, after which the cells are not committed to complete the rest of the cell cycle. Many genes that are regulated in a cell-specific manner have CDX2-binding sites as their promoters, and in some cases CDX2 induces their expression directly. Some of these gene products play a direct regulatory role in the cell cycle, for example, Cdc2 and </w:t>
      </w:r>
      <w:bookmarkStart w:id="343" w:name="OLE_LINK21"/>
      <w:bookmarkStart w:id="344" w:name="OLE_LINK22"/>
      <w:bookmarkStart w:id="345" w:name="OLE_LINK23"/>
      <w:r w:rsidRPr="002B374F">
        <w:rPr>
          <w:rFonts w:ascii="Book Antiqua" w:hAnsi="Book Antiqua"/>
          <w:kern w:val="0"/>
          <w:sz w:val="24"/>
        </w:rPr>
        <w:t>cyclin</w:t>
      </w:r>
      <w:bookmarkEnd w:id="343"/>
      <w:bookmarkEnd w:id="344"/>
      <w:r w:rsidRPr="002B374F">
        <w:rPr>
          <w:rFonts w:ascii="Book Antiqua" w:hAnsi="Book Antiqua"/>
          <w:kern w:val="0"/>
          <w:sz w:val="24"/>
        </w:rPr>
        <w:t xml:space="preserve"> E</w:t>
      </w:r>
      <w:bookmarkEnd w:id="345"/>
      <w:r w:rsidRPr="002B374F">
        <w:rPr>
          <w:rFonts w:ascii="Book Antiqua" w:hAnsi="Book Antiqua"/>
          <w:kern w:val="0"/>
          <w:sz w:val="24"/>
          <w:vertAlign w:val="superscript"/>
        </w:rPr>
        <w:t>[42,43]</w:t>
      </w:r>
      <w:r w:rsidRPr="002B374F">
        <w:rPr>
          <w:rFonts w:ascii="Book Antiqua" w:hAnsi="Book Antiqua"/>
          <w:kern w:val="0"/>
          <w:sz w:val="24"/>
        </w:rPr>
        <w:t xml:space="preserve">. Moreover, CDX2 was also forced to express by IL-6, tumor necrosis factor-α and </w:t>
      </w:r>
      <w:r w:rsidRPr="002B374F">
        <w:rPr>
          <w:rFonts w:ascii="Book Antiqua" w:hAnsi="Book Antiqua"/>
          <w:kern w:val="0"/>
          <w:sz w:val="24"/>
        </w:rPr>
        <w:lastRenderedPageBreak/>
        <w:t>IL-1β</w:t>
      </w:r>
      <w:r w:rsidRPr="002B374F">
        <w:rPr>
          <w:rFonts w:ascii="Book Antiqua" w:hAnsi="Book Antiqua"/>
          <w:kern w:val="0"/>
          <w:sz w:val="24"/>
          <w:vertAlign w:val="superscript"/>
        </w:rPr>
        <w:t>[44,45]</w:t>
      </w:r>
      <w:r w:rsidRPr="002B374F">
        <w:rPr>
          <w:rFonts w:ascii="Book Antiqua" w:hAnsi="Book Antiqua"/>
          <w:kern w:val="0"/>
          <w:sz w:val="24"/>
        </w:rPr>
        <w:t>. A further study showed that CDX2 promoter activity is increased by IL-6 in a MEK/ERK and phosphoinositide 3-kinase (PI3K)-dependent manner, and deletion of CDX2 binding sites in the promoter sequence results in loss of IL-6-induced promoter activity</w:t>
      </w:r>
      <w:r w:rsidRPr="002B374F">
        <w:rPr>
          <w:rFonts w:ascii="Book Antiqua" w:hAnsi="Book Antiqua"/>
          <w:kern w:val="0"/>
          <w:sz w:val="24"/>
          <w:vertAlign w:val="superscript"/>
        </w:rPr>
        <w:t>[46]</w:t>
      </w:r>
      <w:r w:rsidRPr="002B374F">
        <w:rPr>
          <w:rFonts w:ascii="Book Antiqua" w:hAnsi="Book Antiqua"/>
          <w:kern w:val="0"/>
          <w:sz w:val="24"/>
        </w:rPr>
        <w:t xml:space="preserve">. IL-6 increases CDX2 protein expression in gastric intestinal metaplasia cells that is sufficient to induce cell death. Enforced expression of CDX2 </w:t>
      </w:r>
      <w:r w:rsidRPr="002B374F">
        <w:rPr>
          <w:rFonts w:ascii="Book Antiqua" w:hAnsi="Book Antiqua"/>
          <w:i/>
          <w:kern w:val="0"/>
          <w:sz w:val="24"/>
        </w:rPr>
        <w:t>in vitro</w:t>
      </w:r>
      <w:r w:rsidRPr="002B374F">
        <w:rPr>
          <w:rFonts w:ascii="Book Antiqua" w:hAnsi="Book Antiqua"/>
          <w:kern w:val="0"/>
          <w:sz w:val="24"/>
        </w:rPr>
        <w:t xml:space="preserve"> causes apoptosis in several cell types</w:t>
      </w:r>
      <w:r w:rsidRPr="002B374F">
        <w:rPr>
          <w:rFonts w:ascii="Book Antiqua" w:hAnsi="Book Antiqua"/>
          <w:kern w:val="0"/>
          <w:sz w:val="24"/>
          <w:vertAlign w:val="superscript"/>
        </w:rPr>
        <w:t>[6,47]</w:t>
      </w:r>
      <w:r w:rsidRPr="002B374F">
        <w:rPr>
          <w:rFonts w:ascii="Book Antiqua" w:hAnsi="Book Antiqua"/>
          <w:kern w:val="0"/>
          <w:sz w:val="24"/>
        </w:rPr>
        <w:t>. In addition, apoptosis induced by PTEN upregulation in gastric cancer cells has been shown to be dependent on CDX2, by triggering PI3K/Akt inactivation. Therefore, it was surprising to find that gastric expression of CDX2 alone was sufficient to induce intestinal metaplasia in mice, and that these mice represented a powerful tool to investigate the molecular mechanisms that promoted intestinal metaplasia</w:t>
      </w:r>
      <w:r w:rsidRPr="002B374F">
        <w:rPr>
          <w:rFonts w:ascii="Book Antiqua" w:hAnsi="Book Antiqua"/>
          <w:kern w:val="0"/>
          <w:sz w:val="24"/>
          <w:vertAlign w:val="superscript"/>
        </w:rPr>
        <w:t>[14]</w:t>
      </w:r>
      <w:r w:rsidRPr="002B374F">
        <w:rPr>
          <w:rFonts w:ascii="Book Antiqua" w:hAnsi="Book Antiqua"/>
          <w:kern w:val="0"/>
          <w:sz w:val="24"/>
        </w:rPr>
        <w:t>. Moreover, as gastric cancer in humans is often preceded by intestinal metaplasia, the phenotype described here strongly suggests involvement of CDX2 in the initiation of the process leading to intestinal neoplasia of the gastric mucosa. Several lines of evidence suggest that CDX2 has the potential to function as an oncogene in gastric carcinoma, promoting the proliferation of cells beyond their normal constraints</w:t>
      </w:r>
      <w:r w:rsidRPr="002B374F">
        <w:rPr>
          <w:rFonts w:ascii="Book Antiqua" w:hAnsi="Book Antiqua"/>
          <w:kern w:val="0"/>
          <w:sz w:val="24"/>
          <w:vertAlign w:val="superscript"/>
        </w:rPr>
        <w:t>[4,5]</w:t>
      </w:r>
      <w:r w:rsidRPr="002B374F">
        <w:rPr>
          <w:rFonts w:ascii="Book Antiqua" w:hAnsi="Book Antiqua"/>
          <w:kern w:val="0"/>
          <w:sz w:val="24"/>
        </w:rPr>
        <w:t>.</w:t>
      </w:r>
    </w:p>
    <w:p w:rsidR="005132E0" w:rsidRPr="002B374F" w:rsidRDefault="005132E0" w:rsidP="000011D0">
      <w:pPr>
        <w:autoSpaceDE w:val="0"/>
        <w:autoSpaceDN w:val="0"/>
        <w:adjustRightInd w:val="0"/>
        <w:spacing w:line="360" w:lineRule="auto"/>
        <w:ind w:firstLineChars="100" w:firstLine="240"/>
        <w:rPr>
          <w:rFonts w:ascii="Book Antiqua" w:hAnsi="Book Antiqua"/>
          <w:kern w:val="0"/>
          <w:sz w:val="24"/>
        </w:rPr>
      </w:pPr>
      <w:r w:rsidRPr="002B374F">
        <w:rPr>
          <w:rFonts w:ascii="Book Antiqua" w:hAnsi="Book Antiqua"/>
          <w:kern w:val="0"/>
          <w:sz w:val="24"/>
        </w:rPr>
        <w:t>For some time, this apoptotic activity of CDX2 was thought to be similar to that described for another cancer-related protein, c-Myc</w:t>
      </w:r>
      <w:r w:rsidRPr="002B374F">
        <w:rPr>
          <w:rFonts w:ascii="Book Antiqua" w:hAnsi="Book Antiqua"/>
          <w:kern w:val="0"/>
          <w:sz w:val="24"/>
          <w:vertAlign w:val="superscript"/>
        </w:rPr>
        <w:t>[48,49]</w:t>
      </w:r>
      <w:r w:rsidRPr="002B374F">
        <w:rPr>
          <w:rFonts w:ascii="Book Antiqua" w:hAnsi="Book Antiqua"/>
          <w:kern w:val="0"/>
          <w:sz w:val="24"/>
        </w:rPr>
        <w:t>. Elevation of c-Myc occurs in many tumors, resulting in potent growth promotion</w:t>
      </w:r>
      <w:r w:rsidRPr="002B374F">
        <w:rPr>
          <w:rFonts w:ascii="Book Antiqua" w:hAnsi="Book Antiqua"/>
          <w:kern w:val="0"/>
          <w:sz w:val="24"/>
          <w:vertAlign w:val="superscript"/>
        </w:rPr>
        <w:t>[50]</w:t>
      </w:r>
      <w:r w:rsidRPr="002B374F">
        <w:rPr>
          <w:rFonts w:ascii="Book Antiqua" w:hAnsi="Book Antiqua"/>
          <w:kern w:val="0"/>
          <w:sz w:val="24"/>
        </w:rPr>
        <w:t>. This effect of c-Myc can, however, only occur if the cell is also receiving appropriate survival signals, for example, leptin</w:t>
      </w:r>
      <w:r w:rsidRPr="002B374F">
        <w:rPr>
          <w:rFonts w:ascii="Book Antiqua" w:hAnsi="Book Antiqua"/>
          <w:kern w:val="0"/>
          <w:sz w:val="24"/>
          <w:vertAlign w:val="superscript"/>
        </w:rPr>
        <w:t>[51]</w:t>
      </w:r>
      <w:r w:rsidRPr="002B374F">
        <w:rPr>
          <w:rFonts w:ascii="Book Antiqua" w:hAnsi="Book Antiqua"/>
          <w:kern w:val="0"/>
          <w:sz w:val="24"/>
        </w:rPr>
        <w:t>. If not, deregulation of c-Myc will cause programmed cell death</w:t>
      </w:r>
      <w:r w:rsidRPr="002B374F">
        <w:rPr>
          <w:rFonts w:ascii="Book Antiqua" w:hAnsi="Book Antiqua"/>
          <w:kern w:val="0"/>
          <w:sz w:val="24"/>
          <w:vertAlign w:val="superscript"/>
        </w:rPr>
        <w:t>[52]</w:t>
      </w:r>
      <w:r w:rsidRPr="002B374F">
        <w:rPr>
          <w:rFonts w:ascii="Book Antiqua" w:hAnsi="Book Antiqua"/>
          <w:kern w:val="0"/>
          <w:sz w:val="24"/>
        </w:rPr>
        <w:t>. This model, however, does not completely hold true for CDX2 because mutants of CDX2 have been described, which although unable to promote cell cycle progression, retain the ability to induce programmed cell death</w:t>
      </w:r>
      <w:r w:rsidRPr="002B374F">
        <w:rPr>
          <w:rFonts w:ascii="Book Antiqua" w:hAnsi="Book Antiqua"/>
          <w:kern w:val="0"/>
          <w:sz w:val="24"/>
          <w:vertAlign w:val="superscript"/>
        </w:rPr>
        <w:t>[53]</w:t>
      </w:r>
      <w:r w:rsidRPr="002B374F">
        <w:rPr>
          <w:rFonts w:ascii="Book Antiqua" w:hAnsi="Book Antiqua"/>
          <w:kern w:val="0"/>
          <w:sz w:val="24"/>
        </w:rPr>
        <w:t>. In summary, it appears that CDX2 acts as an oncogene in gastric cancer.</w:t>
      </w:r>
    </w:p>
    <w:p w:rsidR="005132E0" w:rsidRPr="002B374F" w:rsidRDefault="005132E0" w:rsidP="009D615E">
      <w:pPr>
        <w:autoSpaceDE w:val="0"/>
        <w:autoSpaceDN w:val="0"/>
        <w:adjustRightInd w:val="0"/>
        <w:spacing w:line="360" w:lineRule="auto"/>
        <w:rPr>
          <w:rFonts w:ascii="Book Antiqua" w:hAnsi="Book Antiqua"/>
          <w:kern w:val="0"/>
          <w:sz w:val="24"/>
        </w:rPr>
      </w:pPr>
    </w:p>
    <w:p w:rsidR="005132E0" w:rsidRPr="002B374F" w:rsidRDefault="005132E0" w:rsidP="009D615E">
      <w:pPr>
        <w:autoSpaceDE w:val="0"/>
        <w:autoSpaceDN w:val="0"/>
        <w:adjustRightInd w:val="0"/>
        <w:spacing w:line="360" w:lineRule="auto"/>
        <w:rPr>
          <w:rFonts w:ascii="Book Antiqua" w:hAnsi="Book Antiqua"/>
          <w:b/>
          <w:bCs/>
          <w:caps/>
          <w:kern w:val="0"/>
          <w:sz w:val="24"/>
        </w:rPr>
      </w:pPr>
      <w:r w:rsidRPr="002B374F">
        <w:rPr>
          <w:rFonts w:ascii="Book Antiqua" w:hAnsi="Book Antiqua"/>
          <w:b/>
          <w:bCs/>
          <w:caps/>
          <w:kern w:val="0"/>
          <w:sz w:val="24"/>
        </w:rPr>
        <w:t>CDX2 induces drug resistance in gastric cancer</w:t>
      </w:r>
    </w:p>
    <w:p w:rsidR="005132E0" w:rsidRPr="002B374F" w:rsidRDefault="005132E0" w:rsidP="009D615E">
      <w:pPr>
        <w:autoSpaceDE w:val="0"/>
        <w:autoSpaceDN w:val="0"/>
        <w:adjustRightInd w:val="0"/>
        <w:spacing w:line="360" w:lineRule="auto"/>
        <w:rPr>
          <w:rFonts w:ascii="Book Antiqua" w:hAnsi="Book Antiqua"/>
          <w:kern w:val="0"/>
          <w:sz w:val="24"/>
        </w:rPr>
      </w:pPr>
      <w:r w:rsidRPr="002B374F">
        <w:rPr>
          <w:rFonts w:ascii="Book Antiqua" w:hAnsi="Book Antiqua"/>
          <w:kern w:val="0"/>
          <w:sz w:val="24"/>
        </w:rPr>
        <w:t xml:space="preserve">Regenerating protein (Reg) IV is a small, 17-kDa secreted C-type lectin that is </w:t>
      </w:r>
      <w:r w:rsidRPr="002B374F">
        <w:rPr>
          <w:rFonts w:ascii="Book Antiqua" w:hAnsi="Book Antiqua"/>
          <w:kern w:val="0"/>
          <w:sz w:val="24"/>
        </w:rPr>
        <w:lastRenderedPageBreak/>
        <w:t>expressed in normal enteric neuroendocrine cells and some goblet cells</w:t>
      </w:r>
      <w:r w:rsidRPr="002B374F">
        <w:rPr>
          <w:rFonts w:ascii="Book Antiqua" w:hAnsi="Book Antiqua"/>
          <w:kern w:val="0"/>
          <w:sz w:val="24"/>
          <w:vertAlign w:val="superscript"/>
        </w:rPr>
        <w:t>[54]</w:t>
      </w:r>
      <w:r w:rsidRPr="002B374F">
        <w:rPr>
          <w:rFonts w:ascii="Book Antiqua" w:hAnsi="Book Antiqua"/>
          <w:kern w:val="0"/>
          <w:sz w:val="24"/>
        </w:rPr>
        <w:t>. Reg IV is expressed in approximately 37% of gastric cancers and is detectable in the sera of approximately 36% of gastric cancer patients. Expression of Reg IV is a marker for prediction of resistance to 5-fluorouracil-based chemotherapy in patients with gastric cancer</w:t>
      </w:r>
      <w:r w:rsidRPr="002B374F">
        <w:rPr>
          <w:rFonts w:ascii="Book Antiqua" w:hAnsi="Book Antiqua"/>
          <w:kern w:val="0"/>
          <w:sz w:val="24"/>
          <w:vertAlign w:val="superscript"/>
        </w:rPr>
        <w:t>[55]</w:t>
      </w:r>
      <w:r w:rsidRPr="002B374F">
        <w:rPr>
          <w:rFonts w:ascii="Book Antiqua" w:hAnsi="Book Antiqua"/>
          <w:kern w:val="0"/>
          <w:sz w:val="24"/>
        </w:rPr>
        <w:t xml:space="preserve">. Oue </w:t>
      </w:r>
      <w:r w:rsidRPr="002B374F">
        <w:rPr>
          <w:rFonts w:ascii="Book Antiqua" w:hAnsi="Book Antiqua"/>
          <w:i/>
          <w:kern w:val="0"/>
          <w:sz w:val="24"/>
        </w:rPr>
        <w:t>et al</w:t>
      </w:r>
      <w:r w:rsidRPr="002B374F">
        <w:rPr>
          <w:rFonts w:ascii="Book Antiqua" w:hAnsi="Book Antiqua"/>
          <w:kern w:val="0"/>
          <w:sz w:val="24"/>
          <w:vertAlign w:val="superscript"/>
        </w:rPr>
        <w:t xml:space="preserve">[56] </w:t>
      </w:r>
      <w:r w:rsidRPr="002B374F">
        <w:rPr>
          <w:rFonts w:ascii="Book Antiqua" w:hAnsi="Book Antiqua"/>
          <w:kern w:val="0"/>
          <w:sz w:val="24"/>
        </w:rPr>
        <w:t xml:space="preserve">showed that endogenous CDX2 and Reg IV expression was correlated in gastric cancer cell lines and primary tissue, and gastric intestinal metaplasia. In addition, using an endoplasmic-reticulum- regulated form of CDX2 led to rapid induction of Reg IV expression after </w:t>
      </w:r>
      <w:bookmarkStart w:id="346" w:name="OLE_LINK17"/>
      <w:bookmarkStart w:id="347" w:name="OLE_LINK18"/>
      <w:r w:rsidRPr="002B374F">
        <w:rPr>
          <w:rFonts w:ascii="Book Antiqua" w:hAnsi="Book Antiqua"/>
          <w:color w:val="000000"/>
          <w:sz w:val="24"/>
        </w:rPr>
        <w:t>4-hydroxytamoxifen</w:t>
      </w:r>
      <w:r w:rsidRPr="002B374F">
        <w:rPr>
          <w:rFonts w:ascii="Book Antiqua" w:hAnsi="Book Antiqua"/>
          <w:color w:val="000000"/>
          <w:kern w:val="0"/>
          <w:sz w:val="24"/>
        </w:rPr>
        <w:t xml:space="preserve"> </w:t>
      </w:r>
      <w:bookmarkEnd w:id="346"/>
      <w:bookmarkEnd w:id="347"/>
      <w:r w:rsidRPr="002B374F">
        <w:rPr>
          <w:rFonts w:ascii="Book Antiqua" w:hAnsi="Book Antiqua"/>
          <w:kern w:val="0"/>
          <w:sz w:val="24"/>
        </w:rPr>
        <w:t>treatment. Reporter gene assays revealed an important role for consensus CDX2 DNA binding elements in the Reg IV promoter region in its transcription, and subsequent chromatin immunoprecipitation assays showed that CDX2 bound directly to the Reg IV promoter</w:t>
      </w:r>
      <w:r w:rsidRPr="002B374F">
        <w:rPr>
          <w:rFonts w:ascii="Book Antiqua" w:hAnsi="Book Antiqua"/>
          <w:kern w:val="0"/>
          <w:sz w:val="24"/>
          <w:vertAlign w:val="superscript"/>
        </w:rPr>
        <w:t>[47]</w:t>
      </w:r>
      <w:r w:rsidRPr="002B374F">
        <w:rPr>
          <w:rFonts w:ascii="Book Antiqua" w:hAnsi="Book Antiqua"/>
          <w:kern w:val="0"/>
          <w:sz w:val="24"/>
        </w:rPr>
        <w:t xml:space="preserve">. These results indicate that CDX2 protein directly regulates Reg IV expression in gastric cancer and intestinal metaplasia of the stomach. Reg IV may exert its function </w:t>
      </w:r>
      <w:r w:rsidRPr="002B374F">
        <w:rPr>
          <w:rFonts w:ascii="Book Antiqua" w:hAnsi="Book Antiqua"/>
          <w:i/>
          <w:kern w:val="0"/>
          <w:sz w:val="24"/>
        </w:rPr>
        <w:t>via</w:t>
      </w:r>
      <w:r w:rsidRPr="002B374F">
        <w:rPr>
          <w:rFonts w:ascii="Book Antiqua" w:hAnsi="Book Antiqua"/>
          <w:kern w:val="0"/>
          <w:sz w:val="24"/>
        </w:rPr>
        <w:t xml:space="preserve"> the epidermal growth factor receptor (EGFR) signaling pathway in gastric cancer. Overexpression or silencing of Reg IV influences the level of EGFR phosphorylation</w:t>
      </w:r>
      <w:r w:rsidRPr="002B374F">
        <w:rPr>
          <w:rFonts w:ascii="Book Antiqua" w:hAnsi="Book Antiqua"/>
          <w:kern w:val="0"/>
          <w:sz w:val="24"/>
          <w:vertAlign w:val="superscript"/>
        </w:rPr>
        <w:t>[57]</w:t>
      </w:r>
      <w:r w:rsidRPr="002B374F">
        <w:rPr>
          <w:rFonts w:ascii="Book Antiqua" w:hAnsi="Book Antiqua"/>
          <w:kern w:val="0"/>
          <w:sz w:val="24"/>
        </w:rPr>
        <w:t>. The EGFR signaling pathway plays an important role in the normal physiological function of cells, such as apoptosis, migration and differentiation. The signaling pathways downstream of EGFR are also central to the biology of gastrointestinal cancer. A major recent discovery has been that two major pathways mediate signal transduction through EGFR: the RAS/RAF/ MAPK/ERK and the PI3K/AKT/ PTEN/mTOR pathways</w:t>
      </w:r>
      <w:r w:rsidRPr="002B374F">
        <w:rPr>
          <w:rFonts w:ascii="Book Antiqua" w:hAnsi="Book Antiqua"/>
          <w:kern w:val="0"/>
          <w:sz w:val="24"/>
          <w:vertAlign w:val="superscript"/>
        </w:rPr>
        <w:t>[58]</w:t>
      </w:r>
      <w:r w:rsidRPr="002B374F">
        <w:rPr>
          <w:rFonts w:ascii="Book Antiqua" w:hAnsi="Book Antiqua"/>
          <w:kern w:val="0"/>
          <w:sz w:val="24"/>
        </w:rPr>
        <w:t>. Forced expression of Reg IV in gastric cancer cell lines also induces expression of the phosphorylated form of EGFR, Bcl-2, Bcl-XL, survivin, and the phosphorylated form of AKT</w:t>
      </w:r>
      <w:r w:rsidRPr="002B374F">
        <w:rPr>
          <w:rFonts w:ascii="Book Antiqua" w:hAnsi="Book Antiqua"/>
          <w:kern w:val="0"/>
          <w:sz w:val="24"/>
          <w:vertAlign w:val="superscript"/>
        </w:rPr>
        <w:t>[57]</w:t>
      </w:r>
      <w:r w:rsidRPr="002B374F">
        <w:rPr>
          <w:rFonts w:ascii="Book Antiqua" w:hAnsi="Book Antiqua"/>
          <w:kern w:val="0"/>
          <w:sz w:val="24"/>
        </w:rPr>
        <w:t>. Therefore, this indicates that CDX2 protein directly regulates Reg IV expression, and Reg IV activates the EGFR/Akt/AP-1 signaling pathway to improve the survival rate of cancer cells. The intestinal phenotype of gastric cancer frequently expresses EGFR</w:t>
      </w:r>
      <w:r w:rsidRPr="002B374F">
        <w:rPr>
          <w:rFonts w:ascii="Book Antiqua" w:hAnsi="Book Antiqua"/>
          <w:kern w:val="0"/>
          <w:sz w:val="24"/>
          <w:vertAlign w:val="superscript"/>
        </w:rPr>
        <w:t>[59]</w:t>
      </w:r>
      <w:r w:rsidRPr="002B374F">
        <w:rPr>
          <w:rFonts w:ascii="Book Antiqua" w:hAnsi="Book Antiqua"/>
          <w:kern w:val="0"/>
          <w:sz w:val="24"/>
        </w:rPr>
        <w:t xml:space="preserve">, therefore, it is suggested that this Reg-IV-activated pathway plays an important role in this subtype of gastric </w:t>
      </w:r>
      <w:r w:rsidRPr="002B374F">
        <w:rPr>
          <w:rFonts w:ascii="Book Antiqua" w:hAnsi="Book Antiqua"/>
          <w:kern w:val="0"/>
          <w:sz w:val="24"/>
        </w:rPr>
        <w:lastRenderedPageBreak/>
        <w:t xml:space="preserve">cancer. </w:t>
      </w:r>
    </w:p>
    <w:p w:rsidR="005132E0" w:rsidRPr="002B374F" w:rsidRDefault="005132E0" w:rsidP="000B0415">
      <w:pPr>
        <w:autoSpaceDE w:val="0"/>
        <w:autoSpaceDN w:val="0"/>
        <w:adjustRightInd w:val="0"/>
        <w:spacing w:line="360" w:lineRule="auto"/>
        <w:ind w:firstLineChars="100" w:firstLine="240"/>
        <w:rPr>
          <w:rFonts w:ascii="Book Antiqua" w:hAnsi="Book Antiqua"/>
          <w:kern w:val="0"/>
          <w:sz w:val="24"/>
        </w:rPr>
      </w:pPr>
      <w:r w:rsidRPr="002B374F">
        <w:rPr>
          <w:rFonts w:ascii="Book Antiqua" w:hAnsi="Book Antiqua"/>
          <w:kern w:val="0"/>
          <w:sz w:val="24"/>
        </w:rPr>
        <w:t>Besides, CDX2 also induces expression of the MDR1 gene by which CDX2 directly regulates expression of the gene through binding to elements in the promoter region</w:t>
      </w:r>
      <w:r w:rsidRPr="002B374F">
        <w:rPr>
          <w:rFonts w:ascii="Book Antiqua" w:hAnsi="Book Antiqua"/>
          <w:kern w:val="0"/>
          <w:sz w:val="24"/>
          <w:vertAlign w:val="superscript"/>
        </w:rPr>
        <w:t>[5]</w:t>
      </w:r>
      <w:r w:rsidRPr="002B374F">
        <w:rPr>
          <w:rFonts w:ascii="Book Antiqua" w:hAnsi="Book Antiqua"/>
          <w:kern w:val="0"/>
          <w:sz w:val="24"/>
        </w:rPr>
        <w:t>. In fact, it has been reported that postoperative chemotherapy is not beneficial for patients with intestinal phenotype gastric cancer</w:t>
      </w:r>
      <w:r w:rsidRPr="002B374F">
        <w:rPr>
          <w:rFonts w:ascii="Book Antiqua" w:hAnsi="Book Antiqua"/>
          <w:kern w:val="0"/>
          <w:sz w:val="24"/>
          <w:vertAlign w:val="superscript"/>
        </w:rPr>
        <w:t>[60]</w:t>
      </w:r>
      <w:r w:rsidRPr="002B374F">
        <w:rPr>
          <w:rFonts w:ascii="Book Antiqua" w:hAnsi="Book Antiqua"/>
          <w:kern w:val="0"/>
          <w:sz w:val="24"/>
        </w:rPr>
        <w:t>. Taken together, it is possible that in intestinal phenotype gastric cancer, expression (or ectopic expression) of CDX2 induces Reg IV and MDR1 expression, resulting in an increase in drug resistance.</w:t>
      </w:r>
    </w:p>
    <w:p w:rsidR="005132E0" w:rsidRPr="002B374F" w:rsidRDefault="005132E0" w:rsidP="009D615E">
      <w:pPr>
        <w:autoSpaceDE w:val="0"/>
        <w:autoSpaceDN w:val="0"/>
        <w:adjustRightInd w:val="0"/>
        <w:spacing w:line="360" w:lineRule="auto"/>
        <w:rPr>
          <w:rFonts w:ascii="Book Antiqua" w:hAnsi="Book Antiqua"/>
          <w:kern w:val="0"/>
          <w:sz w:val="24"/>
        </w:rPr>
      </w:pPr>
    </w:p>
    <w:p w:rsidR="005132E0" w:rsidRPr="002B374F" w:rsidRDefault="005132E0" w:rsidP="009D615E">
      <w:pPr>
        <w:autoSpaceDE w:val="0"/>
        <w:autoSpaceDN w:val="0"/>
        <w:adjustRightInd w:val="0"/>
        <w:spacing w:line="360" w:lineRule="auto"/>
        <w:rPr>
          <w:rFonts w:ascii="Book Antiqua" w:hAnsi="Book Antiqua"/>
          <w:b/>
          <w:bCs/>
          <w:caps/>
          <w:color w:val="000000"/>
          <w:kern w:val="0"/>
          <w:sz w:val="24"/>
        </w:rPr>
      </w:pPr>
      <w:r w:rsidRPr="002B374F">
        <w:rPr>
          <w:rFonts w:ascii="Book Antiqua" w:hAnsi="Book Antiqua"/>
          <w:b/>
          <w:bCs/>
          <w:caps/>
          <w:color w:val="000000"/>
          <w:kern w:val="0"/>
          <w:sz w:val="24"/>
        </w:rPr>
        <w:t xml:space="preserve">CDX2 IS a useful maker for future drug and gene therapy in gastric cancer </w:t>
      </w:r>
    </w:p>
    <w:p w:rsidR="005132E0" w:rsidRPr="002B374F" w:rsidRDefault="005132E0" w:rsidP="009D615E">
      <w:pPr>
        <w:autoSpaceDE w:val="0"/>
        <w:autoSpaceDN w:val="0"/>
        <w:adjustRightInd w:val="0"/>
        <w:spacing w:line="360" w:lineRule="auto"/>
        <w:rPr>
          <w:rFonts w:ascii="Book Antiqua" w:hAnsi="Book Antiqua"/>
          <w:kern w:val="0"/>
          <w:sz w:val="24"/>
        </w:rPr>
      </w:pPr>
      <w:r w:rsidRPr="002B374F">
        <w:rPr>
          <w:rFonts w:ascii="Book Antiqua" w:hAnsi="Book Antiqua"/>
          <w:kern w:val="0"/>
          <w:sz w:val="24"/>
        </w:rPr>
        <w:t>Whether CDX2-positive expression can be considered as a prognostic factor for gastric cancer has been in dispute for a long time. Several investigators reported that CDX2 was an independent prognostic indicator for gastric carcinoma</w:t>
      </w:r>
      <w:r w:rsidRPr="002B374F">
        <w:rPr>
          <w:rFonts w:ascii="Book Antiqua" w:hAnsi="Book Antiqua"/>
          <w:kern w:val="0"/>
          <w:sz w:val="24"/>
          <w:vertAlign w:val="superscript"/>
        </w:rPr>
        <w:t>[61,62]</w:t>
      </w:r>
      <w:r w:rsidRPr="002B374F">
        <w:rPr>
          <w:rFonts w:ascii="Book Antiqua" w:hAnsi="Book Antiqua"/>
          <w:kern w:val="0"/>
          <w:sz w:val="24"/>
        </w:rPr>
        <w:t>. Howe</w:t>
      </w:r>
      <w:r w:rsidRPr="002B374F">
        <w:rPr>
          <w:rFonts w:ascii="Book Antiqua" w:hAnsi="Book Antiqua"/>
          <w:color w:val="000000"/>
          <w:kern w:val="0"/>
          <w:sz w:val="24"/>
        </w:rPr>
        <w:t>ver, we showed</w:t>
      </w:r>
      <w:r w:rsidRPr="002B374F">
        <w:rPr>
          <w:rFonts w:ascii="Book Antiqua" w:hAnsi="Book Antiqua"/>
          <w:kern w:val="0"/>
          <w:sz w:val="24"/>
        </w:rPr>
        <w:t xml:space="preserve"> that no significant correlation could be determined between CDX2 and clinicopathological parameters such as tumor size, invasion and lymph node metastasis in gastric cancer</w:t>
      </w:r>
      <w:r w:rsidRPr="002B374F">
        <w:rPr>
          <w:rFonts w:ascii="Book Antiqua" w:hAnsi="Book Antiqua"/>
          <w:kern w:val="0"/>
          <w:sz w:val="24"/>
          <w:vertAlign w:val="superscript"/>
        </w:rPr>
        <w:t>[63]</w:t>
      </w:r>
      <w:r w:rsidRPr="002B374F">
        <w:rPr>
          <w:rFonts w:ascii="Book Antiqua" w:hAnsi="Book Antiqua"/>
          <w:kern w:val="0"/>
          <w:sz w:val="24"/>
        </w:rPr>
        <w:t>. This suggests that CDX2 does not affect the progression of human gastric cancer. These conflicting results were likely due to small sample sizes. Meta-analysis has recently been applied to identify prognostic indicators in patients with malignant diseases</w:t>
      </w:r>
      <w:r w:rsidRPr="002B374F">
        <w:rPr>
          <w:rFonts w:ascii="Book Antiqua" w:hAnsi="Book Antiqua"/>
          <w:kern w:val="0"/>
          <w:sz w:val="24"/>
          <w:vertAlign w:val="superscript"/>
        </w:rPr>
        <w:t>[64,65]</w:t>
      </w:r>
      <w:r w:rsidRPr="002B374F">
        <w:rPr>
          <w:rFonts w:ascii="Book Antiqua" w:hAnsi="Book Antiqua"/>
          <w:kern w:val="0"/>
          <w:sz w:val="24"/>
        </w:rPr>
        <w:t>. Recently, we carried out a meta-analysis that is believed to be the first study to estimate systematically CDX2 expression and its relationship with clinicopathological characteristics and 5-year survival rate of gastric cancer patients. The results indicated that CDX2 overexpression was significantly associated with sex, lower clinical stage, tumor differentiation, lower rate of vascular invasion and lymph node metastasis, as well as higher 5-year survival rate</w:t>
      </w:r>
      <w:r w:rsidRPr="002B374F">
        <w:rPr>
          <w:rFonts w:ascii="Book Antiqua" w:hAnsi="Book Antiqua"/>
          <w:kern w:val="0"/>
          <w:sz w:val="24"/>
          <w:vertAlign w:val="superscript"/>
        </w:rPr>
        <w:t>[66]</w:t>
      </w:r>
      <w:r w:rsidRPr="002B374F">
        <w:rPr>
          <w:rFonts w:ascii="Book Antiqua" w:hAnsi="Book Antiqua"/>
          <w:kern w:val="0"/>
          <w:sz w:val="24"/>
        </w:rPr>
        <w:t xml:space="preserve">. Several investigators have reported that CDX2 expression is associated with specific morphological and mucin phenotypes of gastric epithelial dysplasia, and decreased progressively with advanced gastric cancer stage, suggesting a possible tumor </w:t>
      </w:r>
      <w:r w:rsidRPr="002B374F">
        <w:rPr>
          <w:rFonts w:ascii="Book Antiqua" w:hAnsi="Book Antiqua"/>
          <w:kern w:val="0"/>
          <w:sz w:val="24"/>
        </w:rPr>
        <w:lastRenderedPageBreak/>
        <w:t>suppressor role for CDX2</w:t>
      </w:r>
      <w:r w:rsidRPr="002B374F">
        <w:rPr>
          <w:rFonts w:ascii="Book Antiqua" w:hAnsi="Book Antiqua"/>
          <w:kern w:val="0"/>
          <w:sz w:val="24"/>
          <w:vertAlign w:val="superscript"/>
        </w:rPr>
        <w:t>[67-69]</w:t>
      </w:r>
      <w:r w:rsidRPr="002B374F">
        <w:rPr>
          <w:rFonts w:ascii="Book Antiqua" w:hAnsi="Book Antiqua"/>
          <w:kern w:val="0"/>
          <w:sz w:val="24"/>
        </w:rPr>
        <w:t>. However, sample sizes in the meta-analysis were too small, and whether CDX2-positive expression is significantly associated with good prognosis in patients with intestinal phenotype gastric cancer remains to be fully investigated in the future.</w:t>
      </w:r>
    </w:p>
    <w:p w:rsidR="005132E0" w:rsidRPr="002B374F" w:rsidRDefault="005132E0" w:rsidP="009D615E">
      <w:pPr>
        <w:autoSpaceDE w:val="0"/>
        <w:autoSpaceDN w:val="0"/>
        <w:adjustRightInd w:val="0"/>
        <w:spacing w:line="360" w:lineRule="auto"/>
        <w:rPr>
          <w:rFonts w:ascii="Book Antiqua" w:hAnsi="Book Antiqua"/>
          <w:kern w:val="0"/>
          <w:sz w:val="24"/>
        </w:rPr>
      </w:pPr>
    </w:p>
    <w:p w:rsidR="005132E0" w:rsidRPr="002B374F" w:rsidRDefault="005132E0" w:rsidP="009D615E">
      <w:pPr>
        <w:autoSpaceDE w:val="0"/>
        <w:autoSpaceDN w:val="0"/>
        <w:adjustRightInd w:val="0"/>
        <w:spacing w:line="360" w:lineRule="auto"/>
        <w:rPr>
          <w:rFonts w:ascii="Book Antiqua" w:hAnsi="Book Antiqua"/>
          <w:b/>
          <w:bCs/>
          <w:caps/>
          <w:kern w:val="0"/>
          <w:sz w:val="24"/>
        </w:rPr>
      </w:pPr>
      <w:r w:rsidRPr="002B374F">
        <w:rPr>
          <w:rFonts w:ascii="Book Antiqua" w:hAnsi="Book Antiqua"/>
          <w:b/>
          <w:bCs/>
          <w:caps/>
          <w:kern w:val="0"/>
          <w:sz w:val="24"/>
        </w:rPr>
        <w:t>Conclusion</w:t>
      </w:r>
    </w:p>
    <w:p w:rsidR="005132E0" w:rsidRPr="002B374F" w:rsidRDefault="005132E0" w:rsidP="009D615E">
      <w:pPr>
        <w:autoSpaceDE w:val="0"/>
        <w:autoSpaceDN w:val="0"/>
        <w:adjustRightInd w:val="0"/>
        <w:spacing w:line="360" w:lineRule="auto"/>
        <w:rPr>
          <w:rFonts w:ascii="Book Antiqua" w:hAnsi="Book Antiqua"/>
          <w:kern w:val="0"/>
          <w:sz w:val="24"/>
        </w:rPr>
      </w:pPr>
      <w:r w:rsidRPr="002B374F">
        <w:rPr>
          <w:rFonts w:ascii="Book Antiqua" w:hAnsi="Book Antiqua"/>
          <w:kern w:val="0"/>
          <w:sz w:val="24"/>
        </w:rPr>
        <w:t xml:space="preserve">Ectopic expression of CDX2 occurs in the stomach and promotes intestinal metaplasia of the mucosal epithelial cells, which is an important early event in gastric tumor formation. In addition, CDX2-posititive gastric cancer patients also have a higher 5-year survival rate than CDX2-negative patients. Therefore, CDX2 may be an important factor that affects the prognosis of gastric malignant tumors. CDX2 has attracted increasing interest because of its importance in modulating various cellular processes in cell growth or survival, differentiation and apoptosis </w:t>
      </w:r>
      <w:r w:rsidRPr="002B374F">
        <w:rPr>
          <w:rFonts w:ascii="Book Antiqua" w:hAnsi="Book Antiqua"/>
          <w:i/>
          <w:kern w:val="0"/>
          <w:sz w:val="24"/>
        </w:rPr>
        <w:t>via</w:t>
      </w:r>
      <w:r w:rsidRPr="002B374F">
        <w:rPr>
          <w:rFonts w:ascii="Book Antiqua" w:hAnsi="Book Antiqua"/>
          <w:kern w:val="0"/>
          <w:sz w:val="24"/>
        </w:rPr>
        <w:t xml:space="preserve"> the regulation of gene expression. Even minor changes in nuclear CDX2 levels and/or its activities may have a significant effect on gene regulation, and thereby cellular responses, during disease pathogenesis and treatment. Therefore, an understanding of the regulatory mechanisms is of importance in intestinal phenotype gastric cancer. As few studies have reported the relationship between clinicopathological paratmeters and CDX2 in intestinal phenotype gastric cancer, large-sample clinical studies are needed. Elucidation of the CDX2/MDR1/Reg IV pathway is a potentially important advance in molecular oncology. In view of the high frequency of </w:t>
      </w:r>
      <w:r w:rsidRPr="002B374F">
        <w:rPr>
          <w:rFonts w:ascii="Book Antiqua" w:hAnsi="Book Antiqua"/>
          <w:i/>
          <w:kern w:val="0"/>
          <w:sz w:val="24"/>
        </w:rPr>
        <w:t>CDX2</w:t>
      </w:r>
      <w:r w:rsidRPr="002B374F">
        <w:rPr>
          <w:rFonts w:ascii="Book Antiqua" w:hAnsi="Book Antiqua"/>
          <w:kern w:val="0"/>
          <w:sz w:val="24"/>
        </w:rPr>
        <w:t xml:space="preserve"> mutations in human gastric tumors, new and/or existing pharmacological agents directed against components of this pathway may have therapeutic benefit. </w:t>
      </w:r>
    </w:p>
    <w:p w:rsidR="005132E0" w:rsidRPr="002B374F" w:rsidRDefault="005132E0" w:rsidP="009D615E">
      <w:pPr>
        <w:autoSpaceDE w:val="0"/>
        <w:autoSpaceDN w:val="0"/>
        <w:adjustRightInd w:val="0"/>
        <w:spacing w:line="360" w:lineRule="auto"/>
        <w:ind w:firstLine="240"/>
        <w:rPr>
          <w:rFonts w:ascii="Book Antiqua" w:hAnsi="Book Antiqua"/>
          <w:kern w:val="0"/>
          <w:sz w:val="24"/>
        </w:rPr>
      </w:pPr>
    </w:p>
    <w:p w:rsidR="005132E0" w:rsidRPr="002B374F" w:rsidRDefault="005132E0" w:rsidP="000B0415">
      <w:pPr>
        <w:autoSpaceDE w:val="0"/>
        <w:autoSpaceDN w:val="0"/>
        <w:adjustRightInd w:val="0"/>
        <w:spacing w:line="360" w:lineRule="auto"/>
        <w:rPr>
          <w:rFonts w:ascii="Book Antiqua" w:hAnsi="Book Antiqua"/>
          <w:b/>
          <w:bCs/>
          <w:caps/>
          <w:kern w:val="0"/>
          <w:sz w:val="24"/>
        </w:rPr>
      </w:pPr>
      <w:r w:rsidRPr="002B374F">
        <w:rPr>
          <w:rFonts w:ascii="Book Antiqua" w:hAnsi="Book Antiqua"/>
          <w:b/>
          <w:bCs/>
          <w:caps/>
          <w:kern w:val="0"/>
          <w:sz w:val="24"/>
        </w:rPr>
        <w:t>References</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1 </w:t>
      </w:r>
      <w:r w:rsidRPr="002B374F">
        <w:rPr>
          <w:rFonts w:ascii="Book Antiqua" w:hAnsi="Book Antiqua" w:cs="宋体"/>
          <w:b/>
          <w:bCs/>
          <w:kern w:val="0"/>
          <w:sz w:val="24"/>
        </w:rPr>
        <w:t>Zhao J</w:t>
      </w:r>
      <w:r w:rsidRPr="002B374F">
        <w:rPr>
          <w:rFonts w:ascii="Book Antiqua" w:hAnsi="Book Antiqua" w:cs="宋体"/>
          <w:kern w:val="0"/>
          <w:sz w:val="24"/>
        </w:rPr>
        <w:t xml:space="preserve">, Gregersen H. Relationships of CDXs and apical sodium-dependent bile acid transporter in Barrett's esophagus. </w:t>
      </w:r>
      <w:r w:rsidRPr="002B374F">
        <w:rPr>
          <w:rFonts w:ascii="Book Antiqua" w:hAnsi="Book Antiqua" w:cs="宋体"/>
          <w:i/>
          <w:iCs/>
          <w:kern w:val="0"/>
          <w:sz w:val="24"/>
        </w:rPr>
        <w:t>World J Gastroenterol</w:t>
      </w:r>
      <w:r w:rsidRPr="002B374F">
        <w:rPr>
          <w:rFonts w:ascii="Book Antiqua" w:hAnsi="Book Antiqua" w:cs="宋体"/>
          <w:kern w:val="0"/>
          <w:sz w:val="24"/>
        </w:rPr>
        <w:t xml:space="preserve"> 2013; </w:t>
      </w:r>
      <w:r w:rsidRPr="002B374F">
        <w:rPr>
          <w:rFonts w:ascii="Book Antiqua" w:hAnsi="Book Antiqua" w:cs="宋体"/>
          <w:b/>
          <w:bCs/>
          <w:kern w:val="0"/>
          <w:sz w:val="24"/>
        </w:rPr>
        <w:t>19</w:t>
      </w:r>
      <w:r w:rsidRPr="002B374F">
        <w:rPr>
          <w:rFonts w:ascii="Book Antiqua" w:hAnsi="Book Antiqua" w:cs="宋体"/>
          <w:kern w:val="0"/>
          <w:sz w:val="24"/>
        </w:rPr>
        <w:t>: 2736-2739 [PMID: 23687410 DOI: 10.3748/wjg.v19.i18.2736]</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lastRenderedPageBreak/>
        <w:t xml:space="preserve">2 </w:t>
      </w:r>
      <w:r w:rsidRPr="002B374F">
        <w:rPr>
          <w:rFonts w:ascii="Book Antiqua" w:hAnsi="Book Antiqua" w:cs="宋体"/>
          <w:b/>
          <w:bCs/>
          <w:kern w:val="0"/>
          <w:sz w:val="24"/>
        </w:rPr>
        <w:t>Young T</w:t>
      </w:r>
      <w:r w:rsidRPr="002B374F">
        <w:rPr>
          <w:rFonts w:ascii="Book Antiqua" w:hAnsi="Book Antiqua" w:cs="宋体"/>
          <w:kern w:val="0"/>
          <w:sz w:val="24"/>
        </w:rPr>
        <w:t xml:space="preserve">, Rowland JE, van de Ven C, Bialecka M, Novoa A, Carapuco M, van Nes J, de Graaff W, Duluc I, Freund JN, Beck F, Mallo M, Deschamps J. Cdx and Hox genes differentially regulate posterior axial growth in mammalian embryos. </w:t>
      </w:r>
      <w:r w:rsidRPr="002B374F">
        <w:rPr>
          <w:rFonts w:ascii="Book Antiqua" w:hAnsi="Book Antiqua" w:cs="宋体"/>
          <w:i/>
          <w:iCs/>
          <w:kern w:val="0"/>
          <w:sz w:val="24"/>
        </w:rPr>
        <w:t>Dev Cell</w:t>
      </w:r>
      <w:r w:rsidRPr="002B374F">
        <w:rPr>
          <w:rFonts w:ascii="Book Antiqua" w:hAnsi="Book Antiqua" w:cs="宋体"/>
          <w:kern w:val="0"/>
          <w:sz w:val="24"/>
        </w:rPr>
        <w:t xml:space="preserve"> 2009; </w:t>
      </w:r>
      <w:r w:rsidRPr="002B374F">
        <w:rPr>
          <w:rFonts w:ascii="Book Antiqua" w:hAnsi="Book Antiqua" w:cs="宋体"/>
          <w:b/>
          <w:bCs/>
          <w:kern w:val="0"/>
          <w:sz w:val="24"/>
        </w:rPr>
        <w:t>17</w:t>
      </w:r>
      <w:r w:rsidRPr="002B374F">
        <w:rPr>
          <w:rFonts w:ascii="Book Antiqua" w:hAnsi="Book Antiqua" w:cs="宋体"/>
          <w:kern w:val="0"/>
          <w:sz w:val="24"/>
        </w:rPr>
        <w:t>: 516-526 [PMID: 19853565 DOI: 10.1016/j.devcel.2009.08.010]</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3 </w:t>
      </w:r>
      <w:r w:rsidRPr="002B374F">
        <w:rPr>
          <w:rFonts w:ascii="Book Antiqua" w:hAnsi="Book Antiqua" w:cs="宋体"/>
          <w:b/>
          <w:bCs/>
          <w:kern w:val="0"/>
          <w:sz w:val="24"/>
        </w:rPr>
        <w:t>Wu G</w:t>
      </w:r>
      <w:r w:rsidRPr="002B374F">
        <w:rPr>
          <w:rFonts w:ascii="Book Antiqua" w:hAnsi="Book Antiqua" w:cs="宋体"/>
          <w:kern w:val="0"/>
          <w:sz w:val="24"/>
        </w:rPr>
        <w:t xml:space="preserve">, Gentile L, Fuchikami T, Sutter J, Psathaki K, Esteves TC, Araúzo-Bravo MJ, Ortmeier C, Verberk G, Abe K, Schöler HR. Initiation of trophectoderm lineage specification in mouse embryos is independent of Cdx2. </w:t>
      </w:r>
      <w:r w:rsidRPr="002B374F">
        <w:rPr>
          <w:rFonts w:ascii="Book Antiqua" w:hAnsi="Book Antiqua" w:cs="宋体"/>
          <w:i/>
          <w:iCs/>
          <w:kern w:val="0"/>
          <w:sz w:val="24"/>
        </w:rPr>
        <w:t>Development</w:t>
      </w:r>
      <w:r w:rsidRPr="002B374F">
        <w:rPr>
          <w:rFonts w:ascii="Book Antiqua" w:hAnsi="Book Antiqua" w:cs="宋体"/>
          <w:kern w:val="0"/>
          <w:sz w:val="24"/>
        </w:rPr>
        <w:t xml:space="preserve"> 2010; </w:t>
      </w:r>
      <w:r w:rsidRPr="002B374F">
        <w:rPr>
          <w:rFonts w:ascii="Book Antiqua" w:hAnsi="Book Antiqua" w:cs="宋体"/>
          <w:b/>
          <w:bCs/>
          <w:kern w:val="0"/>
          <w:sz w:val="24"/>
        </w:rPr>
        <w:t>137</w:t>
      </w:r>
      <w:r w:rsidRPr="002B374F">
        <w:rPr>
          <w:rFonts w:ascii="Book Antiqua" w:hAnsi="Book Antiqua" w:cs="宋体"/>
          <w:kern w:val="0"/>
          <w:sz w:val="24"/>
        </w:rPr>
        <w:t>: 4159-4169 [PMID: 21098565 DOI: 10.1242/dev.056630]</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4 </w:t>
      </w:r>
      <w:r w:rsidRPr="002B374F">
        <w:rPr>
          <w:rFonts w:ascii="Book Antiqua" w:hAnsi="Book Antiqua" w:cs="宋体"/>
          <w:b/>
          <w:bCs/>
          <w:kern w:val="0"/>
          <w:sz w:val="24"/>
        </w:rPr>
        <w:t>Yan LH</w:t>
      </w:r>
      <w:r w:rsidRPr="002B374F">
        <w:rPr>
          <w:rFonts w:ascii="Book Antiqua" w:hAnsi="Book Antiqua" w:cs="宋体"/>
          <w:kern w:val="0"/>
          <w:sz w:val="24"/>
        </w:rPr>
        <w:t xml:space="preserve">, Wang XT, Yang J, Lian C, Kong FB, Wei WY, Luo W, Xiao Q, Xie YB. Reversal of multidrug resistance in gastric cancer cells by CDX2 downregulation. </w:t>
      </w:r>
      <w:r w:rsidRPr="002B374F">
        <w:rPr>
          <w:rFonts w:ascii="Book Antiqua" w:hAnsi="Book Antiqua" w:cs="宋体"/>
          <w:i/>
          <w:iCs/>
          <w:kern w:val="0"/>
          <w:sz w:val="24"/>
        </w:rPr>
        <w:t>World J Gastroenterol</w:t>
      </w:r>
      <w:r w:rsidRPr="002B374F">
        <w:rPr>
          <w:rFonts w:ascii="Book Antiqua" w:hAnsi="Book Antiqua" w:cs="宋体"/>
          <w:kern w:val="0"/>
          <w:sz w:val="24"/>
        </w:rPr>
        <w:t xml:space="preserve"> 2013; </w:t>
      </w:r>
      <w:r w:rsidRPr="002B374F">
        <w:rPr>
          <w:rFonts w:ascii="Book Antiqua" w:hAnsi="Book Antiqua" w:cs="宋体"/>
          <w:b/>
          <w:bCs/>
          <w:kern w:val="0"/>
          <w:sz w:val="24"/>
        </w:rPr>
        <w:t>19</w:t>
      </w:r>
      <w:r w:rsidRPr="002B374F">
        <w:rPr>
          <w:rFonts w:ascii="Book Antiqua" w:hAnsi="Book Antiqua" w:cs="宋体"/>
          <w:kern w:val="0"/>
          <w:sz w:val="24"/>
        </w:rPr>
        <w:t>: 4155-4165 [PMID: 23864778 DOI: 10.3748/wjg.v19.i26.4155]</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5 </w:t>
      </w:r>
      <w:r w:rsidRPr="002B374F">
        <w:rPr>
          <w:rFonts w:ascii="Book Antiqua" w:hAnsi="Book Antiqua" w:cs="宋体"/>
          <w:b/>
          <w:bCs/>
          <w:kern w:val="0"/>
          <w:sz w:val="24"/>
        </w:rPr>
        <w:t>Takakura Y</w:t>
      </w:r>
      <w:r w:rsidRPr="002B374F">
        <w:rPr>
          <w:rFonts w:ascii="Book Antiqua" w:hAnsi="Book Antiqua" w:cs="宋体"/>
          <w:kern w:val="0"/>
          <w:sz w:val="24"/>
        </w:rPr>
        <w:t xml:space="preserve">, Hinoi T, Oue N, Sasada T, Kawaguchi Y, Okajima M, Akyol A, Fearon ER, Yasui W, Ohdan H. CDX2 regulates multidrug resistance 1 gene expression in malignant intestinal epithelium. </w:t>
      </w:r>
      <w:r w:rsidRPr="002B374F">
        <w:rPr>
          <w:rFonts w:ascii="Book Antiqua" w:hAnsi="Book Antiqua" w:cs="宋体"/>
          <w:i/>
          <w:iCs/>
          <w:kern w:val="0"/>
          <w:sz w:val="24"/>
        </w:rPr>
        <w:t>Cancer Res</w:t>
      </w:r>
      <w:r w:rsidRPr="002B374F">
        <w:rPr>
          <w:rFonts w:ascii="Book Antiqua" w:hAnsi="Book Antiqua" w:cs="宋体"/>
          <w:kern w:val="0"/>
          <w:sz w:val="24"/>
        </w:rPr>
        <w:t xml:space="preserve"> 2010; </w:t>
      </w:r>
      <w:r w:rsidRPr="002B374F">
        <w:rPr>
          <w:rFonts w:ascii="Book Antiqua" w:hAnsi="Book Antiqua" w:cs="宋体"/>
          <w:b/>
          <w:bCs/>
          <w:kern w:val="0"/>
          <w:sz w:val="24"/>
        </w:rPr>
        <w:t>70</w:t>
      </w:r>
      <w:r w:rsidRPr="002B374F">
        <w:rPr>
          <w:rFonts w:ascii="Book Antiqua" w:hAnsi="Book Antiqua" w:cs="宋体"/>
          <w:kern w:val="0"/>
          <w:sz w:val="24"/>
        </w:rPr>
        <w:t>: 6767-6778 [PMID: 20699370 DOI: 10.1158/0008-5472.CAN-09-4701]</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6 </w:t>
      </w:r>
      <w:r w:rsidRPr="002B374F">
        <w:rPr>
          <w:rFonts w:ascii="Book Antiqua" w:hAnsi="Book Antiqua" w:cs="宋体"/>
          <w:b/>
          <w:bCs/>
          <w:kern w:val="0"/>
          <w:sz w:val="24"/>
        </w:rPr>
        <w:t>Bai ZG</w:t>
      </w:r>
      <w:r w:rsidRPr="002B374F">
        <w:rPr>
          <w:rFonts w:ascii="Book Antiqua" w:hAnsi="Book Antiqua" w:cs="宋体"/>
          <w:kern w:val="0"/>
          <w:sz w:val="24"/>
        </w:rPr>
        <w:t xml:space="preserve">, Ye YJ, Shen DH, Lu YY, Zhang ZT, Wang S. PTEN expression and suppression of proliferation are associated with Cdx2 overexpression in gastric cancer cells. </w:t>
      </w:r>
      <w:r w:rsidRPr="002B374F">
        <w:rPr>
          <w:rFonts w:ascii="Book Antiqua" w:hAnsi="Book Antiqua" w:cs="宋体"/>
          <w:i/>
          <w:iCs/>
          <w:kern w:val="0"/>
          <w:sz w:val="24"/>
        </w:rPr>
        <w:t>Int J Oncol</w:t>
      </w:r>
      <w:r w:rsidRPr="002B374F">
        <w:rPr>
          <w:rFonts w:ascii="Book Antiqua" w:hAnsi="Book Antiqua" w:cs="宋体"/>
          <w:kern w:val="0"/>
          <w:sz w:val="24"/>
        </w:rPr>
        <w:t xml:space="preserve"> 2013; </w:t>
      </w:r>
      <w:r w:rsidRPr="002B374F">
        <w:rPr>
          <w:rFonts w:ascii="Book Antiqua" w:hAnsi="Book Antiqua" w:cs="宋体"/>
          <w:b/>
          <w:bCs/>
          <w:kern w:val="0"/>
          <w:sz w:val="24"/>
        </w:rPr>
        <w:t>42</w:t>
      </w:r>
      <w:r w:rsidRPr="002B374F">
        <w:rPr>
          <w:rFonts w:ascii="Book Antiqua" w:hAnsi="Book Antiqua" w:cs="宋体"/>
          <w:kern w:val="0"/>
          <w:sz w:val="24"/>
        </w:rPr>
        <w:t>: 1682-1691 [PMID: 23546539 DOI: 10.3892/ijo.2013.1875]</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7 </w:t>
      </w:r>
      <w:r w:rsidRPr="002B374F">
        <w:rPr>
          <w:rFonts w:ascii="Book Antiqua" w:hAnsi="Book Antiqua" w:cs="宋体"/>
          <w:b/>
          <w:bCs/>
          <w:kern w:val="0"/>
          <w:sz w:val="24"/>
        </w:rPr>
        <w:t>Pereira B</w:t>
      </w:r>
      <w:r w:rsidRPr="002B374F">
        <w:rPr>
          <w:rFonts w:ascii="Book Antiqua" w:hAnsi="Book Antiqua" w:cs="宋体"/>
          <w:kern w:val="0"/>
          <w:sz w:val="24"/>
        </w:rPr>
        <w:t xml:space="preserve">, Sousa S, Barros R, Carreto L, Oliveira P, Oliveira C, Chartier NT, Plateroti M, Rouault JP, Freund JN, Billaud M, Almeida R. CDX2 regulation by the RNA-binding protein MEX3A: impact on intestinal differentiation and stemness. </w:t>
      </w:r>
      <w:r w:rsidRPr="002B374F">
        <w:rPr>
          <w:rFonts w:ascii="Book Antiqua" w:hAnsi="Book Antiqua" w:cs="宋体"/>
          <w:i/>
          <w:iCs/>
          <w:kern w:val="0"/>
          <w:sz w:val="24"/>
        </w:rPr>
        <w:t>Nucleic Acids Res</w:t>
      </w:r>
      <w:r w:rsidRPr="002B374F">
        <w:rPr>
          <w:rFonts w:ascii="Book Antiqua" w:hAnsi="Book Antiqua" w:cs="宋体"/>
          <w:kern w:val="0"/>
          <w:sz w:val="24"/>
        </w:rPr>
        <w:t xml:space="preserve"> 2013; </w:t>
      </w:r>
      <w:r w:rsidRPr="002B374F">
        <w:rPr>
          <w:rFonts w:ascii="Book Antiqua" w:hAnsi="Book Antiqua" w:cs="宋体"/>
          <w:b/>
          <w:bCs/>
          <w:kern w:val="0"/>
          <w:sz w:val="24"/>
        </w:rPr>
        <w:t>41</w:t>
      </w:r>
      <w:r w:rsidRPr="002B374F">
        <w:rPr>
          <w:rFonts w:ascii="Book Antiqua" w:hAnsi="Book Antiqua" w:cs="宋体"/>
          <w:kern w:val="0"/>
          <w:sz w:val="24"/>
        </w:rPr>
        <w:t>: 3986-3999 [PMID: 23408853 DOI: 10.1093/nar/gkt087]</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8 </w:t>
      </w:r>
      <w:r w:rsidRPr="002B374F">
        <w:rPr>
          <w:rFonts w:ascii="Book Antiqua" w:hAnsi="Book Antiqua" w:cs="宋体"/>
          <w:b/>
          <w:bCs/>
          <w:kern w:val="0"/>
          <w:sz w:val="24"/>
        </w:rPr>
        <w:t>Ma L</w:t>
      </w:r>
      <w:r w:rsidRPr="002B374F">
        <w:rPr>
          <w:rFonts w:ascii="Book Antiqua" w:hAnsi="Book Antiqua" w:cs="宋体"/>
          <w:kern w:val="0"/>
          <w:sz w:val="24"/>
        </w:rPr>
        <w:t xml:space="preserve">, Jüttner M, Kullak-Ublick GA, Eloranta JJ. Regulation of the gene encoding the intestinal bile acid transporter ASBT by the caudal-type homeobox proteins CDX1 and CDX2. </w:t>
      </w:r>
      <w:r w:rsidRPr="002B374F">
        <w:rPr>
          <w:rFonts w:ascii="Book Antiqua" w:hAnsi="Book Antiqua" w:cs="宋体"/>
          <w:i/>
          <w:iCs/>
          <w:kern w:val="0"/>
          <w:sz w:val="24"/>
        </w:rPr>
        <w:t>Am J Physiol Gastrointest Liver Physiol</w:t>
      </w:r>
      <w:r w:rsidRPr="002B374F">
        <w:rPr>
          <w:rFonts w:ascii="Book Antiqua" w:hAnsi="Book Antiqua" w:cs="宋体"/>
          <w:kern w:val="0"/>
          <w:sz w:val="24"/>
        </w:rPr>
        <w:t xml:space="preserve"> 2012; </w:t>
      </w:r>
      <w:r w:rsidRPr="002B374F">
        <w:rPr>
          <w:rFonts w:ascii="Book Antiqua" w:hAnsi="Book Antiqua" w:cs="宋体"/>
          <w:b/>
          <w:bCs/>
          <w:kern w:val="0"/>
          <w:sz w:val="24"/>
        </w:rPr>
        <w:t>302</w:t>
      </w:r>
      <w:r w:rsidRPr="002B374F">
        <w:rPr>
          <w:rFonts w:ascii="Book Antiqua" w:hAnsi="Book Antiqua" w:cs="宋体"/>
          <w:kern w:val="0"/>
          <w:sz w:val="24"/>
        </w:rPr>
        <w:t>: G123-G133 [PMID: 22016432 DOI: 10.1152/ajpgi.00102.2011]</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9 </w:t>
      </w:r>
      <w:r w:rsidRPr="002B374F">
        <w:rPr>
          <w:rFonts w:ascii="Book Antiqua" w:hAnsi="Book Antiqua" w:cs="宋体"/>
          <w:b/>
          <w:bCs/>
          <w:kern w:val="0"/>
          <w:sz w:val="24"/>
        </w:rPr>
        <w:t>Mlodzik M</w:t>
      </w:r>
      <w:r w:rsidRPr="002B374F">
        <w:rPr>
          <w:rFonts w:ascii="Book Antiqua" w:hAnsi="Book Antiqua" w:cs="宋体"/>
          <w:kern w:val="0"/>
          <w:sz w:val="24"/>
        </w:rPr>
        <w:t xml:space="preserve">, Fjose A, Gehring WJ. Isolation of caudal, a Drosophila homeo box-containing gene with maternal expression, whose transcripts form a concentration gradient at the pre-blastoderm stage. </w:t>
      </w:r>
      <w:r w:rsidRPr="002B374F">
        <w:rPr>
          <w:rFonts w:ascii="Book Antiqua" w:hAnsi="Book Antiqua" w:cs="宋体"/>
          <w:i/>
          <w:iCs/>
          <w:kern w:val="0"/>
          <w:sz w:val="24"/>
        </w:rPr>
        <w:t>EMBO J</w:t>
      </w:r>
      <w:r w:rsidRPr="002B374F">
        <w:rPr>
          <w:rFonts w:ascii="Book Antiqua" w:hAnsi="Book Antiqua" w:cs="宋体"/>
          <w:kern w:val="0"/>
          <w:sz w:val="24"/>
        </w:rPr>
        <w:t xml:space="preserve"> 1985; </w:t>
      </w:r>
      <w:r w:rsidRPr="002B374F">
        <w:rPr>
          <w:rFonts w:ascii="Book Antiqua" w:hAnsi="Book Antiqua" w:cs="宋体"/>
          <w:b/>
          <w:bCs/>
          <w:kern w:val="0"/>
          <w:sz w:val="24"/>
        </w:rPr>
        <w:t>4</w:t>
      </w:r>
      <w:r w:rsidRPr="002B374F">
        <w:rPr>
          <w:rFonts w:ascii="Book Antiqua" w:hAnsi="Book Antiqua" w:cs="宋体"/>
          <w:kern w:val="0"/>
          <w:sz w:val="24"/>
        </w:rPr>
        <w:t>: 2961-2969 [PMID: 16453641]</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10 </w:t>
      </w:r>
      <w:r w:rsidRPr="002B374F">
        <w:rPr>
          <w:rFonts w:ascii="Book Antiqua" w:hAnsi="Book Antiqua" w:cs="宋体"/>
          <w:b/>
          <w:bCs/>
          <w:kern w:val="0"/>
          <w:sz w:val="24"/>
        </w:rPr>
        <w:t>James R</w:t>
      </w:r>
      <w:r w:rsidRPr="002B374F">
        <w:rPr>
          <w:rFonts w:ascii="Book Antiqua" w:hAnsi="Book Antiqua" w:cs="宋体"/>
          <w:kern w:val="0"/>
          <w:sz w:val="24"/>
        </w:rPr>
        <w:t xml:space="preserve">, Kazenwadel J. Homeobox gene expression in the intestinal epithelium of adult mice. </w:t>
      </w:r>
      <w:r w:rsidRPr="002B374F">
        <w:rPr>
          <w:rFonts w:ascii="Book Antiqua" w:hAnsi="Book Antiqua" w:cs="宋体"/>
          <w:i/>
          <w:iCs/>
          <w:kern w:val="0"/>
          <w:sz w:val="24"/>
        </w:rPr>
        <w:t>J Biol Chem</w:t>
      </w:r>
      <w:r w:rsidRPr="002B374F">
        <w:rPr>
          <w:rFonts w:ascii="Book Antiqua" w:hAnsi="Book Antiqua" w:cs="宋体"/>
          <w:kern w:val="0"/>
          <w:sz w:val="24"/>
        </w:rPr>
        <w:t xml:space="preserve"> 1991; </w:t>
      </w:r>
      <w:r w:rsidRPr="002B374F">
        <w:rPr>
          <w:rFonts w:ascii="Book Antiqua" w:hAnsi="Book Antiqua" w:cs="宋体"/>
          <w:b/>
          <w:bCs/>
          <w:kern w:val="0"/>
          <w:sz w:val="24"/>
        </w:rPr>
        <w:t>266</w:t>
      </w:r>
      <w:r w:rsidRPr="002B374F">
        <w:rPr>
          <w:rFonts w:ascii="Book Antiqua" w:hAnsi="Book Antiqua" w:cs="宋体"/>
          <w:kern w:val="0"/>
          <w:sz w:val="24"/>
        </w:rPr>
        <w:t>: 3246-3251 [PMID: 1671571]</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11 </w:t>
      </w:r>
      <w:r w:rsidRPr="002B374F">
        <w:rPr>
          <w:rFonts w:ascii="Book Antiqua" w:hAnsi="Book Antiqua" w:cs="宋体"/>
          <w:b/>
          <w:bCs/>
          <w:kern w:val="0"/>
          <w:sz w:val="24"/>
        </w:rPr>
        <w:t>Suh E</w:t>
      </w:r>
      <w:r w:rsidRPr="002B374F">
        <w:rPr>
          <w:rFonts w:ascii="Book Antiqua" w:hAnsi="Book Antiqua" w:cs="宋体"/>
          <w:kern w:val="0"/>
          <w:sz w:val="24"/>
        </w:rPr>
        <w:t xml:space="preserve">, Traber PG. An intestine-specific homeobox gene regulates proliferation and differentiation. </w:t>
      </w:r>
      <w:r w:rsidRPr="002B374F">
        <w:rPr>
          <w:rFonts w:ascii="Book Antiqua" w:hAnsi="Book Antiqua" w:cs="宋体"/>
          <w:i/>
          <w:iCs/>
          <w:kern w:val="0"/>
          <w:sz w:val="24"/>
        </w:rPr>
        <w:t>Mol Cell Biol</w:t>
      </w:r>
      <w:r w:rsidRPr="002B374F">
        <w:rPr>
          <w:rFonts w:ascii="Book Antiqua" w:hAnsi="Book Antiqua" w:cs="宋体"/>
          <w:kern w:val="0"/>
          <w:sz w:val="24"/>
        </w:rPr>
        <w:t xml:space="preserve"> 1996; </w:t>
      </w:r>
      <w:r w:rsidRPr="002B374F">
        <w:rPr>
          <w:rFonts w:ascii="Book Antiqua" w:hAnsi="Book Antiqua" w:cs="宋体"/>
          <w:b/>
          <w:bCs/>
          <w:kern w:val="0"/>
          <w:sz w:val="24"/>
        </w:rPr>
        <w:t>16</w:t>
      </w:r>
      <w:r w:rsidRPr="002B374F">
        <w:rPr>
          <w:rFonts w:ascii="Book Antiqua" w:hAnsi="Book Antiqua" w:cs="宋体"/>
          <w:kern w:val="0"/>
          <w:sz w:val="24"/>
        </w:rPr>
        <w:t>: 619-625 [PMID: 8552090]</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12 </w:t>
      </w:r>
      <w:r w:rsidRPr="002B374F">
        <w:rPr>
          <w:rFonts w:ascii="Book Antiqua" w:hAnsi="Book Antiqua" w:cs="宋体"/>
          <w:b/>
          <w:bCs/>
          <w:kern w:val="0"/>
          <w:sz w:val="24"/>
        </w:rPr>
        <w:t>Rao JN</w:t>
      </w:r>
      <w:r w:rsidRPr="002B374F">
        <w:rPr>
          <w:rFonts w:ascii="Book Antiqua" w:hAnsi="Book Antiqua" w:cs="宋体"/>
          <w:kern w:val="0"/>
          <w:sz w:val="24"/>
        </w:rPr>
        <w:t xml:space="preserve">, Li J, Li L, Bass BL, Wang JY. Differentiated intestinal epithelial cells exhibit increased migration through polyamines and myosin II. </w:t>
      </w:r>
      <w:r w:rsidRPr="002B374F">
        <w:rPr>
          <w:rFonts w:ascii="Book Antiqua" w:hAnsi="Book Antiqua" w:cs="宋体"/>
          <w:i/>
          <w:iCs/>
          <w:kern w:val="0"/>
          <w:sz w:val="24"/>
        </w:rPr>
        <w:t>Am J Physiol</w:t>
      </w:r>
      <w:r w:rsidRPr="002B374F">
        <w:rPr>
          <w:rFonts w:ascii="Book Antiqua" w:hAnsi="Book Antiqua" w:cs="宋体"/>
          <w:kern w:val="0"/>
          <w:sz w:val="24"/>
        </w:rPr>
        <w:t xml:space="preserve"> 1999; </w:t>
      </w:r>
      <w:r w:rsidRPr="002B374F">
        <w:rPr>
          <w:rFonts w:ascii="Book Antiqua" w:hAnsi="Book Antiqua" w:cs="宋体"/>
          <w:b/>
          <w:bCs/>
          <w:kern w:val="0"/>
          <w:sz w:val="24"/>
        </w:rPr>
        <w:t>277</w:t>
      </w:r>
      <w:r w:rsidRPr="002B374F">
        <w:rPr>
          <w:rFonts w:ascii="Book Antiqua" w:hAnsi="Book Antiqua" w:cs="宋体"/>
          <w:kern w:val="0"/>
          <w:sz w:val="24"/>
        </w:rPr>
        <w:t>: G1149-G1158 [PMID: 10600811]</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13 </w:t>
      </w:r>
      <w:r w:rsidRPr="002B374F">
        <w:rPr>
          <w:rFonts w:ascii="Book Antiqua" w:hAnsi="Book Antiqua" w:cs="宋体"/>
          <w:b/>
          <w:bCs/>
          <w:kern w:val="0"/>
          <w:sz w:val="24"/>
        </w:rPr>
        <w:t>Gross I</w:t>
      </w:r>
      <w:r w:rsidRPr="002B374F">
        <w:rPr>
          <w:rFonts w:ascii="Book Antiqua" w:hAnsi="Book Antiqua" w:cs="宋体"/>
          <w:kern w:val="0"/>
          <w:sz w:val="24"/>
        </w:rPr>
        <w:t xml:space="preserve">, Duluc I, Benameur T, Calon A, Martin E, Brabletz T, Kedinger M, Domon-Dell C, Freund JN. The intestine-specific homeobox gene Cdx2 decreases </w:t>
      </w:r>
      <w:r w:rsidRPr="002B374F">
        <w:rPr>
          <w:rFonts w:ascii="Book Antiqua" w:hAnsi="Book Antiqua" w:cs="宋体"/>
          <w:kern w:val="0"/>
          <w:sz w:val="24"/>
        </w:rPr>
        <w:lastRenderedPageBreak/>
        <w:t xml:space="preserve">mobility and antagonizes dissemination of colon cancer cells. </w:t>
      </w:r>
      <w:r w:rsidRPr="002B374F">
        <w:rPr>
          <w:rFonts w:ascii="Book Antiqua" w:hAnsi="Book Antiqua" w:cs="宋体"/>
          <w:i/>
          <w:iCs/>
          <w:kern w:val="0"/>
          <w:sz w:val="24"/>
        </w:rPr>
        <w:t>Oncogene</w:t>
      </w:r>
      <w:r w:rsidRPr="002B374F">
        <w:rPr>
          <w:rFonts w:ascii="Book Antiqua" w:hAnsi="Book Antiqua" w:cs="宋体"/>
          <w:kern w:val="0"/>
          <w:sz w:val="24"/>
        </w:rPr>
        <w:t xml:space="preserve"> 2008; </w:t>
      </w:r>
      <w:r w:rsidRPr="002B374F">
        <w:rPr>
          <w:rFonts w:ascii="Book Antiqua" w:hAnsi="Book Antiqua" w:cs="宋体"/>
          <w:b/>
          <w:bCs/>
          <w:kern w:val="0"/>
          <w:sz w:val="24"/>
        </w:rPr>
        <w:t>27</w:t>
      </w:r>
      <w:r w:rsidRPr="002B374F">
        <w:rPr>
          <w:rFonts w:ascii="Book Antiqua" w:hAnsi="Book Antiqua" w:cs="宋体"/>
          <w:kern w:val="0"/>
          <w:sz w:val="24"/>
        </w:rPr>
        <w:t>: 107-115 [PMID: 17599044 DOI: 10.1038/sj.onc.1210601]</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14 </w:t>
      </w:r>
      <w:r w:rsidRPr="002B374F">
        <w:rPr>
          <w:rFonts w:ascii="Book Antiqua" w:hAnsi="Book Antiqua" w:cs="宋体"/>
          <w:b/>
          <w:bCs/>
          <w:kern w:val="0"/>
          <w:sz w:val="24"/>
        </w:rPr>
        <w:t>Silberg DG</w:t>
      </w:r>
      <w:r w:rsidRPr="002B374F">
        <w:rPr>
          <w:rFonts w:ascii="Book Antiqua" w:hAnsi="Book Antiqua" w:cs="宋体"/>
          <w:kern w:val="0"/>
          <w:sz w:val="24"/>
        </w:rPr>
        <w:t xml:space="preserve">, Sullivan J, Kang E, Swain GP, Moffett J, Sund NJ, Sackett SD, Kaestner KH. Cdx2 ectopic expression induces gastric intestinal metaplasia in transgenic mice. </w:t>
      </w:r>
      <w:r w:rsidRPr="002B374F">
        <w:rPr>
          <w:rFonts w:ascii="Book Antiqua" w:hAnsi="Book Antiqua" w:cs="宋体"/>
          <w:i/>
          <w:iCs/>
          <w:kern w:val="0"/>
          <w:sz w:val="24"/>
        </w:rPr>
        <w:t>Gastroenterology</w:t>
      </w:r>
      <w:r w:rsidRPr="002B374F">
        <w:rPr>
          <w:rFonts w:ascii="Book Antiqua" w:hAnsi="Book Antiqua" w:cs="宋体"/>
          <w:kern w:val="0"/>
          <w:sz w:val="24"/>
        </w:rPr>
        <w:t xml:space="preserve"> 2002; </w:t>
      </w:r>
      <w:r w:rsidRPr="002B374F">
        <w:rPr>
          <w:rFonts w:ascii="Book Antiqua" w:hAnsi="Book Antiqua" w:cs="宋体"/>
          <w:b/>
          <w:bCs/>
          <w:kern w:val="0"/>
          <w:sz w:val="24"/>
        </w:rPr>
        <w:t>122</w:t>
      </w:r>
      <w:r w:rsidRPr="002B374F">
        <w:rPr>
          <w:rFonts w:ascii="Book Antiqua" w:hAnsi="Book Antiqua" w:cs="宋体"/>
          <w:kern w:val="0"/>
          <w:sz w:val="24"/>
        </w:rPr>
        <w:t>: 689-696 [PMID: 11875002]</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15 </w:t>
      </w:r>
      <w:r w:rsidRPr="002B374F">
        <w:rPr>
          <w:rFonts w:ascii="Book Antiqua" w:hAnsi="Book Antiqua" w:cs="宋体"/>
          <w:b/>
          <w:bCs/>
          <w:kern w:val="0"/>
          <w:sz w:val="24"/>
        </w:rPr>
        <w:t>Xie Y</w:t>
      </w:r>
      <w:r w:rsidRPr="002B374F">
        <w:rPr>
          <w:rFonts w:ascii="Book Antiqua" w:hAnsi="Book Antiqua" w:cs="宋体"/>
          <w:kern w:val="0"/>
          <w:sz w:val="24"/>
        </w:rPr>
        <w:t xml:space="preserve">, Li L, Wang X, Qin Y, Qian Q, Yuan X, Xiao Q. Overexpression of Cdx2 inhibits progression of gastric cancer in vitro. </w:t>
      </w:r>
      <w:r w:rsidRPr="002B374F">
        <w:rPr>
          <w:rFonts w:ascii="Book Antiqua" w:hAnsi="Book Antiqua" w:cs="宋体"/>
          <w:i/>
          <w:iCs/>
          <w:kern w:val="0"/>
          <w:sz w:val="24"/>
        </w:rPr>
        <w:t>Int J Oncol</w:t>
      </w:r>
      <w:r w:rsidRPr="002B374F">
        <w:rPr>
          <w:rFonts w:ascii="Book Antiqua" w:hAnsi="Book Antiqua" w:cs="宋体"/>
          <w:kern w:val="0"/>
          <w:sz w:val="24"/>
        </w:rPr>
        <w:t xml:space="preserve"> 2010; </w:t>
      </w:r>
      <w:r w:rsidRPr="002B374F">
        <w:rPr>
          <w:rFonts w:ascii="Book Antiqua" w:hAnsi="Book Antiqua" w:cs="宋体"/>
          <w:b/>
          <w:bCs/>
          <w:kern w:val="0"/>
          <w:sz w:val="24"/>
        </w:rPr>
        <w:t>36</w:t>
      </w:r>
      <w:r w:rsidRPr="002B374F">
        <w:rPr>
          <w:rFonts w:ascii="Book Antiqua" w:hAnsi="Book Antiqua" w:cs="宋体"/>
          <w:kern w:val="0"/>
          <w:sz w:val="24"/>
        </w:rPr>
        <w:t>: 509-516 [PMID: 20043087]</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16 </w:t>
      </w:r>
      <w:r w:rsidRPr="002B374F">
        <w:rPr>
          <w:rFonts w:ascii="Book Antiqua" w:hAnsi="Book Antiqua" w:cs="宋体"/>
          <w:b/>
          <w:bCs/>
          <w:kern w:val="0"/>
          <w:sz w:val="24"/>
        </w:rPr>
        <w:t>Dang LH</w:t>
      </w:r>
      <w:r w:rsidRPr="002B374F">
        <w:rPr>
          <w:rFonts w:ascii="Book Antiqua" w:hAnsi="Book Antiqua" w:cs="宋体"/>
          <w:kern w:val="0"/>
          <w:sz w:val="24"/>
        </w:rPr>
        <w:t xml:space="preserve">, Chen F, Knock SA, Huang EH, Feng J, Appelman HD, Dang DT. CDX2 does not suppress tumorigenicity in the human gastric cancer cell line MKN45. </w:t>
      </w:r>
      <w:r w:rsidRPr="002B374F">
        <w:rPr>
          <w:rFonts w:ascii="Book Antiqua" w:hAnsi="Book Antiqua" w:cs="宋体"/>
          <w:i/>
          <w:iCs/>
          <w:kern w:val="0"/>
          <w:sz w:val="24"/>
        </w:rPr>
        <w:t>Oncogene</w:t>
      </w:r>
      <w:r w:rsidRPr="002B374F">
        <w:rPr>
          <w:rFonts w:ascii="Book Antiqua" w:hAnsi="Book Antiqua" w:cs="宋体"/>
          <w:kern w:val="0"/>
          <w:sz w:val="24"/>
        </w:rPr>
        <w:t xml:space="preserve"> 2006; </w:t>
      </w:r>
      <w:r w:rsidRPr="002B374F">
        <w:rPr>
          <w:rFonts w:ascii="Book Antiqua" w:hAnsi="Book Antiqua" w:cs="宋体"/>
          <w:b/>
          <w:bCs/>
          <w:kern w:val="0"/>
          <w:sz w:val="24"/>
        </w:rPr>
        <w:t>25</w:t>
      </w:r>
      <w:r w:rsidRPr="002B374F">
        <w:rPr>
          <w:rFonts w:ascii="Book Antiqua" w:hAnsi="Book Antiqua" w:cs="宋体"/>
          <w:kern w:val="0"/>
          <w:sz w:val="24"/>
        </w:rPr>
        <w:t>: 2048-2059 [PMID: 16331267 DOI: 10.1038/sj.onc.1209243]</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17 </w:t>
      </w:r>
      <w:r w:rsidRPr="002B374F">
        <w:rPr>
          <w:rFonts w:ascii="Book Antiqua" w:hAnsi="Book Antiqua" w:cs="宋体"/>
          <w:b/>
          <w:bCs/>
          <w:kern w:val="0"/>
          <w:sz w:val="24"/>
        </w:rPr>
        <w:t>Rings EH</w:t>
      </w:r>
      <w:r w:rsidRPr="002B374F">
        <w:rPr>
          <w:rFonts w:ascii="Book Antiqua" w:hAnsi="Book Antiqua" w:cs="宋体"/>
          <w:kern w:val="0"/>
          <w:sz w:val="24"/>
        </w:rPr>
        <w:t xml:space="preserve">, Boudreau F, Taylor JK, Moffett J, Suh ER, Traber PG. Phosphorylation of the serine 60 residue within the Cdx2 activation domain mediates its transactivation capacity. </w:t>
      </w:r>
      <w:r w:rsidRPr="002B374F">
        <w:rPr>
          <w:rFonts w:ascii="Book Antiqua" w:hAnsi="Book Antiqua" w:cs="宋体"/>
          <w:i/>
          <w:iCs/>
          <w:kern w:val="0"/>
          <w:sz w:val="24"/>
        </w:rPr>
        <w:t>Gastroenterology</w:t>
      </w:r>
      <w:r w:rsidRPr="002B374F">
        <w:rPr>
          <w:rFonts w:ascii="Book Antiqua" w:hAnsi="Book Antiqua" w:cs="宋体"/>
          <w:kern w:val="0"/>
          <w:sz w:val="24"/>
        </w:rPr>
        <w:t xml:space="preserve"> 2001; </w:t>
      </w:r>
      <w:r w:rsidRPr="002B374F">
        <w:rPr>
          <w:rFonts w:ascii="Book Antiqua" w:hAnsi="Book Antiqua" w:cs="宋体"/>
          <w:b/>
          <w:bCs/>
          <w:kern w:val="0"/>
          <w:sz w:val="24"/>
        </w:rPr>
        <w:t>121</w:t>
      </w:r>
      <w:r w:rsidRPr="002B374F">
        <w:rPr>
          <w:rFonts w:ascii="Book Antiqua" w:hAnsi="Book Antiqua" w:cs="宋体"/>
          <w:kern w:val="0"/>
          <w:sz w:val="24"/>
        </w:rPr>
        <w:t>: 1437-1450 [PMID: 11729123]</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18 </w:t>
      </w:r>
      <w:r w:rsidRPr="002B374F">
        <w:rPr>
          <w:rFonts w:ascii="Book Antiqua" w:hAnsi="Book Antiqua" w:cs="宋体"/>
          <w:b/>
          <w:bCs/>
          <w:kern w:val="0"/>
          <w:sz w:val="24"/>
        </w:rPr>
        <w:t>Park SY</w:t>
      </w:r>
      <w:r w:rsidRPr="002B374F">
        <w:rPr>
          <w:rFonts w:ascii="Book Antiqua" w:hAnsi="Book Antiqua" w:cs="宋体"/>
          <w:kern w:val="0"/>
          <w:sz w:val="24"/>
        </w:rPr>
        <w:t xml:space="preserve">, Jeong MS, Yoo MA, Jang SB. Caudal-related homeodomain proteins CDX1/2 bind to DNA replication-related element binding factor. </w:t>
      </w:r>
      <w:r w:rsidRPr="002B374F">
        <w:rPr>
          <w:rFonts w:ascii="Book Antiqua" w:hAnsi="Book Antiqua" w:cs="宋体"/>
          <w:i/>
          <w:iCs/>
          <w:kern w:val="0"/>
          <w:sz w:val="24"/>
        </w:rPr>
        <w:t>Biochim Biophys Acta</w:t>
      </w:r>
      <w:r w:rsidRPr="002B374F">
        <w:rPr>
          <w:rFonts w:ascii="Book Antiqua" w:hAnsi="Book Antiqua" w:cs="宋体"/>
          <w:kern w:val="0"/>
          <w:sz w:val="24"/>
        </w:rPr>
        <w:t xml:space="preserve"> 2011; </w:t>
      </w:r>
      <w:r w:rsidRPr="002B374F">
        <w:rPr>
          <w:rFonts w:ascii="Book Antiqua" w:hAnsi="Book Antiqua" w:cs="宋体"/>
          <w:b/>
          <w:bCs/>
          <w:kern w:val="0"/>
          <w:sz w:val="24"/>
        </w:rPr>
        <w:t>1814</w:t>
      </w:r>
      <w:r w:rsidRPr="002B374F">
        <w:rPr>
          <w:rFonts w:ascii="Book Antiqua" w:hAnsi="Book Antiqua" w:cs="宋体"/>
          <w:kern w:val="0"/>
          <w:sz w:val="24"/>
        </w:rPr>
        <w:t>: 1891-1899 [PMID: 21821154 DOI: 10.1016/j.bbapap.2011.07.021]</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19 </w:t>
      </w:r>
      <w:r w:rsidRPr="002B374F">
        <w:rPr>
          <w:rFonts w:ascii="Book Antiqua" w:hAnsi="Book Antiqua" w:cs="宋体"/>
          <w:b/>
          <w:bCs/>
          <w:kern w:val="0"/>
          <w:sz w:val="24"/>
        </w:rPr>
        <w:t>LaRonde-LeBlanc N</w:t>
      </w:r>
      <w:r w:rsidRPr="002B374F">
        <w:rPr>
          <w:rFonts w:ascii="Book Antiqua" w:hAnsi="Book Antiqua" w:cs="宋体"/>
          <w:kern w:val="0"/>
          <w:sz w:val="24"/>
        </w:rPr>
        <w:t xml:space="preserve">, Wlodawer A. A family portrait of the RIO kinases. </w:t>
      </w:r>
      <w:r w:rsidRPr="002B374F">
        <w:rPr>
          <w:rFonts w:ascii="Book Antiqua" w:hAnsi="Book Antiqua" w:cs="宋体"/>
          <w:i/>
          <w:iCs/>
          <w:kern w:val="0"/>
          <w:sz w:val="24"/>
        </w:rPr>
        <w:t>J Biol Chem</w:t>
      </w:r>
      <w:r w:rsidRPr="002B374F">
        <w:rPr>
          <w:rFonts w:ascii="Book Antiqua" w:hAnsi="Book Antiqua" w:cs="宋体"/>
          <w:kern w:val="0"/>
          <w:sz w:val="24"/>
        </w:rPr>
        <w:t xml:space="preserve"> 2005; </w:t>
      </w:r>
      <w:r w:rsidRPr="002B374F">
        <w:rPr>
          <w:rFonts w:ascii="Book Antiqua" w:hAnsi="Book Antiqua" w:cs="宋体"/>
          <w:b/>
          <w:bCs/>
          <w:kern w:val="0"/>
          <w:sz w:val="24"/>
        </w:rPr>
        <w:t>280</w:t>
      </w:r>
      <w:r w:rsidRPr="002B374F">
        <w:rPr>
          <w:rFonts w:ascii="Book Antiqua" w:hAnsi="Book Antiqua" w:cs="宋体"/>
          <w:kern w:val="0"/>
          <w:sz w:val="24"/>
        </w:rPr>
        <w:t>: 37297-37300 [PMID: 16183636 DOI: 10.1074/jbc.R500013200]</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20 </w:t>
      </w:r>
      <w:r w:rsidRPr="002B374F">
        <w:rPr>
          <w:rFonts w:ascii="Book Antiqua" w:hAnsi="Book Antiqua" w:cs="宋体"/>
          <w:b/>
          <w:bCs/>
          <w:kern w:val="0"/>
          <w:sz w:val="24"/>
        </w:rPr>
        <w:t>Chan TO</w:t>
      </w:r>
      <w:r w:rsidRPr="002B374F">
        <w:rPr>
          <w:rFonts w:ascii="Book Antiqua" w:hAnsi="Book Antiqua" w:cs="宋体"/>
          <w:kern w:val="0"/>
          <w:sz w:val="24"/>
        </w:rPr>
        <w:t xml:space="preserve">, Pascal JM, Armen RS, Rodeck U. Autoregulation of kinase dephosphorylation by ATP binding in AGC protein kinases. </w:t>
      </w:r>
      <w:r w:rsidRPr="002B374F">
        <w:rPr>
          <w:rFonts w:ascii="Book Antiqua" w:hAnsi="Book Antiqua" w:cs="宋体"/>
          <w:i/>
          <w:iCs/>
          <w:kern w:val="0"/>
          <w:sz w:val="24"/>
        </w:rPr>
        <w:t>Cell Cycle</w:t>
      </w:r>
      <w:r w:rsidRPr="002B374F">
        <w:rPr>
          <w:rFonts w:ascii="Book Antiqua" w:hAnsi="Book Antiqua" w:cs="宋体"/>
          <w:kern w:val="0"/>
          <w:sz w:val="24"/>
        </w:rPr>
        <w:t xml:space="preserve"> 2012; </w:t>
      </w:r>
      <w:r w:rsidRPr="002B374F">
        <w:rPr>
          <w:rFonts w:ascii="Book Antiqua" w:hAnsi="Book Antiqua" w:cs="宋体"/>
          <w:b/>
          <w:bCs/>
          <w:kern w:val="0"/>
          <w:sz w:val="24"/>
        </w:rPr>
        <w:t>11</w:t>
      </w:r>
      <w:r w:rsidRPr="002B374F">
        <w:rPr>
          <w:rFonts w:ascii="Book Antiqua" w:hAnsi="Book Antiqua" w:cs="宋体"/>
          <w:kern w:val="0"/>
          <w:sz w:val="24"/>
        </w:rPr>
        <w:t>: 475-478 [PMID: 22262182 DOI: 10.4161/cc.11.3.19059]</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21 </w:t>
      </w:r>
      <w:r w:rsidRPr="002B374F">
        <w:rPr>
          <w:rFonts w:ascii="Book Antiqua" w:hAnsi="Book Antiqua" w:cs="宋体"/>
          <w:b/>
          <w:bCs/>
          <w:kern w:val="0"/>
          <w:sz w:val="24"/>
        </w:rPr>
        <w:t>Duncan JS</w:t>
      </w:r>
      <w:r w:rsidRPr="002B374F">
        <w:rPr>
          <w:rFonts w:ascii="Book Antiqua" w:hAnsi="Book Antiqua" w:cs="宋体"/>
          <w:kern w:val="0"/>
          <w:sz w:val="24"/>
        </w:rPr>
        <w:t xml:space="preserve">, Turowec JP, Vilk G, Li SS, Gloor GB, Litchfield DW. Regulation of cell proliferation and survival: convergence of protein kinases and caspases. </w:t>
      </w:r>
      <w:r w:rsidRPr="002B374F">
        <w:rPr>
          <w:rFonts w:ascii="Book Antiqua" w:hAnsi="Book Antiqua" w:cs="宋体"/>
          <w:i/>
          <w:iCs/>
          <w:kern w:val="0"/>
          <w:sz w:val="24"/>
        </w:rPr>
        <w:t>Biochim Biophys Acta</w:t>
      </w:r>
      <w:r w:rsidRPr="002B374F">
        <w:rPr>
          <w:rFonts w:ascii="Book Antiqua" w:hAnsi="Book Antiqua" w:cs="宋体"/>
          <w:kern w:val="0"/>
          <w:sz w:val="24"/>
        </w:rPr>
        <w:t xml:space="preserve"> 2010; </w:t>
      </w:r>
      <w:r w:rsidRPr="002B374F">
        <w:rPr>
          <w:rFonts w:ascii="Book Antiqua" w:hAnsi="Book Antiqua" w:cs="宋体"/>
          <w:b/>
          <w:bCs/>
          <w:kern w:val="0"/>
          <w:sz w:val="24"/>
        </w:rPr>
        <w:t>1804</w:t>
      </w:r>
      <w:r w:rsidRPr="002B374F">
        <w:rPr>
          <w:rFonts w:ascii="Book Antiqua" w:hAnsi="Book Antiqua" w:cs="宋体"/>
          <w:kern w:val="0"/>
          <w:sz w:val="24"/>
        </w:rPr>
        <w:t>: 505-510 [PMID: 19900592 DOI: 10.1016/j.bbapap.2009.11.001]</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22 </w:t>
      </w:r>
      <w:r w:rsidRPr="002B374F">
        <w:rPr>
          <w:rFonts w:ascii="Book Antiqua" w:hAnsi="Book Antiqua" w:cs="宋体"/>
          <w:b/>
          <w:bCs/>
          <w:kern w:val="0"/>
          <w:sz w:val="24"/>
        </w:rPr>
        <w:t>Kim EK</w:t>
      </w:r>
      <w:r w:rsidRPr="002B374F">
        <w:rPr>
          <w:rFonts w:ascii="Book Antiqua" w:hAnsi="Book Antiqua" w:cs="宋体"/>
          <w:kern w:val="0"/>
          <w:sz w:val="24"/>
        </w:rPr>
        <w:t xml:space="preserve">, Choi EJ. Pathological roles of MAPK signaling pathways in human diseases. </w:t>
      </w:r>
      <w:r w:rsidRPr="002B374F">
        <w:rPr>
          <w:rFonts w:ascii="Book Antiqua" w:hAnsi="Book Antiqua" w:cs="宋体"/>
          <w:i/>
          <w:iCs/>
          <w:kern w:val="0"/>
          <w:sz w:val="24"/>
        </w:rPr>
        <w:t>Biochim Biophys Acta</w:t>
      </w:r>
      <w:r w:rsidRPr="002B374F">
        <w:rPr>
          <w:rFonts w:ascii="Book Antiqua" w:hAnsi="Book Antiqua" w:cs="宋体"/>
          <w:kern w:val="0"/>
          <w:sz w:val="24"/>
        </w:rPr>
        <w:t xml:space="preserve"> 2010; </w:t>
      </w:r>
      <w:r w:rsidRPr="002B374F">
        <w:rPr>
          <w:rFonts w:ascii="Book Antiqua" w:hAnsi="Book Antiqua" w:cs="宋体"/>
          <w:b/>
          <w:bCs/>
          <w:kern w:val="0"/>
          <w:sz w:val="24"/>
        </w:rPr>
        <w:t>1802</w:t>
      </w:r>
      <w:r w:rsidRPr="002B374F">
        <w:rPr>
          <w:rFonts w:ascii="Book Antiqua" w:hAnsi="Book Antiqua" w:cs="宋体"/>
          <w:kern w:val="0"/>
          <w:sz w:val="24"/>
        </w:rPr>
        <w:t>: 396-405 [PMID: 20079433 DOI: 10.1016/j.bbadis.2009.12.009]</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23 </w:t>
      </w:r>
      <w:r w:rsidRPr="002B374F">
        <w:rPr>
          <w:rFonts w:ascii="Book Antiqua" w:hAnsi="Book Antiqua" w:cs="宋体"/>
          <w:b/>
          <w:bCs/>
          <w:kern w:val="0"/>
          <w:sz w:val="24"/>
        </w:rPr>
        <w:t>Houde M</w:t>
      </w:r>
      <w:r w:rsidRPr="002B374F">
        <w:rPr>
          <w:rFonts w:ascii="Book Antiqua" w:hAnsi="Book Antiqua" w:cs="宋体"/>
          <w:kern w:val="0"/>
          <w:sz w:val="24"/>
        </w:rPr>
        <w:t xml:space="preserve">, Laprise P, Jean D, Blais M, Asselin C, Rivard N. Intestinal epithelial cell differentiation involves activation of p38 mitogen-activated protein kinase that regulates the homeobox transcription factor CDX2. </w:t>
      </w:r>
      <w:r w:rsidRPr="002B374F">
        <w:rPr>
          <w:rFonts w:ascii="Book Antiqua" w:hAnsi="Book Antiqua" w:cs="宋体"/>
          <w:i/>
          <w:iCs/>
          <w:kern w:val="0"/>
          <w:sz w:val="24"/>
        </w:rPr>
        <w:t>J Biol Chem</w:t>
      </w:r>
      <w:r w:rsidRPr="002B374F">
        <w:rPr>
          <w:rFonts w:ascii="Book Antiqua" w:hAnsi="Book Antiqua" w:cs="宋体"/>
          <w:kern w:val="0"/>
          <w:sz w:val="24"/>
        </w:rPr>
        <w:t xml:space="preserve"> 2001; </w:t>
      </w:r>
      <w:r w:rsidRPr="002B374F">
        <w:rPr>
          <w:rFonts w:ascii="Book Antiqua" w:hAnsi="Book Antiqua" w:cs="宋体"/>
          <w:b/>
          <w:bCs/>
          <w:kern w:val="0"/>
          <w:sz w:val="24"/>
        </w:rPr>
        <w:t>276</w:t>
      </w:r>
      <w:r w:rsidRPr="002B374F">
        <w:rPr>
          <w:rFonts w:ascii="Book Antiqua" w:hAnsi="Book Antiqua" w:cs="宋体"/>
          <w:kern w:val="0"/>
          <w:sz w:val="24"/>
        </w:rPr>
        <w:t>: 21885-21894 [PMID: 11283019 DOI: 10.1074/jbc.M100236200]</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24 </w:t>
      </w:r>
      <w:r w:rsidRPr="002B374F">
        <w:rPr>
          <w:rFonts w:ascii="Book Antiqua" w:hAnsi="Book Antiqua" w:cs="宋体"/>
          <w:b/>
          <w:bCs/>
          <w:kern w:val="0"/>
          <w:sz w:val="24"/>
        </w:rPr>
        <w:t>Mesquita P</w:t>
      </w:r>
      <w:r w:rsidRPr="002B374F">
        <w:rPr>
          <w:rFonts w:ascii="Book Antiqua" w:hAnsi="Book Antiqua" w:cs="宋体"/>
          <w:kern w:val="0"/>
          <w:sz w:val="24"/>
        </w:rPr>
        <w:t xml:space="preserve">, Raquel A, Nuno L, Reis CA, Silva LF, Serpa J, Van Seuningen I, Barros H, David L. Metaplasia--a transdifferentiation process that facilitates cancer development: the model of gastric intestinal metaplasia. </w:t>
      </w:r>
      <w:r w:rsidRPr="002B374F">
        <w:rPr>
          <w:rFonts w:ascii="Book Antiqua" w:hAnsi="Book Antiqua" w:cs="宋体"/>
          <w:i/>
          <w:iCs/>
          <w:kern w:val="0"/>
          <w:sz w:val="24"/>
        </w:rPr>
        <w:t>Crit Rev Oncog</w:t>
      </w:r>
      <w:r w:rsidRPr="002B374F">
        <w:rPr>
          <w:rFonts w:ascii="Book Antiqua" w:hAnsi="Book Antiqua" w:cs="宋体"/>
          <w:kern w:val="0"/>
          <w:sz w:val="24"/>
        </w:rPr>
        <w:t xml:space="preserve"> 2006; </w:t>
      </w:r>
      <w:r w:rsidRPr="002B374F">
        <w:rPr>
          <w:rFonts w:ascii="Book Antiqua" w:hAnsi="Book Antiqua" w:cs="宋体"/>
          <w:b/>
          <w:bCs/>
          <w:kern w:val="0"/>
          <w:sz w:val="24"/>
        </w:rPr>
        <w:t>12</w:t>
      </w:r>
      <w:r w:rsidRPr="002B374F">
        <w:rPr>
          <w:rFonts w:ascii="Book Antiqua" w:hAnsi="Book Antiqua" w:cs="宋体"/>
          <w:kern w:val="0"/>
          <w:sz w:val="24"/>
        </w:rPr>
        <w:t>: 3-26 [PMID: 17078204]</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25 </w:t>
      </w:r>
      <w:r w:rsidRPr="002B374F">
        <w:rPr>
          <w:rFonts w:ascii="Book Antiqua" w:hAnsi="Book Antiqua" w:cs="宋体"/>
          <w:b/>
          <w:bCs/>
          <w:kern w:val="0"/>
          <w:sz w:val="24"/>
        </w:rPr>
        <w:t>Mutoh H</w:t>
      </w:r>
      <w:r w:rsidRPr="002B374F">
        <w:rPr>
          <w:rFonts w:ascii="Book Antiqua" w:hAnsi="Book Antiqua" w:cs="宋体"/>
          <w:kern w:val="0"/>
          <w:sz w:val="24"/>
        </w:rPr>
        <w:t xml:space="preserve">, Sakurai S, Satoh K, Osawa H, Tomiyama T, Kita H, Yoshida T, Tamada K, Yamamoto H, Isoda N, Ido K, Sugano K. Pericryptal fibroblast sheath in intestinal metaplasia and gastric carcinoma. </w:t>
      </w:r>
      <w:r w:rsidRPr="002B374F">
        <w:rPr>
          <w:rFonts w:ascii="Book Antiqua" w:hAnsi="Book Antiqua" w:cs="宋体"/>
          <w:i/>
          <w:iCs/>
          <w:kern w:val="0"/>
          <w:sz w:val="24"/>
        </w:rPr>
        <w:t>Gut</w:t>
      </w:r>
      <w:r w:rsidRPr="002B374F">
        <w:rPr>
          <w:rFonts w:ascii="Book Antiqua" w:hAnsi="Book Antiqua" w:cs="宋体"/>
          <w:kern w:val="0"/>
          <w:sz w:val="24"/>
        </w:rPr>
        <w:t xml:space="preserve"> 2005; </w:t>
      </w:r>
      <w:r w:rsidRPr="002B374F">
        <w:rPr>
          <w:rFonts w:ascii="Book Antiqua" w:hAnsi="Book Antiqua" w:cs="宋体"/>
          <w:b/>
          <w:bCs/>
          <w:kern w:val="0"/>
          <w:sz w:val="24"/>
        </w:rPr>
        <w:t>54</w:t>
      </w:r>
      <w:r w:rsidRPr="002B374F">
        <w:rPr>
          <w:rFonts w:ascii="Book Antiqua" w:hAnsi="Book Antiqua" w:cs="宋体"/>
          <w:kern w:val="0"/>
          <w:sz w:val="24"/>
        </w:rPr>
        <w:t>: 33-39 [PMID: 15591501 DOI: 10.1136/gut.2004.042770]</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lastRenderedPageBreak/>
        <w:t xml:space="preserve">26 </w:t>
      </w:r>
      <w:r w:rsidRPr="002B374F">
        <w:rPr>
          <w:rFonts w:ascii="Book Antiqua" w:hAnsi="Book Antiqua" w:cs="宋体"/>
          <w:b/>
          <w:bCs/>
          <w:kern w:val="0"/>
          <w:sz w:val="24"/>
        </w:rPr>
        <w:t>Peleteiro B</w:t>
      </w:r>
      <w:r w:rsidRPr="002B374F">
        <w:rPr>
          <w:rFonts w:ascii="Book Antiqua" w:hAnsi="Book Antiqua" w:cs="宋体"/>
          <w:kern w:val="0"/>
          <w:sz w:val="24"/>
        </w:rPr>
        <w:t xml:space="preserve">, La Vecchia C, Lunet N. The role of Helicobacter pylori infection in the web of gastric cancer causation. </w:t>
      </w:r>
      <w:r w:rsidRPr="002B374F">
        <w:rPr>
          <w:rFonts w:ascii="Book Antiqua" w:hAnsi="Book Antiqua" w:cs="宋体"/>
          <w:i/>
          <w:iCs/>
          <w:kern w:val="0"/>
          <w:sz w:val="24"/>
        </w:rPr>
        <w:t>Eur J Cancer Prev</w:t>
      </w:r>
      <w:r w:rsidRPr="002B374F">
        <w:rPr>
          <w:rFonts w:ascii="Book Antiqua" w:hAnsi="Book Antiqua" w:cs="宋体"/>
          <w:kern w:val="0"/>
          <w:sz w:val="24"/>
        </w:rPr>
        <w:t xml:space="preserve"> 2012; </w:t>
      </w:r>
      <w:r w:rsidRPr="002B374F">
        <w:rPr>
          <w:rFonts w:ascii="Book Antiqua" w:hAnsi="Book Antiqua" w:cs="宋体"/>
          <w:b/>
          <w:bCs/>
          <w:kern w:val="0"/>
          <w:sz w:val="24"/>
        </w:rPr>
        <w:t>21</w:t>
      </w:r>
      <w:r w:rsidRPr="002B374F">
        <w:rPr>
          <w:rFonts w:ascii="Book Antiqua" w:hAnsi="Book Antiqua" w:cs="宋体"/>
          <w:kern w:val="0"/>
          <w:sz w:val="24"/>
        </w:rPr>
        <w:t>: 118-125 [PMID: 21862926 DOI: 10.1097/CEJ.0b013e32834a7f66]</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27 </w:t>
      </w:r>
      <w:r w:rsidRPr="002B374F">
        <w:rPr>
          <w:rFonts w:ascii="Book Antiqua" w:hAnsi="Book Antiqua" w:cs="宋体"/>
          <w:b/>
          <w:bCs/>
          <w:kern w:val="0"/>
          <w:sz w:val="24"/>
        </w:rPr>
        <w:t>Uemura N</w:t>
      </w:r>
      <w:r w:rsidRPr="002B374F">
        <w:rPr>
          <w:rFonts w:ascii="Book Antiqua" w:hAnsi="Book Antiqua" w:cs="宋体"/>
          <w:kern w:val="0"/>
          <w:sz w:val="24"/>
        </w:rPr>
        <w:t xml:space="preserve">, Okamoto S, Yamamoto S, Matsumura N, Yamaguchi S, Yamakido M, Taniyama K, Sasaki N, Schlemper RJ. Helicobacter pylori infection and the development of gastric cancer. </w:t>
      </w:r>
      <w:r w:rsidRPr="002B374F">
        <w:rPr>
          <w:rFonts w:ascii="Book Antiqua" w:hAnsi="Book Antiqua" w:cs="宋体"/>
          <w:i/>
          <w:iCs/>
          <w:kern w:val="0"/>
          <w:sz w:val="24"/>
        </w:rPr>
        <w:t>N Engl J Med</w:t>
      </w:r>
      <w:r w:rsidRPr="002B374F">
        <w:rPr>
          <w:rFonts w:ascii="Book Antiqua" w:hAnsi="Book Antiqua" w:cs="宋体"/>
          <w:kern w:val="0"/>
          <w:sz w:val="24"/>
        </w:rPr>
        <w:t xml:space="preserve"> 2001; </w:t>
      </w:r>
      <w:r w:rsidRPr="002B374F">
        <w:rPr>
          <w:rFonts w:ascii="Book Antiqua" w:hAnsi="Book Antiqua" w:cs="宋体"/>
          <w:b/>
          <w:bCs/>
          <w:kern w:val="0"/>
          <w:sz w:val="24"/>
        </w:rPr>
        <w:t>345</w:t>
      </w:r>
      <w:r w:rsidRPr="002B374F">
        <w:rPr>
          <w:rFonts w:ascii="Book Antiqua" w:hAnsi="Book Antiqua" w:cs="宋体"/>
          <w:kern w:val="0"/>
          <w:sz w:val="24"/>
        </w:rPr>
        <w:t>: 784-789 [PMID: 11556297 DOI: 10.1056/NEJMoa001999]</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28 </w:t>
      </w:r>
      <w:r w:rsidRPr="002B374F">
        <w:rPr>
          <w:rFonts w:ascii="Book Antiqua" w:hAnsi="Book Antiqua" w:cs="宋体"/>
          <w:b/>
          <w:bCs/>
          <w:kern w:val="0"/>
          <w:sz w:val="24"/>
        </w:rPr>
        <w:t>Fock KM</w:t>
      </w:r>
      <w:r w:rsidRPr="002B374F">
        <w:rPr>
          <w:rFonts w:ascii="Book Antiqua" w:hAnsi="Book Antiqua" w:cs="宋体"/>
          <w:kern w:val="0"/>
          <w:sz w:val="24"/>
        </w:rPr>
        <w:t xml:space="preserve">, Ang TL. Epidemiology of Helicobacter pylori infection and gastric cancer in Asia. </w:t>
      </w:r>
      <w:r w:rsidRPr="002B374F">
        <w:rPr>
          <w:rFonts w:ascii="Book Antiqua" w:hAnsi="Book Antiqua" w:cs="宋体"/>
          <w:i/>
          <w:iCs/>
          <w:kern w:val="0"/>
          <w:sz w:val="24"/>
        </w:rPr>
        <w:t>J Gastroenterol Hepatol</w:t>
      </w:r>
      <w:r w:rsidRPr="002B374F">
        <w:rPr>
          <w:rFonts w:ascii="Book Antiqua" w:hAnsi="Book Antiqua" w:cs="宋体"/>
          <w:kern w:val="0"/>
          <w:sz w:val="24"/>
        </w:rPr>
        <w:t xml:space="preserve"> 2010; </w:t>
      </w:r>
      <w:r w:rsidRPr="002B374F">
        <w:rPr>
          <w:rFonts w:ascii="Book Antiqua" w:hAnsi="Book Antiqua" w:cs="宋体"/>
          <w:b/>
          <w:bCs/>
          <w:kern w:val="0"/>
          <w:sz w:val="24"/>
        </w:rPr>
        <w:t>25</w:t>
      </w:r>
      <w:r w:rsidRPr="002B374F">
        <w:rPr>
          <w:rFonts w:ascii="Book Antiqua" w:hAnsi="Book Antiqua" w:cs="宋体"/>
          <w:kern w:val="0"/>
          <w:sz w:val="24"/>
        </w:rPr>
        <w:t>: 479-486 [PMID: 20370726 DOI: 10.1111/j.1440-1746.2009.06188.x]</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29 </w:t>
      </w:r>
      <w:r w:rsidRPr="002B374F">
        <w:rPr>
          <w:rFonts w:ascii="Book Antiqua" w:hAnsi="Book Antiqua" w:cs="宋体"/>
          <w:b/>
          <w:bCs/>
          <w:kern w:val="0"/>
          <w:sz w:val="24"/>
        </w:rPr>
        <w:t>Zheng Q</w:t>
      </w:r>
      <w:r w:rsidRPr="002B374F">
        <w:rPr>
          <w:rFonts w:ascii="Book Antiqua" w:hAnsi="Book Antiqua" w:cs="宋体"/>
          <w:kern w:val="0"/>
          <w:sz w:val="24"/>
        </w:rPr>
        <w:t xml:space="preserve">, Chen XY, Shi Y, Xiao SD. Development of gastric adenocarcinoma in Mongolian gerbils after long-term infection with Helicobacter pylori. </w:t>
      </w:r>
      <w:r w:rsidRPr="002B374F">
        <w:rPr>
          <w:rFonts w:ascii="Book Antiqua" w:hAnsi="Book Antiqua" w:cs="宋体"/>
          <w:i/>
          <w:iCs/>
          <w:kern w:val="0"/>
          <w:sz w:val="24"/>
        </w:rPr>
        <w:t>J Gastroenterol Hepatol</w:t>
      </w:r>
      <w:r w:rsidRPr="002B374F">
        <w:rPr>
          <w:rFonts w:ascii="Book Antiqua" w:hAnsi="Book Antiqua" w:cs="宋体"/>
          <w:kern w:val="0"/>
          <w:sz w:val="24"/>
        </w:rPr>
        <w:t xml:space="preserve"> 2004; </w:t>
      </w:r>
      <w:r w:rsidRPr="002B374F">
        <w:rPr>
          <w:rFonts w:ascii="Book Antiqua" w:hAnsi="Book Antiqua" w:cs="宋体"/>
          <w:b/>
          <w:bCs/>
          <w:kern w:val="0"/>
          <w:sz w:val="24"/>
        </w:rPr>
        <w:t>19</w:t>
      </w:r>
      <w:r w:rsidRPr="002B374F">
        <w:rPr>
          <w:rFonts w:ascii="Book Antiqua" w:hAnsi="Book Antiqua" w:cs="宋体"/>
          <w:kern w:val="0"/>
          <w:sz w:val="24"/>
        </w:rPr>
        <w:t>: 1192-1198 [PMID: 15377299 DOI: 10.1111/j.1440-1746.2004.03469.x]</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30 </w:t>
      </w:r>
      <w:r w:rsidRPr="002B374F">
        <w:rPr>
          <w:rFonts w:ascii="Book Antiqua" w:hAnsi="Book Antiqua" w:cs="宋体"/>
          <w:b/>
          <w:bCs/>
          <w:kern w:val="0"/>
          <w:sz w:val="24"/>
        </w:rPr>
        <w:t>Tsukamoto T</w:t>
      </w:r>
      <w:r w:rsidRPr="002B374F">
        <w:rPr>
          <w:rFonts w:ascii="Book Antiqua" w:hAnsi="Book Antiqua" w:cs="宋体"/>
          <w:kern w:val="0"/>
          <w:sz w:val="24"/>
        </w:rPr>
        <w:t xml:space="preserve">, Toyoda T, Mizoshita T, Tatematsu M. Helicobacter pylori infection and gastric carcinogenesis in rodent models. </w:t>
      </w:r>
      <w:r w:rsidRPr="002B374F">
        <w:rPr>
          <w:rFonts w:ascii="Book Antiqua" w:hAnsi="Book Antiqua" w:cs="宋体"/>
          <w:i/>
          <w:iCs/>
          <w:kern w:val="0"/>
          <w:sz w:val="24"/>
        </w:rPr>
        <w:t>Semin Immunopathol</w:t>
      </w:r>
      <w:r w:rsidRPr="002B374F">
        <w:rPr>
          <w:rFonts w:ascii="Book Antiqua" w:hAnsi="Book Antiqua" w:cs="宋体"/>
          <w:kern w:val="0"/>
          <w:sz w:val="24"/>
        </w:rPr>
        <w:t xml:space="preserve"> 2013; </w:t>
      </w:r>
      <w:r w:rsidRPr="002B374F">
        <w:rPr>
          <w:rFonts w:ascii="Book Antiqua" w:hAnsi="Book Antiqua" w:cs="宋体"/>
          <w:b/>
          <w:bCs/>
          <w:kern w:val="0"/>
          <w:sz w:val="24"/>
        </w:rPr>
        <w:t>35</w:t>
      </w:r>
      <w:r w:rsidRPr="002B374F">
        <w:rPr>
          <w:rFonts w:ascii="Book Antiqua" w:hAnsi="Book Antiqua" w:cs="宋体"/>
          <w:kern w:val="0"/>
          <w:sz w:val="24"/>
        </w:rPr>
        <w:t>: 177-190 [PMID: 23111700 DOI: 10.1007/s00281-012-0357-1]</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31 </w:t>
      </w:r>
      <w:r w:rsidRPr="002B374F">
        <w:rPr>
          <w:rFonts w:ascii="Book Antiqua" w:hAnsi="Book Antiqua" w:cs="宋体"/>
          <w:b/>
          <w:bCs/>
          <w:kern w:val="0"/>
          <w:sz w:val="24"/>
        </w:rPr>
        <w:t>Mutoh H</w:t>
      </w:r>
      <w:r w:rsidRPr="002B374F">
        <w:rPr>
          <w:rFonts w:ascii="Book Antiqua" w:hAnsi="Book Antiqua" w:cs="宋体"/>
          <w:kern w:val="0"/>
          <w:sz w:val="24"/>
        </w:rPr>
        <w:t xml:space="preserve">, Hakamata Y, Sato K, Eda A, Yanaka I, Honda S, Osawa H, Kaneko Y, Sugano K. Conversion of gastric mucosa to intestinal metaplasia in Cdx2-expressing transgenic mice. </w:t>
      </w:r>
      <w:r w:rsidRPr="002B374F">
        <w:rPr>
          <w:rFonts w:ascii="Book Antiqua" w:hAnsi="Book Antiqua" w:cs="宋体"/>
          <w:i/>
          <w:iCs/>
          <w:kern w:val="0"/>
          <w:sz w:val="24"/>
        </w:rPr>
        <w:t>Biochem Biophys Res Commun</w:t>
      </w:r>
      <w:r w:rsidRPr="002B374F">
        <w:rPr>
          <w:rFonts w:ascii="Book Antiqua" w:hAnsi="Book Antiqua" w:cs="宋体"/>
          <w:kern w:val="0"/>
          <w:sz w:val="24"/>
        </w:rPr>
        <w:t xml:space="preserve"> 2002; </w:t>
      </w:r>
      <w:r w:rsidRPr="002B374F">
        <w:rPr>
          <w:rFonts w:ascii="Book Antiqua" w:hAnsi="Book Antiqua" w:cs="宋体"/>
          <w:b/>
          <w:bCs/>
          <w:kern w:val="0"/>
          <w:sz w:val="24"/>
        </w:rPr>
        <w:t>294</w:t>
      </w:r>
      <w:r w:rsidRPr="002B374F">
        <w:rPr>
          <w:rFonts w:ascii="Book Antiqua" w:hAnsi="Book Antiqua" w:cs="宋体"/>
          <w:kern w:val="0"/>
          <w:sz w:val="24"/>
        </w:rPr>
        <w:t>: 470-479 [PMID: 12051735 DOI: 10.1016/S0006-291X(02)00480-1]</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32 </w:t>
      </w:r>
      <w:r w:rsidRPr="002B374F">
        <w:rPr>
          <w:rFonts w:ascii="Book Antiqua" w:hAnsi="Book Antiqua" w:cs="宋体"/>
          <w:b/>
          <w:bCs/>
          <w:kern w:val="0"/>
          <w:sz w:val="24"/>
        </w:rPr>
        <w:t>Friis-Hansen L</w:t>
      </w:r>
      <w:r w:rsidRPr="002B374F">
        <w:rPr>
          <w:rFonts w:ascii="Book Antiqua" w:hAnsi="Book Antiqua" w:cs="宋体"/>
          <w:kern w:val="0"/>
          <w:sz w:val="24"/>
        </w:rPr>
        <w:t xml:space="preserve">, Rieneck K, Nilsson HO, Wadström T, Rehfeld JF. Gastric inflammation, metaplasia, and tumor development in gastrin-deficient mice. </w:t>
      </w:r>
      <w:r w:rsidRPr="002B374F">
        <w:rPr>
          <w:rFonts w:ascii="Book Antiqua" w:hAnsi="Book Antiqua" w:cs="宋体"/>
          <w:i/>
          <w:iCs/>
          <w:kern w:val="0"/>
          <w:sz w:val="24"/>
        </w:rPr>
        <w:t>Gastroenterology</w:t>
      </w:r>
      <w:r w:rsidRPr="002B374F">
        <w:rPr>
          <w:rFonts w:ascii="Book Antiqua" w:hAnsi="Book Antiqua" w:cs="宋体"/>
          <w:kern w:val="0"/>
          <w:sz w:val="24"/>
        </w:rPr>
        <w:t xml:space="preserve"> 2006; </w:t>
      </w:r>
      <w:r w:rsidRPr="002B374F">
        <w:rPr>
          <w:rFonts w:ascii="Book Antiqua" w:hAnsi="Book Antiqua" w:cs="宋体"/>
          <w:b/>
          <w:bCs/>
          <w:kern w:val="0"/>
          <w:sz w:val="24"/>
        </w:rPr>
        <w:t>131</w:t>
      </w:r>
      <w:r w:rsidRPr="002B374F">
        <w:rPr>
          <w:rFonts w:ascii="Book Antiqua" w:hAnsi="Book Antiqua" w:cs="宋体"/>
          <w:kern w:val="0"/>
          <w:sz w:val="24"/>
        </w:rPr>
        <w:t>: 246-258 [PMID: 16831607 DOI: 10.1053/j.gastro.2006.04.031]</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33 </w:t>
      </w:r>
      <w:r w:rsidRPr="002B374F">
        <w:rPr>
          <w:rFonts w:ascii="Book Antiqua" w:hAnsi="Book Antiqua" w:cs="宋体"/>
          <w:b/>
          <w:bCs/>
          <w:kern w:val="0"/>
          <w:sz w:val="24"/>
        </w:rPr>
        <w:t>Zavros Y</w:t>
      </w:r>
      <w:r w:rsidRPr="002B374F">
        <w:rPr>
          <w:rFonts w:ascii="Book Antiqua" w:hAnsi="Book Antiqua" w:cs="宋体"/>
          <w:kern w:val="0"/>
          <w:sz w:val="24"/>
        </w:rPr>
        <w:t xml:space="preserve">, Eaton KA, Kang W, Rathinavelu S, Katukuri V, Kao JY, Samuelson LC, Merchant JL. Chronic gastritis in the hypochlorhydric gastrin-deficient mouse progresses to adenocarcinoma. </w:t>
      </w:r>
      <w:r w:rsidRPr="002B374F">
        <w:rPr>
          <w:rFonts w:ascii="Book Antiqua" w:hAnsi="Book Antiqua" w:cs="宋体"/>
          <w:i/>
          <w:iCs/>
          <w:kern w:val="0"/>
          <w:sz w:val="24"/>
        </w:rPr>
        <w:t>Oncogene</w:t>
      </w:r>
      <w:r w:rsidRPr="002B374F">
        <w:rPr>
          <w:rFonts w:ascii="Book Antiqua" w:hAnsi="Book Antiqua" w:cs="宋体"/>
          <w:kern w:val="0"/>
          <w:sz w:val="24"/>
        </w:rPr>
        <w:t xml:space="preserve"> 2005; </w:t>
      </w:r>
      <w:r w:rsidRPr="002B374F">
        <w:rPr>
          <w:rFonts w:ascii="Book Antiqua" w:hAnsi="Book Antiqua" w:cs="宋体"/>
          <w:b/>
          <w:bCs/>
          <w:kern w:val="0"/>
          <w:sz w:val="24"/>
        </w:rPr>
        <w:t>24</w:t>
      </w:r>
      <w:r w:rsidRPr="002B374F">
        <w:rPr>
          <w:rFonts w:ascii="Book Antiqua" w:hAnsi="Book Antiqua" w:cs="宋体"/>
          <w:kern w:val="0"/>
          <w:sz w:val="24"/>
        </w:rPr>
        <w:t>: 2354-2366 [PMID: 15735748 DOI: 10.1038/sj.onc.1208407]</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34 </w:t>
      </w:r>
      <w:r w:rsidRPr="002B374F">
        <w:rPr>
          <w:rFonts w:ascii="Book Antiqua" w:hAnsi="Book Antiqua" w:cs="宋体"/>
          <w:b/>
          <w:bCs/>
          <w:kern w:val="0"/>
          <w:sz w:val="24"/>
        </w:rPr>
        <w:t>Judd LM</w:t>
      </w:r>
      <w:r w:rsidRPr="002B374F">
        <w:rPr>
          <w:rFonts w:ascii="Book Antiqua" w:hAnsi="Book Antiqua" w:cs="宋体"/>
          <w:kern w:val="0"/>
          <w:sz w:val="24"/>
        </w:rPr>
        <w:t xml:space="preserve">, Alderman BM, Howlett M, Shulkes A, Dow C, Moverley J, Grail D, Jenkins BJ, Ernst M, Giraud AS. Gastric cancer development in mice lacking the SHP2 binding site on the IL-6 family co-receptor gp130. </w:t>
      </w:r>
      <w:r w:rsidRPr="002B374F">
        <w:rPr>
          <w:rFonts w:ascii="Book Antiqua" w:hAnsi="Book Antiqua" w:cs="宋体"/>
          <w:i/>
          <w:iCs/>
          <w:kern w:val="0"/>
          <w:sz w:val="24"/>
        </w:rPr>
        <w:t>Gastroenterology</w:t>
      </w:r>
      <w:r w:rsidRPr="002B374F">
        <w:rPr>
          <w:rFonts w:ascii="Book Antiqua" w:hAnsi="Book Antiqua" w:cs="宋体"/>
          <w:kern w:val="0"/>
          <w:sz w:val="24"/>
        </w:rPr>
        <w:t xml:space="preserve"> 2004; </w:t>
      </w:r>
      <w:r w:rsidRPr="002B374F">
        <w:rPr>
          <w:rFonts w:ascii="Book Antiqua" w:hAnsi="Book Antiqua" w:cs="宋体"/>
          <w:b/>
          <w:bCs/>
          <w:kern w:val="0"/>
          <w:sz w:val="24"/>
        </w:rPr>
        <w:t>126</w:t>
      </w:r>
      <w:r w:rsidRPr="002B374F">
        <w:rPr>
          <w:rFonts w:ascii="Book Antiqua" w:hAnsi="Book Antiqua" w:cs="宋体"/>
          <w:kern w:val="0"/>
          <w:sz w:val="24"/>
        </w:rPr>
        <w:t>: 196-207 [PMID: 14699500]</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35 </w:t>
      </w:r>
      <w:r w:rsidRPr="002B374F">
        <w:rPr>
          <w:rFonts w:ascii="Book Antiqua" w:hAnsi="Book Antiqua" w:cs="宋体"/>
          <w:b/>
          <w:bCs/>
          <w:kern w:val="0"/>
          <w:sz w:val="24"/>
        </w:rPr>
        <w:t>Ramalho-Santos M</w:t>
      </w:r>
      <w:r w:rsidRPr="002B374F">
        <w:rPr>
          <w:rFonts w:ascii="Book Antiqua" w:hAnsi="Book Antiqua" w:cs="宋体"/>
          <w:kern w:val="0"/>
          <w:sz w:val="24"/>
        </w:rPr>
        <w:t xml:space="preserve">, Melton DA, McMahon AP. Hedgehog signals regulate multiple aspects of gastrointestinal development. </w:t>
      </w:r>
      <w:r w:rsidRPr="002B374F">
        <w:rPr>
          <w:rFonts w:ascii="Book Antiqua" w:hAnsi="Book Antiqua" w:cs="宋体"/>
          <w:i/>
          <w:iCs/>
          <w:kern w:val="0"/>
          <w:sz w:val="24"/>
        </w:rPr>
        <w:t>Development</w:t>
      </w:r>
      <w:r w:rsidRPr="002B374F">
        <w:rPr>
          <w:rFonts w:ascii="Book Antiqua" w:hAnsi="Book Antiqua" w:cs="宋体"/>
          <w:kern w:val="0"/>
          <w:sz w:val="24"/>
        </w:rPr>
        <w:t xml:space="preserve"> 2000; </w:t>
      </w:r>
      <w:r w:rsidRPr="002B374F">
        <w:rPr>
          <w:rFonts w:ascii="Book Antiqua" w:hAnsi="Book Antiqua" w:cs="宋体"/>
          <w:b/>
          <w:bCs/>
          <w:kern w:val="0"/>
          <w:sz w:val="24"/>
        </w:rPr>
        <w:t>127</w:t>
      </w:r>
      <w:r w:rsidRPr="002B374F">
        <w:rPr>
          <w:rFonts w:ascii="Book Antiqua" w:hAnsi="Book Antiqua" w:cs="宋体"/>
          <w:kern w:val="0"/>
          <w:sz w:val="24"/>
        </w:rPr>
        <w:t>: 2763-2772 [PMID: 10821773]</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36 </w:t>
      </w:r>
      <w:r w:rsidRPr="002B374F">
        <w:rPr>
          <w:rFonts w:ascii="Book Antiqua" w:hAnsi="Book Antiqua" w:cs="宋体"/>
          <w:b/>
          <w:bCs/>
          <w:kern w:val="0"/>
          <w:sz w:val="24"/>
        </w:rPr>
        <w:t>Kim JH</w:t>
      </w:r>
      <w:r w:rsidRPr="002B374F">
        <w:rPr>
          <w:rFonts w:ascii="Book Antiqua" w:hAnsi="Book Antiqua" w:cs="宋体"/>
          <w:kern w:val="0"/>
          <w:sz w:val="24"/>
        </w:rPr>
        <w:t xml:space="preserve">, Huang Z, Mo R. Gli3 null mice display glandular overgrowth of the developing stomach. </w:t>
      </w:r>
      <w:r w:rsidRPr="002B374F">
        <w:rPr>
          <w:rFonts w:ascii="Book Antiqua" w:hAnsi="Book Antiqua" w:cs="宋体"/>
          <w:i/>
          <w:iCs/>
          <w:kern w:val="0"/>
          <w:sz w:val="24"/>
        </w:rPr>
        <w:t>Dev Dyn</w:t>
      </w:r>
      <w:r w:rsidRPr="002B374F">
        <w:rPr>
          <w:rFonts w:ascii="Book Antiqua" w:hAnsi="Book Antiqua" w:cs="宋体"/>
          <w:kern w:val="0"/>
          <w:sz w:val="24"/>
        </w:rPr>
        <w:t xml:space="preserve"> 2005; </w:t>
      </w:r>
      <w:r w:rsidRPr="002B374F">
        <w:rPr>
          <w:rFonts w:ascii="Book Antiqua" w:hAnsi="Book Antiqua" w:cs="宋体"/>
          <w:b/>
          <w:bCs/>
          <w:kern w:val="0"/>
          <w:sz w:val="24"/>
        </w:rPr>
        <w:t>234</w:t>
      </w:r>
      <w:r w:rsidRPr="002B374F">
        <w:rPr>
          <w:rFonts w:ascii="Book Antiqua" w:hAnsi="Book Antiqua" w:cs="宋体"/>
          <w:kern w:val="0"/>
          <w:sz w:val="24"/>
        </w:rPr>
        <w:t>: 984-991 [PMID: 16247775 DOI: 10.1002/dvdy.20542]</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37 </w:t>
      </w:r>
      <w:r w:rsidRPr="002B374F">
        <w:rPr>
          <w:rFonts w:ascii="Book Antiqua" w:hAnsi="Book Antiqua" w:cs="宋体"/>
          <w:b/>
          <w:bCs/>
          <w:kern w:val="0"/>
          <w:sz w:val="24"/>
        </w:rPr>
        <w:t>Fukamachi H</w:t>
      </w:r>
      <w:r w:rsidRPr="002B374F">
        <w:rPr>
          <w:rFonts w:ascii="Book Antiqua" w:hAnsi="Book Antiqua" w:cs="宋体"/>
          <w:kern w:val="0"/>
          <w:sz w:val="24"/>
        </w:rPr>
        <w:t xml:space="preserve">, Ito K, Ito Y. Runx3-/- gastric epithelial cells differentiate into intestinal type cells. </w:t>
      </w:r>
      <w:r w:rsidRPr="002B374F">
        <w:rPr>
          <w:rFonts w:ascii="Book Antiqua" w:hAnsi="Book Antiqua" w:cs="宋体"/>
          <w:i/>
          <w:iCs/>
          <w:kern w:val="0"/>
          <w:sz w:val="24"/>
        </w:rPr>
        <w:t>Biochem Biophys Res Commun</w:t>
      </w:r>
      <w:r w:rsidRPr="002B374F">
        <w:rPr>
          <w:rFonts w:ascii="Book Antiqua" w:hAnsi="Book Antiqua" w:cs="宋体"/>
          <w:kern w:val="0"/>
          <w:sz w:val="24"/>
        </w:rPr>
        <w:t xml:space="preserve"> 2004; </w:t>
      </w:r>
      <w:r w:rsidRPr="002B374F">
        <w:rPr>
          <w:rFonts w:ascii="Book Antiqua" w:hAnsi="Book Antiqua" w:cs="宋体"/>
          <w:b/>
          <w:bCs/>
          <w:kern w:val="0"/>
          <w:sz w:val="24"/>
        </w:rPr>
        <w:t>321</w:t>
      </w:r>
      <w:r w:rsidRPr="002B374F">
        <w:rPr>
          <w:rFonts w:ascii="Book Antiqua" w:hAnsi="Book Antiqua" w:cs="宋体"/>
          <w:kern w:val="0"/>
          <w:sz w:val="24"/>
        </w:rPr>
        <w:t>: 58-64 [PMID: 15358215 DOI: 10.1016/j.bbrc.2004.06.099]</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lastRenderedPageBreak/>
        <w:t xml:space="preserve">38 </w:t>
      </w:r>
      <w:r w:rsidRPr="002B374F">
        <w:rPr>
          <w:rFonts w:ascii="Book Antiqua" w:hAnsi="Book Antiqua" w:cs="宋体"/>
          <w:b/>
          <w:bCs/>
          <w:kern w:val="0"/>
          <w:sz w:val="24"/>
        </w:rPr>
        <w:t>Ito K</w:t>
      </w:r>
      <w:r w:rsidRPr="002B374F">
        <w:rPr>
          <w:rFonts w:ascii="Book Antiqua" w:hAnsi="Book Antiqua" w:cs="宋体"/>
          <w:kern w:val="0"/>
          <w:sz w:val="24"/>
        </w:rPr>
        <w:t xml:space="preserve">, Chuang LS, Ito T, Chang TL, Fukamachi H, Salto-Tellez M, Ito Y. Loss of Runx3 is a key event in inducing precancerous state of the stomach. </w:t>
      </w:r>
      <w:r w:rsidRPr="002B374F">
        <w:rPr>
          <w:rFonts w:ascii="Book Antiqua" w:hAnsi="Book Antiqua" w:cs="宋体"/>
          <w:i/>
          <w:iCs/>
          <w:kern w:val="0"/>
          <w:sz w:val="24"/>
        </w:rPr>
        <w:t>Gastroenterology</w:t>
      </w:r>
      <w:r w:rsidRPr="002B374F">
        <w:rPr>
          <w:rFonts w:ascii="Book Antiqua" w:hAnsi="Book Antiqua" w:cs="宋体"/>
          <w:kern w:val="0"/>
          <w:sz w:val="24"/>
        </w:rPr>
        <w:t xml:space="preserve"> 2011; </w:t>
      </w:r>
      <w:r w:rsidRPr="002B374F">
        <w:rPr>
          <w:rFonts w:ascii="Book Antiqua" w:hAnsi="Book Antiqua" w:cs="宋体"/>
          <w:b/>
          <w:bCs/>
          <w:kern w:val="0"/>
          <w:sz w:val="24"/>
        </w:rPr>
        <w:t>140</w:t>
      </w:r>
      <w:r w:rsidRPr="002B374F">
        <w:rPr>
          <w:rFonts w:ascii="Book Antiqua" w:hAnsi="Book Antiqua" w:cs="宋体"/>
          <w:kern w:val="0"/>
          <w:sz w:val="24"/>
        </w:rPr>
        <w:t>: 1536-46.e8 [PMID: 21277301 DOI: 10.1053/j.gastro.2011.01.043]</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39 </w:t>
      </w:r>
      <w:r w:rsidRPr="002B374F">
        <w:rPr>
          <w:rFonts w:ascii="Book Antiqua" w:hAnsi="Book Antiqua" w:cs="宋体"/>
          <w:b/>
          <w:bCs/>
          <w:kern w:val="0"/>
          <w:sz w:val="24"/>
        </w:rPr>
        <w:t>Futagami S</w:t>
      </w:r>
      <w:r w:rsidRPr="002B374F">
        <w:rPr>
          <w:rFonts w:ascii="Book Antiqua" w:hAnsi="Book Antiqua" w:cs="宋体"/>
          <w:kern w:val="0"/>
          <w:sz w:val="24"/>
        </w:rPr>
        <w:t xml:space="preserve">, Suzuki K, Hiratsuka T, Shindo T, Hamamoto T, Tatsuguchi A, Ueki N, Shinji Y, Kusunoki M, Wada K, Miyake K, Gudis K, Tsukui T, Sakamoto C. Celecoxib inhibits Cdx2 expression and prevents gastric cancer in Helicobacter pylori-infected Mongolian gerbils. </w:t>
      </w:r>
      <w:r w:rsidRPr="002B374F">
        <w:rPr>
          <w:rFonts w:ascii="Book Antiqua" w:hAnsi="Book Antiqua" w:cs="宋体"/>
          <w:i/>
          <w:iCs/>
          <w:kern w:val="0"/>
          <w:sz w:val="24"/>
        </w:rPr>
        <w:t>Digestion</w:t>
      </w:r>
      <w:r w:rsidRPr="002B374F">
        <w:rPr>
          <w:rFonts w:ascii="Book Antiqua" w:hAnsi="Book Antiqua" w:cs="宋体"/>
          <w:kern w:val="0"/>
          <w:sz w:val="24"/>
        </w:rPr>
        <w:t xml:space="preserve"> 2006; </w:t>
      </w:r>
      <w:r w:rsidRPr="002B374F">
        <w:rPr>
          <w:rFonts w:ascii="Book Antiqua" w:hAnsi="Book Antiqua" w:cs="宋体"/>
          <w:b/>
          <w:bCs/>
          <w:kern w:val="0"/>
          <w:sz w:val="24"/>
        </w:rPr>
        <w:t>74</w:t>
      </w:r>
      <w:r w:rsidRPr="002B374F">
        <w:rPr>
          <w:rFonts w:ascii="Book Antiqua" w:hAnsi="Book Antiqua" w:cs="宋体"/>
          <w:kern w:val="0"/>
          <w:sz w:val="24"/>
        </w:rPr>
        <w:t>: 187-198 [PMID: 17341852 DOI: 10.1159/000100503]</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40 </w:t>
      </w:r>
      <w:r w:rsidRPr="002B374F">
        <w:rPr>
          <w:rFonts w:ascii="Book Antiqua" w:hAnsi="Book Antiqua" w:cs="宋体"/>
          <w:b/>
          <w:bCs/>
          <w:kern w:val="0"/>
          <w:sz w:val="24"/>
        </w:rPr>
        <w:t>Liu Q</w:t>
      </w:r>
      <w:r w:rsidRPr="002B374F">
        <w:rPr>
          <w:rFonts w:ascii="Book Antiqua" w:hAnsi="Book Antiqua" w:cs="宋体"/>
          <w:kern w:val="0"/>
          <w:sz w:val="24"/>
        </w:rPr>
        <w:t xml:space="preserve">, Teh M, Ito K, Shah N, Ito Y, Yeoh KG. CDX2 expression is progressively decreased in human gastric intestinal metaplasia, dysplasia and cancer. </w:t>
      </w:r>
      <w:r w:rsidRPr="002B374F">
        <w:rPr>
          <w:rFonts w:ascii="Book Antiqua" w:hAnsi="Book Antiqua" w:cs="宋体"/>
          <w:i/>
          <w:iCs/>
          <w:kern w:val="0"/>
          <w:sz w:val="24"/>
        </w:rPr>
        <w:t>Mod Pathol</w:t>
      </w:r>
      <w:r w:rsidRPr="002B374F">
        <w:rPr>
          <w:rFonts w:ascii="Book Antiqua" w:hAnsi="Book Antiqua" w:cs="宋体"/>
          <w:kern w:val="0"/>
          <w:sz w:val="24"/>
        </w:rPr>
        <w:t xml:space="preserve"> 2007; </w:t>
      </w:r>
      <w:r w:rsidRPr="002B374F">
        <w:rPr>
          <w:rFonts w:ascii="Book Antiqua" w:hAnsi="Book Antiqua" w:cs="宋体"/>
          <w:b/>
          <w:bCs/>
          <w:kern w:val="0"/>
          <w:sz w:val="24"/>
        </w:rPr>
        <w:t>20</w:t>
      </w:r>
      <w:r w:rsidRPr="002B374F">
        <w:rPr>
          <w:rFonts w:ascii="Book Antiqua" w:hAnsi="Book Antiqua" w:cs="宋体"/>
          <w:kern w:val="0"/>
          <w:sz w:val="24"/>
        </w:rPr>
        <w:t>: 1286-1297 [PMID: 17906616 DOI: 10.1038/modpathol.3800968]</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41 </w:t>
      </w:r>
      <w:r w:rsidRPr="002B374F">
        <w:rPr>
          <w:rFonts w:ascii="Book Antiqua" w:hAnsi="Book Antiqua" w:cs="宋体"/>
          <w:b/>
          <w:bCs/>
          <w:kern w:val="0"/>
          <w:sz w:val="24"/>
        </w:rPr>
        <w:t>Crissey MA</w:t>
      </w:r>
      <w:r w:rsidRPr="002B374F">
        <w:rPr>
          <w:rFonts w:ascii="Book Antiqua" w:hAnsi="Book Antiqua" w:cs="宋体"/>
          <w:kern w:val="0"/>
          <w:sz w:val="24"/>
        </w:rPr>
        <w:t xml:space="preserve">, Guo RJ, Fogt F, Li H, Katz JP, Silberg DG, Suh ER, Lynch JP. The homeodomain transcription factor Cdx1 does not behave as an oncogene in normal mouse intestine. </w:t>
      </w:r>
      <w:r w:rsidRPr="002B374F">
        <w:rPr>
          <w:rFonts w:ascii="Book Antiqua" w:hAnsi="Book Antiqua" w:cs="宋体"/>
          <w:i/>
          <w:iCs/>
          <w:kern w:val="0"/>
          <w:sz w:val="24"/>
        </w:rPr>
        <w:t>Neoplasia</w:t>
      </w:r>
      <w:r w:rsidRPr="002B374F">
        <w:rPr>
          <w:rFonts w:ascii="Book Antiqua" w:hAnsi="Book Antiqua" w:cs="宋体"/>
          <w:kern w:val="0"/>
          <w:sz w:val="24"/>
        </w:rPr>
        <w:t xml:space="preserve"> 2008; </w:t>
      </w:r>
      <w:r w:rsidRPr="002B374F">
        <w:rPr>
          <w:rFonts w:ascii="Book Antiqua" w:hAnsi="Book Antiqua" w:cs="宋体"/>
          <w:b/>
          <w:bCs/>
          <w:kern w:val="0"/>
          <w:sz w:val="24"/>
        </w:rPr>
        <w:t>10</w:t>
      </w:r>
      <w:r w:rsidRPr="002B374F">
        <w:rPr>
          <w:rFonts w:ascii="Book Antiqua" w:hAnsi="Book Antiqua" w:cs="宋体"/>
          <w:kern w:val="0"/>
          <w:sz w:val="24"/>
        </w:rPr>
        <w:t>: 8-19 [PMID: 18231635]</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42 </w:t>
      </w:r>
      <w:r w:rsidRPr="002B374F">
        <w:rPr>
          <w:rFonts w:ascii="Book Antiqua" w:hAnsi="Book Antiqua" w:cs="宋体"/>
          <w:b/>
          <w:bCs/>
          <w:kern w:val="0"/>
          <w:sz w:val="24"/>
        </w:rPr>
        <w:t>Villanacci V</w:t>
      </w:r>
      <w:r w:rsidRPr="002B374F">
        <w:rPr>
          <w:rFonts w:ascii="Book Antiqua" w:hAnsi="Book Antiqua" w:cs="宋体"/>
          <w:kern w:val="0"/>
          <w:sz w:val="24"/>
        </w:rPr>
        <w:t xml:space="preserve">, Rossi E, Zambelli C, Galletti A, Cestari R, Missale G, Casa DD, Bassotti G. COX-2, CDX2, and CDC2 immunohistochemical assessment for dysplasia-carcinoma progression in Barrett's esophagus. </w:t>
      </w:r>
      <w:r w:rsidRPr="002B374F">
        <w:rPr>
          <w:rFonts w:ascii="Book Antiqua" w:hAnsi="Book Antiqua" w:cs="宋体"/>
          <w:i/>
          <w:iCs/>
          <w:kern w:val="0"/>
          <w:sz w:val="24"/>
        </w:rPr>
        <w:t>Dig Liver Dis</w:t>
      </w:r>
      <w:r w:rsidRPr="002B374F">
        <w:rPr>
          <w:rFonts w:ascii="Book Antiqua" w:hAnsi="Book Antiqua" w:cs="宋体"/>
          <w:kern w:val="0"/>
          <w:sz w:val="24"/>
        </w:rPr>
        <w:t xml:space="preserve"> 2007; </w:t>
      </w:r>
      <w:r w:rsidRPr="002B374F">
        <w:rPr>
          <w:rFonts w:ascii="Book Antiqua" w:hAnsi="Book Antiqua" w:cs="宋体"/>
          <w:b/>
          <w:bCs/>
          <w:kern w:val="0"/>
          <w:sz w:val="24"/>
        </w:rPr>
        <w:t>39</w:t>
      </w:r>
      <w:r w:rsidRPr="002B374F">
        <w:rPr>
          <w:rFonts w:ascii="Book Antiqua" w:hAnsi="Book Antiqua" w:cs="宋体"/>
          <w:kern w:val="0"/>
          <w:sz w:val="24"/>
        </w:rPr>
        <w:t>: 305-311 [PMID: 17307036 DOI: 10.1016/j.dld.2007.01.011]</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43 </w:t>
      </w:r>
      <w:r w:rsidRPr="002B374F">
        <w:rPr>
          <w:rFonts w:ascii="Book Antiqua" w:hAnsi="Book Antiqua" w:cs="宋体"/>
          <w:b/>
          <w:bCs/>
          <w:kern w:val="0"/>
          <w:sz w:val="24"/>
        </w:rPr>
        <w:t>Aoki K</w:t>
      </w:r>
      <w:r w:rsidRPr="002B374F">
        <w:rPr>
          <w:rFonts w:ascii="Book Antiqua" w:hAnsi="Book Antiqua" w:cs="宋体"/>
          <w:kern w:val="0"/>
          <w:sz w:val="24"/>
        </w:rPr>
        <w:t xml:space="preserve">, Kakizaki F, Sakashita H, Manabe T, Aoki M, Taketo MM. Suppression of colonic polyposis by homeoprotein CDX2 through its nontranscriptional function that stabilizes p27Kip1. </w:t>
      </w:r>
      <w:r w:rsidRPr="002B374F">
        <w:rPr>
          <w:rFonts w:ascii="Book Antiqua" w:hAnsi="Book Antiqua" w:cs="宋体"/>
          <w:i/>
          <w:iCs/>
          <w:kern w:val="0"/>
          <w:sz w:val="24"/>
        </w:rPr>
        <w:t>Cancer Res</w:t>
      </w:r>
      <w:r w:rsidRPr="002B374F">
        <w:rPr>
          <w:rFonts w:ascii="Book Antiqua" w:hAnsi="Book Antiqua" w:cs="宋体"/>
          <w:kern w:val="0"/>
          <w:sz w:val="24"/>
        </w:rPr>
        <w:t xml:space="preserve"> 2011; </w:t>
      </w:r>
      <w:r w:rsidRPr="002B374F">
        <w:rPr>
          <w:rFonts w:ascii="Book Antiqua" w:hAnsi="Book Antiqua" w:cs="宋体"/>
          <w:b/>
          <w:bCs/>
          <w:kern w:val="0"/>
          <w:sz w:val="24"/>
        </w:rPr>
        <w:t>71</w:t>
      </w:r>
      <w:r w:rsidRPr="002B374F">
        <w:rPr>
          <w:rFonts w:ascii="Book Antiqua" w:hAnsi="Book Antiqua" w:cs="宋体"/>
          <w:kern w:val="0"/>
          <w:sz w:val="24"/>
        </w:rPr>
        <w:t>: 593-602 [PMID: 21224344 DOI: 10.1158/0008-5472.CAN-10-2842]</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44 </w:t>
      </w:r>
      <w:r w:rsidRPr="002B374F">
        <w:rPr>
          <w:rFonts w:ascii="Book Antiqua" w:hAnsi="Book Antiqua" w:cs="宋体"/>
          <w:b/>
          <w:bCs/>
          <w:kern w:val="0"/>
          <w:sz w:val="24"/>
        </w:rPr>
        <w:t>Yamamoto T</w:t>
      </w:r>
      <w:r w:rsidRPr="002B374F">
        <w:rPr>
          <w:rFonts w:ascii="Book Antiqua" w:hAnsi="Book Antiqua" w:cs="宋体"/>
          <w:kern w:val="0"/>
          <w:sz w:val="24"/>
        </w:rPr>
        <w:t xml:space="preserve">, Kojima T, Murata M, Takano K, Go M, Chiba H, Sawada N. IL-1beta regulates expression of Cx32, occludin, and claudin-2 of rat hepatocytes via distinct signal transduction pathways. </w:t>
      </w:r>
      <w:r w:rsidRPr="002B374F">
        <w:rPr>
          <w:rFonts w:ascii="Book Antiqua" w:hAnsi="Book Antiqua" w:cs="宋体"/>
          <w:i/>
          <w:iCs/>
          <w:kern w:val="0"/>
          <w:sz w:val="24"/>
        </w:rPr>
        <w:t>Exp Cell Res</w:t>
      </w:r>
      <w:r w:rsidRPr="002B374F">
        <w:rPr>
          <w:rFonts w:ascii="Book Antiqua" w:hAnsi="Book Antiqua" w:cs="宋体"/>
          <w:kern w:val="0"/>
          <w:sz w:val="24"/>
        </w:rPr>
        <w:t xml:space="preserve"> 2004; </w:t>
      </w:r>
      <w:r w:rsidRPr="002B374F">
        <w:rPr>
          <w:rFonts w:ascii="Book Antiqua" w:hAnsi="Book Antiqua" w:cs="宋体"/>
          <w:b/>
          <w:bCs/>
          <w:kern w:val="0"/>
          <w:sz w:val="24"/>
        </w:rPr>
        <w:t>299</w:t>
      </w:r>
      <w:r w:rsidRPr="002B374F">
        <w:rPr>
          <w:rFonts w:ascii="Book Antiqua" w:hAnsi="Book Antiqua" w:cs="宋体"/>
          <w:kern w:val="0"/>
          <w:sz w:val="24"/>
        </w:rPr>
        <w:t>: 427-441 [PMID: 15350541 DOI: 10.1016/j.yexcr.2004.06.011]</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45 </w:t>
      </w:r>
      <w:r w:rsidRPr="002B374F">
        <w:rPr>
          <w:rFonts w:ascii="Book Antiqua" w:hAnsi="Book Antiqua" w:cs="宋体"/>
          <w:b/>
          <w:bCs/>
          <w:kern w:val="0"/>
          <w:sz w:val="24"/>
        </w:rPr>
        <w:t>Ikeda H</w:t>
      </w:r>
      <w:r w:rsidRPr="002B374F">
        <w:rPr>
          <w:rFonts w:ascii="Book Antiqua" w:hAnsi="Book Antiqua" w:cs="宋体"/>
          <w:kern w:val="0"/>
          <w:sz w:val="24"/>
        </w:rPr>
        <w:t xml:space="preserve">, Sasaki M, Ohira S, Ishikawa A, Sato Y, Harada K, Zen Y, Nakanuma Y. Tumor necrosis factor-alpha induces the aberrant expression of mucus core protein-2 in non-neoplastic biliary epithelial cells via the upregulation of CDX2 in chronic cholangitis. </w:t>
      </w:r>
      <w:r w:rsidRPr="002B374F">
        <w:rPr>
          <w:rFonts w:ascii="Book Antiqua" w:hAnsi="Book Antiqua" w:cs="宋体"/>
          <w:i/>
          <w:iCs/>
          <w:kern w:val="0"/>
          <w:sz w:val="24"/>
        </w:rPr>
        <w:t>Hepatol Res</w:t>
      </w:r>
      <w:r w:rsidRPr="002B374F">
        <w:rPr>
          <w:rFonts w:ascii="Book Antiqua" w:hAnsi="Book Antiqua" w:cs="宋体"/>
          <w:kern w:val="0"/>
          <w:sz w:val="24"/>
        </w:rPr>
        <w:t xml:space="preserve"> 2008; </w:t>
      </w:r>
      <w:r w:rsidRPr="002B374F">
        <w:rPr>
          <w:rFonts w:ascii="Book Antiqua" w:hAnsi="Book Antiqua" w:cs="宋体"/>
          <w:b/>
          <w:bCs/>
          <w:kern w:val="0"/>
          <w:sz w:val="24"/>
        </w:rPr>
        <w:t>38</w:t>
      </w:r>
      <w:r w:rsidRPr="002B374F">
        <w:rPr>
          <w:rFonts w:ascii="Book Antiqua" w:hAnsi="Book Antiqua" w:cs="宋体"/>
          <w:kern w:val="0"/>
          <w:sz w:val="24"/>
        </w:rPr>
        <w:t>: 1006-1017 [PMID: 18507686 DOI: 10.1111/j.1872-034X.2008.00361.x]</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46 </w:t>
      </w:r>
      <w:r w:rsidRPr="002B374F">
        <w:rPr>
          <w:rFonts w:ascii="Book Antiqua" w:hAnsi="Book Antiqua" w:cs="宋体"/>
          <w:b/>
          <w:bCs/>
          <w:kern w:val="0"/>
          <w:sz w:val="24"/>
        </w:rPr>
        <w:t>Suzuki T</w:t>
      </w:r>
      <w:r w:rsidRPr="002B374F">
        <w:rPr>
          <w:rFonts w:ascii="Book Antiqua" w:hAnsi="Book Antiqua" w:cs="宋体"/>
          <w:kern w:val="0"/>
          <w:sz w:val="24"/>
        </w:rPr>
        <w:t xml:space="preserve">, Yoshinaga N, Tanabe S. Interleukin-6 (IL-6) regulates claudin-2 expression and tight junction permeability in intestinal epithelium. </w:t>
      </w:r>
      <w:r w:rsidRPr="002B374F">
        <w:rPr>
          <w:rFonts w:ascii="Book Antiqua" w:hAnsi="Book Antiqua" w:cs="宋体"/>
          <w:i/>
          <w:iCs/>
          <w:kern w:val="0"/>
          <w:sz w:val="24"/>
        </w:rPr>
        <w:t>J Biol Chem</w:t>
      </w:r>
      <w:r w:rsidRPr="002B374F">
        <w:rPr>
          <w:rFonts w:ascii="Book Antiqua" w:hAnsi="Book Antiqua" w:cs="宋体"/>
          <w:kern w:val="0"/>
          <w:sz w:val="24"/>
        </w:rPr>
        <w:t xml:space="preserve"> 2011; </w:t>
      </w:r>
      <w:r w:rsidRPr="002B374F">
        <w:rPr>
          <w:rFonts w:ascii="Book Antiqua" w:hAnsi="Book Antiqua" w:cs="宋体"/>
          <w:b/>
          <w:bCs/>
          <w:kern w:val="0"/>
          <w:sz w:val="24"/>
        </w:rPr>
        <w:t>286</w:t>
      </w:r>
      <w:r w:rsidRPr="002B374F">
        <w:rPr>
          <w:rFonts w:ascii="Book Antiqua" w:hAnsi="Book Antiqua" w:cs="宋体"/>
          <w:kern w:val="0"/>
          <w:sz w:val="24"/>
        </w:rPr>
        <w:t>: 31263-31271 [PMID: 21771795 DOI: 10.1074/jbc.M111.238147]</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47 </w:t>
      </w:r>
      <w:r w:rsidRPr="002B374F">
        <w:rPr>
          <w:rFonts w:ascii="Book Antiqua" w:hAnsi="Book Antiqua" w:cs="宋体"/>
          <w:b/>
          <w:bCs/>
          <w:kern w:val="0"/>
          <w:sz w:val="24"/>
        </w:rPr>
        <w:t>Naito Y</w:t>
      </w:r>
      <w:r w:rsidRPr="002B374F">
        <w:rPr>
          <w:rFonts w:ascii="Book Antiqua" w:hAnsi="Book Antiqua" w:cs="宋体"/>
          <w:kern w:val="0"/>
          <w:sz w:val="24"/>
        </w:rPr>
        <w:t xml:space="preserve">, Oue N, Hinoi T, Sakamoto N, Sentani K, Ohdan H, Yanagihara K, Sasaki H, Yasui W. Reg IV is a direct target of intestinal transcriptional factor CDX2 in gastric cancer. </w:t>
      </w:r>
      <w:r w:rsidRPr="002B374F">
        <w:rPr>
          <w:rFonts w:ascii="Book Antiqua" w:hAnsi="Book Antiqua" w:cs="宋体"/>
          <w:i/>
          <w:iCs/>
          <w:kern w:val="0"/>
          <w:sz w:val="24"/>
        </w:rPr>
        <w:t>PLoS One</w:t>
      </w:r>
      <w:r w:rsidRPr="002B374F">
        <w:rPr>
          <w:rFonts w:ascii="Book Antiqua" w:hAnsi="Book Antiqua" w:cs="宋体"/>
          <w:kern w:val="0"/>
          <w:sz w:val="24"/>
        </w:rPr>
        <w:t xml:space="preserve"> 2012; </w:t>
      </w:r>
      <w:r w:rsidRPr="002B374F">
        <w:rPr>
          <w:rFonts w:ascii="Book Antiqua" w:hAnsi="Book Antiqua" w:cs="宋体"/>
          <w:b/>
          <w:bCs/>
          <w:kern w:val="0"/>
          <w:sz w:val="24"/>
        </w:rPr>
        <w:t>7</w:t>
      </w:r>
      <w:r w:rsidRPr="002B374F">
        <w:rPr>
          <w:rFonts w:ascii="Book Antiqua" w:hAnsi="Book Antiqua" w:cs="宋体"/>
          <w:kern w:val="0"/>
          <w:sz w:val="24"/>
        </w:rPr>
        <w:t>: e47545 [PMID: 23133598 DOI: 10.1371/journal.pone.0047545]</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48 </w:t>
      </w:r>
      <w:r w:rsidRPr="002B374F">
        <w:rPr>
          <w:rFonts w:ascii="Book Antiqua" w:hAnsi="Book Antiqua" w:cs="宋体"/>
          <w:b/>
          <w:bCs/>
          <w:kern w:val="0"/>
          <w:sz w:val="24"/>
        </w:rPr>
        <w:t>Sakuma K</w:t>
      </w:r>
      <w:r w:rsidRPr="002B374F">
        <w:rPr>
          <w:rFonts w:ascii="Book Antiqua" w:hAnsi="Book Antiqua" w:cs="宋体"/>
          <w:kern w:val="0"/>
          <w:sz w:val="24"/>
        </w:rPr>
        <w:t xml:space="preserve">, Aoki M, Kannagi R. Transcription factors c-Myc and CDX2 mediate E-selectin ligand expression in colon cancer cells undergoing </w:t>
      </w:r>
      <w:r w:rsidRPr="002B374F">
        <w:rPr>
          <w:rFonts w:ascii="Book Antiqua" w:hAnsi="Book Antiqua" w:cs="宋体"/>
          <w:kern w:val="0"/>
          <w:sz w:val="24"/>
        </w:rPr>
        <w:lastRenderedPageBreak/>
        <w:t xml:space="preserve">EGF/bFGF-induced epithelial-mesenchymal transition. </w:t>
      </w:r>
      <w:r w:rsidRPr="002B374F">
        <w:rPr>
          <w:rFonts w:ascii="Book Antiqua" w:hAnsi="Book Antiqua" w:cs="宋体"/>
          <w:i/>
          <w:iCs/>
          <w:kern w:val="0"/>
          <w:sz w:val="24"/>
        </w:rPr>
        <w:t>Proc Natl Acad Sci U S A</w:t>
      </w:r>
      <w:r w:rsidRPr="002B374F">
        <w:rPr>
          <w:rFonts w:ascii="Book Antiqua" w:hAnsi="Book Antiqua" w:cs="宋体"/>
          <w:kern w:val="0"/>
          <w:sz w:val="24"/>
        </w:rPr>
        <w:t xml:space="preserve"> 2012; </w:t>
      </w:r>
      <w:r w:rsidRPr="002B374F">
        <w:rPr>
          <w:rFonts w:ascii="Book Antiqua" w:hAnsi="Book Antiqua" w:cs="宋体"/>
          <w:b/>
          <w:bCs/>
          <w:kern w:val="0"/>
          <w:sz w:val="24"/>
        </w:rPr>
        <w:t>109</w:t>
      </w:r>
      <w:r w:rsidRPr="002B374F">
        <w:rPr>
          <w:rFonts w:ascii="Book Antiqua" w:hAnsi="Book Antiqua" w:cs="宋体"/>
          <w:kern w:val="0"/>
          <w:sz w:val="24"/>
        </w:rPr>
        <w:t>: 7776-7781 [PMID: 22547830 DOI: 10.1073/pnas.1111135109]</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49 </w:t>
      </w:r>
      <w:r w:rsidRPr="002B374F">
        <w:rPr>
          <w:rFonts w:ascii="Book Antiqua" w:hAnsi="Book Antiqua" w:cs="宋体"/>
          <w:b/>
          <w:bCs/>
          <w:kern w:val="0"/>
          <w:sz w:val="24"/>
        </w:rPr>
        <w:t>Schmidt EV</w:t>
      </w:r>
      <w:r w:rsidRPr="002B374F">
        <w:rPr>
          <w:rFonts w:ascii="Book Antiqua" w:hAnsi="Book Antiqua" w:cs="宋体"/>
          <w:kern w:val="0"/>
          <w:sz w:val="24"/>
        </w:rPr>
        <w:t xml:space="preserve">. The role of c-myc in regulation of translation initiation. </w:t>
      </w:r>
      <w:r w:rsidRPr="002B374F">
        <w:rPr>
          <w:rFonts w:ascii="Book Antiqua" w:hAnsi="Book Antiqua" w:cs="宋体"/>
          <w:i/>
          <w:iCs/>
          <w:kern w:val="0"/>
          <w:sz w:val="24"/>
        </w:rPr>
        <w:t>Oncogene</w:t>
      </w:r>
      <w:r w:rsidRPr="002B374F">
        <w:rPr>
          <w:rFonts w:ascii="Book Antiqua" w:hAnsi="Book Antiqua" w:cs="宋体"/>
          <w:kern w:val="0"/>
          <w:sz w:val="24"/>
        </w:rPr>
        <w:t xml:space="preserve"> 2004; </w:t>
      </w:r>
      <w:r w:rsidRPr="002B374F">
        <w:rPr>
          <w:rFonts w:ascii="Book Antiqua" w:hAnsi="Book Antiqua" w:cs="宋体"/>
          <w:b/>
          <w:bCs/>
          <w:kern w:val="0"/>
          <w:sz w:val="24"/>
        </w:rPr>
        <w:t>23</w:t>
      </w:r>
      <w:r w:rsidRPr="002B374F">
        <w:rPr>
          <w:rFonts w:ascii="Book Antiqua" w:hAnsi="Book Antiqua" w:cs="宋体"/>
          <w:kern w:val="0"/>
          <w:sz w:val="24"/>
        </w:rPr>
        <w:t>: 3217-3221 [PMID: 15094771 DOI: 10.1038/sj.onc.1207548]</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50 </w:t>
      </w:r>
      <w:r w:rsidRPr="002B374F">
        <w:rPr>
          <w:rFonts w:ascii="Book Antiqua" w:hAnsi="Book Antiqua" w:cs="宋体"/>
          <w:b/>
          <w:bCs/>
          <w:kern w:val="0"/>
          <w:sz w:val="24"/>
        </w:rPr>
        <w:t>Liu W</w:t>
      </w:r>
      <w:r w:rsidRPr="002B374F">
        <w:rPr>
          <w:rFonts w:ascii="Book Antiqua" w:hAnsi="Book Antiqua" w:cs="宋体"/>
          <w:kern w:val="0"/>
          <w:sz w:val="24"/>
        </w:rPr>
        <w:t xml:space="preserve">, Le A, Hancock C, Lane AN, Dang CV, Fan TW, Phang JM. Reprogramming of proline and glutamine metabolism contributes to the proliferative and metabolic responses regulated by oncogenic transcription factor c-MYC. </w:t>
      </w:r>
      <w:r w:rsidRPr="002B374F">
        <w:rPr>
          <w:rFonts w:ascii="Book Antiqua" w:hAnsi="Book Antiqua" w:cs="宋体"/>
          <w:i/>
          <w:iCs/>
          <w:kern w:val="0"/>
          <w:sz w:val="24"/>
        </w:rPr>
        <w:t>Proc Natl Acad Sci U S A</w:t>
      </w:r>
      <w:r w:rsidRPr="002B374F">
        <w:rPr>
          <w:rFonts w:ascii="Book Antiqua" w:hAnsi="Book Antiqua" w:cs="宋体"/>
          <w:kern w:val="0"/>
          <w:sz w:val="24"/>
        </w:rPr>
        <w:t xml:space="preserve"> 2012; </w:t>
      </w:r>
      <w:r w:rsidRPr="002B374F">
        <w:rPr>
          <w:rFonts w:ascii="Book Antiqua" w:hAnsi="Book Antiqua" w:cs="宋体"/>
          <w:b/>
          <w:bCs/>
          <w:kern w:val="0"/>
          <w:sz w:val="24"/>
        </w:rPr>
        <w:t>109</w:t>
      </w:r>
      <w:r w:rsidRPr="002B374F">
        <w:rPr>
          <w:rFonts w:ascii="Book Antiqua" w:hAnsi="Book Antiqua" w:cs="宋体"/>
          <w:kern w:val="0"/>
          <w:sz w:val="24"/>
        </w:rPr>
        <w:t>: 8983-8988 [PMID: 22615405 DOI: 10.1073/pnas.1203244109]</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51 </w:t>
      </w:r>
      <w:r w:rsidRPr="002B374F">
        <w:rPr>
          <w:rFonts w:ascii="Book Antiqua" w:hAnsi="Book Antiqua" w:cs="宋体"/>
          <w:b/>
          <w:bCs/>
          <w:kern w:val="0"/>
          <w:sz w:val="24"/>
        </w:rPr>
        <w:t>Yuan Y</w:t>
      </w:r>
      <w:r w:rsidRPr="002B374F">
        <w:rPr>
          <w:rFonts w:ascii="Book Antiqua" w:hAnsi="Book Antiqua" w:cs="宋体"/>
          <w:kern w:val="0"/>
          <w:sz w:val="24"/>
        </w:rPr>
        <w:t xml:space="preserve">, Zhang J, Cai L, Ding C, Wang X, Chen H, Wang X, Yan J, Lu J. Leptin induces cell proliferation and reduces cell apoptosis by activating c-myc in cervical cancer. </w:t>
      </w:r>
      <w:r w:rsidRPr="002B374F">
        <w:rPr>
          <w:rFonts w:ascii="Book Antiqua" w:hAnsi="Book Antiqua" w:cs="宋体"/>
          <w:i/>
          <w:iCs/>
          <w:kern w:val="0"/>
          <w:sz w:val="24"/>
        </w:rPr>
        <w:t>Oncol Rep</w:t>
      </w:r>
      <w:r w:rsidRPr="002B374F">
        <w:rPr>
          <w:rFonts w:ascii="Book Antiqua" w:hAnsi="Book Antiqua" w:cs="宋体"/>
          <w:kern w:val="0"/>
          <w:sz w:val="24"/>
        </w:rPr>
        <w:t xml:space="preserve"> 2013; </w:t>
      </w:r>
      <w:r w:rsidRPr="002B374F">
        <w:rPr>
          <w:rFonts w:ascii="Book Antiqua" w:hAnsi="Book Antiqua" w:cs="宋体"/>
          <w:b/>
          <w:bCs/>
          <w:kern w:val="0"/>
          <w:sz w:val="24"/>
        </w:rPr>
        <w:t>29</w:t>
      </w:r>
      <w:r w:rsidRPr="002B374F">
        <w:rPr>
          <w:rFonts w:ascii="Book Antiqua" w:hAnsi="Book Antiqua" w:cs="宋体"/>
          <w:kern w:val="0"/>
          <w:sz w:val="24"/>
        </w:rPr>
        <w:t>: 2291-2296 [PMID: 23588620 DOI: 10.3892/or.2013.2390]</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52 </w:t>
      </w:r>
      <w:r w:rsidRPr="002B374F">
        <w:rPr>
          <w:rFonts w:ascii="Book Antiqua" w:hAnsi="Book Antiqua" w:cs="宋体"/>
          <w:b/>
          <w:bCs/>
          <w:kern w:val="0"/>
          <w:sz w:val="24"/>
        </w:rPr>
        <w:t>Nawrocki ST</w:t>
      </w:r>
      <w:r w:rsidRPr="002B374F">
        <w:rPr>
          <w:rFonts w:ascii="Book Antiqua" w:hAnsi="Book Antiqua" w:cs="宋体"/>
          <w:kern w:val="0"/>
          <w:sz w:val="24"/>
        </w:rPr>
        <w:t xml:space="preserve">, Carew JS, Maclean KH, Courage JF, Huang P, Houghton JA, Cleveland JL, Giles FJ, McConkey DJ. Myc regulates aggresome formation, the induction of Noxa, and apoptosis in response to the combination of bortezomib and SAHA. </w:t>
      </w:r>
      <w:r w:rsidRPr="002B374F">
        <w:rPr>
          <w:rFonts w:ascii="Book Antiqua" w:hAnsi="Book Antiqua" w:cs="宋体"/>
          <w:i/>
          <w:iCs/>
          <w:kern w:val="0"/>
          <w:sz w:val="24"/>
        </w:rPr>
        <w:t>Blood</w:t>
      </w:r>
      <w:r w:rsidRPr="002B374F">
        <w:rPr>
          <w:rFonts w:ascii="Book Antiqua" w:hAnsi="Book Antiqua" w:cs="宋体"/>
          <w:kern w:val="0"/>
          <w:sz w:val="24"/>
        </w:rPr>
        <w:t xml:space="preserve"> 2008; </w:t>
      </w:r>
      <w:r w:rsidRPr="002B374F">
        <w:rPr>
          <w:rFonts w:ascii="Book Antiqua" w:hAnsi="Book Antiqua" w:cs="宋体"/>
          <w:b/>
          <w:bCs/>
          <w:kern w:val="0"/>
          <w:sz w:val="24"/>
        </w:rPr>
        <w:t>112</w:t>
      </w:r>
      <w:r w:rsidRPr="002B374F">
        <w:rPr>
          <w:rFonts w:ascii="Book Antiqua" w:hAnsi="Book Antiqua" w:cs="宋体"/>
          <w:kern w:val="0"/>
          <w:sz w:val="24"/>
        </w:rPr>
        <w:t>: 2917-2926 [PMID: 18641367 DOI: 10.1182/blood-2007-12-130823]</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53 </w:t>
      </w:r>
      <w:r w:rsidRPr="002B374F">
        <w:rPr>
          <w:rFonts w:ascii="Book Antiqua" w:hAnsi="Book Antiqua" w:cs="宋体"/>
          <w:b/>
          <w:bCs/>
          <w:kern w:val="0"/>
          <w:sz w:val="24"/>
        </w:rPr>
        <w:t>Barros R</w:t>
      </w:r>
      <w:r w:rsidRPr="002B374F">
        <w:rPr>
          <w:rFonts w:ascii="Book Antiqua" w:hAnsi="Book Antiqua" w:cs="宋体"/>
          <w:kern w:val="0"/>
          <w:sz w:val="24"/>
        </w:rPr>
        <w:t xml:space="preserve">, Freund JN, David L, Almeida R. Gastric intestinal metaplasia revisited: function and regulation of CDX2. </w:t>
      </w:r>
      <w:r w:rsidRPr="002B374F">
        <w:rPr>
          <w:rFonts w:ascii="Book Antiqua" w:hAnsi="Book Antiqua" w:cs="宋体"/>
          <w:i/>
          <w:iCs/>
          <w:kern w:val="0"/>
          <w:sz w:val="24"/>
        </w:rPr>
        <w:t>Trends Mol Med</w:t>
      </w:r>
      <w:r w:rsidRPr="002B374F">
        <w:rPr>
          <w:rFonts w:ascii="Book Antiqua" w:hAnsi="Book Antiqua" w:cs="宋体"/>
          <w:kern w:val="0"/>
          <w:sz w:val="24"/>
        </w:rPr>
        <w:t xml:space="preserve"> 2012; </w:t>
      </w:r>
      <w:r w:rsidRPr="002B374F">
        <w:rPr>
          <w:rFonts w:ascii="Book Antiqua" w:hAnsi="Book Antiqua" w:cs="宋体"/>
          <w:b/>
          <w:bCs/>
          <w:kern w:val="0"/>
          <w:sz w:val="24"/>
        </w:rPr>
        <w:t>18</w:t>
      </w:r>
      <w:r w:rsidRPr="002B374F">
        <w:rPr>
          <w:rFonts w:ascii="Book Antiqua" w:hAnsi="Book Antiqua" w:cs="宋体"/>
          <w:kern w:val="0"/>
          <w:sz w:val="24"/>
        </w:rPr>
        <w:t>: 555-563 [PMID: 22871898 DOI: 10.1016/j.molmed.2012.07.006]</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54 </w:t>
      </w:r>
      <w:r w:rsidRPr="002B374F">
        <w:rPr>
          <w:rFonts w:ascii="Book Antiqua" w:hAnsi="Book Antiqua" w:cs="宋体"/>
          <w:b/>
          <w:bCs/>
          <w:kern w:val="0"/>
          <w:sz w:val="24"/>
        </w:rPr>
        <w:t>Hartupee JC</w:t>
      </w:r>
      <w:r w:rsidRPr="002B374F">
        <w:rPr>
          <w:rFonts w:ascii="Book Antiqua" w:hAnsi="Book Antiqua" w:cs="宋体"/>
          <w:kern w:val="0"/>
          <w:sz w:val="24"/>
        </w:rPr>
        <w:t xml:space="preserve">, Zhang H, Bonaldo MF, Soares MB, Dieckgraefe BK. Isolation and characterization of a cDNA encoding a novel member of the human regenerating protein family: Reg IV. </w:t>
      </w:r>
      <w:r w:rsidRPr="002B374F">
        <w:rPr>
          <w:rFonts w:ascii="Book Antiqua" w:hAnsi="Book Antiqua" w:cs="宋体"/>
          <w:i/>
          <w:iCs/>
          <w:kern w:val="0"/>
          <w:sz w:val="24"/>
        </w:rPr>
        <w:t>Biochim Biophys Acta</w:t>
      </w:r>
      <w:r w:rsidRPr="002B374F">
        <w:rPr>
          <w:rFonts w:ascii="Book Antiqua" w:hAnsi="Book Antiqua" w:cs="宋体"/>
          <w:kern w:val="0"/>
          <w:sz w:val="24"/>
        </w:rPr>
        <w:t xml:space="preserve"> 2001; </w:t>
      </w:r>
      <w:r w:rsidRPr="002B374F">
        <w:rPr>
          <w:rFonts w:ascii="Book Antiqua" w:hAnsi="Book Antiqua" w:cs="宋体"/>
          <w:b/>
          <w:bCs/>
          <w:kern w:val="0"/>
          <w:sz w:val="24"/>
        </w:rPr>
        <w:t>1518</w:t>
      </w:r>
      <w:r w:rsidRPr="002B374F">
        <w:rPr>
          <w:rFonts w:ascii="Book Antiqua" w:hAnsi="Book Antiqua" w:cs="宋体"/>
          <w:kern w:val="0"/>
          <w:sz w:val="24"/>
        </w:rPr>
        <w:t>: 287-293 [PMID: 11311942]</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55 </w:t>
      </w:r>
      <w:r w:rsidRPr="002B374F">
        <w:rPr>
          <w:rFonts w:ascii="Book Antiqua" w:hAnsi="Book Antiqua" w:cs="宋体"/>
          <w:b/>
          <w:bCs/>
          <w:kern w:val="0"/>
          <w:sz w:val="24"/>
        </w:rPr>
        <w:t>Mitani Y</w:t>
      </w:r>
      <w:r w:rsidRPr="002B374F">
        <w:rPr>
          <w:rFonts w:ascii="Book Antiqua" w:hAnsi="Book Antiqua" w:cs="宋体"/>
          <w:kern w:val="0"/>
          <w:sz w:val="24"/>
        </w:rPr>
        <w:t xml:space="preserve">, Oue N, Matsumura S, Yoshida K, Noguchi T, Ito M, Tanaka S, Kuniyasu H, Kamata N, Yasui W. Reg IV is a serum biomarker for gastric cancer patients and predicts response to 5-fluorouracil-based chemotherapy. </w:t>
      </w:r>
      <w:r w:rsidRPr="002B374F">
        <w:rPr>
          <w:rFonts w:ascii="Book Antiqua" w:hAnsi="Book Antiqua" w:cs="宋体"/>
          <w:i/>
          <w:iCs/>
          <w:kern w:val="0"/>
          <w:sz w:val="24"/>
        </w:rPr>
        <w:t>Oncogene</w:t>
      </w:r>
      <w:r w:rsidRPr="002B374F">
        <w:rPr>
          <w:rFonts w:ascii="Book Antiqua" w:hAnsi="Book Antiqua" w:cs="宋体"/>
          <w:kern w:val="0"/>
          <w:sz w:val="24"/>
        </w:rPr>
        <w:t xml:space="preserve"> 2007; </w:t>
      </w:r>
      <w:r w:rsidRPr="002B374F">
        <w:rPr>
          <w:rFonts w:ascii="Book Antiqua" w:hAnsi="Book Antiqua" w:cs="宋体"/>
          <w:b/>
          <w:bCs/>
          <w:kern w:val="0"/>
          <w:sz w:val="24"/>
        </w:rPr>
        <w:t>26</w:t>
      </w:r>
      <w:r w:rsidRPr="002B374F">
        <w:rPr>
          <w:rFonts w:ascii="Book Antiqua" w:hAnsi="Book Antiqua" w:cs="宋体"/>
          <w:kern w:val="0"/>
          <w:sz w:val="24"/>
        </w:rPr>
        <w:t>: 4383-4393 [PMID: 17237819 DOI: 10.1038/sj.onc.1210215]</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56 </w:t>
      </w:r>
      <w:r w:rsidRPr="002B374F">
        <w:rPr>
          <w:rFonts w:ascii="Book Antiqua" w:hAnsi="Book Antiqua" w:cs="宋体"/>
          <w:b/>
          <w:bCs/>
          <w:kern w:val="0"/>
          <w:sz w:val="24"/>
        </w:rPr>
        <w:t>Oue N</w:t>
      </w:r>
      <w:r w:rsidRPr="002B374F">
        <w:rPr>
          <w:rFonts w:ascii="Book Antiqua" w:hAnsi="Book Antiqua" w:cs="宋体"/>
          <w:kern w:val="0"/>
          <w:sz w:val="24"/>
        </w:rPr>
        <w:t xml:space="preserve">, Mitani Y, Aung PP, Sakakura C, Takeshima Y, Kaneko M, Noguchi T, Nakayama H, Yasui W. Expression and localization of Reg IV in human neoplastic and non-neoplastic tissues: Reg IV expression is associated with intestinal and neuroendocrine differentiation in gastric adenocarcinoma. </w:t>
      </w:r>
      <w:r w:rsidRPr="002B374F">
        <w:rPr>
          <w:rFonts w:ascii="Book Antiqua" w:hAnsi="Book Antiqua" w:cs="宋体"/>
          <w:i/>
          <w:iCs/>
          <w:kern w:val="0"/>
          <w:sz w:val="24"/>
        </w:rPr>
        <w:t>J Pathol</w:t>
      </w:r>
      <w:r w:rsidRPr="002B374F">
        <w:rPr>
          <w:rFonts w:ascii="Book Antiqua" w:hAnsi="Book Antiqua" w:cs="宋体"/>
          <w:kern w:val="0"/>
          <w:sz w:val="24"/>
        </w:rPr>
        <w:t xml:space="preserve"> 2005; </w:t>
      </w:r>
      <w:r w:rsidRPr="002B374F">
        <w:rPr>
          <w:rFonts w:ascii="Book Antiqua" w:hAnsi="Book Antiqua" w:cs="宋体"/>
          <w:b/>
          <w:bCs/>
          <w:kern w:val="0"/>
          <w:sz w:val="24"/>
        </w:rPr>
        <w:t>207</w:t>
      </w:r>
      <w:r w:rsidRPr="002B374F">
        <w:rPr>
          <w:rFonts w:ascii="Book Antiqua" w:hAnsi="Book Antiqua" w:cs="宋体"/>
          <w:kern w:val="0"/>
          <w:sz w:val="24"/>
        </w:rPr>
        <w:t>: 185-198 [PMID: 16086444 DOI: 10.1002/path.1827]</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57 </w:t>
      </w:r>
      <w:r w:rsidRPr="002B374F">
        <w:rPr>
          <w:rFonts w:ascii="Book Antiqua" w:hAnsi="Book Antiqua" w:cs="宋体"/>
          <w:b/>
          <w:bCs/>
          <w:kern w:val="0"/>
          <w:sz w:val="24"/>
        </w:rPr>
        <w:t>Kuniyasu H</w:t>
      </w:r>
      <w:r w:rsidRPr="002B374F">
        <w:rPr>
          <w:rFonts w:ascii="Book Antiqua" w:hAnsi="Book Antiqua" w:cs="宋体"/>
          <w:kern w:val="0"/>
          <w:sz w:val="24"/>
        </w:rPr>
        <w:t xml:space="preserve">, Oue N, Sasahira T, Yi L, Moriwaka Y, Shimomoto T, Fujii K, Ohmori H, Yasui W. Reg IV enhances peritoneal metastasis in gastric carcinomas. </w:t>
      </w:r>
      <w:r w:rsidRPr="002B374F">
        <w:rPr>
          <w:rFonts w:ascii="Book Antiqua" w:hAnsi="Book Antiqua" w:cs="宋体"/>
          <w:i/>
          <w:iCs/>
          <w:kern w:val="0"/>
          <w:sz w:val="24"/>
        </w:rPr>
        <w:t>Cell Prolif</w:t>
      </w:r>
      <w:r w:rsidRPr="002B374F">
        <w:rPr>
          <w:rFonts w:ascii="Book Antiqua" w:hAnsi="Book Antiqua" w:cs="宋体"/>
          <w:kern w:val="0"/>
          <w:sz w:val="24"/>
        </w:rPr>
        <w:t xml:space="preserve"> 2009; </w:t>
      </w:r>
      <w:r w:rsidRPr="002B374F">
        <w:rPr>
          <w:rFonts w:ascii="Book Antiqua" w:hAnsi="Book Antiqua" w:cs="宋体"/>
          <w:b/>
          <w:bCs/>
          <w:kern w:val="0"/>
          <w:sz w:val="24"/>
        </w:rPr>
        <w:t>42</w:t>
      </w:r>
      <w:r w:rsidRPr="002B374F">
        <w:rPr>
          <w:rFonts w:ascii="Book Antiqua" w:hAnsi="Book Antiqua" w:cs="宋体"/>
          <w:kern w:val="0"/>
          <w:sz w:val="24"/>
        </w:rPr>
        <w:t>: 110-121 [PMID: 19143768 DOI: 10.1111/j.1365-2184.2008.00577.x]</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58 </w:t>
      </w:r>
      <w:r w:rsidRPr="002B374F">
        <w:rPr>
          <w:rFonts w:ascii="Book Antiqua" w:hAnsi="Book Antiqua" w:cs="宋体"/>
          <w:b/>
          <w:bCs/>
          <w:kern w:val="0"/>
          <w:sz w:val="24"/>
        </w:rPr>
        <w:t>Efferth T</w:t>
      </w:r>
      <w:r w:rsidRPr="002B374F">
        <w:rPr>
          <w:rFonts w:ascii="Book Antiqua" w:hAnsi="Book Antiqua" w:cs="宋体"/>
          <w:kern w:val="0"/>
          <w:sz w:val="24"/>
        </w:rPr>
        <w:t xml:space="preserve">. Signal transduction pathways of the epidermal growth factor receptor in colorectal cancer and their inhibition by small molecules. </w:t>
      </w:r>
      <w:r w:rsidRPr="002B374F">
        <w:rPr>
          <w:rFonts w:ascii="Book Antiqua" w:hAnsi="Book Antiqua" w:cs="宋体"/>
          <w:i/>
          <w:iCs/>
          <w:kern w:val="0"/>
          <w:sz w:val="24"/>
        </w:rPr>
        <w:t>Curr Med Chem</w:t>
      </w:r>
      <w:r w:rsidRPr="002B374F">
        <w:rPr>
          <w:rFonts w:ascii="Book Antiqua" w:hAnsi="Book Antiqua" w:cs="宋体"/>
          <w:kern w:val="0"/>
          <w:sz w:val="24"/>
        </w:rPr>
        <w:t xml:space="preserve"> 2012; </w:t>
      </w:r>
      <w:r w:rsidRPr="002B374F">
        <w:rPr>
          <w:rFonts w:ascii="Book Antiqua" w:hAnsi="Book Antiqua" w:cs="宋体"/>
          <w:b/>
          <w:bCs/>
          <w:kern w:val="0"/>
          <w:sz w:val="24"/>
        </w:rPr>
        <w:t>19</w:t>
      </w:r>
      <w:r w:rsidRPr="002B374F">
        <w:rPr>
          <w:rFonts w:ascii="Book Antiqua" w:hAnsi="Book Antiqua" w:cs="宋体"/>
          <w:kern w:val="0"/>
          <w:sz w:val="24"/>
        </w:rPr>
        <w:t>: 5735-5744 [PMID: 23033949]</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59 </w:t>
      </w:r>
      <w:r w:rsidRPr="002B374F">
        <w:rPr>
          <w:rFonts w:ascii="Book Antiqua" w:hAnsi="Book Antiqua" w:cs="宋体"/>
          <w:b/>
          <w:bCs/>
          <w:kern w:val="0"/>
          <w:sz w:val="24"/>
        </w:rPr>
        <w:t>Motoshita J</w:t>
      </w:r>
      <w:r w:rsidRPr="002B374F">
        <w:rPr>
          <w:rFonts w:ascii="Book Antiqua" w:hAnsi="Book Antiqua" w:cs="宋体"/>
          <w:kern w:val="0"/>
          <w:sz w:val="24"/>
        </w:rPr>
        <w:t xml:space="preserve">, Nakayama H, Taniyama K, Matsusaki K, Yasui W. Molecular characteristics of differentiated-type gastric carcinoma with distinct mucin </w:t>
      </w:r>
      <w:r w:rsidRPr="002B374F">
        <w:rPr>
          <w:rFonts w:ascii="Book Antiqua" w:hAnsi="Book Antiqua" w:cs="宋体"/>
          <w:kern w:val="0"/>
          <w:sz w:val="24"/>
        </w:rPr>
        <w:lastRenderedPageBreak/>
        <w:t xml:space="preserve">phenotype: LI-cadherin is associated with intestinal phenotype. </w:t>
      </w:r>
      <w:r w:rsidRPr="002B374F">
        <w:rPr>
          <w:rFonts w:ascii="Book Antiqua" w:hAnsi="Book Antiqua" w:cs="宋体"/>
          <w:i/>
          <w:iCs/>
          <w:kern w:val="0"/>
          <w:sz w:val="24"/>
        </w:rPr>
        <w:t>Pathol Int</w:t>
      </w:r>
      <w:r w:rsidRPr="002B374F">
        <w:rPr>
          <w:rFonts w:ascii="Book Antiqua" w:hAnsi="Book Antiqua" w:cs="宋体"/>
          <w:kern w:val="0"/>
          <w:sz w:val="24"/>
        </w:rPr>
        <w:t xml:space="preserve"> 2006; </w:t>
      </w:r>
      <w:r w:rsidRPr="002B374F">
        <w:rPr>
          <w:rFonts w:ascii="Book Antiqua" w:hAnsi="Book Antiqua" w:cs="宋体"/>
          <w:b/>
          <w:bCs/>
          <w:kern w:val="0"/>
          <w:sz w:val="24"/>
        </w:rPr>
        <w:t>56</w:t>
      </w:r>
      <w:r w:rsidRPr="002B374F">
        <w:rPr>
          <w:rFonts w:ascii="Book Antiqua" w:hAnsi="Book Antiqua" w:cs="宋体"/>
          <w:kern w:val="0"/>
          <w:sz w:val="24"/>
        </w:rPr>
        <w:t>: 200-205 [PMID: 16634965 DOI: 10.1111/j.1440-1827.2006.01946.x]</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60 </w:t>
      </w:r>
      <w:r w:rsidRPr="002B374F">
        <w:rPr>
          <w:rFonts w:ascii="Book Antiqua" w:hAnsi="Book Antiqua" w:cs="宋体"/>
          <w:b/>
          <w:bCs/>
          <w:kern w:val="0"/>
          <w:sz w:val="24"/>
        </w:rPr>
        <w:t>Tajima Y</w:t>
      </w:r>
      <w:r w:rsidRPr="002B374F">
        <w:rPr>
          <w:rFonts w:ascii="Book Antiqua" w:hAnsi="Book Antiqua" w:cs="宋体"/>
          <w:kern w:val="0"/>
          <w:sz w:val="24"/>
        </w:rPr>
        <w:t xml:space="preserve">, Shimoda T, Nakanishi Y, Yokoyama N, Tanaka T, Shimizu K, Saito T, Kawamura M, Kusano M, Kumagai K. Association of gastric and intestinal phenotypic marker expression of gastric carcinomas with tumor thymidylate synthase expression and response to postoperative chemotherapy with 5-fluorouracil. </w:t>
      </w:r>
      <w:r w:rsidRPr="002B374F">
        <w:rPr>
          <w:rFonts w:ascii="Book Antiqua" w:hAnsi="Book Antiqua" w:cs="宋体"/>
          <w:i/>
          <w:iCs/>
          <w:kern w:val="0"/>
          <w:sz w:val="24"/>
        </w:rPr>
        <w:t>J Cancer Res Clin Oncol</w:t>
      </w:r>
      <w:r w:rsidRPr="002B374F">
        <w:rPr>
          <w:rFonts w:ascii="Book Antiqua" w:hAnsi="Book Antiqua" w:cs="宋体"/>
          <w:kern w:val="0"/>
          <w:sz w:val="24"/>
        </w:rPr>
        <w:t xml:space="preserve"> 2003; </w:t>
      </w:r>
      <w:r w:rsidRPr="002B374F">
        <w:rPr>
          <w:rFonts w:ascii="Book Antiqua" w:hAnsi="Book Antiqua" w:cs="宋体"/>
          <w:b/>
          <w:bCs/>
          <w:kern w:val="0"/>
          <w:sz w:val="24"/>
        </w:rPr>
        <w:t>129</w:t>
      </w:r>
      <w:r w:rsidRPr="002B374F">
        <w:rPr>
          <w:rFonts w:ascii="Book Antiqua" w:hAnsi="Book Antiqua" w:cs="宋体"/>
          <w:kern w:val="0"/>
          <w:sz w:val="24"/>
        </w:rPr>
        <w:t>: 683-690 [PMID: 14576935 DOI: 10.1007/s00432-003-0476-0]</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61 </w:t>
      </w:r>
      <w:r w:rsidRPr="002B374F">
        <w:rPr>
          <w:rFonts w:ascii="Book Antiqua" w:hAnsi="Book Antiqua" w:cs="宋体"/>
          <w:b/>
          <w:bCs/>
          <w:kern w:val="0"/>
          <w:sz w:val="24"/>
        </w:rPr>
        <w:t>Ge J</w:t>
      </w:r>
      <w:r w:rsidRPr="002B374F">
        <w:rPr>
          <w:rFonts w:ascii="Book Antiqua" w:hAnsi="Book Antiqua" w:cs="宋体"/>
          <w:kern w:val="0"/>
          <w:sz w:val="24"/>
        </w:rPr>
        <w:t xml:space="preserve">, Chen Z, Wu S, Yuan W, Hu B, Chen Z. A clinicopathological study on the expression of cadherin-17 and caudal-related homeobox transcription factor (CDX2) in human gastric carcinoma. </w:t>
      </w:r>
      <w:r w:rsidRPr="002B374F">
        <w:rPr>
          <w:rFonts w:ascii="Book Antiqua" w:hAnsi="Book Antiqua" w:cs="宋体"/>
          <w:i/>
          <w:iCs/>
          <w:kern w:val="0"/>
          <w:sz w:val="24"/>
        </w:rPr>
        <w:t>Clin Oncol (R Coll Radiol)</w:t>
      </w:r>
      <w:r w:rsidRPr="002B374F">
        <w:rPr>
          <w:rFonts w:ascii="Book Antiqua" w:hAnsi="Book Antiqua" w:cs="宋体"/>
          <w:kern w:val="0"/>
          <w:sz w:val="24"/>
        </w:rPr>
        <w:t xml:space="preserve"> 2008; </w:t>
      </w:r>
      <w:r w:rsidRPr="002B374F">
        <w:rPr>
          <w:rFonts w:ascii="Book Antiqua" w:hAnsi="Book Antiqua" w:cs="宋体"/>
          <w:b/>
          <w:bCs/>
          <w:kern w:val="0"/>
          <w:sz w:val="24"/>
        </w:rPr>
        <w:t>20</w:t>
      </w:r>
      <w:r w:rsidRPr="002B374F">
        <w:rPr>
          <w:rFonts w:ascii="Book Antiqua" w:hAnsi="Book Antiqua" w:cs="宋体"/>
          <w:kern w:val="0"/>
          <w:sz w:val="24"/>
        </w:rPr>
        <w:t>: 275-283 [PMID: 18353622 DOI: 10.1016/j.clon.2008.01.013]</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62 </w:t>
      </w:r>
      <w:r w:rsidRPr="002B374F">
        <w:rPr>
          <w:rFonts w:ascii="Book Antiqua" w:hAnsi="Book Antiqua" w:cs="宋体"/>
          <w:b/>
          <w:bCs/>
          <w:kern w:val="0"/>
          <w:sz w:val="24"/>
        </w:rPr>
        <w:t>Matsumoto K</w:t>
      </w:r>
      <w:r w:rsidRPr="002B374F">
        <w:rPr>
          <w:rFonts w:ascii="Book Antiqua" w:hAnsi="Book Antiqua" w:cs="宋体"/>
          <w:kern w:val="0"/>
          <w:sz w:val="24"/>
        </w:rPr>
        <w:t xml:space="preserve">, Mizoshita T, Tsukamoto T, Ogasawara N, Hirata A, Shimizu Y, Haneda M, Yamao K, Tatematsu M. Cdx2 expression in pancreatic tumors: Relationship with prognosis of invasive ductal carcinomas. </w:t>
      </w:r>
      <w:r w:rsidRPr="002B374F">
        <w:rPr>
          <w:rFonts w:ascii="Book Antiqua" w:hAnsi="Book Antiqua" w:cs="宋体"/>
          <w:i/>
          <w:iCs/>
          <w:kern w:val="0"/>
          <w:sz w:val="24"/>
        </w:rPr>
        <w:t>Oncol Rep</w:t>
      </w:r>
      <w:r w:rsidRPr="002B374F">
        <w:rPr>
          <w:rFonts w:ascii="Book Antiqua" w:hAnsi="Book Antiqua" w:cs="宋体"/>
          <w:kern w:val="0"/>
          <w:sz w:val="24"/>
        </w:rPr>
        <w:t xml:space="preserve"> 2004; </w:t>
      </w:r>
      <w:r w:rsidRPr="002B374F">
        <w:rPr>
          <w:rFonts w:ascii="Book Antiqua" w:hAnsi="Book Antiqua" w:cs="宋体"/>
          <w:b/>
          <w:bCs/>
          <w:kern w:val="0"/>
          <w:sz w:val="24"/>
        </w:rPr>
        <w:t>12</w:t>
      </w:r>
      <w:r w:rsidRPr="002B374F">
        <w:rPr>
          <w:rFonts w:ascii="Book Antiqua" w:hAnsi="Book Antiqua" w:cs="宋体"/>
          <w:kern w:val="0"/>
          <w:sz w:val="24"/>
        </w:rPr>
        <w:t>: 1239-1243 [PMID: 15547744]</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63 </w:t>
      </w:r>
      <w:r w:rsidRPr="002B374F">
        <w:rPr>
          <w:rFonts w:ascii="Book Antiqua" w:hAnsi="Book Antiqua" w:cs="宋体"/>
          <w:b/>
          <w:bCs/>
          <w:kern w:val="0"/>
          <w:sz w:val="24"/>
        </w:rPr>
        <w:t>Xiao ZY</w:t>
      </w:r>
      <w:r w:rsidRPr="002B374F">
        <w:rPr>
          <w:rFonts w:ascii="Book Antiqua" w:hAnsi="Book Antiqua" w:cs="宋体"/>
          <w:kern w:val="0"/>
          <w:sz w:val="24"/>
        </w:rPr>
        <w:t xml:space="preserve">, Ru Y, Sun JT, Gao SG, Wang YF, Wang LD, Feng XS. Expression of CDX2 and villin in gastric cardiac intestinal metaplasia and the relation with gastric cardiac carcinogenesis. </w:t>
      </w:r>
      <w:r w:rsidRPr="002B374F">
        <w:rPr>
          <w:rFonts w:ascii="Book Antiqua" w:hAnsi="Book Antiqua" w:cs="宋体"/>
          <w:i/>
          <w:iCs/>
          <w:kern w:val="0"/>
          <w:sz w:val="24"/>
        </w:rPr>
        <w:t>Asian Pac J Cancer Prev</w:t>
      </w:r>
      <w:r w:rsidRPr="002B374F">
        <w:rPr>
          <w:rFonts w:ascii="Book Antiqua" w:hAnsi="Book Antiqua" w:cs="宋体"/>
          <w:kern w:val="0"/>
          <w:sz w:val="24"/>
        </w:rPr>
        <w:t xml:space="preserve"> 2012; </w:t>
      </w:r>
      <w:r w:rsidRPr="002B374F">
        <w:rPr>
          <w:rFonts w:ascii="Book Antiqua" w:hAnsi="Book Antiqua" w:cs="宋体"/>
          <w:b/>
          <w:bCs/>
          <w:kern w:val="0"/>
          <w:sz w:val="24"/>
        </w:rPr>
        <w:t>13</w:t>
      </w:r>
      <w:r w:rsidRPr="002B374F">
        <w:rPr>
          <w:rFonts w:ascii="Book Antiqua" w:hAnsi="Book Antiqua" w:cs="宋体"/>
          <w:kern w:val="0"/>
          <w:sz w:val="24"/>
        </w:rPr>
        <w:t>: 247-250 [PMID: 22502678]</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64 </w:t>
      </w:r>
      <w:r w:rsidRPr="002B374F">
        <w:rPr>
          <w:rFonts w:ascii="Book Antiqua" w:hAnsi="Book Antiqua" w:cs="宋体"/>
          <w:b/>
          <w:bCs/>
          <w:kern w:val="0"/>
          <w:sz w:val="24"/>
        </w:rPr>
        <w:t>Huang LN</w:t>
      </w:r>
      <w:r w:rsidRPr="002B374F">
        <w:rPr>
          <w:rFonts w:ascii="Book Antiqua" w:hAnsi="Book Antiqua" w:cs="宋体"/>
          <w:kern w:val="0"/>
          <w:sz w:val="24"/>
        </w:rPr>
        <w:t xml:space="preserve">, Wang DS, Chen YQ, Li W, Hu FD, Gong BL, Zhao CL, Jia W. Meta-analysis for cyclin E in lung cancer survival. </w:t>
      </w:r>
      <w:r w:rsidRPr="002B374F">
        <w:rPr>
          <w:rFonts w:ascii="Book Antiqua" w:hAnsi="Book Antiqua" w:cs="宋体"/>
          <w:i/>
          <w:iCs/>
          <w:kern w:val="0"/>
          <w:sz w:val="24"/>
        </w:rPr>
        <w:t>Clin Chim Acta</w:t>
      </w:r>
      <w:r w:rsidRPr="002B374F">
        <w:rPr>
          <w:rFonts w:ascii="Book Antiqua" w:hAnsi="Book Antiqua" w:cs="宋体"/>
          <w:kern w:val="0"/>
          <w:sz w:val="24"/>
        </w:rPr>
        <w:t xml:space="preserve"> 2012; </w:t>
      </w:r>
      <w:r w:rsidRPr="002B374F">
        <w:rPr>
          <w:rFonts w:ascii="Book Antiqua" w:hAnsi="Book Antiqua" w:cs="宋体"/>
          <w:b/>
          <w:bCs/>
          <w:kern w:val="0"/>
          <w:sz w:val="24"/>
        </w:rPr>
        <w:t>413</w:t>
      </w:r>
      <w:r w:rsidRPr="002B374F">
        <w:rPr>
          <w:rFonts w:ascii="Book Antiqua" w:hAnsi="Book Antiqua" w:cs="宋体"/>
          <w:kern w:val="0"/>
          <w:sz w:val="24"/>
        </w:rPr>
        <w:t>: 663-668 [PMID: 22244930 DOI: 10.1016/j.cca.2011.12.020]</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65 </w:t>
      </w:r>
      <w:r w:rsidRPr="002B374F">
        <w:rPr>
          <w:rFonts w:ascii="Book Antiqua" w:hAnsi="Book Antiqua" w:cs="宋体"/>
          <w:b/>
          <w:bCs/>
          <w:kern w:val="0"/>
          <w:sz w:val="24"/>
        </w:rPr>
        <w:t>Christian P</w:t>
      </w:r>
      <w:r w:rsidRPr="002B374F">
        <w:rPr>
          <w:rFonts w:ascii="Book Antiqua" w:hAnsi="Book Antiqua" w:cs="宋体"/>
          <w:kern w:val="0"/>
          <w:sz w:val="24"/>
        </w:rPr>
        <w:t xml:space="preserve">, Tielsch JM. Evidence for multiple micronutrient effects based on randomized controlled trials and meta-analyses in developing countries. </w:t>
      </w:r>
      <w:r w:rsidRPr="002B374F">
        <w:rPr>
          <w:rFonts w:ascii="Book Antiqua" w:hAnsi="Book Antiqua" w:cs="宋体"/>
          <w:i/>
          <w:iCs/>
          <w:kern w:val="0"/>
          <w:sz w:val="24"/>
        </w:rPr>
        <w:t>J Nutr</w:t>
      </w:r>
      <w:r w:rsidRPr="002B374F">
        <w:rPr>
          <w:rFonts w:ascii="Book Antiqua" w:hAnsi="Book Antiqua" w:cs="宋体"/>
          <w:kern w:val="0"/>
          <w:sz w:val="24"/>
        </w:rPr>
        <w:t xml:space="preserve"> 2012; </w:t>
      </w:r>
      <w:r w:rsidRPr="002B374F">
        <w:rPr>
          <w:rFonts w:ascii="Book Antiqua" w:hAnsi="Book Antiqua" w:cs="宋体"/>
          <w:b/>
          <w:bCs/>
          <w:kern w:val="0"/>
          <w:sz w:val="24"/>
        </w:rPr>
        <w:t>142</w:t>
      </w:r>
      <w:r w:rsidRPr="002B374F">
        <w:rPr>
          <w:rFonts w:ascii="Book Antiqua" w:hAnsi="Book Antiqua" w:cs="宋体"/>
          <w:kern w:val="0"/>
          <w:sz w:val="24"/>
        </w:rPr>
        <w:t>: 173S-177S [PMID: 22157540 DOI: 10.3945/jn.111.149898]</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66 </w:t>
      </w:r>
      <w:r w:rsidRPr="002B374F">
        <w:rPr>
          <w:rFonts w:ascii="Book Antiqua" w:hAnsi="Book Antiqua" w:cs="宋体"/>
          <w:b/>
          <w:bCs/>
          <w:kern w:val="0"/>
          <w:sz w:val="24"/>
        </w:rPr>
        <w:t>Wang XT</w:t>
      </w:r>
      <w:r w:rsidRPr="002B374F">
        <w:rPr>
          <w:rFonts w:ascii="Book Antiqua" w:hAnsi="Book Antiqua" w:cs="宋体"/>
          <w:kern w:val="0"/>
          <w:sz w:val="24"/>
        </w:rPr>
        <w:t xml:space="preserve">, Wei WY, Kong FB, Lian C, Luo W, Xiao Q, Xie YB. Prognostic significance of Cdx2 immunohistochemical expression in gastric cancer: a meta-analysis of published literatures. </w:t>
      </w:r>
      <w:r w:rsidRPr="002B374F">
        <w:rPr>
          <w:rFonts w:ascii="Book Antiqua" w:hAnsi="Book Antiqua" w:cs="宋体"/>
          <w:i/>
          <w:iCs/>
          <w:kern w:val="0"/>
          <w:sz w:val="24"/>
        </w:rPr>
        <w:t>J Exp Clin Cancer Res</w:t>
      </w:r>
      <w:r w:rsidRPr="002B374F">
        <w:rPr>
          <w:rFonts w:ascii="Book Antiqua" w:hAnsi="Book Antiqua" w:cs="宋体"/>
          <w:kern w:val="0"/>
          <w:sz w:val="24"/>
        </w:rPr>
        <w:t xml:space="preserve"> 2012; </w:t>
      </w:r>
      <w:r w:rsidRPr="002B374F">
        <w:rPr>
          <w:rFonts w:ascii="Book Antiqua" w:hAnsi="Book Antiqua" w:cs="宋体"/>
          <w:b/>
          <w:bCs/>
          <w:kern w:val="0"/>
          <w:sz w:val="24"/>
        </w:rPr>
        <w:t>31</w:t>
      </w:r>
      <w:r w:rsidRPr="002B374F">
        <w:rPr>
          <w:rFonts w:ascii="Book Antiqua" w:hAnsi="Book Antiqua" w:cs="宋体"/>
          <w:kern w:val="0"/>
          <w:sz w:val="24"/>
        </w:rPr>
        <w:t>: 98 [PMID: 23181722 DOI: 10.1186/1756-9966-31-98]</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67 </w:t>
      </w:r>
      <w:r w:rsidRPr="002B374F">
        <w:rPr>
          <w:rFonts w:ascii="Book Antiqua" w:hAnsi="Book Antiqua" w:cs="宋体"/>
          <w:b/>
          <w:bCs/>
          <w:kern w:val="0"/>
          <w:sz w:val="24"/>
        </w:rPr>
        <w:t>Park do Y</w:t>
      </w:r>
      <w:r w:rsidRPr="002B374F">
        <w:rPr>
          <w:rFonts w:ascii="Book Antiqua" w:hAnsi="Book Antiqua" w:cs="宋体"/>
          <w:kern w:val="0"/>
          <w:sz w:val="24"/>
        </w:rPr>
        <w:t xml:space="preserve">, Srivastava A, Kim GH, Mino-Kenudson M, Deshpande V, Zukerberg LR, Song GA, Lauwers GY. CDX2 expression in the intestinal-type gastric epithelial neoplasia: frequency and significance. </w:t>
      </w:r>
      <w:r w:rsidRPr="002B374F">
        <w:rPr>
          <w:rFonts w:ascii="Book Antiqua" w:hAnsi="Book Antiqua" w:cs="宋体"/>
          <w:i/>
          <w:iCs/>
          <w:kern w:val="0"/>
          <w:sz w:val="24"/>
        </w:rPr>
        <w:t>Mod Pathol</w:t>
      </w:r>
      <w:r w:rsidRPr="002B374F">
        <w:rPr>
          <w:rFonts w:ascii="Book Antiqua" w:hAnsi="Book Antiqua" w:cs="宋体"/>
          <w:kern w:val="0"/>
          <w:sz w:val="24"/>
        </w:rPr>
        <w:t xml:space="preserve"> 2010; </w:t>
      </w:r>
      <w:r w:rsidRPr="002B374F">
        <w:rPr>
          <w:rFonts w:ascii="Book Antiqua" w:hAnsi="Book Antiqua" w:cs="宋体"/>
          <w:b/>
          <w:bCs/>
          <w:kern w:val="0"/>
          <w:sz w:val="24"/>
        </w:rPr>
        <w:t>23</w:t>
      </w:r>
      <w:r w:rsidRPr="002B374F">
        <w:rPr>
          <w:rFonts w:ascii="Book Antiqua" w:hAnsi="Book Antiqua" w:cs="宋体"/>
          <w:kern w:val="0"/>
          <w:sz w:val="24"/>
        </w:rPr>
        <w:t>: 54-61 [PMID: 19820687 DOI: 10.1038/modpathol.2009.135]</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68 </w:t>
      </w:r>
      <w:r w:rsidRPr="002B374F">
        <w:rPr>
          <w:rFonts w:ascii="Book Antiqua" w:hAnsi="Book Antiqua" w:cs="宋体"/>
          <w:b/>
          <w:bCs/>
          <w:kern w:val="0"/>
          <w:sz w:val="24"/>
        </w:rPr>
        <w:t>Solcia E</w:t>
      </w:r>
      <w:r w:rsidRPr="002B374F">
        <w:rPr>
          <w:rFonts w:ascii="Book Antiqua" w:hAnsi="Book Antiqua" w:cs="宋体"/>
          <w:kern w:val="0"/>
          <w:sz w:val="24"/>
        </w:rPr>
        <w:t xml:space="preserve">, Klersy C, Vanoli A, Grillo F, Manca R, Tava F, Luinetti O, Fiocca R. The contribution of cell phenotype to the behavior of gastric cancer. </w:t>
      </w:r>
      <w:r w:rsidRPr="002B374F">
        <w:rPr>
          <w:rFonts w:ascii="Book Antiqua" w:hAnsi="Book Antiqua" w:cs="宋体"/>
          <w:i/>
          <w:iCs/>
          <w:kern w:val="0"/>
          <w:sz w:val="24"/>
        </w:rPr>
        <w:t>Gastric Cancer</w:t>
      </w:r>
      <w:r w:rsidRPr="002B374F">
        <w:rPr>
          <w:rFonts w:ascii="Book Antiqua" w:hAnsi="Book Antiqua" w:cs="宋体"/>
          <w:kern w:val="0"/>
          <w:sz w:val="24"/>
        </w:rPr>
        <w:t xml:space="preserve"> 2013; </w:t>
      </w:r>
      <w:r w:rsidRPr="002B374F">
        <w:rPr>
          <w:rFonts w:ascii="Book Antiqua" w:hAnsi="Book Antiqua" w:cs="宋体"/>
          <w:b/>
          <w:bCs/>
          <w:kern w:val="0"/>
          <w:sz w:val="24"/>
        </w:rPr>
        <w:t>16</w:t>
      </w:r>
      <w:r w:rsidRPr="002B374F">
        <w:rPr>
          <w:rFonts w:ascii="Book Antiqua" w:hAnsi="Book Antiqua" w:cs="宋体"/>
          <w:kern w:val="0"/>
          <w:sz w:val="24"/>
        </w:rPr>
        <w:t>: 462-471 [PMID: 23329390 DOI: 10.1007/s10120-012-0208-8]</w:t>
      </w:r>
    </w:p>
    <w:p w:rsidR="005132E0" w:rsidRPr="002B374F" w:rsidRDefault="005132E0" w:rsidP="002B374F">
      <w:pPr>
        <w:widowControl/>
        <w:jc w:val="left"/>
        <w:rPr>
          <w:rFonts w:ascii="Book Antiqua" w:hAnsi="Book Antiqua" w:cs="宋体"/>
          <w:kern w:val="0"/>
          <w:sz w:val="24"/>
        </w:rPr>
      </w:pPr>
      <w:r w:rsidRPr="002B374F">
        <w:rPr>
          <w:rFonts w:ascii="Book Antiqua" w:hAnsi="Book Antiqua" w:cs="宋体"/>
          <w:kern w:val="0"/>
          <w:sz w:val="24"/>
        </w:rPr>
        <w:t xml:space="preserve">69 </w:t>
      </w:r>
      <w:r w:rsidRPr="002B374F">
        <w:rPr>
          <w:rFonts w:ascii="Book Antiqua" w:hAnsi="Book Antiqua" w:cs="宋体"/>
          <w:b/>
          <w:bCs/>
          <w:kern w:val="0"/>
          <w:sz w:val="24"/>
        </w:rPr>
        <w:t>Qin R</w:t>
      </w:r>
      <w:r w:rsidRPr="002B374F">
        <w:rPr>
          <w:rFonts w:ascii="Book Antiqua" w:hAnsi="Book Antiqua" w:cs="宋体"/>
          <w:kern w:val="0"/>
          <w:sz w:val="24"/>
        </w:rPr>
        <w:t xml:space="preserve">, Wang NN, Chu J, Wang X. Expression and significance of homeodomain protein Cdx2 in gastric carcinoma and precancerous lesions. </w:t>
      </w:r>
      <w:r w:rsidRPr="002B374F">
        <w:rPr>
          <w:rFonts w:ascii="Book Antiqua" w:hAnsi="Book Antiqua" w:cs="宋体"/>
          <w:i/>
          <w:iCs/>
          <w:kern w:val="0"/>
          <w:sz w:val="24"/>
        </w:rPr>
        <w:t>World J Gastroenterol</w:t>
      </w:r>
      <w:r w:rsidRPr="002B374F">
        <w:rPr>
          <w:rFonts w:ascii="Book Antiqua" w:hAnsi="Book Antiqua" w:cs="宋体"/>
          <w:kern w:val="0"/>
          <w:sz w:val="24"/>
        </w:rPr>
        <w:t xml:space="preserve"> 2012; </w:t>
      </w:r>
      <w:r w:rsidRPr="002B374F">
        <w:rPr>
          <w:rFonts w:ascii="Book Antiqua" w:hAnsi="Book Antiqua" w:cs="宋体"/>
          <w:b/>
          <w:bCs/>
          <w:kern w:val="0"/>
          <w:sz w:val="24"/>
        </w:rPr>
        <w:t>18</w:t>
      </w:r>
      <w:r w:rsidRPr="002B374F">
        <w:rPr>
          <w:rFonts w:ascii="Book Antiqua" w:hAnsi="Book Antiqua" w:cs="宋体"/>
          <w:kern w:val="0"/>
          <w:sz w:val="24"/>
        </w:rPr>
        <w:t>: 3296-3302 [PMID: 22783055 DOI: 10.3748/wjg.v18.i25.3296]</w:t>
      </w:r>
    </w:p>
    <w:p w:rsidR="005132E0" w:rsidRDefault="005132E0" w:rsidP="000B0415">
      <w:pPr>
        <w:autoSpaceDE w:val="0"/>
        <w:autoSpaceDN w:val="0"/>
        <w:adjustRightInd w:val="0"/>
        <w:spacing w:line="360" w:lineRule="auto"/>
        <w:rPr>
          <w:rFonts w:ascii="Book Antiqua" w:hAnsi="Book Antiqua"/>
          <w:kern w:val="0"/>
          <w:sz w:val="24"/>
        </w:rPr>
      </w:pPr>
    </w:p>
    <w:p w:rsidR="005132E0" w:rsidRDefault="005132E0" w:rsidP="002B374F">
      <w:pPr>
        <w:tabs>
          <w:tab w:val="left" w:pos="180"/>
          <w:tab w:val="left" w:pos="360"/>
        </w:tabs>
        <w:adjustRightInd w:val="0"/>
        <w:snapToGrid w:val="0"/>
        <w:spacing w:line="360" w:lineRule="auto"/>
        <w:jc w:val="right"/>
        <w:rPr>
          <w:rFonts w:ascii="Book Antiqua" w:hAnsi="Book Antiqua" w:cs="Tahoma"/>
          <w:b/>
          <w:color w:val="000000"/>
          <w:sz w:val="24"/>
        </w:rPr>
      </w:pPr>
      <w:bookmarkStart w:id="348" w:name="OLE_LINK874"/>
      <w:bookmarkStart w:id="349" w:name="OLE_LINK875"/>
      <w:bookmarkStart w:id="350" w:name="OLE_LINK347"/>
      <w:bookmarkStart w:id="351" w:name="OLE_LINK384"/>
      <w:bookmarkStart w:id="352" w:name="OLE_LINK557"/>
      <w:bookmarkStart w:id="353" w:name="OLE_LINK558"/>
      <w:bookmarkStart w:id="354" w:name="OLE_LINK631"/>
      <w:bookmarkStart w:id="355" w:name="OLE_LINK632"/>
      <w:bookmarkStart w:id="356" w:name="OLE_LINK386"/>
      <w:bookmarkStart w:id="357" w:name="OLE_LINK431"/>
      <w:bookmarkStart w:id="358" w:name="OLE_LINK564"/>
      <w:bookmarkStart w:id="359" w:name="OLE_LINK493"/>
      <w:bookmarkStart w:id="360" w:name="OLE_LINK442"/>
      <w:bookmarkStart w:id="361" w:name="OLE_LINK551"/>
      <w:bookmarkStart w:id="362" w:name="OLE_LINK668"/>
      <w:bookmarkStart w:id="363" w:name="OLE_LINK669"/>
      <w:bookmarkStart w:id="364" w:name="OLE_LINK725"/>
      <w:bookmarkStart w:id="365" w:name="OLE_LINK489"/>
      <w:bookmarkStart w:id="366" w:name="OLE_LINK602"/>
      <w:bookmarkStart w:id="367" w:name="OLE_LINK658"/>
      <w:bookmarkStart w:id="368" w:name="OLE_LINK747"/>
      <w:bookmarkStart w:id="369" w:name="OLE_LINK897"/>
      <w:bookmarkStart w:id="370" w:name="OLE_LINK1138"/>
      <w:bookmarkStart w:id="371" w:name="OLE_LINK1139"/>
      <w:bookmarkStart w:id="372" w:name="OLE_LINK882"/>
      <w:bookmarkStart w:id="373" w:name="OLE_LINK1095"/>
      <w:bookmarkStart w:id="374" w:name="OLE_LINK1305"/>
      <w:bookmarkStart w:id="375" w:name="OLE_LINK1390"/>
      <w:bookmarkStart w:id="376" w:name="OLE_LINK964"/>
      <w:bookmarkStart w:id="377" w:name="OLE_LINK1190"/>
      <w:bookmarkStart w:id="378" w:name="OLE_LINK1314"/>
      <w:bookmarkStart w:id="379" w:name="OLE_LINK1031"/>
      <w:bookmarkStart w:id="380" w:name="OLE_LINK1092"/>
      <w:bookmarkStart w:id="381" w:name="OLE_LINK1258"/>
      <w:bookmarkStart w:id="382" w:name="OLE_LINK1259"/>
      <w:bookmarkStart w:id="383" w:name="OLE_LINK1337"/>
      <w:bookmarkStart w:id="384" w:name="OLE_LINK1338"/>
      <w:bookmarkStart w:id="385" w:name="OLE_LINK1363"/>
      <w:bookmarkStart w:id="386" w:name="OLE_LINK1364"/>
      <w:bookmarkStart w:id="387" w:name="OLE_LINK86"/>
      <w:bookmarkStart w:id="388" w:name="OLE_LINK1595"/>
      <w:bookmarkStart w:id="389" w:name="OLE_LINK1613"/>
      <w:bookmarkStart w:id="390" w:name="OLE_LINK1708"/>
      <w:bookmarkStart w:id="391" w:name="OLE_LINK1774"/>
      <w:bookmarkStart w:id="392" w:name="OLE_LINK1872"/>
      <w:bookmarkStart w:id="393" w:name="OLE_LINK1899"/>
      <w:bookmarkStart w:id="394" w:name="OLE_LINK1492"/>
      <w:bookmarkStart w:id="395" w:name="OLE_LINK1497"/>
      <w:bookmarkStart w:id="396" w:name="OLE_LINK1498"/>
      <w:bookmarkStart w:id="397" w:name="OLE_LINK1589"/>
      <w:bookmarkStart w:id="398" w:name="OLE_LINK1666"/>
      <w:bookmarkStart w:id="399" w:name="OLE_LINK1752"/>
      <w:bookmarkStart w:id="400" w:name="OLE_LINK1616"/>
      <w:bookmarkStart w:id="401" w:name="OLE_LINK1696"/>
      <w:bookmarkStart w:id="402" w:name="OLE_LINK1855"/>
      <w:bookmarkStart w:id="403" w:name="OLE_LINK1942"/>
      <w:bookmarkStart w:id="404" w:name="OLE_LINK1943"/>
      <w:bookmarkStart w:id="405" w:name="OLE_LINK1573"/>
      <w:bookmarkStart w:id="406" w:name="OLE_LINK1574"/>
      <w:bookmarkStart w:id="407" w:name="OLE_LINK1575"/>
      <w:bookmarkStart w:id="408" w:name="OLE_LINK1739"/>
      <w:bookmarkStart w:id="409" w:name="OLE_LINK1761"/>
      <w:bookmarkStart w:id="410" w:name="OLE_LINK1743"/>
      <w:bookmarkStart w:id="411" w:name="OLE_LINK1841"/>
      <w:bookmarkStart w:id="412" w:name="OLE_LINK1858"/>
      <w:bookmarkStart w:id="413" w:name="OLE_LINK1890"/>
      <w:bookmarkStart w:id="414" w:name="OLE_LINK1915"/>
      <w:bookmarkStart w:id="415" w:name="OLE_LINK1980"/>
      <w:bookmarkStart w:id="416" w:name="OLE_LINK1883"/>
      <w:bookmarkStart w:id="417" w:name="OLE_LINK1935"/>
      <w:bookmarkStart w:id="418" w:name="OLE_LINK1936"/>
      <w:bookmarkStart w:id="419" w:name="OLE_LINK1952"/>
      <w:bookmarkStart w:id="420" w:name="OLE_LINK1953"/>
      <w:bookmarkStart w:id="421" w:name="OLE_LINK1999"/>
      <w:bookmarkStart w:id="422" w:name="OLE_LINK2050"/>
      <w:bookmarkStart w:id="423" w:name="OLE_LINK1862"/>
      <w:bookmarkStart w:id="424" w:name="OLE_LINK1963"/>
      <w:bookmarkStart w:id="425" w:name="OLE_LINK2052"/>
      <w:bookmarkStart w:id="426" w:name="OLE_LINK1906"/>
      <w:bookmarkStart w:id="427" w:name="OLE_LINK2031"/>
      <w:bookmarkStart w:id="428" w:name="OLE_LINK2032"/>
      <w:bookmarkStart w:id="429" w:name="OLE_LINK1907"/>
      <w:bookmarkStart w:id="430" w:name="OLE_LINK2004"/>
      <w:bookmarkStart w:id="431" w:name="OLE_LINK2238"/>
      <w:bookmarkStart w:id="432" w:name="OLE_LINK2239"/>
      <w:bookmarkStart w:id="433" w:name="OLE_LINK2163"/>
      <w:bookmarkStart w:id="434" w:name="OLE_LINK2207"/>
      <w:bookmarkStart w:id="435" w:name="OLE_LINK2341"/>
      <w:bookmarkStart w:id="436" w:name="OLE_LINK2417"/>
      <w:bookmarkStart w:id="437" w:name="OLE_LINK2509"/>
      <w:bookmarkStart w:id="438" w:name="OLE_LINK2510"/>
      <w:bookmarkStart w:id="439" w:name="OLE_LINK2511"/>
      <w:bookmarkStart w:id="440" w:name="OLE_LINK2512"/>
      <w:bookmarkStart w:id="441" w:name="OLE_LINK2513"/>
      <w:bookmarkStart w:id="442" w:name="OLE_LINK2514"/>
      <w:bookmarkStart w:id="443" w:name="OLE_LINK2515"/>
      <w:bookmarkStart w:id="444" w:name="OLE_LINK2516"/>
      <w:bookmarkStart w:id="445" w:name="OLE_LINK2517"/>
      <w:bookmarkStart w:id="446" w:name="OLE_LINK2518"/>
      <w:bookmarkStart w:id="447" w:name="OLE_LINK2519"/>
      <w:bookmarkStart w:id="448" w:name="OLE_LINK2520"/>
      <w:bookmarkStart w:id="449" w:name="OLE_LINK2521"/>
      <w:bookmarkStart w:id="450" w:name="OLE_LINK2522"/>
      <w:bookmarkStart w:id="451" w:name="OLE_LINK2523"/>
      <w:bookmarkStart w:id="452" w:name="OLE_LINK2524"/>
      <w:bookmarkStart w:id="453" w:name="OLE_LINK2051"/>
      <w:bookmarkStart w:id="454" w:name="OLE_LINK2109"/>
      <w:bookmarkStart w:id="455" w:name="OLE_LINK2165"/>
      <w:bookmarkStart w:id="456" w:name="OLE_LINK2385"/>
      <w:bookmarkStart w:id="457" w:name="OLE_LINK2593"/>
      <w:bookmarkStart w:id="458" w:name="OLE_LINK2332"/>
      <w:bookmarkStart w:id="459" w:name="OLE_LINK2448"/>
      <w:bookmarkStart w:id="460" w:name="OLE_LINK2525"/>
      <w:bookmarkStart w:id="461" w:name="OLE_LINK2506"/>
      <w:bookmarkStart w:id="462" w:name="OLE_LINK2507"/>
      <w:bookmarkStart w:id="463" w:name="OLE_LINK2291"/>
      <w:bookmarkStart w:id="464" w:name="OLE_LINK2294"/>
      <w:bookmarkStart w:id="465" w:name="OLE_LINK2298"/>
      <w:bookmarkStart w:id="466" w:name="OLE_LINK2300"/>
      <w:bookmarkStart w:id="467" w:name="OLE_LINK2301"/>
      <w:bookmarkStart w:id="468" w:name="OLE_LINK2546"/>
      <w:bookmarkStart w:id="469" w:name="OLE_LINK2756"/>
      <w:bookmarkStart w:id="470" w:name="OLE_LINK2757"/>
      <w:bookmarkStart w:id="471" w:name="OLE_LINK2736"/>
      <w:bookmarkStart w:id="472" w:name="OLE_LINK2923"/>
      <w:bookmarkStart w:id="473" w:name="OLE_LINK2974"/>
      <w:bookmarkStart w:id="474" w:name="OLE_LINK3125"/>
      <w:bookmarkStart w:id="475" w:name="OLE_LINK3218"/>
      <w:bookmarkStart w:id="476" w:name="OLE_LINK2575"/>
      <w:bookmarkStart w:id="477" w:name="OLE_LINK2687"/>
      <w:bookmarkStart w:id="478" w:name="OLE_LINK2688"/>
      <w:bookmarkStart w:id="479" w:name="OLE_LINK2700"/>
      <w:bookmarkStart w:id="480" w:name="OLE_LINK2576"/>
      <w:bookmarkStart w:id="481" w:name="OLE_LINK2674"/>
      <w:bookmarkStart w:id="482" w:name="OLE_LINK2738"/>
      <w:bookmarkStart w:id="483" w:name="OLE_LINK2983"/>
      <w:bookmarkStart w:id="484" w:name="OLE_LINK76"/>
      <w:bookmarkStart w:id="485" w:name="OLE_LINK115"/>
      <w:bookmarkStart w:id="486" w:name="OLE_LINK155"/>
      <w:r w:rsidRPr="00C56046">
        <w:rPr>
          <w:rFonts w:ascii="Book Antiqua" w:hAnsi="Book Antiqua" w:cs="Tahoma"/>
          <w:b/>
          <w:color w:val="000000"/>
          <w:sz w:val="24"/>
        </w:rPr>
        <w:lastRenderedPageBreak/>
        <w:t>P-Reviewer</w:t>
      </w:r>
      <w:r>
        <w:rPr>
          <w:rFonts w:ascii="Book Antiqua" w:hAnsi="Book Antiqua" w:cs="Tahoma"/>
          <w:b/>
          <w:color w:val="000000"/>
          <w:sz w:val="24"/>
        </w:rPr>
        <w:t>s:</w:t>
      </w:r>
      <w:r w:rsidRPr="00826F45">
        <w:t xml:space="preserve"> </w:t>
      </w:r>
      <w:r w:rsidRPr="00826F45">
        <w:rPr>
          <w:rFonts w:ascii="Book Antiqua" w:hAnsi="Book Antiqua" w:cs="Tahoma"/>
          <w:color w:val="000000"/>
          <w:sz w:val="24"/>
        </w:rPr>
        <w:t>Ayroldi E, Baba H, Guo JM</w:t>
      </w:r>
      <w:r w:rsidRPr="00C56046">
        <w:rPr>
          <w:rFonts w:ascii="Book Antiqua" w:hAnsi="Book Antiqua" w:cs="Tahoma"/>
          <w:b/>
          <w:color w:val="000000"/>
          <w:sz w:val="24"/>
        </w:rPr>
        <w:t xml:space="preserve"> S-Editor</w:t>
      </w:r>
      <w:r>
        <w:rPr>
          <w:rFonts w:ascii="Book Antiqua" w:hAnsi="Book Antiqua" w:cs="Tahom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w:t>
      </w:r>
    </w:p>
    <w:p w:rsidR="005132E0" w:rsidRPr="00C56046" w:rsidRDefault="005132E0" w:rsidP="002B374F">
      <w:pPr>
        <w:tabs>
          <w:tab w:val="left" w:pos="180"/>
          <w:tab w:val="left" w:pos="360"/>
        </w:tabs>
        <w:adjustRightInd w:val="0"/>
        <w:snapToGrid w:val="0"/>
        <w:spacing w:line="360" w:lineRule="auto"/>
        <w:jc w:val="right"/>
        <w:rPr>
          <w:rFonts w:ascii="Book Antiqua" w:hAnsi="Book Antiqua" w:cs="Tahoma"/>
          <w:b/>
          <w:color w:val="000000"/>
          <w:sz w:val="24"/>
        </w:rPr>
      </w:pPr>
      <w:r w:rsidRPr="00C56046">
        <w:rPr>
          <w:rFonts w:ascii="Book Antiqua" w:hAnsi="Book Antiqua" w:cs="Tahoma"/>
          <w:b/>
          <w:color w:val="000000"/>
          <w:sz w:val="24"/>
        </w:rPr>
        <w:t>L-Editor</w:t>
      </w:r>
      <w:r>
        <w:rPr>
          <w:rFonts w:ascii="Book Antiqua" w:hAnsi="Book Antiqua" w:cs="Tahoma"/>
          <w:b/>
          <w:color w:val="000000"/>
          <w:sz w:val="24"/>
        </w:rPr>
        <w:t>:</w:t>
      </w:r>
      <w:r w:rsidRPr="00C56046">
        <w:rPr>
          <w:rFonts w:ascii="Book Antiqua" w:hAnsi="Book Antiqua" w:cs="Tahoma"/>
          <w:b/>
          <w:color w:val="000000"/>
          <w:sz w:val="24"/>
        </w:rPr>
        <w:t xml:space="preserve">    E-Edito</w:t>
      </w:r>
      <w:bookmarkEnd w:id="348"/>
      <w:bookmarkEnd w:id="349"/>
      <w:r w:rsidRPr="00C56046">
        <w:rPr>
          <w:rFonts w:ascii="Book Antiqua" w:hAnsi="Book Antiqua" w:cs="Tahoma"/>
          <w:b/>
          <w:color w:val="000000"/>
          <w:sz w:val="24"/>
        </w:rPr>
        <w:t>r</w:t>
      </w:r>
      <w:r>
        <w:rPr>
          <w:rFonts w:ascii="Book Antiqua" w:hAnsi="Book Antiqua" w:cs="Tahoma"/>
          <w:b/>
          <w:color w:val="000000"/>
          <w:sz w:val="24"/>
        </w:rPr>
        <w:t>:</w:t>
      </w:r>
    </w:p>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rsidR="005132E0" w:rsidRPr="002B374F" w:rsidRDefault="005132E0" w:rsidP="000B0415">
      <w:pPr>
        <w:autoSpaceDE w:val="0"/>
        <w:autoSpaceDN w:val="0"/>
        <w:adjustRightInd w:val="0"/>
        <w:spacing w:line="360" w:lineRule="auto"/>
        <w:rPr>
          <w:rFonts w:ascii="Book Antiqua" w:hAnsi="Book Antiqua"/>
          <w:kern w:val="0"/>
          <w:sz w:val="24"/>
        </w:rPr>
      </w:pPr>
    </w:p>
    <w:sectPr w:rsidR="005132E0" w:rsidRPr="002B374F" w:rsidSect="0030408A">
      <w:footerReference w:type="even" r:id="rId8"/>
      <w:footerReference w:type="default" r:id="rId9"/>
      <w:pgSz w:w="12240" w:h="15840"/>
      <w:pgMar w:top="1440" w:right="1800" w:bottom="1440" w:left="1800"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015" w:rsidRDefault="00C25015" w:rsidP="009D615E">
      <w:r>
        <w:separator/>
      </w:r>
    </w:p>
  </w:endnote>
  <w:endnote w:type="continuationSeparator" w:id="0">
    <w:p w:rsidR="00C25015" w:rsidRDefault="00C25015" w:rsidP="009D6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2E0" w:rsidRDefault="005132E0" w:rsidP="008B167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132E0" w:rsidRDefault="005132E0" w:rsidP="00AD0F1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2E0" w:rsidRDefault="005132E0" w:rsidP="008B167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A363B">
      <w:rPr>
        <w:rStyle w:val="a6"/>
        <w:noProof/>
      </w:rPr>
      <w:t>2</w:t>
    </w:r>
    <w:r>
      <w:rPr>
        <w:rStyle w:val="a6"/>
      </w:rPr>
      <w:fldChar w:fldCharType="end"/>
    </w:r>
  </w:p>
  <w:p w:rsidR="005132E0" w:rsidRDefault="005132E0" w:rsidP="00AD0F1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015" w:rsidRDefault="00C25015" w:rsidP="009D615E">
      <w:r>
        <w:separator/>
      </w:r>
    </w:p>
  </w:footnote>
  <w:footnote w:type="continuationSeparator" w:id="0">
    <w:p w:rsidR="00C25015" w:rsidRDefault="00C25015" w:rsidP="009D6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86D"/>
    <w:rsid w:val="000011D0"/>
    <w:rsid w:val="00007377"/>
    <w:rsid w:val="00017F6E"/>
    <w:rsid w:val="0002123D"/>
    <w:rsid w:val="000856EB"/>
    <w:rsid w:val="000A463A"/>
    <w:rsid w:val="000B0415"/>
    <w:rsid w:val="000B26F1"/>
    <w:rsid w:val="000C43B6"/>
    <w:rsid w:val="000D1934"/>
    <w:rsid w:val="000D4F53"/>
    <w:rsid w:val="000E4976"/>
    <w:rsid w:val="000F2AE6"/>
    <w:rsid w:val="00111743"/>
    <w:rsid w:val="00136409"/>
    <w:rsid w:val="00147474"/>
    <w:rsid w:val="0016018E"/>
    <w:rsid w:val="00172840"/>
    <w:rsid w:val="00195BEB"/>
    <w:rsid w:val="001A363B"/>
    <w:rsid w:val="001C4D2A"/>
    <w:rsid w:val="001F1A1F"/>
    <w:rsid w:val="00221394"/>
    <w:rsid w:val="00270F83"/>
    <w:rsid w:val="002917C8"/>
    <w:rsid w:val="00293993"/>
    <w:rsid w:val="002B374F"/>
    <w:rsid w:val="002D3E1D"/>
    <w:rsid w:val="002E50A4"/>
    <w:rsid w:val="0030408A"/>
    <w:rsid w:val="00315F39"/>
    <w:rsid w:val="003223E3"/>
    <w:rsid w:val="00340B14"/>
    <w:rsid w:val="00382435"/>
    <w:rsid w:val="00393967"/>
    <w:rsid w:val="003954F6"/>
    <w:rsid w:val="003B7C92"/>
    <w:rsid w:val="00410D52"/>
    <w:rsid w:val="00435EE2"/>
    <w:rsid w:val="004561BE"/>
    <w:rsid w:val="00467AB1"/>
    <w:rsid w:val="004743F9"/>
    <w:rsid w:val="004D1475"/>
    <w:rsid w:val="004D4BFB"/>
    <w:rsid w:val="005132E0"/>
    <w:rsid w:val="00514084"/>
    <w:rsid w:val="00514DCB"/>
    <w:rsid w:val="00517804"/>
    <w:rsid w:val="00552A43"/>
    <w:rsid w:val="005534B9"/>
    <w:rsid w:val="005715E0"/>
    <w:rsid w:val="005A23E7"/>
    <w:rsid w:val="005A2D89"/>
    <w:rsid w:val="005A630D"/>
    <w:rsid w:val="005C2493"/>
    <w:rsid w:val="005C74AF"/>
    <w:rsid w:val="00665B2F"/>
    <w:rsid w:val="00694E27"/>
    <w:rsid w:val="006E0F0C"/>
    <w:rsid w:val="0073786D"/>
    <w:rsid w:val="00742DA9"/>
    <w:rsid w:val="0076182F"/>
    <w:rsid w:val="007720AB"/>
    <w:rsid w:val="007832A9"/>
    <w:rsid w:val="007A6A54"/>
    <w:rsid w:val="007E6C39"/>
    <w:rsid w:val="0080631A"/>
    <w:rsid w:val="00826F45"/>
    <w:rsid w:val="00833CBF"/>
    <w:rsid w:val="00884B98"/>
    <w:rsid w:val="00887C43"/>
    <w:rsid w:val="008A4DD5"/>
    <w:rsid w:val="008B1675"/>
    <w:rsid w:val="008B3719"/>
    <w:rsid w:val="008B7044"/>
    <w:rsid w:val="008D1DE8"/>
    <w:rsid w:val="008F6286"/>
    <w:rsid w:val="008F7C84"/>
    <w:rsid w:val="009360BE"/>
    <w:rsid w:val="009363A3"/>
    <w:rsid w:val="009645D4"/>
    <w:rsid w:val="009706BE"/>
    <w:rsid w:val="00971557"/>
    <w:rsid w:val="009745AB"/>
    <w:rsid w:val="009958CB"/>
    <w:rsid w:val="009D118D"/>
    <w:rsid w:val="009D615E"/>
    <w:rsid w:val="009E0269"/>
    <w:rsid w:val="009E4511"/>
    <w:rsid w:val="009E4DAB"/>
    <w:rsid w:val="009F3477"/>
    <w:rsid w:val="00A2067C"/>
    <w:rsid w:val="00A27BA7"/>
    <w:rsid w:val="00A81219"/>
    <w:rsid w:val="00A85E0C"/>
    <w:rsid w:val="00A919CB"/>
    <w:rsid w:val="00A9602A"/>
    <w:rsid w:val="00AD0F14"/>
    <w:rsid w:val="00AD1B3A"/>
    <w:rsid w:val="00B24B14"/>
    <w:rsid w:val="00B36FA2"/>
    <w:rsid w:val="00B84CF8"/>
    <w:rsid w:val="00BB64FC"/>
    <w:rsid w:val="00BC3C92"/>
    <w:rsid w:val="00BF5735"/>
    <w:rsid w:val="00BF7C3F"/>
    <w:rsid w:val="00C23D2F"/>
    <w:rsid w:val="00C25015"/>
    <w:rsid w:val="00C42687"/>
    <w:rsid w:val="00C53FA4"/>
    <w:rsid w:val="00C56046"/>
    <w:rsid w:val="00CC2055"/>
    <w:rsid w:val="00CD70F5"/>
    <w:rsid w:val="00D15F6D"/>
    <w:rsid w:val="00D32A01"/>
    <w:rsid w:val="00D41300"/>
    <w:rsid w:val="00D70902"/>
    <w:rsid w:val="00D945A6"/>
    <w:rsid w:val="00DD2854"/>
    <w:rsid w:val="00DE0E88"/>
    <w:rsid w:val="00E0525E"/>
    <w:rsid w:val="00E1550C"/>
    <w:rsid w:val="00E2253E"/>
    <w:rsid w:val="00E32837"/>
    <w:rsid w:val="00E46F64"/>
    <w:rsid w:val="00E80751"/>
    <w:rsid w:val="00E9614A"/>
    <w:rsid w:val="00EA1BBB"/>
    <w:rsid w:val="00F11ED9"/>
    <w:rsid w:val="00F26252"/>
    <w:rsid w:val="00F410B3"/>
    <w:rsid w:val="00F67095"/>
    <w:rsid w:val="00F67C18"/>
    <w:rsid w:val="00F721BF"/>
    <w:rsid w:val="00FB1981"/>
    <w:rsid w:val="00FB1DB0"/>
    <w:rsid w:val="00FC3BEB"/>
    <w:rsid w:val="00FE22EE"/>
    <w:rsid w:val="00FF5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15E"/>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D615E"/>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locked/>
    <w:rsid w:val="009D615E"/>
    <w:rPr>
      <w:rFonts w:cs="Times New Roman"/>
      <w:sz w:val="18"/>
      <w:szCs w:val="18"/>
    </w:rPr>
  </w:style>
  <w:style w:type="paragraph" w:styleId="a4">
    <w:name w:val="footer"/>
    <w:basedOn w:val="a"/>
    <w:link w:val="Char0"/>
    <w:uiPriority w:val="99"/>
    <w:rsid w:val="009D615E"/>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locked/>
    <w:rsid w:val="009D615E"/>
    <w:rPr>
      <w:rFonts w:cs="Times New Roman"/>
      <w:sz w:val="18"/>
      <w:szCs w:val="18"/>
    </w:rPr>
  </w:style>
  <w:style w:type="paragraph" w:styleId="a5">
    <w:name w:val="annotation text"/>
    <w:basedOn w:val="a"/>
    <w:link w:val="Char1"/>
    <w:uiPriority w:val="99"/>
    <w:rsid w:val="009D615E"/>
    <w:rPr>
      <w:sz w:val="20"/>
      <w:szCs w:val="20"/>
    </w:rPr>
  </w:style>
  <w:style w:type="character" w:customStyle="1" w:styleId="Char1">
    <w:name w:val="批注文字 Char"/>
    <w:basedOn w:val="a0"/>
    <w:link w:val="a5"/>
    <w:uiPriority w:val="99"/>
    <w:locked/>
    <w:rsid w:val="009D615E"/>
    <w:rPr>
      <w:rFonts w:ascii="Times New Roman" w:eastAsia="宋体" w:hAnsi="Times New Roman" w:cs="Times New Roman"/>
      <w:sz w:val="20"/>
      <w:szCs w:val="20"/>
    </w:rPr>
  </w:style>
  <w:style w:type="character" w:styleId="a6">
    <w:name w:val="page number"/>
    <w:basedOn w:val="a0"/>
    <w:uiPriority w:val="99"/>
    <w:rsid w:val="009D615E"/>
    <w:rPr>
      <w:rFonts w:cs="Times New Roman"/>
    </w:rPr>
  </w:style>
  <w:style w:type="character" w:styleId="a7">
    <w:name w:val="line number"/>
    <w:basedOn w:val="a0"/>
    <w:uiPriority w:val="99"/>
    <w:semiHidden/>
    <w:rsid w:val="00E9614A"/>
    <w:rPr>
      <w:rFonts w:cs="Times New Roman"/>
    </w:rPr>
  </w:style>
  <w:style w:type="paragraph" w:customStyle="1" w:styleId="p0">
    <w:name w:val="p0"/>
    <w:basedOn w:val="a"/>
    <w:uiPriority w:val="99"/>
    <w:rsid w:val="0030408A"/>
    <w:pPr>
      <w:widowControl/>
      <w:spacing w:line="240" w:lineRule="atLeast"/>
      <w:jc w:val="left"/>
    </w:pPr>
    <w:rPr>
      <w:rFonts w:ascii="Century" w:hAnsi="Century" w:cs="宋体"/>
      <w:kern w:val="0"/>
      <w:szCs w:val="21"/>
    </w:rPr>
  </w:style>
  <w:style w:type="character" w:styleId="a8">
    <w:name w:val="Hyperlink"/>
    <w:basedOn w:val="a0"/>
    <w:uiPriority w:val="99"/>
    <w:rsid w:val="00F67C1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15E"/>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D615E"/>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locked/>
    <w:rsid w:val="009D615E"/>
    <w:rPr>
      <w:rFonts w:cs="Times New Roman"/>
      <w:sz w:val="18"/>
      <w:szCs w:val="18"/>
    </w:rPr>
  </w:style>
  <w:style w:type="paragraph" w:styleId="a4">
    <w:name w:val="footer"/>
    <w:basedOn w:val="a"/>
    <w:link w:val="Char0"/>
    <w:uiPriority w:val="99"/>
    <w:rsid w:val="009D615E"/>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locked/>
    <w:rsid w:val="009D615E"/>
    <w:rPr>
      <w:rFonts w:cs="Times New Roman"/>
      <w:sz w:val="18"/>
      <w:szCs w:val="18"/>
    </w:rPr>
  </w:style>
  <w:style w:type="paragraph" w:styleId="a5">
    <w:name w:val="annotation text"/>
    <w:basedOn w:val="a"/>
    <w:link w:val="Char1"/>
    <w:uiPriority w:val="99"/>
    <w:rsid w:val="009D615E"/>
    <w:rPr>
      <w:sz w:val="20"/>
      <w:szCs w:val="20"/>
    </w:rPr>
  </w:style>
  <w:style w:type="character" w:customStyle="1" w:styleId="Char1">
    <w:name w:val="批注文字 Char"/>
    <w:basedOn w:val="a0"/>
    <w:link w:val="a5"/>
    <w:uiPriority w:val="99"/>
    <w:locked/>
    <w:rsid w:val="009D615E"/>
    <w:rPr>
      <w:rFonts w:ascii="Times New Roman" w:eastAsia="宋体" w:hAnsi="Times New Roman" w:cs="Times New Roman"/>
      <w:sz w:val="20"/>
      <w:szCs w:val="20"/>
    </w:rPr>
  </w:style>
  <w:style w:type="character" w:styleId="a6">
    <w:name w:val="page number"/>
    <w:basedOn w:val="a0"/>
    <w:uiPriority w:val="99"/>
    <w:rsid w:val="009D615E"/>
    <w:rPr>
      <w:rFonts w:cs="Times New Roman"/>
    </w:rPr>
  </w:style>
  <w:style w:type="character" w:styleId="a7">
    <w:name w:val="line number"/>
    <w:basedOn w:val="a0"/>
    <w:uiPriority w:val="99"/>
    <w:semiHidden/>
    <w:rsid w:val="00E9614A"/>
    <w:rPr>
      <w:rFonts w:cs="Times New Roman"/>
    </w:rPr>
  </w:style>
  <w:style w:type="paragraph" w:customStyle="1" w:styleId="p0">
    <w:name w:val="p0"/>
    <w:basedOn w:val="a"/>
    <w:uiPriority w:val="99"/>
    <w:rsid w:val="0030408A"/>
    <w:pPr>
      <w:widowControl/>
      <w:spacing w:line="240" w:lineRule="atLeast"/>
      <w:jc w:val="left"/>
    </w:pPr>
    <w:rPr>
      <w:rFonts w:ascii="Century" w:hAnsi="Century" w:cs="宋体"/>
      <w:kern w:val="0"/>
      <w:szCs w:val="21"/>
    </w:rPr>
  </w:style>
  <w:style w:type="character" w:styleId="a8">
    <w:name w:val="Hyperlink"/>
    <w:basedOn w:val="a0"/>
    <w:uiPriority w:val="99"/>
    <w:rsid w:val="00F67C1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052272">
      <w:marLeft w:val="0"/>
      <w:marRight w:val="0"/>
      <w:marTop w:val="0"/>
      <w:marBottom w:val="0"/>
      <w:divBdr>
        <w:top w:val="none" w:sz="0" w:space="0" w:color="auto"/>
        <w:left w:val="none" w:sz="0" w:space="0" w:color="auto"/>
        <w:bottom w:val="none" w:sz="0" w:space="0" w:color="auto"/>
        <w:right w:val="none" w:sz="0" w:space="0" w:color="auto"/>
      </w:divBdr>
      <w:divsChild>
        <w:div w:id="1471052275">
          <w:marLeft w:val="0"/>
          <w:marRight w:val="0"/>
          <w:marTop w:val="0"/>
          <w:marBottom w:val="0"/>
          <w:divBdr>
            <w:top w:val="none" w:sz="0" w:space="0" w:color="auto"/>
            <w:left w:val="none" w:sz="0" w:space="0" w:color="auto"/>
            <w:bottom w:val="none" w:sz="0" w:space="0" w:color="auto"/>
            <w:right w:val="none" w:sz="0" w:space="0" w:color="auto"/>
          </w:divBdr>
          <w:divsChild>
            <w:div w:id="1471052254">
              <w:marLeft w:val="0"/>
              <w:marRight w:val="0"/>
              <w:marTop w:val="0"/>
              <w:marBottom w:val="0"/>
              <w:divBdr>
                <w:top w:val="none" w:sz="0" w:space="0" w:color="auto"/>
                <w:left w:val="none" w:sz="0" w:space="0" w:color="auto"/>
                <w:bottom w:val="none" w:sz="0" w:space="0" w:color="auto"/>
                <w:right w:val="none" w:sz="0" w:space="0" w:color="auto"/>
              </w:divBdr>
            </w:div>
            <w:div w:id="1471052255">
              <w:marLeft w:val="0"/>
              <w:marRight w:val="0"/>
              <w:marTop w:val="0"/>
              <w:marBottom w:val="0"/>
              <w:divBdr>
                <w:top w:val="none" w:sz="0" w:space="0" w:color="auto"/>
                <w:left w:val="none" w:sz="0" w:space="0" w:color="auto"/>
                <w:bottom w:val="none" w:sz="0" w:space="0" w:color="auto"/>
                <w:right w:val="none" w:sz="0" w:space="0" w:color="auto"/>
              </w:divBdr>
            </w:div>
            <w:div w:id="1471052256">
              <w:marLeft w:val="0"/>
              <w:marRight w:val="0"/>
              <w:marTop w:val="0"/>
              <w:marBottom w:val="0"/>
              <w:divBdr>
                <w:top w:val="none" w:sz="0" w:space="0" w:color="auto"/>
                <w:left w:val="none" w:sz="0" w:space="0" w:color="auto"/>
                <w:bottom w:val="none" w:sz="0" w:space="0" w:color="auto"/>
                <w:right w:val="none" w:sz="0" w:space="0" w:color="auto"/>
              </w:divBdr>
            </w:div>
            <w:div w:id="1471052257">
              <w:marLeft w:val="0"/>
              <w:marRight w:val="0"/>
              <w:marTop w:val="0"/>
              <w:marBottom w:val="0"/>
              <w:divBdr>
                <w:top w:val="none" w:sz="0" w:space="0" w:color="auto"/>
                <w:left w:val="none" w:sz="0" w:space="0" w:color="auto"/>
                <w:bottom w:val="none" w:sz="0" w:space="0" w:color="auto"/>
                <w:right w:val="none" w:sz="0" w:space="0" w:color="auto"/>
              </w:divBdr>
            </w:div>
            <w:div w:id="1471052258">
              <w:marLeft w:val="0"/>
              <w:marRight w:val="0"/>
              <w:marTop w:val="0"/>
              <w:marBottom w:val="0"/>
              <w:divBdr>
                <w:top w:val="none" w:sz="0" w:space="0" w:color="auto"/>
                <w:left w:val="none" w:sz="0" w:space="0" w:color="auto"/>
                <w:bottom w:val="none" w:sz="0" w:space="0" w:color="auto"/>
                <w:right w:val="none" w:sz="0" w:space="0" w:color="auto"/>
              </w:divBdr>
            </w:div>
            <w:div w:id="1471052259">
              <w:marLeft w:val="0"/>
              <w:marRight w:val="0"/>
              <w:marTop w:val="0"/>
              <w:marBottom w:val="0"/>
              <w:divBdr>
                <w:top w:val="none" w:sz="0" w:space="0" w:color="auto"/>
                <w:left w:val="none" w:sz="0" w:space="0" w:color="auto"/>
                <w:bottom w:val="none" w:sz="0" w:space="0" w:color="auto"/>
                <w:right w:val="none" w:sz="0" w:space="0" w:color="auto"/>
              </w:divBdr>
            </w:div>
            <w:div w:id="1471052260">
              <w:marLeft w:val="0"/>
              <w:marRight w:val="0"/>
              <w:marTop w:val="0"/>
              <w:marBottom w:val="0"/>
              <w:divBdr>
                <w:top w:val="none" w:sz="0" w:space="0" w:color="auto"/>
                <w:left w:val="none" w:sz="0" w:space="0" w:color="auto"/>
                <w:bottom w:val="none" w:sz="0" w:space="0" w:color="auto"/>
                <w:right w:val="none" w:sz="0" w:space="0" w:color="auto"/>
              </w:divBdr>
            </w:div>
            <w:div w:id="1471052261">
              <w:marLeft w:val="0"/>
              <w:marRight w:val="0"/>
              <w:marTop w:val="0"/>
              <w:marBottom w:val="0"/>
              <w:divBdr>
                <w:top w:val="none" w:sz="0" w:space="0" w:color="auto"/>
                <w:left w:val="none" w:sz="0" w:space="0" w:color="auto"/>
                <w:bottom w:val="none" w:sz="0" w:space="0" w:color="auto"/>
                <w:right w:val="none" w:sz="0" w:space="0" w:color="auto"/>
              </w:divBdr>
            </w:div>
            <w:div w:id="1471052262">
              <w:marLeft w:val="0"/>
              <w:marRight w:val="0"/>
              <w:marTop w:val="0"/>
              <w:marBottom w:val="0"/>
              <w:divBdr>
                <w:top w:val="none" w:sz="0" w:space="0" w:color="auto"/>
                <w:left w:val="none" w:sz="0" w:space="0" w:color="auto"/>
                <w:bottom w:val="none" w:sz="0" w:space="0" w:color="auto"/>
                <w:right w:val="none" w:sz="0" w:space="0" w:color="auto"/>
              </w:divBdr>
            </w:div>
            <w:div w:id="1471052263">
              <w:marLeft w:val="0"/>
              <w:marRight w:val="0"/>
              <w:marTop w:val="0"/>
              <w:marBottom w:val="0"/>
              <w:divBdr>
                <w:top w:val="none" w:sz="0" w:space="0" w:color="auto"/>
                <w:left w:val="none" w:sz="0" w:space="0" w:color="auto"/>
                <w:bottom w:val="none" w:sz="0" w:space="0" w:color="auto"/>
                <w:right w:val="none" w:sz="0" w:space="0" w:color="auto"/>
              </w:divBdr>
            </w:div>
            <w:div w:id="1471052264">
              <w:marLeft w:val="0"/>
              <w:marRight w:val="0"/>
              <w:marTop w:val="0"/>
              <w:marBottom w:val="0"/>
              <w:divBdr>
                <w:top w:val="none" w:sz="0" w:space="0" w:color="auto"/>
                <w:left w:val="none" w:sz="0" w:space="0" w:color="auto"/>
                <w:bottom w:val="none" w:sz="0" w:space="0" w:color="auto"/>
                <w:right w:val="none" w:sz="0" w:space="0" w:color="auto"/>
              </w:divBdr>
            </w:div>
            <w:div w:id="1471052265">
              <w:marLeft w:val="0"/>
              <w:marRight w:val="0"/>
              <w:marTop w:val="0"/>
              <w:marBottom w:val="0"/>
              <w:divBdr>
                <w:top w:val="none" w:sz="0" w:space="0" w:color="auto"/>
                <w:left w:val="none" w:sz="0" w:space="0" w:color="auto"/>
                <w:bottom w:val="none" w:sz="0" w:space="0" w:color="auto"/>
                <w:right w:val="none" w:sz="0" w:space="0" w:color="auto"/>
              </w:divBdr>
            </w:div>
            <w:div w:id="1471052266">
              <w:marLeft w:val="0"/>
              <w:marRight w:val="0"/>
              <w:marTop w:val="0"/>
              <w:marBottom w:val="0"/>
              <w:divBdr>
                <w:top w:val="none" w:sz="0" w:space="0" w:color="auto"/>
                <w:left w:val="none" w:sz="0" w:space="0" w:color="auto"/>
                <w:bottom w:val="none" w:sz="0" w:space="0" w:color="auto"/>
                <w:right w:val="none" w:sz="0" w:space="0" w:color="auto"/>
              </w:divBdr>
            </w:div>
            <w:div w:id="1471052267">
              <w:marLeft w:val="0"/>
              <w:marRight w:val="0"/>
              <w:marTop w:val="0"/>
              <w:marBottom w:val="0"/>
              <w:divBdr>
                <w:top w:val="none" w:sz="0" w:space="0" w:color="auto"/>
                <w:left w:val="none" w:sz="0" w:space="0" w:color="auto"/>
                <w:bottom w:val="none" w:sz="0" w:space="0" w:color="auto"/>
                <w:right w:val="none" w:sz="0" w:space="0" w:color="auto"/>
              </w:divBdr>
            </w:div>
            <w:div w:id="1471052268">
              <w:marLeft w:val="0"/>
              <w:marRight w:val="0"/>
              <w:marTop w:val="0"/>
              <w:marBottom w:val="0"/>
              <w:divBdr>
                <w:top w:val="none" w:sz="0" w:space="0" w:color="auto"/>
                <w:left w:val="none" w:sz="0" w:space="0" w:color="auto"/>
                <w:bottom w:val="none" w:sz="0" w:space="0" w:color="auto"/>
                <w:right w:val="none" w:sz="0" w:space="0" w:color="auto"/>
              </w:divBdr>
            </w:div>
            <w:div w:id="1471052269">
              <w:marLeft w:val="0"/>
              <w:marRight w:val="0"/>
              <w:marTop w:val="0"/>
              <w:marBottom w:val="0"/>
              <w:divBdr>
                <w:top w:val="none" w:sz="0" w:space="0" w:color="auto"/>
                <w:left w:val="none" w:sz="0" w:space="0" w:color="auto"/>
                <w:bottom w:val="none" w:sz="0" w:space="0" w:color="auto"/>
                <w:right w:val="none" w:sz="0" w:space="0" w:color="auto"/>
              </w:divBdr>
            </w:div>
            <w:div w:id="1471052270">
              <w:marLeft w:val="0"/>
              <w:marRight w:val="0"/>
              <w:marTop w:val="0"/>
              <w:marBottom w:val="0"/>
              <w:divBdr>
                <w:top w:val="none" w:sz="0" w:space="0" w:color="auto"/>
                <w:left w:val="none" w:sz="0" w:space="0" w:color="auto"/>
                <w:bottom w:val="none" w:sz="0" w:space="0" w:color="auto"/>
                <w:right w:val="none" w:sz="0" w:space="0" w:color="auto"/>
              </w:divBdr>
            </w:div>
            <w:div w:id="1471052271">
              <w:marLeft w:val="0"/>
              <w:marRight w:val="0"/>
              <w:marTop w:val="0"/>
              <w:marBottom w:val="0"/>
              <w:divBdr>
                <w:top w:val="none" w:sz="0" w:space="0" w:color="auto"/>
                <w:left w:val="none" w:sz="0" w:space="0" w:color="auto"/>
                <w:bottom w:val="none" w:sz="0" w:space="0" w:color="auto"/>
                <w:right w:val="none" w:sz="0" w:space="0" w:color="auto"/>
              </w:divBdr>
            </w:div>
            <w:div w:id="1471052273">
              <w:marLeft w:val="0"/>
              <w:marRight w:val="0"/>
              <w:marTop w:val="0"/>
              <w:marBottom w:val="0"/>
              <w:divBdr>
                <w:top w:val="none" w:sz="0" w:space="0" w:color="auto"/>
                <w:left w:val="none" w:sz="0" w:space="0" w:color="auto"/>
                <w:bottom w:val="none" w:sz="0" w:space="0" w:color="auto"/>
                <w:right w:val="none" w:sz="0" w:space="0" w:color="auto"/>
              </w:divBdr>
            </w:div>
            <w:div w:id="1471052274">
              <w:marLeft w:val="0"/>
              <w:marRight w:val="0"/>
              <w:marTop w:val="0"/>
              <w:marBottom w:val="0"/>
              <w:divBdr>
                <w:top w:val="none" w:sz="0" w:space="0" w:color="auto"/>
                <w:left w:val="none" w:sz="0" w:space="0" w:color="auto"/>
                <w:bottom w:val="none" w:sz="0" w:space="0" w:color="auto"/>
                <w:right w:val="none" w:sz="0" w:space="0" w:color="auto"/>
              </w:divBdr>
            </w:div>
            <w:div w:id="1471052276">
              <w:marLeft w:val="0"/>
              <w:marRight w:val="0"/>
              <w:marTop w:val="0"/>
              <w:marBottom w:val="0"/>
              <w:divBdr>
                <w:top w:val="none" w:sz="0" w:space="0" w:color="auto"/>
                <w:left w:val="none" w:sz="0" w:space="0" w:color="auto"/>
                <w:bottom w:val="none" w:sz="0" w:space="0" w:color="auto"/>
                <w:right w:val="none" w:sz="0" w:space="0" w:color="auto"/>
              </w:divBdr>
            </w:div>
            <w:div w:id="1471052277">
              <w:marLeft w:val="0"/>
              <w:marRight w:val="0"/>
              <w:marTop w:val="0"/>
              <w:marBottom w:val="0"/>
              <w:divBdr>
                <w:top w:val="none" w:sz="0" w:space="0" w:color="auto"/>
                <w:left w:val="none" w:sz="0" w:space="0" w:color="auto"/>
                <w:bottom w:val="none" w:sz="0" w:space="0" w:color="auto"/>
                <w:right w:val="none" w:sz="0" w:space="0" w:color="auto"/>
              </w:divBdr>
            </w:div>
            <w:div w:id="1471052278">
              <w:marLeft w:val="0"/>
              <w:marRight w:val="0"/>
              <w:marTop w:val="0"/>
              <w:marBottom w:val="0"/>
              <w:divBdr>
                <w:top w:val="none" w:sz="0" w:space="0" w:color="auto"/>
                <w:left w:val="none" w:sz="0" w:space="0" w:color="auto"/>
                <w:bottom w:val="none" w:sz="0" w:space="0" w:color="auto"/>
                <w:right w:val="none" w:sz="0" w:space="0" w:color="auto"/>
              </w:divBdr>
            </w:div>
            <w:div w:id="1471052279">
              <w:marLeft w:val="0"/>
              <w:marRight w:val="0"/>
              <w:marTop w:val="0"/>
              <w:marBottom w:val="0"/>
              <w:divBdr>
                <w:top w:val="none" w:sz="0" w:space="0" w:color="auto"/>
                <w:left w:val="none" w:sz="0" w:space="0" w:color="auto"/>
                <w:bottom w:val="none" w:sz="0" w:space="0" w:color="auto"/>
                <w:right w:val="none" w:sz="0" w:space="0" w:color="auto"/>
              </w:divBdr>
            </w:div>
            <w:div w:id="1471052280">
              <w:marLeft w:val="0"/>
              <w:marRight w:val="0"/>
              <w:marTop w:val="0"/>
              <w:marBottom w:val="0"/>
              <w:divBdr>
                <w:top w:val="none" w:sz="0" w:space="0" w:color="auto"/>
                <w:left w:val="none" w:sz="0" w:space="0" w:color="auto"/>
                <w:bottom w:val="none" w:sz="0" w:space="0" w:color="auto"/>
                <w:right w:val="none" w:sz="0" w:space="0" w:color="auto"/>
              </w:divBdr>
            </w:div>
            <w:div w:id="1471052281">
              <w:marLeft w:val="0"/>
              <w:marRight w:val="0"/>
              <w:marTop w:val="0"/>
              <w:marBottom w:val="0"/>
              <w:divBdr>
                <w:top w:val="none" w:sz="0" w:space="0" w:color="auto"/>
                <w:left w:val="none" w:sz="0" w:space="0" w:color="auto"/>
                <w:bottom w:val="none" w:sz="0" w:space="0" w:color="auto"/>
                <w:right w:val="none" w:sz="0" w:space="0" w:color="auto"/>
              </w:divBdr>
            </w:div>
            <w:div w:id="1471052282">
              <w:marLeft w:val="0"/>
              <w:marRight w:val="0"/>
              <w:marTop w:val="0"/>
              <w:marBottom w:val="0"/>
              <w:divBdr>
                <w:top w:val="none" w:sz="0" w:space="0" w:color="auto"/>
                <w:left w:val="none" w:sz="0" w:space="0" w:color="auto"/>
                <w:bottom w:val="none" w:sz="0" w:space="0" w:color="auto"/>
                <w:right w:val="none" w:sz="0" w:space="0" w:color="auto"/>
              </w:divBdr>
            </w:div>
            <w:div w:id="1471052283">
              <w:marLeft w:val="0"/>
              <w:marRight w:val="0"/>
              <w:marTop w:val="0"/>
              <w:marBottom w:val="0"/>
              <w:divBdr>
                <w:top w:val="none" w:sz="0" w:space="0" w:color="auto"/>
                <w:left w:val="none" w:sz="0" w:space="0" w:color="auto"/>
                <w:bottom w:val="none" w:sz="0" w:space="0" w:color="auto"/>
                <w:right w:val="none" w:sz="0" w:space="0" w:color="auto"/>
              </w:divBdr>
            </w:div>
            <w:div w:id="1471052284">
              <w:marLeft w:val="0"/>
              <w:marRight w:val="0"/>
              <w:marTop w:val="0"/>
              <w:marBottom w:val="0"/>
              <w:divBdr>
                <w:top w:val="none" w:sz="0" w:space="0" w:color="auto"/>
                <w:left w:val="none" w:sz="0" w:space="0" w:color="auto"/>
                <w:bottom w:val="none" w:sz="0" w:space="0" w:color="auto"/>
                <w:right w:val="none" w:sz="0" w:space="0" w:color="auto"/>
              </w:divBdr>
            </w:div>
            <w:div w:id="1471052285">
              <w:marLeft w:val="0"/>
              <w:marRight w:val="0"/>
              <w:marTop w:val="0"/>
              <w:marBottom w:val="0"/>
              <w:divBdr>
                <w:top w:val="none" w:sz="0" w:space="0" w:color="auto"/>
                <w:left w:val="none" w:sz="0" w:space="0" w:color="auto"/>
                <w:bottom w:val="none" w:sz="0" w:space="0" w:color="auto"/>
                <w:right w:val="none" w:sz="0" w:space="0" w:color="auto"/>
              </w:divBdr>
            </w:div>
            <w:div w:id="1471052286">
              <w:marLeft w:val="0"/>
              <w:marRight w:val="0"/>
              <w:marTop w:val="0"/>
              <w:marBottom w:val="0"/>
              <w:divBdr>
                <w:top w:val="none" w:sz="0" w:space="0" w:color="auto"/>
                <w:left w:val="none" w:sz="0" w:space="0" w:color="auto"/>
                <w:bottom w:val="none" w:sz="0" w:space="0" w:color="auto"/>
                <w:right w:val="none" w:sz="0" w:space="0" w:color="auto"/>
              </w:divBdr>
            </w:div>
            <w:div w:id="1471052287">
              <w:marLeft w:val="0"/>
              <w:marRight w:val="0"/>
              <w:marTop w:val="0"/>
              <w:marBottom w:val="0"/>
              <w:divBdr>
                <w:top w:val="none" w:sz="0" w:space="0" w:color="auto"/>
                <w:left w:val="none" w:sz="0" w:space="0" w:color="auto"/>
                <w:bottom w:val="none" w:sz="0" w:space="0" w:color="auto"/>
                <w:right w:val="none" w:sz="0" w:space="0" w:color="auto"/>
              </w:divBdr>
            </w:div>
            <w:div w:id="1471052288">
              <w:marLeft w:val="0"/>
              <w:marRight w:val="0"/>
              <w:marTop w:val="0"/>
              <w:marBottom w:val="0"/>
              <w:divBdr>
                <w:top w:val="none" w:sz="0" w:space="0" w:color="auto"/>
                <w:left w:val="none" w:sz="0" w:space="0" w:color="auto"/>
                <w:bottom w:val="none" w:sz="0" w:space="0" w:color="auto"/>
                <w:right w:val="none" w:sz="0" w:space="0" w:color="auto"/>
              </w:divBdr>
            </w:div>
            <w:div w:id="1471052289">
              <w:marLeft w:val="0"/>
              <w:marRight w:val="0"/>
              <w:marTop w:val="0"/>
              <w:marBottom w:val="0"/>
              <w:divBdr>
                <w:top w:val="none" w:sz="0" w:space="0" w:color="auto"/>
                <w:left w:val="none" w:sz="0" w:space="0" w:color="auto"/>
                <w:bottom w:val="none" w:sz="0" w:space="0" w:color="auto"/>
                <w:right w:val="none" w:sz="0" w:space="0" w:color="auto"/>
              </w:divBdr>
            </w:div>
            <w:div w:id="1471052290">
              <w:marLeft w:val="0"/>
              <w:marRight w:val="0"/>
              <w:marTop w:val="0"/>
              <w:marBottom w:val="0"/>
              <w:divBdr>
                <w:top w:val="none" w:sz="0" w:space="0" w:color="auto"/>
                <w:left w:val="none" w:sz="0" w:space="0" w:color="auto"/>
                <w:bottom w:val="none" w:sz="0" w:space="0" w:color="auto"/>
                <w:right w:val="none" w:sz="0" w:space="0" w:color="auto"/>
              </w:divBdr>
            </w:div>
            <w:div w:id="1471052291">
              <w:marLeft w:val="0"/>
              <w:marRight w:val="0"/>
              <w:marTop w:val="0"/>
              <w:marBottom w:val="0"/>
              <w:divBdr>
                <w:top w:val="none" w:sz="0" w:space="0" w:color="auto"/>
                <w:left w:val="none" w:sz="0" w:space="0" w:color="auto"/>
                <w:bottom w:val="none" w:sz="0" w:space="0" w:color="auto"/>
                <w:right w:val="none" w:sz="0" w:space="0" w:color="auto"/>
              </w:divBdr>
            </w:div>
            <w:div w:id="1471052292">
              <w:marLeft w:val="0"/>
              <w:marRight w:val="0"/>
              <w:marTop w:val="0"/>
              <w:marBottom w:val="0"/>
              <w:divBdr>
                <w:top w:val="none" w:sz="0" w:space="0" w:color="auto"/>
                <w:left w:val="none" w:sz="0" w:space="0" w:color="auto"/>
                <w:bottom w:val="none" w:sz="0" w:space="0" w:color="auto"/>
                <w:right w:val="none" w:sz="0" w:space="0" w:color="auto"/>
              </w:divBdr>
            </w:div>
            <w:div w:id="1471052293">
              <w:marLeft w:val="0"/>
              <w:marRight w:val="0"/>
              <w:marTop w:val="0"/>
              <w:marBottom w:val="0"/>
              <w:divBdr>
                <w:top w:val="none" w:sz="0" w:space="0" w:color="auto"/>
                <w:left w:val="none" w:sz="0" w:space="0" w:color="auto"/>
                <w:bottom w:val="none" w:sz="0" w:space="0" w:color="auto"/>
                <w:right w:val="none" w:sz="0" w:space="0" w:color="auto"/>
              </w:divBdr>
            </w:div>
            <w:div w:id="1471052294">
              <w:marLeft w:val="0"/>
              <w:marRight w:val="0"/>
              <w:marTop w:val="0"/>
              <w:marBottom w:val="0"/>
              <w:divBdr>
                <w:top w:val="none" w:sz="0" w:space="0" w:color="auto"/>
                <w:left w:val="none" w:sz="0" w:space="0" w:color="auto"/>
                <w:bottom w:val="none" w:sz="0" w:space="0" w:color="auto"/>
                <w:right w:val="none" w:sz="0" w:space="0" w:color="auto"/>
              </w:divBdr>
            </w:div>
            <w:div w:id="1471052295">
              <w:marLeft w:val="0"/>
              <w:marRight w:val="0"/>
              <w:marTop w:val="0"/>
              <w:marBottom w:val="0"/>
              <w:divBdr>
                <w:top w:val="none" w:sz="0" w:space="0" w:color="auto"/>
                <w:left w:val="none" w:sz="0" w:space="0" w:color="auto"/>
                <w:bottom w:val="none" w:sz="0" w:space="0" w:color="auto"/>
                <w:right w:val="none" w:sz="0" w:space="0" w:color="auto"/>
              </w:divBdr>
            </w:div>
            <w:div w:id="1471052296">
              <w:marLeft w:val="0"/>
              <w:marRight w:val="0"/>
              <w:marTop w:val="0"/>
              <w:marBottom w:val="0"/>
              <w:divBdr>
                <w:top w:val="none" w:sz="0" w:space="0" w:color="auto"/>
                <w:left w:val="none" w:sz="0" w:space="0" w:color="auto"/>
                <w:bottom w:val="none" w:sz="0" w:space="0" w:color="auto"/>
                <w:right w:val="none" w:sz="0" w:space="0" w:color="auto"/>
              </w:divBdr>
            </w:div>
            <w:div w:id="1471052297">
              <w:marLeft w:val="0"/>
              <w:marRight w:val="0"/>
              <w:marTop w:val="0"/>
              <w:marBottom w:val="0"/>
              <w:divBdr>
                <w:top w:val="none" w:sz="0" w:space="0" w:color="auto"/>
                <w:left w:val="none" w:sz="0" w:space="0" w:color="auto"/>
                <w:bottom w:val="none" w:sz="0" w:space="0" w:color="auto"/>
                <w:right w:val="none" w:sz="0" w:space="0" w:color="auto"/>
              </w:divBdr>
            </w:div>
            <w:div w:id="1471052298">
              <w:marLeft w:val="0"/>
              <w:marRight w:val="0"/>
              <w:marTop w:val="0"/>
              <w:marBottom w:val="0"/>
              <w:divBdr>
                <w:top w:val="none" w:sz="0" w:space="0" w:color="auto"/>
                <w:left w:val="none" w:sz="0" w:space="0" w:color="auto"/>
                <w:bottom w:val="none" w:sz="0" w:space="0" w:color="auto"/>
                <w:right w:val="none" w:sz="0" w:space="0" w:color="auto"/>
              </w:divBdr>
            </w:div>
            <w:div w:id="1471052299">
              <w:marLeft w:val="0"/>
              <w:marRight w:val="0"/>
              <w:marTop w:val="0"/>
              <w:marBottom w:val="0"/>
              <w:divBdr>
                <w:top w:val="none" w:sz="0" w:space="0" w:color="auto"/>
                <w:left w:val="none" w:sz="0" w:space="0" w:color="auto"/>
                <w:bottom w:val="none" w:sz="0" w:space="0" w:color="auto"/>
                <w:right w:val="none" w:sz="0" w:space="0" w:color="auto"/>
              </w:divBdr>
            </w:div>
            <w:div w:id="1471052300">
              <w:marLeft w:val="0"/>
              <w:marRight w:val="0"/>
              <w:marTop w:val="0"/>
              <w:marBottom w:val="0"/>
              <w:divBdr>
                <w:top w:val="none" w:sz="0" w:space="0" w:color="auto"/>
                <w:left w:val="none" w:sz="0" w:space="0" w:color="auto"/>
                <w:bottom w:val="none" w:sz="0" w:space="0" w:color="auto"/>
                <w:right w:val="none" w:sz="0" w:space="0" w:color="auto"/>
              </w:divBdr>
            </w:div>
            <w:div w:id="1471052301">
              <w:marLeft w:val="0"/>
              <w:marRight w:val="0"/>
              <w:marTop w:val="0"/>
              <w:marBottom w:val="0"/>
              <w:divBdr>
                <w:top w:val="none" w:sz="0" w:space="0" w:color="auto"/>
                <w:left w:val="none" w:sz="0" w:space="0" w:color="auto"/>
                <w:bottom w:val="none" w:sz="0" w:space="0" w:color="auto"/>
                <w:right w:val="none" w:sz="0" w:space="0" w:color="auto"/>
              </w:divBdr>
            </w:div>
            <w:div w:id="1471052302">
              <w:marLeft w:val="0"/>
              <w:marRight w:val="0"/>
              <w:marTop w:val="0"/>
              <w:marBottom w:val="0"/>
              <w:divBdr>
                <w:top w:val="none" w:sz="0" w:space="0" w:color="auto"/>
                <w:left w:val="none" w:sz="0" w:space="0" w:color="auto"/>
                <w:bottom w:val="none" w:sz="0" w:space="0" w:color="auto"/>
                <w:right w:val="none" w:sz="0" w:space="0" w:color="auto"/>
              </w:divBdr>
            </w:div>
            <w:div w:id="1471052303">
              <w:marLeft w:val="0"/>
              <w:marRight w:val="0"/>
              <w:marTop w:val="0"/>
              <w:marBottom w:val="0"/>
              <w:divBdr>
                <w:top w:val="none" w:sz="0" w:space="0" w:color="auto"/>
                <w:left w:val="none" w:sz="0" w:space="0" w:color="auto"/>
                <w:bottom w:val="none" w:sz="0" w:space="0" w:color="auto"/>
                <w:right w:val="none" w:sz="0" w:space="0" w:color="auto"/>
              </w:divBdr>
            </w:div>
            <w:div w:id="1471052304">
              <w:marLeft w:val="0"/>
              <w:marRight w:val="0"/>
              <w:marTop w:val="0"/>
              <w:marBottom w:val="0"/>
              <w:divBdr>
                <w:top w:val="none" w:sz="0" w:space="0" w:color="auto"/>
                <w:left w:val="none" w:sz="0" w:space="0" w:color="auto"/>
                <w:bottom w:val="none" w:sz="0" w:space="0" w:color="auto"/>
                <w:right w:val="none" w:sz="0" w:space="0" w:color="auto"/>
              </w:divBdr>
            </w:div>
            <w:div w:id="1471052305">
              <w:marLeft w:val="0"/>
              <w:marRight w:val="0"/>
              <w:marTop w:val="0"/>
              <w:marBottom w:val="0"/>
              <w:divBdr>
                <w:top w:val="none" w:sz="0" w:space="0" w:color="auto"/>
                <w:left w:val="none" w:sz="0" w:space="0" w:color="auto"/>
                <w:bottom w:val="none" w:sz="0" w:space="0" w:color="auto"/>
                <w:right w:val="none" w:sz="0" w:space="0" w:color="auto"/>
              </w:divBdr>
            </w:div>
            <w:div w:id="1471052306">
              <w:marLeft w:val="0"/>
              <w:marRight w:val="0"/>
              <w:marTop w:val="0"/>
              <w:marBottom w:val="0"/>
              <w:divBdr>
                <w:top w:val="none" w:sz="0" w:space="0" w:color="auto"/>
                <w:left w:val="none" w:sz="0" w:space="0" w:color="auto"/>
                <w:bottom w:val="none" w:sz="0" w:space="0" w:color="auto"/>
                <w:right w:val="none" w:sz="0" w:space="0" w:color="auto"/>
              </w:divBdr>
            </w:div>
            <w:div w:id="1471052307">
              <w:marLeft w:val="0"/>
              <w:marRight w:val="0"/>
              <w:marTop w:val="0"/>
              <w:marBottom w:val="0"/>
              <w:divBdr>
                <w:top w:val="none" w:sz="0" w:space="0" w:color="auto"/>
                <w:left w:val="none" w:sz="0" w:space="0" w:color="auto"/>
                <w:bottom w:val="none" w:sz="0" w:space="0" w:color="auto"/>
                <w:right w:val="none" w:sz="0" w:space="0" w:color="auto"/>
              </w:divBdr>
            </w:div>
            <w:div w:id="1471052308">
              <w:marLeft w:val="0"/>
              <w:marRight w:val="0"/>
              <w:marTop w:val="0"/>
              <w:marBottom w:val="0"/>
              <w:divBdr>
                <w:top w:val="none" w:sz="0" w:space="0" w:color="auto"/>
                <w:left w:val="none" w:sz="0" w:space="0" w:color="auto"/>
                <w:bottom w:val="none" w:sz="0" w:space="0" w:color="auto"/>
                <w:right w:val="none" w:sz="0" w:space="0" w:color="auto"/>
              </w:divBdr>
            </w:div>
            <w:div w:id="1471052309">
              <w:marLeft w:val="0"/>
              <w:marRight w:val="0"/>
              <w:marTop w:val="0"/>
              <w:marBottom w:val="0"/>
              <w:divBdr>
                <w:top w:val="none" w:sz="0" w:space="0" w:color="auto"/>
                <w:left w:val="none" w:sz="0" w:space="0" w:color="auto"/>
                <w:bottom w:val="none" w:sz="0" w:space="0" w:color="auto"/>
                <w:right w:val="none" w:sz="0" w:space="0" w:color="auto"/>
              </w:divBdr>
            </w:div>
            <w:div w:id="1471052310">
              <w:marLeft w:val="0"/>
              <w:marRight w:val="0"/>
              <w:marTop w:val="0"/>
              <w:marBottom w:val="0"/>
              <w:divBdr>
                <w:top w:val="none" w:sz="0" w:space="0" w:color="auto"/>
                <w:left w:val="none" w:sz="0" w:space="0" w:color="auto"/>
                <w:bottom w:val="none" w:sz="0" w:space="0" w:color="auto"/>
                <w:right w:val="none" w:sz="0" w:space="0" w:color="auto"/>
              </w:divBdr>
            </w:div>
            <w:div w:id="1471052311">
              <w:marLeft w:val="0"/>
              <w:marRight w:val="0"/>
              <w:marTop w:val="0"/>
              <w:marBottom w:val="0"/>
              <w:divBdr>
                <w:top w:val="none" w:sz="0" w:space="0" w:color="auto"/>
                <w:left w:val="none" w:sz="0" w:space="0" w:color="auto"/>
                <w:bottom w:val="none" w:sz="0" w:space="0" w:color="auto"/>
                <w:right w:val="none" w:sz="0" w:space="0" w:color="auto"/>
              </w:divBdr>
            </w:div>
            <w:div w:id="1471052312">
              <w:marLeft w:val="0"/>
              <w:marRight w:val="0"/>
              <w:marTop w:val="0"/>
              <w:marBottom w:val="0"/>
              <w:divBdr>
                <w:top w:val="none" w:sz="0" w:space="0" w:color="auto"/>
                <w:left w:val="none" w:sz="0" w:space="0" w:color="auto"/>
                <w:bottom w:val="none" w:sz="0" w:space="0" w:color="auto"/>
                <w:right w:val="none" w:sz="0" w:space="0" w:color="auto"/>
              </w:divBdr>
            </w:div>
            <w:div w:id="1471052313">
              <w:marLeft w:val="0"/>
              <w:marRight w:val="0"/>
              <w:marTop w:val="0"/>
              <w:marBottom w:val="0"/>
              <w:divBdr>
                <w:top w:val="none" w:sz="0" w:space="0" w:color="auto"/>
                <w:left w:val="none" w:sz="0" w:space="0" w:color="auto"/>
                <w:bottom w:val="none" w:sz="0" w:space="0" w:color="auto"/>
                <w:right w:val="none" w:sz="0" w:space="0" w:color="auto"/>
              </w:divBdr>
            </w:div>
            <w:div w:id="1471052314">
              <w:marLeft w:val="0"/>
              <w:marRight w:val="0"/>
              <w:marTop w:val="0"/>
              <w:marBottom w:val="0"/>
              <w:divBdr>
                <w:top w:val="none" w:sz="0" w:space="0" w:color="auto"/>
                <w:left w:val="none" w:sz="0" w:space="0" w:color="auto"/>
                <w:bottom w:val="none" w:sz="0" w:space="0" w:color="auto"/>
                <w:right w:val="none" w:sz="0" w:space="0" w:color="auto"/>
              </w:divBdr>
            </w:div>
            <w:div w:id="1471052315">
              <w:marLeft w:val="0"/>
              <w:marRight w:val="0"/>
              <w:marTop w:val="0"/>
              <w:marBottom w:val="0"/>
              <w:divBdr>
                <w:top w:val="none" w:sz="0" w:space="0" w:color="auto"/>
                <w:left w:val="none" w:sz="0" w:space="0" w:color="auto"/>
                <w:bottom w:val="none" w:sz="0" w:space="0" w:color="auto"/>
                <w:right w:val="none" w:sz="0" w:space="0" w:color="auto"/>
              </w:divBdr>
            </w:div>
            <w:div w:id="1471052316">
              <w:marLeft w:val="0"/>
              <w:marRight w:val="0"/>
              <w:marTop w:val="0"/>
              <w:marBottom w:val="0"/>
              <w:divBdr>
                <w:top w:val="none" w:sz="0" w:space="0" w:color="auto"/>
                <w:left w:val="none" w:sz="0" w:space="0" w:color="auto"/>
                <w:bottom w:val="none" w:sz="0" w:space="0" w:color="auto"/>
                <w:right w:val="none" w:sz="0" w:space="0" w:color="auto"/>
              </w:divBdr>
            </w:div>
            <w:div w:id="1471052317">
              <w:marLeft w:val="0"/>
              <w:marRight w:val="0"/>
              <w:marTop w:val="0"/>
              <w:marBottom w:val="0"/>
              <w:divBdr>
                <w:top w:val="none" w:sz="0" w:space="0" w:color="auto"/>
                <w:left w:val="none" w:sz="0" w:space="0" w:color="auto"/>
                <w:bottom w:val="none" w:sz="0" w:space="0" w:color="auto"/>
                <w:right w:val="none" w:sz="0" w:space="0" w:color="auto"/>
              </w:divBdr>
            </w:div>
            <w:div w:id="1471052318">
              <w:marLeft w:val="0"/>
              <w:marRight w:val="0"/>
              <w:marTop w:val="0"/>
              <w:marBottom w:val="0"/>
              <w:divBdr>
                <w:top w:val="none" w:sz="0" w:space="0" w:color="auto"/>
                <w:left w:val="none" w:sz="0" w:space="0" w:color="auto"/>
                <w:bottom w:val="none" w:sz="0" w:space="0" w:color="auto"/>
                <w:right w:val="none" w:sz="0" w:space="0" w:color="auto"/>
              </w:divBdr>
            </w:div>
            <w:div w:id="1471052319">
              <w:marLeft w:val="0"/>
              <w:marRight w:val="0"/>
              <w:marTop w:val="0"/>
              <w:marBottom w:val="0"/>
              <w:divBdr>
                <w:top w:val="none" w:sz="0" w:space="0" w:color="auto"/>
                <w:left w:val="none" w:sz="0" w:space="0" w:color="auto"/>
                <w:bottom w:val="none" w:sz="0" w:space="0" w:color="auto"/>
                <w:right w:val="none" w:sz="0" w:space="0" w:color="auto"/>
              </w:divBdr>
            </w:div>
            <w:div w:id="1471052320">
              <w:marLeft w:val="0"/>
              <w:marRight w:val="0"/>
              <w:marTop w:val="0"/>
              <w:marBottom w:val="0"/>
              <w:divBdr>
                <w:top w:val="none" w:sz="0" w:space="0" w:color="auto"/>
                <w:left w:val="none" w:sz="0" w:space="0" w:color="auto"/>
                <w:bottom w:val="none" w:sz="0" w:space="0" w:color="auto"/>
                <w:right w:val="none" w:sz="0" w:space="0" w:color="auto"/>
              </w:divBdr>
            </w:div>
            <w:div w:id="1471052321">
              <w:marLeft w:val="0"/>
              <w:marRight w:val="0"/>
              <w:marTop w:val="0"/>
              <w:marBottom w:val="0"/>
              <w:divBdr>
                <w:top w:val="none" w:sz="0" w:space="0" w:color="auto"/>
                <w:left w:val="none" w:sz="0" w:space="0" w:color="auto"/>
                <w:bottom w:val="none" w:sz="0" w:space="0" w:color="auto"/>
                <w:right w:val="none" w:sz="0" w:space="0" w:color="auto"/>
              </w:divBdr>
            </w:div>
            <w:div w:id="1471052322">
              <w:marLeft w:val="0"/>
              <w:marRight w:val="0"/>
              <w:marTop w:val="0"/>
              <w:marBottom w:val="0"/>
              <w:divBdr>
                <w:top w:val="none" w:sz="0" w:space="0" w:color="auto"/>
                <w:left w:val="none" w:sz="0" w:space="0" w:color="auto"/>
                <w:bottom w:val="none" w:sz="0" w:space="0" w:color="auto"/>
                <w:right w:val="none" w:sz="0" w:space="0" w:color="auto"/>
              </w:divBdr>
            </w:div>
            <w:div w:id="1471052323">
              <w:marLeft w:val="0"/>
              <w:marRight w:val="0"/>
              <w:marTop w:val="0"/>
              <w:marBottom w:val="0"/>
              <w:divBdr>
                <w:top w:val="none" w:sz="0" w:space="0" w:color="auto"/>
                <w:left w:val="none" w:sz="0" w:space="0" w:color="auto"/>
                <w:bottom w:val="none" w:sz="0" w:space="0" w:color="auto"/>
                <w:right w:val="none" w:sz="0" w:space="0" w:color="auto"/>
              </w:divBdr>
            </w:div>
            <w:div w:id="14710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xiaoqiang20050@aliyu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5818</Words>
  <Characters>33168</Characters>
  <Application>Microsoft Office Word</Application>
  <DocSecurity>0</DocSecurity>
  <Lines>276</Lines>
  <Paragraphs>77</Paragraphs>
  <ScaleCrop>false</ScaleCrop>
  <Company>Hewlett-Packard Company</Company>
  <LinksUpToDate>false</LinksUpToDate>
  <CharactersWithSpaces>38909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ldudu</dc:creator>
  <cp:lastModifiedBy>LS Ma</cp:lastModifiedBy>
  <cp:revision>2</cp:revision>
  <dcterms:created xsi:type="dcterms:W3CDTF">2014-02-19T17:47:00Z</dcterms:created>
  <dcterms:modified xsi:type="dcterms:W3CDTF">2014-02-19T17:47:00Z</dcterms:modified>
</cp:coreProperties>
</file>