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5E3013" w:rsidRPr="00074190" w:rsidRDefault="006A074B" w:rsidP="00074190">
      <w:pPr>
        <w:spacing w:after="0" w:line="360" w:lineRule="auto"/>
        <w:jc w:val="both"/>
        <w:rPr>
          <w:rFonts w:ascii="Book Antiqua" w:eastAsia="Book Antiqua" w:hAnsi="Book Antiqua" w:cs="Book Antiqua"/>
          <w:b/>
          <w:sz w:val="24"/>
          <w:szCs w:val="24"/>
        </w:rPr>
      </w:pPr>
      <w:r w:rsidRPr="00074190">
        <w:rPr>
          <w:rFonts w:ascii="Book Antiqua" w:eastAsia="Book Antiqua" w:hAnsi="Book Antiqua" w:cs="Book Antiqua"/>
          <w:b/>
          <w:sz w:val="24"/>
          <w:szCs w:val="24"/>
        </w:rPr>
        <w:t>Name of journal: World Journal of Hepatology</w:t>
      </w:r>
    </w:p>
    <w:p w:rsidR="005E3013" w:rsidRPr="00074190" w:rsidRDefault="006A074B" w:rsidP="00074190">
      <w:pPr>
        <w:spacing w:after="0" w:line="360" w:lineRule="auto"/>
        <w:jc w:val="both"/>
        <w:rPr>
          <w:rFonts w:ascii="Book Antiqua" w:eastAsia="Book Antiqua" w:hAnsi="Book Antiqua" w:cs="Book Antiqua"/>
          <w:b/>
          <w:sz w:val="24"/>
          <w:szCs w:val="24"/>
        </w:rPr>
      </w:pPr>
      <w:r w:rsidRPr="00074190">
        <w:rPr>
          <w:rFonts w:ascii="Book Antiqua" w:eastAsia="Book Antiqua" w:hAnsi="Book Antiqua" w:cs="Book Antiqua"/>
          <w:b/>
          <w:sz w:val="24"/>
          <w:szCs w:val="24"/>
        </w:rPr>
        <w:t>ESPS Manuscript NO: 14489</w:t>
      </w:r>
    </w:p>
    <w:p w:rsidR="005E3013" w:rsidRPr="00074190" w:rsidRDefault="00C44C7A" w:rsidP="00074190">
      <w:pPr>
        <w:spacing w:after="0" w:line="360" w:lineRule="auto"/>
        <w:jc w:val="both"/>
        <w:rPr>
          <w:rFonts w:ascii="Book Antiqua" w:hAnsi="Book Antiqua" w:cs="Book Antiqua"/>
          <w:b/>
          <w:sz w:val="24"/>
          <w:szCs w:val="24"/>
          <w:lang w:eastAsia="zh-CN"/>
        </w:rPr>
      </w:pPr>
      <w:bookmarkStart w:id="0" w:name="OLE_LINK3"/>
      <w:bookmarkStart w:id="1" w:name="OLE_LINK4"/>
      <w:r>
        <w:rPr>
          <w:rFonts w:ascii="Book Antiqua" w:hAnsi="Book Antiqua"/>
          <w:b/>
          <w:color w:val="000000" w:themeColor="text1"/>
          <w:sz w:val="24"/>
          <w:szCs w:val="24"/>
          <w:lang w:eastAsia="zh-CN"/>
        </w:rPr>
        <w:t>M</w:t>
      </w:r>
      <w:r>
        <w:rPr>
          <w:rFonts w:ascii="Book Antiqua" w:hAnsi="Book Antiqua" w:hint="eastAsia"/>
          <w:b/>
          <w:color w:val="000000" w:themeColor="text1"/>
          <w:sz w:val="24"/>
          <w:szCs w:val="24"/>
          <w:lang w:eastAsia="zh-CN"/>
        </w:rPr>
        <w:t>anuscript Type</w:t>
      </w:r>
      <w:bookmarkEnd w:id="0"/>
      <w:bookmarkEnd w:id="1"/>
      <w:r w:rsidR="006A074B" w:rsidRPr="00074190">
        <w:rPr>
          <w:rFonts w:ascii="Book Antiqua" w:eastAsia="Book Antiqua" w:hAnsi="Book Antiqua" w:cs="Book Antiqua"/>
          <w:b/>
          <w:sz w:val="24"/>
          <w:szCs w:val="24"/>
        </w:rPr>
        <w:t xml:space="preserve">: </w:t>
      </w:r>
      <w:r w:rsidR="00051B18" w:rsidRPr="00074190">
        <w:rPr>
          <w:rFonts w:ascii="Book Antiqua" w:hAnsi="Book Antiqua" w:cs="Book Antiqua"/>
          <w:b/>
          <w:sz w:val="24"/>
          <w:szCs w:val="24"/>
          <w:lang w:eastAsia="zh-CN"/>
        </w:rPr>
        <w:t>MINIREVIEWS</w:t>
      </w:r>
    </w:p>
    <w:p w:rsidR="00116B23" w:rsidRPr="00074190" w:rsidRDefault="00116B23" w:rsidP="00074190">
      <w:pPr>
        <w:spacing w:after="0" w:line="360" w:lineRule="auto"/>
        <w:jc w:val="both"/>
        <w:rPr>
          <w:rFonts w:ascii="Book Antiqua" w:hAnsi="Book Antiqua" w:cs="Book Antiqua"/>
          <w:b/>
          <w:sz w:val="24"/>
          <w:szCs w:val="24"/>
          <w:lang w:eastAsia="zh-CN"/>
        </w:rPr>
      </w:pPr>
    </w:p>
    <w:p w:rsidR="0059562B" w:rsidRDefault="0059562B" w:rsidP="0059562B">
      <w:pPr>
        <w:spacing w:after="0" w:line="360" w:lineRule="auto"/>
        <w:jc w:val="both"/>
        <w:rPr>
          <w:rFonts w:ascii="Book Antiqua" w:hAnsi="Book Antiqua" w:cs="Book Antiqua"/>
          <w:b/>
          <w:sz w:val="24"/>
          <w:szCs w:val="24"/>
          <w:lang w:eastAsia="zh-CN"/>
        </w:rPr>
      </w:pPr>
      <w:r w:rsidRPr="0089095C">
        <w:rPr>
          <w:rFonts w:ascii="Book Antiqua" w:eastAsia="Book Antiqua" w:hAnsi="Book Antiqua" w:cs="Book Antiqua"/>
          <w:b/>
          <w:sz w:val="24"/>
          <w:szCs w:val="24"/>
        </w:rPr>
        <w:t xml:space="preserve">Spectrum of biliary complications following live </w:t>
      </w:r>
      <w:r>
        <w:rPr>
          <w:rFonts w:ascii="Book Antiqua" w:eastAsia="Book Antiqua" w:hAnsi="Book Antiqua" w:cs="Book Antiqua"/>
          <w:b/>
          <w:sz w:val="24"/>
          <w:szCs w:val="24"/>
        </w:rPr>
        <w:t>donor liver transplantation</w:t>
      </w:r>
    </w:p>
    <w:p w:rsidR="005E3013" w:rsidRPr="0059562B" w:rsidRDefault="005E3013" w:rsidP="00074190">
      <w:pPr>
        <w:spacing w:after="0" w:line="360" w:lineRule="auto"/>
        <w:jc w:val="both"/>
        <w:rPr>
          <w:rFonts w:ascii="Book Antiqua" w:hAnsi="Book Antiqua" w:cs="Book Antiqua"/>
          <w:b/>
          <w:sz w:val="24"/>
          <w:szCs w:val="24"/>
          <w:lang w:eastAsia="zh-CN"/>
        </w:rPr>
      </w:pPr>
    </w:p>
    <w:p w:rsidR="003C18E3" w:rsidRPr="00074190" w:rsidRDefault="003C18E3" w:rsidP="00074190">
      <w:pPr>
        <w:spacing w:after="0" w:line="360" w:lineRule="auto"/>
        <w:jc w:val="both"/>
        <w:rPr>
          <w:rFonts w:ascii="Book Antiqua" w:eastAsia="Book Antiqua" w:hAnsi="Book Antiqua" w:cs="Book Antiqua"/>
          <w:b/>
          <w:sz w:val="24"/>
          <w:szCs w:val="24"/>
        </w:rPr>
      </w:pPr>
      <w:r w:rsidRPr="00074190">
        <w:rPr>
          <w:rFonts w:ascii="Book Antiqua" w:eastAsia="Book Antiqua" w:hAnsi="Book Antiqua" w:cs="Book Antiqua"/>
          <w:sz w:val="24"/>
          <w:szCs w:val="24"/>
        </w:rPr>
        <w:t>Simoes</w:t>
      </w:r>
      <w:r w:rsidRPr="00074190">
        <w:rPr>
          <w:rFonts w:ascii="Book Antiqua" w:hAnsi="Book Antiqua" w:cs="Book Antiqua"/>
          <w:sz w:val="24"/>
          <w:szCs w:val="24"/>
          <w:lang w:eastAsia="zh-CN"/>
        </w:rPr>
        <w:t xml:space="preserve"> P </w:t>
      </w:r>
      <w:r w:rsidRPr="00074190">
        <w:rPr>
          <w:rFonts w:ascii="Book Antiqua" w:hAnsi="Book Antiqua" w:cs="Book Antiqua"/>
          <w:i/>
          <w:sz w:val="24"/>
          <w:szCs w:val="24"/>
          <w:lang w:eastAsia="zh-CN"/>
        </w:rPr>
        <w:t>et al</w:t>
      </w:r>
      <w:r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Biliary complications after living donor liver transplantation</w:t>
      </w:r>
    </w:p>
    <w:p w:rsidR="003C18E3" w:rsidRPr="00074190" w:rsidRDefault="003C18E3" w:rsidP="00074190">
      <w:pPr>
        <w:spacing w:after="0" w:line="360" w:lineRule="auto"/>
        <w:jc w:val="both"/>
        <w:rPr>
          <w:rFonts w:ascii="Book Antiqua" w:hAnsi="Book Antiqua" w:cs="Book Antiqua"/>
          <w:b/>
          <w:sz w:val="24"/>
          <w:szCs w:val="24"/>
          <w:lang w:eastAsia="zh-CN"/>
        </w:rPr>
      </w:pPr>
    </w:p>
    <w:p w:rsidR="005E3013" w:rsidRPr="00980099" w:rsidRDefault="006A074B" w:rsidP="00074190">
      <w:pPr>
        <w:spacing w:after="0" w:line="360" w:lineRule="auto"/>
        <w:jc w:val="both"/>
        <w:rPr>
          <w:rFonts w:ascii="Book Antiqua" w:hAnsi="Book Antiqua" w:cs="Book Antiqua"/>
          <w:b/>
          <w:sz w:val="24"/>
          <w:szCs w:val="24"/>
          <w:lang w:eastAsia="zh-CN"/>
        </w:rPr>
      </w:pPr>
      <w:r w:rsidRPr="00980099">
        <w:rPr>
          <w:rFonts w:ascii="Book Antiqua" w:eastAsia="Book Antiqua" w:hAnsi="Book Antiqua" w:cs="Book Antiqua"/>
          <w:b/>
          <w:sz w:val="24"/>
          <w:szCs w:val="24"/>
        </w:rPr>
        <w:t>Priya Simoes, Varun Kesar</w:t>
      </w:r>
      <w:r w:rsidR="003C18E3" w:rsidRPr="00980099">
        <w:rPr>
          <w:rFonts w:ascii="Book Antiqua" w:eastAsia="Book Antiqua" w:hAnsi="Book Antiqua" w:cs="Book Antiqua"/>
          <w:b/>
          <w:sz w:val="24"/>
          <w:szCs w:val="24"/>
        </w:rPr>
        <w:t>, Jawad Ahmad</w:t>
      </w:r>
    </w:p>
    <w:p w:rsidR="005E3013" w:rsidRPr="00074190" w:rsidRDefault="005E3013" w:rsidP="00074190">
      <w:pPr>
        <w:spacing w:after="0" w:line="360" w:lineRule="auto"/>
        <w:jc w:val="both"/>
        <w:rPr>
          <w:rFonts w:ascii="Book Antiqua" w:eastAsia="Book Antiqua" w:hAnsi="Book Antiqua" w:cs="Book Antiqua"/>
          <w:sz w:val="24"/>
          <w:szCs w:val="24"/>
        </w:rPr>
      </w:pPr>
    </w:p>
    <w:p w:rsidR="005E3013" w:rsidRPr="00074190" w:rsidRDefault="003C18E3" w:rsidP="00074190">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b/>
          <w:sz w:val="24"/>
          <w:szCs w:val="24"/>
        </w:rPr>
        <w:t>Priya Simoes, Varun Kesar, Jawad Ahmad</w:t>
      </w:r>
      <w:r w:rsidRPr="00074190">
        <w:rPr>
          <w:rFonts w:ascii="Book Antiqua" w:hAnsi="Book Antiqua" w:cs="Book Antiqua"/>
          <w:b/>
          <w:sz w:val="24"/>
          <w:szCs w:val="24"/>
          <w:lang w:eastAsia="zh-CN"/>
        </w:rPr>
        <w:t>,</w:t>
      </w:r>
      <w:r w:rsidRPr="00074190">
        <w:rPr>
          <w:rFonts w:ascii="Book Antiqua" w:hAnsi="Book Antiqua" w:cs="Book Antiqua"/>
          <w:sz w:val="24"/>
          <w:szCs w:val="24"/>
          <w:lang w:eastAsia="zh-CN"/>
        </w:rPr>
        <w:t xml:space="preserve"> </w:t>
      </w:r>
      <w:r w:rsidR="006A074B" w:rsidRPr="00074190">
        <w:rPr>
          <w:rFonts w:ascii="Book Antiqua" w:eastAsia="Book Antiqua" w:hAnsi="Book Antiqua" w:cs="Book Antiqua"/>
          <w:sz w:val="24"/>
          <w:szCs w:val="24"/>
        </w:rPr>
        <w:t>Division of Liver Diseases, Icahn School of Medicine at Mount Sinai, New York, NY 10029, United States</w:t>
      </w:r>
    </w:p>
    <w:p w:rsidR="005E3013" w:rsidRPr="00074190" w:rsidRDefault="006A074B" w:rsidP="00074190">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sz w:val="24"/>
          <w:szCs w:val="24"/>
        </w:rPr>
        <w:tab/>
        <w:t xml:space="preserve"> </w:t>
      </w:r>
    </w:p>
    <w:p w:rsidR="007A2D1E" w:rsidRPr="00074190" w:rsidRDefault="006A074B" w:rsidP="00074190">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b/>
          <w:sz w:val="24"/>
          <w:szCs w:val="24"/>
        </w:rPr>
        <w:t xml:space="preserve">Author contributions: </w:t>
      </w:r>
      <w:r w:rsidR="003C18E3" w:rsidRPr="00074190">
        <w:rPr>
          <w:rFonts w:ascii="Book Antiqua" w:eastAsia="Book Antiqua" w:hAnsi="Book Antiqua" w:cs="Book Antiqua"/>
          <w:sz w:val="24"/>
          <w:szCs w:val="24"/>
        </w:rPr>
        <w:t>Simoes P</w:t>
      </w:r>
      <w:r w:rsidR="003C18E3" w:rsidRPr="00074190">
        <w:rPr>
          <w:rFonts w:ascii="Book Antiqua" w:hAnsi="Book Antiqua" w:cs="Book Antiqua"/>
          <w:sz w:val="24"/>
          <w:szCs w:val="24"/>
          <w:lang w:eastAsia="zh-CN"/>
        </w:rPr>
        <w:t xml:space="preserve"> made the</w:t>
      </w:r>
      <w:r w:rsidR="00C31D17" w:rsidRPr="00074190">
        <w:rPr>
          <w:rFonts w:ascii="Book Antiqua" w:eastAsia="Book Antiqua" w:hAnsi="Book Antiqua" w:cs="Book Antiqua"/>
          <w:sz w:val="24"/>
          <w:szCs w:val="24"/>
        </w:rPr>
        <w:t xml:space="preserve"> </w:t>
      </w:r>
      <w:r w:rsidR="0092638C" w:rsidRPr="00074190">
        <w:rPr>
          <w:rFonts w:ascii="Book Antiqua" w:eastAsia="Book Antiqua" w:hAnsi="Book Antiqua" w:cs="Book Antiqua"/>
          <w:sz w:val="24"/>
          <w:szCs w:val="24"/>
        </w:rPr>
        <w:t>substantial contribution to manuscript design and manuscript writing</w:t>
      </w:r>
      <w:r w:rsidR="003C18E3" w:rsidRPr="00074190">
        <w:rPr>
          <w:rFonts w:ascii="Book Antiqua" w:hAnsi="Book Antiqua" w:cs="Book Antiqua"/>
          <w:sz w:val="24"/>
          <w:szCs w:val="24"/>
          <w:lang w:eastAsia="zh-CN"/>
        </w:rPr>
        <w:t>;</w:t>
      </w:r>
      <w:r w:rsidR="0092638C" w:rsidRPr="00074190">
        <w:rPr>
          <w:rFonts w:ascii="Book Antiqua" w:eastAsia="Book Antiqua" w:hAnsi="Book Antiqua" w:cs="Book Antiqua"/>
          <w:sz w:val="24"/>
          <w:szCs w:val="24"/>
        </w:rPr>
        <w:t xml:space="preserve"> </w:t>
      </w:r>
      <w:r w:rsidR="003C18E3" w:rsidRPr="00074190">
        <w:rPr>
          <w:rFonts w:ascii="Book Antiqua" w:eastAsia="Book Antiqua" w:hAnsi="Book Antiqua" w:cs="Book Antiqua"/>
          <w:sz w:val="24"/>
          <w:szCs w:val="24"/>
        </w:rPr>
        <w:t>Kesar V</w:t>
      </w:r>
      <w:r w:rsidR="00C31D17" w:rsidRPr="00074190">
        <w:rPr>
          <w:rFonts w:ascii="Book Antiqua" w:eastAsia="Book Antiqua" w:hAnsi="Book Antiqua" w:cs="Book Antiqua"/>
          <w:sz w:val="24"/>
          <w:szCs w:val="24"/>
        </w:rPr>
        <w:t xml:space="preserve"> </w:t>
      </w:r>
      <w:r w:rsidR="003C18E3" w:rsidRPr="00074190">
        <w:rPr>
          <w:rFonts w:ascii="Book Antiqua" w:hAnsi="Book Antiqua" w:cs="Book Antiqua"/>
          <w:sz w:val="24"/>
          <w:szCs w:val="24"/>
          <w:lang w:eastAsia="zh-CN"/>
        </w:rPr>
        <w:t xml:space="preserve">wrote the manuscript; </w:t>
      </w:r>
      <w:r w:rsidR="003C18E3" w:rsidRPr="00074190">
        <w:rPr>
          <w:rFonts w:ascii="Book Antiqua" w:eastAsia="Book Antiqua" w:hAnsi="Book Antiqua" w:cs="Book Antiqua"/>
          <w:sz w:val="24"/>
          <w:szCs w:val="24"/>
        </w:rPr>
        <w:t>Ahmad J</w:t>
      </w:r>
      <w:r w:rsidR="00C31D17" w:rsidRPr="00074190">
        <w:rPr>
          <w:rFonts w:ascii="Book Antiqua" w:eastAsia="Book Antiqua" w:hAnsi="Book Antiqua" w:cs="Book Antiqua"/>
          <w:sz w:val="24"/>
          <w:szCs w:val="24"/>
        </w:rPr>
        <w:t xml:space="preserve"> </w:t>
      </w:r>
      <w:r w:rsidR="0092638C" w:rsidRPr="00074190">
        <w:rPr>
          <w:rFonts w:ascii="Book Antiqua" w:eastAsia="Book Antiqua" w:hAnsi="Book Antiqua" w:cs="Book Antiqua"/>
          <w:sz w:val="24"/>
          <w:szCs w:val="24"/>
        </w:rPr>
        <w:t xml:space="preserve">conceptualized and </w:t>
      </w:r>
      <w:r w:rsidR="00C31D17" w:rsidRPr="00074190">
        <w:rPr>
          <w:rFonts w:ascii="Book Antiqua" w:eastAsia="Book Antiqua" w:hAnsi="Book Antiqua" w:cs="Book Antiqua"/>
          <w:sz w:val="24"/>
          <w:szCs w:val="24"/>
        </w:rPr>
        <w:t xml:space="preserve">designed </w:t>
      </w:r>
      <w:r w:rsidR="00D66067" w:rsidRPr="00074190">
        <w:rPr>
          <w:rFonts w:ascii="Book Antiqua" w:eastAsia="Book Antiqua" w:hAnsi="Book Antiqua" w:cs="Book Antiqua"/>
          <w:sz w:val="24"/>
          <w:szCs w:val="24"/>
        </w:rPr>
        <w:t>manuscript</w:t>
      </w:r>
      <w:r w:rsidR="0092638C" w:rsidRPr="00074190">
        <w:rPr>
          <w:rFonts w:ascii="Book Antiqua" w:eastAsia="Book Antiqua" w:hAnsi="Book Antiqua" w:cs="Book Antiqua"/>
          <w:sz w:val="24"/>
          <w:szCs w:val="24"/>
        </w:rPr>
        <w:t xml:space="preserve"> drafted and critically revised </w:t>
      </w:r>
      <w:r w:rsidR="001A6EF9" w:rsidRPr="00074190">
        <w:rPr>
          <w:rFonts w:ascii="Book Antiqua" w:eastAsia="Book Antiqua" w:hAnsi="Book Antiqua" w:cs="Book Antiqua"/>
          <w:sz w:val="24"/>
          <w:szCs w:val="24"/>
        </w:rPr>
        <w:t xml:space="preserve">the manuscript </w:t>
      </w:r>
      <w:r w:rsidR="0092638C" w:rsidRPr="00074190">
        <w:rPr>
          <w:rFonts w:ascii="Book Antiqua" w:eastAsia="Book Antiqua" w:hAnsi="Book Antiqua" w:cs="Book Antiqua"/>
          <w:sz w:val="24"/>
          <w:szCs w:val="24"/>
        </w:rPr>
        <w:t xml:space="preserve">and approved the final version. </w:t>
      </w:r>
    </w:p>
    <w:p w:rsidR="007A2D1E" w:rsidRPr="00074190" w:rsidRDefault="007A2D1E" w:rsidP="00074190">
      <w:pPr>
        <w:spacing w:after="0" w:line="360" w:lineRule="auto"/>
        <w:jc w:val="both"/>
        <w:rPr>
          <w:rFonts w:ascii="Book Antiqua" w:eastAsia="Book Antiqua" w:hAnsi="Book Antiqua" w:cs="Book Antiqua"/>
          <w:sz w:val="24"/>
          <w:szCs w:val="24"/>
        </w:rPr>
      </w:pPr>
    </w:p>
    <w:p w:rsidR="005E3013" w:rsidRPr="00074190" w:rsidRDefault="006A074B" w:rsidP="00074190">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b/>
          <w:sz w:val="24"/>
          <w:szCs w:val="24"/>
        </w:rPr>
        <w:t>Conflict-of-interest</w:t>
      </w:r>
      <w:r w:rsidR="00980099">
        <w:rPr>
          <w:rFonts w:ascii="Book Antiqua" w:hAnsi="Book Antiqua" w:cs="Book Antiqua" w:hint="eastAsia"/>
          <w:b/>
          <w:sz w:val="24"/>
          <w:szCs w:val="24"/>
          <w:lang w:eastAsia="zh-CN"/>
        </w:rPr>
        <w:t xml:space="preserve"> </w:t>
      </w:r>
      <w:r w:rsidR="00980099" w:rsidRPr="00980099">
        <w:rPr>
          <w:rFonts w:ascii="Book Antiqua" w:eastAsia="Book Antiqua" w:hAnsi="Book Antiqua" w:cs="Book Antiqua"/>
          <w:b/>
          <w:sz w:val="24"/>
          <w:szCs w:val="24"/>
        </w:rPr>
        <w:t>statement</w:t>
      </w:r>
      <w:r w:rsidRPr="00074190">
        <w:rPr>
          <w:rFonts w:ascii="Book Antiqua" w:eastAsia="Book Antiqua" w:hAnsi="Book Antiqua" w:cs="Book Antiqua"/>
          <w:b/>
          <w:sz w:val="24"/>
          <w:szCs w:val="24"/>
        </w:rPr>
        <w:t xml:space="preserve">: </w:t>
      </w:r>
      <w:r w:rsidRPr="00074190">
        <w:rPr>
          <w:rFonts w:ascii="Book Antiqua" w:eastAsia="Book Antiqua" w:hAnsi="Book Antiqua" w:cs="Book Antiqua"/>
          <w:sz w:val="24"/>
          <w:szCs w:val="24"/>
        </w:rPr>
        <w:t>No conflict of interest to disclose</w:t>
      </w:r>
      <w:r w:rsidR="003C18E3" w:rsidRPr="00074190">
        <w:rPr>
          <w:rFonts w:ascii="Book Antiqua" w:hAnsi="Book Antiqua" w:cs="Book Antiqua"/>
          <w:sz w:val="24"/>
          <w:szCs w:val="24"/>
          <w:lang w:eastAsia="zh-CN"/>
        </w:rPr>
        <w:t>.</w:t>
      </w:r>
    </w:p>
    <w:p w:rsidR="003C18E3" w:rsidRPr="00074190" w:rsidRDefault="003C18E3" w:rsidP="00074190">
      <w:pPr>
        <w:spacing w:after="0" w:line="360" w:lineRule="auto"/>
        <w:jc w:val="both"/>
        <w:rPr>
          <w:rFonts w:ascii="Book Antiqua" w:hAnsi="Book Antiqua" w:cs="Book Antiqua"/>
          <w:sz w:val="24"/>
          <w:szCs w:val="24"/>
          <w:lang w:eastAsia="zh-CN"/>
        </w:rPr>
      </w:pPr>
    </w:p>
    <w:p w:rsidR="003C18E3" w:rsidRPr="00074190" w:rsidRDefault="003C18E3" w:rsidP="00074190">
      <w:pPr>
        <w:spacing w:after="0" w:line="360" w:lineRule="auto"/>
        <w:jc w:val="both"/>
        <w:rPr>
          <w:rFonts w:ascii="Book Antiqua" w:eastAsia="宋体" w:hAnsi="Book Antiqua" w:cs="宋体"/>
          <w:color w:val="000000" w:themeColor="text1"/>
          <w:sz w:val="24"/>
          <w:szCs w:val="24"/>
          <w:lang w:eastAsia="zh-CN"/>
        </w:rPr>
      </w:pPr>
      <w:bookmarkStart w:id="2" w:name="OLE_LINK507"/>
      <w:bookmarkStart w:id="3" w:name="OLE_LINK506"/>
      <w:bookmarkStart w:id="4" w:name="OLE_LINK496"/>
      <w:bookmarkStart w:id="5" w:name="OLE_LINK479"/>
      <w:r w:rsidRPr="00074190">
        <w:rPr>
          <w:rFonts w:ascii="Book Antiqua" w:eastAsia="宋体" w:hAnsi="Book Antiqua" w:cs="宋体"/>
          <w:b/>
          <w:color w:val="000000" w:themeColor="text1"/>
          <w:sz w:val="24"/>
          <w:szCs w:val="24"/>
          <w:lang w:eastAsia="zh-CN"/>
        </w:rPr>
        <w:t xml:space="preserve">Open-Access: </w:t>
      </w:r>
      <w:r w:rsidRPr="00074190">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74190">
          <w:rPr>
            <w:rFonts w:ascii="Book Antiqua" w:eastAsia="宋体" w:hAnsi="Book Antiqua" w:cs="宋体"/>
            <w:color w:val="000000" w:themeColor="text1"/>
            <w:sz w:val="24"/>
            <w:szCs w:val="24"/>
            <w:u w:val="single"/>
            <w:lang w:eastAsia="zh-CN"/>
          </w:rPr>
          <w:t>http://creativecommons.org/licenses/by-nc/4.0/</w:t>
        </w:r>
      </w:hyperlink>
      <w:bookmarkEnd w:id="2"/>
      <w:bookmarkEnd w:id="3"/>
      <w:bookmarkEnd w:id="4"/>
      <w:bookmarkEnd w:id="5"/>
    </w:p>
    <w:p w:rsidR="005E3013" w:rsidRPr="00074190" w:rsidRDefault="005E3013" w:rsidP="00074190">
      <w:pPr>
        <w:spacing w:after="0" w:line="360" w:lineRule="auto"/>
        <w:jc w:val="both"/>
        <w:rPr>
          <w:rFonts w:ascii="Book Antiqua" w:hAnsi="Book Antiqua" w:cs="Book Antiqua"/>
          <w:sz w:val="24"/>
          <w:szCs w:val="24"/>
          <w:lang w:eastAsia="zh-CN"/>
        </w:rPr>
      </w:pPr>
    </w:p>
    <w:p w:rsidR="005E3013" w:rsidRPr="00074190" w:rsidRDefault="006A074B" w:rsidP="00074190">
      <w:pPr>
        <w:spacing w:after="0" w:line="360" w:lineRule="auto"/>
        <w:jc w:val="both"/>
        <w:rPr>
          <w:rFonts w:ascii="Book Antiqua" w:hAnsi="Book Antiqua" w:cs="Book Antiqua"/>
          <w:b/>
          <w:sz w:val="24"/>
          <w:szCs w:val="24"/>
          <w:lang w:eastAsia="zh-CN"/>
        </w:rPr>
      </w:pPr>
      <w:r w:rsidRPr="00074190">
        <w:rPr>
          <w:rFonts w:ascii="Book Antiqua" w:eastAsia="Book Antiqua" w:hAnsi="Book Antiqua" w:cs="Book Antiqua"/>
          <w:b/>
          <w:sz w:val="24"/>
          <w:szCs w:val="24"/>
        </w:rPr>
        <w:lastRenderedPageBreak/>
        <w:t>Correspondence to: Jawad Ahmad</w:t>
      </w:r>
      <w:r w:rsidR="00F97D07">
        <w:rPr>
          <w:rFonts w:ascii="Book Antiqua" w:hAnsi="Book Antiqua" w:cs="Book Antiqua" w:hint="eastAsia"/>
          <w:b/>
          <w:sz w:val="24"/>
          <w:szCs w:val="24"/>
          <w:lang w:eastAsia="zh-CN"/>
        </w:rPr>
        <w:t>,</w:t>
      </w:r>
      <w:r w:rsidRPr="00074190">
        <w:rPr>
          <w:rFonts w:ascii="Book Antiqua" w:eastAsia="Book Antiqua" w:hAnsi="Book Antiqua" w:cs="Book Antiqua"/>
          <w:b/>
          <w:sz w:val="24"/>
          <w:szCs w:val="24"/>
        </w:rPr>
        <w:t xml:space="preserve"> MD, FRCP,</w:t>
      </w:r>
      <w:r w:rsidRPr="00074190">
        <w:rPr>
          <w:rFonts w:ascii="Book Antiqua" w:eastAsia="Book Antiqua" w:hAnsi="Book Antiqua" w:cs="Book Antiqua"/>
          <w:sz w:val="24"/>
          <w:szCs w:val="24"/>
        </w:rPr>
        <w:t xml:space="preserve"> Division of Liver Diseases, Icahn School of Medicine at Mount Sinai, </w:t>
      </w:r>
      <w:r w:rsidR="00980099" w:rsidRPr="00980099">
        <w:rPr>
          <w:rFonts w:ascii="Book Antiqua" w:eastAsia="Book Antiqua" w:hAnsi="Book Antiqua" w:cs="Book Antiqua"/>
          <w:sz w:val="24"/>
          <w:szCs w:val="24"/>
        </w:rPr>
        <w:t>1428 Madison Ave, </w:t>
      </w:r>
      <w:r w:rsidR="00980099" w:rsidRPr="00074190">
        <w:rPr>
          <w:rFonts w:ascii="Book Antiqua" w:eastAsia="Book Antiqua" w:hAnsi="Book Antiqua" w:cs="Book Antiqua"/>
          <w:sz w:val="24"/>
          <w:szCs w:val="24"/>
        </w:rPr>
        <w:t xml:space="preserve"> </w:t>
      </w:r>
      <w:r w:rsidRPr="00074190">
        <w:rPr>
          <w:rFonts w:ascii="Book Antiqua" w:eastAsia="Book Antiqua" w:hAnsi="Book Antiqua" w:cs="Book Antiqua"/>
          <w:sz w:val="24"/>
          <w:szCs w:val="24"/>
        </w:rPr>
        <w:t>New York, NY 10029, United States</w:t>
      </w:r>
      <w:r w:rsidR="003C18E3" w:rsidRPr="00074190">
        <w:rPr>
          <w:rFonts w:ascii="Book Antiqua" w:hAnsi="Book Antiqua" w:cs="Book Antiqua"/>
          <w:sz w:val="24"/>
          <w:szCs w:val="24"/>
          <w:lang w:eastAsia="zh-CN"/>
        </w:rPr>
        <w:t xml:space="preserve">. </w:t>
      </w:r>
      <w:hyperlink r:id="rId9" w:history="1">
        <w:r w:rsidR="003C18E3" w:rsidRPr="00074190">
          <w:rPr>
            <w:rStyle w:val="Hyperlink"/>
            <w:rFonts w:ascii="Book Antiqua" w:eastAsia="Book Antiqua" w:hAnsi="Book Antiqua" w:cs="Book Antiqua"/>
            <w:sz w:val="24"/>
            <w:szCs w:val="24"/>
          </w:rPr>
          <w:t>javbob@hotmail.com</w:t>
        </w:r>
      </w:hyperlink>
    </w:p>
    <w:p w:rsidR="003C18E3" w:rsidRPr="00074190" w:rsidRDefault="003C18E3" w:rsidP="00074190">
      <w:pPr>
        <w:spacing w:after="0" w:line="360" w:lineRule="auto"/>
        <w:jc w:val="both"/>
        <w:rPr>
          <w:rFonts w:ascii="Book Antiqua" w:eastAsia="宋体" w:hAnsi="Book Antiqua" w:cs="Times New Roman"/>
          <w:sz w:val="24"/>
          <w:szCs w:val="24"/>
          <w:lang w:eastAsia="zh-CN"/>
        </w:rPr>
      </w:pPr>
      <w:r w:rsidRPr="00074190">
        <w:rPr>
          <w:rFonts w:ascii="Book Antiqua" w:hAnsi="Book Antiqua" w:cs="Times New Roman"/>
          <w:b/>
          <w:sz w:val="24"/>
          <w:szCs w:val="24"/>
        </w:rPr>
        <w:t>Telephone</w:t>
      </w:r>
      <w:r w:rsidRPr="00074190">
        <w:rPr>
          <w:rFonts w:ascii="Book Antiqua" w:hAnsi="Book Antiqua" w:cs="Times New Roman"/>
          <w:b/>
          <w:sz w:val="24"/>
          <w:szCs w:val="24"/>
          <w:lang w:eastAsia="zh-CN"/>
        </w:rPr>
        <w:t xml:space="preserve">: </w:t>
      </w:r>
      <w:r w:rsidRPr="00074190">
        <w:rPr>
          <w:rFonts w:ascii="Book Antiqua" w:hAnsi="Book Antiqua" w:cs="Book Antiqua"/>
          <w:sz w:val="24"/>
          <w:szCs w:val="24"/>
          <w:lang w:eastAsia="zh-CN"/>
        </w:rPr>
        <w:t>+1-</w:t>
      </w:r>
      <w:r w:rsidRPr="00074190">
        <w:rPr>
          <w:rFonts w:ascii="Book Antiqua" w:eastAsia="Book Antiqua" w:hAnsi="Book Antiqua" w:cs="Book Antiqua"/>
          <w:sz w:val="24"/>
          <w:szCs w:val="24"/>
        </w:rPr>
        <w:t>212</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2418035</w:t>
      </w:r>
    </w:p>
    <w:p w:rsidR="003C18E3" w:rsidRPr="00074190" w:rsidRDefault="003C18E3" w:rsidP="00074190">
      <w:pPr>
        <w:spacing w:after="0" w:line="360" w:lineRule="auto"/>
        <w:jc w:val="both"/>
        <w:rPr>
          <w:rFonts w:ascii="Book Antiqua" w:eastAsia="宋体" w:hAnsi="Book Antiqua" w:cs="Times New Roman"/>
          <w:sz w:val="24"/>
          <w:szCs w:val="24"/>
          <w:lang w:eastAsia="zh-CN"/>
        </w:rPr>
      </w:pPr>
      <w:r w:rsidRPr="00074190">
        <w:rPr>
          <w:rFonts w:ascii="Book Antiqua" w:hAnsi="Book Antiqua" w:cs="Times New Roman"/>
          <w:b/>
          <w:sz w:val="24"/>
          <w:szCs w:val="24"/>
        </w:rPr>
        <w:t>Fax:</w:t>
      </w:r>
      <w:r w:rsidRPr="00074190">
        <w:rPr>
          <w:rFonts w:ascii="Book Antiqua" w:hAnsi="Book Antiqua" w:cs="Times New Roman"/>
          <w:sz w:val="24"/>
          <w:szCs w:val="24"/>
        </w:rPr>
        <w:t xml:space="preserve"> </w:t>
      </w:r>
      <w:r w:rsidRPr="00074190">
        <w:rPr>
          <w:rFonts w:ascii="Book Antiqua" w:hAnsi="Book Antiqua" w:cs="Book Antiqua"/>
          <w:sz w:val="24"/>
          <w:szCs w:val="24"/>
          <w:lang w:eastAsia="zh-CN"/>
        </w:rPr>
        <w:t>+1-</w:t>
      </w:r>
      <w:r w:rsidRPr="00074190">
        <w:rPr>
          <w:rFonts w:ascii="Book Antiqua" w:eastAsia="Book Antiqua" w:hAnsi="Book Antiqua" w:cs="Book Antiqua"/>
          <w:sz w:val="24"/>
          <w:szCs w:val="24"/>
        </w:rPr>
        <w:t>212</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7317340</w:t>
      </w:r>
    </w:p>
    <w:p w:rsidR="00074190" w:rsidRDefault="00074190" w:rsidP="00074190">
      <w:pPr>
        <w:spacing w:after="0" w:line="360" w:lineRule="auto"/>
        <w:jc w:val="both"/>
        <w:rPr>
          <w:rFonts w:ascii="Book Antiqua" w:hAnsi="Book Antiqua"/>
          <w:b/>
          <w:sz w:val="24"/>
          <w:szCs w:val="24"/>
          <w:lang w:eastAsia="zh-CN"/>
        </w:rPr>
      </w:pPr>
    </w:p>
    <w:p w:rsidR="003C18E3" w:rsidRPr="003F3BC0" w:rsidRDefault="003F3BC0" w:rsidP="00074190">
      <w:pPr>
        <w:spacing w:after="0" w:line="360" w:lineRule="auto"/>
        <w:jc w:val="both"/>
        <w:rPr>
          <w:rFonts w:ascii="Book Antiqua" w:hAnsi="Book Antiqua"/>
          <w:sz w:val="24"/>
          <w:szCs w:val="24"/>
          <w:lang w:eastAsia="zh-CN"/>
        </w:rPr>
      </w:pPr>
      <w:r>
        <w:rPr>
          <w:rFonts w:ascii="Book Antiqua" w:hAnsi="Book Antiqua"/>
          <w:b/>
          <w:sz w:val="24"/>
          <w:szCs w:val="24"/>
        </w:rPr>
        <w:t xml:space="preserve">Received: </w:t>
      </w:r>
      <w:r w:rsidRPr="003F3BC0">
        <w:rPr>
          <w:rFonts w:ascii="Book Antiqua" w:hAnsi="Book Antiqua"/>
          <w:sz w:val="24"/>
          <w:szCs w:val="24"/>
          <w:lang w:eastAsia="zh-CN"/>
        </w:rPr>
        <w:t>October</w:t>
      </w:r>
      <w:r w:rsidRPr="003F3BC0">
        <w:rPr>
          <w:rFonts w:ascii="Book Antiqua" w:hAnsi="Book Antiqua" w:hint="eastAsia"/>
          <w:sz w:val="24"/>
          <w:szCs w:val="24"/>
          <w:lang w:eastAsia="zh-CN"/>
        </w:rPr>
        <w:t xml:space="preserve"> 7, 2014</w:t>
      </w:r>
    </w:p>
    <w:p w:rsidR="003C18E3" w:rsidRPr="003F3BC0" w:rsidRDefault="003C18E3" w:rsidP="00074190">
      <w:pPr>
        <w:spacing w:after="0" w:line="360" w:lineRule="auto"/>
        <w:jc w:val="both"/>
        <w:rPr>
          <w:rFonts w:ascii="Book Antiqua" w:hAnsi="Book Antiqua"/>
          <w:sz w:val="24"/>
          <w:szCs w:val="24"/>
          <w:lang w:eastAsia="zh-CN"/>
        </w:rPr>
      </w:pPr>
      <w:r w:rsidRPr="00074190">
        <w:rPr>
          <w:rFonts w:ascii="Book Antiqua" w:hAnsi="Book Antiqua"/>
          <w:b/>
          <w:sz w:val="24"/>
          <w:szCs w:val="24"/>
        </w:rPr>
        <w:t>Peer-review started:</w:t>
      </w:r>
      <w:r w:rsidR="003F3BC0" w:rsidRPr="003F3BC0">
        <w:rPr>
          <w:rFonts w:ascii="Book Antiqua" w:hAnsi="Book Antiqua"/>
          <w:sz w:val="24"/>
          <w:szCs w:val="24"/>
          <w:lang w:eastAsia="zh-CN"/>
        </w:rPr>
        <w:t xml:space="preserve"> October</w:t>
      </w:r>
      <w:r w:rsidR="003F3BC0" w:rsidRPr="003F3BC0">
        <w:rPr>
          <w:rFonts w:ascii="Book Antiqua" w:hAnsi="Book Antiqua" w:hint="eastAsia"/>
          <w:sz w:val="24"/>
          <w:szCs w:val="24"/>
          <w:lang w:eastAsia="zh-CN"/>
        </w:rPr>
        <w:t xml:space="preserve"> </w:t>
      </w:r>
      <w:r w:rsidR="003F3BC0">
        <w:rPr>
          <w:rFonts w:ascii="Book Antiqua" w:hAnsi="Book Antiqua" w:hint="eastAsia"/>
          <w:sz w:val="24"/>
          <w:szCs w:val="24"/>
          <w:lang w:eastAsia="zh-CN"/>
        </w:rPr>
        <w:t>20</w:t>
      </w:r>
      <w:r w:rsidR="003F3BC0" w:rsidRPr="003F3BC0">
        <w:rPr>
          <w:rFonts w:ascii="Book Antiqua" w:hAnsi="Book Antiqua" w:hint="eastAsia"/>
          <w:sz w:val="24"/>
          <w:szCs w:val="24"/>
          <w:lang w:eastAsia="zh-CN"/>
        </w:rPr>
        <w:t>, 2014</w:t>
      </w:r>
    </w:p>
    <w:p w:rsidR="003C18E3" w:rsidRPr="003F3BC0" w:rsidRDefault="003C18E3" w:rsidP="00074190">
      <w:pPr>
        <w:spacing w:after="0" w:line="360" w:lineRule="auto"/>
        <w:jc w:val="both"/>
        <w:rPr>
          <w:rFonts w:ascii="Book Antiqua" w:hAnsi="Book Antiqua"/>
          <w:sz w:val="24"/>
          <w:szCs w:val="24"/>
          <w:lang w:eastAsia="zh-CN"/>
        </w:rPr>
      </w:pPr>
      <w:bookmarkStart w:id="6" w:name="OLE_LINK21"/>
      <w:bookmarkStart w:id="7" w:name="OLE_LINK22"/>
      <w:r w:rsidRPr="00074190">
        <w:rPr>
          <w:rFonts w:ascii="Book Antiqua" w:hAnsi="Book Antiqua"/>
          <w:b/>
          <w:sz w:val="24"/>
          <w:szCs w:val="24"/>
        </w:rPr>
        <w:t>First decision:</w:t>
      </w:r>
      <w:r w:rsidR="003F3BC0">
        <w:rPr>
          <w:rFonts w:ascii="Book Antiqua" w:hAnsi="Book Antiqua" w:hint="eastAsia"/>
          <w:b/>
          <w:sz w:val="24"/>
          <w:szCs w:val="24"/>
          <w:lang w:eastAsia="zh-CN"/>
        </w:rPr>
        <w:t xml:space="preserve"> </w:t>
      </w:r>
      <w:r w:rsidR="003F3BC0" w:rsidRPr="003F3BC0">
        <w:rPr>
          <w:rFonts w:ascii="Book Antiqua" w:hAnsi="Book Antiqua"/>
          <w:sz w:val="24"/>
          <w:szCs w:val="24"/>
          <w:lang w:eastAsia="zh-CN"/>
        </w:rPr>
        <w:t>December</w:t>
      </w:r>
      <w:r w:rsidR="003F3BC0" w:rsidRPr="003F3BC0">
        <w:rPr>
          <w:rFonts w:ascii="Book Antiqua" w:hAnsi="Book Antiqua" w:hint="eastAsia"/>
          <w:sz w:val="24"/>
          <w:szCs w:val="24"/>
          <w:lang w:eastAsia="zh-CN"/>
        </w:rPr>
        <w:t xml:space="preserve"> 17, 2014</w:t>
      </w:r>
    </w:p>
    <w:bookmarkEnd w:id="6"/>
    <w:bookmarkEnd w:id="7"/>
    <w:p w:rsidR="003C18E3" w:rsidRPr="003F3BC0" w:rsidRDefault="003F3BC0" w:rsidP="00074190">
      <w:pPr>
        <w:spacing w:after="0" w:line="360" w:lineRule="auto"/>
        <w:jc w:val="both"/>
        <w:rPr>
          <w:rFonts w:ascii="Book Antiqua" w:hAnsi="Book Antiqua"/>
          <w:sz w:val="24"/>
          <w:szCs w:val="24"/>
          <w:lang w:eastAsia="zh-CN"/>
        </w:rPr>
      </w:pPr>
      <w:r>
        <w:rPr>
          <w:rFonts w:ascii="Book Antiqua" w:hAnsi="Book Antiqua"/>
          <w:b/>
          <w:sz w:val="24"/>
          <w:szCs w:val="24"/>
        </w:rPr>
        <w:t>Revised:</w:t>
      </w:r>
      <w:r>
        <w:rPr>
          <w:rFonts w:ascii="Book Antiqua" w:hAnsi="Book Antiqua" w:hint="eastAsia"/>
          <w:b/>
          <w:sz w:val="24"/>
          <w:szCs w:val="24"/>
          <w:lang w:eastAsia="zh-CN"/>
        </w:rPr>
        <w:t xml:space="preserve"> </w:t>
      </w:r>
      <w:r w:rsidRPr="003F3BC0">
        <w:rPr>
          <w:rFonts w:ascii="Book Antiqua" w:hAnsi="Book Antiqua" w:hint="eastAsia"/>
          <w:sz w:val="24"/>
          <w:szCs w:val="24"/>
          <w:lang w:eastAsia="zh-CN"/>
        </w:rPr>
        <w:t>January 22, 2015</w:t>
      </w:r>
    </w:p>
    <w:p w:rsidR="003C18E3" w:rsidRPr="00D17AB8" w:rsidRDefault="003C18E3" w:rsidP="00D17AB8">
      <w:pPr>
        <w:rPr>
          <w:rFonts w:ascii="Book Antiqua" w:hAnsi="Book Antiqua" w:cs="宋体"/>
          <w:sz w:val="24"/>
        </w:rPr>
      </w:pPr>
      <w:r w:rsidRPr="00074190">
        <w:rPr>
          <w:rFonts w:ascii="Book Antiqua" w:hAnsi="Book Antiqua"/>
          <w:b/>
          <w:sz w:val="24"/>
          <w:szCs w:val="24"/>
        </w:rPr>
        <w:t xml:space="preserve">Accepted: </w:t>
      </w:r>
      <w:r w:rsidR="00D17AB8">
        <w:rPr>
          <w:rFonts w:ascii="Book Antiqua" w:hAnsi="Book Antiqua" w:cs="宋体"/>
          <w:sz w:val="24"/>
        </w:rPr>
        <w:t>July</w:t>
      </w:r>
      <w:r w:rsidR="00D17AB8" w:rsidRPr="00AF30D4">
        <w:rPr>
          <w:rFonts w:ascii="Book Antiqua" w:hAnsi="Book Antiqua" w:cs="宋体"/>
          <w:sz w:val="24"/>
        </w:rPr>
        <w:t xml:space="preserve"> </w:t>
      </w:r>
      <w:r w:rsidR="00D17AB8">
        <w:rPr>
          <w:rFonts w:ascii="Book Antiqua" w:hAnsi="Book Antiqua" w:cs="宋体"/>
          <w:sz w:val="24"/>
        </w:rPr>
        <w:t>7</w:t>
      </w:r>
      <w:r w:rsidR="00D17AB8" w:rsidRPr="00AF30D4">
        <w:rPr>
          <w:rFonts w:ascii="Book Antiqua" w:hAnsi="Book Antiqua" w:cs="宋体"/>
          <w:sz w:val="24"/>
        </w:rPr>
        <w:t>, 2015</w:t>
      </w:r>
    </w:p>
    <w:p w:rsidR="003C18E3" w:rsidRPr="00074190" w:rsidRDefault="003C18E3" w:rsidP="00074190">
      <w:pPr>
        <w:spacing w:after="0" w:line="360" w:lineRule="auto"/>
        <w:jc w:val="both"/>
        <w:rPr>
          <w:rFonts w:ascii="Book Antiqua" w:hAnsi="Book Antiqua"/>
          <w:b/>
          <w:sz w:val="24"/>
          <w:szCs w:val="24"/>
        </w:rPr>
      </w:pPr>
      <w:r w:rsidRPr="00074190">
        <w:rPr>
          <w:rFonts w:ascii="Book Antiqua" w:hAnsi="Book Antiqua"/>
          <w:b/>
          <w:sz w:val="24"/>
          <w:szCs w:val="24"/>
        </w:rPr>
        <w:t>Article in press:</w:t>
      </w:r>
    </w:p>
    <w:p w:rsidR="003C18E3" w:rsidRPr="00074190" w:rsidRDefault="003C18E3" w:rsidP="00074190">
      <w:pPr>
        <w:spacing w:after="0" w:line="360" w:lineRule="auto"/>
        <w:jc w:val="both"/>
        <w:rPr>
          <w:rFonts w:ascii="Book Antiqua" w:hAnsi="Book Antiqua"/>
          <w:b/>
          <w:sz w:val="24"/>
          <w:szCs w:val="24"/>
        </w:rPr>
      </w:pPr>
      <w:r w:rsidRPr="00074190">
        <w:rPr>
          <w:rFonts w:ascii="Book Antiqua" w:hAnsi="Book Antiqua"/>
          <w:b/>
          <w:sz w:val="24"/>
          <w:szCs w:val="24"/>
        </w:rPr>
        <w:t xml:space="preserve">Published online: </w:t>
      </w:r>
    </w:p>
    <w:p w:rsidR="005E3013" w:rsidRPr="00074190" w:rsidRDefault="005E3013" w:rsidP="00074190">
      <w:pPr>
        <w:spacing w:after="0" w:line="360" w:lineRule="auto"/>
        <w:jc w:val="both"/>
        <w:rPr>
          <w:rFonts w:ascii="Book Antiqua" w:hAnsi="Book Antiqua" w:cs="Book Antiqua"/>
          <w:sz w:val="24"/>
          <w:szCs w:val="24"/>
          <w:lang w:eastAsia="zh-CN"/>
        </w:rPr>
      </w:pPr>
    </w:p>
    <w:p w:rsidR="003F3BC0" w:rsidRDefault="003F3BC0">
      <w:pPr>
        <w:rPr>
          <w:rFonts w:ascii="Book Antiqua" w:eastAsia="Book Antiqua" w:hAnsi="Book Antiqua" w:cs="Book Antiqua"/>
          <w:b/>
          <w:sz w:val="24"/>
          <w:szCs w:val="24"/>
        </w:rPr>
      </w:pPr>
      <w:r>
        <w:rPr>
          <w:rFonts w:ascii="Book Antiqua" w:eastAsia="Book Antiqua" w:hAnsi="Book Antiqua" w:cs="Book Antiqua"/>
          <w:b/>
          <w:sz w:val="24"/>
          <w:szCs w:val="24"/>
        </w:rPr>
        <w:br w:type="page"/>
      </w:r>
    </w:p>
    <w:p w:rsidR="005E3013" w:rsidRPr="00074190" w:rsidRDefault="006A074B" w:rsidP="00074190">
      <w:pPr>
        <w:spacing w:after="0" w:line="360" w:lineRule="auto"/>
        <w:jc w:val="both"/>
        <w:rPr>
          <w:rFonts w:ascii="Book Antiqua" w:eastAsia="Book Antiqua" w:hAnsi="Book Antiqua" w:cs="Book Antiqua"/>
          <w:b/>
          <w:sz w:val="24"/>
          <w:szCs w:val="24"/>
        </w:rPr>
      </w:pPr>
      <w:r w:rsidRPr="00074190">
        <w:rPr>
          <w:rFonts w:ascii="Book Antiqua" w:eastAsia="Book Antiqua" w:hAnsi="Book Antiqua" w:cs="Book Antiqua"/>
          <w:b/>
          <w:sz w:val="24"/>
          <w:szCs w:val="24"/>
        </w:rPr>
        <w:t>Abstract</w:t>
      </w:r>
    </w:p>
    <w:p w:rsidR="005E3013" w:rsidRPr="00074190" w:rsidRDefault="006A074B" w:rsidP="00074190">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sz w:val="24"/>
          <w:szCs w:val="24"/>
        </w:rPr>
        <w:t xml:space="preserve">Liver transplantation is the optimal treatment for many patients with advanced liver disease, including decompensated cirrhosis, hepatocellular carcinoma and acute liver failure. Organ shortage is the main determinant of death on the waiting list and hence living donor liver transplant (LDLT) assumes importance. Biliary complications are the most common post operative morbidity after LDLT and occur due to anatomical and technical reasons. They </w:t>
      </w:r>
      <w:r w:rsidR="007A2D1E" w:rsidRPr="00074190">
        <w:rPr>
          <w:rFonts w:ascii="Book Antiqua" w:eastAsia="Book Antiqua" w:hAnsi="Book Antiqua" w:cs="Book Antiqua"/>
          <w:sz w:val="24"/>
          <w:szCs w:val="24"/>
        </w:rPr>
        <w:t xml:space="preserve">include biliary leaks, strictures and cast formation </w:t>
      </w:r>
      <w:r w:rsidR="00C31D17" w:rsidRPr="00074190">
        <w:rPr>
          <w:rFonts w:ascii="Book Antiqua" w:eastAsia="Book Antiqua" w:hAnsi="Book Antiqua" w:cs="Book Antiqua"/>
          <w:sz w:val="24"/>
          <w:szCs w:val="24"/>
        </w:rPr>
        <w:t>and occur in the recipient as well as the donor</w:t>
      </w:r>
      <w:r w:rsidR="006953C5" w:rsidRPr="00074190">
        <w:rPr>
          <w:rFonts w:ascii="Book Antiqua" w:eastAsia="Book Antiqua" w:hAnsi="Book Antiqua" w:cs="Book Antiqua"/>
          <w:sz w:val="24"/>
          <w:szCs w:val="24"/>
        </w:rPr>
        <w:t>.</w:t>
      </w:r>
      <w:r w:rsidR="007A2D1E" w:rsidRPr="00074190">
        <w:rPr>
          <w:rFonts w:ascii="Book Antiqua" w:eastAsia="Book Antiqua" w:hAnsi="Book Antiqua" w:cs="Book Antiqua"/>
          <w:sz w:val="24"/>
          <w:szCs w:val="24"/>
        </w:rPr>
        <w:t xml:space="preserve"> </w:t>
      </w:r>
      <w:r w:rsidR="00926D05" w:rsidRPr="00074190">
        <w:rPr>
          <w:rFonts w:ascii="Book Antiqua" w:eastAsia="Book Antiqua" w:hAnsi="Book Antiqua" w:cs="Book Antiqua"/>
          <w:sz w:val="24"/>
          <w:szCs w:val="24"/>
        </w:rPr>
        <w:t>T</w:t>
      </w:r>
      <w:r w:rsidRPr="00074190">
        <w:rPr>
          <w:rFonts w:ascii="Book Antiqua" w:eastAsia="Book Antiqua" w:hAnsi="Book Antiqua" w:cs="Book Antiqua"/>
          <w:sz w:val="24"/>
          <w:szCs w:val="24"/>
        </w:rPr>
        <w:t>he types of biliary complications after LDLT along with their</w:t>
      </w:r>
      <w:r w:rsidR="007A2D1E" w:rsidRPr="00074190">
        <w:rPr>
          <w:rFonts w:ascii="Book Antiqua" w:eastAsia="Book Antiqua" w:hAnsi="Book Antiqua" w:cs="Book Antiqua"/>
          <w:sz w:val="24"/>
          <w:szCs w:val="24"/>
        </w:rPr>
        <w:t xml:space="preserve"> etiology</w:t>
      </w:r>
      <w:r w:rsidR="004B3D5A" w:rsidRPr="00074190">
        <w:rPr>
          <w:rFonts w:ascii="Book Antiqua" w:eastAsia="Book Antiqua" w:hAnsi="Book Antiqua" w:cs="Book Antiqua"/>
          <w:sz w:val="24"/>
          <w:szCs w:val="24"/>
        </w:rPr>
        <w:t>, presenting features</w:t>
      </w:r>
      <w:r w:rsidRPr="00074190">
        <w:rPr>
          <w:rFonts w:ascii="Book Antiqua" w:eastAsia="Book Antiqua" w:hAnsi="Book Antiqua" w:cs="Book Antiqua"/>
          <w:sz w:val="24"/>
          <w:szCs w:val="24"/>
        </w:rPr>
        <w:t xml:space="preserve">, diagnosis and </w:t>
      </w:r>
      <w:r w:rsidR="00C31D17" w:rsidRPr="00074190">
        <w:rPr>
          <w:rFonts w:ascii="Book Antiqua" w:eastAsia="Book Antiqua" w:hAnsi="Book Antiqua" w:cs="Book Antiqua"/>
          <w:sz w:val="24"/>
          <w:szCs w:val="24"/>
        </w:rPr>
        <w:t xml:space="preserve">endoscopic and surgical </w:t>
      </w:r>
      <w:r w:rsidRPr="00074190">
        <w:rPr>
          <w:rFonts w:ascii="Book Antiqua" w:eastAsia="Book Antiqua" w:hAnsi="Book Antiqua" w:cs="Book Antiqua"/>
          <w:sz w:val="24"/>
          <w:szCs w:val="24"/>
        </w:rPr>
        <w:t>management</w:t>
      </w:r>
      <w:r w:rsidR="00926D05" w:rsidRPr="00074190">
        <w:rPr>
          <w:rFonts w:ascii="Book Antiqua" w:eastAsia="Book Antiqua" w:hAnsi="Book Antiqua" w:cs="Book Antiqua"/>
          <w:sz w:val="24"/>
          <w:szCs w:val="24"/>
        </w:rPr>
        <w:t xml:space="preserve"> are discussed.</w:t>
      </w:r>
    </w:p>
    <w:p w:rsidR="005E3013" w:rsidRPr="00074190" w:rsidRDefault="005E3013" w:rsidP="00074190">
      <w:pPr>
        <w:spacing w:after="0" w:line="360" w:lineRule="auto"/>
        <w:jc w:val="both"/>
        <w:rPr>
          <w:rFonts w:ascii="Book Antiqua" w:eastAsia="Book Antiqua" w:hAnsi="Book Antiqua" w:cs="Book Antiqua"/>
          <w:sz w:val="24"/>
          <w:szCs w:val="24"/>
        </w:rPr>
      </w:pPr>
    </w:p>
    <w:p w:rsidR="005E3013" w:rsidRDefault="006A074B" w:rsidP="00074190">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b/>
          <w:sz w:val="24"/>
          <w:szCs w:val="24"/>
        </w:rPr>
        <w:t xml:space="preserve">Key words: </w:t>
      </w:r>
      <w:r w:rsidR="00116B23" w:rsidRPr="00074190">
        <w:rPr>
          <w:rFonts w:ascii="Book Antiqua" w:eastAsia="Book Antiqua" w:hAnsi="Book Antiqua" w:cs="Book Antiqua"/>
          <w:sz w:val="24"/>
          <w:szCs w:val="24"/>
        </w:rPr>
        <w:t xml:space="preserve">Liver </w:t>
      </w:r>
      <w:r w:rsidRPr="00074190">
        <w:rPr>
          <w:rFonts w:ascii="Book Antiqua" w:eastAsia="Book Antiqua" w:hAnsi="Book Antiqua" w:cs="Book Antiqua"/>
          <w:sz w:val="24"/>
          <w:szCs w:val="24"/>
        </w:rPr>
        <w:t>transplantation</w:t>
      </w:r>
      <w:r w:rsidR="00116B23"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w:t>
      </w:r>
      <w:r w:rsidR="00116B23" w:rsidRPr="00074190">
        <w:rPr>
          <w:rFonts w:ascii="Book Antiqua" w:eastAsia="Book Antiqua" w:hAnsi="Book Antiqua" w:cs="Book Antiqua"/>
          <w:sz w:val="24"/>
          <w:szCs w:val="24"/>
        </w:rPr>
        <w:t xml:space="preserve">Biliary </w:t>
      </w:r>
      <w:r w:rsidRPr="00074190">
        <w:rPr>
          <w:rFonts w:ascii="Book Antiqua" w:eastAsia="Book Antiqua" w:hAnsi="Book Antiqua" w:cs="Book Antiqua"/>
          <w:sz w:val="24"/>
          <w:szCs w:val="24"/>
        </w:rPr>
        <w:t>stricture</w:t>
      </w:r>
      <w:r w:rsidR="00116B23"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w:t>
      </w:r>
      <w:r w:rsidR="00116B23" w:rsidRPr="00074190">
        <w:rPr>
          <w:rFonts w:ascii="Book Antiqua" w:eastAsia="Book Antiqua" w:hAnsi="Book Antiqua" w:cs="Book Antiqua"/>
          <w:sz w:val="24"/>
          <w:szCs w:val="24"/>
        </w:rPr>
        <w:t xml:space="preserve">Bile </w:t>
      </w:r>
      <w:r w:rsidRPr="00074190">
        <w:rPr>
          <w:rFonts w:ascii="Book Antiqua" w:eastAsia="Book Antiqua" w:hAnsi="Book Antiqua" w:cs="Book Antiqua"/>
          <w:sz w:val="24"/>
          <w:szCs w:val="24"/>
        </w:rPr>
        <w:t>leak</w:t>
      </w:r>
    </w:p>
    <w:p w:rsidR="003F3BC0" w:rsidRPr="003F3BC0" w:rsidRDefault="003F3BC0" w:rsidP="00074190">
      <w:pPr>
        <w:spacing w:after="0" w:line="360" w:lineRule="auto"/>
        <w:jc w:val="both"/>
        <w:rPr>
          <w:rFonts w:ascii="Book Antiqua" w:hAnsi="Book Antiqua" w:cs="Book Antiqua"/>
          <w:sz w:val="24"/>
          <w:szCs w:val="24"/>
          <w:lang w:eastAsia="zh-CN"/>
        </w:rPr>
      </w:pPr>
    </w:p>
    <w:p w:rsidR="003F3BC0" w:rsidRPr="00F36768" w:rsidRDefault="003F3BC0" w:rsidP="003F3BC0">
      <w:pPr>
        <w:spacing w:line="360" w:lineRule="auto"/>
        <w:jc w:val="both"/>
        <w:rPr>
          <w:rFonts w:ascii="Book Antiqua" w:hAnsi="Book Antiqua"/>
          <w:i/>
          <w:iCs/>
          <w:sz w:val="24"/>
          <w:szCs w:val="24"/>
        </w:rPr>
      </w:pPr>
      <w:r w:rsidRPr="00CA3195">
        <w:rPr>
          <w:rFonts w:ascii="Book Antiqua" w:hAnsi="Book Antiqua" w:cs="Tahoma"/>
          <w:b/>
          <w:color w:val="000000"/>
          <w:sz w:val="24"/>
          <w:szCs w:val="24"/>
          <w:lang w:val="en-GB" w:eastAsia="ja-JP"/>
        </w:rPr>
        <w:t xml:space="preserve">© </w:t>
      </w:r>
      <w:r w:rsidRPr="00CA3195">
        <w:rPr>
          <w:rFonts w:ascii="Book Antiqua" w:eastAsia="AdvTimes" w:hAnsi="Book Antiqua" w:cs="AdvTimes"/>
          <w:b/>
          <w:color w:val="000000"/>
          <w:sz w:val="24"/>
          <w:szCs w:val="24"/>
          <w:lang w:val="fr-FR" w:eastAsia="ja-JP"/>
        </w:rPr>
        <w:t>The Author(s) 2015.</w:t>
      </w:r>
      <w:r>
        <w:rPr>
          <w:rFonts w:ascii="Book Antiqua" w:eastAsia="AdvTimes" w:hAnsi="Book Antiqua" w:cs="AdvTimes"/>
          <w:color w:val="000000"/>
          <w:sz w:val="24"/>
          <w:szCs w:val="24"/>
          <w:lang w:val="fr-FR" w:eastAsia="ja-JP"/>
        </w:rPr>
        <w:t xml:space="preserve"> Published by </w:t>
      </w:r>
      <w:r>
        <w:rPr>
          <w:rFonts w:ascii="Book Antiqua" w:hAnsi="Book Antiqua" w:cs="Arial Unicode MS"/>
          <w:color w:val="000000"/>
          <w:sz w:val="24"/>
          <w:szCs w:val="24"/>
          <w:lang w:val="en-GB" w:eastAsia="ja-JP"/>
        </w:rPr>
        <w:t>Baishideng Publishing Group Inc.</w:t>
      </w:r>
      <w:r>
        <w:rPr>
          <w:rFonts w:ascii="Book Antiqua" w:hAnsi="Book Antiqua" w:cs="Arial Unicode MS"/>
          <w:sz w:val="24"/>
          <w:szCs w:val="24"/>
          <w:lang w:val="en-GB" w:eastAsia="ja-JP"/>
        </w:rPr>
        <w:t xml:space="preserve"> </w:t>
      </w:r>
      <w:r>
        <w:rPr>
          <w:rFonts w:ascii="Book Antiqua" w:hAnsi="Book Antiqua" w:cs="Arial Unicode MS"/>
          <w:sz w:val="24"/>
          <w:szCs w:val="24"/>
          <w:lang w:val="fr-FR" w:eastAsia="ja-JP"/>
        </w:rPr>
        <w:t>All rights reserved</w:t>
      </w:r>
      <w:r>
        <w:rPr>
          <w:rFonts w:ascii="Book Antiqua" w:hAnsi="Book Antiqua" w:cs="Arial Unicode MS" w:hint="eastAsia"/>
          <w:sz w:val="24"/>
          <w:szCs w:val="24"/>
          <w:lang w:val="fr-FR"/>
        </w:rPr>
        <w:t>.</w:t>
      </w:r>
    </w:p>
    <w:p w:rsidR="005E3013" w:rsidRPr="00074190" w:rsidRDefault="005E3013" w:rsidP="00074190">
      <w:pPr>
        <w:spacing w:after="0" w:line="360" w:lineRule="auto"/>
        <w:jc w:val="both"/>
        <w:rPr>
          <w:rFonts w:ascii="Book Antiqua" w:eastAsia="Book Antiqua" w:hAnsi="Book Antiqua" w:cs="Book Antiqua"/>
          <w:sz w:val="24"/>
          <w:szCs w:val="24"/>
        </w:rPr>
      </w:pPr>
    </w:p>
    <w:p w:rsidR="00B67770" w:rsidRPr="00074190" w:rsidRDefault="006A074B" w:rsidP="00074190">
      <w:pPr>
        <w:spacing w:after="0" w:line="360" w:lineRule="auto"/>
        <w:jc w:val="both"/>
        <w:rPr>
          <w:rFonts w:ascii="Book Antiqua" w:eastAsia="Book Antiqua" w:hAnsi="Book Antiqua" w:cs="Book Antiqua"/>
          <w:b/>
          <w:sz w:val="24"/>
          <w:szCs w:val="24"/>
        </w:rPr>
      </w:pPr>
      <w:r w:rsidRPr="00074190">
        <w:rPr>
          <w:rFonts w:ascii="Book Antiqua" w:eastAsia="Book Antiqua" w:hAnsi="Book Antiqua" w:cs="Book Antiqua"/>
          <w:b/>
          <w:sz w:val="24"/>
          <w:szCs w:val="24"/>
        </w:rPr>
        <w:t xml:space="preserve">Core tip: </w:t>
      </w:r>
      <w:r w:rsidR="00B67770" w:rsidRPr="00074190">
        <w:rPr>
          <w:rFonts w:ascii="Book Antiqua" w:eastAsia="Book Antiqua" w:hAnsi="Book Antiqua" w:cs="Book Antiqua"/>
          <w:sz w:val="24"/>
          <w:szCs w:val="24"/>
        </w:rPr>
        <w:t xml:space="preserve">Living donor liver transplantation </w:t>
      </w:r>
      <w:r w:rsidR="00D66067" w:rsidRPr="00074190">
        <w:rPr>
          <w:rFonts w:ascii="Book Antiqua" w:eastAsia="Book Antiqua" w:hAnsi="Book Antiqua" w:cs="Book Antiqua"/>
          <w:sz w:val="24"/>
          <w:szCs w:val="24"/>
        </w:rPr>
        <w:t>(LDLT</w:t>
      </w:r>
      <w:r w:rsidR="00B67770" w:rsidRPr="00074190">
        <w:rPr>
          <w:rFonts w:ascii="Book Antiqua" w:eastAsia="Book Antiqua" w:hAnsi="Book Antiqua" w:cs="Book Antiqua"/>
          <w:sz w:val="24"/>
          <w:szCs w:val="24"/>
        </w:rPr>
        <w:t>) is associated with increased risk of post transplant biliary complications</w:t>
      </w:r>
      <w:r w:rsidR="00572983" w:rsidRPr="00074190">
        <w:rPr>
          <w:rFonts w:ascii="Book Antiqua" w:eastAsia="Book Antiqua" w:hAnsi="Book Antiqua" w:cs="Book Antiqua"/>
          <w:sz w:val="24"/>
          <w:szCs w:val="24"/>
        </w:rPr>
        <w:t xml:space="preserve"> in recipients and donors</w:t>
      </w:r>
      <w:r w:rsidR="00B67770" w:rsidRPr="00074190">
        <w:rPr>
          <w:rFonts w:ascii="Book Antiqua" w:eastAsia="Book Antiqua" w:hAnsi="Book Antiqua" w:cs="Book Antiqua"/>
          <w:sz w:val="24"/>
          <w:szCs w:val="24"/>
        </w:rPr>
        <w:t xml:space="preserve">, namely bile leaks and biliary strictures. </w:t>
      </w:r>
      <w:r w:rsidR="00572983" w:rsidRPr="00074190">
        <w:rPr>
          <w:rFonts w:ascii="Book Antiqua" w:eastAsia="Book Antiqua" w:hAnsi="Book Antiqua" w:cs="Book Antiqua"/>
          <w:sz w:val="24"/>
          <w:szCs w:val="24"/>
        </w:rPr>
        <w:t>Large b</w:t>
      </w:r>
      <w:r w:rsidR="00B67770" w:rsidRPr="00074190">
        <w:rPr>
          <w:rFonts w:ascii="Book Antiqua" w:eastAsia="Book Antiqua" w:hAnsi="Book Antiqua" w:cs="Book Antiqua"/>
          <w:sz w:val="24"/>
          <w:szCs w:val="24"/>
        </w:rPr>
        <w:t xml:space="preserve">ile leaks </w:t>
      </w:r>
      <w:r w:rsidR="00572983" w:rsidRPr="00074190">
        <w:rPr>
          <w:rFonts w:ascii="Book Antiqua" w:eastAsia="Book Antiqua" w:hAnsi="Book Antiqua" w:cs="Book Antiqua"/>
          <w:sz w:val="24"/>
          <w:szCs w:val="24"/>
        </w:rPr>
        <w:t>present early after LDLT and are treated with endoscopic stenting. Ischemic injury to cholangiocytes is the main cause of stricture formation. These may present early or late and are</w:t>
      </w:r>
      <w:r w:rsidR="00C47885" w:rsidRPr="00074190">
        <w:rPr>
          <w:rFonts w:ascii="Book Antiqua" w:eastAsia="Book Antiqua" w:hAnsi="Book Antiqua" w:cs="Book Antiqua"/>
          <w:sz w:val="24"/>
          <w:szCs w:val="24"/>
        </w:rPr>
        <w:t xml:space="preserve"> managed with endoscopic dilation </w:t>
      </w:r>
      <w:r w:rsidR="00572983" w:rsidRPr="00074190">
        <w:rPr>
          <w:rFonts w:ascii="Book Antiqua" w:eastAsia="Book Antiqua" w:hAnsi="Book Antiqua" w:cs="Book Antiqua"/>
          <w:sz w:val="24"/>
          <w:szCs w:val="24"/>
        </w:rPr>
        <w:t>followed by stent placement. Occasionally, surgical repair may be required. Cast formation may complicate biliary strictures, requiring endocopic extraction and frequent replacement of stents with cleaning of biliary sludge and debris.</w:t>
      </w:r>
    </w:p>
    <w:p w:rsidR="003F3BC0" w:rsidRPr="00074190" w:rsidRDefault="003F3BC0" w:rsidP="003F3BC0">
      <w:pPr>
        <w:spacing w:after="0" w:line="360" w:lineRule="auto"/>
        <w:jc w:val="both"/>
        <w:rPr>
          <w:rFonts w:ascii="Book Antiqua" w:hAnsi="Book Antiqua" w:cs="Book Antiqua"/>
          <w:b/>
          <w:sz w:val="24"/>
          <w:szCs w:val="24"/>
          <w:lang w:eastAsia="zh-CN"/>
        </w:rPr>
      </w:pPr>
    </w:p>
    <w:p w:rsidR="003F3BC0" w:rsidRPr="0059562B" w:rsidRDefault="003F3BC0" w:rsidP="003F3BC0">
      <w:pPr>
        <w:spacing w:after="0" w:line="360" w:lineRule="auto"/>
        <w:jc w:val="both"/>
        <w:rPr>
          <w:rFonts w:ascii="Book Antiqua" w:hAnsi="Book Antiqua" w:cs="Book Antiqua"/>
          <w:b/>
          <w:sz w:val="24"/>
          <w:szCs w:val="24"/>
          <w:lang w:eastAsia="zh-CN"/>
        </w:rPr>
      </w:pPr>
      <w:r w:rsidRPr="00074190">
        <w:rPr>
          <w:rFonts w:ascii="Book Antiqua" w:eastAsia="Book Antiqua" w:hAnsi="Book Antiqua" w:cs="Book Antiqua"/>
          <w:sz w:val="24"/>
          <w:szCs w:val="24"/>
        </w:rPr>
        <w:t>Simoes</w:t>
      </w:r>
      <w:r w:rsidRPr="00074190">
        <w:rPr>
          <w:rFonts w:ascii="Book Antiqua" w:hAnsi="Book Antiqua" w:cs="Book Antiqua"/>
          <w:sz w:val="24"/>
          <w:szCs w:val="24"/>
          <w:lang w:eastAsia="zh-CN"/>
        </w:rPr>
        <w:t xml:space="preserve"> P</w:t>
      </w:r>
      <w:r>
        <w:rPr>
          <w:rFonts w:ascii="Book Antiqua" w:hAnsi="Book Antiqua" w:cs="Book Antiqua" w:hint="eastAsia"/>
          <w:sz w:val="24"/>
          <w:szCs w:val="24"/>
          <w:lang w:eastAsia="zh-CN"/>
        </w:rPr>
        <w:t xml:space="preserve">, </w:t>
      </w:r>
      <w:r w:rsidRPr="00074190">
        <w:rPr>
          <w:rFonts w:ascii="Book Antiqua" w:eastAsia="Book Antiqua" w:hAnsi="Book Antiqua" w:cs="Book Antiqua"/>
          <w:sz w:val="24"/>
          <w:szCs w:val="24"/>
        </w:rPr>
        <w:t>Kesar</w:t>
      </w:r>
      <w:r>
        <w:rPr>
          <w:rFonts w:ascii="Book Antiqua" w:hAnsi="Book Antiqua" w:cs="Book Antiqua" w:hint="eastAsia"/>
          <w:sz w:val="24"/>
          <w:szCs w:val="24"/>
          <w:lang w:eastAsia="zh-CN"/>
        </w:rPr>
        <w:t xml:space="preserve"> </w:t>
      </w:r>
      <w:r>
        <w:rPr>
          <w:rFonts w:ascii="Book Antiqua" w:hAnsi="Book Antiqua" w:cs="Book Antiqua"/>
          <w:sz w:val="24"/>
          <w:szCs w:val="24"/>
          <w:lang w:eastAsia="zh-CN"/>
        </w:rPr>
        <w:t>V</w:t>
      </w:r>
      <w:r>
        <w:rPr>
          <w:rFonts w:ascii="Book Antiqua" w:hAnsi="Book Antiqua" w:cs="Book Antiqua" w:hint="eastAsia"/>
          <w:sz w:val="24"/>
          <w:szCs w:val="24"/>
          <w:lang w:eastAsia="zh-CN"/>
        </w:rPr>
        <w:t xml:space="preserve">, </w:t>
      </w:r>
      <w:r w:rsidRPr="00074190">
        <w:rPr>
          <w:rFonts w:ascii="Book Antiqua" w:eastAsia="Book Antiqua" w:hAnsi="Book Antiqua" w:cs="Book Antiqua"/>
          <w:sz w:val="24"/>
          <w:szCs w:val="24"/>
        </w:rPr>
        <w:t>Ahmad</w:t>
      </w:r>
      <w:r>
        <w:rPr>
          <w:rFonts w:ascii="Book Antiqua" w:hAnsi="Book Antiqua" w:cs="Book Antiqua"/>
          <w:sz w:val="24"/>
          <w:szCs w:val="24"/>
          <w:lang w:eastAsia="zh-CN"/>
        </w:rPr>
        <w:t xml:space="preserve"> J.</w:t>
      </w:r>
      <w:r>
        <w:rPr>
          <w:rFonts w:ascii="Book Antiqua" w:hAnsi="Book Antiqua" w:cs="Book Antiqua" w:hint="eastAsia"/>
          <w:sz w:val="24"/>
          <w:szCs w:val="24"/>
          <w:lang w:eastAsia="zh-CN"/>
        </w:rPr>
        <w:t xml:space="preserve"> </w:t>
      </w:r>
      <w:r w:rsidR="0059562B" w:rsidRPr="0059562B">
        <w:rPr>
          <w:rFonts w:ascii="Book Antiqua" w:eastAsia="Book Antiqua" w:hAnsi="Book Antiqua" w:cs="Book Antiqua"/>
          <w:sz w:val="24"/>
          <w:szCs w:val="24"/>
        </w:rPr>
        <w:t>Spectrum of biliary complications following live donor liver transplantation</w:t>
      </w:r>
      <w:r w:rsidRPr="0059562B">
        <w:rPr>
          <w:rFonts w:ascii="Book Antiqua" w:hAnsi="Book Antiqua" w:cs="Book Antiqua" w:hint="eastAsia"/>
          <w:sz w:val="24"/>
          <w:szCs w:val="24"/>
          <w:lang w:eastAsia="zh-CN"/>
        </w:rPr>
        <w:t xml:space="preserve">. </w:t>
      </w:r>
      <w:r w:rsidRPr="00C341A0">
        <w:rPr>
          <w:rFonts w:ascii="Book Antiqua" w:hAnsi="Book Antiqua"/>
          <w:i/>
          <w:iCs/>
          <w:sz w:val="24"/>
          <w:szCs w:val="24"/>
        </w:rPr>
        <w:t>World J Hepatol</w:t>
      </w:r>
      <w:r>
        <w:rPr>
          <w:rFonts w:ascii="Book Antiqua" w:hAnsi="Book Antiqua" w:hint="eastAsia"/>
          <w:iCs/>
          <w:sz w:val="24"/>
          <w:szCs w:val="24"/>
          <w:lang w:eastAsia="zh-CN"/>
        </w:rPr>
        <w:t xml:space="preserve"> 2015; In press</w:t>
      </w:r>
    </w:p>
    <w:p w:rsidR="003F3BC0" w:rsidRDefault="003F3BC0">
      <w:pPr>
        <w:rPr>
          <w:rFonts w:ascii="Book Antiqua" w:hAnsi="Book Antiqua" w:cs="Book Antiqua"/>
          <w:b/>
          <w:sz w:val="24"/>
          <w:szCs w:val="24"/>
          <w:lang w:eastAsia="zh-CN"/>
        </w:rPr>
      </w:pPr>
      <w:r>
        <w:rPr>
          <w:rFonts w:ascii="Book Antiqua" w:hAnsi="Book Antiqua" w:cs="Book Antiqua"/>
          <w:b/>
          <w:sz w:val="24"/>
          <w:szCs w:val="24"/>
          <w:lang w:eastAsia="zh-CN"/>
        </w:rPr>
        <w:br w:type="page"/>
      </w:r>
    </w:p>
    <w:p w:rsidR="005E3013" w:rsidRPr="00074190" w:rsidRDefault="00E81731" w:rsidP="00074190">
      <w:pPr>
        <w:spacing w:after="0" w:line="360" w:lineRule="auto"/>
        <w:jc w:val="both"/>
        <w:rPr>
          <w:rFonts w:ascii="Book Antiqua" w:eastAsia="Book Antiqua" w:hAnsi="Book Antiqua" w:cs="Book Antiqua"/>
          <w:b/>
          <w:sz w:val="24"/>
          <w:szCs w:val="24"/>
        </w:rPr>
      </w:pPr>
      <w:r w:rsidRPr="00074190">
        <w:rPr>
          <w:rFonts w:ascii="Book Antiqua" w:eastAsia="Book Antiqua" w:hAnsi="Book Antiqua" w:cs="Book Antiqua"/>
          <w:b/>
          <w:sz w:val="24"/>
          <w:szCs w:val="24"/>
        </w:rPr>
        <w:t xml:space="preserve">INTRODUCTION </w:t>
      </w:r>
    </w:p>
    <w:p w:rsidR="00E81731" w:rsidRPr="00074190" w:rsidRDefault="006A074B" w:rsidP="00074190">
      <w:pPr>
        <w:spacing w:after="0" w:line="360" w:lineRule="auto"/>
        <w:jc w:val="both"/>
        <w:rPr>
          <w:rFonts w:ascii="Book Antiqua" w:hAnsi="Book Antiqua" w:cs="Book Antiqua"/>
          <w:color w:val="241F20"/>
          <w:sz w:val="24"/>
          <w:szCs w:val="24"/>
          <w:shd w:val="clear" w:color="auto" w:fill="00FF00"/>
          <w:lang w:eastAsia="zh-CN"/>
        </w:rPr>
      </w:pPr>
      <w:r w:rsidRPr="00074190">
        <w:rPr>
          <w:rFonts w:ascii="Book Antiqua" w:eastAsia="Book Antiqua" w:hAnsi="Book Antiqua" w:cs="Book Antiqua"/>
          <w:sz w:val="24"/>
          <w:szCs w:val="24"/>
        </w:rPr>
        <w:t>Liver transplantation (LT) is the optimal treatment for many patients with advanced liver disease, including decompensated cirrhosis, hepatocellular carcinoma and acute liver failure. The vast majority of LT involves the use of organs from deceased donors but despite strategies to increase the supply of deceased donors, organ shortage continues to be the main determinant of death on the waiting list</w:t>
      </w:r>
      <w:r w:rsidR="00ED2A5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D63F24" w:rsidRPr="00074190">
        <w:rPr>
          <w:rFonts w:ascii="Book Antiqua" w:eastAsia="Book Antiqua" w:hAnsi="Book Antiqua" w:cs="Book Antiqua"/>
          <w:sz w:val="24"/>
          <w:szCs w:val="24"/>
          <w:vertAlign w:val="superscript"/>
        </w:rPr>
        <w:instrText>ADDIN CSL_CITATION { "citationItems" : [ { "id" : "ITEM-1", "itemData" : { "DOI" : "10.3748/wjg.v20.i18.5363", "ISSN" : "2219-2840", "PMID" : "24833866", "abstract" : "Since 1963, when the first human liver transplantation (LT) was performed by Thomas Starzl, the world has witnessed 50 years of development in surgical techniques, immunosuppression, organ allocation, donor selection, and the indications and contraindications for LT. This has led to the mainstream, well-established procedure that has saved innumerable lives worldwide. Today, there are hundreds of liver transplant centres in over 80 countries. This review aims to describe the main aspects of LT regarding the progressive changes that have occurred over the years. We herein review historical aspects since the first experimental studies and the first attempts at human transplantation. We also provide an overview of immunosuppressive agents and their potential side effects, the evolution of the indications and contraindications of LT, the evolution of survival according to different time periods, and the evolution of methods of organ allocation.", "author" : [ { "dropping-particle" : "", "family" : "Song", "given" : "Alice Tung Wan", "non-dropping-particle" : "", "parse-names" : false, "suffix" : "" }, { "dropping-particle" : "", "family" : "Avelino-Silva", "given" : "Vivian Iida", "non-dropping-particle" : "", "parse-names" : false, "suffix" : "" }, { "dropping-particle" : "", "family" : "Pecora", "given" : "Rafael Antonio Arruda", "non-dropping-particle" : "", "parse-names" : false, "suffix" : "" }, { "dropping-particle" : "", "family" : "Pugliese", "given" : "Vincenzo", "non-dropping-particle" : "", "parse-names" : false, "suffix" : "" }, { "dropping-particle" : "", "family" : "D'Albuquerque", "given" : "Luiz Augusto Carneiro", "non-dropping-particle" : "", "parse-names" : false, "suffix" : "" }, { "dropping-particle" : "", "family" : "Abdala", "given" : "Edson", "non-dropping-particle" : "", "parse-names" : false, "suffix" : "" } ], "container-title" : "World journal of gastroenterology : WJG", "id" : "ITEM-1", "issue" : "18", "issued" : { "date-parts" : [ [ "2014", "5", "14" ] ] }, "page" : "5363-5374", "title" : "Liver transplantation: Fifty years of experience.", "type" : "article-journal", "volume" : "20" }, "uris" : [ "http://www.mendeley.com/documents/?uuid=db129a42-4472-4679-9ac3-0acdc696ba83" ] } ], "mendeley" : { "formattedCitation" : "&lt;sup&gt;1&lt;/sup&gt;", "plainTextFormattedCitation" : "1", "previouslyFormattedCitation" : "&lt;sup&gt;1&lt;/sup&gt;"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D63F24" w:rsidRPr="00074190">
        <w:rPr>
          <w:rFonts w:ascii="Book Antiqua" w:eastAsia="Book Antiqua" w:hAnsi="Book Antiqua" w:cs="Book Antiqua"/>
          <w:noProof/>
          <w:sz w:val="24"/>
          <w:szCs w:val="24"/>
          <w:vertAlign w:val="superscript"/>
        </w:rPr>
        <w:t>1</w:t>
      </w:r>
      <w:r w:rsidR="00535B2B" w:rsidRPr="00074190">
        <w:rPr>
          <w:rFonts w:ascii="Book Antiqua" w:eastAsia="Book Antiqua" w:hAnsi="Book Antiqua" w:cs="Book Antiqua"/>
          <w:sz w:val="24"/>
          <w:szCs w:val="24"/>
          <w:vertAlign w:val="superscript"/>
        </w:rPr>
        <w:fldChar w:fldCharType="end"/>
      </w:r>
      <w:r w:rsidR="00ED2A5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Due to the lack of organs and also cultural and societal beliefs against the use of deceased donors, living donor liver transplant (LDLT) with split liver grafts was developed in the late 1980s</w:t>
      </w:r>
      <w:r w:rsidR="00E81731" w:rsidRPr="00074190">
        <w:rPr>
          <w:rFonts w:ascii="Book Antiqua" w:eastAsia="Book Antiqua" w:hAnsi="Book Antiqua" w:cs="Book Antiqua"/>
          <w:sz w:val="24"/>
          <w:szCs w:val="24"/>
          <w:vertAlign w:val="superscript"/>
        </w:rPr>
        <w:t>[</w:t>
      </w:r>
      <w:r w:rsidR="00E81731" w:rsidRPr="00074190">
        <w:rPr>
          <w:rFonts w:ascii="Book Antiqua" w:eastAsia="Book Antiqua" w:hAnsi="Book Antiqua" w:cs="Book Antiqua"/>
          <w:sz w:val="24"/>
          <w:szCs w:val="24"/>
          <w:vertAlign w:val="superscript"/>
        </w:rPr>
        <w:fldChar w:fldCharType="begin" w:fldLock="1"/>
      </w:r>
      <w:r w:rsidR="00E81731" w:rsidRPr="00074190">
        <w:rPr>
          <w:rFonts w:ascii="Book Antiqua" w:eastAsia="Book Antiqua" w:hAnsi="Book Antiqua" w:cs="Book Antiqua"/>
          <w:sz w:val="24"/>
          <w:szCs w:val="24"/>
          <w:vertAlign w:val="superscript"/>
        </w:rPr>
        <w:instrText>ADDIN CSL_CITATION { "citationItems" : [ { "id" : "ITEM-1", "itemData" : { "ISSN" : "0140-6736", "PMID" : "2570198", "author" : [ { "dropping-particle" : "", "family" : "Raia", "given" : "S", "non-dropping-particle" : "", "parse-names" : false, "suffix" : "" }, { "dropping-particle" : "", "family" : "Nery", "given" : "J R", "non-dropping-particle" : "", "parse-names" : false, "suffix" : "" }, { "dropping-particle" : "", "family" : "Mies", "given" : "S", "non-dropping-particle" : "", "parse-names" : false, "suffix" : "" } ], "container-title" : "Lancet", "id" : "ITEM-1", "issue" : "8661", "issued" : { "date-parts" : [ [ "1989", "8", "26" ] ] }, "page" : "497", "title" : "Liver transplantation from live donors.", "type" : "article-journal", "volume" : "2" }, "uris" : [ "http://www.mendeley.com/documents/?uuid=d718dc83-40f0-4b5b-89c9-17d19c95a76f" ] } ], "mendeley" : { "formattedCitation" : "&lt;sup&gt;2&lt;/sup&gt;", "plainTextFormattedCitation" : "2", "previouslyFormattedCitation" : "&lt;sup&gt;2&lt;/sup&gt;" }, "properties" : { "noteIndex" : 0 }, "schema" : "https://github.com/citation-style-language/schema/raw/master/csl-citation.json" }</w:instrText>
      </w:r>
      <w:r w:rsidR="00E81731" w:rsidRPr="00074190">
        <w:rPr>
          <w:rFonts w:ascii="Book Antiqua" w:eastAsia="Book Antiqua" w:hAnsi="Book Antiqua" w:cs="Book Antiqua"/>
          <w:sz w:val="24"/>
          <w:szCs w:val="24"/>
          <w:vertAlign w:val="superscript"/>
        </w:rPr>
        <w:fldChar w:fldCharType="separate"/>
      </w:r>
      <w:r w:rsidR="00E81731" w:rsidRPr="00074190">
        <w:rPr>
          <w:rFonts w:ascii="Book Antiqua" w:eastAsia="Book Antiqua" w:hAnsi="Book Antiqua" w:cs="Book Antiqua"/>
          <w:noProof/>
          <w:sz w:val="24"/>
          <w:szCs w:val="24"/>
          <w:vertAlign w:val="superscript"/>
        </w:rPr>
        <w:t>2</w:t>
      </w:r>
      <w:r w:rsidR="00E81731" w:rsidRPr="00074190">
        <w:rPr>
          <w:rFonts w:ascii="Book Antiqua" w:eastAsia="Book Antiqua" w:hAnsi="Book Antiqua" w:cs="Book Antiqua"/>
          <w:sz w:val="24"/>
          <w:szCs w:val="24"/>
          <w:vertAlign w:val="superscript"/>
        </w:rPr>
        <w:fldChar w:fldCharType="end"/>
      </w:r>
      <w:r w:rsidR="00E81731" w:rsidRPr="00074190">
        <w:rPr>
          <w:rFonts w:ascii="Book Antiqua" w:eastAsia="Book Antiqua" w:hAnsi="Book Antiqua" w:cs="Book Antiqua"/>
          <w:sz w:val="24"/>
          <w:szCs w:val="24"/>
          <w:vertAlign w:val="superscript"/>
        </w:rPr>
        <w:t>,</w:t>
      </w:r>
      <w:r w:rsidR="00E81731" w:rsidRPr="00074190">
        <w:rPr>
          <w:rFonts w:ascii="Book Antiqua" w:eastAsia="Book Antiqua" w:hAnsi="Book Antiqua" w:cs="Book Antiqua"/>
          <w:sz w:val="24"/>
          <w:szCs w:val="24"/>
          <w:vertAlign w:val="superscript"/>
        </w:rPr>
        <w:fldChar w:fldCharType="begin" w:fldLock="1"/>
      </w:r>
      <w:r w:rsidR="00E81731" w:rsidRPr="00074190">
        <w:rPr>
          <w:rFonts w:ascii="Book Antiqua" w:eastAsia="Book Antiqua" w:hAnsi="Book Antiqua" w:cs="Book Antiqua"/>
          <w:sz w:val="24"/>
          <w:szCs w:val="24"/>
          <w:vertAlign w:val="superscript"/>
        </w:rPr>
        <w:instrText>ADDIN CSL_CITATION { "citationItems" : [ { "id" : "ITEM-1", "itemData" : { "ISSN" : "0023-8236", "PMID" : "3287073", "abstract" : "A donor liver was divided in such a way that the left part (segment II and III without caval vein) could be transplanted into a child, the right part (segment I, IV, V to VIII) into an adult successfully. Common bile duct and common hepatic artery remained with the left part of the liver, portal vein with the right one. In the recipient of the left part of the liver the own caval vein was preserved and anastomosed with the left hepatic vein; the other anastomoses were carried out in the typical way. In the recipient of the right part of the liver the right hepatic artery of the graft was anastomosed with the recipient's common hepatic artery using a saphenous interponate. Two separate intrahepatic bile ducts were anastomosed with a Roux-en-Y loop of the jejunum. The other anastomoses were carried out in the typical way. Thus the possibility of using one donor liver for two recipients (splitting transplantation) has been demonstrated.", "author" : [ { "dropping-particle" : "", "family" : "Pichlmayr", "given" : "R", "non-dropping-particle" : "", "parse-names" : false, "suffix" : "" }, { "dropping-particle" : "", "family" : "Ringe", "given" : "B", "non-dropping-particle" : "", "parse-names" : false, "suffix" : "" }, { "dropping-particle" : "", "family" : "Gubernatis", "given" : "G", "non-dropping-particle" : "", "parse-names" : false, "suffix" : "" }, { "dropping-particle" : "", "family" : "Hauss", "given" : "J", "non-dropping-particle" : "", "parse-names" : false, "suffix" : "" }, { "dropping-particle" : "", "family" : "Bunzendahl", "given" : "H", "non-dropping-particle" : "", "parse-names" : false, "suffix" : "" } ], "container-title" : "Langenbecks Archiv f\u00fcr Chirurgie", "id" : "ITEM-1", "issue" : "2", "issued" : { "date-parts" : [ [ "1988", "1" ] ] }, "page" : "127-30", "title" : "[Transplantation of a donor liver to 2 recipients (splitting transplantation)--a new method in the further development of segmental liver transplantation].", "type" : "article-journal", "volume" : "373" }, "uris" : [ "http://www.mendeley.com/documents/?uuid=4c9c6178-3700-42f9-9355-a095297f0360" ] } ], "mendeley" : { "formattedCitation" : "&lt;sup&gt;3&lt;/sup&gt;", "plainTextFormattedCitation" : "3", "previouslyFormattedCitation" : "&lt;sup&gt;3&lt;/sup&gt;" }, "properties" : { "noteIndex" : 0 }, "schema" : "https://github.com/citation-style-language/schema/raw/master/csl-citation.json" }</w:instrText>
      </w:r>
      <w:r w:rsidR="00E81731" w:rsidRPr="00074190">
        <w:rPr>
          <w:rFonts w:ascii="Book Antiqua" w:eastAsia="Book Antiqua" w:hAnsi="Book Antiqua" w:cs="Book Antiqua"/>
          <w:sz w:val="24"/>
          <w:szCs w:val="24"/>
          <w:vertAlign w:val="superscript"/>
        </w:rPr>
        <w:fldChar w:fldCharType="separate"/>
      </w:r>
      <w:r w:rsidR="00E81731" w:rsidRPr="00074190">
        <w:rPr>
          <w:rFonts w:ascii="Book Antiqua" w:eastAsia="Book Antiqua" w:hAnsi="Book Antiqua" w:cs="Book Antiqua"/>
          <w:noProof/>
          <w:sz w:val="24"/>
          <w:szCs w:val="24"/>
          <w:vertAlign w:val="superscript"/>
        </w:rPr>
        <w:t>3</w:t>
      </w:r>
      <w:r w:rsidR="00E81731" w:rsidRPr="00074190">
        <w:rPr>
          <w:rFonts w:ascii="Book Antiqua" w:eastAsia="Book Antiqua" w:hAnsi="Book Antiqua" w:cs="Book Antiqua"/>
          <w:sz w:val="24"/>
          <w:szCs w:val="24"/>
          <w:vertAlign w:val="superscript"/>
        </w:rPr>
        <w:fldChar w:fldCharType="end"/>
      </w:r>
      <w:r w:rsidR="00E81731" w:rsidRPr="00074190">
        <w:rPr>
          <w:rFonts w:ascii="Book Antiqua" w:eastAsia="Book Antiqua" w:hAnsi="Book Antiqua" w:cs="Book Antiqua"/>
          <w:sz w:val="24"/>
          <w:szCs w:val="24"/>
          <w:vertAlign w:val="superscript"/>
        </w:rPr>
        <w:t>]</w:t>
      </w:r>
      <w:r w:rsidR="00D66067" w:rsidRPr="00074190">
        <w:rPr>
          <w:rFonts w:ascii="Book Antiqua" w:eastAsia="Book Antiqua" w:hAnsi="Book Antiqua" w:cs="Book Antiqua"/>
          <w:sz w:val="24"/>
          <w:szCs w:val="24"/>
        </w:rPr>
        <w:t>.</w:t>
      </w:r>
      <w:r w:rsidRPr="00074190">
        <w:rPr>
          <w:rFonts w:ascii="Book Antiqua" w:eastAsia="Book Antiqua" w:hAnsi="Book Antiqua" w:cs="Book Antiqua"/>
          <w:sz w:val="24"/>
          <w:szCs w:val="24"/>
        </w:rPr>
        <w:t xml:space="preserve"> </w:t>
      </w:r>
      <w:r w:rsidRPr="00074190">
        <w:rPr>
          <w:rFonts w:ascii="Book Antiqua" w:eastAsia="Book Antiqua" w:hAnsi="Book Antiqua" w:cs="Book Antiqua"/>
          <w:color w:val="241F20"/>
          <w:sz w:val="24"/>
          <w:szCs w:val="24"/>
        </w:rPr>
        <w:t xml:space="preserve"> LDLT has potential benefits over deceased donor liver transplant (DDLT) including lower overall costs with elective transplantation, better graft viability and reduced cold ischemia time, and theoretical immunological advantages suggested by the lower incidence</w:t>
      </w:r>
      <w:r w:rsidR="00E81731" w:rsidRPr="00074190">
        <w:rPr>
          <w:rFonts w:ascii="Book Antiqua" w:eastAsia="Book Antiqua" w:hAnsi="Book Antiqua" w:cs="Book Antiqua"/>
          <w:color w:val="241F20"/>
          <w:sz w:val="24"/>
          <w:szCs w:val="24"/>
        </w:rPr>
        <w:t xml:space="preserve"> of steroid resistant rejection</w:t>
      </w:r>
      <w:r w:rsidR="009624AE" w:rsidRPr="00074190">
        <w:rPr>
          <w:rFonts w:ascii="Book Antiqua" w:eastAsia="Book Antiqua" w:hAnsi="Book Antiqua" w:cs="Book Antiqua"/>
          <w:color w:val="241F20"/>
          <w:sz w:val="24"/>
          <w:szCs w:val="24"/>
          <w:vertAlign w:val="superscript"/>
        </w:rPr>
        <w:t>[</w:t>
      </w:r>
      <w:r w:rsidR="00535B2B" w:rsidRPr="00074190">
        <w:rPr>
          <w:rFonts w:ascii="Book Antiqua" w:eastAsia="Book Antiqua" w:hAnsi="Book Antiqua" w:cs="Book Antiqua"/>
          <w:color w:val="241F20"/>
          <w:sz w:val="24"/>
          <w:szCs w:val="24"/>
          <w:vertAlign w:val="superscript"/>
        </w:rPr>
        <w:fldChar w:fldCharType="begin" w:fldLock="1"/>
      </w:r>
      <w:r w:rsidR="00D63F24" w:rsidRPr="00074190">
        <w:rPr>
          <w:rFonts w:ascii="Book Antiqua" w:eastAsia="Book Antiqua" w:hAnsi="Book Antiqua" w:cs="Book Antiqua"/>
          <w:color w:val="241F20"/>
          <w:sz w:val="24"/>
          <w:szCs w:val="24"/>
          <w:vertAlign w:val="superscript"/>
        </w:rPr>
        <w:instrText>ADDIN CSL_CITATION { "citationItems" : [ { "id" : "ITEM-1", "itemData" : { "DOI" : "10.1002/hep.510230106", "ISSN" : "0270-9139", "PMID" : "8550046", "abstract" : "The purpose of this study was to compare the incidence and severity of rejection episodes in a group of children receiving living related orthotopic liver transplants (LRLT) versus children receiving cadaveric liver transplants (CLT). Thirty-eight patients received primary LRLT and 54 patients received CLT during a 3-year period ending June 1993. Baseline immunosuppression consisted of cyclosporin, azathioprine, and corticosteroids. Rejection episodes were confirmed by liver histology and were treated initially with pulse intravenous methylprednisolone, 10 mg/kg/d for 3 days. Steroid-resistant rejection was treated with OKT3 or FK506. The median patient ages were 1.3 years for the CLT and .8 years for the LRLT recipients. Acute cellular rejection developed in 78% of the CLT grafts and 74% of the LRLT grafts (P = ns). However, steroid-resistant rejection was significantly less frequent in the LRLT recipients, 13% versus 43% in the CLT recipients (P &lt; .01). Ductopenic rejection was diagnosed in 20% of CLT and 8% of LRLT grafts (P &lt; .10), and graft loss caused by rejection was 9% in the CLT and 3% in the LRLT group (P = ns). In conclusion, the overall incidence of rejection is the same in LRLT and CLT recipients, but LRLT recipients are less likely than CLT recipients to develop steroid-resistant rejection or ductopenic rejection.", "author" : [ { "dropping-particle" : "", "family" : "Alonso", "given" : "E M", "non-dropping-particle" : "", "parse-names" : false, "suffix" : "" }, { "dropping-particle" : "", "family" : "Piper", "given" : "J B", "non-dropping-particle" : "", "parse-names" : false, "suffix" : "" }, { "dropping-particle" : "", "family" : "Echols", "given" : "G", "non-dropping-particle" : "", "parse-names" : false, "suffix" : "" }, { "dropping-particle" : "", "family" : "Thistlethwaite", "given" : "J R", "non-dropping-particle" : "", "parse-names" : false, "suffix" : "" }, { "dropping-particle" : "", "family" : "Whitington", "given" : "P F", "non-dropping-particle" : "", "parse-names" : false, "suffix" : "" } ], "container-title" : "Hepatology (Baltimore, Md.)", "id" : "ITEM-1", "issue" : "1", "issued" : { "date-parts" : [ [ "1996", "1" ] ] }, "page" : "40-3", "title" : "Allograft rejection in pediatric recipients of living related liver transplants.", "type" : "article-journal", "volume" : "23" }, "uris" : [ "http://www.mendeley.com/documents/?uuid=10810782-3e3a-4795-9889-1d706eea9772" ] } ], "mendeley" : { "formattedCitation" : "&lt;sup&gt;4&lt;/sup&gt;", "plainTextFormattedCitation" : "4", "previouslyFormattedCitation" : "&lt;sup&gt;4&lt;/sup&gt;" }, "properties" : { "noteIndex" : 0 }, "schema" : "https://github.com/citation-style-language/schema/raw/master/csl-citation.json" }</w:instrText>
      </w:r>
      <w:r w:rsidR="00535B2B" w:rsidRPr="00074190">
        <w:rPr>
          <w:rFonts w:ascii="Book Antiqua" w:eastAsia="Book Antiqua" w:hAnsi="Book Antiqua" w:cs="Book Antiqua"/>
          <w:color w:val="241F20"/>
          <w:sz w:val="24"/>
          <w:szCs w:val="24"/>
          <w:vertAlign w:val="superscript"/>
        </w:rPr>
        <w:fldChar w:fldCharType="separate"/>
      </w:r>
      <w:r w:rsidR="00D63F24" w:rsidRPr="00074190">
        <w:rPr>
          <w:rFonts w:ascii="Book Antiqua" w:eastAsia="Book Antiqua" w:hAnsi="Book Antiqua" w:cs="Book Antiqua"/>
          <w:noProof/>
          <w:color w:val="241F20"/>
          <w:sz w:val="24"/>
          <w:szCs w:val="24"/>
          <w:vertAlign w:val="superscript"/>
        </w:rPr>
        <w:t>4</w:t>
      </w:r>
      <w:r w:rsidR="00535B2B" w:rsidRPr="00074190">
        <w:rPr>
          <w:rFonts w:ascii="Book Antiqua" w:eastAsia="Book Antiqua" w:hAnsi="Book Antiqua" w:cs="Book Antiqua"/>
          <w:color w:val="241F20"/>
          <w:sz w:val="24"/>
          <w:szCs w:val="24"/>
          <w:vertAlign w:val="superscript"/>
        </w:rPr>
        <w:fldChar w:fldCharType="end"/>
      </w:r>
      <w:r w:rsidR="00E81731" w:rsidRPr="00074190">
        <w:rPr>
          <w:rFonts w:ascii="Book Antiqua" w:hAnsi="Book Antiqua" w:cs="Book Antiqua"/>
          <w:color w:val="241F20"/>
          <w:sz w:val="24"/>
          <w:szCs w:val="24"/>
          <w:vertAlign w:val="superscript"/>
          <w:lang w:eastAsia="zh-CN"/>
        </w:rPr>
        <w:t>-</w:t>
      </w:r>
      <w:r w:rsidR="00535B2B" w:rsidRPr="00074190">
        <w:rPr>
          <w:rFonts w:ascii="Book Antiqua" w:eastAsia="Book Antiqua" w:hAnsi="Book Antiqua" w:cs="Book Antiqua"/>
          <w:color w:val="241F20"/>
          <w:sz w:val="24"/>
          <w:szCs w:val="24"/>
          <w:vertAlign w:val="superscript"/>
        </w:rPr>
        <w:fldChar w:fldCharType="begin" w:fldLock="1"/>
      </w:r>
      <w:r w:rsidR="00D63F24" w:rsidRPr="00074190">
        <w:rPr>
          <w:rFonts w:ascii="Book Antiqua" w:eastAsia="Book Antiqua" w:hAnsi="Book Antiqua" w:cs="Book Antiqua"/>
          <w:color w:val="241F20"/>
          <w:sz w:val="24"/>
          <w:szCs w:val="24"/>
          <w:vertAlign w:val="superscript"/>
        </w:rPr>
        <w:instrText>ADDIN CSL_CITATION { "citationItems" : [ { "id" : "ITEM-1", "itemData" : { "DOI" : "10.1111/j.1600-6143.2004.00654.x", "ISSN" : "1600-6135", "PMID" : "15636624", "abstract" : "No long-term (&gt;3 years) prospective comparison of adult-to-adult living donor liver transplantation (A2ALLTx) to adult deceased donor liver transplantation (ADDLTx) has been reported. This is a prospective, IRB approved, 6-year comparison of A2ALLTx to ADDLTx. Data include: age, gender, ethnicity, primary liver disease, waiting time, pretransplant CTP/MELD score, cold ischemia time (CIT), perioperative mortality, acute and chronic rejection, graft and patient survival, charges and post-transplant complications. In 6 years, 202 ADDLTx (74.5%) and 69 A2ALLTx (25.5%) were performed at VCUHS. Hepatitis C virus (HCV) was the most common reason for transplantation in both groups (48.1% vs. 42%). Data regarding overall patient and graft survival, monetary charges and retransplantation rates were similar. Comparison of patient/graft survivals, retransplantation rates in patients with and without HCV were not statistically different. A2ALLTx patients had less acute rejection (11.5% vs. 23.9%) and more biliary complications (26.1% vs. 11.4%). Overall, A2ALLTx is as durable a liver replacement technique as the ADDLTx. Patients with A2ALLTx were younger, had lower MELD scores, less acute rejection and similar histological HCV recurrence. Biliary complications were more common in A2ALLTx but were not associated with increased graft loss compared to ADDLTx.", "author" : [ { "dropping-particle" : "", "family" : "Maluf", "given" : "Daniel G", "non-dropping-particle" : "", "parse-names" : false, "suffix" : "" }, { "dropping-particle" : "", "family" : "Stravitz", "given" : "Richard Todd", "non-dropping-particle" : "", "parse-names" : false, "suffix" : "" }, { "dropping-particle" : "", "family" : "Cotterell", "given" : "Adrian H", "non-dropping-particle" : "", "parse-names" : false, "suffix" : "" }, { "dropping-particle" : "", "family" : "Posner", "given" : "Marc P", "non-dropping-particle" : "", "parse-names" : false, "suffix" : "" }, { "dropping-particle" : "", "family" : "Nakatsuka", "given" : "Mitsuru", "non-dropping-particle" : "", "parse-names" : false, "suffix" : "" }, { "dropping-particle" : "", "family" : "Sterling", "given" : "Richard K", "non-dropping-particle" : "", "parse-names" : false, "suffix" : "" }, { "dropping-particle" : "", "family" : "Luketic", "given" : "Velimir A", "non-dropping-particle" : "", "parse-names" : false, "suffix" : "" }, { "dropping-particle" : "", "family" : "Shiffman", "given" : "Mitchell L", "non-dropping-particle" : "", "parse-names" : false, "suffix" : "" }, { "dropping-particle" : "", "family" : "Ham", "given" : "John M", "non-dropping-particle" : "", "parse-names" : false, "suffix" : "" }, { "dropping-particle" : "", "family" : "Marcos", "given" : "Amadeo", "non-dropping-particle" : "", "parse-names" : false, "suffix" : "" }, { "dropping-particle" : "", "family" : "Behnke", "given" : "Martha K", "non-dropping-particle" : "", "parse-names" : false, "suffix" : "" }, { "dropping-particle" : "", "family" : "Fisher", "given" : "Robert A", "non-dropping-particle" : "", "parse-names" : false, "suffix" : "" } ], "container-title" : "American journal of transplantation : official journal of the American Society of Transplantation and the American Society of Transplant Surgeons", "id" : "ITEM-1", "issue" : "1", "issued" : { "date-parts" : [ [ "2005", "1" ] ] }, "page" : "149-56", "title" : "Adult living donor versus deceased donor liver transplantation: a 6-year single center experience.", "type" : "article-journal", "volume" : "5" }, "uris" : [ "http://www.mendeley.com/documents/?uuid=83456ad7-72e4-42b5-a351-6b22ac835de2" ] } ], "mendeley" : { "formattedCitation" : "&lt;sup&gt;6&lt;/sup&gt;", "plainTextFormattedCitation" : "6", "previouslyFormattedCitation" : "&lt;sup&gt;6&lt;/sup&gt;" }, "properties" : { "noteIndex" : 0 }, "schema" : "https://github.com/citation-style-language/schema/raw/master/csl-citation.json" }</w:instrText>
      </w:r>
      <w:r w:rsidR="00535B2B" w:rsidRPr="00074190">
        <w:rPr>
          <w:rFonts w:ascii="Book Antiqua" w:eastAsia="Book Antiqua" w:hAnsi="Book Antiqua" w:cs="Book Antiqua"/>
          <w:color w:val="241F20"/>
          <w:sz w:val="24"/>
          <w:szCs w:val="24"/>
          <w:vertAlign w:val="superscript"/>
        </w:rPr>
        <w:fldChar w:fldCharType="separate"/>
      </w:r>
      <w:r w:rsidR="00D63F24" w:rsidRPr="00074190">
        <w:rPr>
          <w:rFonts w:ascii="Book Antiqua" w:eastAsia="Book Antiqua" w:hAnsi="Book Antiqua" w:cs="Book Antiqua"/>
          <w:noProof/>
          <w:color w:val="241F20"/>
          <w:sz w:val="24"/>
          <w:szCs w:val="24"/>
          <w:vertAlign w:val="superscript"/>
        </w:rPr>
        <w:t>6</w:t>
      </w:r>
      <w:r w:rsidR="00535B2B" w:rsidRPr="00074190">
        <w:rPr>
          <w:rFonts w:ascii="Book Antiqua" w:eastAsia="Book Antiqua" w:hAnsi="Book Antiqua" w:cs="Book Antiqua"/>
          <w:color w:val="241F20"/>
          <w:sz w:val="24"/>
          <w:szCs w:val="24"/>
          <w:vertAlign w:val="superscript"/>
        </w:rPr>
        <w:fldChar w:fldCharType="end"/>
      </w:r>
      <w:r w:rsidR="009624AE" w:rsidRPr="00074190">
        <w:rPr>
          <w:rFonts w:ascii="Book Antiqua" w:eastAsia="Book Antiqua" w:hAnsi="Book Antiqua" w:cs="Book Antiqua"/>
          <w:color w:val="241F20"/>
          <w:sz w:val="24"/>
          <w:szCs w:val="24"/>
          <w:vertAlign w:val="superscript"/>
        </w:rPr>
        <w:t>]</w:t>
      </w:r>
      <w:r w:rsidRPr="00074190">
        <w:rPr>
          <w:rFonts w:ascii="Book Antiqua" w:eastAsia="Book Antiqua" w:hAnsi="Book Antiqua" w:cs="Book Antiqua"/>
          <w:color w:val="241F20"/>
          <w:sz w:val="24"/>
          <w:szCs w:val="24"/>
        </w:rPr>
        <w:t>. Recipient survival is higher in LDLT but this has to be tempered against the risk of donor complications. Recipient morbidity in LDLT is primarily related to the risk of biliary complications which are twice as common as seen with DDLT</w:t>
      </w:r>
      <w:r w:rsidR="00E81731" w:rsidRPr="00074190">
        <w:rPr>
          <w:rFonts w:ascii="Book Antiqua" w:eastAsia="Book Antiqua" w:hAnsi="Book Antiqua" w:cs="Book Antiqua"/>
          <w:color w:val="241F20"/>
          <w:sz w:val="24"/>
          <w:szCs w:val="24"/>
          <w:vertAlign w:val="superscript"/>
        </w:rPr>
        <w:t>[</w:t>
      </w:r>
      <w:r w:rsidR="00E81731" w:rsidRPr="00074190">
        <w:rPr>
          <w:rFonts w:ascii="Book Antiqua" w:eastAsia="Book Antiqua" w:hAnsi="Book Antiqua" w:cs="Book Antiqua"/>
          <w:color w:val="241F20"/>
          <w:sz w:val="24"/>
          <w:szCs w:val="24"/>
          <w:vertAlign w:val="superscript"/>
        </w:rPr>
        <w:fldChar w:fldCharType="begin" w:fldLock="1"/>
      </w:r>
      <w:r w:rsidR="00E81731" w:rsidRPr="00074190">
        <w:rPr>
          <w:rFonts w:ascii="Book Antiqua" w:eastAsia="Book Antiqua" w:hAnsi="Book Antiqua" w:cs="Book Antiqua"/>
          <w:color w:val="241F20"/>
          <w:sz w:val="24"/>
          <w:szCs w:val="24"/>
          <w:vertAlign w:val="superscript"/>
        </w:rPr>
        <w:instrText>ADDIN CSL_CITATION { "citationItems" : [ { "id" : "ITEM-1", "itemData" : { "DOI" : "10.1111/j.1600-6143.2008.02440.x", "ISSN" : "1600-6143", "PMID" : "18976306", "abstract" : "Patients considering living donor liver transplantation (LDLT) need to know the risk and severity of complications compared to deceased donor liver transplantation (DDLT). One aim of the Adult-to-Adult Living Donor Liver Transplantation Cohort Study (A2ALL) was to examine recipient complications following these procedures. Medical records of DDLT or LDLT recipients who had a living donor evaluated at the nine A2ALL centers between 1998 and 2003 were reviewed. Among 384 LDLT and 216 DDLT, at least one complication occurred after 82.8% of LDLT and 78.2% of DDLT (p = 0.17). There was a median of two complications after DDLT and three after LDLT. Complications that occurred at a higher rate (p &lt; 0.05) after LDLT included biliary leak (31.8% vs. 10.2%), unplanned reexploration (26.2% vs. 17.1%), hepatic artery thrombosis (6.5% vs. 2.3%) and portal vein thrombosis (2.9% vs. 0.0%). There were more complications leading to retransplantation or death (Clavien grade 4) after LDLT versus DDLT (15.9% vs. 9.3%, p = 0.023). Many complications occurred more commonly during early center experience; the odds of grade 4 complications were more than two-fold higher when centers had performed &lt;or=20 LDLT (vs. &gt;40). In summary, complication rates were higher after LDLT versus DDLT, but declined with center experience to levels comparable to DDLT.", "author" : [ { "dropping-particle" : "", "family" : "Freise", "given" : "C E", "non-dropping-particle" : "", "parse-names" : false, "suffix" : "" }, { "dropping-particle" : "", "family" : "Gillespie", "given" : "B W", "non-dropping-particle" : "", "parse-names" : false, "suffix" : "" }, { "dropping-particle" : "", "family" : "Koffron", "given" : "a J", "non-dropping-particle" : "", "parse-names" : false, "suffix" : "" }, { "dropping-particle" : "", "family" : "Lok", "given" : "A S F", "non-dropping-particle" : "", "parse-names" : false, "suffix" : "" }, { "dropping-particle" : "", "family" : "Pruett", "given" : "T L", "non-dropping-particle" : "", "parse-names" : false, "suffix" : "" }, { "dropping-particle" : "", "family" : "Emond", "given" : "J C", "non-dropping-particle" : "", "parse-names" : false, "suffix" : "" }, { "dropping-particle" : "", "family" : "Fair", "given" : "J H", "non-dropping-particle" : "", "parse-names" : false, "suffix" : "" }, { "dropping-particle" : "", "family" : "Fisher", "given" : "R a", "non-dropping-particle" : "", "parse-names" : false, "suffix" : "" }, { "dropping-particle" : "", "family" : "Olthoff", "given" : "K M", "non-dropping-particle" : "", "parse-names" : false, "suffix" : "" }, { "dropping-particle" : "", "family" : "Trotter", "given" : "J F", "non-dropping-particle" : "", "parse-names" : false, "suffix" : "" }, { "dropping-particle" : "", "family" : "Ghobrial", "given" : "R M", "non-dropping-particle" : "", "parse-names" : false, "suffix" : "" }, { "dropping-particle" : "", "family" : "Everhart", "given" : "J E", "non-dropping-particle" : "", "parse-names" : false, "suffix" : "" } ], "container-title" : "American journal of transplantation : official journal of the American Society of Transplantation and the American Society of Transplant Surgeons", "id" : "ITEM-1", "issue" : "12", "issued" : { "date-parts" : [ [ "2008", "12" ] ] }, "page" : "2569-79", "title" : "Recipient morbidity after living and deceased donor liver transplantation: findings from the A2ALL Retrospective Cohort Study.", "type" : "article-journal", "volume" : "8" }, "uris" : [ "http://www.mendeley.com/documents/?uuid=054363ba-793c-4dad-837e-a64563df4051" ] } ], "mendeley" : { "formattedCitation" : "&lt;sup&gt;7&lt;/sup&gt;", "plainTextFormattedCitation" : "7", "previouslyFormattedCitation" : "&lt;sup&gt;7&lt;/sup&gt;" }, "properties" : { "noteIndex" : 0 }, "schema" : "https://github.com/citation-style-language/schema/raw/master/csl-citation.json" }</w:instrText>
      </w:r>
      <w:r w:rsidR="00E81731" w:rsidRPr="00074190">
        <w:rPr>
          <w:rFonts w:ascii="Book Antiqua" w:eastAsia="Book Antiqua" w:hAnsi="Book Antiqua" w:cs="Book Antiqua"/>
          <w:color w:val="241F20"/>
          <w:sz w:val="24"/>
          <w:szCs w:val="24"/>
          <w:vertAlign w:val="superscript"/>
        </w:rPr>
        <w:fldChar w:fldCharType="separate"/>
      </w:r>
      <w:r w:rsidR="00E81731" w:rsidRPr="00074190">
        <w:rPr>
          <w:rFonts w:ascii="Book Antiqua" w:eastAsia="Book Antiqua" w:hAnsi="Book Antiqua" w:cs="Book Antiqua"/>
          <w:noProof/>
          <w:color w:val="241F20"/>
          <w:sz w:val="24"/>
          <w:szCs w:val="24"/>
          <w:vertAlign w:val="superscript"/>
        </w:rPr>
        <w:t>7</w:t>
      </w:r>
      <w:r w:rsidR="00E81731" w:rsidRPr="00074190">
        <w:rPr>
          <w:rFonts w:ascii="Book Antiqua" w:eastAsia="Book Antiqua" w:hAnsi="Book Antiqua" w:cs="Book Antiqua"/>
          <w:color w:val="241F20"/>
          <w:sz w:val="24"/>
          <w:szCs w:val="24"/>
          <w:vertAlign w:val="superscript"/>
        </w:rPr>
        <w:fldChar w:fldCharType="end"/>
      </w:r>
      <w:r w:rsidR="00E81731" w:rsidRPr="00074190">
        <w:rPr>
          <w:rFonts w:ascii="Book Antiqua" w:eastAsia="Book Antiqua" w:hAnsi="Book Antiqua" w:cs="Book Antiqua"/>
          <w:color w:val="241F20"/>
          <w:sz w:val="24"/>
          <w:szCs w:val="24"/>
          <w:vertAlign w:val="superscript"/>
        </w:rPr>
        <w:t>]</w:t>
      </w:r>
      <w:r w:rsidRPr="00074190">
        <w:rPr>
          <w:rFonts w:ascii="Book Antiqua" w:eastAsia="Book Antiqua" w:hAnsi="Book Antiqua" w:cs="Book Antiqua"/>
          <w:color w:val="241F20"/>
          <w:sz w:val="24"/>
          <w:szCs w:val="24"/>
        </w:rPr>
        <w:t>.</w:t>
      </w:r>
      <w:r w:rsidR="00C63B2C" w:rsidRPr="00074190">
        <w:rPr>
          <w:rFonts w:ascii="Book Antiqua" w:eastAsia="Book Antiqua" w:hAnsi="Book Antiqua" w:cs="Book Antiqua"/>
          <w:color w:val="000000" w:themeColor="text1"/>
          <w:sz w:val="24"/>
          <w:szCs w:val="24"/>
        </w:rPr>
        <w:t xml:space="preserve"> Hospitalization rates and duration of hospital stay post LDLT</w:t>
      </w:r>
      <w:r w:rsidR="00C63B2C" w:rsidRPr="00074190">
        <w:rPr>
          <w:rFonts w:ascii="Book Antiqua" w:eastAsia="Book Antiqua" w:hAnsi="Book Antiqua" w:cs="Book Antiqua"/>
          <w:sz w:val="24"/>
          <w:szCs w:val="24"/>
        </w:rPr>
        <w:t xml:space="preserve"> </w:t>
      </w:r>
      <w:r w:rsidR="007A2D1E" w:rsidRPr="00074190">
        <w:rPr>
          <w:rFonts w:ascii="Book Antiqua" w:eastAsia="Book Antiqua" w:hAnsi="Book Antiqua" w:cs="Book Antiqua"/>
          <w:sz w:val="24"/>
          <w:szCs w:val="24"/>
        </w:rPr>
        <w:t xml:space="preserve">are also </w:t>
      </w:r>
      <w:r w:rsidR="00C63B2C" w:rsidRPr="00074190">
        <w:rPr>
          <w:rFonts w:ascii="Book Antiqua" w:eastAsia="Book Antiqua" w:hAnsi="Book Antiqua" w:cs="Book Antiqua"/>
          <w:color w:val="000000" w:themeColor="text1"/>
          <w:sz w:val="24"/>
          <w:szCs w:val="24"/>
        </w:rPr>
        <w:t>significantly higher than after DDLT even in experienced centers</w:t>
      </w:r>
      <w:r w:rsidR="001A6EF9" w:rsidRPr="00074190">
        <w:rPr>
          <w:rFonts w:ascii="Book Antiqua" w:eastAsia="Book Antiqua" w:hAnsi="Book Antiqua" w:cs="Book Antiqua"/>
          <w:color w:val="000000" w:themeColor="text1"/>
          <w:sz w:val="24"/>
          <w:szCs w:val="24"/>
        </w:rPr>
        <w:t xml:space="preserve"> </w:t>
      </w:r>
      <w:r w:rsidR="007A2D1E" w:rsidRPr="00074190">
        <w:rPr>
          <w:rFonts w:ascii="Book Antiqua" w:eastAsia="Book Antiqua" w:hAnsi="Book Antiqua" w:cs="Book Antiqua"/>
          <w:color w:val="000000" w:themeColor="text1"/>
          <w:sz w:val="24"/>
          <w:szCs w:val="24"/>
        </w:rPr>
        <w:t xml:space="preserve">and this is primarily attributed to </w:t>
      </w:r>
      <w:r w:rsidR="001A6EF9" w:rsidRPr="00074190">
        <w:rPr>
          <w:rFonts w:ascii="Book Antiqua" w:eastAsia="Book Antiqua" w:hAnsi="Book Antiqua" w:cs="Book Antiqua"/>
          <w:color w:val="000000" w:themeColor="text1"/>
          <w:sz w:val="24"/>
          <w:szCs w:val="24"/>
        </w:rPr>
        <w:t xml:space="preserve">the </w:t>
      </w:r>
      <w:r w:rsidR="007A2D1E" w:rsidRPr="00074190">
        <w:rPr>
          <w:rFonts w:ascii="Book Antiqua" w:eastAsia="Book Antiqua" w:hAnsi="Book Antiqua" w:cs="Book Antiqua"/>
          <w:color w:val="000000" w:themeColor="text1"/>
          <w:sz w:val="24"/>
          <w:szCs w:val="24"/>
        </w:rPr>
        <w:t>higher incidence of biliary</w:t>
      </w:r>
      <w:r w:rsidR="007A2D1E" w:rsidRPr="00074190">
        <w:rPr>
          <w:rFonts w:ascii="Book Antiqua" w:eastAsia="Book Antiqua" w:hAnsi="Book Antiqua" w:cs="Book Antiqua"/>
          <w:color w:val="FFFFFF" w:themeColor="background1"/>
          <w:sz w:val="24"/>
          <w:szCs w:val="24"/>
        </w:rPr>
        <w:t xml:space="preserve"> </w:t>
      </w:r>
      <w:r w:rsidR="007A2D1E" w:rsidRPr="00074190">
        <w:rPr>
          <w:rFonts w:ascii="Book Antiqua" w:eastAsia="Book Antiqua" w:hAnsi="Book Antiqua" w:cs="Book Antiqua"/>
          <w:color w:val="000000" w:themeColor="text1"/>
          <w:sz w:val="24"/>
          <w:szCs w:val="24"/>
        </w:rPr>
        <w:t>complications</w:t>
      </w:r>
      <w:r w:rsidR="00E81731" w:rsidRPr="00074190">
        <w:rPr>
          <w:rFonts w:ascii="Book Antiqua" w:eastAsia="Book Antiqua" w:hAnsi="Book Antiqua" w:cs="Book Antiqua"/>
          <w:color w:val="000000" w:themeColor="text1"/>
          <w:sz w:val="24"/>
          <w:szCs w:val="24"/>
          <w:vertAlign w:val="superscript"/>
        </w:rPr>
        <w:t>[</w:t>
      </w:r>
      <w:r w:rsidR="00E81731" w:rsidRPr="00074190">
        <w:rPr>
          <w:rFonts w:ascii="Book Antiqua" w:eastAsia="Book Antiqua" w:hAnsi="Book Antiqua" w:cs="Book Antiqua"/>
          <w:color w:val="000000" w:themeColor="text1"/>
          <w:sz w:val="24"/>
          <w:szCs w:val="24"/>
          <w:vertAlign w:val="superscript"/>
        </w:rPr>
        <w:fldChar w:fldCharType="begin" w:fldLock="1"/>
      </w:r>
      <w:r w:rsidR="00E81731" w:rsidRPr="00074190">
        <w:rPr>
          <w:rFonts w:ascii="Book Antiqua" w:eastAsia="Book Antiqua" w:hAnsi="Book Antiqua" w:cs="Book Antiqua"/>
          <w:color w:val="000000" w:themeColor="text1"/>
          <w:sz w:val="24"/>
          <w:szCs w:val="24"/>
          <w:vertAlign w:val="superscript"/>
        </w:rPr>
        <w:instrText>ADDIN CSL_CITATION { "citationItems" : [ { "id" : "ITEM-1", "itemData" : { "DOI" : "10.1097/SLA.0b013e3181ccb370", "ISSN" : "1528-1140", "PMID" : "20130466", "abstract" : "OBJECTIVE: To compare rates of hospitalization before and after adult-to-adult living donor liver transplant (LDLT) and deceased donor liver transplant (DDLT).\n\nSUMMARY BACKGROUND DATA: LDLT recipients have been reported to have lower mortality but a higher complication rate than DDLT recipients. The higher complication rate may be associated with greater consumption of inpatient hospital resources and a higher burden of disease for LDLT recipients.\n\nMETHODS: Data from the 9-center Adult-to-Adult Living Donor Liver Transplantation retrospective cohort study were analyzed to determine pretransplant, transplant, and posttransplant hospitalizations among LDLT candidates (potential living donor was evaluated) who received LDLT or DDLT. Hospital days and admission rates for LDLT and DDLT patients were calculated per patient-year at risk, starting from the date of initial potential donor history and physical examination. Rates were compared using overdispersed Poisson regression models.\n\nRESULTS: Among 806 candidates, 384 received LDLT and 215 received DDLT. In addition to the 599 transplants, there were 1913 recipient hospitalizations (485 pretransplant; 1428 posttransplant). Mean DDLT recipient pretransplant, transplant, and posttransplant lengths of stay were 5.8 +/- 6.3, 27.0 +/- 32.6, and 9.0 +/- 14.1 days, respectively, and for LDLT were 4.1 +/- 3.7, 21.4 +/- 24.3, and 7.8 +/- 11.4 days, respectively. Compared with DDLT, LDLT recipients had significantly lower adjusted pretransplant hospital day and admission rates, but significantly higher posttransplant rates. Significantly higher LDLT admission rates were observed for biliary tract morbidity throughout the second posttransplant year. Overall hospitalization rates starting from the point of potential donor evaluation were significantly higher for eventual recipients of LDLT.\n\nCONCLUSIONS: LDLT recipients, despite lower acuity of disease, have higher hospitalization requirements when compared with DDLT recipients. Continuing efforts are warranted to reduce the incidence of complications requiring post-LDLT inpatient admission, with particular emphasis on biliary tract issues.", "author" : [ { "dropping-particle" : "", "family" : "Merion", "given" : "Robert M", "non-dropping-particle" : "", "parse-names" : false, "suffix" : "" }, { "dropping-particle" : "", "family" : "Shearon", "given" : "Tempie H", "non-dropping-particle" : "", "parse-names" : false, "suffix" : "" }, { "dropping-particle" : "", "family" : "Berg", "given" : "Carl L", "non-dropping-particle" : "", "parse-names" : false, "suffix" : "" }, { "dropping-particle" : "", "family" : "Everhart", "given" : "James E", "non-dropping-particle" : "", "parse-names" : false, "suffix" : "" }, { "dropping-particle" : "", "family" : "Abecassis", "given" : "Michael M", "non-dropping-particle" : "", "parse-names" : false, "suffix" : "" }, { "dropping-particle" : "", "family" : "Shaked", "given" : "Abraham", "non-dropping-particle" : "", "parse-names" : false, "suffix" : "" }, { "dropping-particle" : "", "family" : "Fisher", "given" : "Robert A", "non-dropping-particle" : "", "parse-names" : false, "suffix" : "" }, { "dropping-particle" : "", "family" : "Trotter", "given" : "James F", "non-dropping-particle" : "", "parse-names" : false, "suffix" : "" }, { "dropping-particle" : "", "family" : "Brown", "given" : "Robert S", "non-dropping-particle" : "", "parse-names" : false, "suffix" : "" }, { "dropping-particle" : "", "family" : "Terrault", "given" : "Norah A", "non-dropping-particle" : "", "parse-names" : false, "suffix" : "" }, { "dropping-particle" : "", "family" : "Hayashi", "given" : "Paul H", "non-dropping-particle" : "", "parse-names" : false, "suffix" : "" }, { "dropping-particle" : "", "family" : "Hong", "given" : "Johnny C", "non-dropping-particle" : "", "parse-names" : false, "suffix" : "" } ], "container-title" : "Annals of surgery", "id" : "ITEM-1", "issue" : "3", "issued" : { "date-parts" : [ [ "2010", "3" ] ] }, "page" : "542-9", "title" : "Hospitalization rates before and after adult-to-adult living donor or deceased donor liver transplantation.", "type" : "article-journal", "volume" : "251" }, "uris" : [ "http://www.mendeley.com/documents/?uuid=c8153d54-5988-43c3-9164-09ca80691366" ] } ], "mendeley" : { "formattedCitation" : "&lt;sup&gt;8&lt;/sup&gt;", "plainTextFormattedCitation" : "8", "previouslyFormattedCitation" : "&lt;sup&gt;8&lt;/sup&gt;" }, "properties" : { "noteIndex" : 0 }, "schema" : "https://github.com/citation-style-language/schema/raw/master/csl-citation.json" }</w:instrText>
      </w:r>
      <w:r w:rsidR="00E81731" w:rsidRPr="00074190">
        <w:rPr>
          <w:rFonts w:ascii="Book Antiqua" w:eastAsia="Book Antiqua" w:hAnsi="Book Antiqua" w:cs="Book Antiqua"/>
          <w:color w:val="000000" w:themeColor="text1"/>
          <w:sz w:val="24"/>
          <w:szCs w:val="24"/>
          <w:vertAlign w:val="superscript"/>
        </w:rPr>
        <w:fldChar w:fldCharType="separate"/>
      </w:r>
      <w:r w:rsidR="00E81731" w:rsidRPr="00074190">
        <w:rPr>
          <w:rFonts w:ascii="Book Antiqua" w:eastAsia="Book Antiqua" w:hAnsi="Book Antiqua" w:cs="Book Antiqua"/>
          <w:noProof/>
          <w:color w:val="000000" w:themeColor="text1"/>
          <w:sz w:val="24"/>
          <w:szCs w:val="24"/>
          <w:vertAlign w:val="superscript"/>
        </w:rPr>
        <w:t>8</w:t>
      </w:r>
      <w:r w:rsidR="00E81731" w:rsidRPr="00074190">
        <w:rPr>
          <w:rFonts w:ascii="Book Antiqua" w:eastAsia="Book Antiqua" w:hAnsi="Book Antiqua" w:cs="Book Antiqua"/>
          <w:color w:val="000000" w:themeColor="text1"/>
          <w:sz w:val="24"/>
          <w:szCs w:val="24"/>
          <w:vertAlign w:val="superscript"/>
        </w:rPr>
        <w:fldChar w:fldCharType="end"/>
      </w:r>
      <w:r w:rsidR="00E81731" w:rsidRPr="00074190">
        <w:rPr>
          <w:rFonts w:ascii="Book Antiqua" w:eastAsia="Book Antiqua" w:hAnsi="Book Antiqua" w:cs="Book Antiqua"/>
          <w:color w:val="000000" w:themeColor="text1"/>
          <w:sz w:val="24"/>
          <w:szCs w:val="24"/>
          <w:vertAlign w:val="superscript"/>
        </w:rPr>
        <w:t>]</w:t>
      </w:r>
      <w:r w:rsidR="007A2D1E" w:rsidRPr="00074190">
        <w:rPr>
          <w:rFonts w:ascii="Book Antiqua" w:eastAsia="Book Antiqua" w:hAnsi="Book Antiqua" w:cs="Book Antiqua"/>
          <w:color w:val="000000" w:themeColor="text1"/>
          <w:sz w:val="24"/>
          <w:szCs w:val="24"/>
        </w:rPr>
        <w:t>.</w:t>
      </w:r>
    </w:p>
    <w:p w:rsidR="005E3013" w:rsidRPr="00074190" w:rsidRDefault="00D71AD3" w:rsidP="00074190">
      <w:pPr>
        <w:spacing w:after="0" w:line="360" w:lineRule="auto"/>
        <w:ind w:firstLineChars="200" w:firstLine="480"/>
        <w:jc w:val="both"/>
        <w:rPr>
          <w:rFonts w:ascii="Book Antiqua" w:eastAsia="Book Antiqua" w:hAnsi="Book Antiqua" w:cs="Book Antiqua"/>
          <w:color w:val="241F20"/>
          <w:sz w:val="24"/>
          <w:szCs w:val="24"/>
          <w:shd w:val="clear" w:color="auto" w:fill="00FF00"/>
        </w:rPr>
      </w:pPr>
      <w:r w:rsidRPr="00074190">
        <w:rPr>
          <w:rFonts w:ascii="Book Antiqua" w:eastAsia="Book Antiqua" w:hAnsi="Book Antiqua" w:cs="Book Antiqua"/>
          <w:sz w:val="24"/>
          <w:szCs w:val="24"/>
        </w:rPr>
        <w:t xml:space="preserve">The </w:t>
      </w:r>
      <w:r w:rsidR="00241956" w:rsidRPr="00074190">
        <w:rPr>
          <w:rFonts w:ascii="Book Antiqua" w:eastAsia="Book Antiqua" w:hAnsi="Book Antiqua" w:cs="Book Antiqua"/>
          <w:sz w:val="24"/>
          <w:szCs w:val="24"/>
        </w:rPr>
        <w:t>inci</w:t>
      </w:r>
      <w:r w:rsidRPr="00074190">
        <w:rPr>
          <w:rFonts w:ascii="Book Antiqua" w:eastAsia="Book Antiqua" w:hAnsi="Book Antiqua" w:cs="Book Antiqua"/>
          <w:sz w:val="24"/>
          <w:szCs w:val="24"/>
        </w:rPr>
        <w:t xml:space="preserve">dence of biliary complications after orthotopic liver transplantation varies between </w:t>
      </w:r>
      <w:r w:rsidR="00E81731" w:rsidRPr="00074190">
        <w:rPr>
          <w:rFonts w:ascii="Book Antiqua" w:eastAsia="Book Antiqua" w:hAnsi="Book Antiqua" w:cs="Book Antiqua"/>
          <w:sz w:val="24"/>
          <w:szCs w:val="24"/>
        </w:rPr>
        <w:t>11</w:t>
      </w:r>
      <w:r w:rsidR="00E81731" w:rsidRPr="00074190">
        <w:rPr>
          <w:rFonts w:ascii="Book Antiqua" w:hAnsi="Book Antiqua" w:cs="Book Antiqua"/>
          <w:sz w:val="24"/>
          <w:szCs w:val="24"/>
          <w:lang w:eastAsia="zh-CN"/>
        </w:rPr>
        <w:t>%</w:t>
      </w:r>
      <w:r w:rsidR="00E81731" w:rsidRPr="00074190">
        <w:rPr>
          <w:rFonts w:ascii="Book Antiqua" w:eastAsia="Book Antiqua" w:hAnsi="Book Antiqua" w:cs="Book Antiqua"/>
          <w:sz w:val="24"/>
          <w:szCs w:val="24"/>
        </w:rPr>
        <w:t>-</w:t>
      </w:r>
      <w:r w:rsidR="00241956" w:rsidRPr="00074190">
        <w:rPr>
          <w:rFonts w:ascii="Book Antiqua" w:eastAsia="Book Antiqua" w:hAnsi="Book Antiqua" w:cs="Book Antiqua"/>
          <w:sz w:val="24"/>
          <w:szCs w:val="24"/>
        </w:rPr>
        <w:t>35%</w:t>
      </w:r>
      <w:r w:rsidR="00E81731" w:rsidRPr="00074190">
        <w:rPr>
          <w:rFonts w:ascii="Book Antiqua" w:eastAsia="Book Antiqua" w:hAnsi="Book Antiqua" w:cs="Book Antiqua"/>
          <w:sz w:val="24"/>
          <w:szCs w:val="24"/>
          <w:vertAlign w:val="superscript"/>
        </w:rPr>
        <w:t>[</w:t>
      </w:r>
      <w:r w:rsidR="00E81731" w:rsidRPr="00074190">
        <w:rPr>
          <w:rFonts w:ascii="Book Antiqua" w:eastAsia="Book Antiqua" w:hAnsi="Book Antiqua" w:cs="Book Antiqua"/>
          <w:sz w:val="24"/>
          <w:szCs w:val="24"/>
          <w:vertAlign w:val="superscript"/>
        </w:rPr>
        <w:fldChar w:fldCharType="begin" w:fldLock="1"/>
      </w:r>
      <w:r w:rsidR="00E81731" w:rsidRPr="00074190">
        <w:rPr>
          <w:rFonts w:ascii="Book Antiqua" w:eastAsia="Book Antiqua" w:hAnsi="Book Antiqua" w:cs="Book Antiqua"/>
          <w:sz w:val="24"/>
          <w:szCs w:val="24"/>
          <w:vertAlign w:val="superscript"/>
        </w:rPr>
        <w:instrText>ADDIN CSL_CITATION { "citationItems" : [ { "id" : "ITEM-1", "itemData" : { "DOI" : "10.1111/j.1600-6143.2008.02440.x", "ISSN" : "1600-6143", "PMID" : "18976306", "abstract" : "Patients considering living donor liver transplantation (LDLT) need to know the risk and severity of complications compared to deceased donor liver transplantation (DDLT). One aim of the Adult-to-Adult Living Donor Liver Transplantation Cohort Study (A2ALL) was to examine recipient complications following these procedures. Medical records of DDLT or LDLT recipients who had a living donor evaluated at the nine A2ALL centers between 1998 and 2003 were reviewed. Among 384 LDLT and 216 DDLT, at least one complication occurred after 82.8% of LDLT and 78.2% of DDLT (p = 0.17). There was a median of two complications after DDLT and three after LDLT. Complications that occurred at a higher rate (p &lt; 0.05) after LDLT included biliary leak (31.8% vs. 10.2%), unplanned reexploration (26.2% vs. 17.1%), hepatic artery thrombosis (6.5% vs. 2.3%) and portal vein thrombosis (2.9% vs. 0.0%). There were more complications leading to retransplantation or death (Clavien grade 4) after LDLT versus DDLT (15.9% vs. 9.3%, p = 0.023). Many complications occurred more commonly during early center experience; the odds of grade 4 complications were more than two-fold higher when centers had performed &lt;or=20 LDLT (vs. &gt;40). In summary, complication rates were higher after LDLT versus DDLT, but declined with center experience to levels comparable to DDLT.", "author" : [ { "dropping-particle" : "", "family" : "Freise", "given" : "C E", "non-dropping-particle" : "", "parse-names" : false, "suffix" : "" }, { "dropping-particle" : "", "family" : "Gillespie", "given" : "B W", "non-dropping-particle" : "", "parse-names" : false, "suffix" : "" }, { "dropping-particle" : "", "family" : "Koffron", "given" : "a J", "non-dropping-particle" : "", "parse-names" : false, "suffix" : "" }, { "dropping-particle" : "", "family" : "Lok", "given" : "A S F", "non-dropping-particle" : "", "parse-names" : false, "suffix" : "" }, { "dropping-particle" : "", "family" : "Pruett", "given" : "T L", "non-dropping-particle" : "", "parse-names" : false, "suffix" : "" }, { "dropping-particle" : "", "family" : "Emond", "given" : "J C", "non-dropping-particle" : "", "parse-names" : false, "suffix" : "" }, { "dropping-particle" : "", "family" : "Fair", "given" : "J H", "non-dropping-particle" : "", "parse-names" : false, "suffix" : "" }, { "dropping-particle" : "", "family" : "Fisher", "given" : "R a", "non-dropping-particle" : "", "parse-names" : false, "suffix" : "" }, { "dropping-particle" : "", "family" : "Olthoff", "given" : "K M", "non-dropping-particle" : "", "parse-names" : false, "suffix" : "" }, { "dropping-particle" : "", "family" : "Trotter", "given" : "J F", "non-dropping-particle" : "", "parse-names" : false, "suffix" : "" }, { "dropping-particle" : "", "family" : "Ghobrial", "given" : "R M", "non-dropping-particle" : "", "parse-names" : false, "suffix" : "" }, { "dropping-particle" : "", "family" : "Everhart", "given" : "J E", "non-dropping-particle" : "", "parse-names" : false, "suffix" : "" } ], "container-title" : "American journal of transplantation : official journal of the American Society of Transplantation and the American Society of Transplant Surgeons", "id" : "ITEM-1", "issue" : "12", "issued" : { "date-parts" : [ [ "2008", "12" ] ] }, "page" : "2569-79", "title" : "Recipient morbidity after living and deceased donor liver transplantation: findings from the A2ALL Retrospective Cohort Study.", "type" : "article-journal", "volume" : "8" }, "uris" : [ "http://www.mendeley.com/documents/?uuid=054363ba-793c-4dad-837e-a64563df4051" ] } ], "mendeley" : { "formattedCitation" : "&lt;sup&gt;7&lt;/sup&gt;", "plainTextFormattedCitation" : "7", "previouslyFormattedCitation" : "&lt;sup&gt;7&lt;/sup&gt;" }, "properties" : { "noteIndex" : 0 }, "schema" : "https://github.com/citation-style-language/schema/raw/master/csl-citation.json" }</w:instrText>
      </w:r>
      <w:r w:rsidR="00E81731" w:rsidRPr="00074190">
        <w:rPr>
          <w:rFonts w:ascii="Book Antiqua" w:eastAsia="Book Antiqua" w:hAnsi="Book Antiqua" w:cs="Book Antiqua"/>
          <w:sz w:val="24"/>
          <w:szCs w:val="24"/>
          <w:vertAlign w:val="superscript"/>
        </w:rPr>
        <w:fldChar w:fldCharType="separate"/>
      </w:r>
      <w:r w:rsidR="00E81731" w:rsidRPr="00074190">
        <w:rPr>
          <w:rFonts w:ascii="Book Antiqua" w:eastAsia="Book Antiqua" w:hAnsi="Book Antiqua" w:cs="Book Antiqua"/>
          <w:noProof/>
          <w:sz w:val="24"/>
          <w:szCs w:val="24"/>
          <w:vertAlign w:val="superscript"/>
        </w:rPr>
        <w:t>7</w:t>
      </w:r>
      <w:r w:rsidR="00E81731" w:rsidRPr="00074190">
        <w:rPr>
          <w:rFonts w:ascii="Book Antiqua" w:eastAsia="Book Antiqua" w:hAnsi="Book Antiqua" w:cs="Book Antiqua"/>
          <w:sz w:val="24"/>
          <w:szCs w:val="24"/>
          <w:vertAlign w:val="superscript"/>
        </w:rPr>
        <w:fldChar w:fldCharType="end"/>
      </w:r>
      <w:r w:rsidR="00E81731" w:rsidRPr="00074190">
        <w:rPr>
          <w:rFonts w:ascii="Book Antiqua" w:eastAsia="Book Antiqua" w:hAnsi="Book Antiqua" w:cs="Book Antiqua"/>
          <w:sz w:val="24"/>
          <w:szCs w:val="24"/>
          <w:vertAlign w:val="superscript"/>
        </w:rPr>
        <w:t>,</w:t>
      </w:r>
      <w:r w:rsidR="00E81731" w:rsidRPr="00074190">
        <w:rPr>
          <w:rFonts w:ascii="Book Antiqua" w:eastAsia="Book Antiqua" w:hAnsi="Book Antiqua" w:cs="Book Antiqua"/>
          <w:sz w:val="24"/>
          <w:szCs w:val="24"/>
          <w:vertAlign w:val="superscript"/>
        </w:rPr>
        <w:fldChar w:fldCharType="begin" w:fldLock="1"/>
      </w:r>
      <w:r w:rsidR="00E81731" w:rsidRPr="00074190">
        <w:rPr>
          <w:rFonts w:ascii="Book Antiqua" w:eastAsia="Book Antiqua" w:hAnsi="Book Antiqua" w:cs="Book Antiqua"/>
          <w:sz w:val="24"/>
          <w:szCs w:val="24"/>
          <w:vertAlign w:val="superscript"/>
        </w:rPr>
        <w:instrText>ADDIN CSL_CITATION { "citationItems" : [ { "id" : "ITEM-1", "itemData" : { "DOI" : "10.1001/archsurg.2011.218", "ISSN" : "1538-3644", "PMID" : "21931003", "abstract" : "BACKGROUND: Split liver transplantation (SLT) allows for expansion of the deceased donor pool.\n\nOBJECTIVES: To assess outcomes and the impact of splitting technique (in situ vs ex vivo) in SLT recipients.\n\nDESIGN: Single-center retrospective review (September 18, 1993, to July 1, 2010).\n\nSETTING: University medical center.\n\nPATIENTS: One hundred six SLT recipients.\n\nMAIN OUTCOME MEASURES: Postoperative graft and patient survival and postoperative complications.\n\nRESULTS: In adults, 1-, 5-, and 10-year overall patient survival was 93%, 77%, and 73%, respectively; overall graft survival was 89%, 76%, and 65%, respectively; ex vivo split patient survival was 93%, 85%, and 74%, respectively; and ex vivo graft survival was 86%, 77%, and 63%, respectively. In situ split patient and graft survival was 94% at 1 year and 75% at 5 years. Postoperative complications included biliary (29%), vascular (11%), unplanned reexploratory surgery (11%), incisional hernia (8%), small-for-size syndrome (n = 1), need for shunt at the time of SLT (n = 1), and primary nonfunction (n = 1). In children, 1-, 5-, and 10-year overall patient survival was 84%, 75%, and 69%, respectively; overall graft survival was 77%, 63%, and 57%, respectively; ex vivo split patient survival was 83%, 73%, and 73%, respectively; and ex vivo graft survival was 75%, 59%, and 59%, respectively. In situ split patient and graft survival was 86% at 1 and 5 years. Postoperative complications included biliary (40%), vascular (26%), and primary nonfunction (n = 1).\n\nCONCLUSIONS: Split liver transplantation remains an excellent option for expansion of the deceased donor pool for adult and pediatric populations. Postoperative morbidity remains high; however, this is justifiable owing to limited resources.", "author" : [ { "dropping-particle" : "", "family" : "Vagefi", "given" : "Parsia A", "non-dropping-particle" : "", "parse-names" : false, "suffix" : "" }, { "dropping-particle" : "", "family" : "Parekh", "given" : "Justin", "non-dropping-particle" : "", "parse-names" : false, "suffix" : "" }, { "dropping-particle" : "", "family" : "Ascher", "given" : "Nancy L", "non-dropping-particle" : "", "parse-names" : false, "suffix" : "" }, { "dropping-particle" : "", "family" : "Roberts", "given" : "John P", "non-dropping-particle" : "", "parse-names" : false, "suffix" : "" }, { "dropping-particle" : "", "family" : "Freise", "given" : "Chris E", "non-dropping-particle" : "", "parse-names" : false, "suffix" : "" } ], "container-title" : "Archives of surgery (Chicago, Ill. : 1960)", "id" : "ITEM-1", "issue" : "9", "issued" : { "date-parts" : [ [ "2011", "9" ] ] }, "page" : "1052-9", "title" : "Outcomes with split liver transplantation in 106 recipients: the University of California, San Francisco, experience from 1993 to 2010.", "type" : "article-journal", "volume" : "146" }, "uris" : [ "http://www.mendeley.com/documents/?uuid=5ece9e07-e9ef-4651-accb-b3f064c66791" ] } ], "mendeley" : { "formattedCitation" : "&lt;sup&gt;9&lt;/sup&gt;", "plainTextFormattedCitation" : "9", "previouslyFormattedCitation" : "&lt;sup&gt;9&lt;/sup&gt;" }, "properties" : { "noteIndex" : 0 }, "schema" : "https://github.com/citation-style-language/schema/raw/master/csl-citation.json" }</w:instrText>
      </w:r>
      <w:r w:rsidR="00E81731" w:rsidRPr="00074190">
        <w:rPr>
          <w:rFonts w:ascii="Book Antiqua" w:eastAsia="Book Antiqua" w:hAnsi="Book Antiqua" w:cs="Book Antiqua"/>
          <w:sz w:val="24"/>
          <w:szCs w:val="24"/>
          <w:vertAlign w:val="superscript"/>
        </w:rPr>
        <w:fldChar w:fldCharType="separate"/>
      </w:r>
      <w:r w:rsidR="00E81731" w:rsidRPr="00074190">
        <w:rPr>
          <w:rFonts w:ascii="Book Antiqua" w:eastAsia="Book Antiqua" w:hAnsi="Book Antiqua" w:cs="Book Antiqua"/>
          <w:noProof/>
          <w:sz w:val="24"/>
          <w:szCs w:val="24"/>
          <w:vertAlign w:val="superscript"/>
        </w:rPr>
        <w:t>9</w:t>
      </w:r>
      <w:r w:rsidR="00E81731" w:rsidRPr="00074190">
        <w:rPr>
          <w:rFonts w:ascii="Book Antiqua" w:eastAsia="Book Antiqua" w:hAnsi="Book Antiqua" w:cs="Book Antiqua"/>
          <w:sz w:val="24"/>
          <w:szCs w:val="24"/>
          <w:vertAlign w:val="superscript"/>
        </w:rPr>
        <w:fldChar w:fldCharType="end"/>
      </w:r>
      <w:r w:rsidR="00E81731" w:rsidRPr="00074190">
        <w:rPr>
          <w:rFonts w:ascii="Book Antiqua" w:eastAsia="Book Antiqua" w:hAnsi="Book Antiqua" w:cs="Book Antiqua"/>
          <w:sz w:val="24"/>
          <w:szCs w:val="24"/>
          <w:vertAlign w:val="superscript"/>
        </w:rPr>
        <w:t>]</w:t>
      </w:r>
      <w:r w:rsidR="007A2D1E" w:rsidRPr="00074190">
        <w:rPr>
          <w:rFonts w:ascii="Book Antiqua" w:eastAsia="Book Antiqua" w:hAnsi="Book Antiqua" w:cs="Book Antiqua"/>
          <w:sz w:val="24"/>
          <w:szCs w:val="24"/>
        </w:rPr>
        <w:t>,</w:t>
      </w:r>
      <w:r w:rsidR="00241956" w:rsidRPr="00074190">
        <w:rPr>
          <w:rFonts w:ascii="Book Antiqua" w:eastAsia="Book Antiqua" w:hAnsi="Book Antiqua" w:cs="Book Antiqua"/>
          <w:sz w:val="24"/>
          <w:szCs w:val="24"/>
          <w:vertAlign w:val="superscript"/>
        </w:rPr>
        <w:t xml:space="preserve"> </w:t>
      </w:r>
      <w:r w:rsidR="00241956" w:rsidRPr="00074190">
        <w:rPr>
          <w:rFonts w:ascii="Book Antiqua" w:eastAsia="Book Antiqua" w:hAnsi="Book Antiqua" w:cs="Book Antiqua"/>
          <w:sz w:val="24"/>
          <w:szCs w:val="24"/>
        </w:rPr>
        <w:t>with a decreasing trend in recent years. These include s</w:t>
      </w:r>
      <w:r w:rsidRPr="00074190">
        <w:rPr>
          <w:rFonts w:ascii="Book Antiqua" w:eastAsia="Book Antiqua" w:hAnsi="Book Antiqua" w:cs="Book Antiqua"/>
          <w:sz w:val="24"/>
          <w:szCs w:val="24"/>
        </w:rPr>
        <w:t>trictures, leaks, cast</w:t>
      </w:r>
      <w:r w:rsidR="00D17AB8">
        <w:rPr>
          <w:rFonts w:ascii="Book Antiqua" w:eastAsia="Book Antiqua" w:hAnsi="Book Antiqua" w:cs="Book Antiqua"/>
          <w:sz w:val="24"/>
          <w:szCs w:val="24"/>
        </w:rPr>
        <w:t>s, sludge</w:t>
      </w:r>
      <w:r w:rsidR="007A2D1E" w:rsidRPr="00074190">
        <w:rPr>
          <w:rFonts w:ascii="Book Antiqua" w:eastAsia="Book Antiqua" w:hAnsi="Book Antiqua" w:cs="Book Antiqua"/>
          <w:sz w:val="24"/>
          <w:szCs w:val="24"/>
        </w:rPr>
        <w:t>,</w:t>
      </w:r>
      <w:r w:rsidR="00D17AB8">
        <w:rPr>
          <w:rFonts w:ascii="Book Antiqua" w:eastAsia="Book Antiqua" w:hAnsi="Book Antiqua" w:cs="Book Antiqua"/>
          <w:sz w:val="24"/>
          <w:szCs w:val="24"/>
        </w:rPr>
        <w:t xml:space="preserve"> </w:t>
      </w:r>
      <w:r w:rsidR="00241956" w:rsidRPr="00074190">
        <w:rPr>
          <w:rFonts w:ascii="Book Antiqua" w:eastAsia="Book Antiqua" w:hAnsi="Book Antiqua" w:cs="Book Antiqua"/>
          <w:sz w:val="24"/>
          <w:szCs w:val="24"/>
        </w:rPr>
        <w:t>stones</w:t>
      </w:r>
      <w:r w:rsidR="007A2D1E" w:rsidRPr="00074190">
        <w:rPr>
          <w:rFonts w:ascii="Book Antiqua" w:eastAsia="Book Antiqua" w:hAnsi="Book Antiqua" w:cs="Book Antiqua"/>
          <w:sz w:val="24"/>
          <w:szCs w:val="24"/>
        </w:rPr>
        <w:t xml:space="preserve"> and Sphincter of Oddi dysfunction</w:t>
      </w:r>
      <w:r w:rsidR="00241956" w:rsidRPr="00074190">
        <w:rPr>
          <w:rFonts w:ascii="Book Antiqua" w:eastAsia="Book Antiqua" w:hAnsi="Book Antiqua" w:cs="Book Antiqua"/>
          <w:sz w:val="24"/>
          <w:szCs w:val="24"/>
        </w:rPr>
        <w:t xml:space="preserve"> of which strictures</w:t>
      </w:r>
      <w:r w:rsidR="007A2D1E" w:rsidRPr="00074190">
        <w:rPr>
          <w:rFonts w:ascii="Book Antiqua" w:eastAsia="Book Antiqua" w:hAnsi="Book Antiqua" w:cs="Book Antiqua"/>
          <w:sz w:val="24"/>
          <w:szCs w:val="24"/>
        </w:rPr>
        <w:t>,</w:t>
      </w:r>
      <w:r w:rsidR="00241956" w:rsidRPr="00074190">
        <w:rPr>
          <w:rFonts w:ascii="Book Antiqua" w:eastAsia="Book Antiqua" w:hAnsi="Book Antiqua" w:cs="Book Antiqua"/>
          <w:sz w:val="24"/>
          <w:szCs w:val="24"/>
        </w:rPr>
        <w:t xml:space="preserve"> bile le</w:t>
      </w:r>
      <w:r w:rsidR="00247E55" w:rsidRPr="00074190">
        <w:rPr>
          <w:rFonts w:ascii="Book Antiqua" w:eastAsia="Book Antiqua" w:hAnsi="Book Antiqua" w:cs="Book Antiqua"/>
          <w:sz w:val="24"/>
          <w:szCs w:val="24"/>
        </w:rPr>
        <w:t>aks</w:t>
      </w:r>
      <w:r w:rsidR="007A2D1E" w:rsidRPr="00074190">
        <w:rPr>
          <w:rFonts w:ascii="Book Antiqua" w:eastAsia="Book Antiqua" w:hAnsi="Book Antiqua" w:cs="Book Antiqua"/>
          <w:sz w:val="24"/>
          <w:szCs w:val="24"/>
        </w:rPr>
        <w:t xml:space="preserve"> and cast formation</w:t>
      </w:r>
      <w:r w:rsidR="00247E55" w:rsidRPr="00074190">
        <w:rPr>
          <w:rFonts w:ascii="Book Antiqua" w:eastAsia="Book Antiqua" w:hAnsi="Book Antiqua" w:cs="Book Antiqua"/>
          <w:sz w:val="24"/>
          <w:szCs w:val="24"/>
        </w:rPr>
        <w:t xml:space="preserve"> are the commonest, affecting patient and graft survival as well as re transplantation</w:t>
      </w:r>
      <w:r w:rsidR="00C31D17" w:rsidRPr="00074190">
        <w:rPr>
          <w:rFonts w:ascii="Book Antiqua" w:eastAsia="Book Antiqua" w:hAnsi="Book Antiqua" w:cs="Book Antiqua"/>
          <w:sz w:val="24"/>
          <w:szCs w:val="24"/>
        </w:rPr>
        <w:t xml:space="preserve"> rates</w:t>
      </w:r>
      <w:r w:rsidR="00247E55" w:rsidRPr="00074190">
        <w:rPr>
          <w:rFonts w:ascii="Book Antiqua" w:eastAsia="Book Antiqua" w:hAnsi="Book Antiqua" w:cs="Book Antiqua"/>
          <w:sz w:val="24"/>
          <w:szCs w:val="24"/>
        </w:rPr>
        <w:t xml:space="preserve">. </w:t>
      </w:r>
      <w:r w:rsidR="00241956" w:rsidRPr="00074190">
        <w:rPr>
          <w:rFonts w:ascii="Book Antiqua" w:eastAsia="Book Antiqua" w:hAnsi="Book Antiqua" w:cs="Book Antiqua"/>
          <w:sz w:val="24"/>
          <w:szCs w:val="24"/>
        </w:rPr>
        <w:t xml:space="preserve">Biliary </w:t>
      </w:r>
      <w:r w:rsidR="006A074B" w:rsidRPr="00074190">
        <w:rPr>
          <w:rFonts w:ascii="Book Antiqua" w:eastAsia="Book Antiqua" w:hAnsi="Book Antiqua" w:cs="Book Antiqua"/>
          <w:sz w:val="24"/>
          <w:szCs w:val="24"/>
        </w:rPr>
        <w:t>complications occur because of several anatomical and technical reasons and the management depends on a multi-disciplinary approach involving surgery, hepatology and radiology.</w:t>
      </w:r>
      <w:r w:rsidR="00247E55" w:rsidRPr="00074190">
        <w:rPr>
          <w:rFonts w:ascii="Book Antiqua" w:eastAsia="Book Antiqua" w:hAnsi="Book Antiqua" w:cs="Book Antiqua"/>
          <w:sz w:val="24"/>
          <w:szCs w:val="24"/>
        </w:rPr>
        <w:t xml:space="preserve"> </w:t>
      </w:r>
    </w:p>
    <w:p w:rsidR="005E3013" w:rsidRPr="00074190" w:rsidRDefault="005E3013" w:rsidP="00074190">
      <w:pPr>
        <w:spacing w:after="0" w:line="360" w:lineRule="auto"/>
        <w:jc w:val="both"/>
        <w:rPr>
          <w:rFonts w:ascii="Book Antiqua" w:eastAsia="Book Antiqua" w:hAnsi="Book Antiqua" w:cs="Book Antiqua"/>
          <w:b/>
          <w:sz w:val="24"/>
          <w:szCs w:val="24"/>
        </w:rPr>
      </w:pPr>
    </w:p>
    <w:p w:rsidR="005E3013" w:rsidRPr="00074190" w:rsidRDefault="00644BD6" w:rsidP="00074190">
      <w:pPr>
        <w:spacing w:after="0" w:line="360" w:lineRule="auto"/>
        <w:jc w:val="both"/>
        <w:rPr>
          <w:rFonts w:ascii="Book Antiqua" w:eastAsia="Book Antiqua" w:hAnsi="Book Antiqua" w:cs="Book Antiqua"/>
          <w:b/>
          <w:sz w:val="24"/>
          <w:szCs w:val="24"/>
        </w:rPr>
      </w:pPr>
      <w:r w:rsidRPr="00074190">
        <w:rPr>
          <w:rFonts w:ascii="Book Antiqua" w:eastAsia="Book Antiqua" w:hAnsi="Book Antiqua" w:cs="Book Antiqua"/>
          <w:b/>
          <w:sz w:val="24"/>
          <w:szCs w:val="24"/>
        </w:rPr>
        <w:t>ANATOMICAL CONSIDERATIONS IN THE BILIARY TRACT</w:t>
      </w:r>
    </w:p>
    <w:p w:rsidR="005E3013" w:rsidRPr="00074190" w:rsidRDefault="006A074B" w:rsidP="00074190">
      <w:pPr>
        <w:spacing w:after="0" w:line="360" w:lineRule="auto"/>
        <w:jc w:val="both"/>
        <w:rPr>
          <w:rFonts w:ascii="Book Antiqua" w:eastAsia="Book Antiqua" w:hAnsi="Book Antiqua" w:cs="Book Antiqua"/>
          <w:color w:val="000000"/>
          <w:sz w:val="24"/>
          <w:szCs w:val="24"/>
          <w:shd w:val="clear" w:color="auto" w:fill="FFFFFF"/>
        </w:rPr>
      </w:pPr>
      <w:r w:rsidRPr="00074190">
        <w:rPr>
          <w:rFonts w:ascii="Book Antiqua" w:eastAsia="Book Antiqua" w:hAnsi="Book Antiqua" w:cs="Book Antiqua"/>
          <w:sz w:val="24"/>
          <w:szCs w:val="24"/>
        </w:rPr>
        <w:t xml:space="preserve">It is important to have an understanding of hepatic vascular anatomy as it explains the high incidence of biliary complications after LT. The liver parenchyma has a dual blood supply via the hepatic artery and portal vein, but the biliary system is only supplied arterially. </w:t>
      </w:r>
      <w:r w:rsidRPr="00074190">
        <w:rPr>
          <w:rFonts w:ascii="Book Antiqua" w:eastAsia="Book Antiqua" w:hAnsi="Book Antiqua" w:cs="Book Antiqua"/>
          <w:color w:val="000000"/>
          <w:sz w:val="24"/>
          <w:szCs w:val="24"/>
          <w:shd w:val="clear" w:color="auto" w:fill="FFFFFF"/>
        </w:rPr>
        <w:t>The biliary epithelium is more liable to ischemic injury than hepatocytes. While bile ducts are relatively more tolerant than hepatocytes to anoxic injury, they are more susceptible to reoxygenation/reperfusion injury</w:t>
      </w:r>
      <w:r w:rsidR="009624AE" w:rsidRPr="00074190">
        <w:rPr>
          <w:rFonts w:ascii="Book Antiqua" w:eastAsia="Book Antiqua" w:hAnsi="Book Antiqua" w:cs="Book Antiqua"/>
          <w:color w:val="000000"/>
          <w:sz w:val="24"/>
          <w:szCs w:val="24"/>
          <w:shd w:val="clear" w:color="auto" w:fill="FFFFFF"/>
          <w:vertAlign w:val="superscript"/>
        </w:rPr>
        <w:t>[</w:t>
      </w:r>
      <w:r w:rsidR="00535B2B" w:rsidRPr="00074190">
        <w:rPr>
          <w:rFonts w:ascii="Book Antiqua" w:eastAsia="Book Antiqua" w:hAnsi="Book Antiqua" w:cs="Book Antiqua"/>
          <w:color w:val="000000"/>
          <w:sz w:val="24"/>
          <w:szCs w:val="24"/>
          <w:shd w:val="clear" w:color="auto" w:fill="FFFFFF"/>
          <w:vertAlign w:val="superscript"/>
        </w:rPr>
        <w:fldChar w:fldCharType="begin" w:fldLock="1"/>
      </w:r>
      <w:r w:rsidR="00D63F24" w:rsidRPr="00074190">
        <w:rPr>
          <w:rFonts w:ascii="Book Antiqua" w:eastAsia="Book Antiqua" w:hAnsi="Book Antiqua" w:cs="Book Antiqua"/>
          <w:color w:val="000000"/>
          <w:sz w:val="24"/>
          <w:szCs w:val="24"/>
          <w:shd w:val="clear" w:color="auto" w:fill="FFFFFF"/>
          <w:vertAlign w:val="superscript"/>
        </w:rPr>
        <w:instrText>ADDIN CSL_CITATION { "citationItems" : [ { "id" : "ITEM-1", "itemData" : { "ISSN" : "0041-1337", "PMID" : "8212138", "abstract" : "The occurrence of biliary strictures in allografts following liver transplantation correlates with the duration of preservation time. The correlation between preservation time and biliary strictures suggests that anoxic or reperfusion injury of the bile duct epithelium causes stricture formation. However, the relative susceptibility of bile duct cells to anoxic or reoxygenation injury is unknown. Our aims were to determine the vulnerability of rat liver bile duct cells to anoxic and reoxygenation injury and to compare the results with hepatocytes. During anoxia, bile duct epithelial cells were significantly more resistant to cell killing than hepatocytes. Rates of cellular proteolysis were also 2.5-fold lower in bile duct cells than in hepatocytes during anoxia. In contrast to anoxia, reoxygenation of anoxic cells increased cell killing of bile duct cells but improved viability of hepatocytes. The rate of toxic oxygen species formation by bile duct cells was 5-fold greater than in hepatocytes during reoxygenation. In addition, basal levels of glutathione are lower in bile duct cells than in hepatocytes. These data suggest that bile duct cells are more susceptible to reoxygenation injury than to anoxia. These studies support the hypothesis that reoxygenation injury during liver preservation leads to bile duct injury during liver transplantation.", "author" : [ { "dropping-particle" : "", "family" : "Noack", "given" : "K", "non-dropping-particle" : "", "parse-names" : false, "suffix" : "" }, { "dropping-particle" : "", "family" : "Bronk", "given" : "S F", "non-dropping-particle" : "", "parse-names" : false, "suffix" : "" }, { "dropping-particle" : "", "family" : "Kato", "given" : "A", "non-dropping-particle" : "", "parse-names" : false, "suffix" : "" }, { "dropping-particle" : "", "family" : "Gores", "given" : "G J", "non-dropping-particle" : "", "parse-names" : false, "suffix" : "" } ], "container-title" : "Transplantation", "id" : "ITEM-1", "issue" : "3", "issued" : { "date-parts" : [ [ "1993", "9" ] ] }, "page" : "495-500", "title" : "The greater vulnerability of bile duct cells to reoxygenation injury than to anoxia. Implications for the pathogenesis of biliary strictures after liver transplantation.", "type" : "article-journal", "volume" : "56" }, "uris" : [ "http://www.mendeley.com/documents/?uuid=75ff4158-4757-497b-85c1-1f2f836d2533" ] } ], "mendeley" : { "formattedCitation" : "&lt;sup&gt;10&lt;/sup&gt;", "plainTextFormattedCitation" : "10", "previouslyFormattedCitation" : "&lt;sup&gt;10&lt;/sup&gt;" }, "properties" : { "noteIndex" : 0 }, "schema" : "https://github.com/citation-style-language/schema/raw/master/csl-citation.json" }</w:instrText>
      </w:r>
      <w:r w:rsidR="00535B2B" w:rsidRPr="00074190">
        <w:rPr>
          <w:rFonts w:ascii="Book Antiqua" w:eastAsia="Book Antiqua" w:hAnsi="Book Antiqua" w:cs="Book Antiqua"/>
          <w:color w:val="000000"/>
          <w:sz w:val="24"/>
          <w:szCs w:val="24"/>
          <w:shd w:val="clear" w:color="auto" w:fill="FFFFFF"/>
          <w:vertAlign w:val="superscript"/>
        </w:rPr>
        <w:fldChar w:fldCharType="separate"/>
      </w:r>
      <w:r w:rsidR="00D63F24" w:rsidRPr="00074190">
        <w:rPr>
          <w:rFonts w:ascii="Book Antiqua" w:eastAsia="Book Antiqua" w:hAnsi="Book Antiqua" w:cs="Book Antiqua"/>
          <w:noProof/>
          <w:color w:val="000000"/>
          <w:sz w:val="24"/>
          <w:szCs w:val="24"/>
          <w:shd w:val="clear" w:color="auto" w:fill="FFFFFF"/>
          <w:vertAlign w:val="superscript"/>
        </w:rPr>
        <w:t>10</w:t>
      </w:r>
      <w:r w:rsidR="00535B2B" w:rsidRPr="00074190">
        <w:rPr>
          <w:rFonts w:ascii="Book Antiqua" w:eastAsia="Book Antiqua" w:hAnsi="Book Antiqua" w:cs="Book Antiqua"/>
          <w:color w:val="000000"/>
          <w:sz w:val="24"/>
          <w:szCs w:val="24"/>
          <w:shd w:val="clear" w:color="auto" w:fill="FFFFFF"/>
          <w:vertAlign w:val="superscript"/>
        </w:rPr>
        <w:fldChar w:fldCharType="end"/>
      </w:r>
      <w:r w:rsidR="009624AE" w:rsidRPr="00074190">
        <w:rPr>
          <w:rFonts w:ascii="Book Antiqua" w:eastAsia="Book Antiqua" w:hAnsi="Book Antiqua" w:cs="Book Antiqua"/>
          <w:color w:val="000000"/>
          <w:sz w:val="24"/>
          <w:szCs w:val="24"/>
          <w:shd w:val="clear" w:color="auto" w:fill="FFFFFF"/>
          <w:vertAlign w:val="superscript"/>
        </w:rPr>
        <w:t>]</w:t>
      </w:r>
      <w:r w:rsidRPr="00074190">
        <w:rPr>
          <w:rFonts w:ascii="Book Antiqua" w:eastAsia="Book Antiqua" w:hAnsi="Book Antiqua" w:cs="Book Antiqua"/>
          <w:color w:val="000000"/>
          <w:sz w:val="24"/>
          <w:szCs w:val="24"/>
          <w:shd w:val="clear" w:color="auto" w:fill="FFFFFF"/>
        </w:rPr>
        <w:t>. This in part explains the biliary complication rate as does the higher incidence of ischemic cholangiopathy in donation after cardiac death (DCD) organs compared to donation after brain death (DBD) organs</w:t>
      </w:r>
      <w:r w:rsidR="00644BD6" w:rsidRPr="00074190">
        <w:rPr>
          <w:rFonts w:ascii="Book Antiqua" w:eastAsia="Book Antiqua" w:hAnsi="Book Antiqua" w:cs="Book Antiqua"/>
          <w:color w:val="000000"/>
          <w:sz w:val="24"/>
          <w:szCs w:val="24"/>
          <w:shd w:val="clear" w:color="auto" w:fill="FFFFFF"/>
          <w:vertAlign w:val="superscript"/>
        </w:rPr>
        <w:t>[</w:t>
      </w:r>
      <w:r w:rsidR="00644BD6" w:rsidRPr="00074190">
        <w:rPr>
          <w:rFonts w:ascii="Book Antiqua" w:eastAsia="Book Antiqua" w:hAnsi="Book Antiqua" w:cs="Book Antiqua"/>
          <w:color w:val="000000"/>
          <w:sz w:val="24"/>
          <w:szCs w:val="24"/>
          <w:shd w:val="clear" w:color="auto" w:fill="FFFFFF"/>
          <w:vertAlign w:val="superscript"/>
        </w:rPr>
        <w:fldChar w:fldCharType="begin" w:fldLock="1"/>
      </w:r>
      <w:r w:rsidR="00644BD6" w:rsidRPr="00074190">
        <w:rPr>
          <w:rFonts w:ascii="Book Antiqua" w:eastAsia="Book Antiqua" w:hAnsi="Book Antiqua" w:cs="Book Antiqua"/>
          <w:color w:val="000000"/>
          <w:sz w:val="24"/>
          <w:szCs w:val="24"/>
          <w:shd w:val="clear" w:color="auto" w:fill="FFFFFF"/>
          <w:vertAlign w:val="superscript"/>
        </w:rPr>
        <w:instrText>ADDIN CSL_CITATION { "citationItems" : [ { "id" : "ITEM-1", "itemData" : { "DOI" : "10.1055/s-0028-1085092", "ISSN" : "0272-8087", "PMID" : "18814077", "abstract" : "Bile ducts are supplied with blood exclusively via hepatic arteries. Obstruction of large arteries is rapidly compensated for by the opening of preexisting intrahepatic or transcapsular collateral arteries, which prevents ischemic damage. Ischemic bile duct injury may occur when small hepatic arteries or the peribiliary vascular plexus are injured, or when all possible arterial blood supplies are interrupted, as is the case in transplanted liver with hepatic artery thrombosis. Most causes of bile duct ischemia are iatrogenic. Systemic diseases involving small hepatic arteries may also be implicated. Depending on the extent and velocity of the arterial obstructive process, ischemic cholangiopathy may present as acute formation of biliary casts, bile duct necrosis, or chronic disease resembling primary sclerosing cholangitis. In many patients, correction of arterial obstruction is not possible. When biliary drainage or reconstruction is not possible or has failed, liver transplantation is the only means of providing potential cure.", "author" : [ { "dropping-particle" : "", "family" : "Deltenre", "given" : "Pierre", "non-dropping-particle" : "", "parse-names" : false, "suffix" : "" }, { "dropping-particle" : "", "family" : "Valla", "given" : "Dominique-Charles", "non-dropping-particle" : "", "parse-names" : false, "suffix" : "" } ], "container-title" : "Seminars in liver disease", "id" : "ITEM-1", "issue" : "3", "issued" : { "date-parts" : [ [ "2008", "8" ] ] }, "page" : "235-46", "title" : "Ischemic cholangiopathy.", "type" : "article-journal", "volume" : "28" }, "uris" : [ "http://www.mendeley.com/documents/?uuid=4db4b7ec-0e50-4926-91cf-467662600a5f" ] } ], "mendeley" : { "formattedCitation" : "&lt;sup&gt;11&lt;/sup&gt;", "plainTextFormattedCitation" : "11", "previouslyFormattedCitation" : "&lt;sup&gt;11&lt;/sup&gt;" }, "properties" : { "noteIndex" : 0 }, "schema" : "https://github.com/citation-style-language/schema/raw/master/csl-citation.json" }</w:instrText>
      </w:r>
      <w:r w:rsidR="00644BD6" w:rsidRPr="00074190">
        <w:rPr>
          <w:rFonts w:ascii="Book Antiqua" w:eastAsia="Book Antiqua" w:hAnsi="Book Antiqua" w:cs="Book Antiqua"/>
          <w:color w:val="000000"/>
          <w:sz w:val="24"/>
          <w:szCs w:val="24"/>
          <w:shd w:val="clear" w:color="auto" w:fill="FFFFFF"/>
          <w:vertAlign w:val="superscript"/>
        </w:rPr>
        <w:fldChar w:fldCharType="separate"/>
      </w:r>
      <w:r w:rsidR="00644BD6" w:rsidRPr="00074190">
        <w:rPr>
          <w:rFonts w:ascii="Book Antiqua" w:eastAsia="Book Antiqua" w:hAnsi="Book Antiqua" w:cs="Book Antiqua"/>
          <w:noProof/>
          <w:color w:val="000000"/>
          <w:sz w:val="24"/>
          <w:szCs w:val="24"/>
          <w:shd w:val="clear" w:color="auto" w:fill="FFFFFF"/>
          <w:vertAlign w:val="superscript"/>
        </w:rPr>
        <w:t>11</w:t>
      </w:r>
      <w:r w:rsidR="00644BD6" w:rsidRPr="00074190">
        <w:rPr>
          <w:rFonts w:ascii="Book Antiqua" w:eastAsia="Book Antiqua" w:hAnsi="Book Antiqua" w:cs="Book Antiqua"/>
          <w:color w:val="000000"/>
          <w:sz w:val="24"/>
          <w:szCs w:val="24"/>
          <w:shd w:val="clear" w:color="auto" w:fill="FFFFFF"/>
          <w:vertAlign w:val="superscript"/>
        </w:rPr>
        <w:fldChar w:fldCharType="end"/>
      </w:r>
      <w:r w:rsidR="00644BD6" w:rsidRPr="00074190">
        <w:rPr>
          <w:rFonts w:ascii="Book Antiqua" w:eastAsia="Book Antiqua" w:hAnsi="Book Antiqua" w:cs="Book Antiqua"/>
          <w:color w:val="000000"/>
          <w:sz w:val="24"/>
          <w:szCs w:val="24"/>
          <w:shd w:val="clear" w:color="auto" w:fill="FFFFFF"/>
          <w:vertAlign w:val="superscript"/>
        </w:rPr>
        <w:t>,</w:t>
      </w:r>
      <w:r w:rsidR="00644BD6" w:rsidRPr="00074190">
        <w:rPr>
          <w:rFonts w:ascii="Book Antiqua" w:eastAsia="Book Antiqua" w:hAnsi="Book Antiqua" w:cs="Book Antiqua"/>
          <w:color w:val="000000"/>
          <w:sz w:val="24"/>
          <w:szCs w:val="24"/>
          <w:shd w:val="clear" w:color="auto" w:fill="FFFFFF"/>
          <w:vertAlign w:val="superscript"/>
        </w:rPr>
        <w:fldChar w:fldCharType="begin" w:fldLock="1"/>
      </w:r>
      <w:r w:rsidR="00644BD6" w:rsidRPr="00074190">
        <w:rPr>
          <w:rFonts w:ascii="Book Antiqua" w:eastAsia="Book Antiqua" w:hAnsi="Book Antiqua" w:cs="Book Antiqua"/>
          <w:color w:val="000000"/>
          <w:sz w:val="24"/>
          <w:szCs w:val="24"/>
          <w:shd w:val="clear" w:color="auto" w:fill="FFFFFF"/>
          <w:vertAlign w:val="superscript"/>
        </w:rPr>
        <w:instrText>ADDIN CSL_CITATION { "citationItems" : [ { "id" : "ITEM-1", "itemData" : { "DOI" : "10.1002/lt.21361", "ISSN" : "1527-6473", "PMID" : "18433032", "abstract" : "The use of donation after cardiac death (DCD) donor hepatic allografts is becoming more widespread; however, there have been published reports of increased graft failure from specific complications associated with this type of allograft. The complication of ischemic cholangiopathy (IC) has been reported to occur more frequently after the use of DCD hepatic allografts. We report the results of 52 liver transplants from DCD donors and the factors that influenced the development of IC. We conducted a retrospective review of all DCD and donation after brain death (DBD) donor liver recipients from September 2003 through December 2006 at a single institution. Survival and complication rates were compared between the 2 groups. The Cox proportional hazards model was then used to identify recipient and donor factors that predict the development of IC in the DCD group. There was no difference in 1-year patient or graft survival rates between the 2 groups. There was no incidence of primary nonfunction from the DCD allografts. Hepatic artery complications and anastomotic bile duct complications were comparable in the 2 groups. There was, however, an increased risk for the development of IC in the DCD group (13.7% versus 1%, P = 0.001). Donor weight &gt;100 kg and total ischemia times &gt; or =9 hours, in donors older than 50 years of age, predicted the development of IC in the DCD group. In conclusion, there is a higher incidence of IC in recipients receiving DCD donor livers; however, patient and graft outcomes with DCD donors remain comparable to those with DBD donors. Careful donor selection may improve utilization of these grafts.", "author" : [ { "dropping-particle" : "", "family" : "Chan", "given" : "Edie Y", "non-dropping-particle" : "", "parse-names" : false, "suffix" : "" }, { "dropping-particle" : "", "family" : "Olson", "given" : "Les C", "non-dropping-particle" : "", "parse-names" : false, "suffix" : "" }, { "dropping-particle" : "", "family" : "Kisthard", "given" : "James A", "non-dropping-particle" : "", "parse-names" : false, "suffix" : "" }, { "dropping-particle" : "", "family" : "Perkins", "given" : "James D", "non-dropping-particle" : "", "parse-names" : false, "suffix" : "" }, { "dropping-particle" : "", "family" : "Bakthavatsalam", "given" : "Ramasamy", "non-dropping-particle" : "", "parse-names" : false, "suffix" : "" }, { "dropping-particle" : "", "family" : "Halldorson", "given" : "Jeffrey B", "non-dropping-particle" : "", "parse-names" : false, "suffix" : "" }, { "dropping-particle" : "", "family" : "Reyes", "given" : "Jorge D", "non-dropping-particle" : "", "parse-names" : false, "suffix" : "" }, { "dropping-particle" : "", "family" : "Larson", "given" : "Anne M", "non-dropping-particle" : "", "parse-names" : false, "suffix" : "" }, { "dropping-particle" : "", "family" : "Levy", "given" : "Adam E", "non-dropping-particle" : "", "parse-names" : false, "suffix" : "" } ], "container-title" : "Liver transplantation : official publication of the American Association for the Study of Liver Diseases and the International Liver Transplantation Society", "id" : "ITEM-1", "issue" : "5", "issued" : { "date-parts" : [ [ "2008", "5" ] ] }, "page" : "604-10", "title" : "Ischemic cholangiopathy following liver transplantation from donation after cardiac death donors.", "type" : "article-journal", "volume" : "14" }, "uris" : [ "http://www.mendeley.com/documents/?uuid=1a1b081e-713e-4112-968a-d40c3e6357ce" ] } ], "mendeley" : { "formattedCitation" : "&lt;sup&gt;12&lt;/sup&gt;", "plainTextFormattedCitation" : "12", "previouslyFormattedCitation" : "&lt;sup&gt;12&lt;/sup&gt;" }, "properties" : { "noteIndex" : 0 }, "schema" : "https://github.com/citation-style-language/schema/raw/master/csl-citation.json" }</w:instrText>
      </w:r>
      <w:r w:rsidR="00644BD6" w:rsidRPr="00074190">
        <w:rPr>
          <w:rFonts w:ascii="Book Antiqua" w:eastAsia="Book Antiqua" w:hAnsi="Book Antiqua" w:cs="Book Antiqua"/>
          <w:color w:val="000000"/>
          <w:sz w:val="24"/>
          <w:szCs w:val="24"/>
          <w:shd w:val="clear" w:color="auto" w:fill="FFFFFF"/>
          <w:vertAlign w:val="superscript"/>
        </w:rPr>
        <w:fldChar w:fldCharType="separate"/>
      </w:r>
      <w:r w:rsidR="00644BD6" w:rsidRPr="00074190">
        <w:rPr>
          <w:rFonts w:ascii="Book Antiqua" w:eastAsia="Book Antiqua" w:hAnsi="Book Antiqua" w:cs="Book Antiqua"/>
          <w:noProof/>
          <w:color w:val="000000"/>
          <w:sz w:val="24"/>
          <w:szCs w:val="24"/>
          <w:shd w:val="clear" w:color="auto" w:fill="FFFFFF"/>
          <w:vertAlign w:val="superscript"/>
        </w:rPr>
        <w:t>12</w:t>
      </w:r>
      <w:r w:rsidR="00644BD6" w:rsidRPr="00074190">
        <w:rPr>
          <w:rFonts w:ascii="Book Antiqua" w:eastAsia="Book Antiqua" w:hAnsi="Book Antiqua" w:cs="Book Antiqua"/>
          <w:color w:val="000000"/>
          <w:sz w:val="24"/>
          <w:szCs w:val="24"/>
          <w:shd w:val="clear" w:color="auto" w:fill="FFFFFF"/>
          <w:vertAlign w:val="superscript"/>
        </w:rPr>
        <w:fldChar w:fldCharType="end"/>
      </w:r>
      <w:r w:rsidR="00644BD6" w:rsidRPr="00074190">
        <w:rPr>
          <w:rFonts w:ascii="Book Antiqua" w:eastAsia="Book Antiqua" w:hAnsi="Book Antiqua" w:cs="Book Antiqua"/>
          <w:color w:val="000000"/>
          <w:sz w:val="24"/>
          <w:szCs w:val="24"/>
          <w:shd w:val="clear" w:color="auto" w:fill="FFFFFF"/>
          <w:vertAlign w:val="superscript"/>
        </w:rPr>
        <w:t>]</w:t>
      </w:r>
      <w:r w:rsidR="009624AE" w:rsidRPr="00074190">
        <w:rPr>
          <w:rFonts w:ascii="Book Antiqua" w:eastAsia="Book Antiqua" w:hAnsi="Book Antiqua" w:cs="Book Antiqua"/>
          <w:color w:val="000000"/>
          <w:sz w:val="24"/>
          <w:szCs w:val="24"/>
          <w:shd w:val="clear" w:color="auto" w:fill="FFFFFF"/>
        </w:rPr>
        <w:t>.</w:t>
      </w:r>
      <w:r w:rsidRPr="00074190">
        <w:rPr>
          <w:rFonts w:ascii="Book Antiqua" w:eastAsia="Book Antiqua" w:hAnsi="Book Antiqua" w:cs="Book Antiqua"/>
          <w:color w:val="000000"/>
          <w:sz w:val="24"/>
          <w:szCs w:val="24"/>
          <w:shd w:val="clear" w:color="auto" w:fill="FFFFFF"/>
        </w:rPr>
        <w:t xml:space="preserve"> </w:t>
      </w:r>
    </w:p>
    <w:p w:rsidR="005E3013" w:rsidRPr="00074190" w:rsidRDefault="006A074B" w:rsidP="00074190">
      <w:pPr>
        <w:spacing w:after="0" w:line="360" w:lineRule="auto"/>
        <w:ind w:firstLineChars="200" w:firstLine="480"/>
        <w:jc w:val="both"/>
        <w:rPr>
          <w:rFonts w:ascii="Book Antiqua" w:eastAsia="Book Antiqua" w:hAnsi="Book Antiqua" w:cs="Book Antiqua"/>
          <w:color w:val="241F20"/>
          <w:sz w:val="24"/>
          <w:szCs w:val="24"/>
        </w:rPr>
      </w:pPr>
      <w:r w:rsidRPr="00074190">
        <w:rPr>
          <w:rFonts w:ascii="Book Antiqua" w:eastAsia="Book Antiqua" w:hAnsi="Book Antiqua" w:cs="Book Antiqua"/>
          <w:color w:val="241F20"/>
          <w:sz w:val="24"/>
          <w:szCs w:val="24"/>
        </w:rPr>
        <w:t xml:space="preserve">The </w:t>
      </w:r>
      <w:r w:rsidRPr="00074190">
        <w:rPr>
          <w:rFonts w:ascii="Book Antiqua" w:eastAsia="Book Antiqua" w:hAnsi="Book Antiqua" w:cs="Book Antiqua"/>
          <w:sz w:val="24"/>
          <w:szCs w:val="24"/>
        </w:rPr>
        <w:t xml:space="preserve">biliary tree is divided </w:t>
      </w:r>
      <w:r w:rsidRPr="00074190">
        <w:rPr>
          <w:rFonts w:ascii="Book Antiqua" w:eastAsia="Book Antiqua" w:hAnsi="Book Antiqua" w:cs="Book Antiqua"/>
          <w:color w:val="241F20"/>
          <w:sz w:val="24"/>
          <w:szCs w:val="24"/>
        </w:rPr>
        <w:t xml:space="preserve">into 3 segments: the hilar segment consisting of the right and left hepatic ducts, the supra-duodenal segment consisting of the common hepatic duct (CHD) and the upper common bile duct (CBD) and the retro-pancreatic segment consisting of the lower CBD. The supra-duodenal duct receives its blood supply in the form of a plexus of many small arteries, mainly the 3 o’clock artery and the 9 o’clock artery running along the lateral borders of the duct arising from </w:t>
      </w:r>
      <w:r w:rsidRPr="00074190">
        <w:rPr>
          <w:rFonts w:ascii="Book Antiqua" w:eastAsia="Book Antiqua" w:hAnsi="Book Antiqua" w:cs="Book Antiqua"/>
          <w:sz w:val="24"/>
          <w:szCs w:val="24"/>
        </w:rPr>
        <w:t xml:space="preserve">the retro-portal, retro-duodenal artery, gastro-duodenal artery, right branch of the hepatic artery, </w:t>
      </w:r>
      <w:r w:rsidR="00644BD6" w:rsidRPr="00074190">
        <w:rPr>
          <w:rFonts w:ascii="Book Antiqua" w:eastAsia="Book Antiqua" w:hAnsi="Book Antiqua" w:cs="Book Antiqua"/>
          <w:sz w:val="24"/>
          <w:szCs w:val="24"/>
        </w:rPr>
        <w:t>and/or cystic artery. Around 60</w:t>
      </w:r>
      <w:r w:rsidRPr="00074190">
        <w:rPr>
          <w:rFonts w:ascii="Book Antiqua" w:eastAsia="Book Antiqua" w:hAnsi="Book Antiqua" w:cs="Book Antiqua"/>
          <w:sz w:val="24"/>
          <w:szCs w:val="24"/>
        </w:rPr>
        <w:t>% of the arterial supply runs superiorly, mainly from the gas</w:t>
      </w:r>
      <w:r w:rsidR="00D17AB8">
        <w:rPr>
          <w:rFonts w:ascii="Book Antiqua" w:eastAsia="Book Antiqua" w:hAnsi="Book Antiqua" w:cs="Book Antiqua"/>
          <w:sz w:val="24"/>
          <w:szCs w:val="24"/>
        </w:rPr>
        <w:t xml:space="preserve">tro-duodenal artery, </w:t>
      </w:r>
      <w:r w:rsidR="00644BD6" w:rsidRPr="00074190">
        <w:rPr>
          <w:rFonts w:ascii="Book Antiqua" w:eastAsia="Book Antiqua" w:hAnsi="Book Antiqua" w:cs="Book Antiqua"/>
          <w:sz w:val="24"/>
          <w:szCs w:val="24"/>
        </w:rPr>
        <w:t>around 40</w:t>
      </w:r>
      <w:r w:rsidRPr="00074190">
        <w:rPr>
          <w:rFonts w:ascii="Book Antiqua" w:eastAsia="Book Antiqua" w:hAnsi="Book Antiqua" w:cs="Book Antiqua"/>
          <w:sz w:val="24"/>
          <w:szCs w:val="24"/>
        </w:rPr>
        <w:t>% runs inferiorly  from the common  hepatic artery  with a tiny fraction coming off the  main tru</w:t>
      </w:r>
      <w:r w:rsidR="00644BD6" w:rsidRPr="00074190">
        <w:rPr>
          <w:rFonts w:ascii="Book Antiqua" w:eastAsia="Book Antiqua" w:hAnsi="Book Antiqua" w:cs="Book Antiqua"/>
          <w:sz w:val="24"/>
          <w:szCs w:val="24"/>
        </w:rPr>
        <w:t>nk of the middle hepatic artery</w:t>
      </w:r>
      <w:r w:rsidR="009624AE"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color w:val="241F20"/>
          <w:sz w:val="24"/>
          <w:szCs w:val="24"/>
          <w:vertAlign w:val="superscript"/>
        </w:rPr>
        <w:fldChar w:fldCharType="begin" w:fldLock="1"/>
      </w:r>
      <w:r w:rsidR="00D63F24" w:rsidRPr="00074190">
        <w:rPr>
          <w:rFonts w:ascii="Book Antiqua" w:eastAsia="Book Antiqua" w:hAnsi="Book Antiqua" w:cs="Book Antiqua"/>
          <w:color w:val="241F20"/>
          <w:sz w:val="24"/>
          <w:szCs w:val="24"/>
          <w:vertAlign w:val="superscript"/>
        </w:rPr>
        <w:instrText>ADDIN CSL_CITATION { "citationItems" : [ { "id" : "ITEM-1", "itemData" : { "DOI" : "10.1080/13651820801992518", "ISSN" : "1365-182X", "PMID" : "18773059", "abstract" : "An intimate knowledge of the morphological, functional, and real anatomy is a prerequisite for obtaining optimal results in the complex surgery of extra and intrahepatic cholangiocarcinoma. A complete presentation of the surgical anatomy of the bile ducts includes study of the liver, hepatic surface, margins, and scissures. The frequent variations from the normal anatomy are described and an overview of the blood supply and lymphatics of the biliary tract is presented.", "author" : [ { "dropping-particle" : "", "family" : "Castaing", "given" : "Denis", "non-dropping-particle" : "", "parse-names" : false, "suffix" : "" } ], "container-title" : "HPB : the official journal of the International Hepato Pancreato Biliary Association", "id" : "ITEM-1", "issue" : "2", "issued" : { "date-parts" : [ [ "2008", "1" ] ] }, "page" : "72-6", "title" : "Surgical anatomy of the biliary tract.", "type" : "article-journal", "volume" : "10" }, "uris" : [ "http://www.mendeley.com/documents/?uuid=bb1384a6-8321-412f-8fb9-09e7d06650fd" ] } ], "mendeley" : { "formattedCitation" : "&lt;sup&gt;13&lt;/sup&gt;", "plainTextFormattedCitation" : "13", "previouslyFormattedCitation" : "&lt;sup&gt;13&lt;/sup&gt;" }, "properties" : { "noteIndex" : 0 }, "schema" : "https://github.com/citation-style-language/schema/raw/master/csl-citation.json" }</w:instrText>
      </w:r>
      <w:r w:rsidR="00535B2B" w:rsidRPr="00074190">
        <w:rPr>
          <w:rFonts w:ascii="Book Antiqua" w:eastAsia="Book Antiqua" w:hAnsi="Book Antiqua" w:cs="Book Antiqua"/>
          <w:color w:val="241F20"/>
          <w:sz w:val="24"/>
          <w:szCs w:val="24"/>
          <w:vertAlign w:val="superscript"/>
        </w:rPr>
        <w:fldChar w:fldCharType="separate"/>
      </w:r>
      <w:r w:rsidR="00D63F24" w:rsidRPr="00074190">
        <w:rPr>
          <w:rFonts w:ascii="Book Antiqua" w:eastAsia="Book Antiqua" w:hAnsi="Book Antiqua" w:cs="Book Antiqua"/>
          <w:noProof/>
          <w:color w:val="241F20"/>
          <w:sz w:val="24"/>
          <w:szCs w:val="24"/>
          <w:vertAlign w:val="superscript"/>
        </w:rPr>
        <w:t>13</w:t>
      </w:r>
      <w:r w:rsidR="00535B2B" w:rsidRPr="00074190">
        <w:rPr>
          <w:rFonts w:ascii="Book Antiqua" w:eastAsia="Book Antiqua" w:hAnsi="Book Antiqua" w:cs="Book Antiqua"/>
          <w:color w:val="241F20"/>
          <w:sz w:val="24"/>
          <w:szCs w:val="24"/>
          <w:vertAlign w:val="superscript"/>
        </w:rPr>
        <w:fldChar w:fldCharType="end"/>
      </w:r>
      <w:r w:rsidR="009624AE" w:rsidRPr="00074190">
        <w:rPr>
          <w:rFonts w:ascii="Book Antiqua" w:eastAsia="Book Antiqua" w:hAnsi="Book Antiqua" w:cs="Book Antiqua"/>
          <w:color w:val="241F20"/>
          <w:sz w:val="24"/>
          <w:szCs w:val="24"/>
          <w:vertAlign w:val="superscript"/>
        </w:rPr>
        <w:t>,</w:t>
      </w:r>
      <w:r w:rsidR="00535B2B" w:rsidRPr="00074190">
        <w:rPr>
          <w:rFonts w:ascii="Book Antiqua" w:eastAsia="Book Antiqua" w:hAnsi="Book Antiqua" w:cs="Book Antiqua"/>
          <w:color w:val="241F20"/>
          <w:sz w:val="24"/>
          <w:szCs w:val="24"/>
          <w:vertAlign w:val="superscript"/>
        </w:rPr>
        <w:fldChar w:fldCharType="begin" w:fldLock="1"/>
      </w:r>
      <w:r w:rsidR="00D63F24" w:rsidRPr="00074190">
        <w:rPr>
          <w:rFonts w:ascii="Book Antiqua" w:eastAsia="Book Antiqua" w:hAnsi="Book Antiqua" w:cs="Book Antiqua"/>
          <w:color w:val="241F20"/>
          <w:sz w:val="24"/>
          <w:szCs w:val="24"/>
          <w:vertAlign w:val="superscript"/>
        </w:rPr>
        <w:instrText>ADDIN CSL_CITATION { "citationItems" : [ { "id" : "ITEM-1", "itemData" : { "DOI" : "10.1016/j.jamcollsurg.2010.02.048", "ISSN" : "1879-1190", "PMID" : "20610245", "abstract" : "BACKGROUND: Biliary complications (BCs) are a major cause of morbidity and mortality after living donor liver transplantation (LDLT). They occur because the graft hepatic ducts are often small, thin walled, multiple, and may become ischemic during transection.\n\nSTUDY DESIGN: Of the 460 LDLTs done at our center before November 2009, the first 402 partial liver grafts had at least 3 months of follow-up. In the first 158, conventional hepatic duct isolation was used in the donor (group C). In the last 244 cases, the complete hilar plate and Glissonian sheath approach (HPGS) was used (group H). We compared the incidence and outcomes of BCs in the 2 groups.\n\nRESULTS: The rate of BC was significantly lower in group H (5.3%) than in group C (15.8%, p = 0.000). The incidence of early (within 3 months of transplant) BCs was similarly significantly lower in group H (3.3%) than in group C (13.2%, P=0.000). The incidence of late BCs in the 145 patients in group H who had completed at least 12 months of follow-up was 2.8%.The proportion of BCs needing surgical correction was much higher in group C (44%) than in group H (7.7%, p = 0.022).\n\nCONCLUSIONS: By providing a graft with a well-vascularized hepatic duct or ducts with a sheath of supporting tissue that holds sutures well, the HPGS approach minimizes the incidence and severity of BCs in LDLT.", "author" : [ { "dropping-particle" : "", "family" : "Soin", "given" : "Arvinder Singh", "non-dropping-particle" : "", "parse-names" : false, "suffix" : "" }, { "dropping-particle" : "", "family" : "Kumaran", "given" : "Vinay", "non-dropping-particle" : "", "parse-names" : false, "suffix" : "" }, { "dropping-particle" : "", "family" : "Rastogi", "given" : "Amit Nath", "non-dropping-particle" : "", "parse-names" : false, "suffix" : "" }, { "dropping-particle" : "", "family" : "Mohanka", "given" : "Ravi", "non-dropping-particle" : "", "parse-names" : false, "suffix" : "" }, { "dropping-particle" : "", "family" : "Mehta", "given" : "Naimish", "non-dropping-particle" : "", "parse-names" : false, "suffix" : "" }, { "dropping-particle" : "", "family" : "Saigal", "given" : "Sanjiv", "non-dropping-particle" : "", "parse-names" : false, "suffix" : "" }, { "dropping-particle" : "", "family" : "Saraf", "given" : "Neeraj", "non-dropping-particle" : "", "parse-names" : false, "suffix" : "" }, { "dropping-particle" : "", "family" : "Mohan", "given" : "Neelam", "non-dropping-particle" : "", "parse-names" : false, "suffix" : "" }, { "dropping-particle" : "", "family" : "Nundy", "given" : "Samiran", "non-dropping-particle" : "", "parse-names" : false, "suffix" : "" } ], "container-title" : "Journal of the American College of Surgeons", "id" : "ITEM-1", "issue" : "1", "issued" : { "date-parts" : [ [ "2010", "7" ] ] }, "page" : "24-32", "title" : "Evolution of a reliable biliary reconstructive technique in 400 consecutive living donor liver transplants.", "type" : "article-journal", "volume" : "211" }, "uris" : [ "http://www.mendeley.com/documents/?uuid=d14b0561-f80d-4e5e-94b5-f682b288e663" ] } ], "mendeley" : { "formattedCitation" : "&lt;sup&gt;14&lt;/sup&gt;", "plainTextFormattedCitation" : "14", "previouslyFormattedCitation" : "&lt;sup&gt;14&lt;/sup&gt;" }, "properties" : { "noteIndex" : 0 }, "schema" : "https://github.com/citation-style-language/schema/raw/master/csl-citation.json" }</w:instrText>
      </w:r>
      <w:r w:rsidR="00535B2B" w:rsidRPr="00074190">
        <w:rPr>
          <w:rFonts w:ascii="Book Antiqua" w:eastAsia="Book Antiqua" w:hAnsi="Book Antiqua" w:cs="Book Antiqua"/>
          <w:color w:val="241F20"/>
          <w:sz w:val="24"/>
          <w:szCs w:val="24"/>
          <w:vertAlign w:val="superscript"/>
        </w:rPr>
        <w:fldChar w:fldCharType="separate"/>
      </w:r>
      <w:r w:rsidR="00D63F24" w:rsidRPr="00074190">
        <w:rPr>
          <w:rFonts w:ascii="Book Antiqua" w:eastAsia="Book Antiqua" w:hAnsi="Book Antiqua" w:cs="Book Antiqua"/>
          <w:noProof/>
          <w:color w:val="241F20"/>
          <w:sz w:val="24"/>
          <w:szCs w:val="24"/>
          <w:vertAlign w:val="superscript"/>
        </w:rPr>
        <w:t>14</w:t>
      </w:r>
      <w:r w:rsidR="00535B2B" w:rsidRPr="00074190">
        <w:rPr>
          <w:rFonts w:ascii="Book Antiqua" w:eastAsia="Book Antiqua" w:hAnsi="Book Antiqua" w:cs="Book Antiqua"/>
          <w:color w:val="241F20"/>
          <w:sz w:val="24"/>
          <w:szCs w:val="24"/>
          <w:vertAlign w:val="superscript"/>
        </w:rPr>
        <w:fldChar w:fldCharType="end"/>
      </w:r>
      <w:r w:rsidR="009624AE" w:rsidRPr="00074190">
        <w:rPr>
          <w:rFonts w:ascii="Book Antiqua" w:eastAsia="Book Antiqua" w:hAnsi="Book Antiqua" w:cs="Book Antiqua"/>
          <w:color w:val="241F20"/>
          <w:sz w:val="24"/>
          <w:szCs w:val="24"/>
          <w:vertAlign w:val="superscript"/>
        </w:rPr>
        <w:t>]</w:t>
      </w:r>
      <w:r w:rsidRPr="00074190">
        <w:rPr>
          <w:rFonts w:ascii="Book Antiqua" w:eastAsia="Book Antiqua" w:hAnsi="Book Antiqua" w:cs="Book Antiqua"/>
          <w:color w:val="241F20"/>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vertAlign w:val="superscript"/>
        </w:rPr>
      </w:pPr>
      <w:r w:rsidRPr="00074190">
        <w:rPr>
          <w:rFonts w:ascii="Book Antiqua" w:eastAsia="Book Antiqua" w:hAnsi="Book Antiqua" w:cs="Book Antiqua"/>
          <w:color w:val="000000"/>
          <w:sz w:val="24"/>
          <w:szCs w:val="24"/>
          <w:shd w:val="clear" w:color="auto" w:fill="FFFFFF"/>
        </w:rPr>
        <w:t xml:space="preserve">The hilar and intrahepatic ducts are supplied by the peri-biliary vascular plexus, a network of capillaries arising from the terminal arterial branches of the right and left hepatic artery which also connects with the peri-ductal plexus supplying the supra-duodenal bile duct. </w:t>
      </w:r>
      <w:r w:rsidRPr="00074190">
        <w:rPr>
          <w:rFonts w:ascii="Book Antiqua" w:eastAsia="Book Antiqua" w:hAnsi="Book Antiqua" w:cs="Book Antiqua"/>
          <w:sz w:val="24"/>
          <w:szCs w:val="24"/>
        </w:rPr>
        <w:t>A communicating arcade of blood vessels connecting the right and left arterial system of the liver is located within the hilar plate originating from the segment 4 artery and the right branch of the middle hepatic artery.</w:t>
      </w:r>
      <w:r w:rsidRPr="00074190">
        <w:rPr>
          <w:rFonts w:ascii="Book Antiqua" w:eastAsia="Book Antiqua" w:hAnsi="Book Antiqua" w:cs="Book Antiqua"/>
          <w:sz w:val="24"/>
          <w:szCs w:val="24"/>
          <w:vertAlign w:val="superscript"/>
        </w:rPr>
        <w:t xml:space="preserve">  </w:t>
      </w:r>
      <w:r w:rsidRPr="00074190">
        <w:rPr>
          <w:rFonts w:ascii="Book Antiqua" w:eastAsia="Book Antiqua" w:hAnsi="Book Antiqua" w:cs="Book Antiqua"/>
          <w:sz w:val="24"/>
          <w:szCs w:val="24"/>
        </w:rPr>
        <w:t>This communicating arcade is spared during LDLT to provide adequate</w:t>
      </w:r>
      <w:r w:rsidR="00644BD6" w:rsidRPr="00074190">
        <w:rPr>
          <w:rFonts w:ascii="Book Antiqua" w:eastAsia="Book Antiqua" w:hAnsi="Book Antiqua" w:cs="Book Antiqua"/>
          <w:sz w:val="24"/>
          <w:szCs w:val="24"/>
        </w:rPr>
        <w:t xml:space="preserve"> blood supply to the donor duct</w:t>
      </w:r>
      <w:r w:rsidR="009624AE"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D63F24" w:rsidRPr="00074190">
        <w:rPr>
          <w:rFonts w:ascii="Book Antiqua" w:eastAsia="Book Antiqua" w:hAnsi="Book Antiqua" w:cs="Book Antiqua"/>
          <w:sz w:val="24"/>
          <w:szCs w:val="24"/>
          <w:vertAlign w:val="superscript"/>
        </w:rPr>
        <w:instrText>ADDIN CSL_CITATION { "citationItems" : [ { "id" : "ITEM-1", "itemData" : { "DOI" : "10.1016/j.amjsurg.2006.01.046", "ISSN" : "0002-9610", "PMID" : "16920417", "abstract" : "BACKGROUND: There is an increasing demand for living donor liver transplants. However, the biliary complication rates are still high.\n\nMETHODS: The anatomy of the communicating arcade (CA) between the right and left livers and its relevance to the blood supply of the hilar bile duct was evaluated using adult cadaveric livers and cast specimens.\n\nRESULTS: In all specimens that were of sufficient quality for evaluation, the CA was found to be located extrahepatically in the hilar plate with thin tributaries branching to the hilar bile duct. On the left side, 55% of the CA originated from a segment IV artery. On the right side, 73% of the CA originated from the right anterior hepatic artery.\n\nCONCLUSIONS: To maintain an adequate blood supply for the hilar bile duct of the donor graft during living donor liver transplantation, the branching point of the CA should be preserved.", "author" : [ { "dropping-particle" : "", "family" : "Gunji", "given" : "Hisashi", "non-dropping-particle" : "", "parse-names" : false, "suffix" : "" }, { "dropping-particle" : "", "family" : "Cho", "given" : "Akihiro", "non-dropping-particle" : "", "parse-names" : false, "suffix" : "" }, { "dropping-particle" : "", "family" : "Tohma", "given" : "Takayuki", "non-dropping-particle" : "", "parse-names" : false, "suffix" : "" }, { "dropping-particle" : "", "family" : "Okazumi", "given" : "Shinichi", "non-dropping-particle" : "", "parse-names" : false, "suffix" : "" }, { "dropping-particle" : "", "family" : "Makino", "given" : "Harufumi", "non-dropping-particle" : "", "parse-names" : false, "suffix" : "" }, { "dropping-particle" : "", "family" : "Shuto", "given" : "Kiyohiko", "non-dropping-particle" : "", "parse-names" : false, "suffix" : "" }, { "dropping-particle" : "", "family" : "Mochizuki", "given" : "Ryouyu", "non-dropping-particle" : "", "parse-names" : false, "suffix" : "" }, { "dropping-particle" : "", "family" : "Matsubara", "given" : "Katsuhiko", "non-dropping-particle" : "", "parse-names" : false, "suffix" : "" }, { "dropping-particle" : "", "family" : "Hayano", "given" : "Kouichi", "non-dropping-particle" : "", "parse-names" : false, "suffix" : "" }, { "dropping-particle" : "", "family" : "Mori", "given" : "Chisato", "non-dropping-particle" : "", "parse-names" : false, "suffix" : "" }, { "dropping-particle" : "", "family" : "Murakami", "given" : "Gen", "non-dropping-particle" : "", "parse-names" : false, "suffix" : "" }, { "dropping-particle" : "", "family" : "Ochiai", "given" : "Takenori", "non-dropping-particle" : "", "parse-names" : false, "suffix" : "" } ], "container-title" : "American journal of surgery", "id" : "ITEM-1", "issue" : "3", "issued" : { "date-parts" : [ [ "2006", "9" ] ] }, "page" : "276-80", "title" : "The blood supply of the hilar bile duct and its relationship to the communicating arcade located between the right and left hepatic arteries.", "type" : "article-journal", "volume" : "192" }, "uris" : [ "http://www.mendeley.com/documents/?uuid=bf0408af-a5bf-4990-9328-1b6678de83c2" ] } ], "mendeley" : { "formattedCitation" : "&lt;sup&gt;15&lt;/sup&gt;", "plainTextFormattedCitation" : "15", "previouslyFormattedCitation" : "&lt;sup&gt;15&lt;/sup&gt;"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D63F24" w:rsidRPr="00074190">
        <w:rPr>
          <w:rFonts w:ascii="Book Antiqua" w:eastAsia="Book Antiqua" w:hAnsi="Book Antiqua" w:cs="Book Antiqua"/>
          <w:noProof/>
          <w:sz w:val="24"/>
          <w:szCs w:val="24"/>
          <w:vertAlign w:val="superscript"/>
        </w:rPr>
        <w:t>15</w:t>
      </w:r>
      <w:r w:rsidR="00535B2B" w:rsidRPr="00074190">
        <w:rPr>
          <w:rFonts w:ascii="Book Antiqua" w:eastAsia="Book Antiqua" w:hAnsi="Book Antiqua" w:cs="Book Antiqua"/>
          <w:sz w:val="24"/>
          <w:szCs w:val="24"/>
          <w:vertAlign w:val="superscript"/>
        </w:rPr>
        <w:fldChar w:fldCharType="end"/>
      </w:r>
      <w:r w:rsidR="009624AE"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xml:space="preserve">. </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color w:val="000000"/>
          <w:sz w:val="24"/>
          <w:szCs w:val="24"/>
        </w:rPr>
        <w:t xml:space="preserve">Most of the arterial supply of the middle portion of the CBD comes from the retro-duodenal and retro-portal arteries below, and less comes from the right hepatic artery above.  During surgery, when these are dissected the middle part of the CBD is prone to ischemic injury. The nature of the arterial supply is the basis for why ischemia chiefly affects the middle third of the CBD, followed by the hepatic duct confluence, with intrahepatic involvement being the least common. </w:t>
      </w:r>
      <w:r w:rsidRPr="00074190">
        <w:rPr>
          <w:rFonts w:ascii="Book Antiqua" w:eastAsia="Book Antiqua" w:hAnsi="Book Antiqua" w:cs="Book Antiqua"/>
          <w:sz w:val="24"/>
          <w:szCs w:val="24"/>
        </w:rPr>
        <w:t>Segment 4 and the central portion of the left hepatic duct are often supplied by the right arterial system which is generally transected while performing a right hepatectomy compromising the blood supply to the donor biliary system contributing to donor morbidity</w:t>
      </w:r>
      <w:r w:rsidR="009624AE" w:rsidRPr="00074190">
        <w:rPr>
          <w:rFonts w:ascii="Book Antiqua" w:eastAsia="Book Antiqua" w:hAnsi="Book Antiqua" w:cs="Book Antiqua"/>
          <w:sz w:val="24"/>
          <w:szCs w:val="24"/>
          <w:vertAlign w:val="superscript"/>
        </w:rPr>
        <w:t>[</w:t>
      </w:r>
      <w:r w:rsidR="00644BD6" w:rsidRPr="00074190">
        <w:rPr>
          <w:rFonts w:ascii="Book Antiqua" w:eastAsia="Book Antiqua" w:hAnsi="Book Antiqua" w:cs="Book Antiqua"/>
          <w:sz w:val="24"/>
          <w:szCs w:val="24"/>
          <w:vertAlign w:val="superscript"/>
        </w:rPr>
        <w:fldChar w:fldCharType="begin" w:fldLock="1"/>
      </w:r>
      <w:r w:rsidR="00644BD6" w:rsidRPr="00074190">
        <w:rPr>
          <w:rFonts w:ascii="Book Antiqua" w:eastAsia="Book Antiqua" w:hAnsi="Book Antiqua" w:cs="Book Antiqua"/>
          <w:sz w:val="24"/>
          <w:szCs w:val="24"/>
          <w:vertAlign w:val="superscript"/>
        </w:rPr>
        <w:instrText>ADDIN CSL_CITATION { "citationItems" : [ { "id" : "ITEM-1", "itemData" : { "DOI" : "10.1055/s-0028-1085092", "ISSN" : "0272-8087", "PMID" : "18814077", "abstract" : "Bile ducts are supplied with blood exclusively via hepatic arteries. Obstruction of large arteries is rapidly compensated for by the opening of preexisting intrahepatic or transcapsular collateral arteries, which prevents ischemic damage. Ischemic bile duct injury may occur when small hepatic arteries or the peribiliary vascular plexus are injured, or when all possible arterial blood supplies are interrupted, as is the case in transplanted liver with hepatic artery thrombosis. Most causes of bile duct ischemia are iatrogenic. Systemic diseases involving small hepatic arteries may also be implicated. Depending on the extent and velocity of the arterial obstructive process, ischemic cholangiopathy may present as acute formation of biliary casts, bile duct necrosis, or chronic disease resembling primary sclerosing cholangitis. In many patients, correction of arterial obstruction is not possible. When biliary drainage or reconstruction is not possible or has failed, liver transplantation is the only means of providing potential cure.", "author" : [ { "dropping-particle" : "", "family" : "Deltenre", "given" : "Pierre", "non-dropping-particle" : "", "parse-names" : false, "suffix" : "" }, { "dropping-particle" : "", "family" : "Valla", "given" : "Dominique-Charles", "non-dropping-particle" : "", "parse-names" : false, "suffix" : "" } ], "container-title" : "Seminars in liver disease", "id" : "ITEM-1", "issue" : "3", "issued" : { "date-parts" : [ [ "2008", "8" ] ] }, "page" : "235-46", "title" : "Ischemic cholangiopathy.", "type" : "article-journal", "volume" : "28" }, "uris" : [ "http://www.mendeley.com/documents/?uuid=4db4b7ec-0e50-4926-91cf-467662600a5f" ] } ], "mendeley" : { "formattedCitation" : "&lt;sup&gt;11&lt;/sup&gt;", "plainTextFormattedCitation" : "11", "previouslyFormattedCitation" : "&lt;sup&gt;11&lt;/sup&gt;" }, "properties" : { "noteIndex" : 0 }, "schema" : "https://github.com/citation-style-language/schema/raw/master/csl-citation.json" }</w:instrText>
      </w:r>
      <w:r w:rsidR="00644BD6" w:rsidRPr="00074190">
        <w:rPr>
          <w:rFonts w:ascii="Book Antiqua" w:eastAsia="Book Antiqua" w:hAnsi="Book Antiqua" w:cs="Book Antiqua"/>
          <w:sz w:val="24"/>
          <w:szCs w:val="24"/>
          <w:vertAlign w:val="superscript"/>
        </w:rPr>
        <w:fldChar w:fldCharType="separate"/>
      </w:r>
      <w:r w:rsidR="00644BD6" w:rsidRPr="00074190">
        <w:rPr>
          <w:rFonts w:ascii="Book Antiqua" w:eastAsia="Book Antiqua" w:hAnsi="Book Antiqua" w:cs="Book Antiqua"/>
          <w:noProof/>
          <w:sz w:val="24"/>
          <w:szCs w:val="24"/>
          <w:vertAlign w:val="superscript"/>
        </w:rPr>
        <w:t>11</w:t>
      </w:r>
      <w:r w:rsidR="00644BD6" w:rsidRPr="00074190">
        <w:rPr>
          <w:rFonts w:ascii="Book Antiqua" w:eastAsia="Book Antiqua" w:hAnsi="Book Antiqua" w:cs="Book Antiqua"/>
          <w:sz w:val="24"/>
          <w:szCs w:val="24"/>
          <w:vertAlign w:val="superscript"/>
        </w:rPr>
        <w:fldChar w:fldCharType="end"/>
      </w:r>
      <w:r w:rsidR="00644BD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D63F24" w:rsidRPr="00074190">
        <w:rPr>
          <w:rFonts w:ascii="Book Antiqua" w:eastAsia="Book Antiqua" w:hAnsi="Book Antiqua" w:cs="Book Antiqua"/>
          <w:sz w:val="24"/>
          <w:szCs w:val="24"/>
          <w:vertAlign w:val="superscript"/>
        </w:rPr>
        <w:instrText>ADDIN CSL_CITATION { "citationItems" : [ { "id" : "ITEM-1", "itemData" : { "DOI" : "10.1080/13651820801992518", "ISSN" : "1365-182X", "PMID" : "18773059", "abstract" : "An intimate knowledge of the morphological, functional, and real anatomy is a prerequisite for obtaining optimal results in the complex surgery of extra and intrahepatic cholangiocarcinoma. A complete presentation of the surgical anatomy of the bile ducts includes study of the liver, hepatic surface, margins, and scissures. The frequent variations from the normal anatomy are described and an overview of the blood supply and lymphatics of the biliary tract is presented.", "author" : [ { "dropping-particle" : "", "family" : "Castaing", "given" : "Denis", "non-dropping-particle" : "", "parse-names" : false, "suffix" : "" } ], "container-title" : "HPB : the official journal of the International Hepato Pancreato Biliary Association", "id" : "ITEM-1", "issue" : "2", "issued" : { "date-parts" : [ [ "2008", "1" ] ] }, "page" : "72-6", "title" : "Surgical anatomy of the biliary tract.", "type" : "article-journal", "volume" : "10" }, "uris" : [ "http://www.mendeley.com/documents/?uuid=bb1384a6-8321-412f-8fb9-09e7d06650fd" ] } ], "mendeley" : { "formattedCitation" : "&lt;sup&gt;13&lt;/sup&gt;", "plainTextFormattedCitation" : "13", "previouslyFormattedCitation" : "&lt;sup&gt;13&lt;/sup&gt;"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D63F24" w:rsidRPr="00074190">
        <w:rPr>
          <w:rFonts w:ascii="Book Antiqua" w:eastAsia="Book Antiqua" w:hAnsi="Book Antiqua" w:cs="Book Antiqua"/>
          <w:noProof/>
          <w:sz w:val="24"/>
          <w:szCs w:val="24"/>
          <w:vertAlign w:val="superscript"/>
        </w:rPr>
        <w:t>13</w:t>
      </w:r>
      <w:r w:rsidR="00535B2B" w:rsidRPr="00074190">
        <w:rPr>
          <w:rFonts w:ascii="Book Antiqua" w:eastAsia="Book Antiqua" w:hAnsi="Book Antiqua" w:cs="Book Antiqua"/>
          <w:sz w:val="24"/>
          <w:szCs w:val="24"/>
          <w:vertAlign w:val="superscript"/>
        </w:rPr>
        <w:fldChar w:fldCharType="end"/>
      </w:r>
      <w:r w:rsidR="009624AE"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D63F24" w:rsidRPr="00074190">
        <w:rPr>
          <w:rFonts w:ascii="Book Antiqua" w:eastAsia="Book Antiqua" w:hAnsi="Book Antiqua" w:cs="Book Antiqua"/>
          <w:sz w:val="24"/>
          <w:szCs w:val="24"/>
          <w:vertAlign w:val="superscript"/>
        </w:rPr>
        <w:instrText>ADDIN CSL_CITATION { "citationItems" : [ { "id" : "ITEM-1", "itemData" : { "DOI" : "10.1016/j.jamcollsurg.2010.02.048", "ISSN" : "1879-1190", "PMID" : "20610245", "abstract" : "BACKGROUND: Biliary complications (BCs) are a major cause of morbidity and mortality after living donor liver transplantation (LDLT). They occur because the graft hepatic ducts are often small, thin walled, multiple, and may become ischemic during transection.\n\nSTUDY DESIGN: Of the 460 LDLTs done at our center before November 2009, the first 402 partial liver grafts had at least 3 months of follow-up. In the first 158, conventional hepatic duct isolation was used in the donor (group C). In the last 244 cases, the complete hilar plate and Glissonian sheath approach (HPGS) was used (group H). We compared the incidence and outcomes of BCs in the 2 groups.\n\nRESULTS: The rate of BC was significantly lower in group H (5.3%) than in group C (15.8%, p = 0.000). The incidence of early (within 3 months of transplant) BCs was similarly significantly lower in group H (3.3%) than in group C (13.2%, P=0.000). The incidence of late BCs in the 145 patients in group H who had completed at least 12 months of follow-up was 2.8%.The proportion of BCs needing surgical correction was much higher in group C (44%) than in group H (7.7%, p = 0.022).\n\nCONCLUSIONS: By providing a graft with a well-vascularized hepatic duct or ducts with a sheath of supporting tissue that holds sutures well, the HPGS approach minimizes the incidence and severity of BCs in LDLT.", "author" : [ { "dropping-particle" : "", "family" : "Soin", "given" : "Arvinder Singh", "non-dropping-particle" : "", "parse-names" : false, "suffix" : "" }, { "dropping-particle" : "", "family" : "Kumaran", "given" : "Vinay", "non-dropping-particle" : "", "parse-names" : false, "suffix" : "" }, { "dropping-particle" : "", "family" : "Rastogi", "given" : "Amit Nath", "non-dropping-particle" : "", "parse-names" : false, "suffix" : "" }, { "dropping-particle" : "", "family" : "Mohanka", "given" : "Ravi", "non-dropping-particle" : "", "parse-names" : false, "suffix" : "" }, { "dropping-particle" : "", "family" : "Mehta", "given" : "Naimish", "non-dropping-particle" : "", "parse-names" : false, "suffix" : "" }, { "dropping-particle" : "", "family" : "Saigal", "given" : "Sanjiv", "non-dropping-particle" : "", "parse-names" : false, "suffix" : "" }, { "dropping-particle" : "", "family" : "Saraf", "given" : "Neeraj", "non-dropping-particle" : "", "parse-names" : false, "suffix" : "" }, { "dropping-particle" : "", "family" : "Mohan", "given" : "Neelam", "non-dropping-particle" : "", "parse-names" : false, "suffix" : "" }, { "dropping-particle" : "", "family" : "Nundy", "given" : "Samiran", "non-dropping-particle" : "", "parse-names" : false, "suffix" : "" } ], "container-title" : "Journal of the American College of Surgeons", "id" : "ITEM-1", "issue" : "1", "issued" : { "date-parts" : [ [ "2010", "7" ] ] }, "page" : "24-32", "title" : "Evolution of a reliable biliary reconstructive technique in 400 consecutive living donor liver transplants.", "type" : "article-journal", "volume" : "211" }, "uris" : [ "http://www.mendeley.com/documents/?uuid=d14b0561-f80d-4e5e-94b5-f682b288e663" ] } ], "mendeley" : { "formattedCitation" : "&lt;sup&gt;14&lt;/sup&gt;", "plainTextFormattedCitation" : "14", "previouslyFormattedCitation" : "&lt;sup&gt;14&lt;/sup&gt;"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D63F24" w:rsidRPr="00074190">
        <w:rPr>
          <w:rFonts w:ascii="Book Antiqua" w:eastAsia="Book Antiqua" w:hAnsi="Book Antiqua" w:cs="Book Antiqua"/>
          <w:noProof/>
          <w:sz w:val="24"/>
          <w:szCs w:val="24"/>
          <w:vertAlign w:val="superscript"/>
        </w:rPr>
        <w:t>14</w:t>
      </w:r>
      <w:r w:rsidR="00535B2B" w:rsidRPr="00074190">
        <w:rPr>
          <w:rFonts w:ascii="Book Antiqua" w:eastAsia="Book Antiqua" w:hAnsi="Book Antiqua" w:cs="Book Antiqua"/>
          <w:sz w:val="24"/>
          <w:szCs w:val="24"/>
          <w:vertAlign w:val="superscript"/>
        </w:rPr>
        <w:fldChar w:fldCharType="end"/>
      </w:r>
      <w:r w:rsidR="009624AE"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ED2A50" w:rsidRPr="00074190" w:rsidRDefault="006A074B" w:rsidP="00074190">
      <w:pPr>
        <w:spacing w:after="0" w:line="360" w:lineRule="auto"/>
        <w:ind w:firstLineChars="200" w:firstLine="480"/>
        <w:jc w:val="both"/>
        <w:rPr>
          <w:rFonts w:ascii="Book Antiqua" w:hAnsi="Book Antiqua" w:cs="Book Antiqua"/>
          <w:color w:val="241F20"/>
          <w:sz w:val="24"/>
          <w:szCs w:val="24"/>
          <w:lang w:eastAsia="zh-CN"/>
        </w:rPr>
      </w:pPr>
      <w:r w:rsidRPr="00074190">
        <w:rPr>
          <w:rFonts w:ascii="Book Antiqua" w:eastAsia="Book Antiqua" w:hAnsi="Book Antiqua" w:cs="Book Antiqua"/>
          <w:sz w:val="24"/>
          <w:szCs w:val="24"/>
        </w:rPr>
        <w:t xml:space="preserve">Generally the </w:t>
      </w:r>
      <w:r w:rsidRPr="00074190">
        <w:rPr>
          <w:rFonts w:ascii="Book Antiqua" w:eastAsia="Book Antiqua" w:hAnsi="Book Antiqua" w:cs="Book Antiqua"/>
          <w:color w:val="241F20"/>
          <w:sz w:val="24"/>
          <w:szCs w:val="24"/>
        </w:rPr>
        <w:t>stump of the donor bile duct is divided away from the confluence of bile ducts to avoid a stricture of the bile duct remaining in the donor liver resulting in a higher incidence of multiple ducts in the right liver graft</w:t>
      </w:r>
      <w:r w:rsidR="009624AE" w:rsidRPr="00074190">
        <w:rPr>
          <w:rFonts w:ascii="Book Antiqua" w:eastAsia="Book Antiqua" w:hAnsi="Book Antiqua" w:cs="Book Antiqua"/>
          <w:color w:val="241F20"/>
          <w:sz w:val="24"/>
          <w:szCs w:val="24"/>
          <w:vertAlign w:val="superscript"/>
        </w:rPr>
        <w:t>[</w:t>
      </w:r>
      <w:r w:rsidR="00535B2B" w:rsidRPr="00074190">
        <w:rPr>
          <w:rFonts w:ascii="Book Antiqua" w:eastAsia="Book Antiqua" w:hAnsi="Book Antiqua" w:cs="Book Antiqua"/>
          <w:color w:val="241F20"/>
          <w:sz w:val="24"/>
          <w:szCs w:val="24"/>
          <w:vertAlign w:val="superscript"/>
        </w:rPr>
        <w:fldChar w:fldCharType="begin" w:fldLock="1"/>
      </w:r>
      <w:r w:rsidR="00D63F24" w:rsidRPr="00074190">
        <w:rPr>
          <w:rFonts w:ascii="Book Antiqua" w:eastAsia="Book Antiqua" w:hAnsi="Book Antiqua" w:cs="Book Antiqua"/>
          <w:color w:val="241F20"/>
          <w:sz w:val="24"/>
          <w:szCs w:val="24"/>
          <w:vertAlign w:val="superscript"/>
        </w:rPr>
        <w:instrText>ADDIN CSL_CITATION { "citationItems" : [ { "id" : "ITEM-1", "itemData" : { "DOI" : "10.1016/j.jamcollsurg.2010.02.048", "ISSN" : "1879-1190", "PMID" : "20610245", "abstract" : "BACKGROUND: Biliary complications (BCs) are a major cause of morbidity and mortality after living donor liver transplantation (LDLT). They occur because the graft hepatic ducts are often small, thin walled, multiple, and may become ischemic during transection.\n\nSTUDY DESIGN: Of the 460 LDLTs done at our center before November 2009, the first 402 partial liver grafts had at least 3 months of follow-up. In the first 158, conventional hepatic duct isolation was used in the donor (group C). In the last 244 cases, the complete hilar plate and Glissonian sheath approach (HPGS) was used (group H). We compared the incidence and outcomes of BCs in the 2 groups.\n\nRESULTS: The rate of BC was significantly lower in group H (5.3%) than in group C (15.8%, p = 0.000). The incidence of early (within 3 months of transplant) BCs was similarly significantly lower in group H (3.3%) than in group C (13.2%, P=0.000). The incidence of late BCs in the 145 patients in group H who had completed at least 12 months of follow-up was 2.8%.The proportion of BCs needing surgical correction was much higher in group C (44%) than in group H (7.7%, p = 0.022).\n\nCONCLUSIONS: By providing a graft with a well-vascularized hepatic duct or ducts with a sheath of supporting tissue that holds sutures well, the HPGS approach minimizes the incidence and severity of BCs in LDLT.", "author" : [ { "dropping-particle" : "", "family" : "Soin", "given" : "Arvinder Singh", "non-dropping-particle" : "", "parse-names" : false, "suffix" : "" }, { "dropping-particle" : "", "family" : "Kumaran", "given" : "Vinay", "non-dropping-particle" : "", "parse-names" : false, "suffix" : "" }, { "dropping-particle" : "", "family" : "Rastogi", "given" : "Amit Nath", "non-dropping-particle" : "", "parse-names" : false, "suffix" : "" }, { "dropping-particle" : "", "family" : "Mohanka", "given" : "Ravi", "non-dropping-particle" : "", "parse-names" : false, "suffix" : "" }, { "dropping-particle" : "", "family" : "Mehta", "given" : "Naimish", "non-dropping-particle" : "", "parse-names" : false, "suffix" : "" }, { "dropping-particle" : "", "family" : "Saigal", "given" : "Sanjiv", "non-dropping-particle" : "", "parse-names" : false, "suffix" : "" }, { "dropping-particle" : "", "family" : "Saraf", "given" : "Neeraj", "non-dropping-particle" : "", "parse-names" : false, "suffix" : "" }, { "dropping-particle" : "", "family" : "Mohan", "given" : "Neelam", "non-dropping-particle" : "", "parse-names" : false, "suffix" : "" }, { "dropping-particle" : "", "family" : "Nundy", "given" : "Samiran", "non-dropping-particle" : "", "parse-names" : false, "suffix" : "" } ], "container-title" : "Journal of the American College of Surgeons", "id" : "ITEM-1", "issue" : "1", "issued" : { "date-parts" : [ [ "2010", "7" ] ] }, "page" : "24-32", "title" : "Evolution of a reliable biliary reconstructive technique in 400 consecutive living donor liver transplants.", "type" : "article-journal", "volume" : "211" }, "uris" : [ "http://www.mendeley.com/documents/?uuid=d14b0561-f80d-4e5e-94b5-f682b288e663" ] } ], "mendeley" : { "formattedCitation" : "&lt;sup&gt;14&lt;/sup&gt;", "plainTextFormattedCitation" : "14", "previouslyFormattedCitation" : "&lt;sup&gt;14&lt;/sup&gt;" }, "properties" : { "noteIndex" : 0 }, "schema" : "https://github.com/citation-style-language/schema/raw/master/csl-citation.json" }</w:instrText>
      </w:r>
      <w:r w:rsidR="00535B2B" w:rsidRPr="00074190">
        <w:rPr>
          <w:rFonts w:ascii="Book Antiqua" w:eastAsia="Book Antiqua" w:hAnsi="Book Antiqua" w:cs="Book Antiqua"/>
          <w:color w:val="241F20"/>
          <w:sz w:val="24"/>
          <w:szCs w:val="24"/>
          <w:vertAlign w:val="superscript"/>
        </w:rPr>
        <w:fldChar w:fldCharType="separate"/>
      </w:r>
      <w:r w:rsidR="00D63F24" w:rsidRPr="00074190">
        <w:rPr>
          <w:rFonts w:ascii="Book Antiqua" w:eastAsia="Book Antiqua" w:hAnsi="Book Antiqua" w:cs="Book Antiqua"/>
          <w:noProof/>
          <w:color w:val="241F20"/>
          <w:sz w:val="24"/>
          <w:szCs w:val="24"/>
          <w:vertAlign w:val="superscript"/>
        </w:rPr>
        <w:t>14</w:t>
      </w:r>
      <w:r w:rsidR="00535B2B" w:rsidRPr="00074190">
        <w:rPr>
          <w:rFonts w:ascii="Book Antiqua" w:eastAsia="Book Antiqua" w:hAnsi="Book Antiqua" w:cs="Book Antiqua"/>
          <w:color w:val="241F20"/>
          <w:sz w:val="24"/>
          <w:szCs w:val="24"/>
          <w:vertAlign w:val="superscript"/>
        </w:rPr>
        <w:fldChar w:fldCharType="end"/>
      </w:r>
      <w:r w:rsidR="009624AE" w:rsidRPr="00074190">
        <w:rPr>
          <w:rFonts w:ascii="Book Antiqua" w:eastAsia="Book Antiqua" w:hAnsi="Book Antiqua" w:cs="Book Antiqua"/>
          <w:color w:val="241F20"/>
          <w:sz w:val="24"/>
          <w:szCs w:val="24"/>
          <w:vertAlign w:val="superscript"/>
        </w:rPr>
        <w:t>,</w:t>
      </w:r>
      <w:r w:rsidR="00535B2B" w:rsidRPr="00074190">
        <w:rPr>
          <w:rFonts w:ascii="Book Antiqua" w:eastAsia="Book Antiqua" w:hAnsi="Book Antiqua" w:cs="Book Antiqua"/>
          <w:color w:val="241F20"/>
          <w:sz w:val="24"/>
          <w:szCs w:val="24"/>
          <w:vertAlign w:val="superscript"/>
        </w:rPr>
        <w:fldChar w:fldCharType="begin" w:fldLock="1"/>
      </w:r>
      <w:r w:rsidR="00D63F24" w:rsidRPr="00074190">
        <w:rPr>
          <w:rFonts w:ascii="Book Antiqua" w:eastAsia="Book Antiqua" w:hAnsi="Book Antiqua" w:cs="Book Antiqua"/>
          <w:color w:val="241F20"/>
          <w:sz w:val="24"/>
          <w:szCs w:val="24"/>
          <w:vertAlign w:val="superscript"/>
        </w:rPr>
        <w:instrText>ADDIN CSL_CITATION { "citationItems" : [ { "id" : "ITEM-1", "itemData" : { "DOI" : "10.1097/TP.0b013e318188d4dc", "ISSN" : "1534-6080", "PMID" : "19034019", "abstract" : "Duct-to-duct reconstruction is associated with a higher incidence in biliary strictures in living donor liver transplantation (LDLT). However, a standard dissection technique for the recipient's bile duct has not been established. Here, we describe a simple bile duct dissection technique preserving maximum vascular integrity during total hepatectomy of the recipient. The present technique might facilitate duct-to-duct bile duct reconstruction in both right and left lobe LDLT and, thus, contribute to reduce biliary complications such as biliary strictures. We believe that this technique can be a standard in the field of LDLT.", "author" : [ { "dropping-particle" : "", "family" : "Soejima", "given" : "Yuji", "non-dropping-particle" : "", "parse-names" : false, "suffix" : "" }, { "dropping-particle" : "", "family" : "Fukuhara", "given" : "Takasuke", "non-dropping-particle" : "", "parse-names" : false, "suffix" : "" }, { "dropping-particle" : "", "family" : "Morita", "given" : "Kazutoyo", "non-dropping-particle" : "", "parse-names" : false, "suffix" : "" }, { "dropping-particle" : "", "family" : "Yoshizumi", "given" : "Tomoharu", "non-dropping-particle" : "", "parse-names" : false, "suffix" : "" }, { "dropping-particle" : "", "family" : "Ikegami", "given" : "Toru", "non-dropping-particle" : "", "parse-names" : false, "suffix" : "" }, { "dropping-particle" : "", "family" : "Yamashita", "given" : "Yoichi", "non-dropping-particle" : "", "parse-names" : false, "suffix" : "" }, { "dropping-particle" : "", "family" : "Sugimachi", "given" : "Keishi", "non-dropping-particle" : "", "parse-names" : false, "suffix" : "" }, { "dropping-particle" : "", "family" : "Taketomi", "given" : "Akinobu", "non-dropping-particle" : "", "parse-names" : false, "suffix" : "" }, { "dropping-particle" : "", "family" : "Maehara", "given" : "Yoshihiko", "non-dropping-particle" : "", "parse-names" : false, "suffix" : "" } ], "container-title" : "Transplantation", "id" : "ITEM-1", "issue" : "10", "issued" : { "date-parts" : [ [ "2008", "11", "27" ] ] }, "page" : "1468-9", "title" : "A simple hilar dissection technique preserving maximum blood supply to the bile duct in living donor liver transplantation.", "type" : "article-journal", "volume" : "86" }, "uris" : [ "http://www.mendeley.com/documents/?uuid=39a8046d-4d9c-4ebf-940c-9f1f0008fd40" ] } ], "mendeley" : { "formattedCitation" : "&lt;sup&gt;16&lt;/sup&gt;", "plainTextFormattedCitation" : "16", "previouslyFormattedCitation" : "&lt;sup&gt;16&lt;/sup&gt;" }, "properties" : { "noteIndex" : 0 }, "schema" : "https://github.com/citation-style-language/schema/raw/master/csl-citation.json" }</w:instrText>
      </w:r>
      <w:r w:rsidR="00535B2B" w:rsidRPr="00074190">
        <w:rPr>
          <w:rFonts w:ascii="Book Antiqua" w:eastAsia="Book Antiqua" w:hAnsi="Book Antiqua" w:cs="Book Antiqua"/>
          <w:color w:val="241F20"/>
          <w:sz w:val="24"/>
          <w:szCs w:val="24"/>
          <w:vertAlign w:val="superscript"/>
        </w:rPr>
        <w:fldChar w:fldCharType="separate"/>
      </w:r>
      <w:r w:rsidR="00D63F24" w:rsidRPr="00074190">
        <w:rPr>
          <w:rFonts w:ascii="Book Antiqua" w:eastAsia="Book Antiqua" w:hAnsi="Book Antiqua" w:cs="Book Antiqua"/>
          <w:noProof/>
          <w:color w:val="241F20"/>
          <w:sz w:val="24"/>
          <w:szCs w:val="24"/>
          <w:vertAlign w:val="superscript"/>
        </w:rPr>
        <w:t>16</w:t>
      </w:r>
      <w:r w:rsidR="00535B2B" w:rsidRPr="00074190">
        <w:rPr>
          <w:rFonts w:ascii="Book Antiqua" w:eastAsia="Book Antiqua" w:hAnsi="Book Antiqua" w:cs="Book Antiqua"/>
          <w:color w:val="241F20"/>
          <w:sz w:val="24"/>
          <w:szCs w:val="24"/>
          <w:vertAlign w:val="superscript"/>
        </w:rPr>
        <w:fldChar w:fldCharType="end"/>
      </w:r>
      <w:r w:rsidR="009624AE" w:rsidRPr="00074190">
        <w:rPr>
          <w:rFonts w:ascii="Book Antiqua" w:eastAsia="Book Antiqua" w:hAnsi="Book Antiqua" w:cs="Book Antiqua"/>
          <w:color w:val="241F20"/>
          <w:sz w:val="24"/>
          <w:szCs w:val="24"/>
          <w:vertAlign w:val="superscript"/>
        </w:rPr>
        <w:t>]</w:t>
      </w:r>
      <w:r w:rsidRPr="00074190">
        <w:rPr>
          <w:rFonts w:ascii="Book Antiqua" w:eastAsia="Book Antiqua" w:hAnsi="Book Antiqua" w:cs="Book Antiqua"/>
          <w:color w:val="241F20"/>
          <w:sz w:val="24"/>
          <w:szCs w:val="24"/>
        </w:rPr>
        <w:t>. Two or more ductal anastomoses has been shown to be a risk factor for d</w:t>
      </w:r>
      <w:r w:rsidR="00644BD6" w:rsidRPr="00074190">
        <w:rPr>
          <w:rFonts w:ascii="Book Antiqua" w:eastAsia="Book Antiqua" w:hAnsi="Book Antiqua" w:cs="Book Antiqua"/>
          <w:color w:val="241F20"/>
          <w:sz w:val="24"/>
          <w:szCs w:val="24"/>
        </w:rPr>
        <w:t>eveloping biliary complications</w:t>
      </w:r>
      <w:r w:rsidR="009624AE" w:rsidRPr="00074190">
        <w:rPr>
          <w:rFonts w:ascii="Book Antiqua" w:eastAsia="Book Antiqua" w:hAnsi="Book Antiqua" w:cs="Book Antiqua"/>
          <w:color w:val="241F20"/>
          <w:sz w:val="24"/>
          <w:szCs w:val="24"/>
          <w:vertAlign w:val="superscript"/>
        </w:rPr>
        <w:t>[</w:t>
      </w:r>
      <w:r w:rsidR="00535B2B" w:rsidRPr="00074190">
        <w:rPr>
          <w:rFonts w:ascii="Book Antiqua" w:eastAsia="Book Antiqua" w:hAnsi="Book Antiqua" w:cs="Book Antiqua"/>
          <w:color w:val="241F20"/>
          <w:sz w:val="24"/>
          <w:szCs w:val="24"/>
          <w:vertAlign w:val="superscript"/>
        </w:rPr>
        <w:fldChar w:fldCharType="begin" w:fldLock="1"/>
      </w:r>
      <w:r w:rsidR="00D63F24" w:rsidRPr="00074190">
        <w:rPr>
          <w:rFonts w:ascii="Book Antiqua" w:eastAsia="Book Antiqua" w:hAnsi="Book Antiqua" w:cs="Book Antiqua"/>
          <w:color w:val="241F20"/>
          <w:sz w:val="24"/>
          <w:szCs w:val="24"/>
          <w:vertAlign w:val="superscript"/>
        </w:rPr>
        <w:instrText>ADDIN CSL_CITATION { "citationItems" : [ { "id" : "ITEM-1", "itemData" : { "DOI" : "10.1002/lt.22381", "ISSN" : "1527-6473", "PMID" : "21761548", "abstract" : "Biliary complications occur more frequently after living donor liver transplantation (LDLT) versus deceased donor liver transplantation, and they remain the most common and intractable problems after LDLT. The anatomical limitations of multiple tiny bile ducts and the differential blood supplies of the graft ducts may be significant factors in the pathophysiological mechanisms of biliary complications in patients undergoing LDLT. A clear understanding of the biliary blood supply, the Glissonian sheath, and the hilar plate has contributed to new techniques for preparing bile ducts for anastomosis, and these techniques have resulted in a dramatic drop in the incidence of biliary complications. Most biliary complications after LDLT can be successfully treated with nonsurgical approaches, although the management of multiple biliary anastomoses and nonanastomotic strictures continues to be a challenge.", "author" : [ { "dropping-particle" : "", "family" : "Wang", "given" : "Shao Fa", "non-dropping-particle" : "", "parse-names" : false, "suffix" : "" }, { "dropping-particle" : "", "family" : "Huang", "given" : "Zhi Yong", "non-dropping-particle" : "", "parse-names" : false, "suffix" : "" }, { "dropping-particle" : "", "family" : "Chen", "given" : "Xiao Ping", "non-dropping-particle" : "", "parse-names" : false, "suffix" : "" } ], "container-title" : "Liver transplantation : official publication of the American Association for the Study of Liver Diseases and the International Liver Transplantation Society", "id" : "ITEM-1", "issue" : "10", "issued" : { "date-parts" : [ [ "2011", "10" ] ] }, "page" : "1127-36", "title" : "Biliary complications after living donor liver transplantation.", "type" : "article-journal", "volume" : "17" }, "uris" : [ "http://www.mendeley.com/documents/?uuid=c17fbd96-bd84-4976-aa6b-359ea5c10dfc" ] } ], "mendeley" : { "formattedCitation" : "&lt;sup&gt;17&lt;/sup&gt;", "plainTextFormattedCitation" : "17", "previouslyFormattedCitation" : "&lt;sup&gt;17&lt;/sup&gt;" }, "properties" : { "noteIndex" : 0 }, "schema" : "https://github.com/citation-style-language/schema/raw/master/csl-citation.json" }</w:instrText>
      </w:r>
      <w:r w:rsidR="00535B2B" w:rsidRPr="00074190">
        <w:rPr>
          <w:rFonts w:ascii="Book Antiqua" w:eastAsia="Book Antiqua" w:hAnsi="Book Antiqua" w:cs="Book Antiqua"/>
          <w:color w:val="241F20"/>
          <w:sz w:val="24"/>
          <w:szCs w:val="24"/>
          <w:vertAlign w:val="superscript"/>
        </w:rPr>
        <w:fldChar w:fldCharType="separate"/>
      </w:r>
      <w:r w:rsidR="00D63F24" w:rsidRPr="00074190">
        <w:rPr>
          <w:rFonts w:ascii="Book Antiqua" w:eastAsia="Book Antiqua" w:hAnsi="Book Antiqua" w:cs="Book Antiqua"/>
          <w:noProof/>
          <w:color w:val="241F20"/>
          <w:sz w:val="24"/>
          <w:szCs w:val="24"/>
          <w:vertAlign w:val="superscript"/>
        </w:rPr>
        <w:t>17</w:t>
      </w:r>
      <w:r w:rsidR="00535B2B" w:rsidRPr="00074190">
        <w:rPr>
          <w:rFonts w:ascii="Book Antiqua" w:eastAsia="Book Antiqua" w:hAnsi="Book Antiqua" w:cs="Book Antiqua"/>
          <w:color w:val="241F20"/>
          <w:sz w:val="24"/>
          <w:szCs w:val="24"/>
          <w:vertAlign w:val="superscript"/>
        </w:rPr>
        <w:fldChar w:fldCharType="end"/>
      </w:r>
      <w:r w:rsidR="009624AE" w:rsidRPr="00074190">
        <w:rPr>
          <w:rFonts w:ascii="Book Antiqua" w:eastAsia="Book Antiqua" w:hAnsi="Book Antiqua" w:cs="Book Antiqua"/>
          <w:color w:val="241F20"/>
          <w:sz w:val="24"/>
          <w:szCs w:val="24"/>
          <w:vertAlign w:val="superscript"/>
        </w:rPr>
        <w:t>,</w:t>
      </w:r>
      <w:r w:rsidR="00535B2B" w:rsidRPr="00074190">
        <w:rPr>
          <w:rFonts w:ascii="Book Antiqua" w:eastAsia="Book Antiqua" w:hAnsi="Book Antiqua" w:cs="Book Antiqua"/>
          <w:color w:val="241F20"/>
          <w:sz w:val="24"/>
          <w:szCs w:val="24"/>
          <w:vertAlign w:val="superscript"/>
        </w:rPr>
        <w:fldChar w:fldCharType="begin" w:fldLock="1"/>
      </w:r>
      <w:r w:rsidR="00D63F24" w:rsidRPr="00074190">
        <w:rPr>
          <w:rFonts w:ascii="Book Antiqua" w:eastAsia="Book Antiqua" w:hAnsi="Book Antiqua" w:cs="Book Antiqua"/>
          <w:color w:val="241F20"/>
          <w:sz w:val="24"/>
          <w:szCs w:val="24"/>
          <w:vertAlign w:val="superscript"/>
        </w:rPr>
        <w:instrText>ADDIN CSL_CITATION { "citationItems" : [ { "id" : "ITEM-1", "itemData" : { "DOI" : "10.1111/ajt.12034", "ISSN" : "1600-6143", "PMID" : "23331505", "abstract" : "Due to a vulnerable blood supply of the bile ducts, biliary complications are a major source of morbidity after liver transplantation (LT). Manifestation is either seen at the anastomotic region or at multiple locations of the donor biliary system, termed as nonanastomotic biliary strictures. Major risk factors include old donor age, marginal grafts and prolonged ischemia time. Moreover, partial LT or living donor liver transplantation (LDLT) and donation after cardiac death (DCD) bear a markedly higher risk of biliary complications. Especially accumulation of several risk factors is critical and should be avoided. Prophylaxis is still a major issue; however no gold standard is established so far, since many risk factors cannot be influenced directly. The diagnostic workup is mostly started with noninvasive imaging studies namely MRI and MRCP, but direct cholangiography still remains the gold standard. Especially nonanastomotic strictures require a multidisciplinary treatment approach. The primary management of anastomotic strictures is mainly interventional. However, surgical revision is finally indicated in a significant number of cases. Using adequate treatment algorithms, a very high success rate can be achieved in anastomotic complications, but in nonanastomotic strictures a relevant number of graft failures are still inevitable.", "author" : [ { "dropping-particle" : "", "family" : "Seehofer", "given" : "D", "non-dropping-particle" : "", "parse-names" : false, "suffix" : "" }, { "dropping-particle" : "", "family" : "Eurich", "given" : "D", "non-dropping-particle" : "", "parse-names" : false, "suffix" : "" }, { "dropping-particle" : "", "family" : "Veltzke-Schlieker", "given" : "W", "non-dropping-particle" : "", "parse-names" : false, "suffix" : "" }, { "dropping-particle" : "", "family" : "Neuhaus", "given" : "P", "non-dropping-particle" : "", "parse-names" : false, "suffix" : "" } ], "container-title" : "American journal of transplantation : official journal of the American Society of Transplantation and the American Society of Transplant Surgeons", "id" : "ITEM-1", "issue" : "2", "issued" : { "date-parts" : [ [ "2013", "2", "1" ] ] }, "page" : "253-65", "title" : "Biliary complications after liver transplantation: old problems and new challenges.", "type" : "article-journal", "volume" : "13" }, "uris" : [ "http://www.mendeley.com/documents/?uuid=df97d06e-b0d3-4c33-8fc9-e124d132f16e" ] } ], "mendeley" : { "formattedCitation" : "&lt;sup&gt;18&lt;/sup&gt;", "plainTextFormattedCitation" : "18", "previouslyFormattedCitation" : "&lt;sup&gt;18&lt;/sup&gt;" }, "properties" : { "noteIndex" : 0 }, "schema" : "https://github.com/citation-style-language/schema/raw/master/csl-citation.json" }</w:instrText>
      </w:r>
      <w:r w:rsidR="00535B2B" w:rsidRPr="00074190">
        <w:rPr>
          <w:rFonts w:ascii="Book Antiqua" w:eastAsia="Book Antiqua" w:hAnsi="Book Antiqua" w:cs="Book Antiqua"/>
          <w:color w:val="241F20"/>
          <w:sz w:val="24"/>
          <w:szCs w:val="24"/>
          <w:vertAlign w:val="superscript"/>
        </w:rPr>
        <w:fldChar w:fldCharType="separate"/>
      </w:r>
      <w:r w:rsidR="00D63F24" w:rsidRPr="00074190">
        <w:rPr>
          <w:rFonts w:ascii="Book Antiqua" w:eastAsia="Book Antiqua" w:hAnsi="Book Antiqua" w:cs="Book Antiqua"/>
          <w:noProof/>
          <w:color w:val="241F20"/>
          <w:sz w:val="24"/>
          <w:szCs w:val="24"/>
          <w:vertAlign w:val="superscript"/>
        </w:rPr>
        <w:t>18</w:t>
      </w:r>
      <w:r w:rsidR="00535B2B" w:rsidRPr="00074190">
        <w:rPr>
          <w:rFonts w:ascii="Book Antiqua" w:eastAsia="Book Antiqua" w:hAnsi="Book Antiqua" w:cs="Book Antiqua"/>
          <w:color w:val="241F20"/>
          <w:sz w:val="24"/>
          <w:szCs w:val="24"/>
          <w:vertAlign w:val="superscript"/>
        </w:rPr>
        <w:fldChar w:fldCharType="end"/>
      </w:r>
      <w:r w:rsidR="009624AE" w:rsidRPr="00074190">
        <w:rPr>
          <w:rFonts w:ascii="Book Antiqua" w:eastAsia="Book Antiqua" w:hAnsi="Book Antiqua" w:cs="Book Antiqua"/>
          <w:color w:val="241F20"/>
          <w:sz w:val="24"/>
          <w:szCs w:val="24"/>
          <w:vertAlign w:val="superscript"/>
        </w:rPr>
        <w:t>]</w:t>
      </w:r>
      <w:r w:rsidRPr="00074190">
        <w:rPr>
          <w:rFonts w:ascii="Book Antiqua" w:eastAsia="Book Antiqua" w:hAnsi="Book Antiqua" w:cs="Book Antiqua"/>
          <w:color w:val="241F20"/>
          <w:sz w:val="24"/>
          <w:szCs w:val="24"/>
        </w:rPr>
        <w:t>. However, studies published</w:t>
      </w:r>
      <w:r w:rsidR="004F54FD" w:rsidRPr="00074190">
        <w:rPr>
          <w:rFonts w:ascii="Book Antiqua" w:hAnsi="Book Antiqua" w:cs="Book Antiqua"/>
          <w:color w:val="241F20"/>
          <w:sz w:val="24"/>
          <w:szCs w:val="24"/>
          <w:vertAlign w:val="superscript"/>
          <w:lang w:eastAsia="zh-CN"/>
        </w:rPr>
        <w:t>[19]</w:t>
      </w:r>
      <w:r w:rsidRPr="00074190">
        <w:rPr>
          <w:rFonts w:ascii="Book Antiqua" w:eastAsia="Book Antiqua" w:hAnsi="Book Antiqua" w:cs="Book Antiqua"/>
          <w:color w:val="241F20"/>
          <w:sz w:val="24"/>
          <w:szCs w:val="24"/>
        </w:rPr>
        <w:t xml:space="preserve"> since 2008 have shown a considerable drop in overall incidence of biliary complications in recipients owing to more experience and better technique of the biliary anastomosis.  </w:t>
      </w:r>
    </w:p>
    <w:p w:rsidR="00AC5879" w:rsidRPr="00074190" w:rsidRDefault="007F6FBE" w:rsidP="00074190">
      <w:pPr>
        <w:spacing w:after="0" w:line="360" w:lineRule="auto"/>
        <w:ind w:firstLineChars="200" w:firstLine="480"/>
        <w:jc w:val="both"/>
        <w:rPr>
          <w:rFonts w:ascii="Book Antiqua" w:eastAsia="Book Antiqua" w:hAnsi="Book Antiqua" w:cs="Book Antiqua"/>
          <w:color w:val="241F20"/>
          <w:sz w:val="24"/>
          <w:szCs w:val="24"/>
        </w:rPr>
      </w:pPr>
      <w:r w:rsidRPr="00074190">
        <w:rPr>
          <w:rFonts w:ascii="Book Antiqua" w:eastAsia="Book Antiqua" w:hAnsi="Book Antiqua" w:cs="Book Antiqua"/>
          <w:color w:val="241F20"/>
          <w:sz w:val="24"/>
          <w:szCs w:val="24"/>
        </w:rPr>
        <w:t>B</w:t>
      </w:r>
      <w:r w:rsidR="00D71AD3" w:rsidRPr="00074190">
        <w:rPr>
          <w:rFonts w:ascii="Book Antiqua" w:eastAsia="Book Antiqua" w:hAnsi="Book Antiqua" w:cs="Book Antiqua"/>
          <w:color w:val="241F20"/>
          <w:sz w:val="24"/>
          <w:szCs w:val="24"/>
        </w:rPr>
        <w:t>iliary complications occurring after LDLT are classified according to the Clavien system</w:t>
      </w:r>
      <w:r w:rsidRPr="00074190">
        <w:rPr>
          <w:rFonts w:ascii="Book Antiqua" w:eastAsia="Book Antiqua" w:hAnsi="Book Antiqua" w:cs="Book Antiqua"/>
          <w:color w:val="241F20"/>
          <w:sz w:val="24"/>
          <w:szCs w:val="24"/>
        </w:rPr>
        <w:t xml:space="preserve"> des</w:t>
      </w:r>
      <w:r w:rsidR="000F5C96" w:rsidRPr="00074190">
        <w:rPr>
          <w:rFonts w:ascii="Book Antiqua" w:eastAsia="Book Antiqua" w:hAnsi="Book Antiqua" w:cs="Book Antiqua"/>
          <w:color w:val="241F20"/>
          <w:sz w:val="24"/>
          <w:szCs w:val="24"/>
        </w:rPr>
        <w:t>c</w:t>
      </w:r>
      <w:r w:rsidRPr="00074190">
        <w:rPr>
          <w:rFonts w:ascii="Book Antiqua" w:eastAsia="Book Antiqua" w:hAnsi="Book Antiqua" w:cs="Book Antiqua"/>
          <w:color w:val="241F20"/>
          <w:sz w:val="24"/>
          <w:szCs w:val="24"/>
        </w:rPr>
        <w:t>ribed below</w:t>
      </w:r>
      <w:r w:rsidR="00644BD6" w:rsidRPr="00074190">
        <w:rPr>
          <w:rFonts w:ascii="Book Antiqua" w:eastAsia="Book Antiqua" w:hAnsi="Book Antiqua" w:cs="Book Antiqua"/>
          <w:color w:val="241F20"/>
          <w:sz w:val="24"/>
          <w:szCs w:val="24"/>
          <w:vertAlign w:val="superscript"/>
        </w:rPr>
        <w:t>[</w:t>
      </w:r>
      <w:r w:rsidR="00644BD6" w:rsidRPr="00074190">
        <w:rPr>
          <w:rFonts w:ascii="Book Antiqua" w:eastAsia="Book Antiqua" w:hAnsi="Book Antiqua" w:cs="Book Antiqua"/>
          <w:color w:val="241F20"/>
          <w:sz w:val="24"/>
          <w:szCs w:val="24"/>
          <w:vertAlign w:val="superscript"/>
        </w:rPr>
        <w:fldChar w:fldCharType="begin" w:fldLock="1"/>
      </w:r>
      <w:r w:rsidR="00644BD6" w:rsidRPr="00074190">
        <w:rPr>
          <w:rFonts w:ascii="Book Antiqua" w:eastAsia="Book Antiqua" w:hAnsi="Book Antiqua" w:cs="Book Antiqua"/>
          <w:color w:val="241F20"/>
          <w:sz w:val="24"/>
          <w:szCs w:val="24"/>
          <w:vertAlign w:val="superscript"/>
        </w:rPr>
        <w:instrText>ADDIN CSL_CITATION { "citationItems" : [ { "id" : "ITEM-1", "itemData" : { "ISSN" : "0003-4932", "PMID" : "8053733", "abstract" : "OBJECTIVE: This study defined negative outcomes of solid organ transplantation, proposed a new classification of complications by severity, and applied the classification to evaluate the results of orthotopic liver transplantation (OLT).\n\nSUMMARY AND BACKGROUND DATA: The lack of uniform reporting of negative outcomes has made reports of transplantation procedures difficult to interpret and compare. In fact, only mortality is well reported; morbidity rates and severity of complications have been poorly described.\n\nMETHODS: Based on previous definition and classification of complications for general surgery, a new classification for transplantation in four grades is proposed. Results including risk factors of the first 215 OLTs performed at the University of Toronto have been evaluated using the classification.\n\nRESULTS: All but two patients (99%) had at least one complication of any kind, 92% of patients surviving more than 3 months had grade 1 (minor) complications, 74% had grade 2 (life-threatening) complications, and 30% had grade 3 (residual disability or cancer) complications. Twenty-nine per cent of patients had grade 4 complications (retransplantation or death). The most common grade 1 complications were steroid responsive rejection (69% of patients) and infection that did not require antibiotics or invasive procedures (23%). Grade 2 complications primarily were infection requiring antibiotics or invasive procedures (64%), postoperative bleeding requiring &gt; 3 units of packed red cells (35%), primary dysfunction (26%), and biliary disease treated with antibiotics or requiring invasive procedures (18%). The most frequent grade 3 complication was renal failure, which is defined as a permanent rise in serum creatinine levels &gt; or = twice the pretransplantation values (11%). Grade 4 complications (retransplantation or death) mainly were infection (14%) and primary dysfunction (11%). Comparison between the first and last 50 OLTs of the series indicates a significant decrease in the mean number of grade 1 and 2 complications. This was partially a result of better medical status of patients at the time of transplantation. Using univariate and multivariate analyses of risk factors, the best predictor of grade 1 complications was donor obesity; for grade 2 complications, the best predictor was a donor liver rewarming time of &gt; 90 minutes, and for grade 3 and 4 complications, the best predictor was the APACHE II scoring system and donor cardiac arrest.\n\nCONC\u2026", "author" : [ { "dropping-particle" : "", "family" : "Clavien", "given" : "P A", "non-dropping-particle" : "", "parse-names" : false, "suffix" : "" }, { "dropping-particle" : "", "family" : "Camargo", "given" : "C A", "non-dropping-particle" : "", "parse-names" : false, "suffix" : "" }, { "dropping-particle" : "", "family" : "Croxford", "given" : "R", "non-dropping-particle" : "", "parse-names" : false, "suffix" : "" }, { "dropping-particle" : "", "family" : "Langer", "given" : "B", "non-dropping-particle" : "", "parse-names" : false, "suffix" : "" }, { "dropping-particle" : "", "family" : "Levy", "given" : "G A", "non-dropping-particle" : "", "parse-names" : false, "suffix" : "" }, { "dropping-particle" : "", "family" : "Greig", "given" : "P D", "non-dropping-particle" : "", "parse-names" : false, "suffix" : "" } ], "container-title" : "Annals of surgery", "id" : "ITEM-1", "issue" : "2", "issued" : { "date-parts" : [ [ "1994", "8" ] ] }, "page" : "109-20", "title" : "Definition and classification of negative outcomes in solid organ transplantation. Application in liver transplantation.", "type" : "article-journal", "volume" : "220" }, "uris" : [ "http://www.mendeley.com/documents/?uuid=eb72adab-a871-49e4-ad6a-e29d1ec172ff" ] } ], "mendeley" : { "formattedCitation" : "&lt;sup&gt;20&lt;/sup&gt;", "plainTextFormattedCitation" : "20", "previouslyFormattedCitation" : "&lt;sup&gt;20&lt;/sup&gt;" }, "properties" : { "noteIndex" : 0 }, "schema" : "https://github.com/citation-style-language/schema/raw/master/csl-citation.json" }</w:instrText>
      </w:r>
      <w:r w:rsidR="00644BD6" w:rsidRPr="00074190">
        <w:rPr>
          <w:rFonts w:ascii="Book Antiqua" w:eastAsia="Book Antiqua" w:hAnsi="Book Antiqua" w:cs="Book Antiqua"/>
          <w:color w:val="241F20"/>
          <w:sz w:val="24"/>
          <w:szCs w:val="24"/>
          <w:vertAlign w:val="superscript"/>
        </w:rPr>
        <w:fldChar w:fldCharType="separate"/>
      </w:r>
      <w:r w:rsidR="00644BD6" w:rsidRPr="00074190">
        <w:rPr>
          <w:rFonts w:ascii="Book Antiqua" w:eastAsia="Book Antiqua" w:hAnsi="Book Antiqua" w:cs="Book Antiqua"/>
          <w:noProof/>
          <w:color w:val="241F20"/>
          <w:sz w:val="24"/>
          <w:szCs w:val="24"/>
          <w:vertAlign w:val="superscript"/>
        </w:rPr>
        <w:t>20</w:t>
      </w:r>
      <w:r w:rsidR="00644BD6" w:rsidRPr="00074190">
        <w:rPr>
          <w:rFonts w:ascii="Book Antiqua" w:eastAsia="Book Antiqua" w:hAnsi="Book Antiqua" w:cs="Book Antiqua"/>
          <w:color w:val="241F20"/>
          <w:sz w:val="24"/>
          <w:szCs w:val="24"/>
          <w:vertAlign w:val="superscript"/>
        </w:rPr>
        <w:fldChar w:fldCharType="end"/>
      </w:r>
      <w:r w:rsidR="00644BD6" w:rsidRPr="00074190">
        <w:rPr>
          <w:rFonts w:ascii="Book Antiqua" w:eastAsia="Book Antiqua" w:hAnsi="Book Antiqua" w:cs="Book Antiqua"/>
          <w:color w:val="241F20"/>
          <w:sz w:val="24"/>
          <w:szCs w:val="24"/>
          <w:vertAlign w:val="superscript"/>
        </w:rPr>
        <w:t>,</w:t>
      </w:r>
      <w:r w:rsidR="00644BD6" w:rsidRPr="00074190">
        <w:rPr>
          <w:rFonts w:ascii="Book Antiqua" w:eastAsia="Book Antiqua" w:hAnsi="Book Antiqua" w:cs="Book Antiqua"/>
          <w:color w:val="241F20"/>
          <w:sz w:val="24"/>
          <w:szCs w:val="24"/>
          <w:vertAlign w:val="superscript"/>
        </w:rPr>
        <w:fldChar w:fldCharType="begin" w:fldLock="1"/>
      </w:r>
      <w:r w:rsidR="00644BD6" w:rsidRPr="00074190">
        <w:rPr>
          <w:rFonts w:ascii="Book Antiqua" w:eastAsia="Book Antiqua" w:hAnsi="Book Antiqua" w:cs="Book Antiqua"/>
          <w:color w:val="241F20"/>
          <w:sz w:val="24"/>
          <w:szCs w:val="24"/>
          <w:vertAlign w:val="superscript"/>
        </w:rPr>
        <w:instrText>ADDIN CSL_CITATION { "citationItems" : [ { "id" : "ITEM-1", "itemData" : { "ISSN" : "0954-691X", "PMID" : "12544687", "abstract" : "Adult-to-adult living donor liver transplantation (LDLT) using right hemi-liver has become a promising treatment modality for patients with end-stage liver disease. The rapid adoption of the procedure has been triggered mainly by the significant gap between available cadaver grafts and the number of patients on the waiting list for liver transplant. Since the arguments against LDLT focus only on the safety of the donor, the demonstration that the donor operation can be performed with minimal morbidity will make it more ethically acceptable. The advantages of LDLT are the possibility of performing an elective operation, access to a graft in best condition, and the possibility of lowering the likelihood of death while waiting for a suitable organ. As well as the standard indications for liver transplantation, LDLT opens up the possibility of treatment of patients with borderline indications. Further improvement of surgical and medical technology, careful long-term follow-up of donors and recipients, and profound analysis of socioeconomic aspects are essential issues for the transplantation community.", "author" : [ { "dropping-particle" : "", "family" : "Broelsch", "given" : "Christoph E", "non-dropping-particle" : "", "parse-names" : false, "suffix" : "" }, { "dropping-particle" : "", "family" : "Frilling", "given" : "Andrea", "non-dropping-particle" : "", "parse-names" : false, "suffix" : "" }, { "dropping-particle" : "", "family" : "Testa", "given" : "Giuliano", "non-dropping-particle" : "", "parse-names" : false, "suffix" : "" }, { "dropping-particle" : "", "family" : "Malago", "given" : "Massimo", "non-dropping-particle" : "", "parse-names" : false, "suffix" : "" } ], "container-title" : "European journal of gastroenterology &amp; hepatology", "id" : "ITEM-1", "issue" : "1", "issued" : { "date-parts" : [ [ "2003", "1" ] ] }, "page" : "3-6", "title" : "Living donor liver transplantation in adults.", "type" : "article-journal", "volume" : "15" }, "uris" : [ "http://www.mendeley.com/documents/?uuid=a16399bf-f690-497e-8fe1-04bf12fb8d70" ] } ], "mendeley" : { "formattedCitation" : "&lt;sup&gt;21&lt;/sup&gt;", "plainTextFormattedCitation" : "21", "previouslyFormattedCitation" : "&lt;sup&gt;21&lt;/sup&gt;" }, "properties" : { "noteIndex" : 0 }, "schema" : "https://github.com/citation-style-language/schema/raw/master/csl-citation.json" }</w:instrText>
      </w:r>
      <w:r w:rsidR="00644BD6" w:rsidRPr="00074190">
        <w:rPr>
          <w:rFonts w:ascii="Book Antiqua" w:eastAsia="Book Antiqua" w:hAnsi="Book Antiqua" w:cs="Book Antiqua"/>
          <w:color w:val="241F20"/>
          <w:sz w:val="24"/>
          <w:szCs w:val="24"/>
          <w:vertAlign w:val="superscript"/>
        </w:rPr>
        <w:fldChar w:fldCharType="separate"/>
      </w:r>
      <w:r w:rsidR="00644BD6" w:rsidRPr="00074190">
        <w:rPr>
          <w:rFonts w:ascii="Book Antiqua" w:eastAsia="Book Antiqua" w:hAnsi="Book Antiqua" w:cs="Book Antiqua"/>
          <w:noProof/>
          <w:color w:val="241F20"/>
          <w:sz w:val="24"/>
          <w:szCs w:val="24"/>
          <w:vertAlign w:val="superscript"/>
        </w:rPr>
        <w:t>21</w:t>
      </w:r>
      <w:r w:rsidR="00644BD6" w:rsidRPr="00074190">
        <w:rPr>
          <w:rFonts w:ascii="Book Antiqua" w:eastAsia="Book Antiqua" w:hAnsi="Book Antiqua" w:cs="Book Antiqua"/>
          <w:color w:val="241F20"/>
          <w:sz w:val="24"/>
          <w:szCs w:val="24"/>
          <w:vertAlign w:val="superscript"/>
        </w:rPr>
        <w:fldChar w:fldCharType="end"/>
      </w:r>
      <w:r w:rsidR="00644BD6" w:rsidRPr="00074190">
        <w:rPr>
          <w:rFonts w:ascii="Book Antiqua" w:eastAsia="Book Antiqua" w:hAnsi="Book Antiqua" w:cs="Book Antiqua"/>
          <w:color w:val="241F20"/>
          <w:sz w:val="24"/>
          <w:szCs w:val="24"/>
          <w:vertAlign w:val="superscript"/>
        </w:rPr>
        <w:t>]</w:t>
      </w:r>
      <w:r w:rsidR="00644BD6" w:rsidRPr="00074190">
        <w:rPr>
          <w:rFonts w:ascii="Book Antiqua" w:hAnsi="Book Antiqua" w:cs="Book Antiqua"/>
          <w:color w:val="241F20"/>
          <w:sz w:val="24"/>
          <w:szCs w:val="24"/>
          <w:lang w:eastAsia="zh-CN"/>
        </w:rPr>
        <w:t xml:space="preserve"> (Table 1)</w:t>
      </w:r>
      <w:r w:rsidR="009624AE" w:rsidRPr="00074190">
        <w:rPr>
          <w:rFonts w:ascii="Book Antiqua" w:eastAsia="Book Antiqua" w:hAnsi="Book Antiqua" w:cs="Book Antiqua"/>
          <w:color w:val="241F20"/>
          <w:sz w:val="24"/>
          <w:szCs w:val="24"/>
        </w:rPr>
        <w:t>.</w:t>
      </w:r>
    </w:p>
    <w:p w:rsidR="006953C5" w:rsidRPr="00074190" w:rsidRDefault="006953C5" w:rsidP="00074190">
      <w:pPr>
        <w:spacing w:after="0" w:line="360" w:lineRule="auto"/>
        <w:jc w:val="both"/>
        <w:rPr>
          <w:rFonts w:ascii="Book Antiqua" w:eastAsia="Book Antiqua" w:hAnsi="Book Antiqua" w:cs="Book Antiqua"/>
          <w:color w:val="241F20"/>
          <w:sz w:val="24"/>
          <w:szCs w:val="24"/>
        </w:rPr>
      </w:pPr>
    </w:p>
    <w:p w:rsidR="005E3013" w:rsidRPr="00074190" w:rsidRDefault="00644BD6" w:rsidP="00074190">
      <w:pPr>
        <w:spacing w:after="0" w:line="360" w:lineRule="auto"/>
        <w:jc w:val="both"/>
        <w:rPr>
          <w:rFonts w:ascii="Book Antiqua" w:eastAsia="Book Antiqua" w:hAnsi="Book Antiqua" w:cs="Book Antiqua"/>
          <w:b/>
          <w:sz w:val="24"/>
          <w:szCs w:val="24"/>
          <w:u w:val="single"/>
        </w:rPr>
      </w:pPr>
      <w:r w:rsidRPr="00074190">
        <w:rPr>
          <w:rFonts w:ascii="Book Antiqua" w:eastAsia="Book Antiqua" w:hAnsi="Book Antiqua" w:cs="Book Antiqua"/>
          <w:b/>
          <w:sz w:val="24"/>
          <w:szCs w:val="24"/>
        </w:rPr>
        <w:t>RECIPIENT BILIARY COMPLICATIONS</w:t>
      </w:r>
    </w:p>
    <w:p w:rsidR="005E3013" w:rsidRPr="00074190" w:rsidRDefault="006A074B" w:rsidP="00074190">
      <w:pPr>
        <w:spacing w:after="0" w:line="360" w:lineRule="auto"/>
        <w:jc w:val="both"/>
        <w:rPr>
          <w:rFonts w:ascii="Book Antiqua" w:eastAsia="Book Antiqua" w:hAnsi="Book Antiqua" w:cs="Book Antiqua"/>
          <w:color w:val="FFFFFF" w:themeColor="background1"/>
          <w:sz w:val="24"/>
          <w:szCs w:val="24"/>
          <w:shd w:val="clear" w:color="auto" w:fill="FF0000"/>
        </w:rPr>
      </w:pPr>
      <w:r w:rsidRPr="00074190">
        <w:rPr>
          <w:rFonts w:ascii="Book Antiqua" w:eastAsia="Book Antiqua" w:hAnsi="Book Antiqua" w:cs="Book Antiqua"/>
          <w:sz w:val="24"/>
          <w:szCs w:val="24"/>
        </w:rPr>
        <w:t>The incidence of biliary complications after LDLT is very variable but can be divided into two main categories: bile leaks and strictures of the biliary tree (</w:t>
      </w:r>
      <w:r w:rsidR="00644BD6" w:rsidRPr="00074190">
        <w:rPr>
          <w:rFonts w:ascii="Book Antiqua" w:eastAsia="Book Antiqua" w:hAnsi="Book Antiqua" w:cs="Book Antiqua"/>
          <w:sz w:val="24"/>
          <w:szCs w:val="24"/>
        </w:rPr>
        <w:t xml:space="preserve">Table </w:t>
      </w:r>
      <w:r w:rsidR="00C63B2C" w:rsidRPr="00074190">
        <w:rPr>
          <w:rFonts w:ascii="Book Antiqua" w:eastAsia="Book Antiqua" w:hAnsi="Book Antiqua" w:cs="Book Antiqua"/>
          <w:sz w:val="24"/>
          <w:szCs w:val="24"/>
        </w:rPr>
        <w:t>2</w:t>
      </w:r>
      <w:r w:rsidRPr="00074190">
        <w:rPr>
          <w:rFonts w:ascii="Book Antiqua" w:eastAsia="Book Antiqua" w:hAnsi="Book Antiqua" w:cs="Book Antiqua"/>
          <w:sz w:val="24"/>
          <w:szCs w:val="24"/>
        </w:rPr>
        <w:t>).</w:t>
      </w:r>
      <w:r w:rsidR="00C63B2C" w:rsidRPr="00074190">
        <w:rPr>
          <w:rFonts w:ascii="Book Antiqua" w:eastAsia="Book Antiqua" w:hAnsi="Book Antiqua" w:cs="Book Antiqua"/>
          <w:sz w:val="24"/>
          <w:szCs w:val="24"/>
        </w:rPr>
        <w:t xml:space="preserve"> </w:t>
      </w:r>
      <w:r w:rsidR="000F5C96" w:rsidRPr="00074190">
        <w:rPr>
          <w:rFonts w:ascii="Book Antiqua" w:eastAsia="Book Antiqua" w:hAnsi="Book Antiqua" w:cs="Book Antiqua"/>
          <w:sz w:val="24"/>
          <w:szCs w:val="24"/>
        </w:rPr>
        <w:t>T</w:t>
      </w:r>
      <w:r w:rsidRPr="00074190">
        <w:rPr>
          <w:rFonts w:ascii="Book Antiqua" w:eastAsia="Book Antiqua" w:hAnsi="Book Antiqua" w:cs="Book Antiqua"/>
          <w:sz w:val="24"/>
          <w:szCs w:val="24"/>
        </w:rPr>
        <w:t>he type of graft</w:t>
      </w:r>
      <w:r w:rsidR="000F5C96" w:rsidRPr="00074190">
        <w:rPr>
          <w:rFonts w:ascii="Book Antiqua" w:eastAsia="Book Antiqua" w:hAnsi="Book Antiqua" w:cs="Book Antiqua"/>
          <w:sz w:val="24"/>
          <w:szCs w:val="24"/>
        </w:rPr>
        <w:t xml:space="preserve"> used in LDLT</w:t>
      </w:r>
      <w:r w:rsidRPr="00074190">
        <w:rPr>
          <w:rFonts w:ascii="Book Antiqua" w:eastAsia="Book Antiqua" w:hAnsi="Book Antiqua" w:cs="Book Antiqua"/>
          <w:sz w:val="24"/>
          <w:szCs w:val="24"/>
        </w:rPr>
        <w:t xml:space="preserve"> affects the complication rate, depending on whether the right or the left lobe is used. To try and ensure adequate graft function and prevent small for size syndrome, the graft size required is dependent on the weight of the recipient (typically at least 0.8</w:t>
      </w:r>
      <w:r w:rsidR="00644BD6"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-1% of the recipient weight). Hence, in adult to adult liver transplantation the larger right lobe is almost always used. This typically increases the complication rate but the management strategies remain</w:t>
      </w:r>
      <w:r w:rsidR="00C63B2C" w:rsidRPr="00074190">
        <w:rPr>
          <w:rFonts w:ascii="Book Antiqua" w:eastAsia="Book Antiqua" w:hAnsi="Book Antiqua" w:cs="Book Antiqua"/>
          <w:color w:val="000000" w:themeColor="text1"/>
          <w:sz w:val="24"/>
          <w:szCs w:val="24"/>
        </w:rPr>
        <w:t xml:space="preserve"> similar. </w:t>
      </w:r>
    </w:p>
    <w:p w:rsidR="005E3013" w:rsidRPr="00074190" w:rsidRDefault="005E3013" w:rsidP="00074190">
      <w:pPr>
        <w:spacing w:after="0" w:line="360" w:lineRule="auto"/>
        <w:jc w:val="both"/>
        <w:rPr>
          <w:rFonts w:ascii="Book Antiqua" w:eastAsia="Book Antiqua" w:hAnsi="Book Antiqua" w:cs="Book Antiqua"/>
          <w:color w:val="000000" w:themeColor="text1"/>
          <w:sz w:val="24"/>
          <w:szCs w:val="24"/>
        </w:rPr>
      </w:pPr>
    </w:p>
    <w:p w:rsidR="005E3013" w:rsidRPr="00074190" w:rsidRDefault="006A074B" w:rsidP="00074190">
      <w:pPr>
        <w:spacing w:after="0" w:line="360" w:lineRule="auto"/>
        <w:jc w:val="both"/>
        <w:rPr>
          <w:rFonts w:ascii="Book Antiqua" w:eastAsia="Book Antiqua" w:hAnsi="Book Antiqua" w:cs="Book Antiqua"/>
          <w:b/>
          <w:i/>
          <w:sz w:val="24"/>
          <w:szCs w:val="24"/>
        </w:rPr>
      </w:pPr>
      <w:r w:rsidRPr="00074190">
        <w:rPr>
          <w:rFonts w:ascii="Book Antiqua" w:eastAsia="Book Antiqua" w:hAnsi="Book Antiqua" w:cs="Book Antiqua"/>
          <w:b/>
          <w:i/>
          <w:sz w:val="24"/>
          <w:szCs w:val="24"/>
        </w:rPr>
        <w:t xml:space="preserve">Bile leaks </w:t>
      </w:r>
    </w:p>
    <w:p w:rsidR="005E3013" w:rsidRPr="00074190" w:rsidRDefault="006A074B" w:rsidP="00074190">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sz w:val="24"/>
          <w:szCs w:val="24"/>
        </w:rPr>
        <w:t>Bile leaks are a common biliary complication after LDLT compared to DDLT. In the United States, the multicenter A2ALL study reported two thirds of biliary complications after LDLT were due to bile leaks compared to less than a third after DDLT. Studies have reported a 6</w:t>
      </w:r>
      <w:r w:rsidR="00644BD6"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-2</w:t>
      </w:r>
      <w:r w:rsidR="00644BD6" w:rsidRPr="00074190">
        <w:rPr>
          <w:rFonts w:ascii="Book Antiqua" w:eastAsia="Book Antiqua" w:hAnsi="Book Antiqua" w:cs="Book Antiqua"/>
          <w:sz w:val="24"/>
          <w:szCs w:val="24"/>
        </w:rPr>
        <w:t>7</w:t>
      </w:r>
      <w:r w:rsidRPr="00074190">
        <w:rPr>
          <w:rFonts w:ascii="Book Antiqua" w:eastAsia="Book Antiqua" w:hAnsi="Book Antiqua" w:cs="Book Antiqua"/>
          <w:sz w:val="24"/>
          <w:szCs w:val="24"/>
        </w:rPr>
        <w:t>% overall incidence of bile leaks after LDLT</w:t>
      </w:r>
      <w:r w:rsidR="00644BD6" w:rsidRPr="00074190">
        <w:rPr>
          <w:rFonts w:ascii="Book Antiqua" w:hAnsi="Book Antiqua" w:cs="Book Antiqua"/>
          <w:sz w:val="24"/>
          <w:szCs w:val="24"/>
          <w:vertAlign w:val="superscript"/>
          <w:lang w:eastAsia="zh-CN"/>
        </w:rPr>
        <w:t>[31,</w:t>
      </w:r>
      <w:r w:rsidR="00535B2B" w:rsidRPr="00074190">
        <w:rPr>
          <w:rFonts w:ascii="Book Antiqua" w:eastAsia="Book Antiqua" w:hAnsi="Book Antiqua" w:cs="Book Antiqua"/>
          <w:sz w:val="24"/>
          <w:szCs w:val="24"/>
        </w:rPr>
        <w:fldChar w:fldCharType="begin" w:fldLock="1"/>
      </w:r>
      <w:r w:rsidR="009624AE" w:rsidRPr="00074190">
        <w:rPr>
          <w:rFonts w:ascii="Book Antiqua" w:eastAsia="Book Antiqua" w:hAnsi="Book Antiqua" w:cs="Book Antiqua"/>
          <w:sz w:val="24"/>
          <w:szCs w:val="24"/>
        </w:rPr>
        <w:instrText>ADDIN CSL_CITATION { "citationItems" : [ { "id" : "ITEM-1", "itemData" : { "ISSN" : "1522-8037", "PMID" : "17335675", "abstract" : "Biliary complications are a major cause of morbidity following orthotopic liver transplantation with an overall incidence between 11% and 25%. The most common complications are biliary leaks, strictures, and stones. These complications have an impact on graft survival, length of hospital stay, recovery, and overall cost of care. Therefore, knowledge of these complications and their management is important to the practicing gastroenterologist. Historically, biliary complications after liver transplantation have been managed surgically. However, with the growth of therapeutic endoscopic and percutaneous radiologic methods, most of these complications can now be managed less invasively. This article focuses on the incidence, timing, mechanism, and endoscopic management of biliary leak, strictures, stones, sludge, casts, and sphincter of Oddi dysfunction following liver transplantation.", "author" : [ { "dropping-particle" : "", "family" : "Scanga", "given" : "Andrew E", "non-dropping-particle" : "", "parse-names" : false, "suffix" : "" }, { "dropping-particle" : "V", "family" : "Kowdley", "given" : "Kris", "non-dropping-particle" : "", "parse-names" : false, "suffix" : "" } ], "container-title" : "Current gastroenterology reports", "id" : "ITEM-1", "issue" : "1", "issued" : { "date-parts" : [ [ "2007", "3" ] ] }, "page" : "31-8", "title" : "Management of biliary complications following orthotopic liver transplantation.", "type" : "article-journal", "volume" : "9" }, "uris" : [ "http://www.mendeley.com/documents/?uuid=5e7b182d-0b9d-4371-85f8-33d4caefb4da" ] } ], "mendeley" : { "formattedCitation" : "&lt;sup&gt;33&lt;/sup&gt;", "plainTextFormattedCitation" : "33", "previouslyFormattedCitation" : "&lt;sup&gt;33&lt;/sup&gt;" }, "properties" : { "noteIndex" : 0 }, "schema" : "https://github.com/citation-style-language/schema/raw/master/csl-citation.json" }</w:instrText>
      </w:r>
      <w:r w:rsidR="00535B2B" w:rsidRPr="00074190">
        <w:rPr>
          <w:rFonts w:ascii="Book Antiqua" w:eastAsia="Book Antiqua" w:hAnsi="Book Antiqua" w:cs="Book Antiqua"/>
          <w:sz w:val="24"/>
          <w:szCs w:val="24"/>
        </w:rPr>
        <w:fldChar w:fldCharType="separate"/>
      </w:r>
      <w:r w:rsidR="00ED2A50" w:rsidRPr="00074190">
        <w:rPr>
          <w:rFonts w:ascii="Book Antiqua" w:eastAsia="Book Antiqua" w:hAnsi="Book Antiqua" w:cs="Book Antiqua"/>
          <w:noProof/>
          <w:sz w:val="24"/>
          <w:szCs w:val="24"/>
          <w:vertAlign w:val="superscript"/>
        </w:rPr>
        <w:t>33</w:t>
      </w:r>
      <w:r w:rsidR="00535B2B" w:rsidRPr="00074190">
        <w:rPr>
          <w:rFonts w:ascii="Book Antiqua" w:eastAsia="Book Antiqua" w:hAnsi="Book Antiqua" w:cs="Book Antiqua"/>
          <w:sz w:val="24"/>
          <w:szCs w:val="24"/>
        </w:rPr>
        <w:fldChar w:fldCharType="end"/>
      </w:r>
      <w:r w:rsidR="004F54FD" w:rsidRPr="00074190">
        <w:rPr>
          <w:rFonts w:ascii="Book Antiqua" w:hAnsi="Book Antiqua" w:cs="Book Antiqua"/>
          <w:sz w:val="24"/>
          <w:szCs w:val="24"/>
          <w:vertAlign w:val="superscript"/>
          <w:lang w:eastAsia="zh-CN"/>
        </w:rPr>
        <w:t>-</w:t>
      </w:r>
      <w:r w:rsidR="00535B2B" w:rsidRPr="00074190">
        <w:rPr>
          <w:rFonts w:ascii="Book Antiqua" w:eastAsia="Book Antiqua" w:hAnsi="Book Antiqua" w:cs="Book Antiqua"/>
          <w:sz w:val="24"/>
          <w:szCs w:val="24"/>
        </w:rPr>
        <w:fldChar w:fldCharType="begin" w:fldLock="1"/>
      </w:r>
      <w:r w:rsidR="009624AE" w:rsidRPr="00074190">
        <w:rPr>
          <w:rFonts w:ascii="Book Antiqua" w:eastAsia="Book Antiqua" w:hAnsi="Book Antiqua" w:cs="Book Antiqua"/>
          <w:sz w:val="24"/>
          <w:szCs w:val="24"/>
        </w:rPr>
        <w:instrText>ADDIN CSL_CITATION { "citationItems" : [ { "id" : "ITEM-1", "itemData" : { "DOI" : "10.1053/jlts.2000.18706", "ISBN" : "4920172311", "ISSN" : "1527-6465", "PMID" : "11084056", "abstract" : "Since the introduction of adult-to-adult living donor liver transplantation using the right lobe of the liver, biliary problems have led the list of complications resulting in postoperative morbidity. We report our experience with the first 30 living donor liver transplantations performed in our institution from August 1998 to January 2000. Patients were 21 men and 9 women, with a mean age 45 +/- 16 years. Mean recipient weight was 65.1 +/- 17.9 kg, mean graft weight was 877 +/- 146 g, and the mean graft-recipient weight ratio was 1.5 +/- 0.6. Patient and graft survival rates were 83.3% and 80%, respectively. Biliary anastomosis was either an end-to-end hepaticocholedochostomy with a T-drain or hepaticojejunostomy. Mean follow-up was 217.4 +/- 149.8 days. The overall complication rate was 26.6% (8 of 30 procedures) and was directly correlated to the type of anastomosis and number of bile ducts. Surgical revision was necessary in all cases. Biliary complications were not the primary cause of graft loss. Adult living donor liver transplantation using the right lobe is a successful procedure, with graft and patient survival similar to those in cadaver full-organ transplantation. Postoperative morbidity, mainly caused by biliary leak, was directly related to the number of ducts and type of anastomosis. With increasing experience, we have better defined our plane of transection on the hilar plate, with the goal of obtaining only 1 biliary duct for the anastomosis. We also improved our parenchymal transection technique, which resulted in a decreased incidence of leak at the cut-surface area.", "author" : [ { "dropping-particle" : "", "family" : "Testa", "given" : "G", "non-dropping-particle" : "", "parse-names" : false, "suffix" : "" }, { "dropping-particle" : "", "family" : "Malag\u00f3", "given" : "M", "non-dropping-particle" : "", "parse-names" : false, "suffix" : "" }, { "dropping-particle" : "", "family" : "Valent\u00edn-Gamazo", "given" : "C", "non-dropping-particle" : "", "parse-names" : false, "suffix" : "" }, { "dropping-particle" : "", "family" : "Lindell", "given" : "G", "non-dropping-particle" : "", "parse-names" : false, "suffix" : "" }, { "dropping-particle" : "", "family" : "Broelsch", "given" : "C E", "non-dropping-particle" : "", "parse-names" : false, "suffix" : "" } ], "container-title" : "Liver transplantation : official publication of the American Association for the Study of Liver Diseases and the International Liver Transplantation Society", "id" : "ITEM-1", "issued" : { "date-parts" : [ [ "2000" ] ] }, "page" : "710-714", "title" : "Biliary anastomosis in living related liver transplantation using the right liver lobe: techniques and complications.", "type" : "article-journal", "volume" : "6" }, "uris" : [ "http://www.mendeley.com/documents/?uuid=2d031c52-0fd7-4e77-9a00-bdc0b269dc76" ] } ], "mendeley" : { "formattedCitation" : "&lt;sup&gt;35&lt;/sup&gt;", "plainTextFormattedCitation" : "35", "previouslyFormattedCitation" : "&lt;sup&gt;35&lt;/sup&gt;" }, "properties" : { "noteIndex" : 0 }, "schema" : "https://github.com/citation-style-language/schema/raw/master/csl-citation.json" }</w:instrText>
      </w:r>
      <w:r w:rsidR="00535B2B" w:rsidRPr="00074190">
        <w:rPr>
          <w:rFonts w:ascii="Book Antiqua" w:eastAsia="Book Antiqua" w:hAnsi="Book Antiqua" w:cs="Book Antiqua"/>
          <w:sz w:val="24"/>
          <w:szCs w:val="24"/>
        </w:rPr>
        <w:fldChar w:fldCharType="separate"/>
      </w:r>
      <w:r w:rsidR="00ED2A50" w:rsidRPr="00074190">
        <w:rPr>
          <w:rFonts w:ascii="Book Antiqua" w:eastAsia="Book Antiqua" w:hAnsi="Book Antiqua" w:cs="Book Antiqua"/>
          <w:noProof/>
          <w:sz w:val="24"/>
          <w:szCs w:val="24"/>
          <w:vertAlign w:val="superscript"/>
        </w:rPr>
        <w:t>35</w:t>
      </w:r>
      <w:r w:rsidR="00535B2B" w:rsidRPr="00074190">
        <w:rPr>
          <w:rFonts w:ascii="Book Antiqua" w:eastAsia="Book Antiqua" w:hAnsi="Book Antiqua" w:cs="Book Antiqua"/>
          <w:sz w:val="24"/>
          <w:szCs w:val="24"/>
        </w:rPr>
        <w:fldChar w:fldCharType="end"/>
      </w:r>
      <w:r w:rsidR="00644BD6" w:rsidRPr="00074190">
        <w:rPr>
          <w:rFonts w:ascii="Book Antiqua" w:hAnsi="Book Antiqua" w:cs="Book Antiqua"/>
          <w:sz w:val="24"/>
          <w:szCs w:val="24"/>
          <w:vertAlign w:val="superscript"/>
          <w:lang w:eastAsia="zh-CN"/>
        </w:rPr>
        <w:t>]</w:t>
      </w:r>
      <w:r w:rsidRPr="00074190">
        <w:rPr>
          <w:rFonts w:ascii="Book Antiqua" w:eastAsia="Book Antiqua" w:hAnsi="Book Antiqua" w:cs="Book Antiqua"/>
          <w:sz w:val="24"/>
          <w:szCs w:val="24"/>
        </w:rPr>
        <w:t xml:space="preserve">. </w:t>
      </w:r>
      <w:r w:rsidR="000F5C96" w:rsidRPr="00074190">
        <w:rPr>
          <w:rFonts w:ascii="Book Antiqua" w:eastAsia="Book Antiqua" w:hAnsi="Book Antiqua" w:cs="Book Antiqua"/>
          <w:sz w:val="24"/>
          <w:szCs w:val="24"/>
        </w:rPr>
        <w:t xml:space="preserve"> Most of these bile leaks were Clavien grade 2 or 3 complications resulting in prolonged hospital stay or permanent disability while a few resulted in graft failure, re</w:t>
      </w:r>
      <w:r w:rsidR="00DC217A" w:rsidRPr="00074190">
        <w:rPr>
          <w:rFonts w:ascii="Book Antiqua" w:eastAsia="Book Antiqua" w:hAnsi="Book Antiqua" w:cs="Book Antiqua"/>
          <w:sz w:val="24"/>
          <w:szCs w:val="24"/>
        </w:rPr>
        <w:t xml:space="preserve"> </w:t>
      </w:r>
      <w:r w:rsidR="000F5C96" w:rsidRPr="00074190">
        <w:rPr>
          <w:rFonts w:ascii="Book Antiqua" w:eastAsia="Book Antiqua" w:hAnsi="Book Antiqua" w:cs="Book Antiqua"/>
          <w:sz w:val="24"/>
          <w:szCs w:val="24"/>
        </w:rPr>
        <w:t>transplantation and occasionally death of the recipient</w:t>
      </w:r>
      <w:r w:rsidR="00DC217A" w:rsidRPr="00074190">
        <w:rPr>
          <w:rFonts w:ascii="Book Antiqua" w:eastAsia="Book Antiqua" w:hAnsi="Book Antiqua" w:cs="Book Antiqua"/>
          <w:sz w:val="24"/>
          <w:szCs w:val="24"/>
        </w:rPr>
        <w:t xml:space="preserve">, though grade 4 complications </w:t>
      </w:r>
      <w:r w:rsidR="007A2D1E" w:rsidRPr="00074190">
        <w:rPr>
          <w:rFonts w:ascii="Book Antiqua" w:eastAsia="Book Antiqua" w:hAnsi="Book Antiqua" w:cs="Book Antiqua"/>
          <w:sz w:val="24"/>
          <w:szCs w:val="24"/>
        </w:rPr>
        <w:t xml:space="preserve">in LDLT </w:t>
      </w:r>
      <w:r w:rsidR="00DC217A" w:rsidRPr="00074190">
        <w:rPr>
          <w:rFonts w:ascii="Book Antiqua" w:eastAsia="Book Antiqua" w:hAnsi="Book Antiqua" w:cs="Book Antiqua"/>
          <w:sz w:val="24"/>
          <w:szCs w:val="24"/>
        </w:rPr>
        <w:t>were less common than in DDLT</w:t>
      </w:r>
      <w:r w:rsidR="000F5C96" w:rsidRPr="00074190">
        <w:rPr>
          <w:rFonts w:ascii="Book Antiqua" w:eastAsia="Book Antiqua" w:hAnsi="Book Antiqua" w:cs="Book Antiqua"/>
          <w:sz w:val="24"/>
          <w:szCs w:val="24"/>
        </w:rPr>
        <w:t xml:space="preserve">. </w:t>
      </w:r>
      <w:r w:rsidR="007A2D1E" w:rsidRPr="00074190">
        <w:rPr>
          <w:rFonts w:ascii="Book Antiqua" w:eastAsia="Book Antiqua" w:hAnsi="Book Antiqua" w:cs="Book Antiqua"/>
          <w:sz w:val="24"/>
          <w:szCs w:val="24"/>
        </w:rPr>
        <w:t>Anastomoses involving</w:t>
      </w:r>
      <w:r w:rsidRPr="00074190">
        <w:rPr>
          <w:rFonts w:ascii="Book Antiqua" w:eastAsia="Book Antiqua" w:hAnsi="Book Antiqua" w:cs="Book Antiqua"/>
          <w:sz w:val="24"/>
          <w:szCs w:val="24"/>
        </w:rPr>
        <w:t xml:space="preserve"> three or more donor bile ducts were associated with an increased risk while HCV cir</w:t>
      </w:r>
      <w:r w:rsidR="00D17AB8">
        <w:rPr>
          <w:rFonts w:ascii="Book Antiqua" w:eastAsia="Book Antiqua" w:hAnsi="Book Antiqua" w:cs="Book Antiqua"/>
          <w:sz w:val="24"/>
          <w:szCs w:val="24"/>
        </w:rPr>
        <w:t>rhosis as the indication for LT</w:t>
      </w:r>
      <w:r w:rsidRPr="00074190">
        <w:rPr>
          <w:rFonts w:ascii="Book Antiqua" w:eastAsia="Book Antiqua" w:hAnsi="Book Antiqua" w:cs="Book Antiqua"/>
          <w:sz w:val="24"/>
          <w:szCs w:val="24"/>
        </w:rPr>
        <w:t xml:space="preserve"> and  greater surgical expertise were associated with a lower risk for developing bile leaks</w:t>
      </w:r>
      <w:r w:rsidR="009624AE"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437A94" w:rsidRPr="00074190">
        <w:rPr>
          <w:rFonts w:ascii="Book Antiqua" w:eastAsia="Book Antiqua" w:hAnsi="Book Antiqua" w:cs="Book Antiqua"/>
          <w:sz w:val="24"/>
          <w:szCs w:val="24"/>
          <w:vertAlign w:val="superscript"/>
        </w:rPr>
        <w:instrText>ADDIN CSL_CITATION { "citationItems" : [ { "id" : "ITEM-1", "itemData" : { "DOI" : "10.1111/j.1600-6143.2008.02440.x", "ISSN" : "1600-6143", "PMID" : "18976306", "abstract" : "Patients considering living donor liver transplantation (LDLT) need to know the risk and severity of complications compared to deceased donor liver transplantation (DDLT). One aim of the Adult-to-Adult Living Donor Liver Transplantation Cohort Study (A2ALL) was to examine recipient complications following these procedures. Medical records of DDLT or LDLT recipients who had a living donor evaluated at the nine A2ALL centers between 1998 and 2003 were reviewed. Among 384 LDLT and 216 DDLT, at least one complication occurred after 82.8% of LDLT and 78.2% of DDLT (p = 0.17). There was a median of two complications after DDLT and three after LDLT. Complications that occurred at a higher rate (p &lt; 0.05) after LDLT included biliary leak (31.8% vs. 10.2%), unplanned reexploration (26.2% vs. 17.1%), hepatic artery thrombosis (6.5% vs. 2.3%) and portal vein thrombosis (2.9% vs. 0.0%). There were more complications leading to retransplantation or death (Clavien grade 4) after LDLT versus DDLT (15.9% vs. 9.3%, p = 0.023). Many complications occurred more commonly during early center experience; the odds of grade 4 complications were more than two-fold higher when centers had performed &lt;or=20 LDLT (vs. &gt;40). In summary, complication rates were higher after LDLT versus DDLT, but declined with center experience to levels comparable to DDLT.", "author" : [ { "dropping-particle" : "", "family" : "Freise", "given" : "C E", "non-dropping-particle" : "", "parse-names" : false, "suffix" : "" }, { "dropping-particle" : "", "family" : "Gillespie", "given" : "B W", "non-dropping-particle" : "", "parse-names" : false, "suffix" : "" }, { "dropping-particle" : "", "family" : "Koffron", "given" : "a J", "non-dropping-particle" : "", "parse-names" : false, "suffix" : "" }, { "dropping-particle" : "", "family" : "Lok", "given" : "A S F", "non-dropping-particle" : "", "parse-names" : false, "suffix" : "" }, { "dropping-particle" : "", "family" : "Pruett", "given" : "T L", "non-dropping-particle" : "", "parse-names" : false, "suffix" : "" }, { "dropping-particle" : "", "family" : "Emond", "given" : "J C", "non-dropping-particle" : "", "parse-names" : false, "suffix" : "" }, { "dropping-particle" : "", "family" : "Fair", "given" : "J H", "non-dropping-particle" : "", "parse-names" : false, "suffix" : "" }, { "dropping-particle" : "", "family" : "Fisher", "given" : "R a", "non-dropping-particle" : "", "parse-names" : false, "suffix" : "" }, { "dropping-particle" : "", "family" : "Olthoff", "given" : "K M", "non-dropping-particle" : "", "parse-names" : false, "suffix" : "" }, { "dropping-particle" : "", "family" : "Trotter", "given" : "J F", "non-dropping-particle" : "", "parse-names" : false, "suffix" : "" }, { "dropping-particle" : "", "family" : "Ghobrial", "given" : "R M", "non-dropping-particle" : "", "parse-names" : false, "suffix" : "" }, { "dropping-particle" : "", "family" : "Everhart", "given" : "J E", "non-dropping-particle" : "", "parse-names" : false, "suffix" : "" } ], "container-title" : "American journal of transplantation : official journal of the American Society of Transplantation and the American Society of Transplant Surgeons", "id" : "ITEM-1", "issue" : "12", "issued" : { "date-parts" : [ [ "2008", "12" ] ] }, "page" : "2569-79", "title" : "Recipient morbidity after living and deceased donor liver transplantation: findings from the A2ALL Retrospective Cohort Study.", "type" : "article-journal", "volume" : "8" }, "uris" : [ "http://www.mendeley.com/documents/?uuid=054363ba-793c-4dad-837e-a64563df4051" ] } ], "mendeley" : { "formattedCitation" : "&lt;sup&gt;7&lt;/sup&gt;", "plainTextFormattedCitation" : "7", "previouslyFormattedCitation" : "&lt;sup&gt;7&lt;/sup&gt;"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437A94" w:rsidRPr="00074190">
        <w:rPr>
          <w:rFonts w:ascii="Book Antiqua" w:eastAsia="Book Antiqua" w:hAnsi="Book Antiqua" w:cs="Book Antiqua"/>
          <w:noProof/>
          <w:sz w:val="24"/>
          <w:szCs w:val="24"/>
          <w:vertAlign w:val="superscript"/>
        </w:rPr>
        <w:t>7</w:t>
      </w:r>
      <w:r w:rsidR="00535B2B" w:rsidRPr="00074190">
        <w:rPr>
          <w:rFonts w:ascii="Book Antiqua" w:eastAsia="Book Antiqua" w:hAnsi="Book Antiqua" w:cs="Book Antiqua"/>
          <w:sz w:val="24"/>
          <w:szCs w:val="24"/>
          <w:vertAlign w:val="superscript"/>
        </w:rPr>
        <w:fldChar w:fldCharType="end"/>
      </w:r>
      <w:r w:rsidR="009624AE"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 xml:space="preserve">There are two main types of bile leak after LDLT- anastomotic leaks, and cut </w:t>
      </w:r>
      <w:r w:rsidR="00D17AB8">
        <w:rPr>
          <w:rFonts w:ascii="Book Antiqua" w:eastAsia="Book Antiqua" w:hAnsi="Book Antiqua" w:cs="Book Antiqua"/>
          <w:sz w:val="24"/>
          <w:szCs w:val="24"/>
        </w:rPr>
        <w:t xml:space="preserve">surface </w:t>
      </w:r>
      <w:r w:rsidRPr="00074190">
        <w:rPr>
          <w:rFonts w:ascii="Book Antiqua" w:eastAsia="Book Antiqua" w:hAnsi="Book Antiqua" w:cs="Book Antiqua"/>
          <w:sz w:val="24"/>
          <w:szCs w:val="24"/>
        </w:rPr>
        <w:t>leaks</w:t>
      </w:r>
      <w:r w:rsidR="009624AE"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121F30" w:rsidRPr="00074190">
        <w:rPr>
          <w:rFonts w:ascii="Book Antiqua" w:eastAsia="Book Antiqua" w:hAnsi="Book Antiqua" w:cs="Book Antiqua"/>
          <w:sz w:val="24"/>
          <w:szCs w:val="24"/>
          <w:vertAlign w:val="superscript"/>
        </w:rPr>
        <w:instrText>ADDIN CSL_CITATION { "citationItems" : [ { "id" : "ITEM-1", "itemData" : { "DOI" : "10.1111/j.1477-2574.2011.00300.x", "ISSN" : "1477-2574", "PMID" : "21609371", "abstract" : "BACKGROUND: Biliary complications following liver transplantation result in major morbidity. We undertook a 10-year audit of the incidence, management and outcomes of post-transplant biliary complications at the New Zealand Liver Transplant Unit.\n\nMETHODS: Prospectively collected data on 348 consecutive liver transplants performed between February 1998 and October 2008 were reviewed. The minimum follow-up was 6 months.\n\nRESULTS: A total of 309 adult and 39 paediatric transplants were performed over the study period. Of these, 296 (85%) were whole liver grafts and 52 (15%) were partial liver grafts (24 split-liver, eight reduced-size and 20 live-donor grafts). There were 80 biliary complications, which included 63 (18%) strictures and 17 (5%) bile leaks. Partial graft, a paediatric recipient and a Roux-en-Y biliary anastomosis were independent predictors of biliary strictures. Twenty-five (40%) strictures were successfully managed non-operatively and 38 (60%) required surgery (31 biliary reconstructions, three segmental resections and four retransplants). Seven (41%) bile leaks required surgical revision and 10 (59%) were managed non-operatively. There was no mortality related directly to biliary complications.\n\nCONCLUSIONS: Biliary complications affected one in five transplant recipients. Paediatric status, partial graft and Roux-en-Y anastomosis were independently associated with the occurrence of biliary strictures. Over half of the affected patients required surgical revision, but no mortality resulted from biliary complications.", "author" : [ { "dropping-particle" : "", "family" : "Gunawansa", "given" : "Nalaka", "non-dropping-particle" : "", "parse-names" : false, "suffix" : "" }, { "dropping-particle" : "", "family" : "McCall", "given" : "John L", "non-dropping-particle" : "", "parse-names" : false, "suffix" : "" }, { "dropping-particle" : "", "family" : "Holden", "given" : "Andrew", "non-dropping-particle" : "", "parse-names" : false, "suffix" : "" }, { "dropping-particle" : "", "family" : "Plank", "given" : "Lindsay", "non-dropping-particle" : "", "parse-names" : false, "suffix" : "" }, { "dropping-particle" : "", "family" : "Munn", "given" : "Stephen R", "non-dropping-particle" : "", "parse-names" : false, "suffix" : "" } ], "container-title" : "HPB : the official journal of the International Hepato Pancreato Biliary Association", "id" : "ITEM-1", "issue" : "6", "issued" : { "date-parts" : [ [ "2011", "6" ] ] }, "page" : "391-9", "title" : "Biliary complications following orthotopic liver transplantation: a 10-year audit.", "type" : "article-journal", "volume" : "13" }, "uris" : [ "http://www.mendeley.com/documents/?uuid=c699b775-91e1-453e-a6a1-0118043edee1" ] } ], "mendeley" : { "formattedCitation" : "&lt;sup&gt;36&lt;/sup&gt;", "plainTextFormattedCitation" : "36", "previouslyFormattedCitation" : "&lt;sup&gt;36&lt;/sup&gt;"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9624AE" w:rsidRPr="00074190">
        <w:rPr>
          <w:rFonts w:ascii="Book Antiqua" w:eastAsia="Book Antiqua" w:hAnsi="Book Antiqua" w:cs="Book Antiqua"/>
          <w:noProof/>
          <w:sz w:val="24"/>
          <w:szCs w:val="24"/>
          <w:vertAlign w:val="superscript"/>
        </w:rPr>
        <w:t>36</w:t>
      </w:r>
      <w:r w:rsidR="00535B2B" w:rsidRPr="00074190">
        <w:rPr>
          <w:rFonts w:ascii="Book Antiqua" w:eastAsia="Book Antiqua" w:hAnsi="Book Antiqua" w:cs="Book Antiqua"/>
          <w:sz w:val="24"/>
          <w:szCs w:val="24"/>
          <w:vertAlign w:val="superscript"/>
        </w:rPr>
        <w:fldChar w:fldCharType="end"/>
      </w:r>
      <w:r w:rsidR="009624AE"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Anastomotic leaks are the more common type and occur more frequently with Roux-en-Y anastomoses than with duct to duct anastomoses</w:t>
      </w:r>
      <w:r w:rsidR="009624AE"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"10.1097/01.TP.0000123077.78702.0C", "ISSN" : "0041-1337", "author" : [ { "dropping-particle" : "", "family" : "Gondolesi", "given" : "Gabriel E.", "non-dropping-particle" : "", "parse-names" : false, "suffix" : "" }, { "dropping-particle" : "", "family" : "Varotti", "given" : "Giovanni", "non-dropping-particle" : "", "parse-names" : false, "suffix" : "" }, { "dropping-particle" : "", "family" : "Florman", "given" : "Sander S.", "non-dropping-particle" : "", "parse-names" : false, "suffix" : "" }, { "dropping-particle" : "", "family" : "Mu??oz", "given" : "Luis", "non-dropping-particle" : "", "parse-names" : false, "suffix" : "" }, { "dropping-particle" : "", "family" : "Fishbein", "given" : "Thomas M.", "non-dropping-particle" : "", "parse-names" : false, "suffix" : "" }, { "dropping-particle" : "", "family" : "Emre", "given" : "Sukru H.", "non-dropping-particle" : "", "parse-names" : false, "suffix" : "" }, { "dropping-particle" : "", "family" : "Schwartz", "given" : "Myron E.", "non-dropping-particle" : "", "parse-names" : false, "suffix" : "" }, { "dropping-particle" : "", "family" : "Miller", "given" : "Charles", "non-dropping-particle" : "", "parse-names" : false, "suffix" : "" } ], "container-title" : "Transplantation", "id" : "ITEM-1", "issue" : "12", "issued" : { "date-parts" : [ [ "2004", "6" ] ] }, "page" : "1842-1848", "title" : "Biliary Complications in 96 Consecutive Right Lobe Living Donor Transplant Recipients", "type" : "article-journal", "volume" : "77" }, "uris" : [ "http://www.mendeley.com/documents/?uuid=868fc5a8-e1b7-4724-ac0e-0b911b23fa04" ] } ], "mendeley" : { "formattedCitation" : "&lt;sup&gt;23&lt;/sup&gt;", "plainTextFormattedCitation" : "23", "previouslyFormattedCitation" : "&lt;sup&gt;23&lt;/sup&gt;"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23</w:t>
      </w:r>
      <w:r w:rsidR="00535B2B" w:rsidRPr="00074190">
        <w:rPr>
          <w:rFonts w:ascii="Book Antiqua" w:eastAsia="Book Antiqua" w:hAnsi="Book Antiqua" w:cs="Book Antiqua"/>
          <w:sz w:val="24"/>
          <w:szCs w:val="24"/>
          <w:vertAlign w:val="superscript"/>
        </w:rPr>
        <w:fldChar w:fldCharType="end"/>
      </w:r>
      <w:r w:rsidR="009624AE"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bscript"/>
        </w:rPr>
        <w:t>.</w:t>
      </w:r>
      <w:r w:rsidRPr="00074190">
        <w:rPr>
          <w:rFonts w:ascii="Book Antiqua" w:eastAsia="Book Antiqua" w:hAnsi="Book Antiqua" w:cs="Book Antiqua"/>
          <w:sz w:val="24"/>
          <w:szCs w:val="24"/>
        </w:rPr>
        <w:t xml:space="preserve"> Cut surface bile leaks usually originate from small bile ducts in the caudate lobe that are transected during surgery and are usually detected incidentally at reoperation</w:t>
      </w:r>
      <w:r w:rsidR="009624AE"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"10.1111/j.1600-6143.2007.02069.x", "ISSN" : "1600-6143", "PMID" : "18162089", "abstract" : "Bile leak in split and living donor liver transplantation is not an uncommon postoperative complication with significant morbidity to both donor and recipients. Nonanastomotic bile leaks in these transplants are less well characterized and generally described as cut-surface leaks. A proportion of these leaks may derive from biliary radicles draining the caudate lobe. Based on the caudate lobe biliary anatomy the authors describe measures that may help to reduce such complications after segmental liver transplantation.", "author" : [ { "dropping-particle" : "", "family" : "Jassem", "given" : "W", "non-dropping-particle" : "", "parse-names" : false, "suffix" : "" }, { "dropping-particle" : "", "family" : "Heaton", "given" : "N D", "non-dropping-particle" : "", "parse-names" : false, "suffix" : "" }, { "dropping-particle" : "", "family" : "Rela", "given" : "M", "non-dropping-particle" : "", "parse-names" : false, "suffix" : "" } ], "container-title" : "American journal of transplantation : official journal of the American Society of Transplantation and the American Society of Transplant Surgeons", "id" : "ITEM-1", "issue" : "2", "issued" : { "date-parts" : [ [ "2008", "2" ] ] }, "page" : "271-4", "title" : "Reducing bile leak following segmental liver transplantation: understanding biliary anatomy of the caudate lobe.", "type" : "article-journal", "volume" : "8" }, "uris" : [ "http://www.mendeley.com/documents/?uuid=4f61c406-ceb2-4fd4-b20f-ba062c5e4792" ] } ], "mendeley" : { "formattedCitation" : "&lt;sup&gt;37&lt;/sup&gt;", "plainTextFormattedCitation" : "37", "previouslyFormattedCitation" : "&lt;sup&gt;37&lt;/sup&gt;"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37</w:t>
      </w:r>
      <w:r w:rsidR="00535B2B" w:rsidRPr="00074190">
        <w:rPr>
          <w:rFonts w:ascii="Book Antiqua" w:eastAsia="Book Antiqua" w:hAnsi="Book Antiqua" w:cs="Book Antiqua"/>
          <w:sz w:val="24"/>
          <w:szCs w:val="24"/>
          <w:vertAlign w:val="superscript"/>
        </w:rPr>
        <w:fldChar w:fldCharType="end"/>
      </w:r>
      <w:r w:rsidR="009624AE"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hAnsi="Book Antiqua" w:cs="Book Antiqua"/>
          <w:sz w:val="24"/>
          <w:szCs w:val="24"/>
          <w:lang w:eastAsia="zh-CN"/>
        </w:rPr>
      </w:pPr>
      <w:r w:rsidRPr="00074190">
        <w:rPr>
          <w:rFonts w:ascii="Book Antiqua" w:eastAsia="Book Antiqua" w:hAnsi="Book Antiqua" w:cs="Book Antiqua"/>
          <w:sz w:val="24"/>
          <w:szCs w:val="24"/>
        </w:rPr>
        <w:t>Bile leaks have been sho</w:t>
      </w:r>
      <w:r w:rsidR="00D17AB8">
        <w:rPr>
          <w:rFonts w:ascii="Book Antiqua" w:eastAsia="Book Antiqua" w:hAnsi="Book Antiqua" w:cs="Book Antiqua"/>
          <w:sz w:val="24"/>
          <w:szCs w:val="24"/>
        </w:rPr>
        <w:t>wn to decrease overall survival</w:t>
      </w:r>
      <w:r w:rsidRPr="00074190">
        <w:rPr>
          <w:rFonts w:ascii="Book Antiqua" w:eastAsia="Book Antiqua" w:hAnsi="Book Antiqua" w:cs="Book Antiqua"/>
          <w:sz w:val="24"/>
          <w:szCs w:val="24"/>
        </w:rPr>
        <w:t xml:space="preserve"> and graft survival post transplan</w:t>
      </w:r>
      <w:r w:rsidR="007A2D1E" w:rsidRPr="00074190">
        <w:rPr>
          <w:rFonts w:ascii="Book Antiqua" w:eastAsia="Book Antiqua" w:hAnsi="Book Antiqua" w:cs="Book Antiqua"/>
          <w:sz w:val="24"/>
          <w:szCs w:val="24"/>
        </w:rPr>
        <w:t>t</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"10.1097/01.TP.0000123077.78702.0C", "ISSN" : "0041-1337", "author" : [ { "dropping-particle" : "", "family" : "Gondolesi", "given" : "Gabriel E.", "non-dropping-particle" : "", "parse-names" : false, "suffix" : "" }, { "dropping-particle" : "", "family" : "Varotti", "given" : "Giovanni", "non-dropping-particle" : "", "parse-names" : false, "suffix" : "" }, { "dropping-particle" : "", "family" : "Florman", "given" : "Sander S.", "non-dropping-particle" : "", "parse-names" : false, "suffix" : "" }, { "dropping-particle" : "", "family" : "Mu??oz", "given" : "Luis", "non-dropping-particle" : "", "parse-names" : false, "suffix" : "" }, { "dropping-particle" : "", "family" : "Fishbein", "given" : "Thomas M.", "non-dropping-particle" : "", "parse-names" : false, "suffix" : "" }, { "dropping-particle" : "", "family" : "Emre", "given" : "Sukru H.", "non-dropping-particle" : "", "parse-names" : false, "suffix" : "" }, { "dropping-particle" : "", "family" : "Schwartz", "given" : "Myron E.", "non-dropping-particle" : "", "parse-names" : false, "suffix" : "" }, { "dropping-particle" : "", "family" : "Miller", "given" : "Charles", "non-dropping-particle" : "", "parse-names" : false, "suffix" : "" } ], "container-title" : "Transplantation", "id" : "ITEM-1", "issue" : "12", "issued" : { "date-parts" : [ [ "2004", "6" ] ] }, "page" : "1842-1848", "title" : "Biliary Complications in 96 Consecutive Right Lobe Living Donor Transplant Recipients", "type" : "article-journal", "volume" : "77" }, "uris" : [ "http://www.mendeley.com/documents/?uuid=868fc5a8-e1b7-4724-ac0e-0b911b23fa04" ] } ], "mendeley" : { "formattedCitation" : "&lt;sup&gt;23&lt;/sup&gt;", "plainTextFormattedCitation" : "23", "previouslyFormattedCitation" : "&lt;sup&gt;23&lt;/sup&gt;"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23</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121F30" w:rsidRPr="00074190">
        <w:rPr>
          <w:rFonts w:ascii="Book Antiqua" w:eastAsia="Book Antiqua" w:hAnsi="Book Antiqua" w:cs="Book Antiqua"/>
          <w:sz w:val="24"/>
          <w:szCs w:val="24"/>
          <w:vertAlign w:val="superscript"/>
        </w:rPr>
        <w:instrText>ADDIN CSL_CITATION { "citationItems" : [ { "id" : "ITEM-1", "itemData" : { "DOI" : "10.1002/lt.23595", "ISSN" : "1527-6473", "PMID" : "23495079", "abstract" : "Adult recipients of living donor liver transplantation (LDLT) have a higher incidence of biliary complications than recipients of deceased donor liver transplantation (DDLT). Our objective was to define the intensity of the interventions and the time to resolution after the diagnosis of biliary complications after liver transplantation. We analyzed the management and resolution of posttransplant biliary complications and investigated the comparative effectiveness of interventions in LDLT and DDLT recipients. For the analysis of biliary complications (leaks or strictures), we used a retrospective cohort of patients who underwent liver transplantation at 8 centers between 1998 and 2006 (median follow-up from onset=4.7 years). The numbers, procedure types, and times to resolution were compared for LDLT and DDLT recipients. Posttransplant biliary complications occurred in 47 of the 189 DDLT recipients (25%) and in 141 of the 356 LDLT recipients (40%). Biliary leaks constituted 38% of the post-DDLT biliary complications (n=18) and 65% of the post-LDLT biliary complications (n=91). The median times to first biliary complications were similar for DDLT and LDLT (11 versus 14 days for leaks, P=0.63; 69 versus 107 days for strictures, P=0.34). Overall, 1225 diagnostic and therapeutic procedures, including reoperation and retransplantation, were performed (6.5\u00b15.4 per recipient; 5.5\u00b13.6 for DDLT versus 6.8\u00b15.8 for LDLT, P=0.52). The median number of months to the resolution of a biliary complication (i.e., a tube-, stent-, and drain-free status) did not significantly differ between the DDLT and LDLT groups for leaks (2.3 versus 1.3 months, P=0.29) or strictures (4.9 versus 2.3 months, P=0.61). Although the incidence of biliary complications is higher after LDLT versus DDLT, the treatment requirements and the time to resolution after the development of a biliary complication are similar for LDLT and DDLT recipients.", "author" : [ { "dropping-particle" : "", "family" : "Zimmerman", "given" : "Michael A", "non-dropping-particle" : "", "parse-names" : false, "suffix" : "" }, { "dropping-particle" : "", "family" : "Baker", "given" : "Talia", "non-dropping-particle" : "", "parse-names" : false, "suffix" : "" }, { "dropping-particle" : "", "family" : "Goodrich", "given" : "Nathan P", "non-dropping-particle" : "", "parse-names" : false, "suffix" : "" }, { "dropping-particle" : "", "family" : "Freise", "given" : "Chris", "non-dropping-particle" : "", "parse-names" : false, "suffix" : "" }, { "dropping-particle" : "", "family" : "Hong", "given" : "Johnny C", "non-dropping-particle" : "", "parse-names" : false, "suffix" : "" }, { "dropping-particle" : "", "family" : "Kumer", "given" : "Sean", "non-dropping-particle" : "", "parse-names" : false, "suffix" : "" }, { "dropping-particle" : "", "family" : "Abt", "given" : "Peter", "non-dropping-particle" : "", "parse-names" : false, "suffix" : "" }, { "dropping-particle" : "", "family" : "Cotterell", "given" : "Adrian H", "non-dropping-particle" : "", "parse-names" : false, "suffix" : "" }, { "dropping-particle" : "", "family" : "Samstein", "given" : "Benjamin", "non-dropping-particle" : "", "parse-names" : false, "suffix" : "" }, { "dropping-particle" : "", "family" : "Everhart", "given" : "James E", "non-dropping-particle" : "", "parse-names" : false, "suffix" : "" }, { "dropping-particle" : "", "family" : "Merion", "given" : "Robert M", "non-dropping-particle" : "", "parse-names" : false, "suffix" : "" } ], "container-title" : "Liver transplantation : official publication of the American Association for the Study of Liver Diseases and the International Liver Transplantation Society", "id" : "ITEM-1", "issue" : "3", "issued" : { "date-parts" : [ [ "2013", "3", "1" ] ] }, "page" : "259-67", "publisher" : "NIH Public Access", "title" : "Development, management, and resolution of biliary complications after living and deceased donor liver transplantation: a report from the adult-to-adult living donor liver transplantation cohort study consortium.", "type" : "article-journal", "volume" : "19" }, "uris" : [ "http://www.mendeley.com/documents/?uuid=abe4f8a3-5ec1-4efc-8230-c5ef4b92e885" ] } ], "mendeley" : { "formattedCitation" : "&lt;sup&gt;38&lt;/sup&gt;", "plainTextFormattedCitation" : "38", "previouslyFormattedCitation" : "&lt;sup&gt;38&lt;/sup&gt;"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121F30" w:rsidRPr="00074190">
        <w:rPr>
          <w:rFonts w:ascii="Book Antiqua" w:eastAsia="Book Antiqua" w:hAnsi="Book Antiqua" w:cs="Book Antiqua"/>
          <w:noProof/>
          <w:sz w:val="24"/>
          <w:szCs w:val="24"/>
          <w:vertAlign w:val="superscript"/>
        </w:rPr>
        <w:t>38</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4F54FD" w:rsidRPr="00074190">
        <w:rPr>
          <w:rFonts w:ascii="Book Antiqua" w:hAnsi="Book Antiqua" w:cs="Book Antiqua"/>
          <w:sz w:val="24"/>
          <w:szCs w:val="24"/>
          <w:vertAlign w:val="superscript"/>
          <w:lang w:eastAsia="zh-CN"/>
        </w:rPr>
        <w:t xml:space="preserve"> </w:t>
      </w:r>
      <w:r w:rsidRPr="00074190">
        <w:rPr>
          <w:rFonts w:ascii="Book Antiqua" w:eastAsia="Book Antiqua" w:hAnsi="Book Antiqua" w:cs="Book Antiqua"/>
          <w:sz w:val="24"/>
          <w:szCs w:val="24"/>
        </w:rPr>
        <w:t>and are also a significant risk for subsequent development of a stricture</w:t>
      </w:r>
      <w:r w:rsidR="00121F30" w:rsidRPr="00074190">
        <w:rPr>
          <w:rFonts w:ascii="Book Antiqua" w:eastAsia="Book Antiqua" w:hAnsi="Book Antiqua" w:cs="Book Antiqua"/>
          <w:sz w:val="24"/>
          <w:szCs w:val="24"/>
          <w:vertAlign w:val="superscript"/>
        </w:rPr>
        <w:t>[</w:t>
      </w:r>
      <w:r w:rsidR="004F54FD" w:rsidRPr="00074190">
        <w:rPr>
          <w:rFonts w:ascii="Book Antiqua" w:eastAsia="Book Antiqua" w:hAnsi="Book Antiqua" w:cs="Book Antiqua"/>
          <w:sz w:val="24"/>
          <w:szCs w:val="24"/>
          <w:vertAlign w:val="superscript"/>
        </w:rPr>
        <w:fldChar w:fldCharType="begin" w:fldLock="1"/>
      </w:r>
      <w:r w:rsidR="004F54FD" w:rsidRPr="00074190">
        <w:rPr>
          <w:rFonts w:ascii="Book Antiqua" w:eastAsia="Book Antiqua" w:hAnsi="Book Antiqua" w:cs="Book Antiqua"/>
          <w:sz w:val="24"/>
          <w:szCs w:val="24"/>
          <w:vertAlign w:val="superscript"/>
        </w:rPr>
        <w:instrText>ADDIN CSL_CITATION { "citationItems" : [ { "id" : "ITEM-1", "itemData" : { "DOI" : "10.1111/j.1600-6143.2006.01601.x", "ISSN" : "1600-6135", "PMID" : "17227565", "abstract" : "Biliary strictures remain the most challenging aspect of adult right lobe living donor liver transplantation (RLDLT). Between 04/2000 and 10/2005, 130 consecutive RLDLTs were performed in our center and followed prospectively. Median follow-up was 23 months (range 3-67) and 1-year graft and patient survival was 85% and 87%, respectively. Overall incidence of biliary leaks (n = 19) or strictures (n = 22) was 32% (41/128) in 33 patients (26%). A duct-to-duct (D-D) or Roux-en-Y (R-Y) anastomosis were performed equally (n = 64 each) with no difference in stricture rate (p = 0.31). The use of ductoplasty increased the number of grafts with a single duct for anastomosis and reduced the biliary complication rate compared to grafts &gt;/=2 ducts (17% vs. 46%; p = 0.02). Independent risk factors for strictures included older donor age and previous history of a bile leak. All strictures were managed nonsurgically initially but four patients ultimately required conversion from D-D to R-Y. Ninety-six percent (123/128) of patients are currently free of any biliary complications. D-D anastomosis is safe after RLDLT and provides access for future endoscopic therapy in cases of leak or stricture. When presented with multiple bile ducts, ductoplasty should be considered to reduce the potential chance of stricture.", "author" : [ { "dropping-particle" : "", "family" : "Shah", "given" : "S A", "non-dropping-particle" : "", "parse-names" : false, "suffix" : "" }, { "dropping-particle" : "", "family" : "Grant", "given" : "D R", "non-dropping-particle" : "", "parse-names" : false, "suffix" : "" }, { "dropping-particle" : "", "family" : "McGilvray", "given" : "I D", "non-dropping-particle" : "", "parse-names" : false, "suffix" : "" }, { "dropping-particle" : "", "family" : "Greig", "given" : "P D", "non-dropping-particle" : "", "parse-names" : false, "suffix" : "" }, { "dropping-particle" : "", "family" : "Selzner", "given" : "M", "non-dropping-particle" : "", "parse-names" : false, "suffix" : "" }, { "dropping-particle" : "", "family" : "Lilly", "given" : "L B", "non-dropping-particle" : "", "parse-names" : false, "suffix" : "" }, { "dropping-particle" : "", "family" : "Girgrah", "given" : "N", "non-dropping-particle" : "", "parse-names" : false, "suffix" : "" }, { "dropping-particle" : "", "family" : "Levy", "given" : "G A", "non-dropping-particle" : "", "parse-names" : false, "suffix" : "" }, { "dropping-particle" : "", "family" : "Cattral", "given" : "M S", "non-dropping-particle" : "", "parse-names" : false, "suffix" : "" } ], "container-title" : "American journal of transplantation : official journal of the American Society of Transplantation and the American Society of Transplant Surgeons", "id" : "ITEM-1", "issue" : "1", "issued" : { "date-parts" : [ [ "2007", "1" ] ] }, "page" : "161-7", "title" : "Biliary strictures in 130 consecutive right lobe living donor liver transplant recipients: results of a Western center.", "type" : "article-journal", "volume" : "7" }, "uris" : [ "http://www.mendeley.com/documents/?uuid=bd619b18-e4cd-4ae5-8c65-b3344ac10e84" ] } ], "mendeley" : { "formattedCitation" : "&lt;sup&gt;27&lt;/sup&gt;", "plainTextFormattedCitation" : "27", "previouslyFormattedCitation" : "&lt;sup&gt;27&lt;/sup&gt;" }, "properties" : { "noteIndex" : 0 }, "schema" : "https://github.com/citation-style-language/schema/raw/master/csl-citation.json" }</w:instrText>
      </w:r>
      <w:r w:rsidR="004F54FD" w:rsidRPr="00074190">
        <w:rPr>
          <w:rFonts w:ascii="Book Antiqua" w:eastAsia="Book Antiqua" w:hAnsi="Book Antiqua" w:cs="Book Antiqua"/>
          <w:sz w:val="24"/>
          <w:szCs w:val="24"/>
          <w:vertAlign w:val="superscript"/>
        </w:rPr>
        <w:fldChar w:fldCharType="separate"/>
      </w:r>
      <w:r w:rsidR="004F54FD" w:rsidRPr="00074190">
        <w:rPr>
          <w:rFonts w:ascii="Book Antiqua" w:eastAsia="Book Antiqua" w:hAnsi="Book Antiqua" w:cs="Book Antiqua"/>
          <w:noProof/>
          <w:sz w:val="24"/>
          <w:szCs w:val="24"/>
          <w:vertAlign w:val="superscript"/>
        </w:rPr>
        <w:t>27</w:t>
      </w:r>
      <w:r w:rsidR="004F54FD" w:rsidRPr="00074190">
        <w:rPr>
          <w:rFonts w:ascii="Book Antiqua" w:eastAsia="Book Antiqua" w:hAnsi="Book Antiqua" w:cs="Book Antiqua"/>
          <w:sz w:val="24"/>
          <w:szCs w:val="24"/>
          <w:vertAlign w:val="superscript"/>
        </w:rPr>
        <w:fldChar w:fldCharType="end"/>
      </w:r>
      <w:r w:rsidR="004F54FD"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"10.1111/jgh.12169", "ISSN" : "1440-1746", "PMID" : "23432435", "abstract" : "BACKGROUND AND AIM: Biliary anastomosis is the Achilles' heel of liver transplant. The reported incidence of biliary complications is 5-15% after deceased donor liver transplantation, and 20-34% after right-lobe live donor liver transplantation (LDLT). We report our experience from an LDLT program.\n\nMETHODS: Between September 2006 and August 2010, 338 liver transplants were performed. Biliary reconstructions were done with an end-to-end choledochocholedochostomy in 307 cases. All recipients were monitored for any evidence of bile leak or stricture.\n\nRESULTS: Of 338 transplants performed during this time period, 65 patients had biliary complications (19%). Of these, 30 were biliary leaks, and 35 patients had biliary stricture. Four were cut surface leaks, which settled without any intervention. One patient had leak from primary hepaticojejunostomy, which settled on conservative management. Twenty-five patients had anastomotic leaks, of which 17 underwent endoscopic retrograde cholangiopancreatography and stenting; another eight underwent re-exploration and hepaticojejunostomy. Forty-five patients had biliary strictures. Of these, 10 patients had bile leak initially, followed by biliary stricture. Patients with a double duct anastomosis had a significantly higher risk of developing biliary complications compared with those with a single duct anastomosis. There was no statistically significant difference in survival between those with or without biliary complications.\n\nCONCLUSIONS: Biliary complications are common after LDLT. Most leaks will subsequently form strictures. Endoscopic retrograde cholangiopancreatography is the first-line treatment for biliary complications, with surgery required in a minority of cases. The incidence of biliary complications is higher in multiple duct anastomoses. Biliary complications are not associated with increased mortality.", "author" : [ { "dropping-particle" : "", "family" : "Wadhawan", "given" : "Manav", "non-dropping-particle" : "", "parse-names" : false, "suffix" : "" }, { "dropping-particle" : "", "family" : "Kumar", "given" : "Ajay", "non-dropping-particle" : "", "parse-names" : false, "suffix" : "" }, { "dropping-particle" : "", "family" : "Gupta", "given" : "Subash", "non-dropping-particle" : "", "parse-names" : false, "suffix" : "" }, { "dropping-particle" : "", "family" : "Goyal", "given" : "Neerav", "non-dropping-particle" : "", "parse-names" : false, "suffix" : "" }, { "dropping-particle" : "", "family" : "Shandil", "given" : "Rajeev", "non-dropping-particle" : "", "parse-names" : false, "suffix" : "" }, { "dropping-particle" : "", "family" : "Taneja", "given" : "Sunil", "non-dropping-particle" : "", "parse-names" : false, "suffix" : "" }, { "dropping-particle" : "", "family" : "Sibal", "given" : "Anupam", "non-dropping-particle" : "", "parse-names" : false, "suffix" : "" } ], "container-title" : "Journal of gastroenterology and hepatology", "id" : "ITEM-1", "issue" : "6", "issued" : { "date-parts" : [ [ "2013", "6", "1" ] ] }, "page" : "1056-60", "title" : "Post-transplant biliary complications: an analysis from a predominantly living donor liver transplant center.", "type" : "article-journal", "volume" : "28" }, "uris" : [ "http://www.mendeley.com/documents/?uuid=b1d80dde-fcea-4eae-8005-79268ba60305" ] } ], "mendeley" : { "formattedCitation" : "&lt;sup&gt;31&lt;/sup&gt;", "plainTextFormattedCitation" : "31", "previouslyFormattedCitation" : "&lt;sup&gt;31&lt;/sup&gt;"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31</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"10.1097/01.TP.0000123077.78702.0C", "ISSN" : "0041-1337", "author" : [ { "dropping-particle" : "", "family" : "Gondolesi", "given" : "Gabriel E.", "non-dropping-particle" : "", "parse-names" : false, "suffix" : "" }, { "dropping-particle" : "", "family" : "Varotti", "given" : "Giovanni", "non-dropping-particle" : "", "parse-names" : false, "suffix" : "" }, { "dropping-particle" : "", "family" : "Florman", "given" : "Sander S.", "non-dropping-particle" : "", "parse-names" : false, "suffix" : "" }, { "dropping-particle" : "", "family" : "Mu??oz", "given" : "Luis", "non-dropping-particle" : "", "parse-names" : false, "suffix" : "" }, { "dropping-particle" : "", "family" : "Fishbein", "given" : "Thomas M.", "non-dropping-particle" : "", "parse-names" : false, "suffix" : "" }, { "dropping-particle" : "", "family" : "Emre", "given" : "Sukru H.", "non-dropping-particle" : "", "parse-names" : false, "suffix" : "" }, { "dropping-particle" : "", "family" : "Schwartz", "given" : "Myron E.", "non-dropping-particle" : "", "parse-names" : false, "suffix" : "" }, { "dropping-particle" : "", "family" : "Miller", "given" : "Charles", "non-dropping-particle" : "", "parse-names" : false, "suffix" : "" } ], "container-title" : "Transplantation", "id" : "ITEM-1", "issue" : "12", "issued" : { "date-parts" : [ [ "2004", "6" ] ] }, "page" : "1842-1848", "title" : "Biliary Complications in 96 Consecutive Right Lobe Living Donor Transplant Recipients", "type" : "article-journal", "volume" : "77" }, "uris" : [ "http://www.mendeley.com/documents/?uuid=868fc5a8-e1b7-4724-ac0e-0b911b23fa04" ] } ], "mendeley" : { "formattedCitation" : "&lt;sup&gt;23&lt;/sup&gt;", "plainTextFormattedCitation" : "23", "previouslyFormattedCitation" : "&lt;sup&gt;23&lt;/sup&gt;"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23</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"10.1002/lt.23595", "ISSN" : "1527-6473", "PMID" : "23495079", "abstract" : "Adult recipients of living donor liver transplantation (LDLT) have a higher incidence of biliary complications than recipients of deceased donor liver transplantation (DDLT). Our objective was to define the intensity of the interventions and the time to resolution after the diagnosis of biliary complications after liver transplantation. We analyzed the management and resolution of posttransplant biliary complications and investigated the comparative effectiveness of interventions in LDLT and DDLT recipients. For the analysis of biliary complications (leaks or strictures), we used a retrospective cohort of patients who underwent liver transplantation at 8 centers between 1998 and 2006 (median follow-up from onset=4.7 years). The numbers, procedure types, and times to resolution were compared for LDLT and DDLT recipients. Posttransplant biliary complications occurred in 47 of the 189 DDLT recipients (25%) and in 141 of the 356 LDLT recipients (40%). Biliary leaks constituted 38% of the post-DDLT biliary complications (n=18) and 65% of the post-LDLT biliary complications (n=91). The median times to first biliary complications were similar for DDLT and LDLT (11 versus 14 days for leaks, P=0.63; 69 versus 107 days for strictures, P=0.34). Overall, 1225 diagnostic and therapeutic procedures, including reoperation and retransplantation, were performed (6.5\u00b15.4 per recipient; 5.5\u00b13.6 for DDLT versus 6.8\u00b15.8 for LDLT, P=0.52). The median number of months to the resolution of a biliary complication (i.e., a tube-, stent-, and drain-free status) did not significantly differ between the DDLT and LDLT groups for leaks (2.3 versus 1.3 months, P=0.29) or strictures (4.9 versus 2.3 months, P=0.61). Although the incidence of biliary complications is higher after LDLT versus DDLT, the treatment requirements and the time to resolution after the development of a biliary complication are similar for LDLT and DDLT recipients.", "author" : [ { "dropping-particle" : "", "family" : "Zimmerman", "given" : "Michael A", "non-dropping-particle" : "", "parse-names" : false, "suffix" : "" }, { "dropping-particle" : "", "family" : "Baker", "given" : "Talia", "non-dropping-particle" : "", "parse-names" : false, "suffix" : "" }, { "dropping-particle" : "", "family" : "Goodrich", "given" : "Nathan P", "non-dropping-particle" : "", "parse-names" : false, "suffix" : "" }, { "dropping-particle" : "", "family" : "Freise", "given" : "Chris", "non-dropping-particle" : "", "parse-names" : false, "suffix" : "" }, { "dropping-particle" : "", "family" : "Hong", "given" : "Johnny C", "non-dropping-particle" : "", "parse-names" : false, "suffix" : "" }, { "dropping-particle" : "", "family" : "Kumer", "given" : "Sean", "non-dropping-particle" : "", "parse-names" : false, "suffix" : "" }, { "dropping-particle" : "", "family" : "Abt", "given" : "Peter", "non-dropping-particle" : "", "parse-names" : false, "suffix" : "" }, { "dropping-particle" : "", "family" : "Cotterell", "given" : "Adrian H", "non-dropping-particle" : "", "parse-names" : false, "suffix" : "" }, { "dropping-particle" : "", "family" : "Samstein", "given" : "Benjamin", "non-dropping-particle" : "", "parse-names" : false, "suffix" : "" }, { "dropping-particle" : "", "family" : "Everhart", "given" : "James E", "non-dropping-particle" : "", "parse-names" : false, "suffix" : "" }, { "dropping-particle" : "", "family" : "Merion", "given" : "Robert M", "non-dropping-particle" : "", "parse-names" : false, "suffix" : "" } ], "container-title" : "Liver transplantation : official publication of the American Association for the Study of Liver Diseases and the International Liver Transplantation Society", "id" : "ITEM-1", "issue" : "3", "issued" : { "date-parts" : [ [ "2013", "3", "1" ] ] }, "page" : "259-67", "publisher" : "NIH Public Access", "title" : "Development, management, and resolution of biliary complications after living and deceased donor liver transplantation: a report from the adult-to-adult living donor liver transplantation cohort study consortium.", "type" : "article-journal", "volume" : "19" }, "uris" : [ "http://www.mendeley.com/documents/?uuid=abe4f8a3-5ec1-4efc-8230-c5ef4b92e885" ] } ], "mendeley" : { "formattedCitation" : "&lt;sup&gt;38&lt;/sup&gt;", "plainTextFormattedCitation" : "38", "previouslyFormattedCitation" : "&lt;sup&gt;38&lt;/sup&gt;"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38</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4F54FD" w:rsidRPr="00074190">
        <w:rPr>
          <w:rFonts w:ascii="Book Antiqua" w:hAnsi="Book Antiqua" w:cs="Book Antiqua"/>
          <w:sz w:val="24"/>
          <w:szCs w:val="24"/>
          <w:lang w:eastAsia="zh-CN"/>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Bile leaks usually present within 2 months after LDLT, with most presenting 2-14 days post transplant</w:t>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t>7,</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"10.1097/01.TP.0000123077.78702.0C", "ISSN" : "0041-1337", "author" : [ { "dropping-particle" : "", "family" : "Gondolesi", "given" : "Gabriel E.", "non-dropping-particle" : "", "parse-names" : false, "suffix" : "" }, { "dropping-particle" : "", "family" : "Varotti", "given" : "Giovanni", "non-dropping-particle" : "", "parse-names" : false, "suffix" : "" }, { "dropping-particle" : "", "family" : "Florman", "given" : "Sander S.", "non-dropping-particle" : "", "parse-names" : false, "suffix" : "" }, { "dropping-particle" : "", "family" : "Mu??oz", "given" : "Luis", "non-dropping-particle" : "", "parse-names" : false, "suffix" : "" }, { "dropping-particle" : "", "family" : "Fishbein", "given" : "Thomas M.", "non-dropping-particle" : "", "parse-names" : false, "suffix" : "" }, { "dropping-particle" : "", "family" : "Emre", "given" : "Sukru H.", "non-dropping-particle" : "", "parse-names" : false, "suffix" : "" }, { "dropping-particle" : "", "family" : "Schwartz", "given" : "Myron E.", "non-dropping-particle" : "", "parse-names" : false, "suffix" : "" }, { "dropping-particle" : "", "family" : "Miller", "given" : "Charles", "non-dropping-particle" : "", "parse-names" : false, "suffix" : "" } ], "container-title" : "Transplantation", "id" : "ITEM-1", "issue" : "12", "issued" : { "date-parts" : [ [ "2004", "6" ] ] }, "page" : "1842-1848", "title" : "Biliary Complications in 96 Consecutive Right Lobe Living Donor Transplant Recipients", "type" : "article-journal", "volume" : "77" }, "uris" : [ "http://www.mendeley.com/documents/?uuid=868fc5a8-e1b7-4724-ac0e-0b911b23fa04" ] } ], "mendeley" : { "formattedCitation" : "&lt;sup&gt;23&lt;/sup&gt;", "plainTextFormattedCitation" : "23", "previouslyFormattedCitation" : "&lt;sup&gt;23&lt;/sup&gt;"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23</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"10.1111/j.1600-6143.2010.03284.x", "ISSN" : "1600-6143", "PMID" : "21199351", "abstract" : "The lack of use of a common grading system in reporting morbidity impedes estimation of the true risk to a right lobe living donor (RLLD). We report outcomes in 91 consecutive RLLD's using the validated 5-tier Clavien grading and a quality of life (QOL) questionnaire. The median follow-up was 79 months. The donors were predominantly female (66%), 22 (24%) received autologous blood transfusions. Fifty-three complications occurred in 43 donors (47% morbidity), 19 (37%) were \u2265 Grade III, biliary fistula (14%) was the most common. There was no donor mortality. Two intraoperative complications could not be graded and two disfiguring complications in female donors were graded as minor. Two subgroups (first 46 vs. later 45 donors) were compared to study the presence if any, of a learning curve. The later 45 donors had lesser autologous transfusions, lesser rehospitalization and no reoperation and a reduction in the proportion of \u2265 Grade III (major) complications (24% vs. 50%; p = 0.06). In the long term, donors expressed an overall sense of well being, but some sequelae of surgery do restrain their current lifestyle. Our results warn against lackadaisical vigilance once RLLD hepatectomy becomes routine.", "author" : [ { "dropping-particle" : "", "family" : "Azoulay", "given" : "D", "non-dropping-particle" : "", "parse-names" : false, "suffix" : "" }, { "dropping-particle" : "", "family" : "Bhangui", "given" : "P", "non-dropping-particle" : "", "parse-names" : false, "suffix" : "" }, { "dropping-particle" : "", "family" : "Andreani", "given" : "P", "non-dropping-particle" : "", "parse-names" : false, "suffix" : "" }, { "dropping-particle" : "", "family" : "Salloum", "given" : "C", "non-dropping-particle" : "", "parse-names" : false, "suffix" : "" }, { "dropping-particle" : "", "family" : "Karam", "given" : "V", "non-dropping-particle" : "", "parse-names" : false, "suffix" : "" }, { "dropping-particle" : "", "family" : "Hoti", "given" : "E", "non-dropping-particle" : "", "parse-names" : false, "suffix" : "" }, { "dropping-particle" : "", "family" : "Pascal", "given" : "G", "non-dropping-particle" : "", "parse-names" : false, "suffix" : "" }, { "dropping-particle" : "", "family" : "Adam", "given" : "R", "non-dropping-particle" : "", "parse-names" : false, "suffix" : "" }, { "dropping-particle" : "", "family" : "Samuel", "given" : "D", "non-dropping-particle" : "", "parse-names" : false, "suffix" : "" }, { "dropping-particle" : "", "family" : "Ichai", "given" : "Ph", "non-dropping-particle" : "", "parse-names" : false, "suffix" : "" }, { "dropping-particle" : "", "family" : "Saliba", "given" : "F", "non-dropping-particle" : "", "parse-names" : false, "suffix" : "" }, { "dropping-particle" : "", "family" : "Castaing", "given" : "D", "non-dropping-particle" : "", "parse-names" : false, "suffix" : "" } ], "container-title" : "American journal of transplantation : official journal of the American Society of Transplantation and the American Society of Transplant Surgeons", "id" : "ITEM-1", "issue" : "1", "issued" : { "date-parts" : [ [ "2011", "1" ] ] }, "page" : "101-10", "title" : "Short- and long-term donor morbidity in right lobe living donor liver transplantation: 91 consecutive cases in a European Center.", "type" : "article-journal", "volume" : "11" }, "uris" : [ "http://www.mendeley.com/documents/?uuid=a3049707-905d-4617-88c5-494227466b05" ] } ], "mendeley" : { "formattedCitation" : "&lt;sup&gt;39&lt;/sup&gt;", "plainTextFormattedCitation" : "39", "previouslyFormattedCitation" : "&lt;sup&gt;39&lt;/sup&gt;"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39</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r w:rsidRPr="00074190">
        <w:rPr>
          <w:rFonts w:ascii="Book Antiqua" w:eastAsia="Book Antiqua" w:hAnsi="Book Antiqua" w:cs="Book Antiqua"/>
          <w:sz w:val="24"/>
          <w:szCs w:val="24"/>
          <w:vertAlign w:val="superscript"/>
        </w:rPr>
        <w:t xml:space="preserve"> </w:t>
      </w:r>
      <w:r w:rsidRPr="00074190">
        <w:rPr>
          <w:rFonts w:ascii="Book Antiqua" w:eastAsia="Book Antiqua" w:hAnsi="Book Antiqua" w:cs="Book Antiqua"/>
          <w:sz w:val="24"/>
          <w:szCs w:val="24"/>
        </w:rPr>
        <w:t>They may present as bilious ascites, bilomas or persistent post-operative bile drainage or can be incidentally discovered during computed tomography or ERCP performed for other reasons</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"10.1111/j.1600-6143.2006.01601.x", "ISSN" : "1600-6135", "PMID" : "17227565", "abstract" : "Biliary strictures remain the most challenging aspect of adult right lobe living donor liver transplantation (RLDLT). Between 04/2000 and 10/2005, 130 consecutive RLDLTs were performed in our center and followed prospectively. Median follow-up was 23 months (range 3-67) and 1-year graft and patient survival was 85% and 87%, respectively. Overall incidence of biliary leaks (n = 19) or strictures (n = 22) was 32% (41/128) in 33 patients (26%). A duct-to-duct (D-D) or Roux-en-Y (R-Y) anastomosis were performed equally (n = 64 each) with no difference in stricture rate (p = 0.31). The use of ductoplasty increased the number of grafts with a single duct for anastomosis and reduced the biliary complication rate compared to grafts &gt;/=2 ducts (17% vs. 46%; p = 0.02). Independent risk factors for strictures included older donor age and previous history of a bile leak. All strictures were managed nonsurgically initially but four patients ultimately required conversion from D-D to R-Y. Ninety-six percent (123/128) of patients are currently free of any biliary complications. D-D anastomosis is safe after RLDLT and provides access for future endoscopic therapy in cases of leak or stricture. When presented with multiple bile ducts, ductoplasty should be considered to reduce the potential chance of stricture.", "author" : [ { "dropping-particle" : "", "family" : "Shah", "given" : "S A", "non-dropping-particle" : "", "parse-names" : false, "suffix" : "" }, { "dropping-particle" : "", "family" : "Grant", "given" : "D R", "non-dropping-particle" : "", "parse-names" : false, "suffix" : "" }, { "dropping-particle" : "", "family" : "McGilvray", "given" : "I D", "non-dropping-particle" : "", "parse-names" : false, "suffix" : "" }, { "dropping-particle" : "", "family" : "Greig", "given" : "P D", "non-dropping-particle" : "", "parse-names" : false, "suffix" : "" }, { "dropping-particle" : "", "family" : "Selzner", "given" : "M", "non-dropping-particle" : "", "parse-names" : false, "suffix" : "" }, { "dropping-particle" : "", "family" : "Lilly", "given" : "L B", "non-dropping-particle" : "", "parse-names" : false, "suffix" : "" }, { "dropping-particle" : "", "family" : "Girgrah", "given" : "N", "non-dropping-particle" : "", "parse-names" : false, "suffix" : "" }, { "dropping-particle" : "", "family" : "Levy", "given" : "G A", "non-dropping-particle" : "", "parse-names" : false, "suffix" : "" }, { "dropping-particle" : "", "family" : "Cattral", "given" : "M S", "non-dropping-particle" : "", "parse-names" : false, "suffix" : "" } ], "container-title" : "American journal of transplantation : official journal of the American Society of Transplantation and the American Society of Transplant Surgeons", "id" : "ITEM-1", "issue" : "1", "issued" : { "date-parts" : [ [ "2007", "1" ] ] }, "page" : "161-7", "title" : "Biliary strictures in 130 consecutive right lobe living donor liver transplant recipients: results of a Western center.", "type" : "article-journal", "volume" : "7" }, "uris" : [ "http://www.mendeley.com/documents/?uuid=bd619b18-e4cd-4ae5-8c65-b3344ac10e84" ] } ], "mendeley" : { "formattedCitation" : "&lt;sup&gt;27&lt;/sup&gt;", "plainTextFormattedCitation" : "27", "previouslyFormattedCitation" : "&lt;sup&gt;27&lt;/sup&gt;"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27</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Treatment is often not required for small leaks as they usually heal spontaneously. Larger leaks can be managed with endoscopic treatment by transpapillary stenting (with or without sphincterotomy) which typically seals the leak. Endoscopic methods have shown excellent success in the management of bile leaks, with a repo</w:t>
      </w:r>
      <w:r w:rsidR="004F54FD" w:rsidRPr="00074190">
        <w:rPr>
          <w:rFonts w:ascii="Book Antiqua" w:eastAsia="Book Antiqua" w:hAnsi="Book Antiqua" w:cs="Book Antiqua"/>
          <w:sz w:val="24"/>
          <w:szCs w:val="24"/>
        </w:rPr>
        <w:t>rted resolution rate of 82</w:t>
      </w:r>
      <w:r w:rsidR="004F54FD" w:rsidRPr="00074190">
        <w:rPr>
          <w:rFonts w:ascii="Book Antiqua" w:hAnsi="Book Antiqua" w:cs="Book Antiqua"/>
          <w:sz w:val="24"/>
          <w:szCs w:val="24"/>
          <w:lang w:eastAsia="zh-CN"/>
        </w:rPr>
        <w:t>%</w:t>
      </w:r>
      <w:r w:rsidR="004F54FD" w:rsidRPr="00074190">
        <w:rPr>
          <w:rFonts w:ascii="Book Antiqua" w:eastAsia="Book Antiqua" w:hAnsi="Book Antiqua" w:cs="Book Antiqua"/>
          <w:sz w:val="24"/>
          <w:szCs w:val="24"/>
        </w:rPr>
        <w:t>-92%</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"10.1111/jgh.12169", "ISSN" : "1440-1746", "PMID" : "23432435", "abstract" : "BACKGROUND AND AIM: Biliary anastomosis is the Achilles' heel of liver transplant. The reported incidence of biliary complications is 5-15% after deceased donor liver transplantation, and 20-34% after right-lobe live donor liver transplantation (LDLT). We report our experience from an LDLT program.\n\nMETHODS: Between September 2006 and August 2010, 338 liver transplants were performed. Biliary reconstructions were done with an end-to-end choledochocholedochostomy in 307 cases. All recipients were monitored for any evidence of bile leak or stricture.\n\nRESULTS: Of 338 transplants performed during this time period, 65 patients had biliary complications (19%). Of these, 30 were biliary leaks, and 35 patients had biliary stricture. Four were cut surface leaks, which settled without any intervention. One patient had leak from primary hepaticojejunostomy, which settled on conservative management. Twenty-five patients had anastomotic leaks, of which 17 underwent endoscopic retrograde cholangiopancreatography and stenting; another eight underwent re-exploration and hepaticojejunostomy. Forty-five patients had biliary strictures. Of these, 10 patients had bile leak initially, followed by biliary stricture. Patients with a double duct anastomosis had a significantly higher risk of developing biliary complications compared with those with a single duct anastomosis. There was no statistically significant difference in survival between those with or without biliary complications.\n\nCONCLUSIONS: Biliary complications are common after LDLT. Most leaks will subsequently form strictures. Endoscopic retrograde cholangiopancreatography is the first-line treatment for biliary complications, with surgery required in a minority of cases. The incidence of biliary complications is higher in multiple duct anastomoses. Biliary complications are not associated with increased mortality.", "author" : [ { "dropping-particle" : "", "family" : "Wadhawan", "given" : "Manav", "non-dropping-particle" : "", "parse-names" : false, "suffix" : "" }, { "dropping-particle" : "", "family" : "Kumar", "given" : "Ajay", "non-dropping-particle" : "", "parse-names" : false, "suffix" : "" }, { "dropping-particle" : "", "family" : "Gupta", "given" : "Subash", "non-dropping-particle" : "", "parse-names" : false, "suffix" : "" }, { "dropping-particle" : "", "family" : "Goyal", "given" : "Neerav", "non-dropping-particle" : "", "parse-names" : false, "suffix" : "" }, { "dropping-particle" : "", "family" : "Shandil", "given" : "Rajeev", "non-dropping-particle" : "", "parse-names" : false, "suffix" : "" }, { "dropping-particle" : "", "family" : "Taneja", "given" : "Sunil", "non-dropping-particle" : "", "parse-names" : false, "suffix" : "" }, { "dropping-particle" : "", "family" : "Sibal", "given" : "Anupam", "non-dropping-particle" : "", "parse-names" : false, "suffix" : "" } ], "container-title" : "Journal of gastroenterology and hepatology", "id" : "ITEM-1", "issue" : "6", "issued" : { "date-parts" : [ [ "2013", "6", "1" ] ] }, "page" : "1056-60", "title" : "Post-transplant biliary complications: an analysis from a predominantly living donor liver transplant center.", "type" : "article-journal", "volume" : "28" }, "uris" : [ "http://www.mendeley.com/documents/?uuid=b1d80dde-fcea-4eae-8005-79268ba60305" ] } ], "mendeley" : { "formattedCitation" : "&lt;sup&gt;31&lt;/sup&gt;", "plainTextFormattedCitation" : "31", "previouslyFormattedCitation" : "&lt;sup&gt;31&lt;/sup&gt;"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31</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"10.1007/s00534-005-1084-y", "ISSN" : "0944-1166", "PMID" : "17139423", "abstract" : "BACKGROUND/PURPOSE: The aims of this study were to characterize the features of the biliary complications that occur after right-lobe living-donor liver transplantation (RL-LDLT) with duct-to-duct biliary anastomosis, and to evaluate the efficacy of treating biliary complications endoscopically.\n\nMETHODS: The records of 273 consecutive patients who underwent RL-LDLT with duct-to-duct biliary anastomosis from July 1999 through July 2005 at Kyoto University Hospital were reviewed to determine the overall incidence of postoperative biliary complications and the outcome of endoscopic repair of those complications.\n\nRESULTS: Biliary complications occurred in 93 (34.1%) of the patients. These complications were: 80 biliary strictures (75 anastomotic and 5 nonanastomotic) and 16 biliary leakages (5 patients with biliary leakage also had a biliary stricture); most (72%) of the anastomotic strictures were complex (i.e., fork-shaped or trident-shaped). The strictures and leakages were repaired by the endoscopic placement of multiple inside stents above the sphincter of Oddi, and by nasobiliary drainage, respectively. The procedure was successful in repairing 51 (68.0%) of the anastomotic strictures and 8 (50.0%) of the biliary leakages.\n\nCONCLUSIONS: Endoscopic stenting of the bile ducts is efficacious in treating biliary complications related to RL-LDLT with duct-to-duct biliary anastomosis and the stenting should be attempted before surgical revision of strictures and leakages.", "author" : [ { "dropping-particle" : "", "family" : "Yazumi", "given" : "Shujiro", "non-dropping-particle" : "", "parse-names" : false, "suffix" : "" }, { "dropping-particle" : "", "family" : "Yoshimoto", "given" : "Takanobu", "non-dropping-particle" : "", "parse-names" : false, "suffix" : "" }, { "dropping-particle" : "", "family" : "Hisatsune", "given" : "Hiroshi", "non-dropping-particle" : "", "parse-names" : false, "suffix" : "" }, { "dropping-particle" : "", "family" : "Hasegawa", "given" : "Kazunori", "non-dropping-particle" : "", "parse-names" : false, "suffix" : "" }, { "dropping-particle" : "", "family" : "Kida", "given" : "Masaya", "non-dropping-particle" : "", "parse-names" : false, "suffix" : "" }, { "dropping-particle" : "", "family" : "Tada", "given" : "Shinsuke", "non-dropping-particle" : "", "parse-names" : false, "suffix" : "" }, { "dropping-particle" : "", "family" : "Uenoyama", "given" : "Yoshito", "non-dropping-particle" : "", "parse-names" : false, "suffix" : "" }, { "dropping-particle" : "", "family" : "Yamauchi", "given" : "Junichi", "non-dropping-particle" : "", "parse-names" : false, "suffix" : "" }, { "dropping-particle" : "", "family" : "Shio", "given" : "Seiji", "non-dropping-particle" : "", "parse-names" : false, "suffix" : "" }, { "dropping-particle" : "", "family" : "Kasahara", "given" : "Mureo", "non-dropping-particle" : "", "parse-names" : false, "suffix" : "" }, { "dropping-particle" : "", "family" : "Ogawa", "given" : "Kohei", "non-dropping-particle" : "", "parse-names" : false, "suffix" : "" }, { "dropping-particle" : "", "family" : "Egawa", "given" : "Hiroto", "non-dropping-particle" : "", "parse-names" : false, "suffix" : "" }, { "dropping-particle" : "", "family" : "Tanaka", "given" : "Koichi", "non-dropping-particle" : "", "parse-names" : false, "suffix" : "" }, { "dropping-particle" : "", "family" : "Chiba", "given" : "Tsutomu", "non-dropping-particle" : "", "parse-names" : false, "suffix" : "" } ], "container-title" : "Journal of hepato-biliary-pancreatic surgery", "id" : "ITEM-1", "issue" : "6", "issued" : { "date-parts" : [ [ "2006", "1" ] ] }, "page" : "502-10", "title" : "Endoscopic treatment of biliary complications after right-lobe living-donor liver transplantation with duct-to-duct biliary anastomosis.", "type" : "article-journal", "volume" : "13" }, "uris" : [ "http://www.mendeley.com/documents/?uuid=94c50d7a-ed55-43ff-a767-f2ab13683ea2" ] } ], "mendeley" : { "formattedCitation" : "&lt;sup&gt;34&lt;/sup&gt;", "plainTextFormattedCitation" : "34", "previouslyFormattedCitation" : "&lt;sup&gt;34&lt;/sup&gt;"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34</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Percutaneous drainage and stenting by ERC may be performed simultaneously if there is a significant collection.  If copious biliary drainage  persists or if there is simultaneous stricture development,  surgical reconstruction or conversion of the anastomoses may be performed</w:t>
      </w:r>
      <w:r w:rsidR="00121F30" w:rsidRPr="00074190">
        <w:rPr>
          <w:rFonts w:ascii="Book Antiqua" w:eastAsia="Book Antiqua" w:hAnsi="Book Antiqua" w:cs="Book Antiqua"/>
          <w:sz w:val="24"/>
          <w:szCs w:val="24"/>
          <w:vertAlign w:val="superscript"/>
        </w:rPr>
        <w:t>[</w:t>
      </w:r>
      <w:r w:rsidR="004F54FD" w:rsidRPr="00074190">
        <w:rPr>
          <w:rFonts w:ascii="Book Antiqua" w:eastAsia="Book Antiqua" w:hAnsi="Book Antiqua" w:cs="Book Antiqua"/>
          <w:sz w:val="24"/>
          <w:szCs w:val="24"/>
          <w:vertAlign w:val="superscript"/>
        </w:rPr>
        <w:fldChar w:fldCharType="begin" w:fldLock="1"/>
      </w:r>
      <w:r w:rsidR="004F54FD" w:rsidRPr="00074190">
        <w:rPr>
          <w:rFonts w:ascii="Book Antiqua" w:eastAsia="Book Antiqua" w:hAnsi="Book Antiqua" w:cs="Book Antiqua"/>
          <w:sz w:val="24"/>
          <w:szCs w:val="24"/>
          <w:vertAlign w:val="superscript"/>
        </w:rPr>
        <w:instrText>ADDIN CSL_CITATION { "citationItems" : [ { "id" : "ITEM-1", "itemData" : { "DOI" : "10.1111/j.1600-6143.2006.01601.x", "ISSN" : "1600-6135", "PMID" : "17227565", "abstract" : "Biliary strictures remain the most challenging aspect of adult right lobe living donor liver transplantation (RLDLT). Between 04/2000 and 10/2005, 130 consecutive RLDLTs were performed in our center and followed prospectively. Median follow-up was 23 months (range 3-67) and 1-year graft and patient survival was 85% and 87%, respectively. Overall incidence of biliary leaks (n = 19) or strictures (n = 22) was 32% (41/128) in 33 patients (26%). A duct-to-duct (D-D) or Roux-en-Y (R-Y) anastomosis were performed equally (n = 64 each) with no difference in stricture rate (p = 0.31). The use of ductoplasty increased the number of grafts with a single duct for anastomosis and reduced the biliary complication rate compared to grafts &gt;/=2 ducts (17% vs. 46%; p = 0.02). Independent risk factors for strictures included older donor age and previous history of a bile leak. All strictures were managed nonsurgically initially but four patients ultimately required conversion from D-D to R-Y. Ninety-six percent (123/128) of patients are currently free of any biliary complications. D-D anastomosis is safe after RLDLT and provides access for future endoscopic therapy in cases of leak or stricture. When presented with multiple bile ducts, ductoplasty should be considered to reduce the potential chance of stricture.", "author" : [ { "dropping-particle" : "", "family" : "Shah", "given" : "S A", "non-dropping-particle" : "", "parse-names" : false, "suffix" : "" }, { "dropping-particle" : "", "family" : "Grant", "given" : "D R", "non-dropping-particle" : "", "parse-names" : false, "suffix" : "" }, { "dropping-particle" : "", "family" : "McGilvray", "given" : "I D", "non-dropping-particle" : "", "parse-names" : false, "suffix" : "" }, { "dropping-particle" : "", "family" : "Greig", "given" : "P D", "non-dropping-particle" : "", "parse-names" : false, "suffix" : "" }, { "dropping-particle" : "", "family" : "Selzner", "given" : "M", "non-dropping-particle" : "", "parse-names" : false, "suffix" : "" }, { "dropping-particle" : "", "family" : "Lilly", "given" : "L B", "non-dropping-particle" : "", "parse-names" : false, "suffix" : "" }, { "dropping-particle" : "", "family" : "Girgrah", "given" : "N", "non-dropping-particle" : "", "parse-names" : false, "suffix" : "" }, { "dropping-particle" : "", "family" : "Levy", "given" : "G A", "non-dropping-particle" : "", "parse-names" : false, "suffix" : "" }, { "dropping-particle" : "", "family" : "Cattral", "given" : "M S", "non-dropping-particle" : "", "parse-names" : false, "suffix" : "" } ], "container-title" : "American journal of transplantation : official journal of the American Society of Transplantation and the American Society of Transplant Surgeons", "id" : "ITEM-1", "issue" : "1", "issued" : { "date-parts" : [ [ "2007", "1" ] ] }, "page" : "161-7", "title" : "Biliary strictures in 130 consecutive right lobe living donor liver transplant recipients: results of a Western center.", "type" : "article-journal", "volume" : "7" }, "uris" : [ "http://www.mendeley.com/documents/?uuid=bd619b18-e4cd-4ae5-8c65-b3344ac10e84" ] } ], "mendeley" : { "formattedCitation" : "&lt;sup&gt;27&lt;/sup&gt;", "plainTextFormattedCitation" : "27", "previouslyFormattedCitation" : "&lt;sup&gt;27&lt;/sup&gt;" }, "properties" : { "noteIndex" : 0 }, "schema" : "https://github.com/citation-style-language/schema/raw/master/csl-citation.json" }</w:instrText>
      </w:r>
      <w:r w:rsidR="004F54FD" w:rsidRPr="00074190">
        <w:rPr>
          <w:rFonts w:ascii="Book Antiqua" w:eastAsia="Book Antiqua" w:hAnsi="Book Antiqua" w:cs="Book Antiqua"/>
          <w:sz w:val="24"/>
          <w:szCs w:val="24"/>
          <w:vertAlign w:val="superscript"/>
        </w:rPr>
        <w:fldChar w:fldCharType="separate"/>
      </w:r>
      <w:r w:rsidR="004F54FD" w:rsidRPr="00074190">
        <w:rPr>
          <w:rFonts w:ascii="Book Antiqua" w:eastAsia="Book Antiqua" w:hAnsi="Book Antiqua" w:cs="Book Antiqua"/>
          <w:noProof/>
          <w:sz w:val="24"/>
          <w:szCs w:val="24"/>
          <w:vertAlign w:val="superscript"/>
        </w:rPr>
        <w:t>27</w:t>
      </w:r>
      <w:r w:rsidR="004F54FD" w:rsidRPr="00074190">
        <w:rPr>
          <w:rFonts w:ascii="Book Antiqua" w:eastAsia="Book Antiqua" w:hAnsi="Book Antiqua" w:cs="Book Antiqua"/>
          <w:sz w:val="24"/>
          <w:szCs w:val="24"/>
          <w:vertAlign w:val="superscript"/>
        </w:rPr>
        <w:fldChar w:fldCharType="end"/>
      </w:r>
      <w:r w:rsidR="004F54FD" w:rsidRPr="00074190">
        <w:rPr>
          <w:rFonts w:ascii="Book Antiqua" w:hAnsi="Book Antiqua" w:cs="Book Antiqua"/>
          <w:sz w:val="24"/>
          <w:szCs w:val="24"/>
          <w:vertAlign w:val="superscript"/>
          <w:lang w:eastAsia="zh-CN"/>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"10.1007/s00534-005-1084-y", "ISSN" : "0944-1166", "PMID" : "17139423", "abstract" : "BACKGROUND/PURPOSE: The aims of this study were to characterize the features of the biliary complications that occur after right-lobe living-donor liver transplantation (RL-LDLT) with duct-to-duct biliary anastomosis, and to evaluate the efficacy of treating biliary complications endoscopically.\n\nMETHODS: The records of 273 consecutive patients who underwent RL-LDLT with duct-to-duct biliary anastomosis from July 1999 through July 2005 at Kyoto University Hospital were reviewed to determine the overall incidence of postoperative biliary complications and the outcome of endoscopic repair of those complications.\n\nRESULTS: Biliary complications occurred in 93 (34.1%) of the patients. These complications were: 80 biliary strictures (75 anastomotic and 5 nonanastomotic) and 16 biliary leakages (5 patients with biliary leakage also had a biliary stricture); most (72%) of the anastomotic strictures were complex (i.e., fork-shaped or trident-shaped). The strictures and leakages were repaired by the endoscopic placement of multiple inside stents above the sphincter of Oddi, and by nasobiliary drainage, respectively. The procedure was successful in repairing 51 (68.0%) of the anastomotic strictures and 8 (50.0%) of the biliary leakages.\n\nCONCLUSIONS: Endoscopic stenting of the bile ducts is efficacious in treating biliary complications related to RL-LDLT with duct-to-duct biliary anastomosis and the stenting should be attempted before surgical revision of strictures and leakages.", "author" : [ { "dropping-particle" : "", "family" : "Yazumi", "given" : "Shujiro", "non-dropping-particle" : "", "parse-names" : false, "suffix" : "" }, { "dropping-particle" : "", "family" : "Yoshimoto", "given" : "Takanobu", "non-dropping-particle" : "", "parse-names" : false, "suffix" : "" }, { "dropping-particle" : "", "family" : "Hisatsune", "given" : "Hiroshi", "non-dropping-particle" : "", "parse-names" : false, "suffix" : "" }, { "dropping-particle" : "", "family" : "Hasegawa", "given" : "Kazunori", "non-dropping-particle" : "", "parse-names" : false, "suffix" : "" }, { "dropping-particle" : "", "family" : "Kida", "given" : "Masaya", "non-dropping-particle" : "", "parse-names" : false, "suffix" : "" }, { "dropping-particle" : "", "family" : "Tada", "given" : "Shinsuke", "non-dropping-particle" : "", "parse-names" : false, "suffix" : "" }, { "dropping-particle" : "", "family" : "Uenoyama", "given" : "Yoshito", "non-dropping-particle" : "", "parse-names" : false, "suffix" : "" }, { "dropping-particle" : "", "family" : "Yamauchi", "given" : "Junichi", "non-dropping-particle" : "", "parse-names" : false, "suffix" : "" }, { "dropping-particle" : "", "family" : "Shio", "given" : "Seiji", "non-dropping-particle" : "", "parse-names" : false, "suffix" : "" }, { "dropping-particle" : "", "family" : "Kasahara", "given" : "Mureo", "non-dropping-particle" : "", "parse-names" : false, "suffix" : "" }, { "dropping-particle" : "", "family" : "Ogawa", "given" : "Kohei", "non-dropping-particle" : "", "parse-names" : false, "suffix" : "" }, { "dropping-particle" : "", "family" : "Egawa", "given" : "Hiroto", "non-dropping-particle" : "", "parse-names" : false, "suffix" : "" }, { "dropping-particle" : "", "family" : "Tanaka", "given" : "Koichi", "non-dropping-particle" : "", "parse-names" : false, "suffix" : "" }, { "dropping-particle" : "", "family" : "Chiba", "given" : "Tsutomu", "non-dropping-particle" : "", "parse-names" : false, "suffix" : "" } ], "container-title" : "Journal of hepato-biliary-pancreatic surgery", "id" : "ITEM-1", "issue" : "6", "issued" : { "date-parts" : [ [ "2006", "1" ] ] }, "page" : "502-10", "title" : "Endoscopic treatment of biliary complications after right-lobe living-donor liver transplantation with duct-to-duct biliary anastomosis.", "type" : "article-journal", "volume" : "13" }, "uris" : [ "http://www.mendeley.com/documents/?uuid=94c50d7a-ed55-43ff-a767-f2ab13683ea2" ] } ], "mendeley" : { "formattedCitation" : "&lt;sup&gt;34&lt;/sup&gt;", "plainTextFormattedCitation" : "34", "previouslyFormattedCitation" : "&lt;sup&gt;34&lt;/sup&gt;"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34</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Most bile leaks in recipients of LDLT resolve within 3 months after presentation, with a median time to resolution of 1 month</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"10.1002/lt.23595", "ISSN" : "1527-6473", "PMID" : "23495079", "abstract" : "Adult recipients of living donor liver transplantation (LDLT) have a higher incidence of biliary complications than recipients of deceased donor liver transplantation (DDLT). Our objective was to define the intensity of the interventions and the time to resolution after the diagnosis of biliary complications after liver transplantation. We analyzed the management and resolution of posttransplant biliary complications and investigated the comparative effectiveness of interventions in LDLT and DDLT recipients. For the analysis of biliary complications (leaks or strictures), we used a retrospective cohort of patients who underwent liver transplantation at 8 centers between 1998 and 2006 (median follow-up from onset=4.7 years). The numbers, procedure types, and times to resolution were compared for LDLT and DDLT recipients. Posttransplant biliary complications occurred in 47 of the 189 DDLT recipients (25%) and in 141 of the 356 LDLT recipients (40%). Biliary leaks constituted 38% of the post-DDLT biliary complications (n=18) and 65% of the post-LDLT biliary complications (n=91). The median times to first biliary complications were similar for DDLT and LDLT (11 versus 14 days for leaks, P=0.63; 69 versus 107 days for strictures, P=0.34). Overall, 1225 diagnostic and therapeutic procedures, including reoperation and retransplantation, were performed (6.5\u00b15.4 per recipient; 5.5\u00b13.6 for DDLT versus 6.8\u00b15.8 for LDLT, P=0.52). The median number of months to the resolution of a biliary complication (i.e., a tube-, stent-, and drain-free status) did not significantly differ between the DDLT and LDLT groups for leaks (2.3 versus 1.3 months, P=0.29) or strictures (4.9 versus 2.3 months, P=0.61). Although the incidence of biliary complications is higher after LDLT versus DDLT, the treatment requirements and the time to resolution after the development of a biliary complication are similar for LDLT and DDLT recipients.", "author" : [ { "dropping-particle" : "", "family" : "Zimmerman", "given" : "Michael A", "non-dropping-particle" : "", "parse-names" : false, "suffix" : "" }, { "dropping-particle" : "", "family" : "Baker", "given" : "Talia", "non-dropping-particle" : "", "parse-names" : false, "suffix" : "" }, { "dropping-particle" : "", "family" : "Goodrich", "given" : "Nathan P", "non-dropping-particle" : "", "parse-names" : false, "suffix" : "" }, { "dropping-particle" : "", "family" : "Freise", "given" : "Chris", "non-dropping-particle" : "", "parse-names" : false, "suffix" : "" }, { "dropping-particle" : "", "family" : "Hong", "given" : "Johnny C", "non-dropping-particle" : "", "parse-names" : false, "suffix" : "" }, { "dropping-particle" : "", "family" : "Kumer", "given" : "Sean", "non-dropping-particle" : "", "parse-names" : false, "suffix" : "" }, { "dropping-particle" : "", "family" : "Abt", "given" : "Peter", "non-dropping-particle" : "", "parse-names" : false, "suffix" : "" }, { "dropping-particle" : "", "family" : "Cotterell", "given" : "Adrian H", "non-dropping-particle" : "", "parse-names" : false, "suffix" : "" }, { "dropping-particle" : "", "family" : "Samstein", "given" : "Benjamin", "non-dropping-particle" : "", "parse-names" : false, "suffix" : "" }, { "dropping-particle" : "", "family" : "Everhart", "given" : "James E", "non-dropping-particle" : "", "parse-names" : false, "suffix" : "" }, { "dropping-particle" : "", "family" : "Merion", "given" : "Robert M", "non-dropping-particle" : "", "parse-names" : false, "suffix" : "" } ], "container-title" : "Liver transplantation : official publication of the American Association for the Study of Liver Diseases and the International Liver Transplantation Society", "id" : "ITEM-1", "issue" : "3", "issued" : { "date-parts" : [ [ "2013", "3", "1" ] ] }, "page" : "259-67", "publisher" : "NIH Public Access", "title" : "Development, management, and resolution of biliary complications after living and deceased donor liver transplantation: a report from the adult-to-adult living donor liver transplantation cohort study consortium.", "type" : "article-journal", "volume" : "19" }, "uris" : [ "http://www.mendeley.com/documents/?uuid=abe4f8a3-5ec1-4efc-8230-c5ef4b92e885" ] } ], "mendeley" : { "formattedCitation" : "&lt;sup&gt;38&lt;/sup&gt;", "plainTextFormattedCitation" : "38", "previouslyFormattedCitation" : "&lt;sup&gt;38&lt;/sup&gt;"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38</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Figure 1 demonstrates a leak at the anastomosis in a right lobe recipient which was successfully treated with stent placement.</w:t>
      </w:r>
    </w:p>
    <w:p w:rsidR="005E3013" w:rsidRPr="00074190" w:rsidRDefault="006A074B" w:rsidP="00074190">
      <w:pPr>
        <w:spacing w:after="0" w:line="360" w:lineRule="auto"/>
        <w:jc w:val="both"/>
        <w:rPr>
          <w:rFonts w:ascii="Book Antiqua" w:hAnsi="Book Antiqua" w:cs="Book Antiqua"/>
          <w:b/>
          <w:sz w:val="24"/>
          <w:szCs w:val="24"/>
          <w:lang w:eastAsia="zh-CN"/>
        </w:rPr>
      </w:pPr>
      <w:r w:rsidRPr="00074190">
        <w:rPr>
          <w:rFonts w:ascii="Book Antiqua" w:eastAsia="Book Antiqua" w:hAnsi="Book Antiqua" w:cs="Book Antiqua"/>
          <w:b/>
          <w:sz w:val="24"/>
          <w:szCs w:val="24"/>
        </w:rPr>
        <w:t xml:space="preserve"> </w:t>
      </w:r>
    </w:p>
    <w:p w:rsidR="005E3013" w:rsidRPr="00074190" w:rsidRDefault="006A074B" w:rsidP="00074190">
      <w:pPr>
        <w:spacing w:after="0" w:line="360" w:lineRule="auto"/>
        <w:jc w:val="both"/>
        <w:rPr>
          <w:rFonts w:ascii="Book Antiqua" w:eastAsia="Book Antiqua" w:hAnsi="Book Antiqua" w:cs="Book Antiqua"/>
          <w:b/>
          <w:i/>
          <w:sz w:val="24"/>
          <w:szCs w:val="24"/>
        </w:rPr>
      </w:pPr>
      <w:r w:rsidRPr="00074190">
        <w:rPr>
          <w:rFonts w:ascii="Book Antiqua" w:eastAsia="Book Antiqua" w:hAnsi="Book Antiqua" w:cs="Book Antiqua"/>
          <w:b/>
          <w:i/>
          <w:sz w:val="24"/>
          <w:szCs w:val="24"/>
        </w:rPr>
        <w:t xml:space="preserve">Biliary strictures </w:t>
      </w:r>
    </w:p>
    <w:p w:rsidR="005E3013" w:rsidRPr="00074190" w:rsidRDefault="006A074B" w:rsidP="00074190">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sz w:val="24"/>
          <w:szCs w:val="24"/>
        </w:rPr>
        <w:t xml:space="preserve">Biliary strictures are also common after LDLT. The A2ALL study reported the incidence </w:t>
      </w:r>
      <w:r w:rsidR="004F54FD" w:rsidRPr="00074190">
        <w:rPr>
          <w:rFonts w:ascii="Book Antiqua" w:eastAsia="Book Antiqua" w:hAnsi="Book Antiqua" w:cs="Book Antiqua"/>
          <w:sz w:val="24"/>
          <w:szCs w:val="24"/>
        </w:rPr>
        <w:t>of biliary strictures to be 18</w:t>
      </w:r>
      <w:r w:rsidR="004F54FD" w:rsidRPr="00074190">
        <w:rPr>
          <w:rFonts w:ascii="Book Antiqua" w:hAnsi="Book Antiqua" w:cs="Book Antiqua"/>
          <w:sz w:val="24"/>
          <w:szCs w:val="24"/>
          <w:lang w:eastAsia="zh-CN"/>
        </w:rPr>
        <w:t>%</w:t>
      </w:r>
      <w:r w:rsidR="004F54FD" w:rsidRPr="00074190">
        <w:rPr>
          <w:rFonts w:ascii="Book Antiqua" w:eastAsia="Book Antiqua" w:hAnsi="Book Antiqua" w:cs="Book Antiqua"/>
          <w:sz w:val="24"/>
          <w:szCs w:val="24"/>
        </w:rPr>
        <w:t>-</w:t>
      </w:r>
      <w:r w:rsidRPr="00074190">
        <w:rPr>
          <w:rFonts w:ascii="Book Antiqua" w:eastAsia="Book Antiqua" w:hAnsi="Book Antiqua" w:cs="Book Antiqua"/>
          <w:sz w:val="24"/>
          <w:szCs w:val="24"/>
        </w:rPr>
        <w:t>21%</w:t>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t>7</w:t>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xml:space="preserve"> with other studies reporting an incidence of 13% </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"10.1111/jgh.12169", "ISSN" : "1440-1746", "PMID" : "23432435", "abstract" : "BACKGROUND AND AIM: Biliary anastomosis is the Achilles' heel of liver transplant. The reported incidence of biliary complications is 5-15% after deceased donor liver transplantation, and 20-34% after right-lobe live donor liver transplantation (LDLT). We report our experience from an LDLT program.\n\nMETHODS: Between September 2006 and August 2010, 338 liver transplants were performed. Biliary reconstructions were done with an end-to-end choledochocholedochostomy in 307 cases. All recipients were monitored for any evidence of bile leak or stricture.\n\nRESULTS: Of 338 transplants performed during this time period, 65 patients had biliary complications (19%). Of these, 30 were biliary leaks, and 35 patients had biliary stricture. Four were cut surface leaks, which settled without any intervention. One patient had leak from primary hepaticojejunostomy, which settled on conservative management. Twenty-five patients had anastomotic leaks, of which 17 underwent endoscopic retrograde cholangiopancreatography and stenting; another eight underwent re-exploration and hepaticojejunostomy. Forty-five patients had biliary strictures. Of these, 10 patients had bile leak initially, followed by biliary stricture. Patients with a double duct anastomosis had a significantly higher risk of developing biliary complications compared with those with a single duct anastomosis. There was no statistically significant difference in survival between those with or without biliary complications.\n\nCONCLUSIONS: Biliary complications are common after LDLT. Most leaks will subsequently form strictures. Endoscopic retrograde cholangiopancreatography is the first-line treatment for biliary complications, with surgery required in a minority of cases. The incidence of biliary complications is higher in multiple duct anastomoses. Biliary complications are not associated with increased mortality.", "author" : [ { "dropping-particle" : "", "family" : "Wadhawan", "given" : "Manav", "non-dropping-particle" : "", "parse-names" : false, "suffix" : "" }, { "dropping-particle" : "", "family" : "Kumar", "given" : "Ajay", "non-dropping-particle" : "", "parse-names" : false, "suffix" : "" }, { "dropping-particle" : "", "family" : "Gupta", "given" : "Subash", "non-dropping-particle" : "", "parse-names" : false, "suffix" : "" }, { "dropping-particle" : "", "family" : "Goyal", "given" : "Neerav", "non-dropping-particle" : "", "parse-names" : false, "suffix" : "" }, { "dropping-particle" : "", "family" : "Shandil", "given" : "Rajeev", "non-dropping-particle" : "", "parse-names" : false, "suffix" : "" }, { "dropping-particle" : "", "family" : "Taneja", "given" : "Sunil", "non-dropping-particle" : "", "parse-names" : false, "suffix" : "" }, { "dropping-particle" : "", "family" : "Sibal", "given" : "Anupam", "non-dropping-particle" : "", "parse-names" : false, "suffix" : "" } ], "container-title" : "Journal of gastroenterology and hepatology", "id" : "ITEM-1", "issue" : "6", "issued" : { "date-parts" : [ [ "2013", "6", "1" ] ] }, "page" : "1056-60", "title" : "Post-transplant biliary complications: an analysis from a predominantly living donor liver transplant center.", "type" : "article-journal", "volume" : "28" }, "uris" : [ "http://www.mendeley.com/documents/?uuid=b1d80dde-fcea-4eae-8005-79268ba60305" ] } ], "mendeley" : { "formattedCitation" : "&lt;sup&gt;31&lt;/sup&gt;", "plainTextFormattedCitation" : "31", "previouslyFormattedCitation" : "&lt;sup&gt;31&lt;/sup&gt;"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31</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r w:rsidR="000F5C96" w:rsidRPr="00074190">
        <w:rPr>
          <w:rFonts w:ascii="Book Antiqua" w:eastAsia="Book Antiqua" w:hAnsi="Book Antiqua" w:cs="Book Antiqua"/>
          <w:sz w:val="24"/>
          <w:szCs w:val="24"/>
        </w:rPr>
        <w:t xml:space="preserve"> Most biliary strictures described in these studies were Clavien grade 2 or 3 complications</w:t>
      </w:r>
      <w:r w:rsidR="00094042" w:rsidRPr="00074190">
        <w:rPr>
          <w:rFonts w:ascii="Book Antiqua" w:eastAsia="Book Antiqua" w:hAnsi="Book Antiqua" w:cs="Book Antiqua"/>
          <w:sz w:val="24"/>
          <w:szCs w:val="24"/>
        </w:rPr>
        <w:t xml:space="preserve">. </w:t>
      </w:r>
      <w:r w:rsidRPr="00074190">
        <w:rPr>
          <w:rFonts w:ascii="Book Antiqua" w:eastAsia="Book Antiqua" w:hAnsi="Book Antiqua" w:cs="Book Antiqua"/>
          <w:sz w:val="24"/>
          <w:szCs w:val="24"/>
        </w:rPr>
        <w:t>Biliary strictures are of 2 types- anastomotic strictures (AS) and non-anastomotic strictures (NAS).</w:t>
      </w:r>
    </w:p>
    <w:p w:rsidR="004F54FD" w:rsidRPr="00074190" w:rsidRDefault="004F54FD" w:rsidP="00074190">
      <w:pPr>
        <w:spacing w:after="0" w:line="360" w:lineRule="auto"/>
        <w:jc w:val="both"/>
        <w:rPr>
          <w:rFonts w:ascii="Book Antiqua" w:hAnsi="Book Antiqua" w:cs="Book Antiqua"/>
          <w:sz w:val="24"/>
          <w:szCs w:val="24"/>
          <w:lang w:eastAsia="zh-CN"/>
        </w:rPr>
      </w:pPr>
    </w:p>
    <w:p w:rsidR="005E3013" w:rsidRPr="00074190" w:rsidRDefault="006A074B" w:rsidP="00074190">
      <w:pPr>
        <w:spacing w:after="0" w:line="360" w:lineRule="auto"/>
        <w:jc w:val="both"/>
        <w:rPr>
          <w:rFonts w:ascii="Book Antiqua" w:hAnsi="Book Antiqua" w:cs="Book Antiqua"/>
          <w:b/>
          <w:sz w:val="24"/>
          <w:szCs w:val="24"/>
          <w:lang w:eastAsia="zh-CN"/>
        </w:rPr>
      </w:pPr>
      <w:r w:rsidRPr="00074190">
        <w:rPr>
          <w:rFonts w:ascii="Book Antiqua" w:eastAsia="Book Antiqua" w:hAnsi="Book Antiqua" w:cs="Book Antiqua"/>
          <w:b/>
          <w:sz w:val="24"/>
          <w:szCs w:val="24"/>
        </w:rPr>
        <w:t>Anastomotic strictures</w:t>
      </w:r>
      <w:r w:rsidR="004F54FD" w:rsidRPr="00074190">
        <w:rPr>
          <w:rFonts w:ascii="Book Antiqua" w:hAnsi="Book Antiqua" w:cs="Book Antiqua"/>
          <w:b/>
          <w:sz w:val="24"/>
          <w:szCs w:val="24"/>
          <w:lang w:eastAsia="zh-CN"/>
        </w:rPr>
        <w:t xml:space="preserve">: </w:t>
      </w:r>
      <w:r w:rsidRPr="00074190">
        <w:rPr>
          <w:rFonts w:ascii="Book Antiqua" w:eastAsia="Book Antiqua" w:hAnsi="Book Antiqua" w:cs="Book Antiqua"/>
          <w:sz w:val="24"/>
          <w:szCs w:val="24"/>
        </w:rPr>
        <w:t>Anastomotic strictures occur at the site of duct to duct anastomosis and are typically isolated and shorter in length.</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The development of AS is associated with multiple operative factors such as biliary ischemia, cold ischemia time, type of anastomosis  (duct to duct vs. hepatico-jejunostomy),  single versus double duct anastomosis, surgical expertise, prior bile leak  and donor factors such as age, gender, weight, blood type and liver steatosis. In DDLT, transplantation in the post MELD era and the use of DCD organs also ap</w:t>
      </w:r>
      <w:r w:rsidR="004F54FD" w:rsidRPr="00074190">
        <w:rPr>
          <w:rFonts w:ascii="Book Antiqua" w:eastAsia="Book Antiqua" w:hAnsi="Book Antiqua" w:cs="Book Antiqua"/>
          <w:sz w:val="24"/>
          <w:szCs w:val="24"/>
        </w:rPr>
        <w:t>pears to influence AS formation</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7A2D1E" w:rsidRPr="00074190">
        <w:rPr>
          <w:rFonts w:ascii="Book Antiqua" w:eastAsia="Book Antiqua" w:hAnsi="Book Antiqua" w:cs="Book Antiqua"/>
          <w:sz w:val="24"/>
          <w:szCs w:val="24"/>
          <w:vertAlign w:val="superscript"/>
        </w:rPr>
        <w:instrText>ADDIN CSL_CITATION { "citationItems" : [ { "id" : "ITEM-1", "itemData" : { "DOI" : "10.1111/ajt.12034", "ISSN" : "1600-6143", "PMID" : "23331505", "abstract" : "Due to a vulnerable blood supply of the bile ducts, biliary complications are a major source of morbidity after liver transplantation (LT). Manifestation is either seen at the anastomotic region or at multiple locations of the donor biliary system, termed as nonanastomotic biliary strictures. Major risk factors include old donor age, marginal grafts and prolonged ischemia time. Moreover, partial LT or living donor liver transplantation (LDLT) and donation after cardiac death (DCD) bear a markedly higher risk of biliary complications. Especially accumulation of several risk factors is critical and should be avoided. Prophylaxis is still a major issue; however no gold standard is established so far, since many risk factors cannot be influenced directly. The diagnostic workup is mostly started with noninvasive imaging studies namely MRI and MRCP, but direct cholangiography still remains the gold standard. Especially nonanastomotic strictures require a multidisciplinary treatment approach. The primary management of anastomotic strictures is mainly interventional. However, surgical revision is finally indicated in a significant number of cases. Using adequate treatment algorithms, a very high success rate can be achieved in anastomotic complications, but in nonanastomotic strictures a relevant number of graft failures are still inevitable.", "author" : [ { "dropping-particle" : "", "family" : "Seehofer", "given" : "D", "non-dropping-particle" : "", "parse-names" : false, "suffix" : "" }, { "dropping-particle" : "", "family" : "Eurich", "given" : "D", "non-dropping-particle" : "", "parse-names" : false, "suffix" : "" }, { "dropping-particle" : "", "family" : "Veltzke-Schlieker", "given" : "W", "non-dropping-particle" : "", "parse-names" : false, "suffix" : "" }, { "dropping-particle" : "", "family" : "Neuhaus", "given" : "P", "non-dropping-particle" : "", "parse-names" : false, "suffix" : "" } ], "container-title" : "American journal of transplantation : official journal of the American Society of Transplantation and the American Society of Transplant Surgeons", "id" : "ITEM-1", "issue" : "2", "issued" : { "date-parts" : [ [ "2013", "2", "1" ] ] }, "page" : "253-65", "title" : "Biliary complications after liver transplantation: old problems and new challenges.", "type" : "article-journal", "volume" : "13" }, "uris" : [ "http://www.mendeley.com/documents/?uuid=df97d06e-b0d3-4c33-8fc9-e124d132f16e" ] } ], "mendeley" : { "formattedCitation" : "&lt;sup&gt;18&lt;/sup&gt;", "plainTextFormattedCitation" : "18", "previouslyFormattedCitation" : "&lt;sup&gt;18&lt;/sup&gt;"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7A2D1E" w:rsidRPr="00074190">
        <w:rPr>
          <w:rFonts w:ascii="Book Antiqua" w:eastAsia="Book Antiqua" w:hAnsi="Book Antiqua" w:cs="Book Antiqua"/>
          <w:noProof/>
          <w:sz w:val="24"/>
          <w:szCs w:val="24"/>
          <w:vertAlign w:val="superscript"/>
        </w:rPr>
        <w:t>18</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"10.1111/jgh.12169", "ISSN" : "1440-1746", "PMID" : "23432435", "abstract" : "BACKGROUND AND AIM: Biliary anastomosis is the Achilles' heel of liver transplant. The reported incidence of biliary complications is 5-15% after deceased donor liver transplantation, and 20-34% after right-lobe live donor liver transplantation (LDLT). We report our experience from an LDLT program.\n\nMETHODS: Between September 2006 and August 2010, 338 liver transplants were performed. Biliary reconstructions were done with an end-to-end choledochocholedochostomy in 307 cases. All recipients were monitored for any evidence of bile leak or stricture.\n\nRESULTS: Of 338 transplants performed during this time period, 65 patients had biliary complications (19%). Of these, 30 were biliary leaks, and 35 patients had biliary stricture. Four were cut surface leaks, which settled without any intervention. One patient had leak from primary hepaticojejunostomy, which settled on conservative management. Twenty-five patients had anastomotic leaks, of which 17 underwent endoscopic retrograde cholangiopancreatography and stenting; another eight underwent re-exploration and hepaticojejunostomy. Forty-five patients had biliary strictures. Of these, 10 patients had bile leak initially, followed by biliary stricture. Patients with a double duct anastomosis had a significantly higher risk of developing biliary complications compared with those with a single duct anastomosis. There was no statistically significant difference in survival between those with or without biliary complications.\n\nCONCLUSIONS: Biliary complications are common after LDLT. Most leaks will subsequently form strictures. Endoscopic retrograde cholangiopancreatography is the first-line treatment for biliary complications, with surgery required in a minority of cases. The incidence of biliary complications is higher in multiple duct anastomoses. Biliary complications are not associated with increased mortality.", "author" : [ { "dropping-particle" : "", "family" : "Wadhawan", "given" : "Manav", "non-dropping-particle" : "", "parse-names" : false, "suffix" : "" }, { "dropping-particle" : "", "family" : "Kumar", "given" : "Ajay", "non-dropping-particle" : "", "parse-names" : false, "suffix" : "" }, { "dropping-particle" : "", "family" : "Gupta", "given" : "Subash", "non-dropping-particle" : "", "parse-names" : false, "suffix" : "" }, { "dropping-particle" : "", "family" : "Goyal", "given" : "Neerav", "non-dropping-particle" : "", "parse-names" : false, "suffix" : "" }, { "dropping-particle" : "", "family" : "Shandil", "given" : "Rajeev", "non-dropping-particle" : "", "parse-names" : false, "suffix" : "" }, { "dropping-particle" : "", "family" : "Taneja", "given" : "Sunil", "non-dropping-particle" : "", "parse-names" : false, "suffix" : "" }, { "dropping-particle" : "", "family" : "Sibal", "given" : "Anupam", "non-dropping-particle" : "", "parse-names" : false, "suffix" : "" } ], "container-title" : "Journal of gastroenterology and hepatology", "id" : "ITEM-1", "issue" : "6", "issued" : { "date-parts" : [ [ "2013", "6", "1" ] ] }, "page" : "1056-60", "title" : "Post-transplant biliary complications: an analysis from a predominantly living donor liver transplant center.", "type" : "article-journal", "volume" : "28" }, "uris" : [ "http://www.mendeley.com/documents/?uuid=b1d80dde-fcea-4eae-8005-79268ba60305" ] } ], "mendeley" : { "formattedCitation" : "&lt;sup&gt;31&lt;/sup&gt;", "plainTextFormattedCitation" : "31", "previouslyFormattedCitation" : "&lt;sup&gt;31&lt;/sup&gt;"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31</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"10.1097/TP.0b013e31818b2316", "ISSN" : "1534-6080", "PMID" : "19077886", "abstract" : "BACKGROUND: Duct-to-duct (DD) anastomosis is an accepted procedure for biliary reconstruction in living donor liver transplantation (LDLT). However, biliary complication rates in LDLT recipients have been reported to be as high as 20% to 30% or more. In this study, we examined various potential risk factors for biliary stricture (BS) that occurs in the context of DD reconstruction in a single-active transplant center.\n\nMETHODS: Enrolled in this study were adults who underwent their first LDLT with DD reconstruction between August 2002 and May 2007 (n=283). BSs were defined as anastomotic strictures that required interventions or operative procedures to be corrected. We reviewed retrospectively the medical records of recipients, including medical history, surgical procedures, and progress, and analyzed risk factors of BS with the Kaplan-Meier method.\n\nRESULTS: BS occurred in 58 of the 283 recipients (20.5%). The mean follow-up period was 24.4 months posttransplant (SD=16.5). The univariate analysis revealed that recipient age (P=0.032), bile duct size (P=0.003), biliary reconstruction surgeon (P=0.023), perfusion solution (P=0.001), cold ischemic time (CIT) (P&lt;0.001), and biliary leakage history (P&lt;0.001) were significant risk factors. In the multivariable analysis, CIT (P=0.001), biliary leakage history (P=0.002), bile duct size (P=0.021), and recipient age (P=0.036) were significant risk factors for BS. And, a CIT cutoff value of 71 min was calculated using the minimum P value approach with correction by the Miller and Siegmund method (P=0.0186).\n\nCONCLUSIONS: In this study, prolonged CIT is identified as a risk factor for BS in DD biliary reconstruction in LDLT.", "author" : [ { "dropping-particle" : "", "family" : "Park", "given" : "Jae Berm", "non-dropping-particle" : "", "parse-names" : false, "suffix" : "" }, { "dropping-particle" : "", "family" : "Kwon", "given" : "Choon Hyuck D", "non-dropping-particle" : "", "parse-names" : false, "suffix" : "" }, { "dropping-particle" : "", "family" : "Choi", "given" : "Gyu-Seong", "non-dropping-particle" : "", "parse-names" : false, "suffix" : "" }, { "dropping-particle" : "", "family" : "Chun", "given" : "Jae Min", "non-dropping-particle" : "", "parse-names" : false, "suffix" : "" }, { "dropping-particle" : "", "family" : "Jung", "given" : "Gum O", "non-dropping-particle" : "", "parse-names" : false, "suffix" : "" }, { "dropping-particle" : "", "family" : "Kim", "given" : "Sung-Joo", "non-dropping-particle" : "", "parse-names" : false, "suffix" : "" }, { "dropping-particle" : "", "family" : "Joh", "given" : "Jae-Won", "non-dropping-particle" : "", "parse-names" : false, "suffix" : "" }, { "dropping-particle" : "", "family" : "Lee", "given" : "Suk-Koo", "non-dropping-particle" : "", "parse-names" : false, "suffix" : "" } ], "container-title" : "Transplantation", "id" : "ITEM-1", "issue" : "11", "issued" : { "date-parts" : [ [ "2008", "12", "15" ] ] }, "page" : "1536-42", "title" : "Prolonged cold ischemic time is a risk factor for biliary strictures in duct-to-duct biliary reconstruction in living donor liver transplantation.", "type" : "article-journal", "volume" : "86" }, "uris" : [ "http://www.mendeley.com/documents/?uuid=fae393bb-0573-4c51-b13f-af5541eeb9f9" ] } ], "mendeley" : { "formattedCitation" : "&lt;sup&gt;40&lt;/sup&gt;", "plainTextFormattedCitation" : "40", "previouslyFormattedCitation" : "&lt;sup&gt;40&lt;/sup&gt;"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40</w:t>
      </w:r>
      <w:r w:rsidR="00535B2B" w:rsidRPr="00074190">
        <w:rPr>
          <w:rFonts w:ascii="Book Antiqua" w:eastAsia="Book Antiqua" w:hAnsi="Book Antiqua" w:cs="Book Antiqua"/>
          <w:sz w:val="24"/>
          <w:szCs w:val="24"/>
          <w:vertAlign w:val="superscript"/>
        </w:rPr>
        <w:fldChar w:fldCharType="end"/>
      </w:r>
      <w:r w:rsidR="004F54FD" w:rsidRPr="00074190">
        <w:rPr>
          <w:rFonts w:ascii="Book Antiqua" w:hAnsi="Book Antiqua" w:cs="Book Antiqua"/>
          <w:sz w:val="24"/>
          <w:szCs w:val="24"/>
          <w:vertAlign w:val="superscript"/>
          <w:lang w:eastAsia="zh-CN"/>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"10.1111/j.1399-0012.2009.01128.x", "ISSN" : "1399-0012", "PMID" : "19878512", "abstract" : "BACKGROUND: Despite recent advances in organ preservation, immunosuppression, and surgical techniques, the biliary tree is still considered the Achilles' heel of liver transplantation. The aim of this study is to retrospectively analyze the incidence of biliary complications and identify risk factors that might predispose to the development of biliary problems.\n\nMETHODS: From January 2004 to December 2007, 117 consecutive liver transplantations were retrospectively analyzed for the development of biliary complications by the review of medical records. Patients were divided into group 1 with biliary complications (n = 43) and group 2 without biliary complications (n = 74).\n\nRESULTS: The overall biliary complication rate was 36.8% (leakage 6% and stricture 30.8%). Univariate analysis indicated that significant predictors of biliary complications were the time interval between portal and arterial reperfusion (p = 0.037) and macrovacuolar steatosis of the graft &gt; 25% (p = 0.004). Stepwise logistic regression model demonstrated that a macrosteatosis of the graft &gt; 25% (OR = 5.21 CI 95% [1.79-15.15], p = 0.002) was the only independent risk factor predicting biliary complications after liver transplantation. No differences in patient's and graft's survival were noted between the two groups.\n\nCONCLUSION: According to our experience, transplanting a liver with &gt; 25% of steatosis is a risk factor for the development of biliary complication.", "author" : [ { "dropping-particle" : "", "family" : "Baccarani", "given" : "Umberto", "non-dropping-particle" : "", "parse-names" : false, "suffix" : "" }, { "dropping-particle" : "", "family" : "Isola", "given" : "Miriam", "non-dropping-particle" : "", "parse-names" : false, "suffix" : "" }, { "dropping-particle" : "", "family" : "Adani", "given" : "Gian L", "non-dropping-particle" : "", "parse-names" : false, "suffix" : "" }, { "dropping-particle" : "", "family" : "Avellini", "given" : "Claudio", "non-dropping-particle" : "", "parse-names" : false, "suffix" : "" }, { "dropping-particle" : "", "family" : "Lorenzin", "given" : "Dario", "non-dropping-particle" : "", "parse-names" : false, "suffix" : "" }, { "dropping-particle" : "", "family" : "Rossetto", "given" : "Anna", "non-dropping-particle" : "", "parse-names" : false, "suffix" : "" }, { "dropping-particle" : "", "family" : "Curr\u00f2", "given" : "Giuseppe", "non-dropping-particle" : "", "parse-names" : false, "suffix" : "" }, { "dropping-particle" : "", "family" : "Comuzzi", "given" : "Chiara", "non-dropping-particle" : "", "parse-names" : false, "suffix" : "" }, { "dropping-particle" : "", "family" : "Toniutto", "given" : "Pierluigi", "non-dropping-particle" : "", "parse-names" : false, "suffix" : "" }, { "dropping-particle" : "", "family" : "Risaliti", "given" : "Andrea", "non-dropping-particle" : "", "parse-names" : false, "suffix" : "" }, { "dropping-particle" : "", "family" : "Soldano", "given" : "Franca", "non-dropping-particle" : "", "parse-names" : false, "suffix" : "" }, { "dropping-particle" : "", "family" : "Bresadola", "given" : "Vittorio", "non-dropping-particle" : "", "parse-names" : false, "suffix" : "" }, { "dropping-particle" : "", "family" : "Anna", "given" : "Dino", "non-dropping-particle" : "De", "parse-names" : false, "suffix" : "" }, { "dropping-particle" : "", "family" : "Bresadola", "given" : "Fabrizio", "non-dropping-particle" : "", "parse-names" : false, "suffix" : "" } ], "container-title" : "Clinical transplantation", "id" : "ITEM-1", "issue" : "5", "issued" : { "date-parts" : [ [ "0" ] ] }, "page" : "631-5", "title" : "Steatosis of the hepatic graft as a risk factor for post-transplant biliary complications.", "type" : "article-journal", "volume" : "24" }, "uris" : [ "http://www.mendeley.com/documents/?uuid=55700c59-658a-4237-8902-b02ecfb6611b" ] } ], "mendeley" : { "formattedCitation" : "&lt;sup&gt;44&lt;/sup&gt;", "plainTextFormattedCitation" : "44", "previouslyFormattedCitation" : "&lt;sup&gt;44&lt;/sup&gt;"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44</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p>
    <w:p w:rsidR="004F54FD" w:rsidRPr="00074190" w:rsidRDefault="006A074B" w:rsidP="00074190">
      <w:pPr>
        <w:spacing w:after="0" w:line="360" w:lineRule="auto"/>
        <w:ind w:firstLineChars="200" w:firstLine="480"/>
        <w:jc w:val="both"/>
        <w:rPr>
          <w:rFonts w:ascii="Book Antiqua" w:hAnsi="Book Antiqua" w:cs="Book Antiqua"/>
          <w:sz w:val="24"/>
          <w:szCs w:val="24"/>
          <w:lang w:eastAsia="zh-CN"/>
        </w:rPr>
      </w:pPr>
      <w:r w:rsidRPr="00074190">
        <w:rPr>
          <w:rFonts w:ascii="Book Antiqua" w:eastAsia="Book Antiqua" w:hAnsi="Book Antiqua" w:cs="Book Antiqua"/>
          <w:sz w:val="24"/>
          <w:szCs w:val="24"/>
        </w:rPr>
        <w:t>The incidence of AS is reported to be around 8- 31% after LDLT</w:t>
      </w:r>
      <w:r w:rsidR="004F54FD" w:rsidRPr="00074190">
        <w:rPr>
          <w:rFonts w:ascii="Book Antiqua" w:eastAsia="Book Antiqua" w:hAnsi="Book Antiqua" w:cs="Book Antiqua"/>
          <w:sz w:val="24"/>
          <w:szCs w:val="24"/>
          <w:vertAlign w:val="superscript"/>
        </w:rPr>
        <w:t>[</w:t>
      </w:r>
      <w:r w:rsidR="004F54FD" w:rsidRPr="00074190">
        <w:rPr>
          <w:rFonts w:ascii="Book Antiqua" w:eastAsia="Book Antiqua" w:hAnsi="Book Antiqua" w:cs="Book Antiqua"/>
          <w:sz w:val="24"/>
          <w:szCs w:val="24"/>
          <w:vertAlign w:val="superscript"/>
        </w:rPr>
        <w:fldChar w:fldCharType="begin" w:fldLock="1"/>
      </w:r>
      <w:r w:rsidR="004F54FD" w:rsidRPr="00074190">
        <w:rPr>
          <w:rFonts w:ascii="Book Antiqua" w:eastAsia="Book Antiqua" w:hAnsi="Book Antiqua" w:cs="Book Antiqua"/>
          <w:sz w:val="24"/>
          <w:szCs w:val="24"/>
          <w:vertAlign w:val="superscript"/>
        </w:rPr>
        <w:instrText>ADDIN CSL_CITATION { "citationItems" : [ { "id" : "ITEM-1", "itemData" : { "DOI" : "10.1097/01.TP.0000123077.78702.0C", "ISSN" : "0041-1337", "author" : [ { "dropping-particle" : "", "family" : "Gondolesi", "given" : "Gabriel E.", "non-dropping-particle" : "", "parse-names" : false, "suffix" : "" }, { "dropping-particle" : "", "family" : "Varotti", "given" : "Giovanni", "non-dropping-particle" : "", "parse-names" : false, "suffix" : "" }, { "dropping-particle" : "", "family" : "Florman", "given" : "Sander S.", "non-dropping-particle" : "", "parse-names" : false, "suffix" : "" }, { "dropping-particle" : "", "family" : "Mu??oz", "given" : "Luis", "non-dropping-particle" : "", "parse-names" : false, "suffix" : "" }, { "dropping-particle" : "", "family" : "Fishbein", "given" : "Thomas M.", "non-dropping-particle" : "", "parse-names" : false, "suffix" : "" }, { "dropping-particle" : "", "family" : "Emre", "given" : "Sukru H.", "non-dropping-particle" : "", "parse-names" : false, "suffix" : "" }, { "dropping-particle" : "", "family" : "Schwartz", "given" : "Myron E.", "non-dropping-particle" : "", "parse-names" : false, "suffix" : "" }, { "dropping-particle" : "", "family" : "Miller", "given" : "Charles", "non-dropping-particle" : "", "parse-names" : false, "suffix" : "" } ], "container-title" : "Transplantation", "id" : "ITEM-1", "issue" : "12", "issued" : { "date-parts" : [ [ "2004", "6" ] ] }, "page" : "1842-1848", "title" : "Biliary Complications in 96 Consecutive Right Lobe Living Donor Transplant Recipients", "type" : "article-journal", "volume" : "77" }, "uris" : [ "http://www.mendeley.com/documents/?uuid=868fc5a8-e1b7-4724-ac0e-0b911b23fa04" ] } ], "mendeley" : { "formattedCitation" : "&lt;sup&gt;23&lt;/sup&gt;", "plainTextFormattedCitation" : "23", "previouslyFormattedCitation" : "&lt;sup&gt;23&lt;/sup&gt;" }, "properties" : { "noteIndex" : 0 }, "schema" : "https://github.com/citation-style-language/schema/raw/master/csl-citation.json" }</w:instrText>
      </w:r>
      <w:r w:rsidR="004F54FD" w:rsidRPr="00074190">
        <w:rPr>
          <w:rFonts w:ascii="Book Antiqua" w:eastAsia="Book Antiqua" w:hAnsi="Book Antiqua" w:cs="Book Antiqua"/>
          <w:sz w:val="24"/>
          <w:szCs w:val="24"/>
          <w:vertAlign w:val="superscript"/>
        </w:rPr>
        <w:fldChar w:fldCharType="separate"/>
      </w:r>
      <w:r w:rsidR="004F54FD" w:rsidRPr="00074190">
        <w:rPr>
          <w:rFonts w:ascii="Book Antiqua" w:eastAsia="Book Antiqua" w:hAnsi="Book Antiqua" w:cs="Book Antiqua"/>
          <w:noProof/>
          <w:sz w:val="24"/>
          <w:szCs w:val="24"/>
          <w:vertAlign w:val="superscript"/>
        </w:rPr>
        <w:t>23</w:t>
      </w:r>
      <w:r w:rsidR="004F54FD" w:rsidRPr="00074190">
        <w:rPr>
          <w:rFonts w:ascii="Book Antiqua" w:eastAsia="Book Antiqua" w:hAnsi="Book Antiqua" w:cs="Book Antiqua"/>
          <w:sz w:val="24"/>
          <w:szCs w:val="24"/>
          <w:vertAlign w:val="superscript"/>
        </w:rPr>
        <w:fldChar w:fldCharType="end"/>
      </w:r>
      <w:r w:rsidR="004F54FD" w:rsidRPr="00074190">
        <w:rPr>
          <w:rFonts w:ascii="Book Antiqua" w:eastAsia="Book Antiqua" w:hAnsi="Book Antiqua" w:cs="Book Antiqua"/>
          <w:sz w:val="24"/>
          <w:szCs w:val="24"/>
          <w:vertAlign w:val="superscript"/>
        </w:rPr>
        <w:t>,</w:t>
      </w:r>
      <w:r w:rsidR="004F54FD" w:rsidRPr="00074190">
        <w:rPr>
          <w:rFonts w:ascii="Book Antiqua" w:eastAsia="Book Antiqua" w:hAnsi="Book Antiqua" w:cs="Book Antiqua"/>
          <w:sz w:val="24"/>
          <w:szCs w:val="24"/>
          <w:vertAlign w:val="superscript"/>
        </w:rPr>
        <w:fldChar w:fldCharType="begin" w:fldLock="1"/>
      </w:r>
      <w:r w:rsidR="004F54FD" w:rsidRPr="00074190">
        <w:rPr>
          <w:rFonts w:ascii="Book Antiqua" w:eastAsia="Book Antiqua" w:hAnsi="Book Antiqua" w:cs="Book Antiqua"/>
          <w:sz w:val="24"/>
          <w:szCs w:val="24"/>
          <w:vertAlign w:val="superscript"/>
        </w:rPr>
        <w:instrText>ADDIN CSL_CITATION { "citationItems" : [ { "id" : "ITEM-1", "itemData" : { "ISSN" : "0041-1337", "PMID" : "15021836", "abstract" : "BACKGROUND: Duct-to-duct biliary reconstruction is frequently used in right-lobe live-donor liver transplantation (RLDLT), and routine biliary drainage has been recommended. The aim of the present study was to evaluate the safety and operative outcomes of duct-to-duct biliary reconstruction after RLDLT without biliary drainage.\n\nMETHODS: The study comprised 41 RLDLT recipients who had duct-to-duct biliary reconstruction. During donor and recipient operations, precautions were taken to preserve blood supply to the bile duct. Biliary anastomosis was performed with fine Prolene sutures without stents or drainage tubes. The operative outcomes were prospectively evaluated.\n\nRESULTS: The median postoperative intensive care unit and hospital stay were 3 days (range, 1-47 days) and 19 days (range, 8-114 days), respectively. There was no hospital mortality. At a median follow-up of 13.3 months (range, 4.0-26.8 months), the graft and patient survival rates were 95% and 98%, respectively. Three (7%) patients had biliary leakage. These three patients and the other seven patients developed late biliary stricture. The overall biliary complication rate was 24%. On multivariate analysis, preoperative Model for End-Stage Liver Disease (MELD) score of greater than or equal to 35 was the risk factor associated with biliary complication (P =0.032; risk ratio, 4.58).\n\nCONCLUSIONS: Duct-to-duct anastomosis without biliary drainage is safe in RLDLT. Patients with a high preoperative MELD score were associated with an increased incidence of biliary complications. Further studies are required to investigate the hemodynamic changes and modulation of blood flow of liver grafts in patients with chronic liver disease, which may significantly affect the incidence of biliary complications.", "author" : [ { "dropping-particle" : "", "family" : "Liu", "given" : "Chi-Leung", "non-dropping-particle" : "", "parse-names" : false, "suffix" : "" }, { "dropping-particle" : "", "family" : "Lo", "given" : "Chung-Mau", "non-dropping-particle" : "", "parse-names" : false, "suffix" : "" }, { "dropping-particle" : "", "family" : "Chan", "given" : "See-Ching", "non-dropping-particle" : "", "parse-names" : false, "suffix" : "" }, { "dropping-particle" : "", "family" : "Fan", "given" : "Sheung-Tat", "non-dropping-particle" : "", "parse-names" : false, "suffix" : "" } ], "container-title" : "Transplantation", "id" : "ITEM-1", "issue" : "5", "issued" : { "date-parts" : [ [ "2004", "3", "15" ] ] }, "page" : "726-32", "title" : "Safety of duct-to-duct biliary reconstruction in right-lobe live-donor liver transplantation without biliary drainage.", "type" : "article-journal", "volume" : "77" }, "uris" : [ "http://www.mendeley.com/documents/?uuid=d62bda98-e40a-45e2-b77b-82e8132bda62" ] } ], "mendeley" : { "formattedCitation" : "&lt;sup&gt;24&lt;/sup&gt;", "plainTextFormattedCitation" : "24", "previouslyFormattedCitation" : "&lt;sup&gt;24&lt;/sup&gt;" }, "properties" : { "noteIndex" : 0 }, "schema" : "https://github.com/citation-style-language/schema/raw/master/csl-citation.json" }</w:instrText>
      </w:r>
      <w:r w:rsidR="004F54FD" w:rsidRPr="00074190">
        <w:rPr>
          <w:rFonts w:ascii="Book Antiqua" w:eastAsia="Book Antiqua" w:hAnsi="Book Antiqua" w:cs="Book Antiqua"/>
          <w:sz w:val="24"/>
          <w:szCs w:val="24"/>
          <w:vertAlign w:val="superscript"/>
        </w:rPr>
        <w:fldChar w:fldCharType="separate"/>
      </w:r>
      <w:r w:rsidR="004F54FD" w:rsidRPr="00074190">
        <w:rPr>
          <w:rFonts w:ascii="Book Antiqua" w:eastAsia="Book Antiqua" w:hAnsi="Book Antiqua" w:cs="Book Antiqua"/>
          <w:noProof/>
          <w:sz w:val="24"/>
          <w:szCs w:val="24"/>
          <w:vertAlign w:val="superscript"/>
        </w:rPr>
        <w:t>24</w:t>
      </w:r>
      <w:r w:rsidR="004F54FD" w:rsidRPr="00074190">
        <w:rPr>
          <w:rFonts w:ascii="Book Antiqua" w:eastAsia="Book Antiqua" w:hAnsi="Book Antiqua" w:cs="Book Antiqua"/>
          <w:sz w:val="24"/>
          <w:szCs w:val="24"/>
          <w:vertAlign w:val="superscript"/>
        </w:rPr>
        <w:fldChar w:fldCharType="end"/>
      </w:r>
      <w:r w:rsidR="004F54FD" w:rsidRPr="00074190">
        <w:rPr>
          <w:rFonts w:ascii="Book Antiqua" w:eastAsia="Book Antiqua" w:hAnsi="Book Antiqua" w:cs="Book Antiqua"/>
          <w:sz w:val="24"/>
          <w:szCs w:val="24"/>
          <w:vertAlign w:val="superscript"/>
        </w:rPr>
        <w:t>,</w:t>
      </w:r>
      <w:r w:rsidR="004F54FD" w:rsidRPr="00074190">
        <w:rPr>
          <w:rFonts w:ascii="Book Antiqua" w:eastAsia="Book Antiqua" w:hAnsi="Book Antiqua" w:cs="Book Antiqua"/>
          <w:sz w:val="24"/>
          <w:szCs w:val="24"/>
          <w:vertAlign w:val="superscript"/>
        </w:rPr>
        <w:fldChar w:fldCharType="begin" w:fldLock="1"/>
      </w:r>
      <w:r w:rsidR="004F54FD" w:rsidRPr="00074190">
        <w:rPr>
          <w:rFonts w:ascii="Book Antiqua" w:eastAsia="Book Antiqua" w:hAnsi="Book Antiqua" w:cs="Book Antiqua"/>
          <w:sz w:val="24"/>
          <w:szCs w:val="24"/>
          <w:vertAlign w:val="superscript"/>
        </w:rPr>
        <w:instrText>ADDIN CSL_CITATION { "citationItems" : [ { "id" : "ITEM-1", "itemData" : { "DOI" : "10.1007/s00534-005-1084-y", "ISSN" : "0944-1166", "PMID" : "17139423", "abstract" : "BACKGROUND/PURPOSE: The aims of this study were to characterize the features of the biliary complications that occur after right-lobe living-donor liver transplantation (RL-LDLT) with duct-to-duct biliary anastomosis, and to evaluate the efficacy of treating biliary complications endoscopically.\n\nMETHODS: The records of 273 consecutive patients who underwent RL-LDLT with duct-to-duct biliary anastomosis from July 1999 through July 2005 at Kyoto University Hospital were reviewed to determine the overall incidence of postoperative biliary complications and the outcome of endoscopic repair of those complications.\n\nRESULTS: Biliary complications occurred in 93 (34.1%) of the patients. These complications were: 80 biliary strictures (75 anastomotic and 5 nonanastomotic) and 16 biliary leakages (5 patients with biliary leakage also had a biliary stricture); most (72%) of the anastomotic strictures were complex (i.e., fork-shaped or trident-shaped). The strictures and leakages were repaired by the endoscopic placement of multiple inside stents above the sphincter of Oddi, and by nasobiliary drainage, respectively. The procedure was successful in repairing 51 (68.0%) of the anastomotic strictures and 8 (50.0%) of the biliary leakages.\n\nCONCLUSIONS: Endoscopic stenting of the bile ducts is efficacious in treating biliary complications related to RL-LDLT with duct-to-duct biliary anastomosis and the stenting should be attempted before surgical revision of strictures and leakages.", "author" : [ { "dropping-particle" : "", "family" : "Yazumi", "given" : "Shujiro", "non-dropping-particle" : "", "parse-names" : false, "suffix" : "" }, { "dropping-particle" : "", "family" : "Yoshimoto", "given" : "Takanobu", "non-dropping-particle" : "", "parse-names" : false, "suffix" : "" }, { "dropping-particle" : "", "family" : "Hisatsune", "given" : "Hiroshi", "non-dropping-particle" : "", "parse-names" : false, "suffix" : "" }, { "dropping-particle" : "", "family" : "Hasegawa", "given" : "Kazunori", "non-dropping-particle" : "", "parse-names" : false, "suffix" : "" }, { "dropping-particle" : "", "family" : "Kida", "given" : "Masaya", "non-dropping-particle" : "", "parse-names" : false, "suffix" : "" }, { "dropping-particle" : "", "family" : "Tada", "given" : "Shinsuke", "non-dropping-particle" : "", "parse-names" : false, "suffix" : "" }, { "dropping-particle" : "", "family" : "Uenoyama", "given" : "Yoshito", "non-dropping-particle" : "", "parse-names" : false, "suffix" : "" }, { "dropping-particle" : "", "family" : "Yamauchi", "given" : "Junichi", "non-dropping-particle" : "", "parse-names" : false, "suffix" : "" }, { "dropping-particle" : "", "family" : "Shio", "given" : "Seiji", "non-dropping-particle" : "", "parse-names" : false, "suffix" : "" }, { "dropping-particle" : "", "family" : "Kasahara", "given" : "Mureo", "non-dropping-particle" : "", "parse-names" : false, "suffix" : "" }, { "dropping-particle" : "", "family" : "Ogawa", "given" : "Kohei", "non-dropping-particle" : "", "parse-names" : false, "suffix" : "" }, { "dropping-particle" : "", "family" : "Egawa", "given" : "Hiroto", "non-dropping-particle" : "", "parse-names" : false, "suffix" : "" }, { "dropping-particle" : "", "family" : "Tanaka", "given" : "Koichi", "non-dropping-particle" : "", "parse-names" : false, "suffix" : "" }, { "dropping-particle" : "", "family" : "Chiba", "given" : "Tsutomu", "non-dropping-particle" : "", "parse-names" : false, "suffix" : "" } ], "container-title" : "Journal of hepato-biliary-pancreatic surgery", "id" : "ITEM-1", "issue" : "6", "issued" : { "date-parts" : [ [ "2006", "1" ] ] }, "page" : "502-10", "title" : "Endoscopic treatment of biliary complications after right-lobe living-donor liver transplantation with duct-to-duct biliary anastomosis.", "type" : "article-journal", "volume" : "13" }, "uris" : [ "http://www.mendeley.com/documents/?uuid=94c50d7a-ed55-43ff-a767-f2ab13683ea2" ] } ], "mendeley" : { "formattedCitation" : "&lt;sup&gt;34&lt;/sup&gt;", "plainTextFormattedCitation" : "34", "previouslyFormattedCitation" : "&lt;sup&gt;34&lt;/sup&gt;" }, "properties" : { "noteIndex" : 0 }, "schema" : "https://github.com/citation-style-language/schema/raw/master/csl-citation.json" }</w:instrText>
      </w:r>
      <w:r w:rsidR="004F54FD" w:rsidRPr="00074190">
        <w:rPr>
          <w:rFonts w:ascii="Book Antiqua" w:eastAsia="Book Antiqua" w:hAnsi="Book Antiqua" w:cs="Book Antiqua"/>
          <w:sz w:val="24"/>
          <w:szCs w:val="24"/>
          <w:vertAlign w:val="superscript"/>
        </w:rPr>
        <w:fldChar w:fldCharType="separate"/>
      </w:r>
      <w:r w:rsidR="004F54FD" w:rsidRPr="00074190">
        <w:rPr>
          <w:rFonts w:ascii="Book Antiqua" w:eastAsia="Book Antiqua" w:hAnsi="Book Antiqua" w:cs="Book Antiqua"/>
          <w:noProof/>
          <w:sz w:val="24"/>
          <w:szCs w:val="24"/>
          <w:vertAlign w:val="superscript"/>
        </w:rPr>
        <w:t>34</w:t>
      </w:r>
      <w:r w:rsidR="004F54FD" w:rsidRPr="00074190">
        <w:rPr>
          <w:rFonts w:ascii="Book Antiqua" w:eastAsia="Book Antiqua" w:hAnsi="Book Antiqua" w:cs="Book Antiqua"/>
          <w:sz w:val="24"/>
          <w:szCs w:val="24"/>
          <w:vertAlign w:val="superscript"/>
        </w:rPr>
        <w:fldChar w:fldCharType="end"/>
      </w:r>
      <w:r w:rsidR="004F54FD"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with a cumulative incidence of 6.6%, 10.6 % and 12.3 % after 1 , 5 and 10 years respectively after DDLT</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"10.1002/lt.20714", "ISSN" : "1527-6465", "PMID" : "16628689", "abstract" : "We retrospectively studied the prevalence, presentation, results of treatment, and graft and patient survival of grafts developing an anastomotic biliary stricture (AS) in 531 adult liver transplantations performed between 1979 and 2003. Clinical and laboratory information was obtained from the hospital files, and radiological studies were re-evaluated. Twenty-one possible risk factors for the development of AS (variables of donor, recipient, surgical procedure, and postoperative course) were analyzed in a univariate and stepwise multivariate model. Forty-seven grafts showed an anastomotic stricture: 42 in duct-to-duct anastomoses, and 5 in hepaticojejunal Roux-en-Y anastomoses. The cumulative risk of AS after 1, 5, and 10 years was 6.6%, 10.6%, and 12.3% respectively. Postoperative bile leakage (P = 0.001), a female donor/male recipient combination (P = 0.010), and the era of transplantation (P = 0.006) were independent risk factors for the development of an AS. In 47% of cases, additional (radiologically minor) nonanastomotic strictures were diagnosed. All patients were successfully treated by 1 or more treatment modalities. As primary treatment, endoscopic retrograde cholangiopancreaticography (ERCP) was successful in 24 of 36 (67%) cases and percutaneous transhepatic cholangiodrainage in 4 of 11 (36%). In the end 15 patients (32%) were operated, all with long-term success. AS presenting more than 6 months after transplantation needed more episodes of stenting by ERCP, and more stents per episode compared to those presenting within 6 months and recurred more often. Graft and patient survival were not impaired by AS.", "author" : [ { "dropping-particle" : "", "family" : "Verdonk", "given" : "Robert C", "non-dropping-particle" : "", "parse-names" : false, "suffix" : "" }, { "dropping-particle" : "", "family" : "Buis", "given" : "Carlijn I", "non-dropping-particle" : "", "parse-names" : false, "suffix" : "" }, { "dropping-particle" : "", "family" : "Porte", "given" : "Robert J", "non-dropping-particle" : "", "parse-names" : false, "suffix" : "" }, { "dropping-particle" : "", "family" : "Jagt", "given" : "Eric J", "non-dropping-particle" : "van der", "parse-names" : false, "suffix" : "" }, { "dropping-particle" : "", "family" : "Limburg", "given" : "Abraham J", "non-dropping-particle" : "", "parse-names" : false, "suffix" : "" }, { "dropping-particle" : "", "family" : "Berg", "given" : "Aad P", "non-dropping-particle" : "van den", "parse-names" : false, "suffix" : "" }, { "dropping-particle" : "", "family" : "Slooff", "given" : "Maarten J H", "non-dropping-particle" : "", "parse-names" : false, "suffix" : "" }, { "dropping-particle" : "", "family" : "Peeters", "given" : "Paul M J G", "non-dropping-particle" : "", "parse-names" : false, "suffix" : "" }, { "dropping-particle" : "", "family" : "Jong", "given" : "Koert P", "non-dropping-particle" : "de", "parse-names" : false, "suffix" : "" }, { "dropping-particle" : "", "family" : "Kleibeuker", "given" : "Jan H", "non-dropping-particle" : "", "parse-names" : false, "suffix" : "" }, { "dropping-particle" : "", "family" : "Haagsma", "given" : "Elizabeth B", "non-dropping-particle" : "", "parse-names" : false, "suffix" : "" } ], "container-title" : "Liver transplantation : official publication of the American Association for the Study of Liver Diseases and the International Liver Transplantation Society", "id" : "ITEM-1", "issue" : "5", "issued" : { "date-parts" : [ [ "2006", "5" ] ] }, "page" : "726-35", "title" : "Anastomotic biliary strictures after liver transplantation: causes and consequences.", "type" : "article-journal", "volume" : "12" }, "uris" : [ "http://www.mendeley.com/documents/?uuid=f7ce8e5d-8ee2-49e5-b9c2-c545e13609aa" ] } ], "mendeley" : { "formattedCitation" : "&lt;sup&gt;41&lt;/sup&gt;", "plainTextFormattedCitation" : "41", "previouslyFormattedCitation" : "&lt;sup&gt;41&lt;/sup&gt;"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41</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Anastomotic strictures may present either early or late post-transplant. The median time to presentati</w:t>
      </w:r>
      <w:r w:rsidR="004F54FD" w:rsidRPr="00074190">
        <w:rPr>
          <w:rFonts w:ascii="Book Antiqua" w:eastAsia="Book Antiqua" w:hAnsi="Book Antiqua" w:cs="Book Antiqua"/>
          <w:sz w:val="24"/>
          <w:szCs w:val="24"/>
        </w:rPr>
        <w:t>on reported varies between 2.5-</w:t>
      </w:r>
      <w:r w:rsidRPr="00074190">
        <w:rPr>
          <w:rFonts w:ascii="Book Antiqua" w:eastAsia="Book Antiqua" w:hAnsi="Book Antiqua" w:cs="Book Antiqua"/>
          <w:sz w:val="24"/>
          <w:szCs w:val="24"/>
        </w:rPr>
        <w:t>9 mo post-transplant</w:t>
      </w:r>
      <w:r w:rsidR="004F54FD" w:rsidRPr="00074190">
        <w:rPr>
          <w:rFonts w:ascii="Book Antiqua" w:eastAsia="Book Antiqua" w:hAnsi="Book Antiqua" w:cs="Book Antiqua"/>
          <w:sz w:val="24"/>
          <w:szCs w:val="24"/>
          <w:vertAlign w:val="superscript"/>
        </w:rPr>
        <w:t>[</w:t>
      </w:r>
      <w:r w:rsidR="004F54FD" w:rsidRPr="00074190">
        <w:rPr>
          <w:rFonts w:ascii="Book Antiqua" w:eastAsia="Book Antiqua" w:hAnsi="Book Antiqua" w:cs="Book Antiqua"/>
          <w:sz w:val="24"/>
          <w:szCs w:val="24"/>
          <w:vertAlign w:val="superscript"/>
        </w:rPr>
        <w:fldChar w:fldCharType="begin" w:fldLock="1"/>
      </w:r>
      <w:r w:rsidR="004F54FD" w:rsidRPr="00074190">
        <w:rPr>
          <w:rFonts w:ascii="Book Antiqua" w:eastAsia="Book Antiqua" w:hAnsi="Book Antiqua" w:cs="Book Antiqua"/>
          <w:sz w:val="24"/>
          <w:szCs w:val="24"/>
          <w:vertAlign w:val="superscript"/>
        </w:rPr>
        <w:instrText>ADDIN CSL_CITATION { "citationItems" : [ { "id" : "ITEM-1", "itemData" : { "DOI" : "10.1097/01.TP.0000123077.78702.0C", "ISSN" : "0041-1337", "author" : [ { "dropping-particle" : "", "family" : "Gondolesi", "given" : "Gabriel E.", "non-dropping-particle" : "", "parse-names" : false, "suffix" : "" }, { "dropping-particle" : "", "family" : "Varotti", "given" : "Giovanni", "non-dropping-particle" : "", "parse-names" : false, "suffix" : "" }, { "dropping-particle" : "", "family" : "Florman", "given" : "Sander S.", "non-dropping-particle" : "", "parse-names" : false, "suffix" : "" }, { "dropping-particle" : "", "family" : "Mu??oz", "given" : "Luis", "non-dropping-particle" : "", "parse-names" : false, "suffix" : "" }, { "dropping-particle" : "", "family" : "Fishbein", "given" : "Thomas M.", "non-dropping-particle" : "", "parse-names" : false, "suffix" : "" }, { "dropping-particle" : "", "family" : "Emre", "given" : "Sukru H.", "non-dropping-particle" : "", "parse-names" : false, "suffix" : "" }, { "dropping-particle" : "", "family" : "Schwartz", "given" : "Myron E.", "non-dropping-particle" : "", "parse-names" : false, "suffix" : "" }, { "dropping-particle" : "", "family" : "Miller", "given" : "Charles", "non-dropping-particle" : "", "parse-names" : false, "suffix" : "" } ], "container-title" : "Transplantation", "id" : "ITEM-1", "issue" : "12", "issued" : { "date-parts" : [ [ "2004", "6" ] ] }, "page" : "1842-1848", "title" : "Biliary Complications in 96 Consecutive Right Lobe Living Donor Transplant Recipients", "type" : "article-journal", "volume" : "77" }, "uris" : [ "http://www.mendeley.com/documents/?uuid=868fc5a8-e1b7-4724-ac0e-0b911b23fa04" ] } ], "mendeley" : { "formattedCitation" : "&lt;sup&gt;23&lt;/sup&gt;", "plainTextFormattedCitation" : "23", "previouslyFormattedCitation" : "&lt;sup&gt;23&lt;/sup&gt;" }, "properties" : { "noteIndex" : 0 }, "schema" : "https://github.com/citation-style-language/schema/raw/master/csl-citation.json" }</w:instrText>
      </w:r>
      <w:r w:rsidR="004F54FD" w:rsidRPr="00074190">
        <w:rPr>
          <w:rFonts w:ascii="Book Antiqua" w:eastAsia="Book Antiqua" w:hAnsi="Book Antiqua" w:cs="Book Antiqua"/>
          <w:sz w:val="24"/>
          <w:szCs w:val="24"/>
          <w:vertAlign w:val="superscript"/>
        </w:rPr>
        <w:fldChar w:fldCharType="separate"/>
      </w:r>
      <w:r w:rsidR="004F54FD" w:rsidRPr="00074190">
        <w:rPr>
          <w:rFonts w:ascii="Book Antiqua" w:eastAsia="Book Antiqua" w:hAnsi="Book Antiqua" w:cs="Book Antiqua"/>
          <w:noProof/>
          <w:sz w:val="24"/>
          <w:szCs w:val="24"/>
          <w:vertAlign w:val="superscript"/>
        </w:rPr>
        <w:t>23</w:t>
      </w:r>
      <w:r w:rsidR="004F54FD" w:rsidRPr="00074190">
        <w:rPr>
          <w:rFonts w:ascii="Book Antiqua" w:eastAsia="Book Antiqua" w:hAnsi="Book Antiqua" w:cs="Book Antiqua"/>
          <w:sz w:val="24"/>
          <w:szCs w:val="24"/>
          <w:vertAlign w:val="superscript"/>
        </w:rPr>
        <w:fldChar w:fldCharType="end"/>
      </w:r>
      <w:r w:rsidR="004F54FD"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with most presenting within 6 mo</w:t>
      </w:r>
      <w:r w:rsidR="004F54FD" w:rsidRPr="00074190">
        <w:rPr>
          <w:rFonts w:ascii="Book Antiqua" w:eastAsia="Book Antiqua" w:hAnsi="Book Antiqua" w:cs="Book Antiqua"/>
          <w:sz w:val="24"/>
          <w:szCs w:val="24"/>
          <w:vertAlign w:val="superscript"/>
        </w:rPr>
        <w:t>[</w:t>
      </w:r>
      <w:r w:rsidR="004F54FD" w:rsidRPr="00074190">
        <w:rPr>
          <w:rFonts w:ascii="Book Antiqua" w:eastAsia="Book Antiqua" w:hAnsi="Book Antiqua" w:cs="Book Antiqua"/>
          <w:sz w:val="24"/>
          <w:szCs w:val="24"/>
          <w:vertAlign w:val="superscript"/>
        </w:rPr>
        <w:fldChar w:fldCharType="begin" w:fldLock="1"/>
      </w:r>
      <w:r w:rsidR="004F54FD" w:rsidRPr="00074190">
        <w:rPr>
          <w:rFonts w:ascii="Book Antiqua" w:eastAsia="Book Antiqua" w:hAnsi="Book Antiqua" w:cs="Book Antiqua"/>
          <w:sz w:val="24"/>
          <w:szCs w:val="24"/>
          <w:vertAlign w:val="superscript"/>
        </w:rPr>
        <w:instrText>ADDIN CSL_CITATION { "citationItems" : [ { "id" : "ITEM-1", "itemData" : { "DOI" : "10.1111/ajt.12034", "ISSN" : "1600-6143", "PMID" : "23331505", "abstract" : "Due to a vulnerable blood supply of the bile ducts, biliary complications are a major source of morbidity after liver transplantation (LT). Manifestation is either seen at the anastomotic region or at multiple locations of the donor biliary system, termed as nonanastomotic biliary strictures. Major risk factors include old donor age, marginal grafts and prolonged ischemia time. Moreover, partial LT or living donor liver transplantation (LDLT) and donation after cardiac death (DCD) bear a markedly higher risk of biliary complications. Especially accumulation of several risk factors is critical and should be avoided. Prophylaxis is still a major issue; however no gold standard is established so far, since many risk factors cannot be influenced directly. The diagnostic workup is mostly started with noninvasive imaging studies namely MRI and MRCP, but direct cholangiography still remains the gold standard. Especially nonanastomotic strictures require a multidisciplinary treatment approach. The primary management of anastomotic strictures is mainly interventional. However, surgical revision is finally indicated in a significant number of cases. Using adequate treatment algorithms, a very high success rate can be achieved in anastomotic complications, but in nonanastomotic strictures a relevant number of graft failures are still inevitable.", "author" : [ { "dropping-particle" : "", "family" : "Seehofer", "given" : "D", "non-dropping-particle" : "", "parse-names" : false, "suffix" : "" }, { "dropping-particle" : "", "family" : "Eurich", "given" : "D", "non-dropping-particle" : "", "parse-names" : false, "suffix" : "" }, { "dropping-particle" : "", "family" : "Veltzke-Schlieker", "given" : "W", "non-dropping-particle" : "", "parse-names" : false, "suffix" : "" }, { "dropping-particle" : "", "family" : "Neuhaus", "given" : "P", "non-dropping-particle" : "", "parse-names" : false, "suffix" : "" } ], "container-title" : "American journal of transplantation : official journal of the American Society of Transplantation and the American Society of Transplant Surgeons", "id" : "ITEM-1", "issue" : "2", "issued" : { "date-parts" : [ [ "2013", "2", "1" ] ] }, "page" : "253-65", "title" : "Biliary complications after liver transplantation: old problems and new challenges.", "type" : "article-journal", "volume" : "13" }, "uris" : [ "http://www.mendeley.com/documents/?uuid=df97d06e-b0d3-4c33-8fc9-e124d132f16e" ] } ], "mendeley" : { "formattedCitation" : "&lt;sup&gt;18&lt;/sup&gt;", "plainTextFormattedCitation" : "18", "previouslyFormattedCitation" : "&lt;sup&gt;18&lt;/sup&gt;" }, "properties" : { "noteIndex" : 0 }, "schema" : "https://github.com/citation-style-language/schema/raw/master/csl-citation.json" }</w:instrText>
      </w:r>
      <w:r w:rsidR="004F54FD" w:rsidRPr="00074190">
        <w:rPr>
          <w:rFonts w:ascii="Book Antiqua" w:eastAsia="Book Antiqua" w:hAnsi="Book Antiqua" w:cs="Book Antiqua"/>
          <w:sz w:val="24"/>
          <w:szCs w:val="24"/>
          <w:vertAlign w:val="superscript"/>
        </w:rPr>
        <w:fldChar w:fldCharType="separate"/>
      </w:r>
      <w:r w:rsidR="004F54FD" w:rsidRPr="00074190">
        <w:rPr>
          <w:rFonts w:ascii="Book Antiqua" w:eastAsia="Book Antiqua" w:hAnsi="Book Antiqua" w:cs="Book Antiqua"/>
          <w:noProof/>
          <w:sz w:val="24"/>
          <w:szCs w:val="24"/>
          <w:vertAlign w:val="superscript"/>
        </w:rPr>
        <w:t>18</w:t>
      </w:r>
      <w:r w:rsidR="004F54FD" w:rsidRPr="00074190">
        <w:rPr>
          <w:rFonts w:ascii="Book Antiqua" w:eastAsia="Book Antiqua" w:hAnsi="Book Antiqua" w:cs="Book Antiqua"/>
          <w:sz w:val="24"/>
          <w:szCs w:val="24"/>
          <w:vertAlign w:val="superscript"/>
        </w:rPr>
        <w:fldChar w:fldCharType="end"/>
      </w:r>
      <w:r w:rsidR="004F54FD"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r w:rsidRPr="00074190">
        <w:rPr>
          <w:rFonts w:ascii="Book Antiqua" w:eastAsia="Book Antiqua" w:hAnsi="Book Antiqua" w:cs="Book Antiqua"/>
          <w:sz w:val="24"/>
          <w:szCs w:val="24"/>
          <w:vertAlign w:val="superscript"/>
        </w:rPr>
        <w:t xml:space="preserve"> </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 xml:space="preserve">The most common presentation is an asymptomatic patient with elevated cholestatic liver enzymes. Abdominal pain, jaundice, fever, increased liver enzymes and recurrent cholangitis may also be presenting features and if present, warrant further investigation for an AS. </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If an AS is suspected, liver ultrasound with Doppler imaging or CT angiography to rule out hepatic artery thrombosis should be performed. Ultrasound alone has poor sensitivity for detecting a stricture and is generally followed by Magnetic Resonance Cholangiopancreatography (MRCP) which is a non-invasive diagnostic test w</w:t>
      </w:r>
      <w:r w:rsidR="004F54FD" w:rsidRPr="00074190">
        <w:rPr>
          <w:rFonts w:ascii="Book Antiqua" w:eastAsia="Book Antiqua" w:hAnsi="Book Antiqua" w:cs="Book Antiqua"/>
          <w:sz w:val="24"/>
          <w:szCs w:val="24"/>
        </w:rPr>
        <w:t>ith 94.9% sensitivity and 88.9</w:t>
      </w:r>
      <w:r w:rsidRPr="00074190">
        <w:rPr>
          <w:rFonts w:ascii="Book Antiqua" w:eastAsia="Book Antiqua" w:hAnsi="Book Antiqua" w:cs="Book Antiqua"/>
          <w:sz w:val="24"/>
          <w:szCs w:val="24"/>
        </w:rPr>
        <w:t>% specificity. The gold standard for diagnosing biliary strictures remains ERCP.</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Serial endoscopic balloon dilatation with stenting is the main treatment for an AS. Balloon dilatation followed by plastic stent placement has shown better results than stenting alone. In general, stents are changed every few months, and if the stricture is adequately treat</w:t>
      </w:r>
      <w:r w:rsidR="004F54FD" w:rsidRPr="00074190">
        <w:rPr>
          <w:rFonts w:ascii="Book Antiqua" w:eastAsia="Book Antiqua" w:hAnsi="Book Antiqua" w:cs="Book Antiqua"/>
          <w:sz w:val="24"/>
          <w:szCs w:val="24"/>
        </w:rPr>
        <w:t>ed, they are removed between 3-</w:t>
      </w:r>
      <w:r w:rsidRPr="00074190">
        <w:rPr>
          <w:rFonts w:ascii="Book Antiqua" w:eastAsia="Book Antiqua" w:hAnsi="Book Antiqua" w:cs="Book Antiqua"/>
          <w:sz w:val="24"/>
          <w:szCs w:val="24"/>
        </w:rPr>
        <w:t>12 mo</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"ISSN" : "0016-5107", "PMID" : "10650259", "abstract" : "BACKGROUND: Optimal therapy for anastomotic biliary strictures occurring after orthotopic liver transplantation (OLT) remains to be defined. We reviewed our experience with endoscopic therapy for such strictures and contrasted it with reported data.\n\nMETHODS: Endoscopic therapy was performed with balloon dilation alone; no patients received an endoprosthesis. Responses were characterized as good if the patient improved clinically and no subsequent procedures were required after one or more dilations within a 3-month period; partial if clinically significant obstruction resolved but cholestasis persisted or there was a need for further endoscopic management beyond the initial 3 months; poor if subsequent surgery or percutaneous procedures were required; and failed if endoscopic access or dilation could not be accomplished.\n\nRESULTS: Fifteen patients underwent 23 endoscopic retrograde cholangiopancreatographies for post-OLT anastomotic strictures. Postprocedure follow-up averaged 25.2 months. Cholangiography was successful in all 23 procedures; free duct access was achieved in 22 of 23 procedures. The strictures were successfully accessed for dilation in 11 of 15 patients and in 19 of 23 procedures. Outcome was deemed good in 4 (27%), partial in 3 (20%), and poor in 5 (33%) patients. Endoscopic therapy failed in 3 (20%). Poor outcomes were due to the early recognition of severe lesions (2 treated surgically) or to short-term responses to dilation alone (3). The procedural complication rate of 17.4% included 3 episodes of transient cholangitis (i.e., elevation of liver enzymes associated with fever that lasted less than 3 days) and 1 self-limited episode of postsphincterotomy bleeding, which required the transfusion of 2 units packed red blood cells. In published series the combined success rate of balloon dilation alone for treatment of anastomotic strictures is 41%, whereas for dilation plus stent placement it is 75%.\n\nCONCLUSION: Endoscopic balloon dilation alone is not a reliable method of therapy for anastomotic strictures occurring after OLT. Dilation followed by short- to intermediate-term stent placement appears to provide a more durable result.", "author" : [ { "dropping-particle" : "", "family" : "Schwartz", "given" : "D A", "non-dropping-particle" : "", "parse-names" : false, "suffix" : "" }, { "dropping-particle" : "", "family" : "Petersen", "given" : "B T", "non-dropping-particle" : "", "parse-names" : false, "suffix" : "" }, { "dropping-particle" : "", "family" : "Poterucha", "given" : "J J", "non-dropping-particle" : "", "parse-names" : false, "suffix" : "" }, { "dropping-particle" : "", "family" : "Gostout", "given" : "C J", "non-dropping-particle" : "", "parse-names" : false, "suffix" : "" } ], "container-title" : "Gastrointestinal endoscopy", "id" : "ITEM-1", "issue" : "2", "issued" : { "date-parts" : [ [ "2000", "2" ] ] }, "page" : "169-74", "title" : "Endoscopic therapy of anastomotic bile duct strictures occurring after liver transplantation.", "type" : "article-journal", "volume" : "51" }, "uris" : [ "http://www.mendeley.com/documents/?uuid=90db8fde-ce0a-40bf-86a4-c03dd048a7b8" ] } ], "mendeley" : { "formattedCitation" : "&lt;sup&gt;45&lt;/sup&gt;", "plainTextFormattedCitation" : "45", "previouslyFormattedCitation" : "&lt;sup&gt;45&lt;/sup&gt;"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45</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4F54FD" w:rsidRPr="00074190">
        <w:rPr>
          <w:rFonts w:ascii="Book Antiqua" w:eastAsia="Book Antiqua" w:hAnsi="Book Antiqua" w:cs="Book Antiqua"/>
          <w:sz w:val="24"/>
          <w:szCs w:val="24"/>
        </w:rPr>
        <w:t>. Verdonk et al showed that</w:t>
      </w:r>
      <w:r w:rsidR="004F54FD" w:rsidRPr="00074190">
        <w:rPr>
          <w:rFonts w:ascii="Book Antiqua" w:hAnsi="Book Antiqua" w:cs="Book Antiqua"/>
          <w:sz w:val="24"/>
          <w:szCs w:val="24"/>
          <w:lang w:eastAsia="zh-CN"/>
        </w:rPr>
        <w:t xml:space="preserve"> </w:t>
      </w:r>
      <w:r w:rsidR="004F54FD" w:rsidRPr="00074190">
        <w:rPr>
          <w:rFonts w:ascii="Book Antiqua" w:eastAsia="Book Antiqua" w:hAnsi="Book Antiqua" w:cs="Book Antiqua"/>
          <w:sz w:val="24"/>
          <w:szCs w:val="24"/>
        </w:rPr>
        <w:t>75</w:t>
      </w:r>
      <w:r w:rsidRPr="00074190">
        <w:rPr>
          <w:rFonts w:ascii="Book Antiqua" w:eastAsia="Book Antiqua" w:hAnsi="Book Antiqua" w:cs="Book Antiqua"/>
          <w:sz w:val="24"/>
          <w:szCs w:val="24"/>
        </w:rPr>
        <w:t>% of AS could be successfully stented by ERCP, with a median of 3 ERCP sessions for diagnosis and successful treatment of the stricture. They also showed a higher number of ERCP sessions and greater number o</w:t>
      </w:r>
      <w:r w:rsidR="00D17AB8">
        <w:rPr>
          <w:rFonts w:ascii="Book Antiqua" w:eastAsia="Book Antiqua" w:hAnsi="Book Antiqua" w:cs="Book Antiqua"/>
          <w:sz w:val="24"/>
          <w:szCs w:val="24"/>
        </w:rPr>
        <w:t>f stents were required to treat</w:t>
      </w:r>
      <w:r w:rsidRPr="00074190">
        <w:rPr>
          <w:rFonts w:ascii="Book Antiqua" w:eastAsia="Book Antiqua" w:hAnsi="Book Antiqua" w:cs="Book Antiqua"/>
          <w:sz w:val="24"/>
          <w:szCs w:val="24"/>
        </w:rPr>
        <w:t xml:space="preserve"> strictures  presenting after 6 mo compared with  those presenting earlier</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"10.1002/lt.20714", "ISSN" : "1527-6465", "PMID" : "16628689", "abstract" : "We retrospectively studied the prevalence, presentation, results of treatment, and graft and patient survival of grafts developing an anastomotic biliary stricture (AS) in 531 adult liver transplantations performed between 1979 and 2003. Clinical and laboratory information was obtained from the hospital files, and radiological studies were re-evaluated. Twenty-one possible risk factors for the development of AS (variables of donor, recipient, surgical procedure, and postoperative course) were analyzed in a univariate and stepwise multivariate model. Forty-seven grafts showed an anastomotic stricture: 42 in duct-to-duct anastomoses, and 5 in hepaticojejunal Roux-en-Y anastomoses. The cumulative risk of AS after 1, 5, and 10 years was 6.6%, 10.6%, and 12.3% respectively. Postoperative bile leakage (P = 0.001), a female donor/male recipient combination (P = 0.010), and the era of transplantation (P = 0.006) were independent risk factors for the development of an AS. In 47% of cases, additional (radiologically minor) nonanastomotic strictures were diagnosed. All patients were successfully treated by 1 or more treatment modalities. As primary treatment, endoscopic retrograde cholangiopancreaticography (ERCP) was successful in 24 of 36 (67%) cases and percutaneous transhepatic cholangiodrainage in 4 of 11 (36%). In the end 15 patients (32%) were operated, all with long-term success. AS presenting more than 6 months after transplantation needed more episodes of stenting by ERCP, and more stents per episode compared to those presenting within 6 months and recurred more often. Graft and patient survival were not impaired by AS.", "author" : [ { "dropping-particle" : "", "family" : "Verdonk", "given" : "Robert C", "non-dropping-particle" : "", "parse-names" : false, "suffix" : "" }, { "dropping-particle" : "", "family" : "Buis", "given" : "Carlijn I", "non-dropping-particle" : "", "parse-names" : false, "suffix" : "" }, { "dropping-particle" : "", "family" : "Porte", "given" : "Robert J", "non-dropping-particle" : "", "parse-names" : false, "suffix" : "" }, { "dropping-particle" : "", "family" : "Jagt", "given" : "Eric J", "non-dropping-particle" : "van der", "parse-names" : false, "suffix" : "" }, { "dropping-particle" : "", "family" : "Limburg", "given" : "Abraham J", "non-dropping-particle" : "", "parse-names" : false, "suffix" : "" }, { "dropping-particle" : "", "family" : "Berg", "given" : "Aad P", "non-dropping-particle" : "van den", "parse-names" : false, "suffix" : "" }, { "dropping-particle" : "", "family" : "Slooff", "given" : "Maarten J H", "non-dropping-particle" : "", "parse-names" : false, "suffix" : "" }, { "dropping-particle" : "", "family" : "Peeters", "given" : "Paul M J G", "non-dropping-particle" : "", "parse-names" : false, "suffix" : "" }, { "dropping-particle" : "", "family" : "Jong", "given" : "Koert P", "non-dropping-particle" : "de", "parse-names" : false, "suffix" : "" }, { "dropping-particle" : "", "family" : "Kleibeuker", "given" : "Jan H", "non-dropping-particle" : "", "parse-names" : false, "suffix" : "" }, { "dropping-particle" : "", "family" : "Haagsma", "given" : "Elizabeth B", "non-dropping-particle" : "", "parse-names" : false, "suffix" : "" } ], "container-title" : "Liver transplantation : official publication of the American Association for the Study of Liver Diseases and the International Liver Transplantation Society", "id" : "ITEM-1", "issue" : "5", "issued" : { "date-parts" : [ [ "2006", "5" ] ] }, "page" : "726-35", "title" : "Anastomotic biliary strictures after liver transplantation: causes and consequences.", "type" : "article-journal", "volume" : "12" }, "uris" : [ "http://www.mendeley.com/documents/?uuid=f7ce8e5d-8ee2-49e5-b9c2-c545e13609aa" ] } ], "mendeley" : { "formattedCitation" : "&lt;sup&gt;41&lt;/sup&gt;", "plainTextFormattedCitation" : "41", "previouslyFormattedCitation" : "&lt;sup&gt;41&lt;/sup&gt;"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41</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The success of endoscopic treatme</w:t>
      </w:r>
      <w:r w:rsidR="004F54FD" w:rsidRPr="00074190">
        <w:rPr>
          <w:rFonts w:ascii="Book Antiqua" w:eastAsia="Book Antiqua" w:hAnsi="Book Antiqua" w:cs="Book Antiqua"/>
          <w:sz w:val="24"/>
          <w:szCs w:val="24"/>
        </w:rPr>
        <w:t>nt varies between 53</w:t>
      </w:r>
      <w:r w:rsidR="004F54FD" w:rsidRPr="00074190">
        <w:rPr>
          <w:rFonts w:ascii="Book Antiqua" w:hAnsi="Book Antiqua" w:cs="Book Antiqua"/>
          <w:sz w:val="24"/>
          <w:szCs w:val="24"/>
          <w:lang w:eastAsia="zh-CN"/>
        </w:rPr>
        <w:t>%</w:t>
      </w:r>
      <w:r w:rsidR="004F54FD" w:rsidRPr="00074190">
        <w:rPr>
          <w:rFonts w:ascii="Book Antiqua" w:eastAsia="Book Antiqua" w:hAnsi="Book Antiqua" w:cs="Book Antiqua"/>
          <w:sz w:val="24"/>
          <w:szCs w:val="24"/>
        </w:rPr>
        <w:t>-</w:t>
      </w:r>
      <w:r w:rsidRPr="00074190">
        <w:rPr>
          <w:rFonts w:ascii="Book Antiqua" w:eastAsia="Book Antiqua" w:hAnsi="Book Antiqua" w:cs="Book Antiqua"/>
          <w:sz w:val="24"/>
          <w:szCs w:val="24"/>
        </w:rPr>
        <w:t>88% depending on center experience</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"10.1097/01.TP.0000123077.78702.0C", "ISSN" : "0041-1337", "author" : [ { "dropping-particle" : "", "family" : "Gondolesi", "given" : "Gabriel E.", "non-dropping-particle" : "", "parse-names" : false, "suffix" : "" }, { "dropping-particle" : "", "family" : "Varotti", "given" : "Giovanni", "non-dropping-particle" : "", "parse-names" : false, "suffix" : "" }, { "dropping-particle" : "", "family" : "Florman", "given" : "Sander S.", "non-dropping-particle" : "", "parse-names" : false, "suffix" : "" }, { "dropping-particle" : "", "family" : "Mu??oz", "given" : "Luis", "non-dropping-particle" : "", "parse-names" : false, "suffix" : "" }, { "dropping-particle" : "", "family" : "Fishbein", "given" : "Thomas M.", "non-dropping-particle" : "", "parse-names" : false, "suffix" : "" }, { "dropping-particle" : "", "family" : "Emre", "given" : "Sukru H.", "non-dropping-particle" : "", "parse-names" : false, "suffix" : "" }, { "dropping-particle" : "", "family" : "Schwartz", "given" : "Myron E.", "non-dropping-particle" : "", "parse-names" : false, "suffix" : "" }, { "dropping-particle" : "", "family" : "Miller", "given" : "Charles", "non-dropping-particle" : "", "parse-names" : false, "suffix" : "" } ], "container-title" : "Transplantation", "id" : "ITEM-1", "issue" : "12", "issued" : { "date-parts" : [ [ "2004", "6" ] ] }, "page" : "1842-1848", "title" : "Biliary Complications in 96 Consecutive Right Lobe Living Donor Transplant Recipients", "type" : "article-journal", "volume" : "77" }, "uris" : [ "http://www.mendeley.com/documents/?uuid=868fc5a8-e1b7-4724-ac0e-0b911b23fa04" ] } ], "mendeley" : { "formattedCitation" : "&lt;sup&gt;23&lt;/sup&gt;", "plainTextFormattedCitation" : "23", "previouslyFormattedCitation" : "&lt;sup&gt;23&lt;/sup&gt;"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23</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"10.1111/jgh.12169", "ISSN" : "1440-1746", "PMID" : "23432435", "abstract" : "BACKGROUND AND AIM: Biliary anastomosis is the Achilles' heel of liver transplant. The reported incidence of biliary complications is 5-15% after deceased donor liver transplantation, and 20-34% after right-lobe live donor liver transplantation (LDLT). We report our experience from an LDLT program.\n\nMETHODS: Between September 2006 and August 2010, 338 liver transplants were performed. Biliary reconstructions were done with an end-to-end choledochocholedochostomy in 307 cases. All recipients were monitored for any evidence of bile leak or stricture.\n\nRESULTS: Of 338 transplants performed during this time period, 65 patients had biliary complications (19%). Of these, 30 were biliary leaks, and 35 patients had biliary stricture. Four were cut surface leaks, which settled without any intervention. One patient had leak from primary hepaticojejunostomy, which settled on conservative management. Twenty-five patients had anastomotic leaks, of which 17 underwent endoscopic retrograde cholangiopancreatography and stenting; another eight underwent re-exploration and hepaticojejunostomy. Forty-five patients had biliary strictures. Of these, 10 patients had bile leak initially, followed by biliary stricture. Patients with a double duct anastomosis had a significantly higher risk of developing biliary complications compared with those with a single duct anastomosis. There was no statistically significant difference in survival between those with or without biliary complications.\n\nCONCLUSIONS: Biliary complications are common after LDLT. Most leaks will subsequently form strictures. Endoscopic retrograde cholangiopancreatography is the first-line treatment for biliary complications, with surgery required in a minority of cases. The incidence of biliary complications is higher in multiple duct anastomoses. Biliary complications are not associated with increased mortality.", "author" : [ { "dropping-particle" : "", "family" : "Wadhawan", "given" : "Manav", "non-dropping-particle" : "", "parse-names" : false, "suffix" : "" }, { "dropping-particle" : "", "family" : "Kumar", "given" : "Ajay", "non-dropping-particle" : "", "parse-names" : false, "suffix" : "" }, { "dropping-particle" : "", "family" : "Gupta", "given" : "Subash", "non-dropping-particle" : "", "parse-names" : false, "suffix" : "" }, { "dropping-particle" : "", "family" : "Goyal", "given" : "Neerav", "non-dropping-particle" : "", "parse-names" : false, "suffix" : "" }, { "dropping-particle" : "", "family" : "Shandil", "given" : "Rajeev", "non-dropping-particle" : "", "parse-names" : false, "suffix" : "" }, { "dropping-particle" : "", "family" : "Taneja", "given" : "Sunil", "non-dropping-particle" : "", "parse-names" : false, "suffix" : "" }, { "dropping-particle" : "", "family" : "Sibal", "given" : "Anupam", "non-dropping-particle" : "", "parse-names" : false, "suffix" : "" } ], "container-title" : "Journal of gastroenterology and hepatology", "id" : "ITEM-1", "issue" : "6", "issued" : { "date-parts" : [ [ "2013", "6", "1" ] ] }, "page" : "1056-60", "title" : "Post-transplant biliary complications: an analysis from a predominantly living donor liver transplant center.", "type" : "article-journal", "volume" : "28" }, "uris" : [ "http://www.mendeley.com/documents/?uuid=b1d80dde-fcea-4eae-8005-79268ba60305" ] } ], "mendeley" : { "formattedCitation" : "&lt;sup&gt;31&lt;/sup&gt;", "plainTextFormattedCitation" : "31", "previouslyFormattedCitation" : "&lt;sup&gt;31&lt;/sup&gt;"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31</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"10.1007/s00534-005-1084-y", "ISSN" : "0944-1166", "PMID" : "17139423", "abstract" : "BACKGROUND/PURPOSE: The aims of this study were to characterize the features of the biliary complications that occur after right-lobe living-donor liver transplantation (RL-LDLT) with duct-to-duct biliary anastomosis, and to evaluate the efficacy of treating biliary complications endoscopically.\n\nMETHODS: The records of 273 consecutive patients who underwent RL-LDLT with duct-to-duct biliary anastomosis from July 1999 through July 2005 at Kyoto University Hospital were reviewed to determine the overall incidence of postoperative biliary complications and the outcome of endoscopic repair of those complications.\n\nRESULTS: Biliary complications occurred in 93 (34.1%) of the patients. These complications were: 80 biliary strictures (75 anastomotic and 5 nonanastomotic) and 16 biliary leakages (5 patients with biliary leakage also had a biliary stricture); most (72%) of the anastomotic strictures were complex (i.e., fork-shaped or trident-shaped). The strictures and leakages were repaired by the endoscopic placement of multiple inside stents above the sphincter of Oddi, and by nasobiliary drainage, respectively. The procedure was successful in repairing 51 (68.0%) of the anastomotic strictures and 8 (50.0%) of the biliary leakages.\n\nCONCLUSIONS: Endoscopic stenting of the bile ducts is efficacious in treating biliary complications related to RL-LDLT with duct-to-duct biliary anastomosis and the stenting should be attempted before surgical revision of strictures and leakages.", "author" : [ { "dropping-particle" : "", "family" : "Yazumi", "given" : "Shujiro", "non-dropping-particle" : "", "parse-names" : false, "suffix" : "" }, { "dropping-particle" : "", "family" : "Yoshimoto", "given" : "Takanobu", "non-dropping-particle" : "", "parse-names" : false, "suffix" : "" }, { "dropping-particle" : "", "family" : "Hisatsune", "given" : "Hiroshi", "non-dropping-particle" : "", "parse-names" : false, "suffix" : "" }, { "dropping-particle" : "", "family" : "Hasegawa", "given" : "Kazunori", "non-dropping-particle" : "", "parse-names" : false, "suffix" : "" }, { "dropping-particle" : "", "family" : "Kida", "given" : "Masaya", "non-dropping-particle" : "", "parse-names" : false, "suffix" : "" }, { "dropping-particle" : "", "family" : "Tada", "given" : "Shinsuke", "non-dropping-particle" : "", "parse-names" : false, "suffix" : "" }, { "dropping-particle" : "", "family" : "Uenoyama", "given" : "Yoshito", "non-dropping-particle" : "", "parse-names" : false, "suffix" : "" }, { "dropping-particle" : "", "family" : "Yamauchi", "given" : "Junichi", "non-dropping-particle" : "", "parse-names" : false, "suffix" : "" }, { "dropping-particle" : "", "family" : "Shio", "given" : "Seiji", "non-dropping-particle" : "", "parse-names" : false, "suffix" : "" }, { "dropping-particle" : "", "family" : "Kasahara", "given" : "Mureo", "non-dropping-particle" : "", "parse-names" : false, "suffix" : "" }, { "dropping-particle" : "", "family" : "Ogawa", "given" : "Kohei", "non-dropping-particle" : "", "parse-names" : false, "suffix" : "" }, { "dropping-particle" : "", "family" : "Egawa", "given" : "Hiroto", "non-dropping-particle" : "", "parse-names" : false, "suffix" : "" }, { "dropping-particle" : "", "family" : "Tanaka", "given" : "Koichi", "non-dropping-particle" : "", "parse-names" : false, "suffix" : "" }, { "dropping-particle" : "", "family" : "Chiba", "given" : "Tsutomu", "non-dropping-particle" : "", "parse-names" : false, "suffix" : "" } ], "container-title" : "Journal of hepato-biliary-pancreatic surgery", "id" : "ITEM-1", "issue" : "6", "issued" : { "date-parts" : [ [ "2006", "1" ] ] }, "page" : "502-10", "title" : "Endoscopic treatment of biliary complications after right-lobe living-donor liver transplantation with duct-to-duct biliary anastomosis.", "type" : "article-journal", "volume" : "13" }, "uris" : [ "http://www.mendeley.com/documents/?uuid=94c50d7a-ed55-43ff-a767-f2ab13683ea2" ] } ], "mendeley" : { "formattedCitation" : "&lt;sup&gt;34&lt;/sup&gt;", "plainTextFormattedCitation" : "34", "previouslyFormattedCitation" : "&lt;sup&gt;34&lt;/sup&gt;"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34</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"ISSN" : "0102-6720", "PMID" : "23411927", "abstract" : "BACKGROUND: Liver transplantation is the only effective treatment for chronic liver diseases and terminal survival rate has increased in recent decades. However, biliary complications have high incidence and remain as the \"Achilles heel\" for liver transplantation.\n\nAIM: To evaluate retrospectively endoscopic treatment outcomes of biliary complications in post-liver transplantations.\n\nMETHODS: The sample consisted of post-liver transplantation patients for endoscopic retrograde cholangiopancreatography due to suspected biliary complications.\n\nRESULTS: Fifteen patients were included (10 male, mean age of 49.57 years) and 36 endoscopic retrograde cholangiopancreatographies were undertaken (2.4/patient). Biliary stricture was diagnosed in 13 patients and endoscopic treatment was successful in 56% (38,46% still in treatment). Biliary leaks were found in one patient and dysfunction of the hepatobilliary ampulla with choledocholithiasis was diagnosed in one patient, both cured by endoscopic treatment.\n\nCONCLUSIONS: Post-liver transplantation biliary complications are relatively common and endoscopic treatment may result in satisfactory outcome. Stenosis was the more frequent complication in this series.", "author" : [ { "dropping-particle" : "", "family" : "Ribeiro", "given" : "Jeany Borges e Silva", "non-dropping-particle" : "", "parse-names" : false, "suffix" : "" }, { "dropping-particle" : "", "family" : "Martins", "given" : "Fabr\u00edcio de Sousa", "non-dropping-particle" : "", "parse-names" : false, "suffix" : "" }, { "dropping-particle" : "", "family" : "Garcia", "given" : "Jos\u00e9 Huygens Parente", "non-dropping-particle" : "", "parse-names" : false, "suffix" : "" }, { "dropping-particle" : "", "family" : "Cunha", "given" : "Adriano C\u00e9sar Costa", "non-dropping-particle" : "", "parse-names" : false, "suffix" : "" }, { "dropping-particle" : "", "family" : "Pinto", "given" : "Ricardo Augusto Rocha", "non-dropping-particle" : "", "parse-names" : false, "suffix" : "" }, { "dropping-particle" : "", "family" : "Satacaso", "given" : "Marcus Vallerius", "non-dropping-particle" : "", "parse-names" : false, "suffix" : "" }, { "dropping-particle" : "", "family" : "Prado-J\u00fanior", "given" : "Francisco Paulo Ponte", "non-dropping-particle" : "", "parse-names" : false, "suffix" : "" }, { "dropping-particle" : "", "family" : "Pessoa", "given" : "Ricardo Rangel de Paula", "non-dropping-particle" : "", "parse-names" : false, "suffix" : "" } ], "container-title" : "Arquivos brasileiros de cirurgia digestiva : ABCD = Brazilian archives of digestive surgery", "id" : "ITEM-1", "issue" : "4", "issued" : { "date-parts" : [ [ "0" ] ] }, "page" : "269-72", "title" : "Endoscopic management of biliary complications after liver transplantation.", "type" : "article-journal", "volume" : "25" }, "uris" : [ "http://www.mendeley.com/documents/?uuid=b60d6439-4d19-40a2-9555-165529140b21" ] } ], "mendeley" : { "formattedCitation" : "&lt;sup&gt;46&lt;/sup&gt;", "plainTextFormattedCitation" : "46", "previouslyFormattedCitation" : "&lt;sup&gt;46&lt;/sup&gt;"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46</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4F54FD" w:rsidRPr="00074190">
        <w:rPr>
          <w:rFonts w:ascii="Book Antiqua" w:hAnsi="Book Antiqua" w:cs="Book Antiqua"/>
          <w:sz w:val="24"/>
          <w:szCs w:val="24"/>
          <w:vertAlign w:val="superscript"/>
          <w:lang w:eastAsia="zh-CN"/>
        </w:rPr>
        <w:t xml:space="preserve"> </w:t>
      </w:r>
      <w:r w:rsidRPr="00074190">
        <w:rPr>
          <w:rFonts w:ascii="Book Antiqua" w:eastAsia="Book Antiqua" w:hAnsi="Book Antiqua" w:cs="Book Antiqua"/>
          <w:sz w:val="24"/>
          <w:szCs w:val="24"/>
        </w:rPr>
        <w:t>and is preferred as the initial method of treatment. In cases where endoscopic management has failed, percutaneous trans hepatic biliary dilatation and stenting of strictures may be attempted, however the success rate of this method is lower and has a higher complication rate</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"10.1097/01.TP.0000123077.78702.0C", "ISSN" : "0041-1337", "author" : [ { "dropping-particle" : "", "family" : "Gondolesi", "given" : "Gabriel E.", "non-dropping-particle" : "", "parse-names" : false, "suffix" : "" }, { "dropping-particle" : "", "family" : "Varotti", "given" : "Giovanni", "non-dropping-particle" : "", "parse-names" : false, "suffix" : "" }, { "dropping-particle" : "", "family" : "Florman", "given" : "Sander S.", "non-dropping-particle" : "", "parse-names" : false, "suffix" : "" }, { "dropping-particle" : "", "family" : "Mu??oz", "given" : "Luis", "non-dropping-particle" : "", "parse-names" : false, "suffix" : "" }, { "dropping-particle" : "", "family" : "Fishbein", "given" : "Thomas M.", "non-dropping-particle" : "", "parse-names" : false, "suffix" : "" }, { "dropping-particle" : "", "family" : "Emre", "given" : "Sukru H.", "non-dropping-particle" : "", "parse-names" : false, "suffix" : "" }, { "dropping-particle" : "", "family" : "Schwartz", "given" : "Myron E.", "non-dropping-particle" : "", "parse-names" : false, "suffix" : "" }, { "dropping-particle" : "", "family" : "Miller", "given" : "Charles", "non-dropping-particle" : "", "parse-names" : false, "suffix" : "" } ], "container-title" : "Transplantation", "id" : "ITEM-1", "issue" : "12", "issued" : { "date-parts" : [ [ "2004", "6" ] ] }, "page" : "1842-1848", "title" : "Biliary Complications in 96 Consecutive Right Lobe Living Donor Transplant Recipients", "type" : "article-journal", "volume" : "77" }, "uris" : [ "http://www.mendeley.com/documents/?uuid=868fc5a8-e1b7-4724-ac0e-0b911b23fa04" ] } ], "mendeley" : { "formattedCitation" : "&lt;sup&gt;23&lt;/sup&gt;", "plainTextFormattedCitation" : "23", "previouslyFormattedCitation" : "&lt;sup&gt;23&lt;/sup&gt;"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23</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"10.1002/lt.20714", "ISSN" : "1527-6465", "PMID" : "16628689", "abstract" : "We retrospectively studied the prevalence, presentation, results of treatment, and graft and patient survival of grafts developing an anastomotic biliary stricture (AS) in 531 adult liver transplantations performed between 1979 and 2003. Clinical and laboratory information was obtained from the hospital files, and radiological studies were re-evaluated. Twenty-one possible risk factors for the development of AS (variables of donor, recipient, surgical procedure, and postoperative course) were analyzed in a univariate and stepwise multivariate model. Forty-seven grafts showed an anastomotic stricture: 42 in duct-to-duct anastomoses, and 5 in hepaticojejunal Roux-en-Y anastomoses. The cumulative risk of AS after 1, 5, and 10 years was 6.6%, 10.6%, and 12.3% respectively. Postoperative bile leakage (P = 0.001), a female donor/male recipient combination (P = 0.010), and the era of transplantation (P = 0.006) were independent risk factors for the development of an AS. In 47% of cases, additional (radiologically minor) nonanastomotic strictures were diagnosed. All patients were successfully treated by 1 or more treatment modalities. As primary treatment, endoscopic retrograde cholangiopancreaticography (ERCP) was successful in 24 of 36 (67%) cases and percutaneous transhepatic cholangiodrainage in 4 of 11 (36%). In the end 15 patients (32%) were operated, all with long-term success. AS presenting more than 6 months after transplantation needed more episodes of stenting by ERCP, and more stents per episode compared to those presenting within 6 months and recurred more often. Graft and patient survival were not impaired by AS.", "author" : [ { "dropping-particle" : "", "family" : "Verdonk", "given" : "Robert C", "non-dropping-particle" : "", "parse-names" : false, "suffix" : "" }, { "dropping-particle" : "", "family" : "Buis", "given" : "Carlijn I", "non-dropping-particle" : "", "parse-names" : false, "suffix" : "" }, { "dropping-particle" : "", "family" : "Porte", "given" : "Robert J", "non-dropping-particle" : "", "parse-names" : false, "suffix" : "" }, { "dropping-particle" : "", "family" : "Jagt", "given" : "Eric J", "non-dropping-particle" : "van der", "parse-names" : false, "suffix" : "" }, { "dropping-particle" : "", "family" : "Limburg", "given" : "Abraham J", "non-dropping-particle" : "", "parse-names" : false, "suffix" : "" }, { "dropping-particle" : "", "family" : "Berg", "given" : "Aad P", "non-dropping-particle" : "van den", "parse-names" : false, "suffix" : "" }, { "dropping-particle" : "", "family" : "Slooff", "given" : "Maarten J H", "non-dropping-particle" : "", "parse-names" : false, "suffix" : "" }, { "dropping-particle" : "", "family" : "Peeters", "given" : "Paul M J G", "non-dropping-particle" : "", "parse-names" : false, "suffix" : "" }, { "dropping-particle" : "", "family" : "Jong", "given" : "Koert P", "non-dropping-particle" : "de", "parse-names" : false, "suffix" : "" }, { "dropping-particle" : "", "family" : "Kleibeuker", "given" : "Jan H", "non-dropping-particle" : "", "parse-names" : false, "suffix" : "" }, { "dropping-particle" : "", "family" : "Haagsma", "given" : "Elizabeth B", "non-dropping-particle" : "", "parse-names" : false, "suffix" : "" } ], "container-title" : "Liver transplantation : official publication of the American Association for the Study of Liver Diseases and the International Liver Transplantation Society", "id" : "ITEM-1", "issue" : "5", "issued" : { "date-parts" : [ [ "2006", "5" ] ] }, "page" : "726-35", "title" : "Anastomotic biliary strictures after liver transplantation: causes and consequences.", "type" : "article-journal", "volume" : "12" }, "uris" : [ "http://www.mendeley.com/documents/?uuid=f7ce8e5d-8ee2-49e5-b9c2-c545e13609aa" ] } ], "mendeley" : { "formattedCitation" : "&lt;sup&gt;41&lt;/sup&gt;", "plainTextFormattedCitation" : "41", "previouslyFormattedCitation" : "&lt;sup&gt;41&lt;/sup&gt;"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41</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Surgical management may be attempted if both endoscopic and percutaneous treatment fails, especially if there are concomitant bile leaks. This may involve surgical repair or revision of the anastomosis from a duct to duct anastomosis to hepaticojejunostomy</w:t>
      </w:r>
      <w:r w:rsidR="004F54FD" w:rsidRPr="00074190">
        <w:rPr>
          <w:rFonts w:ascii="Book Antiqua" w:hAnsi="Book Antiqua" w:cs="Book Antiqua"/>
          <w:sz w:val="24"/>
          <w:szCs w:val="24"/>
          <w:vertAlign w:val="superscript"/>
          <w:lang w:eastAsia="zh-CN"/>
        </w:rPr>
        <w:t>[47]</w:t>
      </w:r>
      <w:r w:rsidRPr="00074190">
        <w:rPr>
          <w:rFonts w:ascii="Book Antiqua" w:eastAsia="Book Antiqua" w:hAnsi="Book Antiqua" w:cs="Book Antiqua"/>
          <w:sz w:val="24"/>
          <w:szCs w:val="24"/>
        </w:rPr>
        <w:t xml:space="preserve">. </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The most common complications of endoscopic, percutaneous and surgical methods of treating biliary strictures are recurrent cholangitis, post procedural bleeding, post ERCP pancreatitis, peritonitis and rarely death</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"ISSN" : "0016-5107", "PMID" : "10650259", "abstract" : "BACKGROUND: Optimal therapy for anastomotic biliary strictures occurring after orthotopic liver transplantation (OLT) remains to be defined. We reviewed our experience with endoscopic therapy for such strictures and contrasted it with reported data.\n\nMETHODS: Endoscopic therapy was performed with balloon dilation alone; no patients received an endoprosthesis. Responses were characterized as good if the patient improved clinically and no subsequent procedures were required after one or more dilations within a 3-month period; partial if clinically significant obstruction resolved but cholestasis persisted or there was a need for further endoscopic management beyond the initial 3 months; poor if subsequent surgery or percutaneous procedures were required; and failed if endoscopic access or dilation could not be accomplished.\n\nRESULTS: Fifteen patients underwent 23 endoscopic retrograde cholangiopancreatographies for post-OLT anastomotic strictures. Postprocedure follow-up averaged 25.2 months. Cholangiography was successful in all 23 procedures; free duct access was achieved in 22 of 23 procedures. The strictures were successfully accessed for dilation in 11 of 15 patients and in 19 of 23 procedures. Outcome was deemed good in 4 (27%), partial in 3 (20%), and poor in 5 (33%) patients. Endoscopic therapy failed in 3 (20%). Poor outcomes were due to the early recognition of severe lesions (2 treated surgically) or to short-term responses to dilation alone (3). The procedural complication rate of 17.4% included 3 episodes of transient cholangitis (i.e., elevation of liver enzymes associated with fever that lasted less than 3 days) and 1 self-limited episode of postsphincterotomy bleeding, which required the transfusion of 2 units packed red blood cells. In published series the combined success rate of balloon dilation alone for treatment of anastomotic strictures is 41%, whereas for dilation plus stent placement it is 75%.\n\nCONCLUSION: Endoscopic balloon dilation alone is not a reliable method of therapy for anastomotic strictures occurring after OLT. Dilation followed by short- to intermediate-term stent placement appears to provide a more durable result.", "author" : [ { "dropping-particle" : "", "family" : "Schwartz", "given" : "D A", "non-dropping-particle" : "", "parse-names" : false, "suffix" : "" }, { "dropping-particle" : "", "family" : "Petersen", "given" : "B T", "non-dropping-particle" : "", "parse-names" : false, "suffix" : "" }, { "dropping-particle" : "", "family" : "Poterucha", "given" : "J J", "non-dropping-particle" : "", "parse-names" : false, "suffix" : "" }, { "dropping-particle" : "", "family" : "Gostout", "given" : "C J", "non-dropping-particle" : "", "parse-names" : false, "suffix" : "" } ], "container-title" : "Gastrointestinal endoscopy", "id" : "ITEM-1", "issue" : "2", "issued" : { "date-parts" : [ [ "2000", "2" ] ] }, "page" : "169-74", "title" : "Endoscopic therapy of anastomotic bile duct strictures occurring after liver transplantation.", "type" : "article-journal", "volume" : "51" }, "uris" : [ "http://www.mendeley.com/documents/?uuid=90db8fde-ce0a-40bf-86a4-c03dd048a7b8" ] } ], "mendeley" : { "formattedCitation" : "&lt;sup&gt;45&lt;/sup&gt;", "plainTextFormattedCitation" : "45", "previouslyFormattedCitation" : "&lt;sup&gt;45&lt;/sup&gt;"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45</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"10.1055/s-0032-1326411", "ISSN" : "1438-8812", "PMID" : "23580410", "abstract" : "BACKGROUND AND STUDY AIMS: Anastomotic strictures are an important cause of morbidity after orthotopic liver transplantation (OLT). Endoscopic treatment is the primary treatment modality for biliary complications after OLT. The outcome and complications of a progressive stenting protocol are largely unknown.\n\nPATIENTS AND METHODS: A longitudinal cohort study of OLTs was conducted. Only patients with late strictures were included. Treatment success was defined as cholangiographic stricture resolution and liver enzymes returning to normal with follow-up of at least 12 months.\n\nRESULTS: Between May 2000 and June 2009, 375 OLTs were performed. A duct-to-duct anastomosis was created in 304 cases (81 %). In 63 patients (21 %; 95 % confidence interval [CI] 16.5 % - 25.6 %) an anastomotic stricture developed and progressive stenting was started in 35. During treatment two patients died of a non-treatment-related cause and two patients underwent a second OLT during stent therapy. Therefore 31 patients were available for analysis (male : female 21:10; median age 61 years, range 28 - 75 years). Progressive stenting required a median number of 5 endoscopic retrograde cholangiopancreatography (ERCP) procedures (range 4 - 11). A median maximum of 4 stents (range 2 - 8) were inserted. A total of 21 patients (67.7 %; 95 %CI 50.1 % - 81.4 %) developed a treatment-related complication. In 33 out of a total of 155 ERCPs (21.3 %) a complication occurred: cholangitis (n = 12), transient cholestasis (n = 11), post-ERCP pancreatitis (n = 7), and treatment-related pain (n = 3). The median follow-up time after stent removal was 28 months (range 12 - 92). Treatment was successful in 25 patients (80.6 %; 95 %CI 63.7 % - 90.8 %).\n\nCONCLUSION: Progressive stenting for anastomotic strictures after OLT is demanding and burdensome, necessitating a median of 5 ERCP procedures with complications occurring in one out of five procedures. Its success rate however is high (81 %), avoiding surgery in the large majority of patients.", "author" : [ { "dropping-particle" : "", "family" : "Poley", "given" : "J W", "non-dropping-particle" : "", "parse-names" : false, "suffix" : "" }, { "dropping-particle" : "", "family" : "Lekkerkerker", "given" : "M N", "non-dropping-particle" : "", "parse-names" : false, "suffix" : "" }, { "dropping-particle" : "", "family" : "Metselaar", "given" : "H J", "non-dropping-particle" : "", "parse-names" : false, "suffix" : "" }, { "dropping-particle" : "", "family" : "Kuipers", "given" : "E J", "non-dropping-particle" : "", "parse-names" : false, "suffix" : "" }, { "dropping-particle" : "", "family" : "Bruno", "given" : "M J", "non-dropping-particle" : "", "parse-names" : false, "suffix" : "" } ], "container-title" : "Endoscopy", "id" : "ITEM-1", "issue" : "7", "issued" : { "date-parts" : [ [ "2013", "7" ] ] }, "page" : "567-70", "title" : "Clinical outcome of progressive stenting in patients with anastomotic strictures after orthotopic liver transplantation.", "type" : "article-journal", "volume" : "45" }, "uris" : [ "http://www.mendeley.com/documents/?uuid=d2be7645-c394-4e67-965f-21af3172c4f9" ] } ], "mendeley" : { "formattedCitation" : "&lt;sup&gt;48&lt;/sup&gt;", "plainTextFormattedCitation" : "48", "previouslyFormattedCitation" : "&lt;sup&gt;48&lt;/sup&gt;"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48</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Figure 2 illustrates a typical anastomotic stricture which was treated with multiple dilations and stent placement.</w:t>
      </w:r>
    </w:p>
    <w:p w:rsidR="005E3013" w:rsidRPr="00074190" w:rsidRDefault="006A074B" w:rsidP="00074190">
      <w:pPr>
        <w:spacing w:after="0" w:line="360" w:lineRule="auto"/>
        <w:jc w:val="both"/>
        <w:rPr>
          <w:rFonts w:ascii="Book Antiqua" w:hAnsi="Book Antiqua" w:cs="Book Antiqua"/>
          <w:sz w:val="24"/>
          <w:szCs w:val="24"/>
          <w:u w:val="single"/>
          <w:lang w:eastAsia="zh-CN"/>
        </w:rPr>
      </w:pPr>
      <w:r w:rsidRPr="00074190">
        <w:rPr>
          <w:rFonts w:ascii="Book Antiqua" w:eastAsia="Book Antiqua" w:hAnsi="Book Antiqua" w:cs="Book Antiqua"/>
          <w:sz w:val="24"/>
          <w:szCs w:val="24"/>
          <w:u w:val="single"/>
        </w:rPr>
        <w:t xml:space="preserve"> </w:t>
      </w:r>
    </w:p>
    <w:p w:rsidR="004F54FD" w:rsidRPr="00074190" w:rsidRDefault="006A074B" w:rsidP="00074190">
      <w:pPr>
        <w:spacing w:after="0" w:line="360" w:lineRule="auto"/>
        <w:jc w:val="both"/>
        <w:rPr>
          <w:rFonts w:ascii="Book Antiqua" w:hAnsi="Book Antiqua" w:cs="Book Antiqua"/>
          <w:b/>
          <w:sz w:val="24"/>
          <w:szCs w:val="24"/>
          <w:lang w:eastAsia="zh-CN"/>
        </w:rPr>
      </w:pPr>
      <w:r w:rsidRPr="00074190">
        <w:rPr>
          <w:rFonts w:ascii="Book Antiqua" w:eastAsia="Book Antiqua" w:hAnsi="Book Antiqua" w:cs="Book Antiqua"/>
          <w:b/>
          <w:sz w:val="24"/>
          <w:szCs w:val="24"/>
        </w:rPr>
        <w:t xml:space="preserve">Non </w:t>
      </w:r>
      <w:r w:rsidR="004F54FD" w:rsidRPr="00074190">
        <w:rPr>
          <w:rFonts w:ascii="Book Antiqua" w:eastAsia="Book Antiqua" w:hAnsi="Book Antiqua" w:cs="Book Antiqua"/>
          <w:b/>
          <w:sz w:val="24"/>
          <w:szCs w:val="24"/>
        </w:rPr>
        <w:t>anastomotic strictures</w:t>
      </w:r>
      <w:r w:rsidR="004F54FD" w:rsidRPr="00074190">
        <w:rPr>
          <w:rFonts w:ascii="Book Antiqua" w:hAnsi="Book Antiqua" w:cs="Book Antiqua"/>
          <w:b/>
          <w:sz w:val="24"/>
          <w:szCs w:val="24"/>
          <w:lang w:eastAsia="zh-CN"/>
        </w:rPr>
        <w:t xml:space="preserve">: </w:t>
      </w:r>
      <w:r w:rsidRPr="00074190">
        <w:rPr>
          <w:rFonts w:ascii="Book Antiqua" w:eastAsia="Book Antiqua" w:hAnsi="Book Antiqua" w:cs="Book Antiqua"/>
          <w:sz w:val="24"/>
          <w:szCs w:val="24"/>
        </w:rPr>
        <w:t xml:space="preserve">Non anastomotic strictures usually occur in the hilar region but may occur diffusely in the recipient biliary tract. They are thought to be related to ischemic and /or immune injury to the biliary mucosa during LT.  </w:t>
      </w:r>
    </w:p>
    <w:p w:rsidR="005E3013" w:rsidRPr="00074190" w:rsidRDefault="006A074B" w:rsidP="00074190">
      <w:pPr>
        <w:spacing w:after="0" w:line="360" w:lineRule="auto"/>
        <w:ind w:firstLineChars="200" w:firstLine="480"/>
        <w:jc w:val="both"/>
        <w:rPr>
          <w:rFonts w:ascii="Book Antiqua" w:hAnsi="Book Antiqua" w:cs="Book Antiqua"/>
          <w:b/>
          <w:sz w:val="24"/>
          <w:szCs w:val="24"/>
          <w:lang w:eastAsia="zh-CN"/>
        </w:rPr>
      </w:pPr>
      <w:r w:rsidRPr="00074190">
        <w:rPr>
          <w:rFonts w:ascii="Book Antiqua" w:eastAsia="Book Antiqua" w:hAnsi="Book Antiqua" w:cs="Book Antiqua"/>
          <w:sz w:val="24"/>
          <w:szCs w:val="24"/>
        </w:rPr>
        <w:t xml:space="preserve">A number of operative factors such as total ischemia time, hepatic artery thrombosis , total operative  time, type of  bile duct anastomosis, and recipient factors such as  pre transplant liver disease especially primary sclerosing cholangitis (PSC), bile salt composition and chronic ductopenic rejection  as well as donor factors like ABO incompatibility, CMV infection, donor and recipient gender matching and miscellaneous factors like preservation techniques have all been variably  associated with development of NAS </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"ISSN" : "1600-6135", "PMID" : "12814481", "abstract" : "Non-anastomotic biliary stricture (NAS) formation is a major complication of liver transplantation. We prospectively determined the time to development of responsiveness to treatment, and clinical outcomes following NAS formation. In addition, an extensive analysis of the association of recipient, donor, and clinical variables with NAS formation was performed. A total of 749 consecutive patients was studied in a prospective, protocol-based fashion. Seventy-two patients (9.6%) developed NAS at a mean of 23.6 +/- 34.2 weeks post-transplantation. Non-anastomotic biliary stricture formation resolved in only 6% of affected patients. Although patient survival was not affected, retransplantation and graft loss rates were significantly greater in recipients who developed NAS. In contrast to previous reports, a pretransplant diagnosis of HCV was associated with a low frequency of NAS formation. The incidence of NAS was independently associated with pretransplant diagnoses of PSC and autoimmune hepatitis. Hepatic artery thrombosis, and prolonged warm and cold ischemia times were also independent risk factors for NAS formation. We conclude that NAS developed in approximately 10% of primary liver transplant recipients. A pretransplant diagnosis of autoimmune hepatitis has been identified as a novel independent risk factor for NAS formation. Development of NAS significantly attenuates graft but not patient survival.", "author" : [ { "dropping-particle" : "", "family" : "Guichelaar", "given" : "Maureen M J", "non-dropping-particle" : "", "parse-names" : false, "suffix" : "" }, { "dropping-particle" : "", "family" : "Benson", "given" : "Joanne T", "non-dropping-particle" : "", "parse-names" : false, "suffix" : "" }, { "dropping-particle" : "", "family" : "Malinchoc", "given" : "Michael", "non-dropping-particle" : "", "parse-names" : false, "suffix" : "" }, { "dropping-particle" : "", "family" : "Krom", "given" : "Ruud A F", "non-dropping-particle" : "", "parse-names" : false, "suffix" : "" }, { "dropping-particle" : "", "family" : "Wiesner", "given" : "Russell H", "non-dropping-particle" : "", "parse-names" : false, "suffix" : "" }, { "dropping-particle" : "", "family" : "Charlton", "given" : "Michael R", "non-dropping-particle" : "", "parse-names" : false, "suffix" : "" } ], "container-title" : "American journal of transplantation : official journal of the American Society of Transplantation and the American Society of Transplant Surgeons", "id" : "ITEM-1", "issue" : "7", "issued" : { "date-parts" : [ [ "2003", "7" ] ] }, "page" : "885-90", "title" : "Risk factors for and clinical course of non-anastomotic biliary strictures after liver transplantation.", "type" : "article-journal", "volume" : "3" }, "uris" : [ "http://www.mendeley.com/documents/?uuid=a215da87-83d3-481f-93e8-db845ba4e1d8" ] } ], "mendeley" : { "formattedCitation" : "&lt;sup&gt;49&lt;/sup&gt;", "plainTextFormattedCitation" : "49", "previouslyFormattedCitation" : "&lt;sup&gt;49&lt;/sup&gt;"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49</w:t>
      </w:r>
      <w:r w:rsidR="00535B2B" w:rsidRPr="00074190">
        <w:rPr>
          <w:rFonts w:ascii="Book Antiqua" w:eastAsia="Book Antiqua" w:hAnsi="Book Antiqua" w:cs="Book Antiqua"/>
          <w:sz w:val="24"/>
          <w:szCs w:val="24"/>
          <w:vertAlign w:val="superscript"/>
        </w:rPr>
        <w:fldChar w:fldCharType="end"/>
      </w:r>
      <w:r w:rsidR="004F54FD" w:rsidRPr="00074190">
        <w:rPr>
          <w:rFonts w:ascii="Book Antiqua" w:hAnsi="Book Antiqua" w:cs="Book Antiqua"/>
          <w:sz w:val="24"/>
          <w:szCs w:val="24"/>
          <w:vertAlign w:val="superscript"/>
          <w:lang w:eastAsia="zh-CN"/>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"10.1111/j.1432-2277.2012.01501.x", "ISSN" : "09340874", "abstract" : "Nonanastomotic biliary strictures (NAS) cause significant morbidity post liver transplantation. Timing of stricture development varies considerably, but the relationship between timing of stricture onset and aetiology has not been fully elucidated. Database analysis was performed on all adult patients undergoing liver transplantation between 1st January 1990 and 31st May 2008. Diagnosis of NAS required demonstration on at least two radiological studies. Early NAS were defined as developing &lt;1 year post transplant (minimum 1-year follow-up) and late NAS developing &gt;1 year post transplant (minimum 10-year follow-up). Ninety-six of 397 patients developed NAS (24%); 54 were early-onset NAS (56%) and 42 late-onset NAS (44%). Primary sclerosing cholangitis (PSC) was the only risk factor for NAS overall (P = 0.001). However, when patients with PSC were excluded, older donor age was a significant risk for NAS (P = 0.003). Early-onset NAS were associated with advanced donor age (P = 0.02), high MELD score (P = 0.001) and ABO-identical grafts (P = 0.02), whereas late-onset NAS were associated with PSC (P = 0.0008), bilio-enteric anastomosis (P = 0.006) and tacrolimus (P = 0.0001). Advanced donor age is a significant risk for NAS in patients without PSC. Importantly, aetiology of NAS varies depending on time to stricture development, suggesting early-onset and late-onset NAS may have different pathogenesis.", "author" : [ { "dropping-particle" : "", "family" : "Howell", "given" : "Jessica A.", "non-dropping-particle" : "", "parse-names" : false, "suffix" : "" }, { "dropping-particle" : "", "family" : "Gow", "given" : "Paul J.", "non-dropping-particle" : "", "parse-names" : false, "suffix" : "" }, { "dropping-particle" : "", "family" : "Angus", "given" : "Peter W.", "non-dropping-particle" : "", "parse-names" : false, "suffix" : "" }, { "dropping-particle" : "", "family" : "Jones", "given" : "Robert M.", "non-dropping-particle" : "", "parse-names" : false, "suffix" : "" }, { "dropping-particle" : "", "family" : "Wang", "given" : "Bao Zhong", "non-dropping-particle" : "", "parse-names" : false, "suffix" : "" }, { "dropping-particle" : "", "family" : "Bailey", "given" : "Michael", "non-dropping-particle" : "", "parse-names" : false, "suffix" : "" }, { "dropping-particle" : "", "family" : "Fink", "given" : "Michael A.", "non-dropping-particle" : "", "parse-names" : false, "suffix" : "" } ], "container-title" : "Transplant International", "id" : "ITEM-1", "issued" : { "date-parts" : [ [ "2012" ] ] }, "page" : "765-775", "title" : "Early-onset versus late-onset nonanastomotic biliary strictures post liver transplantation: Risk factors reflect different pathogenesis", "type" : "article-journal", "volume" : "25" }, "uris" : [ "http://www.mendeley.com/documents/?uuid=d1af0d11-88d0-4d04-b935-10a05452cb2c" ] } ], "mendeley" : { "formattedCitation" : "&lt;sup&gt;51&lt;/sup&gt;", "plainTextFormattedCitation" : "51", "previouslyFormattedCitation" : "&lt;sup&gt;51&lt;/sup&gt;"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51</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4F54FD" w:rsidRPr="00074190">
        <w:rPr>
          <w:rFonts w:ascii="Book Antiqua" w:hAnsi="Book Antiqua" w:cs="Book Antiqua"/>
          <w:sz w:val="24"/>
          <w:szCs w:val="24"/>
          <w:lang w:eastAsia="zh-CN"/>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Studies by Moench et al and Buis et al attempted to classify NAS into those caused by macro-angiopathy (hepatic artery thrombosis), micro-angiopathy (prolonged ischemia times and preservation injury) and immunological causes (ABO incompatibility, CMV infection, autoimmune h</w:t>
      </w:r>
      <w:r w:rsidR="004F54FD" w:rsidRPr="00074190">
        <w:rPr>
          <w:rFonts w:ascii="Book Antiqua" w:eastAsia="Book Antiqua" w:hAnsi="Book Antiqua" w:cs="Book Antiqua"/>
          <w:sz w:val="24"/>
          <w:szCs w:val="24"/>
        </w:rPr>
        <w:t>epatitis, or PSC and rejection)</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"10.1053/jlts.2003.50015", "ISSN" : "1527-6465", "PMID" : "12619026", "abstract" : "Ischemic-type biliary lesions (ITBLs) lead to considerable morbidity after orthotopic liver transplantation (OLT). The exact pathogenesis is unknown. We tested the hypothesis that insufficient perfusion of biliary arterial vessels might be responsible for ITBLs. This could be prevented by improved perfusion techniques. Since February 2000, we performed a controlled study using arterial back-table pressure perfusion (AP) to achieve reliable perfusion of the biliary-tract capillary system, which may be impaired by the high viscosity of University of Wisconsin solution. We retrospectively analyzed 190 OLTs performed between September 1997 and July 2002 with regard to ITBLs. One hundred thirty-one grafts were preserved by in situ standard perfusion (SP), including portal perfusion, whereas in 59 cases, additional AP was performed. Donor-related factors, recipient age, indication for OLT, OLT technique, immunosuppression, and ischemia time were similar in both groups. In the SP group, 21 of 131 patients (16%) developed ITBLs. Only 1 of 59 patients with grafts receiving AP developed ITBLs. This difference was highly significant (P =.004). Peak aspartate aminotransferase (AST) and alanine aminotransferase (ALT) levels within the first 3 days were significantly lower in the AP group (AST, P =.016; ALT, P =.007). Multivariate analysis showed a significant influence of AP (P =.010) and donor age (P =.003) on the development of ITBLs. AP is an easy and reliable method to prevent ITBLs in OLT. It therefore should be used as the standard technique in liver procurement.", "author" : [ { "dropping-particle" : "", "family" : "Moench", "given" : "Christian", "non-dropping-particle" : "", "parse-names" : false, "suffix" : "" }, { "dropping-particle" : "", "family" : "Moench", "given" : "Kerstin", "non-dropping-particle" : "", "parse-names" : false, "suffix" : "" }, { "dropping-particle" : "", "family" : "Lohse", "given" : "Ansgar W", "non-dropping-particle" : "", "parse-names" : false, "suffix" : "" }, { "dropping-particle" : "", "family" : "Thies", "given" : "Jochen", "non-dropping-particle" : "", "parse-names" : false, "suffix" : "" }, { "dropping-particle" : "", "family" : "Otto", "given" : "Gerd", "non-dropping-particle" : "", "parse-names" : false, "suffix" : "" } ], "container-title" : "Liver transplantation : official publication of the American Association for the Study of Liver Diseases and the International Liver Transplantation Society", "id" : "ITEM-1", "issue" : "3", "issued" : { "date-parts" : [ [ "2003", "3" ] ] }, "page" : "285-9", "title" : "Prevention of ischemic-type biliary lesions by arterial back-table pressure perfusion.", "type" : "article-journal", "volume" : "9" }, "uris" : [ "http://www.mendeley.com/documents/?uuid=d555e6a9-c3f4-48df-a1ca-fba2b7a0575b" ] } ], "mendeley" : { "formattedCitation" : "&lt;sup&gt;52&lt;/sup&gt;", "plainTextFormattedCitation" : "52", "previouslyFormattedCitation" : "&lt;sup&gt;52&lt;/sup&gt;"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52</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"10.1002/lt.21166", "ISSN" : "1527-6465", "PMID" : "17457932", "abstract" : "Nonanastomotic biliary strictures (NAS) are a serious complication after orthotopic liver transplantation (OLT). The exact pathogenesis is unclear. Purpose of this study was to identify risk factors for the development of NAS after OLT. A total of 487 adult liver transplants with a median follow-up of 7.9 years were studied. All imaging studies of the biliary tree were reviewed. Cholangiography was routinely performed between postoperative days 10-14 and later on demand. Localization of NAS at first presentation was categorized into 4 anatomical zones of the biliary tree. Severity of NAS was semiquantified as mild, moderate, or severe. Donor, recipient, and surgical characteristics and variables were analyzed to identify risk factors for NAS. NAS developed in 81 livers (16.6%). Thirty-seven (7.3%) were graded as moderate to severe. In 85% of the cases, anatomical localization of NAS was around or below the bifurcation of the common bile duct. A large variation was observed in the time interval between OLT and first presentation of NAS (median 4.1 months; range 0.3-155 months). NAS presenting early (&lt; or =1 year) after OLT were associated with preservation-related risk factors. Cold and warm ischemia times were significantly longer in patients with early NAS compared with NAS presenting late (&gt;1 year) after OLT (694 minutes vs. 490 minutes, P = 0.01, and 57 minutes vs. 53 minutes, P &lt; 0.05, respectively), and early NAS were more frequently located in the central bile ducts. NAS presenting late (&gt;1 year) after OLT were found more frequently in the periphery of the liver and were more frequently associated with immunological factors, such as primary sclerosing cholangitis, as the indication for OLT (24% vs. 45%, P &lt; 0.05). By separating cases of NAS on the basis of the time of presentation after transplantation, we were able to identify differences in risk factors, indicating different pathogenic mechanisms depending on the time of initial presentation.", "author" : [ { "dropping-particle" : "", "family" : "Buis", "given" : "Carlijn I", "non-dropping-particle" : "", "parse-names" : false, "suffix" : "" }, { "dropping-particle" : "", "family" : "Verdonk", "given" : "Robert C", "non-dropping-particle" : "", "parse-names" : false, "suffix" : "" }, { "dropping-particle" : "", "family" : "Jagt", "given" : "Eric J", "non-dropping-particle" : "Van der", "parse-names" : false, "suffix" : "" }, { "dropping-particle" : "", "family" : "Hilst", "given" : "Christian S", "non-dropping-particle" : "van der", "parse-names" : false, "suffix" : "" }, { "dropping-particle" : "", "family" : "Slooff", "given" : "Maarten J H", "non-dropping-particle" : "", "parse-names" : false, "suffix" : "" }, { "dropping-particle" : "", "family" : "Haagsma", "given" : "Elizabeth B", "non-dropping-particle" : "", "parse-names" : false, "suffix" : "" }, { "dropping-particle" : "", "family" : "Porte", "given" : "Robert J", "non-dropping-particle" : "", "parse-names" : false, "suffix" : "" } ], "container-title" : "Liver transplantation : official publication of the American Association for the Study of Liver Diseases and the International Liver Transplantation Society", "id" : "ITEM-1", "issue" : "5", "issued" : { "date-parts" : [ [ "2007", "5" ] ] }, "page" : "708-18", "title" : "Nonanastomotic biliary strictures after liver transplantation, part 1: Radiological features and risk factors for early vs. late presentation.", "type" : "article-journal", "volume" : "13" }, "uris" : [ "http://www.mendeley.com/documents/?uuid=e374c4cf-3a4f-4a44-b57a-942c9dcdbca7" ] } ], "mendeley" : { "formattedCitation" : "&lt;sup&gt;53&lt;/sup&gt;", "plainTextFormattedCitation" : "53", "previouslyFormattedCitation" : "&lt;sup&gt;53&lt;/sup&gt;"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53</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In DDLT early NAS are found more often at the bifurcation of the CHD common hepatic duct or around the CBD common bile duct while late NAS are more often peripherally located within the liver</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"10.1080/00365520600664375", "ISSN" : "0085-5928", "PMID" : "16782628", "abstract" : "After liver transplantation, the prevalence of complications related to the biliary system is 6-35%. In recent years, the diagnosis and treatment of biliary problems has changed markedly. The two standard methods of biliary reconstruction in liver transplant recipients are the duct-to-duct choledochocholedochostomy and the Roux-en-Y-hepaticojejunostomy. Biliary leakage occurs in approximately 5-7% of transplant cases. Leakage from the site of anastomosis, the T-tube exit site and donor or recipient remnant cystic duct is well described. Symptomatic bile leakage should be treated by stenting of the duct by endoscopic retrograde cholangiopancreatography (ERCP) or percutaneous transhepatic cholangiography (PTCD). Biliary strictures can occur at the site of the anastomosis (anastomotic stricture; AS) or at other locations in the biliary tree (non-anastomotic strictures; NAS). AS occur in 5-10% of cases and are due to fibrotic healing. Treatment by ERCP or PTCD with dilatation and progressive stenting is successful in the majority of cases. NAS can occur in the context of a hepatic artery thrombosis, or with an open hepatic artery (ischaemic type biliary lesions or ITBL). The incidence is 5-10%. NAS has been associated with various types of injury, e.g. macrovascular, microvascular, immunological and cytotoxic injury by bile salts. Treatment can be attempted with multiple sessions of dilatation and stenting of stenotic areas by ERCP or PTCD. In cases of localized diseased and good graft function, biliary reconstructive surgery is useful. However, a significant number of patients will need a re-transplant. When biliary strictures or ischaemia of the graft are present, stones, casts and sludge can develop.", "author" : [ { "dropping-particle" : "", "family" : "Verdonk", "given" : "Robert C", "non-dropping-particle" : "", "parse-names" : false, "suffix" : "" }, { "dropping-particle" : "", "family" : "Buis", "given" : "Carlijn I", "non-dropping-particle" : "", "parse-names" : false, "suffix" : "" }, { "dropping-particle" : "", "family" : "Porte", "given" : "Robert J", "non-dropping-particle" : "", "parse-names" : false, "suffix" : "" }, { "dropping-particle" : "", "family" : "Haagsma", "given" : "Elizabeth B", "non-dropping-particle" : "", "parse-names" : false, "suffix" : "" } ], "container-title" : "Scandinavian journal of gastroenterology. Supplement", "id" : "ITEM-1", "issue" : "243", "issued" : { "date-parts" : [ [ "2006", "1" ] ] }, "page" : "89-101", "title" : "Biliary complications after liver transplantation: a review.", "type" : "article-journal" }, "uris" : [ "http://www.mendeley.com/documents/?uuid=93db8b8a-a40f-4468-8f24-76a3832cbae3" ] } ], "mendeley" : { "formattedCitation" : "&lt;sup&gt;54&lt;/sup&gt;", "plainTextFormattedCitation" : "54", "previouslyFormattedCitation" : "&lt;sup&gt;54&lt;/sup&gt;"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54</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Hepatic artery thrombosis and prolonged ischemia times both result in ischemic injury to the biliary endothelium, which heals by fibrosis and stricture formation. Previous studies have shown that the biliary epithelium is exquisitely sensitive to ischemia</w:t>
      </w:r>
      <w:r w:rsidR="00121F30"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7A2D1E" w:rsidRPr="00074190">
        <w:rPr>
          <w:rFonts w:ascii="Book Antiqua" w:eastAsia="Book Antiqua" w:hAnsi="Book Antiqua" w:cs="Book Antiqua"/>
          <w:sz w:val="24"/>
          <w:szCs w:val="24"/>
          <w:vertAlign w:val="superscript"/>
        </w:rPr>
        <w:instrText>ADDIN CSL_CITATION { "citationItems" : [ { "id" : "ITEM-1", "itemData" : { "ISSN" : "0041-1337", "PMID" : "8212138", "abstract" : "The occurrence of biliary strictures in allografts following liver transplantation correlates with the duration of preservation time. The correlation between preservation time and biliary strictures suggests that anoxic or reperfusion injury of the bile duct epithelium causes stricture formation. However, the relative susceptibility of bile duct cells to anoxic or reoxygenation injury is unknown. Our aims were to determine the vulnerability of rat liver bile duct cells to anoxic and reoxygenation injury and to compare the results with hepatocytes. During anoxia, bile duct epithelial cells were significantly more resistant to cell killing than hepatocytes. Rates of cellular proteolysis were also 2.5-fold lower in bile duct cells than in hepatocytes during anoxia. In contrast to anoxia, reoxygenation of anoxic cells increased cell killing of bile duct cells but improved viability of hepatocytes. The rate of toxic oxygen species formation by bile duct cells was 5-fold greater than in hepatocytes during reoxygenation. In addition, basal levels of glutathione are lower in bile duct cells than in hepatocytes. These data suggest that bile duct cells are more susceptible to reoxygenation injury than to anoxia. These studies support the hypothesis that reoxygenation injury during liver preservation leads to bile duct injury during liver transplantation.", "author" : [ { "dropping-particle" : "", "family" : "Noack", "given" : "K", "non-dropping-particle" : "", "parse-names" : false, "suffix" : "" }, { "dropping-particle" : "", "family" : "Bronk", "given" : "S F", "non-dropping-particle" : "", "parse-names" : false, "suffix" : "" }, { "dropping-particle" : "", "family" : "Kato", "given" : "A", "non-dropping-particle" : "", "parse-names" : false, "suffix" : "" }, { "dropping-particle" : "", "family" : "Gores", "given" : "G J", "non-dropping-particle" : "", "parse-names" : false, "suffix" : "" } ], "container-title" : "Transplantation", "id" : "ITEM-1", "issue" : "3", "issued" : { "date-parts" : [ [ "1993", "9" ] ] }, "page" : "495-500", "title" : "The greater vulnerability of bile duct cells to reoxygenation injury than to anoxia. Implications for the pathogenesis of biliary strictures after liver transplantation.", "type" : "article-journal", "volume" : "56" }, "uris" : [ "http://www.mendeley.com/documents/?uuid=75ff4158-4757-497b-85c1-1f2f836d2533" ] } ], "mendeley" : { "formattedCitation" : "&lt;sup&gt;10&lt;/sup&gt;", "plainTextFormattedCitation" : "10", "previouslyFormattedCitation" : "&lt;sup&gt;10&lt;/sup&gt;"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7A2D1E" w:rsidRPr="00074190">
        <w:rPr>
          <w:rFonts w:ascii="Book Antiqua" w:eastAsia="Book Antiqua" w:hAnsi="Book Antiqua" w:cs="Book Antiqua"/>
          <w:noProof/>
          <w:sz w:val="24"/>
          <w:szCs w:val="24"/>
          <w:vertAlign w:val="superscript"/>
        </w:rPr>
        <w:t>10</w:t>
      </w:r>
      <w:r w:rsidR="00535B2B" w:rsidRPr="00074190">
        <w:rPr>
          <w:rFonts w:ascii="Book Antiqua" w:eastAsia="Book Antiqua" w:hAnsi="Book Antiqua" w:cs="Book Antiqua"/>
          <w:sz w:val="24"/>
          <w:szCs w:val="24"/>
          <w:vertAlign w:val="superscript"/>
        </w:rPr>
        <w:fldChar w:fldCharType="end"/>
      </w:r>
      <w:r w:rsidR="00121F30"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During LT, the blood supply to the bile ducts via the pancreatic head and gastro duodenal artery is interrupted, making the bile ducts solely dependent on the hepatic artery for perfusion, and thus more susceptible to ischemic injury. In LDLT cold ischemia time is short so interruption to hepatic artery flow is the main concern. Immunologically mediated injury of the biliary epithelium may be from direct cytokine mediated activation of inflammatory cells and thus more often affects the peripheral bile ducts.</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The reported inciden</w:t>
      </w:r>
      <w:r w:rsidR="004F54FD" w:rsidRPr="00074190">
        <w:rPr>
          <w:rFonts w:ascii="Book Antiqua" w:eastAsia="Book Antiqua" w:hAnsi="Book Antiqua" w:cs="Book Antiqua"/>
          <w:sz w:val="24"/>
          <w:szCs w:val="24"/>
        </w:rPr>
        <w:t>ce of NAS varies between 9</w:t>
      </w:r>
      <w:r w:rsidR="004F54FD" w:rsidRPr="00074190">
        <w:rPr>
          <w:rFonts w:ascii="Book Antiqua" w:hAnsi="Book Antiqua" w:cs="Book Antiqua"/>
          <w:sz w:val="24"/>
          <w:szCs w:val="24"/>
          <w:lang w:eastAsia="zh-CN"/>
        </w:rPr>
        <w:t>%</w:t>
      </w:r>
      <w:r w:rsidR="004F54FD" w:rsidRPr="00074190">
        <w:rPr>
          <w:rFonts w:ascii="Book Antiqua" w:eastAsia="Book Antiqua" w:hAnsi="Book Antiqua" w:cs="Book Antiqua"/>
          <w:sz w:val="24"/>
          <w:szCs w:val="24"/>
        </w:rPr>
        <w:t>-32%</w:t>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"ISSN" : "1600-6135", "PMID" : "12814481", "abstract" : "Non-anastomotic biliary stricture (NAS) formation is a major complication of liver transplantation. We prospectively determined the time to development of responsiveness to treatment, and clinical outcomes following NAS formation. In addition, an extensive analysis of the association of recipient, donor, and clinical variables with NAS formation was performed. A total of 749 consecutive patients was studied in a prospective, protocol-based fashion. Seventy-two patients (9.6%) developed NAS at a mean of 23.6 +/- 34.2 weeks post-transplantation. Non-anastomotic biliary stricture formation resolved in only 6% of affected patients. Although patient survival was not affected, retransplantation and graft loss rates were significantly greater in recipients who developed NAS. In contrast to previous reports, a pretransplant diagnosis of HCV was associated with a low frequency of NAS formation. The incidence of NAS was independently associated with pretransplant diagnoses of PSC and autoimmune hepatitis. Hepatic artery thrombosis, and prolonged warm and cold ischemia times were also independent risk factors for NAS formation. We conclude that NAS developed in approximately 10% of primary liver transplant recipients. A pretransplant diagnosis of autoimmune hepatitis has been identified as a novel independent risk factor for NAS formation. Development of NAS significantly attenuates graft but not patient survival.", "author" : [ { "dropping-particle" : "", "family" : "Guichelaar", "given" : "Maureen M J", "non-dropping-particle" : "", "parse-names" : false, "suffix" : "" }, { "dropping-particle" : "", "family" : "Benson", "given" : "Joanne T", "non-dropping-particle" : "", "parse-names" : false, "suffix" : "" }, { "dropping-particle" : "", "family" : "Malinchoc", "given" : "Michael", "non-dropping-particle" : "", "parse-names" : false, "suffix" : "" }, { "dropping-particle" : "", "family" : "Krom", "given" : "Ruud A F", "non-dropping-particle" : "", "parse-names" : false, "suffix" : "" }, { "dropping-particle" : "", "family" : "Wiesner", "given" : "Russell H", "non-dropping-particle" : "", "parse-names" : false, "suffix" : "" }, { "dropping-particle" : "", "family" : "Charlton", "given" : "Michael R", "non-dropping-particle" : "", "parse-names" : false, "suffix" : "" } ], "container-title" : "American journal of transplantation : official journal of the American Society of Transplantation and the American Society of Transplant Surgeons", "id" : "ITEM-1", "issue" : "7", "issued" : { "date-parts" : [ [ "2003", "7" ] ] }, "page" : "885-90", "title" : "Risk factors for and clinical course of non-anastomotic biliary strictures after liver transplantation.", "type" : "article-journal", "volume" : "3" }, "uris" : [ "http://www.mendeley.com/documents/?uuid=a215da87-83d3-481f-93e8-db845ba4e1d8" ] } ], "mendeley" : { "formattedCitation" : "&lt;sup&gt;49&lt;/sup&gt;", "plainTextFormattedCitation" : "49", "previouslyFormattedCitation" : "&lt;sup&gt;49&lt;/sup&gt;"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49</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"10.1002/lt.21165", "ISBN" : "0031503616", "ISSN" : "15276465", "PMID" : "17457935", "abstract" : "Nonanastomotic biliary strictures (NAS) after orthotopic liver transplantation (OLT) are associated with high retransplant rates. The aim of the present study was to describe the treatment of and identify risk factors for radiological progression of bile duct abnormalities, recurrent cholangitis, biliary cirrhosis, and retransplantation in patients with NAS. We retrospectively studied 81 cases of NAS. Strictures were classified according to severity and location. Management of strictures was recorded. Possible prognostic factors for bacterial cholangitis, radiological progression of strictures, development of severe fibrosis/cirrhosis, graft survival, and patient survival were evaluated. Median follow-up after OLT was 7.9 years. NAS were most prevalent in the extrahepatic bile duct. Twenty-eight patients (35%) underwent some kind of interventional treatment, leading to a marked improvement in biochemistry. Progression of disease was noted in 68% of cases with radiological follow-up. Radiological progression was more prevalent in patients with early NAS and one or more episodes of bacterial cholangitis. Recurrent bacterial cholangitis (&gt;3 episodes) was more prevalent in patients with a hepaticojejunostomy. Severe fibrosis or cirrhosis developed in 23 cases, especially in cases with biliary abnormalities in the periphery of the liver. Graft survival, but not patient survival, was influenced by the presence of NAS. Thirteen patients (16%) were retransplanted for NAS. In conclusion, especially patients with a hepaticojejunostomy, those with an early diagnosis of NAS, and those with NAS presenting at the level of the peripheral branches of the biliary tree, are at risk for progressive disease with severe outcome.", "author" : [ { "dropping-particle" : "", "family" : "Verdonk", "given" : "Robert C.", "non-dropping-particle" : "", "parse-names" : false, "suffix" : "" }, { "dropping-particle" : "", "family" : "Buis", "given" : "Carlijn I.", "non-dropping-particle" : "", "parse-names" : false, "suffix" : "" }, { "dropping-particle" : "", "family" : "Jagt", "given" : "Eric J.", "non-dropping-particle" : "van der", "parse-names" : false, "suffix" : "" }, { "dropping-particle" : "", "family" : "Gouw", "given" : "A. S H", "non-dropping-particle" : "", "parse-names" : false, "suffix" : "" }, { "dropping-particle" : "", "family" : "Limburg", "given" : "Abraham J.", "non-dropping-particle" : "", "parse-names" : false, "suffix" : "" }, { "dropping-particle" : "", "family" : "Slooff", "given" : "M. J H", "non-dropping-particle" : "", "parse-names" : false, "suffix" : "" }, { "dropping-particle" : "", "family" : "Kleibeuker", "given" : "Jan H.", "non-dropping-particle" : "", "parse-names" : false, "suffix" : "" }, { "dropping-particle" : "", "family" : "Porte", "given" : "Robert J.", "non-dropping-particle" : "", "parse-names" : false, "suffix" : "" }, { "dropping-particle" : "", "family" : "Haagsma", "given" : "Elizabeth B.", "non-dropping-particle" : "", "parse-names" : false, "suffix" : "" } ], "container-title" : "Liver Transplantation", "id" : "ITEM-1", "issued" : { "date-parts" : [ [ "2007" ] ] }, "page" : "725-732", "title" : "Nonanastomotic biliary strictures after liver transplantation, part 2: Management, outcome, and risk factors for disease progression", "type" : "article-journal", "volume" : "13" }, "uris" : [ "http://www.mendeley.com/documents/?uuid=bfec514b-fd16-499a-99f5-5ac45a816c23" ] } ], "mendeley" : { "formattedCitation" : "&lt;sup&gt;55&lt;/sup&gt;", "plainTextFormattedCitation" : "55", "previouslyFormattedCitation" : "&lt;sup&gt;55&lt;/sup&gt;"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55</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Guichelaar et al found the mean duration to presentatio</w:t>
      </w:r>
      <w:r w:rsidR="004F54FD" w:rsidRPr="00074190">
        <w:rPr>
          <w:rFonts w:ascii="Book Antiqua" w:eastAsia="Book Antiqua" w:hAnsi="Book Antiqua" w:cs="Book Antiqua"/>
          <w:sz w:val="24"/>
          <w:szCs w:val="24"/>
        </w:rPr>
        <w:t>n varies between 23.6+/- 34.2 wk</w:t>
      </w:r>
      <w:r w:rsidRPr="00074190">
        <w:rPr>
          <w:rFonts w:ascii="Book Antiqua" w:eastAsia="Book Antiqua" w:hAnsi="Book Antiqua" w:cs="Book Antiqua"/>
          <w:sz w:val="24"/>
          <w:szCs w:val="24"/>
        </w:rPr>
        <w:t xml:space="preserve"> to after LDLT</w:t>
      </w:r>
      <w:r w:rsidR="004F54FD" w:rsidRPr="00074190">
        <w:rPr>
          <w:rFonts w:ascii="Book Antiqua" w:hAnsi="Book Antiqua" w:cs="Book Antiqua"/>
          <w:sz w:val="24"/>
          <w:szCs w:val="24"/>
          <w:vertAlign w:val="superscript"/>
          <w:lang w:eastAsia="zh-CN"/>
        </w:rPr>
        <w:t>[49]</w:t>
      </w:r>
      <w:r w:rsidRPr="00074190">
        <w:rPr>
          <w:rFonts w:ascii="Book Antiqua" w:eastAsia="Book Antiqua" w:hAnsi="Book Antiqua" w:cs="Book Antiqua"/>
          <w:sz w:val="24"/>
          <w:szCs w:val="24"/>
        </w:rPr>
        <w:t>. Other studies have described the presentation being between 3.3- 5.9 mo</w:t>
      </w:r>
      <w:r w:rsidR="004F54FD" w:rsidRPr="00074190">
        <w:rPr>
          <w:rFonts w:ascii="Book Antiqua" w:eastAsia="Book Antiqua" w:hAnsi="Book Antiqua" w:cs="Book Antiqua"/>
          <w:sz w:val="24"/>
          <w:szCs w:val="24"/>
        </w:rPr>
        <w:t>, with a median of 4.1 mo</w:t>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"10.1002/lt.21165", "ISBN" : "0031503616", "ISSN" : "15276465", "PMID" : "17457935", "abstract" : "Nonanastomotic biliary strictures (NAS) after orthotopic liver transplantation (OLT) are associated with high retransplant rates. The aim of the present study was to describe the treatment of and identify risk factors for radiological progression of bile duct abnormalities, recurrent cholangitis, biliary cirrhosis, and retransplantation in patients with NAS. We retrospectively studied 81 cases of NAS. Strictures were classified according to severity and location. Management of strictures was recorded. Possible prognostic factors for bacterial cholangitis, radiological progression of strictures, development of severe fibrosis/cirrhosis, graft survival, and patient survival were evaluated. Median follow-up after OLT was 7.9 years. NAS were most prevalent in the extrahepatic bile duct. Twenty-eight patients (35%) underwent some kind of interventional treatment, leading to a marked improvement in biochemistry. Progression of disease was noted in 68% of cases with radiological follow-up. Radiological progression was more prevalent in patients with early NAS and one or more episodes of bacterial cholangitis. Recurrent bacterial cholangitis (&gt;3 episodes) was more prevalent in patients with a hepaticojejunostomy. Severe fibrosis or cirrhosis developed in 23 cases, especially in cases with biliary abnormalities in the periphery of the liver. Graft survival, but not patient survival, was influenced by the presence of NAS. Thirteen patients (16%) were retransplanted for NAS. In conclusion, especially patients with a hepaticojejunostomy, those with an early diagnosis of NAS, and those with NAS presenting at the level of the peripheral branches of the biliary tree, are at risk for progressive disease with severe outcome.", "author" : [ { "dropping-particle" : "", "family" : "Verdonk", "given" : "Robert C.", "non-dropping-particle" : "", "parse-names" : false, "suffix" : "" }, { "dropping-particle" : "", "family" : "Buis", "given" : "Carlijn I.", "non-dropping-particle" : "", "parse-names" : false, "suffix" : "" }, { "dropping-particle" : "", "family" : "Jagt", "given" : "Eric J.", "non-dropping-particle" : "van der", "parse-names" : false, "suffix" : "" }, { "dropping-particle" : "", "family" : "Gouw", "given" : "A. S H", "non-dropping-particle" : "", "parse-names" : false, "suffix" : "" }, { "dropping-particle" : "", "family" : "Limburg", "given" : "Abraham J.", "non-dropping-particle" : "", "parse-names" : false, "suffix" : "" }, { "dropping-particle" : "", "family" : "Slooff", "given" : "M. J H", "non-dropping-particle" : "", "parse-names" : false, "suffix" : "" }, { "dropping-particle" : "", "family" : "Kleibeuker", "given" : "Jan H.", "non-dropping-particle" : "", "parse-names" : false, "suffix" : "" }, { "dropping-particle" : "", "family" : "Porte", "given" : "Robert J.", "non-dropping-particle" : "", "parse-names" : false, "suffix" : "" }, { "dropping-particle" : "", "family" : "Haagsma", "given" : "Elizabeth B.", "non-dropping-particle" : "", "parse-names" : false, "suffix" : "" } ], "container-title" : "Liver Transplantation", "id" : "ITEM-1", "issued" : { "date-parts" : [ [ "2007" ] ] }, "page" : "725-732", "title" : "Nonanastomotic biliary strictures after liver transplantation, part 2: Management, outcome, and risk factors for disease progression", "type" : "article-journal", "volume" : "13" }, "uris" : [ "http://www.mendeley.com/documents/?uuid=bfec514b-fd16-499a-99f5-5ac45a816c23" ] } ], "mendeley" : { "formattedCitation" : "&lt;sup&gt;55&lt;/sup&gt;", "plainTextFormattedCitation" : "55", "previouslyFormattedCitation" : "&lt;sup&gt;55&lt;/sup&gt;"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55</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"10.1002/lt.20644", "ISSN" : "1527-6465", "PMID" : "16482553", "abstract" : "Biliary strictures are one of the most common complications following liver transplantation (LT), with an incidence of 5.8-34%. Endoscopic techniques have been successfully used to treat biliary complications; however, the long-term efficacy and safety of this treatment option has not yet been fully elucidated. This prospective study was performed to determine the efficacy and safety of endoscopic management of biliary complications after LT and its impact on long-term patient and graft survival. Biliary strictures were suspected in the presence of elevated liver parameters and/or abnormal abdominal sonography and subsequently diagnosed by endoscopic retrograde cholangiography (ERC). The mean follow-up was 39.8 (range, 0.3-98.2) months after first ERC. Between October 1992 and December 2003, a total of 515 patients underwent LT. Biliary complications were diagnosed in 84 patients (16.3 %). Anastomotic strictures (AS) alone were found in 65 (12.6%) and nonanastomotic strictures (NAS) in 19 patients (3.7%). Long-term success was observed in 77% of patients with AS. In patients with NAS, partial long-term responses could be achieved in 63% of patients. Five patients (6.2%) required a percutaneous and 6 (7.4%) patients a surgical approach. In conclusion, the long-term outcome for patients with post-liver transplant biliary strictures after endoscopic treatment is excellent, especially for patients with AS. Development of NAS reduces graft but not patient survival after endoscopic therapy.", "author" : [ { "dropping-particle" : "", "family" : "Graziadei", "given" : "Ivo W", "non-dropping-particle" : "", "parse-names" : false, "suffix" : "" }, { "dropping-particle" : "", "family" : "Schwaighofer", "given" : "Hubert", "non-dropping-particle" : "", "parse-names" : false, "suffix" : "" }, { "dropping-particle" : "", "family" : "Koch", "given" : "Robert", "non-dropping-particle" : "", "parse-names" : false, "suffix" : "" }, { "dropping-particle" : "", "family" : "Nachbaur", "given" : "Karin", "non-dropping-particle" : "", "parse-names" : false, "suffix" : "" }, { "dropping-particle" : "", "family" : "Koenigsrainer", "given" : "Alfred", "non-dropping-particle" : "", "parse-names" : false, "suffix" : "" }, { "dropping-particle" : "", "family" : "Margreiter", "given" : "Raimund", "non-dropping-particle" : "", "parse-names" : false, "suffix" : "" }, { "dropping-particle" : "", "family" : "Vogel", "given" : "Wolfgang", "non-dropping-particle" : "", "parse-names" : false, "suffix" : "" } ], "container-title" : "Liver transplantation : official publication of the American Association for the Study of Liver Diseases and the International Liver Transplantation Society", "id" : "ITEM-1", "issue" : "5", "issued" : { "date-parts" : [ [ "2006", "5" ] ] }, "page" : "718-25", "title" : "Long-term outcome of endoscopic treatment of biliary strictures after liver transplantation.", "type" : "article-journal", "volume" : "12" }, "uris" : [ "http://www.mendeley.com/documents/?uuid=94e32bcb-dfe7-486b-82b2-080ac04c1dcc" ] } ], "mendeley" : { "formattedCitation" : "&lt;sup&gt;56&lt;/sup&gt;", "plainTextFormattedCitation" : "56", "previouslyFormattedCitation" : "&lt;sup&gt;56&lt;/sup&gt;"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56</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Non-anastomotic strictures present in the same way as AS with elevated cholestatic liver enzymes, abdominal pain, pruritus or cholangitis. Biliary ductal dilatation may also be seen incidentally on imaging. Studies have suggested a variation in the time to presentation with NAS secondary to ischemic causes presenting before 1 year and NAS secondary to immunological causes p</w:t>
      </w:r>
      <w:r w:rsidR="004F54FD" w:rsidRPr="00074190">
        <w:rPr>
          <w:rFonts w:ascii="Book Antiqua" w:eastAsia="Book Antiqua" w:hAnsi="Book Antiqua" w:cs="Book Antiqua"/>
          <w:sz w:val="24"/>
          <w:szCs w:val="24"/>
        </w:rPr>
        <w:t>resenting after 1 year</w:t>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"10.1002/lt.21165", "ISBN" : "0031503616", "ISSN" : "15276465", "PMID" : "17457935", "abstract" : "Nonanastomotic biliary strictures (NAS) after orthotopic liver transplantation (OLT) are associated with high retransplant rates. The aim of the present study was to describe the treatment of and identify risk factors for radiological progression of bile duct abnormalities, recurrent cholangitis, biliary cirrhosis, and retransplantation in patients with NAS. We retrospectively studied 81 cases of NAS. Strictures were classified according to severity and location. Management of strictures was recorded. Possible prognostic factors for bacterial cholangitis, radiological progression of strictures, development of severe fibrosis/cirrhosis, graft survival, and patient survival were evaluated. Median follow-up after OLT was 7.9 years. NAS were most prevalent in the extrahepatic bile duct. Twenty-eight patients (35%) underwent some kind of interventional treatment, leading to a marked improvement in biochemistry. Progression of disease was noted in 68% of cases with radiological follow-up. Radiological progression was more prevalent in patients with early NAS and one or more episodes of bacterial cholangitis. Recurrent bacterial cholangitis (&gt;3 episodes) was more prevalent in patients with a hepaticojejunostomy. Severe fibrosis or cirrhosis developed in 23 cases, especially in cases with biliary abnormalities in the periphery of the liver. Graft survival, but not patient survival, was influenced by the presence of NAS. Thirteen patients (16%) were retransplanted for NAS. In conclusion, especially patients with a hepaticojejunostomy, those with an early diagnosis of NAS, and those with NAS presenting at the level of the peripheral branches of the biliary tree, are at risk for progressive disease with severe outcome.", "author" : [ { "dropping-particle" : "", "family" : "Verdonk", "given" : "Robert C.", "non-dropping-particle" : "", "parse-names" : false, "suffix" : "" }, { "dropping-particle" : "", "family" : "Buis", "given" : "Carlijn I.", "non-dropping-particle" : "", "parse-names" : false, "suffix" : "" }, { "dropping-particle" : "", "family" : "Jagt", "given" : "Eric J.", "non-dropping-particle" : "van der", "parse-names" : false, "suffix" : "" }, { "dropping-particle" : "", "family" : "Gouw", "given" : "A. S H", "non-dropping-particle" : "", "parse-names" : false, "suffix" : "" }, { "dropping-particle" : "", "family" : "Limburg", "given" : "Abraham J.", "non-dropping-particle" : "", "parse-names" : false, "suffix" : "" }, { "dropping-particle" : "", "family" : "Slooff", "given" : "M. J H", "non-dropping-particle" : "", "parse-names" : false, "suffix" : "" }, { "dropping-particle" : "", "family" : "Kleibeuker", "given" : "Jan H.", "non-dropping-particle" : "", "parse-names" : false, "suffix" : "" }, { "dropping-particle" : "", "family" : "Porte", "given" : "Robert J.", "non-dropping-particle" : "", "parse-names" : false, "suffix" : "" }, { "dropping-particle" : "", "family" : "Haagsma", "given" : "Elizabeth B.", "non-dropping-particle" : "", "parse-names" : false, "suffix" : "" } ], "container-title" : "Liver Transplantation", "id" : "ITEM-1", "issued" : { "date-parts" : [ [ "2007" ] ] }, "page" : "725-732", "title" : "Nonanastomotic biliary strictures after liver transplantation, part 2: Management, outcome, and risk factors for disease progression", "type" : "article-journal", "volume" : "13" }, "uris" : [ "http://www.mendeley.com/documents/?uuid=bfec514b-fd16-499a-99f5-5ac45a816c23" ] } ], "mendeley" : { "formattedCitation" : "&lt;sup&gt;55&lt;/sup&gt;", "plainTextFormattedCitation" : "55", "previouslyFormattedCitation" : "&lt;sup&gt;55&lt;/sup&gt;"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55</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Initial evaluation may include liver U</w:t>
      </w:r>
      <w:r w:rsidR="004F54FD" w:rsidRPr="00074190">
        <w:rPr>
          <w:rFonts w:ascii="Book Antiqua" w:hAnsi="Book Antiqua" w:cs="Book Antiqua"/>
          <w:sz w:val="24"/>
          <w:szCs w:val="24"/>
          <w:lang w:eastAsia="zh-CN"/>
        </w:rPr>
        <w:t>nited States</w:t>
      </w:r>
      <w:r w:rsidRPr="00074190">
        <w:rPr>
          <w:rFonts w:ascii="Book Antiqua" w:eastAsia="Book Antiqua" w:hAnsi="Book Antiqua" w:cs="Book Antiqua"/>
          <w:sz w:val="24"/>
          <w:szCs w:val="24"/>
        </w:rPr>
        <w:t xml:space="preserve"> with Doppler examination of the vasculature. Ho</w:t>
      </w:r>
      <w:r w:rsidR="004F54FD" w:rsidRPr="00074190">
        <w:rPr>
          <w:rFonts w:ascii="Book Antiqua" w:eastAsia="Book Antiqua" w:hAnsi="Book Antiqua" w:cs="Book Antiqua"/>
          <w:sz w:val="24"/>
          <w:szCs w:val="24"/>
        </w:rPr>
        <w:t>wever, this method has only 33</w:t>
      </w:r>
      <w:r w:rsidR="004F54FD" w:rsidRPr="00074190">
        <w:rPr>
          <w:rFonts w:ascii="Book Antiqua" w:hAnsi="Book Antiqua" w:cs="Book Antiqua"/>
          <w:sz w:val="24"/>
          <w:szCs w:val="24"/>
          <w:lang w:eastAsia="zh-CN"/>
        </w:rPr>
        <w:t>%</w:t>
      </w:r>
      <w:r w:rsidR="004F54FD" w:rsidRPr="00074190">
        <w:rPr>
          <w:rFonts w:ascii="Book Antiqua" w:eastAsia="Book Antiqua" w:hAnsi="Book Antiqua" w:cs="Book Antiqua"/>
          <w:sz w:val="24"/>
          <w:szCs w:val="24"/>
        </w:rPr>
        <w:t>-66</w:t>
      </w:r>
      <w:r w:rsidRPr="00074190">
        <w:rPr>
          <w:rFonts w:ascii="Book Antiqua" w:eastAsia="Book Antiqua" w:hAnsi="Book Antiqua" w:cs="Book Antiqua"/>
          <w:sz w:val="24"/>
          <w:szCs w:val="24"/>
        </w:rPr>
        <w:t>% sensitivity and may not be suitable for detecting biliary complications in liver transplant recipients.  Magnetic resonance cholangiogram (MRC) has good sensitivity and specificity and is the best initial non- invasive diagnostic test. Endoscopic retrograde cholangiogram allows simultaneous diagnosis and intervention and is less invasive th</w:t>
      </w:r>
      <w:r w:rsidR="004F54FD" w:rsidRPr="00074190">
        <w:rPr>
          <w:rFonts w:ascii="Book Antiqua" w:eastAsia="Book Antiqua" w:hAnsi="Book Antiqua" w:cs="Book Antiqua"/>
          <w:sz w:val="24"/>
          <w:szCs w:val="24"/>
        </w:rPr>
        <w:t>an percutaneous cholangiography</w:t>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"10.1002/lt.21509", "ISSN" : "1527-6473", "PMID" : "18508368", "abstract" : "Biliary complications are still the major source of morbidity for liver transplant recipients. The reported incidence of biliary strictures is 5%-15% after deceased donor liver transplantation and 28%-32% after right-lobe live donor surgery. Presentation is usually within the first year, but the incidence is known to increase with longer follow-up. The anastomotic variant is due to technical factors, whereas the nonanastomotic form is due to immunological and ischemic events, which later may lead to graft loss. Endoscopic management of anastomotic strictures achieves a success rate of 70%-100%; it drops to 50%-75% for nonanastomotic strictures with a higher recurrence rate. Results of endoscopic maneuvers are disappointing for biliary strictures after live donor liver transplantation, and the success rate is 60%-75% for anastomotic strictures and 25%-33% for the nonanastomotic variant. Preventive strategies in the cadaveric donor include the standardization of the type of anastomosis and maintenance of a vascularized ductal stump. In right-lobe live donor livers, donor liver duct harvesting also involves a major risk. The concept of high hilar intrahepatic Glissonian dissection, dissecting the artery and the duct as one unit, use of microsurgical techniques for smaller ducts, use of ductoplasty, and flexibility in the performance of double ductal anastomosis are the critical components of the preventive strategies in the recipient. In the case of live donors, judicious use of intraoperative cholangiograms, minimal dissection of the hilar plate, and perpendicular transection of the duct constitute the underlying principals for obtaining a vascularized duct.", "author" : [ { "dropping-particle" : "", "family" : "Sharma", "given" : "Sharad", "non-dropping-particle" : "", "parse-names" : false, "suffix" : "" }, { "dropping-particle" : "", "family" : "Gurakar", "given" : "Ahmet", "non-dropping-particle" : "", "parse-names" : false, "suffix" : "" }, { "dropping-particle" : "", "family" : "Jabbour", "given" : "Nicolas", "non-dropping-particle" : "", "parse-names" : false, "suffix" : "" } ], "container-title" : "Liver transplantation : official publication of the American Association for the Study of Liver Diseases and the International Liver Transplantation Society", "id" : "ITEM-1", "issue" : "6", "issued" : { "date-parts" : [ [ "2008", "6" ] ] }, "page" : "759-69", "title" : "Biliary strictures following liver transplantation: past, present and preventive strategies.", "type" : "article-journal", "volume" : "14" }, "uris" : [ "http://www.mendeley.com/documents/?uuid=17929b2b-f096-4a25-a6e2-bef989875bd4" ] } ], "mendeley" : { "formattedCitation" : "&lt;sup&gt;57&lt;/sup&gt;", "plainTextFormattedCitation" : "57", "previouslyFormattedCitation" : "&lt;sup&gt;57&lt;/sup&gt;"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57</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xml:space="preserve">. Rarely, a liver biopsy may be required to differentiate rejection or CMV infection in a patient with elevated cholestatic enzymes and concern for biliary obstruction due to NAS. The ERCP findings in NAS include pre-stenotic dilatation and mucosal narrowing.  Non-anastomotic strictures tend to be multiple and longer than AS and less amenable to endoscopic </w:t>
      </w:r>
      <w:r w:rsidR="007A2D1E" w:rsidRPr="00074190">
        <w:rPr>
          <w:rFonts w:ascii="Book Antiqua" w:eastAsia="Book Antiqua" w:hAnsi="Book Antiqua" w:cs="Book Antiqua"/>
          <w:sz w:val="24"/>
          <w:szCs w:val="24"/>
        </w:rPr>
        <w:t>treatment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hAnsi="Book Antiqua" w:cs="Book Antiqua"/>
          <w:sz w:val="24"/>
          <w:szCs w:val="24"/>
          <w:lang w:eastAsia="zh-CN"/>
        </w:rPr>
      </w:pPr>
      <w:r w:rsidRPr="00074190">
        <w:rPr>
          <w:rFonts w:ascii="Book Antiqua" w:eastAsia="Book Antiqua" w:hAnsi="Book Antiqua" w:cs="Book Antiqua"/>
          <w:sz w:val="24"/>
          <w:szCs w:val="24"/>
        </w:rPr>
        <w:t xml:space="preserve">Endoscopic management for NAS includes balloon dilatation of all accessible strictures with plastic stent placement and replacement every few months and cleaning out of biliary sludge and casts that may be present in the damaged duct. The success of endoscopic management of NAS in LDLT has been disappointing, </w:t>
      </w:r>
      <w:r w:rsidR="004F54FD" w:rsidRPr="00074190">
        <w:rPr>
          <w:rFonts w:ascii="Book Antiqua" w:eastAsia="Book Antiqua" w:hAnsi="Book Antiqua" w:cs="Book Antiqua"/>
          <w:sz w:val="24"/>
          <w:szCs w:val="24"/>
        </w:rPr>
        <w:t>with a success rate of 25</w:t>
      </w:r>
      <w:r w:rsidR="004F54FD" w:rsidRPr="00074190">
        <w:rPr>
          <w:rFonts w:ascii="Book Antiqua" w:hAnsi="Book Antiqua" w:cs="Book Antiqua"/>
          <w:sz w:val="24"/>
          <w:szCs w:val="24"/>
          <w:lang w:eastAsia="zh-CN"/>
        </w:rPr>
        <w:t>%</w:t>
      </w:r>
      <w:r w:rsidR="004F54FD" w:rsidRPr="00074190">
        <w:rPr>
          <w:rFonts w:ascii="Book Antiqua" w:eastAsia="Book Antiqua" w:hAnsi="Book Antiqua" w:cs="Book Antiqua"/>
          <w:sz w:val="24"/>
          <w:szCs w:val="24"/>
        </w:rPr>
        <w:t>-30%</w:t>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"10.1007/s00534-005-1084-y", "ISSN" : "0944-1166", "PMID" : "17139423", "abstract" : "BACKGROUND/PURPOSE: The aims of this study were to characterize the features of the biliary complications that occur after right-lobe living-donor liver transplantation (RL-LDLT) with duct-to-duct biliary anastomosis, and to evaluate the efficacy of treating biliary complications endoscopically.\n\nMETHODS: The records of 273 consecutive patients who underwent RL-LDLT with duct-to-duct biliary anastomosis from July 1999 through July 2005 at Kyoto University Hospital were reviewed to determine the overall incidence of postoperative biliary complications and the outcome of endoscopic repair of those complications.\n\nRESULTS: Biliary complications occurred in 93 (34.1%) of the patients. These complications were: 80 biliary strictures (75 anastomotic and 5 nonanastomotic) and 16 biliary leakages (5 patients with biliary leakage also had a biliary stricture); most (72%) of the anastomotic strictures were complex (i.e., fork-shaped or trident-shaped). The strictures and leakages were repaired by the endoscopic placement of multiple inside stents above the sphincter of Oddi, and by nasobiliary drainage, respectively. The procedure was successful in repairing 51 (68.0%) of the anastomotic strictures and 8 (50.0%) of the biliary leakages.\n\nCONCLUSIONS: Endoscopic stenting of the bile ducts is efficacious in treating biliary complications related to RL-LDLT with duct-to-duct biliary anastomosis and the stenting should be attempted before surgical revision of strictures and leakages.", "author" : [ { "dropping-particle" : "", "family" : "Yazumi", "given" : "Shujiro", "non-dropping-particle" : "", "parse-names" : false, "suffix" : "" }, { "dropping-particle" : "", "family" : "Yoshimoto", "given" : "Takanobu", "non-dropping-particle" : "", "parse-names" : false, "suffix" : "" }, { "dropping-particle" : "", "family" : "Hisatsune", "given" : "Hiroshi", "non-dropping-particle" : "", "parse-names" : false, "suffix" : "" }, { "dropping-particle" : "", "family" : "Hasegawa", "given" : "Kazunori", "non-dropping-particle" : "", "parse-names" : false, "suffix" : "" }, { "dropping-particle" : "", "family" : "Kida", "given" : "Masaya", "non-dropping-particle" : "", "parse-names" : false, "suffix" : "" }, { "dropping-particle" : "", "family" : "Tada", "given" : "Shinsuke", "non-dropping-particle" : "", "parse-names" : false, "suffix" : "" }, { "dropping-particle" : "", "family" : "Uenoyama", "given" : "Yoshito", "non-dropping-particle" : "", "parse-names" : false, "suffix" : "" }, { "dropping-particle" : "", "family" : "Yamauchi", "given" : "Junichi", "non-dropping-particle" : "", "parse-names" : false, "suffix" : "" }, { "dropping-particle" : "", "family" : "Shio", "given" : "Seiji", "non-dropping-particle" : "", "parse-names" : false, "suffix" : "" }, { "dropping-particle" : "", "family" : "Kasahara", "given" : "Mureo", "non-dropping-particle" : "", "parse-names" : false, "suffix" : "" }, { "dropping-particle" : "", "family" : "Ogawa", "given" : "Kohei", "non-dropping-particle" : "", "parse-names" : false, "suffix" : "" }, { "dropping-particle" : "", "family" : "Egawa", "given" : "Hiroto", "non-dropping-particle" : "", "parse-names" : false, "suffix" : "" }, { "dropping-particle" : "", "family" : "Tanaka", "given" : "Koichi", "non-dropping-particle" : "", "parse-names" : false, "suffix" : "" }, { "dropping-particle" : "", "family" : "Chiba", "given" : "Tsutomu", "non-dropping-particle" : "", "parse-names" : false, "suffix" : "" } ], "container-title" : "Journal of hepato-biliary-pancreatic surgery", "id" : "ITEM-1", "issue" : "6", "issued" : { "date-parts" : [ [ "2006", "1" ] ] }, "page" : "502-10", "title" : "Endoscopic treatment of biliary complications after right-lobe living-donor liver transplantation with duct-to-duct biliary anastomosis.", "type" : "article-journal", "volume" : "13" }, "uris" : [ "http://www.mendeley.com/documents/?uuid=94c50d7a-ed55-43ff-a767-f2ab13683ea2" ] } ], "mendeley" : { "formattedCitation" : "&lt;sup&gt;34&lt;/sup&gt;", "plainTextFormattedCitation" : "34", "previouslyFormattedCitation" : "&lt;sup&gt;34&lt;/sup&gt;"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34</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"10.1007/s00535-005-1698-5", "ISSN" : "0944-1174", "PMID" : "16211341", "abstract" : "Right-lobe living donor liver transplantation (RL-LDLT) has become an acceptable procedure for adult patients with end-stage liver disease in this decade. However, biliary complications in RL-LDLT remain a serious problem: the incidence of anastomotic biliary leakage and stricture after RL-LDLT is reported to be 4.7%-18.2% and 8.3%-31.7%, respectively. The incidence varies according to the type of biliary reconstructions between Roux-en-Y hepaticojejunostomy and duct-to-duct biliary reconstruction. The anatomical biliary diversity of a right-lobe graft makes it difficult to reconstruct the biliary system. Indeed, most biliary strictures in patients with duct-to-duct reconstruction develop in multibranched fashion. In this regard, endoscopic biliary stenting appears to be efficacious for treating multibranched biliary strictures because multiple stenting permits the drainage of each segmental branch of the stricture. In this review, we describe various aspects of biliary complications occurring in RL-LDLT and their treatment.", "author" : [ { "dropping-particle" : "", "family" : "Yazumi", "given" : "Shujiro", "non-dropping-particle" : "", "parse-names" : false, "suffix" : "" }, { "dropping-particle" : "", "family" : "Chiba", "given" : "Tsutomu", "non-dropping-particle" : "", "parse-names" : false, "suffix" : "" } ], "container-title" : "Journal of gastroenterology", "id" : "ITEM-1", "issue" : "9", "issued" : { "date-parts" : [ [ "2005" ] ] }, "page" : "861-865", "title" : "Biliary complications after a right-lobe living donor liver transplantation.", "type" : "article-journal", "volume" : "40" }, "uris" : [ "http://www.mendeley.com/documents/?uuid=5ad0f293-bcf0-46da-8e68-1f930300933a" ] } ], "mendeley" : { "formattedCitation" : "&lt;sup&gt;58&lt;/sup&gt;", "plainTextFormattedCitation" : "58", "previouslyFormattedCitation" : "&lt;sup&gt;58&lt;/sup&gt;"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w:t>
      </w:r>
      <w:r w:rsidR="004F54FD" w:rsidRPr="00074190">
        <w:rPr>
          <w:rFonts w:ascii="Book Antiqua" w:hAnsi="Book Antiqua" w:cs="Book Antiqua"/>
          <w:noProof/>
          <w:sz w:val="24"/>
          <w:szCs w:val="24"/>
          <w:vertAlign w:val="superscript"/>
          <w:lang w:eastAsia="zh-CN"/>
        </w:rPr>
        <w:t>7</w:t>
      </w:r>
      <w:r w:rsidR="00535B2B" w:rsidRPr="00074190">
        <w:rPr>
          <w:rFonts w:ascii="Book Antiqua" w:eastAsia="Book Antiqua" w:hAnsi="Book Antiqua" w:cs="Book Antiqua"/>
          <w:sz w:val="24"/>
          <w:szCs w:val="24"/>
          <w:vertAlign w:val="superscript"/>
        </w:rPr>
        <w:fldChar w:fldCharType="end"/>
      </w:r>
      <w:r w:rsidR="004F54FD" w:rsidRPr="00074190">
        <w:rPr>
          <w:rFonts w:ascii="Book Antiqua" w:hAnsi="Book Antiqua" w:cs="Book Antiqua"/>
          <w:sz w:val="24"/>
          <w:szCs w:val="24"/>
          <w:vertAlign w:val="superscript"/>
          <w:lang w:eastAsia="zh-CN"/>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"10.1016/j.gie.2009.01.033", "ISSN" : "1097-6779", "PMID" : "19699984", "author" : [ { "dropping-particle" : "", "family" : "Tsujino", "given" : "Takeshi", "non-dropping-particle" : "", "parse-names" : false, "suffix" : "" }, { "dropping-particle" : "", "family" : "Sugawara", "given" : "Yasuhiko", "non-dropping-particle" : "", "parse-names" : false, "suffix" : "" }, { "dropping-particle" : "", "family" : "Omata", "given" : "Masao", "non-dropping-particle" : "", "parse-names" : false, "suffix" : "" } ], "container-title" : "Gastrointestinal endoscopy", "id" : "ITEM-1", "issue" : "3", "issued" : { "date-parts" : [ [ "2009", "9" ] ] }, "page" : "599-600; author reply 600-1", "title" : "Management of biliary strictures after living donor liver transplantation.", "type" : "article-journal", "volume" : "70" }, "uris" : [ "http://www.mendeley.com/documents/?uuid=df9e37f8-e209-4302-aacf-6f7e7d696ec7" ] } ], "mendeley" : { "formattedCitation" : "&lt;sup&gt;59&lt;/sup&gt;", "plainTextFormattedCitation" : "59", "previouslyFormattedCitation" : "&lt;sup&gt;59&lt;/sup&gt;"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59</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which is below that for NAS seen with DDLT or for AS in LDLT. Percutaneous intervention</w:t>
      </w:r>
      <w:r w:rsidR="004F54FD" w:rsidRPr="00074190">
        <w:rPr>
          <w:rFonts w:ascii="Book Antiqua" w:eastAsia="Book Antiqua" w:hAnsi="Book Antiqua" w:cs="Book Antiqua"/>
          <w:sz w:val="24"/>
          <w:szCs w:val="24"/>
        </w:rPr>
        <w:t>s have a success rate of 40</w:t>
      </w:r>
      <w:r w:rsidR="004F54FD" w:rsidRPr="00074190">
        <w:rPr>
          <w:rFonts w:ascii="Book Antiqua" w:hAnsi="Book Antiqua" w:cs="Book Antiqua"/>
          <w:sz w:val="24"/>
          <w:szCs w:val="24"/>
          <w:lang w:eastAsia="zh-CN"/>
        </w:rPr>
        <w:t>%</w:t>
      </w:r>
      <w:r w:rsidR="004F54FD" w:rsidRPr="00074190">
        <w:rPr>
          <w:rFonts w:ascii="Book Antiqua" w:eastAsia="Book Antiqua" w:hAnsi="Book Antiqua" w:cs="Book Antiqua"/>
          <w:sz w:val="24"/>
          <w:szCs w:val="24"/>
        </w:rPr>
        <w:t>-85</w:t>
      </w:r>
      <w:r w:rsidRPr="00074190">
        <w:rPr>
          <w:rFonts w:ascii="Book Antiqua" w:eastAsia="Book Antiqua" w:hAnsi="Book Antiqua" w:cs="Book Antiqua"/>
          <w:sz w:val="24"/>
          <w:szCs w:val="24"/>
        </w:rPr>
        <w:t xml:space="preserve">%, but are more invasive and associated with hemorrhagic complications and bile leaks. Non-anastomotic strictures require regular surveillance. Long term outcomes of NAS include recurrent cholangitis, development of biliary cirrhosis and decreased graft survival. Endoscopic and percutaneous methods are often only a temporary solution and re-transplantation has to be considered </w:t>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"10.1111/j.1600-6143.2006.01601.x", "ISSN" : "1600-6135", "PMID" : "17227565", "abstract" : "Biliary strictures remain the most challenging aspect of adult right lobe living donor liver transplantation (RLDLT). Between 04/2000 and 10/2005, 130 consecutive RLDLTs were performed in our center and followed prospectively. Median follow-up was 23 months (range 3-67) and 1-year graft and patient survival was 85% and 87%, respectively. Overall incidence of biliary leaks (n = 19) or strictures (n = 22) was 32% (41/128) in 33 patients (26%). A duct-to-duct (D-D) or Roux-en-Y (R-Y) anastomosis were performed equally (n = 64 each) with no difference in stricture rate (p = 0.31). The use of ductoplasty increased the number of grafts with a single duct for anastomosis and reduced the biliary complication rate compared to grafts &gt;/=2 ducts (17% vs. 46%; p = 0.02). Independent risk factors for strictures included older donor age and previous history of a bile leak. All strictures were managed nonsurgically initially but four patients ultimately required conversion from D-D to R-Y. Ninety-six percent (123/128) of patients are currently free of any biliary complications. D-D anastomosis is safe after RLDLT and provides access for future endoscopic therapy in cases of leak or stricture. When presented with multiple bile ducts, ductoplasty should be considered to reduce the potential chance of stricture.", "author" : [ { "dropping-particle" : "", "family" : "Shah", "given" : "S A", "non-dropping-particle" : "", "parse-names" : false, "suffix" : "" }, { "dropping-particle" : "", "family" : "Grant", "given" : "D R", "non-dropping-particle" : "", "parse-names" : false, "suffix" : "" }, { "dropping-particle" : "", "family" : "McGilvray", "given" : "I D", "non-dropping-particle" : "", "parse-names" : false, "suffix" : "" }, { "dropping-particle" : "", "family" : "Greig", "given" : "P D", "non-dropping-particle" : "", "parse-names" : false, "suffix" : "" }, { "dropping-particle" : "", "family" : "Selzner", "given" : "M", "non-dropping-particle" : "", "parse-names" : false, "suffix" : "" }, { "dropping-particle" : "", "family" : "Lilly", "given" : "L B", "non-dropping-particle" : "", "parse-names" : false, "suffix" : "" }, { "dropping-particle" : "", "family" : "Girgrah", "given" : "N", "non-dropping-particle" : "", "parse-names" : false, "suffix" : "" }, { "dropping-particle" : "", "family" : "Levy", "given" : "G A", "non-dropping-particle" : "", "parse-names" : false, "suffix" : "" }, { "dropping-particle" : "", "family" : "Cattral", "given" : "M S", "non-dropping-particle" : "", "parse-names" : false, "suffix" : "" } ], "container-title" : "American journal of transplantation : official journal of the American Society of Transplantation and the American Society of Transplant Surgeons", "id" : "ITEM-1", "issue" : "1", "issued" : { "date-parts" : [ [ "2007", "1" ] ] }, "page" : "161-7", "title" : "Biliary strictures in 130 consecutive right lobe living donor liver transplant recipients: results of a Western center.", "type" : "article-journal", "volume" : "7" }, "uris" : [ "http://www.mendeley.com/documents/?uuid=bd619b18-e4cd-4ae5-8c65-b3344ac10e84" ] } ], "mendeley" : { "formattedCitation" : "&lt;sup&gt;27&lt;/sup&gt;", "plainTextFormattedCitation" : "27", "previouslyFormattedCitation" : "&lt;sup&gt;27&lt;/sup&gt;"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27</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"ISSN" : "1600-6135", "PMID" : "12814481", "abstract" : "Non-anastomotic biliary stricture (NAS) formation is a major complication of liver transplantation. We prospectively determined the time to development of responsiveness to treatment, and clinical outcomes following NAS formation. In addition, an extensive analysis of the association of recipient, donor, and clinical variables with NAS formation was performed. A total of 749 consecutive patients was studied in a prospective, protocol-based fashion. Seventy-two patients (9.6%) developed NAS at a mean of 23.6 +/- 34.2 weeks post-transplantation. Non-anastomotic biliary stricture formation resolved in only 6% of affected patients. Although patient survival was not affected, retransplantation and graft loss rates were significantly greater in recipients who developed NAS. In contrast to previous reports, a pretransplant diagnosis of HCV was associated with a low frequency of NAS formation. The incidence of NAS was independently associated with pretransplant diagnoses of PSC and autoimmune hepatitis. Hepatic artery thrombosis, and prolonged warm and cold ischemia times were also independent risk factors for NAS formation. We conclude that NAS developed in approximately 10% of primary liver transplant recipients. A pretransplant diagnosis of autoimmune hepatitis has been identified as a novel independent risk factor for NAS formation. Development of NAS significantly attenuates graft but not patient survival.", "author" : [ { "dropping-particle" : "", "family" : "Guichelaar", "given" : "Maureen M J", "non-dropping-particle" : "", "parse-names" : false, "suffix" : "" }, { "dropping-particle" : "", "family" : "Benson", "given" : "Joanne T", "non-dropping-particle" : "", "parse-names" : false, "suffix" : "" }, { "dropping-particle" : "", "family" : "Malinchoc", "given" : "Michael", "non-dropping-particle" : "", "parse-names" : false, "suffix" : "" }, { "dropping-particle" : "", "family" : "Krom", "given" : "Ruud A F", "non-dropping-particle" : "", "parse-names" : false, "suffix" : "" }, { "dropping-particle" : "", "family" : "Wiesner", "given" : "Russell H", "non-dropping-particle" : "", "parse-names" : false, "suffix" : "" }, { "dropping-particle" : "", "family" : "Charlton", "given" : "Michael R", "non-dropping-particle" : "", "parse-names" : false, "suffix" : "" } ], "container-title" : "American journal of transplantation : official journal of the American Society of Transplantation and the American Society of Transplant Surgeons", "id" : "ITEM-1", "issue" : "7", "issued" : { "date-parts" : [ [ "2003", "7" ] ] }, "page" : "885-90", "title" : "Risk factors for and clinical course of non-anastomotic biliary strictures after liver transplantation.", "type" : "article-journal", "volume" : "3" }, "uris" : [ "http://www.mendeley.com/documents/?uuid=a215da87-83d3-481f-93e8-db845ba4e1d8" ] } ], "mendeley" : { "formattedCitation" : "&lt;sup&gt;49&lt;/sup&gt;", "plainTextFormattedCitation" : "49", "previouslyFormattedCitation" : "&lt;sup&gt;49&lt;/sup&gt;"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49</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"10.1002/lt.20644", "ISSN" : "1527-6465", "PMID" : "16482553", "abstract" : "Biliary strictures are one of the most common complications following liver transplantation (LT), with an incidence of 5.8-34%. Endoscopic techniques have been successfully used to treat biliary complications; however, the long-term efficacy and safety of this treatment option has not yet been fully elucidated. This prospective study was performed to determine the efficacy and safety of endoscopic management of biliary complications after LT and its impact on long-term patient and graft survival. Biliary strictures were suspected in the presence of elevated liver parameters and/or abnormal abdominal sonography and subsequently diagnosed by endoscopic retrograde cholangiography (ERC). The mean follow-up was 39.8 (range, 0.3-98.2) months after first ERC. Between October 1992 and December 2003, a total of 515 patients underwent LT. Biliary complications were diagnosed in 84 patients (16.3 %). Anastomotic strictures (AS) alone were found in 65 (12.6%) and nonanastomotic strictures (NAS) in 19 patients (3.7%). Long-term success was observed in 77% of patients with AS. In patients with NAS, partial long-term responses could be achieved in 63% of patients. Five patients (6.2%) required a percutaneous and 6 (7.4%) patients a surgical approach. In conclusion, the long-term outcome for patients with post-liver transplant biliary strictures after endoscopic treatment is excellent, especially for patients with AS. Development of NAS reduces graft but not patient survival after endoscopic therapy.", "author" : [ { "dropping-particle" : "", "family" : "Graziadei", "given" : "Ivo W", "non-dropping-particle" : "", "parse-names" : false, "suffix" : "" }, { "dropping-particle" : "", "family" : "Schwaighofer", "given" : "Hubert", "non-dropping-particle" : "", "parse-names" : false, "suffix" : "" }, { "dropping-particle" : "", "family" : "Koch", "given" : "Robert", "non-dropping-particle" : "", "parse-names" : false, "suffix" : "" }, { "dropping-particle" : "", "family" : "Nachbaur", "given" : "Karin", "non-dropping-particle" : "", "parse-names" : false, "suffix" : "" }, { "dropping-particle" : "", "family" : "Koenigsrainer", "given" : "Alfred", "non-dropping-particle" : "", "parse-names" : false, "suffix" : "" }, { "dropping-particle" : "", "family" : "Margreiter", "given" : "Raimund", "non-dropping-particle" : "", "parse-names" : false, "suffix" : "" }, { "dropping-particle" : "", "family" : "Vogel", "given" : "Wolfgang", "non-dropping-particle" : "", "parse-names" : false, "suffix" : "" } ], "container-title" : "Liver transplantation : official publication of the American Association for the Study of Liver Diseases and the International Liver Transplantation Society", "id" : "ITEM-1", "issue" : "5", "issued" : { "date-parts" : [ [ "2006", "5" ] ] }, "page" : "718-25", "title" : "Long-term outcome of endoscopic treatment of biliary strictures after liver transplantation.", "type" : "article-journal", "volume" : "12" }, "uris" : [ "http://www.mendeley.com/documents/?uuid=94e32bcb-dfe7-486b-82b2-080ac04c1dcc" ] } ], "mendeley" : { "formattedCitation" : "&lt;sup&gt;56&lt;/sup&gt;", "plainTextFormattedCitation" : "56", "previouslyFormattedCitation" : "&lt;sup&gt;56&lt;/sup&gt;"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56</w:t>
      </w:r>
      <w:r w:rsidR="00535B2B" w:rsidRPr="00074190">
        <w:rPr>
          <w:rFonts w:ascii="Book Antiqua" w:eastAsia="Book Antiqua" w:hAnsi="Book Antiqua" w:cs="Book Antiqua"/>
          <w:sz w:val="24"/>
          <w:szCs w:val="24"/>
          <w:vertAlign w:val="superscript"/>
        </w:rPr>
        <w:fldChar w:fldCharType="end"/>
      </w:r>
      <w:r w:rsidR="00F818B6"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Biliary complications after LDLT are less likely to respond to endoscopic therapy than in DDLT, so preventive strategies to avoid these are important</w:t>
      </w:r>
      <w:r w:rsidR="004F54FD" w:rsidRPr="00074190">
        <w:rPr>
          <w:rFonts w:ascii="Book Antiqua" w:eastAsia="Book Antiqua" w:hAnsi="Book Antiqua" w:cs="Book Antiqua"/>
          <w:sz w:val="24"/>
          <w:szCs w:val="24"/>
          <w:vertAlign w:val="superscript"/>
        </w:rPr>
        <w:t>[</w:t>
      </w:r>
      <w:r w:rsidR="004F54FD" w:rsidRPr="00074190">
        <w:rPr>
          <w:rFonts w:ascii="Book Antiqua" w:eastAsia="Book Antiqua" w:hAnsi="Book Antiqua" w:cs="Book Antiqua"/>
          <w:sz w:val="24"/>
          <w:szCs w:val="24"/>
          <w:vertAlign w:val="superscript"/>
        </w:rPr>
        <w:fldChar w:fldCharType="begin" w:fldLock="1"/>
      </w:r>
      <w:r w:rsidR="004F54FD" w:rsidRPr="00074190">
        <w:rPr>
          <w:rFonts w:ascii="Book Antiqua" w:eastAsia="Book Antiqua" w:hAnsi="Book Antiqua" w:cs="Book Antiqua"/>
          <w:sz w:val="24"/>
          <w:szCs w:val="24"/>
          <w:vertAlign w:val="superscript"/>
        </w:rPr>
        <w:instrText>ADDIN CSL_CITATION { "citationItems" : [ { "id" : "ITEM-1", "itemData" : { "DOI" : "10.1016/j.gie.2010.09.007", "ISSN" : "1097-6779", "PMID" : "21074761", "abstract" : "BACKGROUND: Biliary tract problems are the most common complications after liver transplantation. ERCP is increasingly being used to address posttransplantation biliary problems.\n\nOBJECTIVE: To identify predictors of endoscopic treatment outcomes in the management of post-liver transplantation complications.\n\nSETTING AND PATIENTS: All adult patients who underwent liver transplantation at the University of California, San Francisco between January 1999 and December 2008 were reviewed.\n\nDESIGN: A multivariate regression analysis.\n\nMAIN OUTCOME MEASUREMENTS: Identification of donor and recipient factors as well as technical considerations that predicted success or failure in the endoscopic management of posttransplantation biliary complications.\n\nRESULTS: In 1062 patients who underwent liver transplantation, there were 224 biliary complications. ERCP was the primary treatment modality and was successful in the majority of patients treated. Patients with biliary complications who had take-back surgery for a nonbiliary indication during the first month after liver transplantation (odds ratio [OR], 0.32; P = .03), particularly for bleeding (OR, 0.18; P = .02), were less likely to respond to endoscopic therapy. Those who received a graft from a donor after cardiac death (OR, 0.15; P = .02) or a living donor (OR, 0.11; P &lt; .01) were also less likely to respond to endoscopic therapy. Take-back surgery for a nonbiliary indication in the first month after liver transplantation was also identified as a novel risk factor for the development of biliary complications (OR, 1.80; P = .02).\n\nLIMITATIONS: Retrospective design.\n\nCONCLUSIONS: ERCP can be used to treat the majority of posttransplantation biliary problems. However, endoscopic therapy is less efficacious in the treatment of complications associated with ischemia.", "author" : [ { "dropping-particle" : "", "family" : "Buxbaum", "given" : "James L", "non-dropping-particle" : "", "parse-names" : false, "suffix" : "" }, { "dropping-particle" : "", "family" : "Biggins", "given" : "Scott W", "non-dropping-particle" : "", "parse-names" : false, "suffix" : "" }, { "dropping-particle" : "", "family" : "Bagatelos", "given" : "Karen C", "non-dropping-particle" : "", "parse-names" : false, "suffix" : "" }, { "dropping-particle" : "", "family" : "Ostroff", "given" : "James W", "non-dropping-particle" : "", "parse-names" : false, "suffix" : "" } ], "container-title" : "Gastrointestinal endoscopy", "id" : "ITEM-1", "issue" : "1", "issued" : { "date-parts" : [ [ "2011", "1", "1" ] ] }, "page" : "37-44", "publisher" : "Elsevier", "title" : "Predictors of endoscopic treatment outcomes in the management of biliary problems after liver transplantation at a high-volume academic center.", "type" : "article-journal", "volume" : "73" }, "uris" : [ "http://www.mendeley.com/documents/?uuid=bee92900-0614-428b-a98a-03ac7bdcf64b" ] } ], "mendeley" : { "formattedCitation" : "&lt;sup&gt;60&lt;/sup&gt;", "plainTextFormattedCitation" : "60", "previouslyFormattedCitation" : "&lt;sup&gt;60&lt;/sup&gt;" }, "properties" : { "noteIndex" : 0 }, "schema" : "https://github.com/citation-style-language/schema/raw/master/csl-citation.json" }</w:instrText>
      </w:r>
      <w:r w:rsidR="004F54FD" w:rsidRPr="00074190">
        <w:rPr>
          <w:rFonts w:ascii="Book Antiqua" w:eastAsia="Book Antiqua" w:hAnsi="Book Antiqua" w:cs="Book Antiqua"/>
          <w:sz w:val="24"/>
          <w:szCs w:val="24"/>
          <w:vertAlign w:val="superscript"/>
        </w:rPr>
        <w:fldChar w:fldCharType="separate"/>
      </w:r>
      <w:r w:rsidR="004F54FD" w:rsidRPr="00074190">
        <w:rPr>
          <w:rFonts w:ascii="Book Antiqua" w:eastAsia="Book Antiqua" w:hAnsi="Book Antiqua" w:cs="Book Antiqua"/>
          <w:noProof/>
          <w:sz w:val="24"/>
          <w:szCs w:val="24"/>
          <w:vertAlign w:val="superscript"/>
        </w:rPr>
        <w:t>60</w:t>
      </w:r>
      <w:r w:rsidR="004F54FD" w:rsidRPr="00074190">
        <w:rPr>
          <w:rFonts w:ascii="Book Antiqua" w:eastAsia="Book Antiqua" w:hAnsi="Book Antiqua" w:cs="Book Antiqua"/>
          <w:sz w:val="24"/>
          <w:szCs w:val="24"/>
          <w:vertAlign w:val="superscript"/>
        </w:rPr>
        <w:fldChar w:fldCharType="end"/>
      </w:r>
      <w:r w:rsidR="004F54FD"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In right lobe LDLT, high hilar dissection to create a short donor stump and a long recipient stump and ductoplasty to ensure adequate vascularization of the duct ends and intraoperative cholangiogram to early identify biliary leaks are being examined as strategies to reduce the incidence of both AS and NAS</w:t>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"10.1111/j.1600-6143.2006.01601.x", "ISSN" : "1600-6135", "PMID" : "17227565", "abstract" : "Biliary strictures remain the most challenging aspect of adult right lobe living donor liver transplantation (RLDLT). Between 04/2000 and 10/2005, 130 consecutive RLDLTs were performed in our center and followed prospectively. Median follow-up was 23 months (range 3-67) and 1-year graft and patient survival was 85% and 87%, respectively. Overall incidence of biliary leaks (n = 19) or strictures (n = 22) was 32% (41/128) in 33 patients (26%). A duct-to-duct (D-D) or Roux-en-Y (R-Y) anastomosis were performed equally (n = 64 each) with no difference in stricture rate (p = 0.31). The use of ductoplasty increased the number of grafts with a single duct for anastomosis and reduced the biliary complication rate compared to grafts &gt;/=2 ducts (17% vs. 46%; p = 0.02). Independent risk factors for strictures included older donor age and previous history of a bile leak. All strictures were managed nonsurgically initially but four patients ultimately required conversion from D-D to R-Y. Ninety-six percent (123/128) of patients are currently free of any biliary complications. D-D anastomosis is safe after RLDLT and provides access for future endoscopic therapy in cases of leak or stricture. When presented with multiple bile ducts, ductoplasty should be considered to reduce the potential chance of stricture.", "author" : [ { "dropping-particle" : "", "family" : "Shah", "given" : "S A", "non-dropping-particle" : "", "parse-names" : false, "suffix" : "" }, { "dropping-particle" : "", "family" : "Grant", "given" : "D R", "non-dropping-particle" : "", "parse-names" : false, "suffix" : "" }, { "dropping-particle" : "", "family" : "McGilvray", "given" : "I D", "non-dropping-particle" : "", "parse-names" : false, "suffix" : "" }, { "dropping-particle" : "", "family" : "Greig", "given" : "P D", "non-dropping-particle" : "", "parse-names" : false, "suffix" : "" }, { "dropping-particle" : "", "family" : "Selzner", "given" : "M", "non-dropping-particle" : "", "parse-names" : false, "suffix" : "" }, { "dropping-particle" : "", "family" : "Lilly", "given" : "L B", "non-dropping-particle" : "", "parse-names" : false, "suffix" : "" }, { "dropping-particle" : "", "family" : "Girgrah", "given" : "N", "non-dropping-particle" : "", "parse-names" : false, "suffix" : "" }, { "dropping-particle" : "", "family" : "Levy", "given" : "G A", "non-dropping-particle" : "", "parse-names" : false, "suffix" : "" }, { "dropping-particle" : "", "family" : "Cattral", "given" : "M S", "non-dropping-particle" : "", "parse-names" : false, "suffix" : "" } ], "container-title" : "American journal of transplantation : official journal of the American Society of Transplantation and the American Society of Transplant Surgeons", "id" : "ITEM-1", "issue" : "1", "issued" : { "date-parts" : [ [ "2007", "1" ] ] }, "page" : "161-7", "title" : "Biliary strictures in 130 consecutive right lobe living donor liver transplant recipients: results of a Western center.", "type" : "article-journal", "volume" : "7" }, "uris" : [ "http://www.mendeley.com/documents/?uuid=bd619b18-e4cd-4ae5-8c65-b3344ac10e84" ] } ], "mendeley" : { "formattedCitation" : "&lt;sup&gt;27&lt;/sup&gt;", "plainTextFormattedCitation" : "27", "previouslyFormattedCitation" : "&lt;sup&gt;27&lt;/sup&gt;"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27</w:t>
      </w:r>
      <w:r w:rsidR="00535B2B" w:rsidRPr="00074190">
        <w:rPr>
          <w:rFonts w:ascii="Book Antiqua" w:eastAsia="Book Antiqua" w:hAnsi="Book Antiqua" w:cs="Book Antiqua"/>
          <w:sz w:val="24"/>
          <w:szCs w:val="24"/>
          <w:vertAlign w:val="superscript"/>
        </w:rPr>
        <w:fldChar w:fldCharType="end"/>
      </w:r>
      <w:r w:rsidR="000E2E7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"10.1097/01.sla.0000206419.65678.2e", "ISSN" : "0003-4932", "PMID" : "16552210", "abstract" : "OBJECTIVE: To assess the incidence of biliary complications after right lobe living-donor liver transplantation (LDLT) in patients undergoing duct-to-duct choledochocholedochostomy or Roux-en-Y choledochojejunostomy reconstruction.\n\nSUMMARY BACKGROUND DATA: Biliary tract complications remain one of the most serious morbidities following liver transplantation. No large series has yet been carried out to compare the 2 techniques in LDLT. This study undertook a retrospective assessment of the relation between the method of biliary reconstruction used and the complications reported.\n\nMETHODS: Between February 1998 and June 2004, 321 patients received right lobe LDLT. Biliary reconstruction was achieved with Roux-en-Y choledochojejunostomy in 121 patients, duct-to-duct choledochocholedochostomy in 192 patients, and combined Roux-en-Y and duct-to-duct choledochocholedochostomy in 8 patients. The number of graft bile duct and anastomosis, mode of anastomosis, use of stent tube, and management of biliary complications were analyzed.\n\nRESULTS: The overall incidence of biliary complications was 24.0%. Univariate analysis revealed that hepatic artery complications, cytomegalovirus infections, and blood type incompatibility were significant risk factors for biliary complications. The respective incidence of biliary leakage and stricture were 12.4% and 8.3% for Roux-en-Y, and 4.7% and 26.6% for duct-to-duct reconstruction. Duct-to-duct choledochocholedochostomy showed a significantly lower incidence of leakage and a higher incidence of stricture; however, 74.5% of the stricture was managed with endoscopic treatment.\n\nCONCLUSIONS: The authors found an increase in the biliary stricture rate in the duct-to-duct choledochocholedochostomy group. Because of greater physiologic bilioenteric continuity, less incidence of leakage, and easy endoscopic access, duct-to-duct reconstruction represents a feasible technique in right lobe LDLT.", "author" : [ { "dropping-particle" : "", "family" : "Kasahara", "given" : "Mureo", "non-dropping-particle" : "", "parse-names" : false, "suffix" : "" }, { "dropping-particle" : "", "family" : "Egawa", "given" : "Hiroto", "non-dropping-particle" : "", "parse-names" : false, "suffix" : "" }, { "dropping-particle" : "", "family" : "Takada", "given" : "Yasutsugu", "non-dropping-particle" : "", "parse-names" : false, "suffix" : "" }, { "dropping-particle" : "", "family" : "Oike", "given" : "Fumitaka", "non-dropping-particle" : "", "parse-names" : false, "suffix" : "" }, { "dropping-particle" : "", "family" : "Sakamoto", "given" : "Seisuke", "non-dropping-particle" : "", "parse-names" : false, "suffix" : "" }, { "dropping-particle" : "", "family" : "Kiuchi", "given" : "Tetsuya", "non-dropping-particle" : "", "parse-names" : false, "suffix" : "" }, { "dropping-particle" : "", "family" : "Yazumi", "given" : "Syujiro", "non-dropping-particle" : "", "parse-names" : false, "suffix" : "" }, { "dropping-particle" : "", "family" : "Shibata", "given" : "Toshiya", "non-dropping-particle" : "", "parse-names" : false, "suffix" : "" }, { "dropping-particle" : "", "family" : "Tanaka", "given" : "Koichi", "non-dropping-particle" : "", "parse-names" : false, "suffix" : "" } ], "container-title" : "Annals of surgery", "id" : "ITEM-1", "issue" : "4", "issued" : { "date-parts" : [ [ "2006", "4" ] ] }, "page" : "559-66", "title" : "Biliary reconstruction in right lobe living-donor liver transplantation: Comparison of different techniques in 321 recipients.", "type" : "article-journal", "volume" : "243" }, "uris" : [ "http://www.mendeley.com/documents/?uuid=d2d4ad4d-15d2-4517-83cb-83e9568b1f62" ] } ], "mendeley" : { "formattedCitation" : "&lt;sup&gt;47&lt;/sup&gt;", "plainTextFormattedCitation" : "47", "previouslyFormattedCitation" : "&lt;sup&gt;47&lt;/sup&gt;"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47</w:t>
      </w:r>
      <w:r w:rsidR="00535B2B" w:rsidRPr="00074190">
        <w:rPr>
          <w:rFonts w:ascii="Book Antiqua" w:eastAsia="Book Antiqua" w:hAnsi="Book Antiqua" w:cs="Book Antiqua"/>
          <w:sz w:val="24"/>
          <w:szCs w:val="24"/>
          <w:vertAlign w:val="superscript"/>
        </w:rPr>
        <w:fldChar w:fldCharType="end"/>
      </w:r>
      <w:r w:rsidR="00A000CE" w:rsidRPr="00074190">
        <w:rPr>
          <w:rFonts w:ascii="Book Antiqua" w:hAnsi="Book Antiqua" w:cs="Book Antiqua"/>
          <w:sz w:val="24"/>
          <w:szCs w:val="24"/>
          <w:vertAlign w:val="superscript"/>
          <w:lang w:eastAsia="zh-CN"/>
        </w:rPr>
        <w:t>,61</w:t>
      </w:r>
      <w:r w:rsidR="0094463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r w:rsidR="00926D05" w:rsidRPr="00074190">
        <w:rPr>
          <w:rFonts w:ascii="Book Antiqua" w:eastAsia="Book Antiqua" w:hAnsi="Book Antiqua" w:cs="Book Antiqua"/>
          <w:sz w:val="24"/>
          <w:szCs w:val="24"/>
        </w:rPr>
        <w:t xml:space="preserve"> However, leavi</w:t>
      </w:r>
      <w:r w:rsidR="00B36CB7" w:rsidRPr="00074190">
        <w:rPr>
          <w:rFonts w:ascii="Book Antiqua" w:eastAsia="Book Antiqua" w:hAnsi="Book Antiqua" w:cs="Book Antiqua"/>
          <w:sz w:val="24"/>
          <w:szCs w:val="24"/>
        </w:rPr>
        <w:t>ng too long a</w:t>
      </w:r>
      <w:r w:rsidR="00A71605" w:rsidRPr="00074190">
        <w:rPr>
          <w:rFonts w:ascii="Book Antiqua" w:eastAsia="Book Antiqua" w:hAnsi="Book Antiqua" w:cs="Book Antiqua"/>
          <w:sz w:val="24"/>
          <w:szCs w:val="24"/>
        </w:rPr>
        <w:t xml:space="preserve"> common hepatic duct remnant in the</w:t>
      </w:r>
      <w:r w:rsidR="00926D05" w:rsidRPr="00074190">
        <w:rPr>
          <w:rFonts w:ascii="Book Antiqua" w:eastAsia="Book Antiqua" w:hAnsi="Book Antiqua" w:cs="Book Antiqua"/>
          <w:sz w:val="24"/>
          <w:szCs w:val="24"/>
        </w:rPr>
        <w:t xml:space="preserve"> </w:t>
      </w:r>
      <w:r w:rsidR="00A71605" w:rsidRPr="00074190">
        <w:rPr>
          <w:rFonts w:ascii="Book Antiqua" w:eastAsia="Book Antiqua" w:hAnsi="Book Antiqua" w:cs="Book Antiqua"/>
          <w:sz w:val="24"/>
          <w:szCs w:val="24"/>
        </w:rPr>
        <w:t xml:space="preserve">recipient </w:t>
      </w:r>
      <w:r w:rsidR="00B36CB7" w:rsidRPr="00074190">
        <w:rPr>
          <w:rFonts w:ascii="Book Antiqua" w:eastAsia="Book Antiqua" w:hAnsi="Book Antiqua" w:cs="Book Antiqua"/>
          <w:sz w:val="24"/>
          <w:szCs w:val="24"/>
        </w:rPr>
        <w:t xml:space="preserve">also poses a risk, </w:t>
      </w:r>
      <w:r w:rsidR="00A71605" w:rsidRPr="00074190">
        <w:rPr>
          <w:rFonts w:ascii="Book Antiqua" w:eastAsia="Book Antiqua" w:hAnsi="Book Antiqua" w:cs="Book Antiqua"/>
          <w:sz w:val="24"/>
          <w:szCs w:val="24"/>
        </w:rPr>
        <w:t>as some part of this may develop ischemia</w:t>
      </w:r>
      <w:r w:rsidR="00B36CB7" w:rsidRPr="00074190">
        <w:rPr>
          <w:rFonts w:ascii="Book Antiqua" w:eastAsia="Book Antiqua" w:hAnsi="Book Antiqua" w:cs="Book Antiqua"/>
          <w:sz w:val="24"/>
          <w:szCs w:val="24"/>
        </w:rPr>
        <w:t xml:space="preserve"> and later develop a stricture</w:t>
      </w:r>
      <w:r w:rsidR="00A000CE" w:rsidRPr="00074190">
        <w:rPr>
          <w:rFonts w:ascii="Book Antiqua" w:eastAsia="Book Antiqua" w:hAnsi="Book Antiqua" w:cs="Book Antiqua"/>
          <w:sz w:val="24"/>
          <w:szCs w:val="24"/>
          <w:vertAlign w:val="superscript"/>
        </w:rPr>
        <w:t>[</w:t>
      </w:r>
      <w:r w:rsidR="00A000CE" w:rsidRPr="00074190">
        <w:rPr>
          <w:rFonts w:ascii="Book Antiqua" w:eastAsia="Book Antiqua" w:hAnsi="Book Antiqua" w:cs="Book Antiqua"/>
          <w:sz w:val="24"/>
          <w:szCs w:val="24"/>
          <w:vertAlign w:val="superscript"/>
        </w:rPr>
        <w:fldChar w:fldCharType="begin" w:fldLock="1"/>
      </w:r>
      <w:r w:rsidR="00A000CE" w:rsidRPr="00074190">
        <w:rPr>
          <w:rFonts w:ascii="Book Antiqua" w:eastAsia="Book Antiqua" w:hAnsi="Book Antiqua" w:cs="Book Antiqua"/>
          <w:sz w:val="24"/>
          <w:szCs w:val="24"/>
          <w:vertAlign w:val="superscript"/>
        </w:rPr>
        <w:instrText>ADDIN CSL_CITATION { "citationItems" : [ { "id" : "ITEM-1", "itemData" : { "DOI" : "10.1111/jgh.12648", "ISSN" : "1440-1746", "PMID" : "24909190", "abstract" : "Biliary strictures can be categorized according to technical factor as anastomotic or nonanastomotic strictures. Biliary anastomotic stricture is a common complication after living-donor liver transplantation, occasionally causing deaths. The two most commonly used methods for biliary anastomosis are duct-to-duct anastomosis and hepaticojejunostomy. Before presenting a description of the latest techniques of duct-to-duct anastomosis and hepaticojejunostomy, this review first relates the technique of donor right hepatectomy, as most biliary complications suffered by recipients of living-donor liver transplantation originate from donor operations. Three possible causes of biliary anastomotic stricture, namely impaired blood supply, biliary anomaly, and technical flaw, are then discussed. Lastly, the review focuses on the latest management of biliary anastomotic stricture. Treatment modalities include endoscopic retrograde cholangiography with dilatation, percutaneous transhepatic biliary drainage with dilatation, conversion of duct-to-duct anastomosis to hepaticojejunostomy, and revision hepaticojejunostomy. End-to-side versus side-to-side hepaticojejunostomy is also discussed.", "author" : [ { "dropping-particle" : "", "family" : "Chok", "given" : "Kenneth S H", "non-dropping-particle" : "", "parse-names" : false, "suffix" : "" }, { "dropping-particle" : "", "family" : "Lo", "given" : "Chung Mau", "non-dropping-particle" : "", "parse-names" : false, "suffix" : "" } ], "container-title" : "Journal of gastroenterology and hepatology", "id" : "ITEM-1", "issue" : "10", "issued" : { "date-parts" : [ [ "2014", "10", "1" ] ] }, "page" : "1756-63", "title" : "Prevention and management of biliary anastomotic stricture in right-lobe living-donor liver transplantation.", "type" : "article-journal", "volume" : "29" }, "uris" : [ "http://www.mendeley.com/documents/?uuid=14444604-fda8-496b-882a-b6c0e49a0c37" ] } ], "mendeley" : { "formattedCitation" : "&lt;sup&gt;62&lt;/sup&gt;", "plainTextFormattedCitation" : "62", "previouslyFormattedCitation" : "&lt;sup&gt;62&lt;/sup&gt;" }, "properties" : { "noteIndex" : 0 }, "schema" : "https://github.com/citation-style-language/schema/raw/master/csl-citation.json" }</w:instrText>
      </w:r>
      <w:r w:rsidR="00A000CE" w:rsidRPr="00074190">
        <w:rPr>
          <w:rFonts w:ascii="Book Antiqua" w:eastAsia="Book Antiqua" w:hAnsi="Book Antiqua" w:cs="Book Antiqua"/>
          <w:sz w:val="24"/>
          <w:szCs w:val="24"/>
          <w:vertAlign w:val="superscript"/>
        </w:rPr>
        <w:fldChar w:fldCharType="separate"/>
      </w:r>
      <w:r w:rsidR="00A000CE" w:rsidRPr="00074190">
        <w:rPr>
          <w:rFonts w:ascii="Book Antiqua" w:eastAsia="Book Antiqua" w:hAnsi="Book Antiqua" w:cs="Book Antiqua"/>
          <w:noProof/>
          <w:sz w:val="24"/>
          <w:szCs w:val="24"/>
          <w:vertAlign w:val="superscript"/>
        </w:rPr>
        <w:t>62</w:t>
      </w:r>
      <w:r w:rsidR="00A000CE" w:rsidRPr="00074190">
        <w:rPr>
          <w:rFonts w:ascii="Book Antiqua" w:eastAsia="Book Antiqua" w:hAnsi="Book Antiqua" w:cs="Book Antiqua"/>
          <w:sz w:val="24"/>
          <w:szCs w:val="24"/>
          <w:vertAlign w:val="superscript"/>
        </w:rPr>
        <w:fldChar w:fldCharType="end"/>
      </w:r>
      <w:r w:rsidR="00A000CE" w:rsidRPr="00074190">
        <w:rPr>
          <w:rFonts w:ascii="Book Antiqua" w:eastAsia="Book Antiqua" w:hAnsi="Book Antiqua" w:cs="Book Antiqua"/>
          <w:sz w:val="24"/>
          <w:szCs w:val="24"/>
          <w:vertAlign w:val="superscript"/>
        </w:rPr>
        <w:t>]</w:t>
      </w:r>
      <w:r w:rsidR="00A71605" w:rsidRPr="00074190">
        <w:rPr>
          <w:rFonts w:ascii="Book Antiqua" w:eastAsia="Book Antiqua" w:hAnsi="Book Antiqua" w:cs="Book Antiqua"/>
          <w:sz w:val="24"/>
          <w:szCs w:val="24"/>
        </w:rPr>
        <w:t>.</w:t>
      </w:r>
    </w:p>
    <w:p w:rsidR="00A000CE" w:rsidRPr="00074190" w:rsidRDefault="006A074B" w:rsidP="00074190">
      <w:pPr>
        <w:spacing w:after="0" w:line="360" w:lineRule="auto"/>
        <w:ind w:firstLineChars="200" w:firstLine="480"/>
        <w:jc w:val="both"/>
        <w:rPr>
          <w:rFonts w:ascii="Book Antiqua" w:hAnsi="Book Antiqua" w:cs="Book Antiqua"/>
          <w:sz w:val="24"/>
          <w:szCs w:val="24"/>
          <w:lang w:eastAsia="zh-CN"/>
        </w:rPr>
      </w:pPr>
      <w:r w:rsidRPr="00074190">
        <w:rPr>
          <w:rFonts w:ascii="Book Antiqua" w:eastAsia="Book Antiqua" w:hAnsi="Book Antiqua" w:cs="Book Antiqua"/>
          <w:sz w:val="24"/>
          <w:szCs w:val="24"/>
        </w:rPr>
        <w:t>Other techniques like side to side duct anastomosis and use of interrupted versus uninterrupted biliary sutures have shown minimal benefit</w:t>
      </w:r>
      <w:r w:rsidR="000E2E7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"10.1046/j.1365-2168.1999.01073.x", "ISSN" : "0007-1323", "PMID" : "10215812", "abstract" : "BACKGROUND: Biliary reconstruction is the Achilles heel of liver transplantation. Side-to-side anastomosis of donor and recipient bile duct has been claimed to be superior to end-to-end anastomosis in uncontrolled studies. Methods: A total of 100 consecutive patients undergoing orthotopic liver transplantation were randomized after commencement of the transplant procedure to end-to-end or side-to-side anastomosis. No T tube drainage was employed. Endoscopic retrograde cholangiography was performed 2 weeks after transplantation and findings were reported by an experienced endoscopist as normal, leak or stricture. Median follow-up was 53 (range 35-63) months.\n\nRESULTS: Patient age, sex, the graft preservation time and indication for transplantation were similar in both groups. Sixty patients received end-to-end and 40 side-to-side anastomosis. Ten patients randomized to side-to-side anastomosis had an end-to-end procedure. The total number of biliary complications was similar in both groups (end-to-end 32 per cent versus side-to-side 30 per cent) as were the number of leaks (17 versus 18 per cent) and biliary strictures (15 versus 12 per cent). There was no difference in the number of biliary complications that required interventional treatment (22 per cent in both groups).\n\nCONCLUSION: Side-to-side and end-to-end biliary anastomosis at liver transplantation are equally effective.", "author" : [ { "dropping-particle" : "", "family" : "Davidson", "given" : "B R", "non-dropping-particle" : "", "parse-names" : false, "suffix" : "" }, { "dropping-particle" : "", "family" : "Rai", "given" : "R", "non-dropping-particle" : "", "parse-names" : false, "suffix" : "" }, { "dropping-particle" : "", "family" : "Kurzawinski", "given" : "T R", "non-dropping-particle" : "", "parse-names" : false, "suffix" : "" }, { "dropping-particle" : "", "family" : "Selves", "given" : "L", "non-dropping-particle" : "", "parse-names" : false, "suffix" : "" }, { "dropping-particle" : "", "family" : "Farouk", "given" : "M", "non-dropping-particle" : "", "parse-names" : false, "suffix" : "" }, { "dropping-particle" : "", "family" : "Dooley", "given" : "J S", "non-dropping-particle" : "", "parse-names" : false, "suffix" : "" }, { "dropping-particle" : "", "family" : "Burroughs", "given" : "A K", "non-dropping-particle" : "", "parse-names" : false, "suffix" : "" }, { "dropping-particle" : "", "family" : "Rolles", "given" : "K", "non-dropping-particle" : "", "parse-names" : false, "suffix" : "" } ], "container-title" : "The British journal of surgery", "id" : "ITEM-1", "issue" : "4", "issued" : { "date-parts" : [ [ "1999", "4" ] ] }, "page" : "447-52", "title" : "Prospective randomized trial of end-to-end versus side-to-side biliary reconstruction after orthotopic liver transplantation.", "type" : "article-journal", "volume" : "86" }, "uris" : [ "http://www.mendeley.com/documents/?uuid=c566f138-dcea-478d-bcf4-879b44dd3313" ] } ], "mendeley" : { "formattedCitation" : "&lt;sup&gt;63&lt;/sup&gt;", "plainTextFormattedCitation" : "63", "previouslyFormattedCitation" : "&lt;sup&gt;63&lt;/sup&gt;"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63</w:t>
      </w:r>
      <w:r w:rsidR="00535B2B" w:rsidRPr="00074190">
        <w:rPr>
          <w:rFonts w:ascii="Book Antiqua" w:eastAsia="Book Antiqua" w:hAnsi="Book Antiqua" w:cs="Book Antiqua"/>
          <w:sz w:val="24"/>
          <w:szCs w:val="24"/>
          <w:vertAlign w:val="superscript"/>
        </w:rPr>
        <w:fldChar w:fldCharType="end"/>
      </w:r>
      <w:r w:rsidR="000E2E7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"10.1002/lt.20986", "ISSN" : "1527-6465", "PMID" : "17256781", "abstract" : "Biliary complications following orthotopic liver transplantation have been reported in 10% to 30% of patients. Most surgeons perform an end-to-end choledochocholedochostomy with interrupted sutures for biliary reconstruction. The goal of this study was to compare biliary complications between interrupted suture (IS) and continuous suture (CS) techniques during liver transplantation in which an end-to-end choledochocholedochostomy over an internal biliary stent was performed. A retrospective cohort study of 100 consecutive liver transplants occurring between December 2003 and July 2005 was conducted. An end-to-end choledochocholedochostomy over an internal biliary stent was performed during liver transplantation. Data were analyzed using Kaplan-Meier methods, t tests, and chi-square tests of proportions. IS and CS techniques were used in 59 and 41 patients, respectively, for biliary reconstruction during liver transplantation. Mean follow-up time for the CS group was 17 +/- 8 months and 15 +/- 7 months for the IS group (P = .21). The overall biliary complication rate was 15%. There was no difference in the proportion of leaks (CS = 7.3%, IS = 8.5%; P = .83) or strictures (CS = 9.8%, IS = 5.1%; P = .37) between groups. Kaplan-Meier event rates show no difference in leaks (P = .79), strictures (P = .41), graft survival (P = .52), and patient survival (P = .32) by anastomosis type. In conclusion, there was no difference in biliary complications, graft survival, or patient survival between the 2 groups. CS and IS techniques for biliary reconstruction during liver transplantation yield comparable outcomes.", "author" : [ { "dropping-particle" : "", "family" : "Castaldo", "given" : "Eric T", "non-dropping-particle" : "", "parse-names" : false, "suffix" : "" }, { "dropping-particle" : "", "family" : "Pinson", "given" : "C Wright", "non-dropping-particle" : "", "parse-names" : false, "suffix" : "" }, { "dropping-particle" : "", "family" : "Feurer", "given" : "Irene D", "non-dropping-particle" : "", "parse-names" : false, "suffix" : "" }, { "dropping-particle" : "", "family" : "Wright", "given" : "J Kelly", "non-dropping-particle" : "", "parse-names" : false, "suffix" : "" }, { "dropping-particle" : "", "family" : "Gorden", "given" : "D Lee", "non-dropping-particle" : "", "parse-names" : false, "suffix" : "" }, { "dropping-particle" : "", "family" : "Kelly", "given" : "Beau S", "non-dropping-particle" : "", "parse-names" : false, "suffix" : "" }, { "dropping-particle" : "", "family" : "Chari", "given" : "Ravi S", "non-dropping-particle" : "", "parse-names" : false, "suffix" : "" } ], "container-title" : "Liver transplantation : official publication of the American Association for the Study of Liver Diseases and the International Liver Transplantation Society", "id" : "ITEM-1", "issue" : "2", "issued" : { "date-parts" : [ [ "2007", "2" ] ] }, "page" : "234-8", "title" : "Continuous versus interrupted suture for end-to-end biliary anastomosis during liver transplantation gives equal results.", "type" : "article-journal", "volume" : "13" }, "uris" : [ "http://www.mendeley.com/documents/?uuid=aa2a2211-a0d6-4c3d-b954-6063b5bdb549" ] } ], "mendeley" : { "formattedCitation" : "&lt;sup&gt;64&lt;/sup&gt;", "plainTextFormattedCitation" : "64", "previouslyFormattedCitation" : "&lt;sup&gt;64&lt;/sup&gt;"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64</w:t>
      </w:r>
      <w:r w:rsidR="00535B2B" w:rsidRPr="00074190">
        <w:rPr>
          <w:rFonts w:ascii="Book Antiqua" w:eastAsia="Book Antiqua" w:hAnsi="Book Antiqua" w:cs="Book Antiqua"/>
          <w:sz w:val="24"/>
          <w:szCs w:val="24"/>
          <w:vertAlign w:val="superscript"/>
        </w:rPr>
        <w:fldChar w:fldCharType="end"/>
      </w:r>
      <w:r w:rsidR="000E2E7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Generally, good perfusion of the biliary end and avoidance of vascular injury is the best way to prevent biliary complications</w:t>
      </w:r>
      <w:r w:rsidR="000E2E7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"10.1002/lt.21509", "ISSN" : "1527-6473", "PMID" : "18508368", "abstract" : "Biliary complications are still the major source of morbidity for liver transplant recipients. The reported incidence of biliary strictures is 5%-15% after deceased donor liver transplantation and 28%-32% after right-lobe live donor surgery. Presentation is usually within the first year, but the incidence is known to increase with longer follow-up. The anastomotic variant is due to technical factors, whereas the nonanastomotic form is due to immunological and ischemic events, which later may lead to graft loss. Endoscopic management of anastomotic strictures achieves a success rate of 70%-100%; it drops to 50%-75% for nonanastomotic strictures with a higher recurrence rate. Results of endoscopic maneuvers are disappointing for biliary strictures after live donor liver transplantation, and the success rate is 60%-75% for anastomotic strictures and 25%-33% for the nonanastomotic variant. Preventive strategies in the cadaveric donor include the standardization of the type of anastomosis and maintenance of a vascularized ductal stump. In right-lobe live donor livers, donor liver duct harvesting also involves a major risk. The concept of high hilar intrahepatic Glissonian dissection, dissecting the artery and the duct as one unit, use of microsurgical techniques for smaller ducts, use of ductoplasty, and flexibility in the performance of double ductal anastomosis are the critical components of the preventive strategies in the recipient. In the case of live donors, judicious use of intraoperative cholangiograms, minimal dissection of the hilar plate, and perpendicular transection of the duct constitute the underlying principals for obtaining a vascularized duct.", "author" : [ { "dropping-particle" : "", "family" : "Sharma", "given" : "Sharad", "non-dropping-particle" : "", "parse-names" : false, "suffix" : "" }, { "dropping-particle" : "", "family" : "Gurakar", "given" : "Ahmet", "non-dropping-particle" : "", "parse-names" : false, "suffix" : "" }, { "dropping-particle" : "", "family" : "Jabbour", "given" : "Nicolas", "non-dropping-particle" : "", "parse-names" : false, "suffix" : "" } ], "container-title" : "Liver transplantation : official publication of the American Association for the Study of Liver Diseases and the International Liver Transplantation Society", "id" : "ITEM-1", "issue" : "6", "issued" : { "date-parts" : [ [ "2008", "6" ] ] }, "page" : "759-69", "title" : "Biliary strictures following liver transplantation: past, present and preventive strategies.", "type" : "article-journal", "volume" : "14" }, "uris" : [ "http://www.mendeley.com/documents/?uuid=17929b2b-f096-4a25-a6e2-bef989875bd4" ] } ], "mendeley" : { "formattedCitation" : "&lt;sup&gt;57&lt;/sup&gt;", "plainTextFormattedCitation" : "57", "previouslyFormattedCitation" : "&lt;sup&gt;57&lt;/sup&gt;"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57</w:t>
      </w:r>
      <w:r w:rsidR="00535B2B" w:rsidRPr="00074190">
        <w:rPr>
          <w:rFonts w:ascii="Book Antiqua" w:eastAsia="Book Antiqua" w:hAnsi="Book Antiqua" w:cs="Book Antiqua"/>
          <w:sz w:val="24"/>
          <w:szCs w:val="24"/>
          <w:vertAlign w:val="superscript"/>
        </w:rPr>
        <w:fldChar w:fldCharType="end"/>
      </w:r>
      <w:r w:rsidR="000E2E7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"10.1016/j.gie.2009.01.033", "ISSN" : "1097-6779", "PMID" : "19699984", "author" : [ { "dropping-particle" : "", "family" : "Tsujino", "given" : "Takeshi", "non-dropping-particle" : "", "parse-names" : false, "suffix" : "" }, { "dropping-particle" : "", "family" : "Sugawara", "given" : "Yasuhiko", "non-dropping-particle" : "", "parse-names" : false, "suffix" : "" }, { "dropping-particle" : "", "family" : "Omata", "given" : "Masao", "non-dropping-particle" : "", "parse-names" : false, "suffix" : "" } ], "container-title" : "Gastrointestinal endoscopy", "id" : "ITEM-1", "issue" : "3", "issued" : { "date-parts" : [ [ "2009", "9" ] ] }, "page" : "599-600; author reply 600-1", "title" : "Management of biliary strictures after living donor liver transplantation.", "type" : "article-journal", "volume" : "70" }, "uris" : [ "http://www.mendeley.com/documents/?uuid=df9e37f8-e209-4302-aacf-6f7e7d696ec7" ] } ], "mendeley" : { "formattedCitation" : "&lt;sup&gt;59&lt;/sup&gt;", "plainTextFormattedCitation" : "59", "previouslyFormattedCitation" : "&lt;sup&gt;59&lt;/sup&gt;"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59</w:t>
      </w:r>
      <w:r w:rsidR="00535B2B" w:rsidRPr="00074190">
        <w:rPr>
          <w:rFonts w:ascii="Book Antiqua" w:eastAsia="Book Antiqua" w:hAnsi="Book Antiqua" w:cs="Book Antiqua"/>
          <w:sz w:val="24"/>
          <w:szCs w:val="24"/>
          <w:vertAlign w:val="superscript"/>
        </w:rPr>
        <w:fldChar w:fldCharType="end"/>
      </w:r>
      <w:r w:rsidR="000E2E75" w:rsidRPr="00074190">
        <w:rPr>
          <w:rFonts w:ascii="Book Antiqua" w:eastAsia="Book Antiqua" w:hAnsi="Book Antiqua" w:cs="Book Antiqua"/>
          <w:sz w:val="24"/>
          <w:szCs w:val="24"/>
          <w:vertAlign w:val="superscript"/>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Another potential complication of NAS is the formation of casts that deposit in the biliary tree, typically in the setting of ischemic injury. There are 2 main types, composed of either collagen from sloughed off necrotic biliary epithelium or precipitated bile with high bilirubin content. The second type are more frequently seen with biliary strictures</w:t>
      </w:r>
      <w:r w:rsidR="00944635" w:rsidRPr="00074190">
        <w:rPr>
          <w:rFonts w:ascii="Book Antiqua" w:eastAsia="Book Antiqua" w:hAnsi="Book Antiqua" w:cs="Book Antiqua"/>
          <w:sz w:val="24"/>
          <w:szCs w:val="24"/>
          <w:vertAlign w:val="superscript"/>
        </w:rPr>
        <w:t>[</w:t>
      </w:r>
      <w:r w:rsidR="00A000CE" w:rsidRPr="00074190">
        <w:rPr>
          <w:rFonts w:ascii="Book Antiqua" w:eastAsia="Book Antiqua" w:hAnsi="Book Antiqua" w:cs="Book Antiqua"/>
          <w:sz w:val="24"/>
          <w:szCs w:val="24"/>
          <w:vertAlign w:val="superscript"/>
        </w:rPr>
        <w:fldChar w:fldCharType="begin" w:fldLock="1"/>
      </w:r>
      <w:r w:rsidR="00A000CE" w:rsidRPr="00074190">
        <w:rPr>
          <w:rFonts w:ascii="Book Antiqua" w:eastAsia="Book Antiqua" w:hAnsi="Book Antiqua" w:cs="Book Antiqua"/>
          <w:sz w:val="24"/>
          <w:szCs w:val="24"/>
          <w:vertAlign w:val="superscript"/>
        </w:rPr>
        <w:instrText>ADDIN CSL_CITATION { "citationItems" : [ { "id" : "ITEM-1", "itemData" : { "DOI" : "10.1111/jgh.12169", "ISSN" : "1440-1746", "PMID" : "23432435", "abstract" : "BACKGROUND AND AIM: Biliary anastomosis is the Achilles' heel of liver transplant. The reported incidence of biliary complications is 5-15% after deceased donor liver transplantation, and 20-34% after right-lobe live donor liver transplantation (LDLT). We report our experience from an LDLT program.\n\nMETHODS: Between September 2006 and August 2010, 338 liver transplants were performed. Biliary reconstructions were done with an end-to-end choledochocholedochostomy in 307 cases. All recipients were monitored for any evidence of bile leak or stricture.\n\nRESULTS: Of 338 transplants performed during this time period, 65 patients had biliary complications (19%). Of these, 30 were biliary leaks, and 35 patients had biliary stricture. Four were cut surface leaks, which settled without any intervention. One patient had leak from primary hepaticojejunostomy, which settled on conservative management. Twenty-five patients had anastomotic leaks, of which 17 underwent endoscopic retrograde cholangiopancreatography and stenting; another eight underwent re-exploration and hepaticojejunostomy. Forty-five patients had biliary strictures. Of these, 10 patients had bile leak initially, followed by biliary stricture. Patients with a double duct anastomosis had a significantly higher risk of developing biliary complications compared with those with a single duct anastomosis. There was no statistically significant difference in survival between those with or without biliary complications.\n\nCONCLUSIONS: Biliary complications are common after LDLT. Most leaks will subsequently form strictures. Endoscopic retrograde cholangiopancreatography is the first-line treatment for biliary complications, with surgery required in a minority of cases. The incidence of biliary complications is higher in multiple duct anastomoses. Biliary complications are not associated with increased mortality.", "author" : [ { "dropping-particle" : "", "family" : "Wadhawan", "given" : "Manav", "non-dropping-particle" : "", "parse-names" : false, "suffix" : "" }, { "dropping-particle" : "", "family" : "Kumar", "given" : "Ajay", "non-dropping-particle" : "", "parse-names" : false, "suffix" : "" }, { "dropping-particle" : "", "family" : "Gupta", "given" : "Subash", "non-dropping-particle" : "", "parse-names" : false, "suffix" : "" }, { "dropping-particle" : "", "family" : "Goyal", "given" : "Neerav", "non-dropping-particle" : "", "parse-names" : false, "suffix" : "" }, { "dropping-particle" : "", "family" : "Shandil", "given" : "Rajeev", "non-dropping-particle" : "", "parse-names" : false, "suffix" : "" }, { "dropping-particle" : "", "family" : "Taneja", "given" : "Sunil", "non-dropping-particle" : "", "parse-names" : false, "suffix" : "" }, { "dropping-particle" : "", "family" : "Sibal", "given" : "Anupam", "non-dropping-particle" : "", "parse-names" : false, "suffix" : "" } ], "container-title" : "Journal of gastroenterology and hepatology", "id" : "ITEM-1", "issue" : "6", "issued" : { "date-parts" : [ [ "2013", "6", "1" ] ] }, "page" : "1056-60", "title" : "Post-transplant biliary complications: an analysis from a predominantly living donor liver transplant center.", "type" : "article-journal", "volume" : "28" }, "uris" : [ "http://www.mendeley.com/documents/?uuid=b1d80dde-fcea-4eae-8005-79268ba60305" ] } ], "mendeley" : { "formattedCitation" : "&lt;sup&gt;31&lt;/sup&gt;", "plainTextFormattedCitation" : "31", "previouslyFormattedCitation" : "&lt;sup&gt;31&lt;/sup&gt;" }, "properties" : { "noteIndex" : 0 }, "schema" : "https://github.com/citation-style-language/schema/raw/master/csl-citation.json" }</w:instrText>
      </w:r>
      <w:r w:rsidR="00A000CE" w:rsidRPr="00074190">
        <w:rPr>
          <w:rFonts w:ascii="Book Antiqua" w:eastAsia="Book Antiqua" w:hAnsi="Book Antiqua" w:cs="Book Antiqua"/>
          <w:sz w:val="24"/>
          <w:szCs w:val="24"/>
          <w:vertAlign w:val="superscript"/>
        </w:rPr>
        <w:fldChar w:fldCharType="separate"/>
      </w:r>
      <w:r w:rsidR="00A000CE" w:rsidRPr="00074190">
        <w:rPr>
          <w:rFonts w:ascii="Book Antiqua" w:eastAsia="Book Antiqua" w:hAnsi="Book Antiqua" w:cs="Book Antiqua"/>
          <w:noProof/>
          <w:sz w:val="24"/>
          <w:szCs w:val="24"/>
          <w:vertAlign w:val="superscript"/>
        </w:rPr>
        <w:t>31</w:t>
      </w:r>
      <w:r w:rsidR="00A000CE" w:rsidRPr="00074190">
        <w:rPr>
          <w:rFonts w:ascii="Book Antiqua" w:eastAsia="Book Antiqua" w:hAnsi="Book Antiqua" w:cs="Book Antiqua"/>
          <w:sz w:val="24"/>
          <w:szCs w:val="24"/>
          <w:vertAlign w:val="superscript"/>
        </w:rPr>
        <w:fldChar w:fldCharType="end"/>
      </w:r>
      <w:r w:rsidR="00A000CE"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"ISSN" : "0039-6060", "PMID" : "319551", "abstract" : "In 93 consecutive cases of orthotopic liver transplantation, there were 24 example of biliary obstruction and eight of bile fistula formation. Six of the obstructed livers developed biliary cast formation so extensive that the smaller intrhepatic ducts became plugged to an extent that they could no longer have been treated by surgical mena. In each of the six cases, the most important causative factor was neglected obstruction of the large bile ducts with the intrahepatic lesions apparently being late and secondary. Stone and/or cast formation also occurred in other obstructed livers in the presence of bile fustulas, but these deposits were limited to the large ducts where they could have been or were removed. Although homograft bile undoubtedly has increased lithogenicity at certain posoperative times, the data from the present study have shown that biliary sludge formation essentially is always associated with defective bile duct reconstruction, and the observations have underscored the urgency with which reoperation must be considered. Techniques of secondary intervention have been described, with emphasis on conversion of cholecystojejunostomy to choledochojejunostomy. This operation has permitted salvage of homografts in eight of nine trials and the survival of seven patients.", "author" : [ { "dropping-particle" : "", "family" : "Starzl", "given" : "T E", "non-dropping-particle" : "", "parse-names" : false, "suffix" : "" }, { "dropping-particle" : "", "family" : "Putnam", "given" : "C W", "non-dropping-particle" : "", "parse-names" : false, "suffix" : "" }, { "dropping-particle" : "", "family" : "Hansbrough", "given" : "J F", "non-dropping-particle" : "", "parse-names" : false, "suffix" : "" }, { "dropping-particle" : "", "family" : "Porter", "given" : "K A", "non-dropping-particle" : "", "parse-names" : false, "suffix" : "" }, { "dropping-particle" : "", "family" : "Reid", "given" : "H A", "non-dropping-particle" : "", "parse-names" : false, "suffix" : "" } ], "container-title" : "Surgery", "id" : "ITEM-1", "issued" : { "date-parts" : [ [ "1977" ] ] }, "page" : "212-221", "title" : "Biliary complications after liver transplantation: with special reference to the biliary cast syndrome and techniques of secondary duct repair.", "type" : "article-journal", "volume" : "81" }, "uris" : [ "http://www.mendeley.com/documents/?uuid=2972b6cd-27cc-447d-9368-d37fdab50955" ] } ], "mendeley" : { "formattedCitation" : "&lt;sup&gt;65&lt;/sup&gt;", "plainTextFormattedCitation" : "65", "previouslyFormattedCitation" : "&lt;sup&gt;65&lt;/sup&gt;"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65</w:t>
      </w:r>
      <w:r w:rsidR="00535B2B" w:rsidRPr="00074190">
        <w:rPr>
          <w:rFonts w:ascii="Book Antiqua" w:eastAsia="Book Antiqua" w:hAnsi="Book Antiqua" w:cs="Book Antiqua"/>
          <w:sz w:val="24"/>
          <w:szCs w:val="24"/>
          <w:vertAlign w:val="superscript"/>
        </w:rPr>
        <w:fldChar w:fldCharType="end"/>
      </w:r>
      <w:r w:rsidR="000E2E7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"10.3748/wjg.v19.i43.7772", "ISSN" : "10079327", "PMID" : "24282366", "abstract" : "AIM: To investigate the pathogenesis of biliary casts after liver transplantation relative to their morphology and biochemical markers.\\n\\nMETHODS: The microstructure of biliary casts was assessed using scanning electron microscopy and Hematoxylin and eosin staining assessed their histology. The expression levels of CD3, CD5, CD34, CD68 and CD79a in these biliary casts were evaluated immunohistochemically.\\n\\nRESULTS: Biliary casts differed widely in their microstructure, with some containing blood vessels positive for CD34 and collagen fibers with positive Masson staining. Large numbers of neutrophils and other inflammatory cells were present, but only on the edge of the biliary casts; although the boundaries were clear without crossover. None of the biliary casts contained T-lymphocytes, B-lymphocytes, macrophages and other inflammatory cells.\\n\\nCONCLUSION: The microcostructure of biliary casts differed. Bacteria and acute rejection are not clearly related to their formation.", "author" : [ { "dropping-particle" : "", "family" : "Yang", "given" : "Yu Long", "non-dropping-particle" : "", "parse-names" : false, "suffix" : "" }, { "dropping-particle" : "", "family" : "Zhang", "given" : "Cheng", "non-dropping-particle" : "", "parse-names" : false, "suffix" : "" }, { "dropping-particle" : "", "family" : "Lin", "given" : "Mei Ju", "non-dropping-particle" : "", "parse-names" : false, "suffix" : "" }, { "dropping-particle" : "", "family" : "Shi", "given" : "Li Jun", "non-dropping-particle" : "", "parse-names" : false, "suffix" : "" }, { "dropping-particle" : "", "family" : "Zhang", "given" : "Hong Wei", "non-dropping-particle" : "", "parse-names" : false, "suffix" : "" }, { "dropping-particle" : "", "family" : "Li", "given" : "Jing Yi", "non-dropping-particle" : "", "parse-names" : false, "suffix" : "" }, { "dropping-particle" : "", "family" : "Yu", "given" : "Qiang", "non-dropping-particle" : "", "parse-names" : false, "suffix" : "" } ], "container-title" : "World Journal of Gastroenterology", "id" : "ITEM-1", "issued" : { "date-parts" : [ [ "2013" ] ] }, "page" : "7772-7777", "title" : "Biliary casts after liver transplantation: Morphology and biochemical analysis", "type" : "article-journal", "volume" : "19" }, "uris" : [ "http://www.mendeley.com/documents/?uuid=1b2f6b42-ef63-4331-b3a5-d7738debb3a6" ] } ], "mendeley" : { "formattedCitation" : "&lt;sup&gt;66&lt;/sup&gt;", "plainTextFormattedCitation" : "66", "previouslyFormattedCitation" : "&lt;sup&gt;66&lt;/sup&gt;"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66</w:t>
      </w:r>
      <w:r w:rsidR="00535B2B" w:rsidRPr="00074190">
        <w:rPr>
          <w:rFonts w:ascii="Book Antiqua" w:eastAsia="Book Antiqua" w:hAnsi="Book Antiqua" w:cs="Book Antiqua"/>
          <w:sz w:val="24"/>
          <w:szCs w:val="24"/>
          <w:vertAlign w:val="superscript"/>
        </w:rPr>
        <w:fldChar w:fldCharType="end"/>
      </w:r>
      <w:r w:rsidR="000E2E7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xml:space="preserve"> and lead to obstruction and an increased incidence of cholangitis. </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Biliary casts develop in 4</w:t>
      </w:r>
      <w:r w:rsidR="00A000CE" w:rsidRPr="00074190">
        <w:rPr>
          <w:rFonts w:ascii="Book Antiqua" w:hAnsi="Book Antiqua" w:cs="Book Antiqua"/>
          <w:sz w:val="24"/>
          <w:szCs w:val="24"/>
          <w:lang w:eastAsia="zh-CN"/>
        </w:rPr>
        <w:t>%-</w:t>
      </w:r>
      <w:r w:rsidR="00A000CE" w:rsidRPr="00074190">
        <w:rPr>
          <w:rFonts w:ascii="Book Antiqua" w:eastAsia="Book Antiqua" w:hAnsi="Book Antiqua" w:cs="Book Antiqua"/>
          <w:sz w:val="24"/>
          <w:szCs w:val="24"/>
        </w:rPr>
        <w:t>18</w:t>
      </w:r>
      <w:r w:rsidRPr="00074190">
        <w:rPr>
          <w:rFonts w:ascii="Book Antiqua" w:eastAsia="Book Antiqua" w:hAnsi="Book Antiqua" w:cs="Book Antiqua"/>
          <w:sz w:val="24"/>
          <w:szCs w:val="24"/>
        </w:rPr>
        <w:t>% of LDLT recipients and are associated with an increased morbidity in the recipient</w:t>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"10.1016/S0002-9270(03)00508-2", "ISSN" : "00029270", "PMID" : "12907345", "abstract" : "OBJECTIVES: Biliary casts develop in up to 18% of liver transplant recipients. Casts are associated with morbidity, graft failure, need for retransplantation, and mortality. Proposed etiological mechanisms include acute cellular rejection, ischemia, infection, and biliary obstruction. We aimed to identify clinical features associated with biliary cast formation, review treatments, and analyze the biochemical composition of casts at a single, large, liver transplant center. METHODS: Patient records were reviewed retrospectively to identify patients who developed casts. Data were collected with attention to ischemia, rejection, obstruction, infection, immunosuppression, postoperative biliary drain use, and cast-directed management, and were compared with data from controls. Cast specimens, retrieved at cholangiography, were analyzed with chromatography techniques. RESULTS: Ischemic factors were noted in 70% (7/10) of cast patients versus 15% (6/40) of controls (OR = 13.2; 95% CI = 2.7-66.0; p = 0.001). Biliary strictures were present in 50% of cast patients versus 10% of controls (OR = 9.0; 95% CI = 1.8-45.2; p = 0.01). Differences in cold ischemia time, acute cellular rejection, cyclosporin use, infection, and postoperative biliary drain use were not significant. Casts were successfully treated by endoscopic and percutaneous methods in 60% of patients. One patient died of cast-related complications (mortality 10%). Four casts were in satisfactory condition for biochemical analysis. Bilirubin was the main component ( approximately 10-50%). Bile acid synthesis products and cholesterol comprised smaller percentages, and protein comprised only 5-10%. CONCLUSIONS: Biliary casts are more likely to develop in the setting of hepatic ischemia and biliary strictures. Endoscopic and percutaneous cast extraction might achieve favorable results and should be attempted before surgical therapy.", "author" : [ { "dropping-particle" : "", "family" : "Shah", "given" : "Janak N", "non-dropping-particle" : "", "parse-names" : false, "suffix" : "" }, { "dropping-particle" : "", "family" : "Haigh", "given" : "W Geoffrey", "non-dropping-particle" : "", "parse-names" : false, "suffix" : "" }, { "dropping-particle" : "", "family" : "Lee", "given" : "Sum P", "non-dropping-particle" : "", "parse-names" : false, "suffix" : "" }, { "dropping-particle" : "", "family" : "Lucey", "given" : "Michael R", "non-dropping-particle" : "", "parse-names" : false, "suffix" : "" }, { "dropping-particle" : "", "family" : "Brensinger", "given" : "Colleen M", "non-dropping-particle" : "", "parse-names" : false, "suffix" : "" }, { "dropping-particle" : "", "family" : "Kochman", "given" : "Michael L", "non-dropping-particle" : "", "parse-names" : false, "suffix" : "" }, { "dropping-particle" : "", "family" : "Long", "given" : "William B", "non-dropping-particle" : "", "parse-names" : false, "suffix" : "" }, { "dropping-particle" : "", "family" : "Olthoff", "given" : "Kim", "non-dropping-particle" : "", "parse-names" : false, "suffix" : "" }, { "dropping-particle" : "", "family" : "Shaked", "given" : "Abraham", "non-dropping-particle" : "", "parse-names" : false, "suffix" : "" }, { "dropping-particle" : "", "family" : "Ginsberg", "given" : "Gregory G", "non-dropping-particle" : "", "parse-names" : false, "suffix" : "" } ], "container-title" : "The American journal of gastroenterology", "id" : "ITEM-1", "issued" : { "date-parts" : [ [ "2003" ] ] }, "page" : "1861-1867", "title" : "Biliary casts after orthotopic liver transplantation: clinical factors, treatment, biochemical analysis.", "type" : "article-journal", "volume" : "98" }, "uris" : [ "http://www.mendeley.com/documents/?uuid=d9342695-805a-4348-8ba1-f6a6fa003e02" ] } ], "mendeley" : { "formattedCitation" : "&lt;sup&gt;67&lt;/sup&gt;", "plainTextFormattedCitation" : "67", "previouslyFormattedCitation" : "&lt;sup&gt;67&lt;/sup&gt;"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67</w:t>
      </w:r>
      <w:r w:rsidR="00535B2B" w:rsidRPr="00074190">
        <w:rPr>
          <w:rFonts w:ascii="Book Antiqua" w:eastAsia="Book Antiqua" w:hAnsi="Book Antiqua" w:cs="Book Antiqua"/>
          <w:sz w:val="24"/>
          <w:szCs w:val="24"/>
          <w:vertAlign w:val="superscript"/>
        </w:rPr>
        <w:fldChar w:fldCharType="end"/>
      </w:r>
      <w:r w:rsidR="00A000CE" w:rsidRPr="00074190">
        <w:rPr>
          <w:rFonts w:ascii="Book Antiqua" w:hAnsi="Book Antiqua" w:cs="Book Antiqua"/>
          <w:sz w:val="24"/>
          <w:szCs w:val="24"/>
          <w:vertAlign w:val="superscript"/>
          <w:lang w:eastAsia="zh-CN"/>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"10.1002/lt.21511", "ISSN" : "1527-6473", "PMID" : "18825682", "abstract" : "Bile duct stones and casts (BDS) after liver transplantation are associated with significant morbidity. Risk factors for BDS formation and the efficacy of treatment in liver transplant recipients have not been systematically studied. The aim of this study was to evaluate potential risk factors for the formation of BDS in patients post-liver transplant. A case-control study of consecutive liver transplant recipients at a university hospital from 1989 to 2007 was performed to identify risk factors for BDS formation. Cases included all liver transplant recipients with BDS, excluding those with concurrent t-tubes or biliary stents. Controls were chosen randomly from the total liver transplant population matched for year of transplantation. Pre- and post-OLT risk factors were analyzed with univariate and multivariate analyses. There were 49 cases and 101 controls over an 18-year-period (1289 liver transplants performed) with an incidence of 3.8% for BDS. In the cases, the median time to BDS diagnosis was 613 days from time of transplant. The controls had a median follow-up of 1530 days. Use of ursodeoxycholic acid was protective (P = 0.005), whereas bile duct pathology (P = 0.003), total cholesterol &gt;/= 200 mg/dL (P = 0.008), and triglyceride &gt;/= 150 mg/dL (P = 0.008) were significant risk factors for BDS formation. Endoscopic retrograde cholangiopancreatography (ERCP) was technically successful in all cases with resolution or improvement of liver chemistries in 59% (29) of patients. In conclusion, significant risk factors for forming BDS included bile duct pathology and elevated total cholesterol and triglyceride levels. Ursodeoxycholic acid had a significant effect in preventing the development of posttransplant BDS and should be used in those that are at increased risk. ERCP is a safe and effective diagnostic and therapeutic modality for these patients.", "author" : [ { "dropping-particle" : "", "family" : "Spier", "given" : "Bret J", "non-dropping-particle" : "", "parse-names" : false, "suffix" : "" }, { "dropping-particle" : "", "family" : "Pfau", "given" : "Patrick R", "non-dropping-particle" : "", "parse-names" : false, "suffix" : "" }, { "dropping-particle" : "", "family" : "Lorenze", "given" : "Katelin R", "non-dropping-particle" : "", "parse-names" : false, "suffix" : "" }, { "dropping-particle" : "", "family" : "Knechtle", "given" : "Stuart J", "non-dropping-particle" : "", "parse-names" : false, "suffix" : "" }, { "dropping-particle" : "", "family" : "Said", "given" : "Adnan", "non-dropping-particle" : "", "parse-names" : false, "suffix" : "" } ], "container-title" : "Liver transplantation : official publication of the American Association for the Study of Liver Diseases and the International Liver Transplantation Society", "id" : "ITEM-1", "issue" : "10", "issued" : { "date-parts" : [ [ "2008", "10" ] ] }, "page" : "1461-5", "title" : "Risk factors and outcomes in post-liver transplantation bile duct stones and casts: A case-control study.", "type" : "article-journal", "volume" : "14" }, "uris" : [ "http://www.mendeley.com/documents/?uuid=b8015050-49cb-40f0-a390-bb2d7f96e2af" ] } ], "mendeley" : { "formattedCitation" : "&lt;sup&gt;69&lt;/sup&gt;", "plainTextFormattedCitation" : "69", "previouslyFormattedCitation" : "&lt;sup&gt;69&lt;/sup&gt;"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69</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Ischemic events, hepatic artery thrombosis and the presence of biliary strictures are all independently associated with the development of biliary casts</w:t>
      </w:r>
      <w:r w:rsidR="0094463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t>62</w:t>
      </w:r>
      <w:r w:rsidR="0094463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Recurrent cholangitis, prolonged cold ischemia time and acute cellular rejection have also been hypothesized as risk factors.</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Biliary cast syndrome presents within a year of transplant, usually within 16 weeks, though some de</w:t>
      </w:r>
      <w:r w:rsidR="00A000CE" w:rsidRPr="00074190">
        <w:rPr>
          <w:rFonts w:ascii="Book Antiqua" w:eastAsia="Book Antiqua" w:hAnsi="Book Antiqua" w:cs="Book Antiqua"/>
          <w:sz w:val="24"/>
          <w:szCs w:val="24"/>
        </w:rPr>
        <w:t>layed cases have been described</w:t>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"10.1016/S0002-9270(03)00508-2", "ISSN" : "00029270", "PMID" : "12907345", "abstract" : "OBJECTIVES: Biliary casts develop in up to 18% of liver transplant recipients. Casts are associated with morbidity, graft failure, need for retransplantation, and mortality. Proposed etiological mechanisms include acute cellular rejection, ischemia, infection, and biliary obstruction. We aimed to identify clinical features associated with biliary cast formation, review treatments, and analyze the biochemical composition of casts at a single, large, liver transplant center. METHODS: Patient records were reviewed retrospectively to identify patients who developed casts. Data were collected with attention to ischemia, rejection, obstruction, infection, immunosuppression, postoperative biliary drain use, and cast-directed management, and were compared with data from controls. Cast specimens, retrieved at cholangiography, were analyzed with chromatography techniques. RESULTS: Ischemic factors were noted in 70% (7/10) of cast patients versus 15% (6/40) of controls (OR = 13.2; 95% CI = 2.7-66.0; p = 0.001). Biliary strictures were present in 50% of cast patients versus 10% of controls (OR = 9.0; 95% CI = 1.8-45.2; p = 0.01). Differences in cold ischemia time, acute cellular rejection, cyclosporin use, infection, and postoperative biliary drain use were not significant. Casts were successfully treated by endoscopic and percutaneous methods in 60% of patients. One patient died of cast-related complications (mortality 10%). Four casts were in satisfactory condition for biochemical analysis. Bilirubin was the main component ( approximately 10-50%). Bile acid synthesis products and cholesterol comprised smaller percentages, and protein comprised only 5-10%. CONCLUSIONS: Biliary casts are more likely to develop in the setting of hepatic ischemia and biliary strictures. Endoscopic and percutaneous cast extraction might achieve favorable results and should be attempted before surgical therapy.", "author" : [ { "dropping-particle" : "", "family" : "Shah", "given" : "Janak N", "non-dropping-particle" : "", "parse-names" : false, "suffix" : "" }, { "dropping-particle" : "", "family" : "Haigh", "given" : "W Geoffrey", "non-dropping-particle" : "", "parse-names" : false, "suffix" : "" }, { "dropping-particle" : "", "family" : "Lee", "given" : "Sum P", "non-dropping-particle" : "", "parse-names" : false, "suffix" : "" }, { "dropping-particle" : "", "family" : "Lucey", "given" : "Michael R", "non-dropping-particle" : "", "parse-names" : false, "suffix" : "" }, { "dropping-particle" : "", "family" : "Brensinger", "given" : "Colleen M", "non-dropping-particle" : "", "parse-names" : false, "suffix" : "" }, { "dropping-particle" : "", "family" : "Kochman", "given" : "Michael L", "non-dropping-particle" : "", "parse-names" : false, "suffix" : "" }, { "dropping-particle" : "", "family" : "Long", "given" : "William B", "non-dropping-particle" : "", "parse-names" : false, "suffix" : "" }, { "dropping-particle" : "", "family" : "Olthoff", "given" : "Kim", "non-dropping-particle" : "", "parse-names" : false, "suffix" : "" }, { "dropping-particle" : "", "family" : "Shaked", "given" : "Abraham", "non-dropping-particle" : "", "parse-names" : false, "suffix" : "" }, { "dropping-particle" : "", "family" : "Ginsberg", "given" : "Gregory G", "non-dropping-particle" : "", "parse-names" : false, "suffix" : "" } ], "container-title" : "The American journal of gastroenterology", "id" : "ITEM-1", "issued" : { "date-parts" : [ [ "2003" ] ] }, "page" : "1861-1867", "title" : "Biliary casts after orthotopic liver transplantation: clinical factors, treatment, biochemical analysis.", "type" : "article-journal", "volume" : "98" }, "uris" : [ "http://www.mendeley.com/documents/?uuid=d9342695-805a-4348-8ba1-f6a6fa003e02" ] } ], "mendeley" : { "formattedCitation" : "&lt;sup&gt;67&lt;/sup&gt;", "plainTextFormattedCitation" : "67", "previouslyFormattedCitation" : "&lt;sup&gt;67&lt;/sup&gt;"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67</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"10.1067/mge.2000.106687", "ISSN" : "0016-5107", "PMID" : "10882963", "abstract" : "BACKGROUND: Surgery, percutaneous cholangiography, and endoscopic retrograde cholangiopancreatography (ERCP) have been used in the management of biliary complications after orthotopic liver transplantation with varied results. We assessed the role of ERCP in the diagnosis, treatment, and outcome of post-orthotopic liver transplantation biliary complications. METHODS: We retrospectively reviewed the records of 260 patients who underwent orthotopic liver transplantation. We examined the number of patients referred for ERCP and the indication, diagnosis, therapeutic intervention, success, and complication rate of ERCP post orthotopic liver transplantation. We compared the survival and retransplantation rates of the patients who underwent ERCP with a control group of post-orthotopic liver transplantation patients not undergoing ERCP. RESULTS: Of the 260 patients undergoing orthotopic liver transplantation, 64 (24.6%) underwent 137 ERCPs. Two categories of indications for ERCP were identified: bile leak (n = 31) and obstruction (n = 39). ERCP identified the site of the bile leak in 27 of 31 cases (87.1%) and the leak was treated by endoscopic means in 26 of 31 (83.9%). Treatment success differed significantly based on location of the leak (T tube, 95.2% vs. anastomosis, 42.9%; p = 0. 009). ERCP identified the site of obstruction in 37 of 39 cases (94. 9%) and obstruction was relieved by endoscopic means in 25 of 35 cases (71.4%). ERCP was significantly less successful in the treatment of biliary casts (25.0%, p = 0.048). There was no difference in survival or retransplantation between patients who did and did not undergo ERCP. CONCLUSION: ERCP should be the primary method for diagnosis and treatment of post-orthotopic liver transplantation biliary complications. Endoscopic therapy is safe and effective for the majority of post-orthotopic liver transplantation complications and temporizes management for those complications that may require surgery.", "author" : [ { "dropping-particle" : "", "family" : "Pfau", "given" : "P R", "non-dropping-particle" : "", "parse-names" : false, "suffix" : "" }, { "dropping-particle" : "", "family" : "Kochman", "given" : "M L", "non-dropping-particle" : "", "parse-names" : false, "suffix" : "" }, { "dropping-particle" : "", "family" : "Lewis", "given" : "J D", "non-dropping-particle" : "", "parse-names" : false, "suffix" : "" }, { "dropping-particle" : "", "family" : "Long", "given" : "W B", "non-dropping-particle" : "", "parse-names" : false, "suffix" : "" }, { "dropping-particle" : "", "family" : "Lucey", "given" : "M R", "non-dropping-particle" : "", "parse-names" : false, "suffix" : "" }, { "dropping-particle" : "", "family" : "Olthoff", "given" : "K", "non-dropping-particle" : "", "parse-names" : false, "suffix" : "" }, { "dropping-particle" : "", "family" : "Shaked", "given" : "A", "non-dropping-particle" : "", "parse-names" : false, "suffix" : "" }, { "dropping-particle" : "", "family" : "Ginsberg", "given" : "G G", "non-dropping-particle" : "", "parse-names" : false, "suffix" : "" } ], "container-title" : "Gastrointestinal endoscopy", "id" : "ITEM-1", "issued" : { "date-parts" : [ [ "2000" ] ] }, "page" : "55-63", "title" : "Endoscopic management of postoperative biliary complications in orthotopic liver transplantation.", "type" : "article-journal", "volume" : "52" }, "uris" : [ "http://www.mendeley.com/documents/?uuid=ba90d448-68fd-4c4c-aa1c-e36d44ef87f5" ] } ], "mendeley" : { "formattedCitation" : "&lt;sup&gt;70&lt;/sup&gt;", "plainTextFormattedCitation" : "70", "previouslyFormattedCitation" : "&lt;sup&gt;70&lt;/sup&gt;"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70</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Elevated cholestatic liver enzymes or incidental bile duct dilatation with echogenic material filling the bile duct may be seen on ultrasound. However, ultrasound has low sensitivity and biliary casts can only reliably be detected by ERC or PTC, where they may appear as irregular filling defects within the biliary tree</w:t>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"ISSN" : "0039-6060", "PMID" : "319551", "abstract" : "In 93 consecutive cases of orthotopic liver transplantation, there were 24 example of biliary obstruction and eight of bile fistula formation. Six of the obstructed livers developed biliary cast formation so extensive that the smaller intrhepatic ducts became plugged to an extent that they could no longer have been treated by surgical mena. In each of the six cases, the most important causative factor was neglected obstruction of the large bile ducts with the intrahepatic lesions apparently being late and secondary. Stone and/or cast formation also occurred in other obstructed livers in the presence of bile fustulas, but these deposits were limited to the large ducts where they could have been or were removed. Although homograft bile undoubtedly has increased lithogenicity at certain posoperative times, the data from the present study have shown that biliary sludge formation essentially is always associated with defective bile duct reconstruction, and the observations have underscored the urgency with which reoperation must be considered. Techniques of secondary intervention have been described, with emphasis on conversion of cholecystojejunostomy to choledochojejunostomy. This operation has permitted salvage of homografts in eight of nine trials and the survival of seven patients.", "author" : [ { "dropping-particle" : "", "family" : "Starzl", "given" : "T E", "non-dropping-particle" : "", "parse-names" : false, "suffix" : "" }, { "dropping-particle" : "", "family" : "Putnam", "given" : "C W", "non-dropping-particle" : "", "parse-names" : false, "suffix" : "" }, { "dropping-particle" : "", "family" : "Hansbrough", "given" : "J F", "non-dropping-particle" : "", "parse-names" : false, "suffix" : "" }, { "dropping-particle" : "", "family" : "Porter", "given" : "K A", "non-dropping-particle" : "", "parse-names" : false, "suffix" : "" }, { "dropping-particle" : "", "family" : "Reid", "given" : "H A", "non-dropping-particle" : "", "parse-names" : false, "suffix" : "" } ], "container-title" : "Surgery", "id" : "ITEM-1", "issued" : { "date-parts" : [ [ "1977" ] ] }, "page" : "212-221", "title" : "Biliary complications after liver transplantation: with special reference to the biliary cast syndrome and techniques of secondary duct repair.", "type" : "article-journal", "volume" : "81" }, "uris" : [ "http://www.mendeley.com/documents/?uuid=2972b6cd-27cc-447d-9368-d37fdab50955" ] } ], "mendeley" : { "formattedCitation" : "&lt;sup&gt;65&lt;/sup&gt;", "plainTextFormattedCitation" : "65", "previouslyFormattedCitation" : "&lt;sup&gt;65&lt;/sup&gt;"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65</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Endoscopic or percutaneous removal of casts with the use of basket or balloon devices, irrigation and hydraulic or mechanical lithotripsy is the typical management strategy. The success of endoscopic and percutaneous methods is reported at 25-70%</w:t>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"10.1016/S0002-9270(03)00508-2", "ISSN" : "00029270", "PMID" : "12907345", "abstract" : "OBJECTIVES: Biliary casts develop in up to 18% of liver transplant recipients. Casts are associated with morbidity, graft failure, need for retransplantation, and mortality. Proposed etiological mechanisms include acute cellular rejection, ischemia, infection, and biliary obstruction. We aimed to identify clinical features associated with biliary cast formation, review treatments, and analyze the biochemical composition of casts at a single, large, liver transplant center. METHODS: Patient records were reviewed retrospectively to identify patients who developed casts. Data were collected with attention to ischemia, rejection, obstruction, infection, immunosuppression, postoperative biliary drain use, and cast-directed management, and were compared with data from controls. Cast specimens, retrieved at cholangiography, were analyzed with chromatography techniques. RESULTS: Ischemic factors were noted in 70% (7/10) of cast patients versus 15% (6/40) of controls (OR = 13.2; 95% CI = 2.7-66.0; p = 0.001). Biliary strictures were present in 50% of cast patients versus 10% of controls (OR = 9.0; 95% CI = 1.8-45.2; p = 0.01). Differences in cold ischemia time, acute cellular rejection, cyclosporin use, infection, and postoperative biliary drain use were not significant. Casts were successfully treated by endoscopic and percutaneous methods in 60% of patients. One patient died of cast-related complications (mortality 10%). Four casts were in satisfactory condition for biochemical analysis. Bilirubin was the main component ( approximately 10-50%). Bile acid synthesis products and cholesterol comprised smaller percentages, and protein comprised only 5-10%. CONCLUSIONS: Biliary casts are more likely to develop in the setting of hepatic ischemia and biliary strictures. Endoscopic and percutaneous cast extraction might achieve favorable results and should be attempted before surgical therapy.", "author" : [ { "dropping-particle" : "", "family" : "Shah", "given" : "Janak N", "non-dropping-particle" : "", "parse-names" : false, "suffix" : "" }, { "dropping-particle" : "", "family" : "Haigh", "given" : "W Geoffrey", "non-dropping-particle" : "", "parse-names" : false, "suffix" : "" }, { "dropping-particle" : "", "family" : "Lee", "given" : "Sum P", "non-dropping-particle" : "", "parse-names" : false, "suffix" : "" }, { "dropping-particle" : "", "family" : "Lucey", "given" : "Michael R", "non-dropping-particle" : "", "parse-names" : false, "suffix" : "" }, { "dropping-particle" : "", "family" : "Brensinger", "given" : "Colleen M", "non-dropping-particle" : "", "parse-names" : false, "suffix" : "" }, { "dropping-particle" : "", "family" : "Kochman", "given" : "Michael L", "non-dropping-particle" : "", "parse-names" : false, "suffix" : "" }, { "dropping-particle" : "", "family" : "Long", "given" : "William B", "non-dropping-particle" : "", "parse-names" : false, "suffix" : "" }, { "dropping-particle" : "", "family" : "Olthoff", "given" : "Kim", "non-dropping-particle" : "", "parse-names" : false, "suffix" : "" }, { "dropping-particle" : "", "family" : "Shaked", "given" : "Abraham", "non-dropping-particle" : "", "parse-names" : false, "suffix" : "" }, { "dropping-particle" : "", "family" : "Ginsberg", "given" : "Gregory G", "non-dropping-particle" : "", "parse-names" : false, "suffix" : "" } ], "container-title" : "The American journal of gastroenterology", "id" : "ITEM-1", "issued" : { "date-parts" : [ [ "2003" ] ] }, "page" : "1861-1867", "title" : "Biliary casts after orthotopic liver transplantation: clinical factors, treatment, biochemical analysis.", "type" : "article-journal", "volume" : "98" }, "uris" : [ "http://www.mendeley.com/documents/?uuid=d9342695-805a-4348-8ba1-f6a6fa003e02" ] } ], "mendeley" : { "formattedCitation" : "&lt;sup&gt;67&lt;/sup&gt;", "plainTextFormattedCitation" : "67", "previouslyFormattedCitation" : "&lt;sup&gt;67&lt;/sup&gt;"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67</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"10.1067/mge.2000.106687", "ISSN" : "0016-5107", "PMID" : "10882963", "abstract" : "BACKGROUND: Surgery, percutaneous cholangiography, and endoscopic retrograde cholangiopancreatography (ERCP) have been used in the management of biliary complications after orthotopic liver transplantation with varied results. We assessed the role of ERCP in the diagnosis, treatment, and outcome of post-orthotopic liver transplantation biliary complications. METHODS: We retrospectively reviewed the records of 260 patients who underwent orthotopic liver transplantation. We examined the number of patients referred for ERCP and the indication, diagnosis, therapeutic intervention, success, and complication rate of ERCP post orthotopic liver transplantation. We compared the survival and retransplantation rates of the patients who underwent ERCP with a control group of post-orthotopic liver transplantation patients not undergoing ERCP. RESULTS: Of the 260 patients undergoing orthotopic liver transplantation, 64 (24.6%) underwent 137 ERCPs. Two categories of indications for ERCP were identified: bile leak (n = 31) and obstruction (n = 39). ERCP identified the site of the bile leak in 27 of 31 cases (87.1%) and the leak was treated by endoscopic means in 26 of 31 (83.9%). Treatment success differed significantly based on location of the leak (T tube, 95.2% vs. anastomosis, 42.9%; p = 0. 009). ERCP identified the site of obstruction in 37 of 39 cases (94. 9%) and obstruction was relieved by endoscopic means in 25 of 35 cases (71.4%). ERCP was significantly less successful in the treatment of biliary casts (25.0%, p = 0.048). There was no difference in survival or retransplantation between patients who did and did not undergo ERCP. CONCLUSION: ERCP should be the primary method for diagnosis and treatment of post-orthotopic liver transplantation biliary complications. Endoscopic therapy is safe and effective for the majority of post-orthotopic liver transplantation complications and temporizes management for those complications that may require surgery.", "author" : [ { "dropping-particle" : "", "family" : "Pfau", "given" : "P R", "non-dropping-particle" : "", "parse-names" : false, "suffix" : "" }, { "dropping-particle" : "", "family" : "Kochman", "given" : "M L", "non-dropping-particle" : "", "parse-names" : false, "suffix" : "" }, { "dropping-particle" : "", "family" : "Lewis", "given" : "J D", "non-dropping-particle" : "", "parse-names" : false, "suffix" : "" }, { "dropping-particle" : "", "family" : "Long", "given" : "W B", "non-dropping-particle" : "", "parse-names" : false, "suffix" : "" }, { "dropping-particle" : "", "family" : "Lucey", "given" : "M R", "non-dropping-particle" : "", "parse-names" : false, "suffix" : "" }, { "dropping-particle" : "", "family" : "Olthoff", "given" : "K", "non-dropping-particle" : "", "parse-names" : false, "suffix" : "" }, { "dropping-particle" : "", "family" : "Shaked", "given" : "A", "non-dropping-particle" : "", "parse-names" : false, "suffix" : "" }, { "dropping-particle" : "", "family" : "Ginsberg", "given" : "G G", "non-dropping-particle" : "", "parse-names" : false, "suffix" : "" } ], "container-title" : "Gastrointestinal endoscopy", "id" : "ITEM-1", "issued" : { "date-parts" : [ [ "2000" ] ] }, "page" : "55-63", "title" : "Endoscopic management of postoperative biliary complications in orthotopic liver transplantation.", "type" : "article-journal", "volume" : "52" }, "uris" : [ "http://www.mendeley.com/documents/?uuid=ba90d448-68fd-4c4c-aa1c-e36d44ef87f5" ] } ], "mendeley" : { "formattedCitation" : "&lt;sup&gt;70&lt;/sup&gt;", "plainTextFormattedCitation" : "70", "previouslyFormattedCitation" : "&lt;sup&gt;70&lt;/sup&gt;"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70</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xml:space="preserve">. </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A complex NAS is shown in figure 3 with biliary cast formation. Several ERCPs and dilation, cast extraction and stenting were required over several years with preservation of graft function.</w:t>
      </w:r>
    </w:p>
    <w:p w:rsidR="005E3013" w:rsidRPr="00074190" w:rsidRDefault="005E3013" w:rsidP="00074190">
      <w:pPr>
        <w:spacing w:after="0" w:line="360" w:lineRule="auto"/>
        <w:jc w:val="both"/>
        <w:rPr>
          <w:rFonts w:ascii="Book Antiqua" w:eastAsia="Book Antiqua" w:hAnsi="Book Antiqua" w:cs="Book Antiqua"/>
          <w:sz w:val="24"/>
          <w:szCs w:val="24"/>
        </w:rPr>
      </w:pPr>
    </w:p>
    <w:p w:rsidR="005E3013" w:rsidRPr="00074190" w:rsidRDefault="00A000CE" w:rsidP="00074190">
      <w:pPr>
        <w:spacing w:after="0" w:line="360" w:lineRule="auto"/>
        <w:jc w:val="both"/>
        <w:rPr>
          <w:rFonts w:ascii="Book Antiqua" w:eastAsia="Book Antiqua" w:hAnsi="Book Antiqua" w:cs="Book Antiqua"/>
          <w:b/>
          <w:sz w:val="24"/>
          <w:szCs w:val="24"/>
        </w:rPr>
      </w:pPr>
      <w:r w:rsidRPr="00074190">
        <w:rPr>
          <w:rFonts w:ascii="Book Antiqua" w:eastAsia="Book Antiqua" w:hAnsi="Book Antiqua" w:cs="Book Antiqua"/>
          <w:b/>
          <w:sz w:val="24"/>
          <w:szCs w:val="24"/>
        </w:rPr>
        <w:t xml:space="preserve">DONOR COMPLICATIONS </w:t>
      </w:r>
    </w:p>
    <w:p w:rsidR="00C63B2C" w:rsidRPr="00074190" w:rsidRDefault="006A074B" w:rsidP="00074190">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sz w:val="24"/>
          <w:szCs w:val="24"/>
        </w:rPr>
        <w:t>Adult to adult LDLT also carries some risks to the donor beyond the typical complications associated with abdominal surgery.  Various studies (</w:t>
      </w:r>
      <w:r w:rsidR="00644BD6" w:rsidRPr="00074190">
        <w:rPr>
          <w:rFonts w:ascii="Book Antiqua" w:eastAsia="Book Antiqua" w:hAnsi="Book Antiqua" w:cs="Book Antiqua"/>
          <w:sz w:val="24"/>
          <w:szCs w:val="24"/>
        </w:rPr>
        <w:t xml:space="preserve">Table </w:t>
      </w:r>
      <w:r w:rsidR="007A2D1E" w:rsidRPr="00074190">
        <w:rPr>
          <w:rFonts w:ascii="Book Antiqua" w:eastAsia="Book Antiqua" w:hAnsi="Book Antiqua" w:cs="Book Antiqua"/>
          <w:sz w:val="24"/>
          <w:szCs w:val="24"/>
        </w:rPr>
        <w:t>3</w:t>
      </w:r>
      <w:r w:rsidRPr="00074190">
        <w:rPr>
          <w:rFonts w:ascii="Book Antiqua" w:eastAsia="Book Antiqua" w:hAnsi="Book Antiqua" w:cs="Book Antiqua"/>
          <w:sz w:val="24"/>
          <w:szCs w:val="24"/>
        </w:rPr>
        <w:t xml:space="preserve">) have </w:t>
      </w:r>
      <w:r w:rsidR="00A000CE" w:rsidRPr="00074190">
        <w:rPr>
          <w:rFonts w:ascii="Book Antiqua" w:eastAsia="Book Antiqua" w:hAnsi="Book Antiqua" w:cs="Book Antiqua"/>
          <w:sz w:val="24"/>
          <w:szCs w:val="24"/>
        </w:rPr>
        <w:t>reported a 6</w:t>
      </w:r>
      <w:r w:rsidR="00A000CE" w:rsidRPr="00074190">
        <w:rPr>
          <w:rFonts w:ascii="Book Antiqua" w:hAnsi="Book Antiqua" w:cs="Book Antiqua"/>
          <w:sz w:val="24"/>
          <w:szCs w:val="24"/>
          <w:lang w:eastAsia="zh-CN"/>
        </w:rPr>
        <w:t>%</w:t>
      </w:r>
      <w:r w:rsidR="00A000CE" w:rsidRPr="00074190">
        <w:rPr>
          <w:rFonts w:ascii="Book Antiqua" w:eastAsia="Book Antiqua" w:hAnsi="Book Antiqua" w:cs="Book Antiqua"/>
          <w:sz w:val="24"/>
          <w:szCs w:val="24"/>
        </w:rPr>
        <w:t>-18</w:t>
      </w:r>
      <w:r w:rsidRPr="00074190">
        <w:rPr>
          <w:rFonts w:ascii="Book Antiqua" w:eastAsia="Book Antiqua" w:hAnsi="Book Antiqua" w:cs="Book Antiqua"/>
          <w:sz w:val="24"/>
          <w:szCs w:val="24"/>
        </w:rPr>
        <w:t>% incidence of donor biliary complications</w:t>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"10.1111/j.1600-6143.2010.03284.x", "ISSN" : "1600-6143", "PMID" : "21199351", "abstract" : "The lack of use of a common grading system in reporting morbidity impedes estimation of the true risk to a right lobe living donor (RLLD). We report outcomes in 91 consecutive RLLD's using the validated 5-tier Clavien grading and a quality of life (QOL) questionnaire. The median follow-up was 79 months. The donors were predominantly female (66%), 22 (24%) received autologous blood transfusions. Fifty-three complications occurred in 43 donors (47% morbidity), 19 (37%) were \u2265 Grade III, biliary fistula (14%) was the most common. There was no donor mortality. Two intraoperative complications could not be graded and two disfiguring complications in female donors were graded as minor. Two subgroups (first 46 vs. later 45 donors) were compared to study the presence if any, of a learning curve. The later 45 donors had lesser autologous transfusions, lesser rehospitalization and no reoperation and a reduction in the proportion of \u2265 Grade III (major) complications (24% vs. 50%; p = 0.06). In the long term, donors expressed an overall sense of well being, but some sequelae of surgery do restrain their current lifestyle. Our results warn against lackadaisical vigilance once RLLD hepatectomy becomes routine.", "author" : [ { "dropping-particle" : "", "family" : "Azoulay", "given" : "D", "non-dropping-particle" : "", "parse-names" : false, "suffix" : "" }, { "dropping-particle" : "", "family" : "Bhangui", "given" : "P", "non-dropping-particle" : "", "parse-names" : false, "suffix" : "" }, { "dropping-particle" : "", "family" : "Andreani", "given" : "P", "non-dropping-particle" : "", "parse-names" : false, "suffix" : "" }, { "dropping-particle" : "", "family" : "Salloum", "given" : "C", "non-dropping-particle" : "", "parse-names" : false, "suffix" : "" }, { "dropping-particle" : "", "family" : "Karam", "given" : "V", "non-dropping-particle" : "", "parse-names" : false, "suffix" : "" }, { "dropping-particle" : "", "family" : "Hoti", "given" : "E", "non-dropping-particle" : "", "parse-names" : false, "suffix" : "" }, { "dropping-particle" : "", "family" : "Pascal", "given" : "G", "non-dropping-particle" : "", "parse-names" : false, "suffix" : "" }, { "dropping-particle" : "", "family" : "Adam", "given" : "R", "non-dropping-particle" : "", "parse-names" : false, "suffix" : "" }, { "dropping-particle" : "", "family" : "Samuel", "given" : "D", "non-dropping-particle" : "", "parse-names" : false, "suffix" : "" }, { "dropping-particle" : "", "family" : "Ichai", "given" : "Ph", "non-dropping-particle" : "", "parse-names" : false, "suffix" : "" }, { "dropping-particle" : "", "family" : "Saliba", "given" : "F", "non-dropping-particle" : "", "parse-names" : false, "suffix" : "" }, { "dropping-particle" : "", "family" : "Castaing", "given" : "D", "non-dropping-particle" : "", "parse-names" : false, "suffix" : "" } ], "container-title" : "American journal of transplantation : official journal of the American Society of Transplantation and the American Society of Transplant Surgeons", "id" : "ITEM-1", "issue" : "1", "issued" : { "date-parts" : [ [ "2011", "1" ] ] }, "page" : "101-10", "title" : "Short- and long-term donor morbidity in right lobe living donor liver transplantation: 91 consecutive cases in a European Center.", "type" : "article-journal", "volume" : "11" }, "uris" : [ "http://www.mendeley.com/documents/?uuid=a3049707-905d-4617-88c5-494227466b05" ] } ], "mendeley" : { "formattedCitation" : "&lt;sup&gt;39&lt;/sup&gt;", "plainTextFormattedCitation" : "39", "previouslyFormattedCitation" : "&lt;sup&gt;39&lt;/sup&gt;"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39</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44635" w:rsidRPr="00074190">
        <w:rPr>
          <w:rFonts w:ascii="Book Antiqua" w:eastAsia="Book Antiqua" w:hAnsi="Book Antiqua" w:cs="Book Antiqua"/>
          <w:sz w:val="24"/>
          <w:szCs w:val="24"/>
          <w:vertAlign w:val="superscript"/>
        </w:rPr>
        <w:instrText>ADDIN CSL_CITATION { "citationItems" : [ { "id" : "ITEM-1", "itemData" : { "DOI" : "10.1053/j.gastro.2007.09.004", "ISSN" : "00165085", "PMID" : "18054553", "abstract" : "Background &amp; Aims: More than 2000 adult-to-adult living donor liver transplantations (LDLT) have been performed in the United States, yet the potential benefit to liver transplant candidates of undergoing LDLT compared with waiting for deceased donor liver transplantation (DDLT) is unknown. The aim of this study was to determine whether there is a survival benefit of adult LDLT. Methods: Adults with chronic liver disease who had a potential living donor evaluated from January 1998 to February 2003 at 9 university-based hospitals were analyzed. Starting at the time of a potential donor's evaluation, we compared mortality after LDLT to mortality among those who remained on the waiting list or received DDLT. Median follow-up was 4.4 years. Comparisons were made by hazard ratios (HR) adjusted for LDLT candidate characteristics at the time of donor evaluation. Results: Among 807 potential living donor recipients, 389 underwent LDLT, 249 underwent DDLT, 99 died without transplantation, and 70 were awaiting transplantation at last follow-up. Receipt of LDLT was associated with an adjusted mortality HR of 0.56 (95% confidence interval [CI]: 0.42-0.74; P &lt; .001) relative to candidates who did not undergo LDLT. As centers gained greater experience (&gt;20 LDLT), LDLT benefit was magnified, with a mortality HR of 0.35 (95% CI: 0.23-0.53; P &lt; .001). Conclusions: Adult LDLT was associated with lower mortality than the alternative of waiting for DDLT. This reduction in mortality was magnified as centers gained experience with LDLT. This reduction in transplant candidate mortality must be balanced against the risks undertaken by the living donors themselves. ?? 2007 AGA Institute.", "author" : [ { "dropping-particle" : "", "family" : "Berg", "given" : "Carl L.", "non-dropping-particle" : "", "parse-names" : false, "suffix" : "" }, { "dropping-particle" : "", "family" : "Gillespie", "given" : "Brenda W.", "non-dropping-particle" : "", "parse-names" : false, "suffix" : "" }, { "dropping-particle" : "", "family" : "Merion", "given" : "Robert M.", "non-dropping-particle" : "", "parse-names" : false, "suffix" : "" }, { "dropping-particle" : "", "family" : "Brown", "given" : "Robert S.", "non-dropping-particle" : "", "parse-names" : false, "suffix" : "" }, { "dropping-particle" : "", "family" : "Abecassis", "given" : "Michael M.", "non-dropping-particle" : "", "parse-names" : false, "suffix" : "" }, { "dropping-particle" : "", "family" : "Trotter", "given" : "James F.", "non-dropping-particle" : "", "parse-names" : false, "suffix" : "" }, { "dropping-particle" : "", "family" : "Fisher", "given" : "Robert A.", "non-dropping-particle" : "", "parse-names" : false, "suffix" : "" }, { "dropping-particle" : "", "family" : "Freise", "given" : "Chris E.", "non-dropping-particle" : "", "parse-names" : false, "suffix" : "" }, { "dropping-particle" : "", "family" : "Ghobrial", "given" : "R. Mark", "non-dropping-particle" : "", "parse-names" : false, "suffix" : "" }, { "dropping-particle" : "", "family" : "Shaked", "given" : "Abraham", "non-dropping-particle" : "", "parse-names" : false, "suffix" : "" }, { "dropping-particle" : "", "family" : "Fair", "given" : "Jeffrey H.", "non-dropping-particle" : "", "parse-names" : false, "suffix" : "" }, { "dropping-particle" : "", "family" : "Everhart", "given" : "James E.", "non-dropping-particle" : "", "parse-names" : false, "suffix" : "" } ], "container-title" : "Gastroenterology", "id" : "ITEM-1", "issued" : { "date-parts" : [ [ "2007" ] ] }, "page" : "1806-1813", "title" : "Improvement in Survival Associated With Adult-to-Adult Living Donor Liver Transplantation", "type" : "article-journal", "volume" : "133" }, "uris" : [ "http://www.mendeley.com/documents/?uuid=c2277c13-ea54-4287-a801-8569422e50be" ] } ], "mendeley" : { "formattedCitation" : "&lt;sup&gt;71&lt;/sup&gt;", "manualFormatting" : "7,1", "plainTextFormattedCitation" : "71", "previouslyFormattedCitation" : "&lt;sup&gt;71&lt;/sup&gt;"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71</w:t>
      </w:r>
      <w:r w:rsidR="00535B2B" w:rsidRPr="00074190">
        <w:rPr>
          <w:rFonts w:ascii="Book Antiqua" w:eastAsia="Book Antiqua" w:hAnsi="Book Antiqua" w:cs="Book Antiqua"/>
          <w:sz w:val="24"/>
          <w:szCs w:val="24"/>
          <w:vertAlign w:val="superscript"/>
        </w:rPr>
        <w:fldChar w:fldCharType="end"/>
      </w:r>
      <w:r w:rsidR="00A000CE" w:rsidRPr="00074190">
        <w:rPr>
          <w:rFonts w:ascii="Book Antiqua" w:hAnsi="Book Antiqua" w:cs="Book Antiqua"/>
          <w:sz w:val="24"/>
          <w:szCs w:val="24"/>
          <w:vertAlign w:val="superscript"/>
          <w:lang w:eastAsia="zh-CN"/>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"10.1053/jlts.2002.31315", "ISBN" : "1527-6465 (Print)\\r1527-6465 (Linking)", "ISSN" : "15276465", "PMID" : "11862585", "abstract" : "The aim if this study is to determine donor morbidity associated with right lobectomy for living donor liver transplantation (LDLT) to adult recipients through a systematic review of the published literature. Data sources were English-language reports on donor outcome after LDLT. MEDLINE (1995 to June 2001) was searched using the MeSH terms \"living donors\" and \"liver transplantation.\" Limits were set for human only and English language only. Bibliographies of retrieved references were cross-checked to identify additional reports; 211 reports were obtained. Population studies and consecutive and nonconsecutive series were included. All studies reported at least one of the following outcomes specific to living donors (LDs) of right hepatic lobes to adult recipients: surgical and hospital complications, length of hospital stay, readmissions, recovery time, return to predonation occupation, health-related quality of life, or mortality. Abstracts of relevant articles were reviewed independently using predetermined criteria, and appropriate articles were retrieved. Study design and results were summarized in evidence tables. Summary statistics of combined data were performed when possible. Twelve studies met the inclusion criteria. Data on donor morbidity associated with right lobectomy are limited. On the basis of reported data, morbidity associated with LD right lobectomy ranges from 0% to 67%. In conclusion, reported morbidity associated with right lobe donation for LDLT varies widely. Standardized definitions of morbidity and better methods for observing and measuring outcomes are necessary to understand and potentially improve morbidity. Future studies assessing LD outcomes should report donor outcome more explicitly.", "author" : [ { "dropping-particle" : "", "family" : "Beavers", "given" : "Kimberly L.", "non-dropping-particle" : "", "parse-names" : false, "suffix" : "" }, { "dropping-particle" : "", "family" : "Sandler", "given" : "Robert S.", "non-dropping-particle" : "", "parse-names" : false, "suffix" : "" }, { "dropping-particle" : "", "family" : "Shrestha", "given" : "Roshan", "non-dropping-particle" : "", "parse-names" : false, "suffix" : "" } ], "container-title" : "Liver Transplantation", "id" : "ITEM-1", "issued" : { "date-parts" : [ [ "2002" ] ] }, "page" : "110-117", "title" : "Donor morbidity associated with right lobectomy for living donor liver transplantation to adult recipients: A systematic review", "type" : "article-journal", "volume" : "8" }, "uris" : [ "http://www.mendeley.com/documents/?uuid=b0ed3bf5-1782-4e6c-be67-f2b02d34363e" ] } ], "mendeley" : { "formattedCitation" : "&lt;sup&gt;73&lt;/sup&gt;", "plainTextFormattedCitation" : "73", "previouslyFormattedCitation" : "&lt;sup&gt;73&lt;/sup&gt;"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73</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r w:rsidR="00C63B2C" w:rsidRPr="00074190">
        <w:rPr>
          <w:rFonts w:ascii="Book Antiqua" w:eastAsia="Book Antiqua" w:hAnsi="Book Antiqua" w:cs="Book Antiqua"/>
          <w:sz w:val="24"/>
          <w:szCs w:val="24"/>
        </w:rPr>
        <w:t xml:space="preserve"> Most of these complications were classified as Clavien grade 3 or 4</w:t>
      </w:r>
      <w:r w:rsidR="007A2D1E" w:rsidRPr="00074190">
        <w:rPr>
          <w:rFonts w:ascii="Book Antiqua" w:eastAsia="Book Antiqua" w:hAnsi="Book Antiqua" w:cs="Book Antiqua"/>
          <w:sz w:val="24"/>
          <w:szCs w:val="24"/>
        </w:rPr>
        <w:t>.</w:t>
      </w:r>
      <w:r w:rsidR="00C63B2C" w:rsidRPr="00074190">
        <w:rPr>
          <w:rFonts w:ascii="Book Antiqua" w:eastAsia="Book Antiqua" w:hAnsi="Book Antiqua" w:cs="Book Antiqua"/>
          <w:sz w:val="24"/>
          <w:szCs w:val="24"/>
        </w:rPr>
        <w:t xml:space="preserve"> </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In contrast to the recipient, bile leaks and biliary fistulas are more common in the donor than strictures. The A2ALL study in the US reported on almost 400 patients who donated the right lobe and found an incidence of  9% of bile leak or biloma, with a 0.5</w:t>
      </w:r>
      <w:r w:rsidR="00A000CE" w:rsidRPr="00074190">
        <w:rPr>
          <w:rFonts w:ascii="Book Antiqua" w:hAnsi="Book Antiqua" w:cs="Book Antiqua"/>
          <w:sz w:val="24"/>
          <w:szCs w:val="24"/>
          <w:lang w:eastAsia="zh-CN"/>
        </w:rPr>
        <w:t>%</w:t>
      </w:r>
      <w:r w:rsidR="00A000CE" w:rsidRPr="00074190">
        <w:rPr>
          <w:rFonts w:ascii="Book Antiqua" w:eastAsia="Book Antiqua" w:hAnsi="Book Antiqua" w:cs="Book Antiqua"/>
          <w:sz w:val="24"/>
          <w:szCs w:val="24"/>
        </w:rPr>
        <w:t>-</w:t>
      </w:r>
      <w:r w:rsidR="004B3D5A" w:rsidRPr="00074190">
        <w:rPr>
          <w:rFonts w:ascii="Book Antiqua" w:eastAsia="Book Antiqua" w:hAnsi="Book Antiqua" w:cs="Book Antiqua"/>
          <w:sz w:val="24"/>
          <w:szCs w:val="24"/>
        </w:rPr>
        <w:t>1.5</w:t>
      </w:r>
      <w:r w:rsidRPr="00074190">
        <w:rPr>
          <w:rFonts w:ascii="Book Antiqua" w:eastAsia="Book Antiqua" w:hAnsi="Book Antiqua" w:cs="Book Antiqua"/>
          <w:sz w:val="24"/>
          <w:szCs w:val="24"/>
        </w:rPr>
        <w:t>% incidence of post-operative biliary strictures since no biliary anast</w:t>
      </w:r>
      <w:r w:rsidR="00A000CE" w:rsidRPr="00074190">
        <w:rPr>
          <w:rFonts w:ascii="Book Antiqua" w:eastAsia="Book Antiqua" w:hAnsi="Book Antiqua" w:cs="Book Antiqua"/>
          <w:sz w:val="24"/>
          <w:szCs w:val="24"/>
        </w:rPr>
        <w:t>omosis is required in the donor</w:t>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"10.1053/j.gastro.2008.04.018", "ISSN" : "00165085", "PMID" : "18505689", "abstract" : "Background &amp; Aims: Reports of complications among adult right hepatic lobe donors have been limited to single centers. The rate and severity of complications in living donors were investigated in the 9-center Adult-to-Adult Living Donor Liver Transplantation Cohort Study (A2ALL). Methods: A retrospective observational study design was used. Participants included all potential living donors evaluated between 1998 and 2003. Complication severity was graded using the Clavien scoring system. Results: Of 405 donors accepted for donation, 393 underwent donation, and 12 procedures were aborted. There were 245 donors (62%) who did not experience complications; 82 (21%) had 1 complication, and 66 (17%) had 2 or more. Complications were scored as grade 1 (minor; n = 106, 27%), grade 2 (potentially life threatening; n = 103, 26%), grade 3 (life threatening; n = 8, 2%), and grade 4 (leading to death; n = 3, 0.8%). Common complications included biliary leaks beyond postoperative day 7 (n = 36, 9%), bacterial infections (n = 49, 12%), incisional hernia (n = 22, 6%), pleural effusion requiring intervention (n = 21, 5%), neuropraxia (n = 16, 4%), reexploration (n = 12, 3%), wound infections (n = 12, 3%), and intraabdominal abscess (n = 9, 2%). Two donors developed portal vein thrombosis, and 1 had inferior vena caval thrombosis. Fifty-one (13%) donors required hospital readmission, and 14 (4%) required 2 to 5 readmissions. Conclusions: Adult living liver donation was associated with significant donor complications. Although most complications were of low-grade severity, a significant proportion were severe or life threatening. Quantification of complication risk may improve the informed consent process, perioperative planning, and donor care. \u00a9 2008 AGA Institute.", "author" : [ { "dropping-particle" : "", "family" : "Ghobrial", "given" : "Rafik M.", "non-dropping-particle" : "", "parse-names" : false, "suffix" : "" }, { "dropping-particle" : "", "family" : "Freise", "given" : "Chris E.", "non-dropping-particle" : "", "parse-names" : false, "suffix" : "" }, { "dropping-particle" : "", "family" : "Trotter", "given" : "James F.", "non-dropping-particle" : "", "parse-names" : false, "suffix" : "" }, { "dropping-particle" : "", "family" : "Tong", "given" : "Lan", "non-dropping-particle" : "", "parse-names" : false, "suffix" : "" }, { "dropping-particle" : "", "family" : "Ojo", "given" : "Akinlolu O.", "non-dropping-particle" : "", "parse-names" : false, "suffix" : "" }, { "dropping-particle" : "", "family" : "Fair", "given" : "Jeffrey H.", "non-dropping-particle" : "", "parse-names" : false, "suffix" : "" }, { "dropping-particle" : "", "family" : "Fisher", "given" : "Robert A.", "non-dropping-particle" : "", "parse-names" : false, "suffix" : "" }, { "dropping-particle" : "", "family" : "Emond", "given" : "Jean C.", "non-dropping-particle" : "", "parse-names" : false, "suffix" : "" }, { "dropping-particle" : "", "family" : "Koffron", "given" : "Alan J.", "non-dropping-particle" : "", "parse-names" : false, "suffix" : "" }, { "dropping-particle" : "", "family" : "Pruett", "given" : "Timothy L.", "non-dropping-particle" : "", "parse-names" : false, "suffix" : "" }, { "dropping-particle" : "", "family" : "Olthoff", "given" : "Kim M.", "non-dropping-particle" : "", "parse-names" : false, "suffix" : "" } ], "container-title" : "Gastroenterology", "id" : "ITEM-1", "issued" : { "date-parts" : [ [ "2008" ] ] }, "page" : "468-476", "title" : "Donor Morbidity After Living Donation for Liver Transplantation", "type" : "article-journal", "volume" : "135" }, "uris" : [ "http://www.mendeley.com/documents/?uuid=8bfb3194-8d11-41a3-a9db-25c12a182cf3" ] } ], "mendeley" : { "formattedCitation" : "&lt;sup&gt;72&lt;/sup&gt;", "plainTextFormattedCitation" : "72", "previouslyFormattedCitation" : "&lt;sup&gt;72&lt;/sup&gt;"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72</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"10.1016/j.transproceed.2012.04.002", "ISSN" : "1873-2623", "PMID" : "22841225", "abstract" : "INTRODUCTION: Living donor liver transplantation (LDLT) has become necessary because of the shortage of cadaveric organs. We retrospectively analyzed 500 living donor hepatectomies using the Clavien classification system for complications to grade their severity.\n\nMATERIALS AND METHODS: We retrospectively identified and applied the Clavien classification to 500 consecutive donors who underwent right for LDLT left hepatectomy between January 2007 and August 2011.\n\nRESULTS: The 149 complications were observed in 93 of 500 (18.6%) donors who were followed for a mean 30 months. There wan no donor mortality. Complications developed in 85 (18.6%) right 5 (35.7%) left, and 3 (10%) left lateral segment hepatectomy donors. The overall incidence of reoperations was 7.2%. Seventy-seven of 149 complications were grade I (51.6%) or 9 grade II (6%). The major complications consisted of 27 (18.1%) grade IIIa, 35 (23.4%) grade IIIb, and 1 (0.6%) grade IVa. Grade IVb and grade V complications did not occur. The most common problems were biliary complications in 14 of 181 donors (7.7%).\n\nCONCLUSION: Donors for LDLT experienced a range of complications.", "author" : [ { "dropping-particle" : "", "family" : "Ozgor", "given" : "D", "non-dropping-particle" : "", "parse-names" : false, "suffix" : "" }, { "dropping-particle" : "", "family" : "Dirican", "given" : "A", "non-dropping-particle" : "", "parse-names" : false, "suffix" : "" }, { "dropping-particle" : "", "family" : "Ates", "given" : "M", "non-dropping-particle" : "", "parse-names" : false, "suffix" : "" }, { "dropping-particle" : "", "family" : "G\u00f6n\u00fcltas", "given" : "F", "non-dropping-particle" : "", "parse-names" : false, "suffix" : "" }, { "dropping-particle" : "", "family" : "Ara", "given" : "C", "non-dropping-particle" : "", "parse-names" : false, "suffix" : "" }, { "dropping-particle" : "", "family" : "Yilmaz", "given" : "S", "non-dropping-particle" : "", "parse-names" : false, "suffix" : "" } ], "container-title" : "Transplantation proceedings", "id" : "ITEM-1", "issue" : "6", "issued" : { "date-parts" : [ [ "0" ] ] }, "page" : "1604-7", "title" : "Donor complications among 500 living donor liver transplantations at a single center.", "type" : "article-journal", "volume" : "44" }, "uris" : [ "http://www.mendeley.com/documents/?uuid=cdd98f7d-1631-4fd9-b5f3-30f5d800ed35" ] } ], "mendeley" : { "formattedCitation" : "&lt;sup&gt;74&lt;/sup&gt;", "plainTextFormattedCitation" : "74", "previouslyFormattedCitation" : "&lt;sup&gt;74&lt;/sup&gt;"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74</w:t>
      </w:r>
      <w:r w:rsidR="00535B2B" w:rsidRPr="00074190">
        <w:rPr>
          <w:rFonts w:ascii="Book Antiqua" w:eastAsia="Book Antiqua" w:hAnsi="Book Antiqua" w:cs="Book Antiqua"/>
          <w:sz w:val="24"/>
          <w:szCs w:val="24"/>
          <w:vertAlign w:val="superscript"/>
        </w:rPr>
        <w:fldChar w:fldCharType="end"/>
      </w:r>
      <w:r w:rsidR="00944635"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w:t>
      </w:r>
      <w:r w:rsidR="00C63B2C" w:rsidRPr="00074190">
        <w:rPr>
          <w:rFonts w:ascii="Book Antiqua" w:eastAsia="Book Antiqua" w:hAnsi="Book Antiqua" w:cs="Book Antiqua"/>
          <w:sz w:val="24"/>
          <w:szCs w:val="24"/>
        </w:rPr>
        <w:t xml:space="preserve"> Due to larger graft size, complications are most after right lobe donation and least with left lateral grafts</w:t>
      </w:r>
      <w:r w:rsidR="00B0728A"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"10.1111/j.1572-0241.2008.01786.x", "ISSN" : "1572-0241", "PMID" : "18510614", "abstract" : "OBJECTIVES: With the increasing number of living donor liver transplantations, biliary complications in donors have emerged as a major postoperative problem. The aim of the present study was to characterize the features of the biliary complications that occur in donors.\n\nMETHODS: The study subjects comprised 731 consecutive patients who donated liver grafts (434 right-lobe and 297 left-lobe grafts) for transplantation at Kyoto University Hospital from July 1999 to December 2006. Donors whose biliary complications could not be cured by conservative therapy were referred for endoscopic treatment.\n\nRESULTS: Postoperative biliary complications occurred in 55 (7.5%) donors. Initially, 48 of these 55 donors had biliary leakage and 7 had biliary stricture. Subsequently, 5 of 48 donors with leakage developed biliary stricture. The respective incidences of biliary leakage and overall biliary complications were significantly higher among donors of right-lobe grafts (9.9% and 11.1%) than among donors of left-lobe grafts (1.7% and 2.4%). Among 55 donors with biliary complications, 24 were cured by conservative therapy, and 1 was converted to surgical repair due to ileus. Endoscopic treatment was successful in 24 of 30 (80%) donors treated by endoscopic retrograde cholangiography, while the remaining 6 (20%) patients underwent surgery due to difficulties with cannulation (N = 2), excessive biliary leakage (N = 2), or complete biliary obstruction (N = 2).\n\nCONCLUSIONS: Donors of right-lobe grafts have a significantly higher incidence of biliary complications than donors of left-lobe grafts. When conservative therapy fails, endoscopic treatment is effective for these complications, and should be attempted as the first-line therapy before surgical repair.", "author" : [ { "dropping-particle" : "", "family" : "Shio", "given" : "Seiji", "non-dropping-particle" : "", "parse-names" : false, "suffix" : "" }, { "dropping-particle" : "", "family" : "Yazumi", "given" : "Shujiro", "non-dropping-particle" : "", "parse-names" : false, "suffix" : "" }, { "dropping-particle" : "", "family" : "Ogawa", "given" : "Kohei", "non-dropping-particle" : "", "parse-names" : false, "suffix" : "" }, { "dropping-particle" : "", "family" : "Hasegawa", "given" : "Kazunori", "non-dropping-particle" : "", "parse-names" : false, "suffix" : "" }, { "dropping-particle" : "", "family" : "Tsuji", "given" : "Yoshihisa", "non-dropping-particle" : "", "parse-names" : false, "suffix" : "" }, { "dropping-particle" : "", "family" : "Kida", "given" : "Masaya", "non-dropping-particle" : "", "parse-names" : false, "suffix" : "" }, { "dropping-particle" : "", "family" : "Yamauchi", "given" : "Junichi", "non-dropping-particle" : "", "parse-names" : false, "suffix" : "" }, { "dropping-particle" : "", "family" : "Ida", "given" : "Hiroshi", "non-dropping-particle" : "", "parse-names" : false, "suffix" : "" }, { "dropping-particle" : "", "family" : "Tada", "given" : "Shinsuke", "non-dropping-particle" : "", "parse-names" : false, "suffix" : "" }, { "dropping-particle" : "", "family" : "Uemoto", "given" : "Shinji", "non-dropping-particle" : "", "parse-names" : false, "suffix" : "" }, { "dropping-particle" : "", "family" : "Chiba", "given" : "Tsutomu", "non-dropping-particle" : "", "parse-names" : false, "suffix" : "" } ], "container-title" : "The American journal of gastroenterology", "id" : "ITEM-1", "issue" : "6", "issued" : { "date-parts" : [ [ "2008", "6" ] ] }, "page" : "1393-8", "title" : "Biliary complications in donors for living donor liver transplantation.", "type" : "article-journal", "volume" : "103" }, "uris" : [ "http://www.mendeley.com/documents/?uuid=eb70d438-1573-46fc-a601-6bd81ad6edf5" ] } ], "mendeley" : { "formattedCitation" : "&lt;sup&gt;75&lt;/sup&gt;", "plainTextFormattedCitation" : "75", "previouslyFormattedCitation" : "&lt;sup&gt;75&lt;/sup&gt;"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w:t>
      </w:r>
      <w:r w:rsidR="00A000CE" w:rsidRPr="00074190">
        <w:rPr>
          <w:rFonts w:ascii="Book Antiqua" w:hAnsi="Book Antiqua" w:cs="Book Antiqua"/>
          <w:noProof/>
          <w:sz w:val="24"/>
          <w:szCs w:val="24"/>
          <w:vertAlign w:val="superscript"/>
          <w:lang w:eastAsia="zh-CN"/>
        </w:rPr>
        <w:t>4-</w:t>
      </w:r>
      <w:r w:rsidR="00535B2B" w:rsidRPr="00074190">
        <w:rPr>
          <w:rFonts w:ascii="Book Antiqua" w:eastAsia="Book Antiqua" w:hAnsi="Book Antiqua" w:cs="Book Antiqua"/>
          <w:sz w:val="24"/>
          <w:szCs w:val="24"/>
          <w:vertAlign w:val="superscript"/>
        </w:rPr>
        <w:fldChar w:fldCharType="end"/>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"10.1097/TP.0b013e3181d66c55", "ISSN" : "1534-6080", "PMID" : "20216482", "abstract" : "INTRODUCTION: Complications occur in a considerable proportion of living donors for liver transplantation. In this study, the surgery-related morbidity in living donors for more than 1000 liver transplantations was investigated.\n\nMETHODS: The donor morbidity between June 1990 and August 2007 was analyzed retrospectively and classified by the graft type and time period. The complication severity was graded using the Clavien scoring system.\n\nRESULTS: During the study period, 1262 living donors underwent donor operations for liver transplantation. The donors were divided into two groups by the graft type: group RG (n=500), comprising right and extended right lobe grafts, and group LG (n=762), comprising non-right lobe grafts. The overall complication rate was significantly higher in group RG than that in group LG (44.2% vs. 18.8%, P&lt;0.05). The complication severity was worse in group RG than in group LG. Although biliary complications were the most common complications in both the groups, the frequencies differed significantly (RG: 12.2% vs. LG: 4.9%; P&lt;0.05). Short-term complications (within 4 weeks after the donor operation) occurred in 308 donors (24.4% of all donors). Complications after 4 weeks occurred in only 17 donors. Donor age, right lobe donation, and prolonged operation time were found to be independent risk factors for complications by multivariate analyses.\n\nCONCLUSIONS: Biliary complications were the most common and feared complications in living donors. There were more frequent and severe complications for right and extended right lobe donation than for non-right lobe donation. The possible risks of donor morbidity for different graft types should be understood and carefully considered.", "author" : [ { "dropping-particle" : "", "family" : "Iida", "given" : "Taku", "non-dropping-particle" : "", "parse-names" : false, "suffix" : "" }, { "dropping-particle" : "", "family" : "Ogura", "given" : "Yasuhiro", "non-dropping-particle" : "", "parse-names" : false, "suffix" : "" }, { "dropping-particle" : "", "family" : "Oike", "given" : "Fumitaka", "non-dropping-particle" : "", "parse-names" : false, "suffix" : "" }, { "dropping-particle" : "", "family" : "Hatano", "given" : "Etsuro", "non-dropping-particle" : "", "parse-names" : false, "suffix" : "" }, { "dropping-particle" : "", "family" : "Kaido", "given" : "Toshimi", "non-dropping-particle" : "", "parse-names" : false, "suffix" : "" }, { "dropping-particle" : "", "family" : "Egawa", "given" : "Hiroto", "non-dropping-particle" : "", "parse-names" : false, "suffix" : "" }, { "dropping-particle" : "", "family" : "Takada", "given" : "Yasutsugu", "non-dropping-particle" : "", "parse-names" : false, "suffix" : "" }, { "dropping-particle" : "", "family" : "Uemoto", "given" : "Shinji", "non-dropping-particle" : "", "parse-names" : false, "suffix" : "" } ], "container-title" : "Transplantation", "id" : "ITEM-1", "issue" : "10", "issued" : { "date-parts" : [ [ "2010", "5", "27" ] ] }, "page" : "1276-82", "title" : "Surgery-related morbidity in living donors for liver transplantation.", "type" : "article-journal", "volume" : "89" }, "uris" : [ "http://www.mendeley.com/documents/?uuid=65763adc-0faf-4107-a00c-d6ca84fadea1" ] } ], "mendeley" : { "formattedCitation" : "&lt;sup&gt;76&lt;/sup&gt;", "plainTextFormattedCitation" : "76", "previouslyFormattedCitation" : "&lt;sup&gt;76&lt;/sup&gt;"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76</w:t>
      </w:r>
      <w:r w:rsidR="00535B2B" w:rsidRPr="00074190">
        <w:rPr>
          <w:rFonts w:ascii="Book Antiqua" w:eastAsia="Book Antiqua" w:hAnsi="Book Antiqua" w:cs="Book Antiqua"/>
          <w:sz w:val="24"/>
          <w:szCs w:val="24"/>
          <w:vertAlign w:val="superscript"/>
        </w:rPr>
        <w:fldChar w:fldCharType="end"/>
      </w:r>
      <w:r w:rsidR="00B0728A" w:rsidRPr="00074190">
        <w:rPr>
          <w:rFonts w:ascii="Book Antiqua" w:eastAsia="Book Antiqua" w:hAnsi="Book Antiqua" w:cs="Book Antiqua"/>
          <w:sz w:val="24"/>
          <w:szCs w:val="24"/>
          <w:vertAlign w:val="superscript"/>
        </w:rPr>
        <w:t>]</w:t>
      </w:r>
      <w:r w:rsidR="00A000CE"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Factors associated with developing bile leaks include elevated pre-operative  alkaline phosphatase levels  to &gt; 86 IU/</w:t>
      </w:r>
      <w:r w:rsidR="00A000CE" w:rsidRPr="00074190">
        <w:rPr>
          <w:rFonts w:ascii="Book Antiqua" w:eastAsia="Book Antiqua" w:hAnsi="Book Antiqua" w:cs="Book Antiqua"/>
          <w:sz w:val="24"/>
          <w:szCs w:val="24"/>
        </w:rPr>
        <w:t>L</w:t>
      </w:r>
      <w:r w:rsidRPr="00074190">
        <w:rPr>
          <w:rFonts w:ascii="Book Antiqua" w:eastAsia="Book Antiqua" w:hAnsi="Book Antiqua" w:cs="Book Antiqua"/>
          <w:sz w:val="24"/>
          <w:szCs w:val="24"/>
        </w:rPr>
        <w:t xml:space="preserve"> and requiring a blood transfusion during surgery but center experience was not a factor in donor biliary complications</w:t>
      </w:r>
      <w:r w:rsidR="00B0728A"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"10.1053/j.gastro.2008.04.018", "ISSN" : "00165085", "PMID" : "18505689", "abstract" : "Background &amp; Aims: Reports of complications among adult right hepatic lobe donors have been limited to single centers. The rate and severity of complications in living donors were investigated in the 9-center Adult-to-Adult Living Donor Liver Transplantation Cohort Study (A2ALL). Methods: A retrospective observational study design was used. Participants included all potential living donors evaluated between 1998 and 2003. Complication severity was graded using the Clavien scoring system. Results: Of 405 donors accepted for donation, 393 underwent donation, and 12 procedures were aborted. There were 245 donors (62%) who did not experience complications; 82 (21%) had 1 complication, and 66 (17%) had 2 or more. Complications were scored as grade 1 (minor; n = 106, 27%), grade 2 (potentially life threatening; n = 103, 26%), grade 3 (life threatening; n = 8, 2%), and grade 4 (leading to death; n = 3, 0.8%). Common complications included biliary leaks beyond postoperative day 7 (n = 36, 9%), bacterial infections (n = 49, 12%), incisional hernia (n = 22, 6%), pleural effusion requiring intervention (n = 21, 5%), neuropraxia (n = 16, 4%), reexploration (n = 12, 3%), wound infections (n = 12, 3%), and intraabdominal abscess (n = 9, 2%). Two donors developed portal vein thrombosis, and 1 had inferior vena caval thrombosis. Fifty-one (13%) donors required hospital readmission, and 14 (4%) required 2 to 5 readmissions. Conclusions: Adult living liver donation was associated with significant donor complications. Although most complications were of low-grade severity, a significant proportion were severe or life threatening. Quantification of complication risk may improve the informed consent process, perioperative planning, and donor care. \u00a9 2008 AGA Institute.", "author" : [ { "dropping-particle" : "", "family" : "Ghobrial", "given" : "Rafik M.", "non-dropping-particle" : "", "parse-names" : false, "suffix" : "" }, { "dropping-particle" : "", "family" : "Freise", "given" : "Chris E.", "non-dropping-particle" : "", "parse-names" : false, "suffix" : "" }, { "dropping-particle" : "", "family" : "Trotter", "given" : "James F.", "non-dropping-particle" : "", "parse-names" : false, "suffix" : "" }, { "dropping-particle" : "", "family" : "Tong", "given" : "Lan", "non-dropping-particle" : "", "parse-names" : false, "suffix" : "" }, { "dropping-particle" : "", "family" : "Ojo", "given" : "Akinlolu O.", "non-dropping-particle" : "", "parse-names" : false, "suffix" : "" }, { "dropping-particle" : "", "family" : "Fair", "given" : "Jeffrey H.", "non-dropping-particle" : "", "parse-names" : false, "suffix" : "" }, { "dropping-particle" : "", "family" : "Fisher", "given" : "Robert A.", "non-dropping-particle" : "", "parse-names" : false, "suffix" : "" }, { "dropping-particle" : "", "family" : "Emond", "given" : "Jean C.", "non-dropping-particle" : "", "parse-names" : false, "suffix" : "" }, { "dropping-particle" : "", "family" : "Koffron", "given" : "Alan J.", "non-dropping-particle" : "", "parse-names" : false, "suffix" : "" }, { "dropping-particle" : "", "family" : "Pruett", "given" : "Timothy L.", "non-dropping-particle" : "", "parse-names" : false, "suffix" : "" }, { "dropping-particle" : "", "family" : "Olthoff", "given" : "Kim M.", "non-dropping-particle" : "", "parse-names" : false, "suffix" : "" } ], "container-title" : "Gastroenterology", "id" : "ITEM-1", "issued" : { "date-parts" : [ [ "2008" ] ] }, "page" : "468-476", "title" : "Donor Morbidity After Living Donation for Liver Transplantation", "type" : "article-journal", "volume" : "135" }, "uris" : [ "http://www.mendeley.com/documents/?uuid=8bfb3194-8d11-41a3-a9db-25c12a182cf3" ] } ], "mendeley" : { "formattedCitation" : "&lt;sup&gt;72&lt;/sup&gt;", "plainTextFormattedCitation" : "72", "previouslyFormattedCitation" : "&lt;sup&gt;72&lt;/sup&gt;"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72</w:t>
      </w:r>
      <w:r w:rsidR="00535B2B" w:rsidRPr="00074190">
        <w:rPr>
          <w:rFonts w:ascii="Book Antiqua" w:eastAsia="Book Antiqua" w:hAnsi="Book Antiqua" w:cs="Book Antiqua"/>
          <w:sz w:val="24"/>
          <w:szCs w:val="24"/>
          <w:vertAlign w:val="superscript"/>
        </w:rPr>
        <w:fldChar w:fldCharType="end"/>
      </w:r>
      <w:r w:rsidR="00B0728A" w:rsidRPr="00074190">
        <w:rPr>
          <w:rFonts w:ascii="Book Antiqua" w:eastAsia="Book Antiqua" w:hAnsi="Book Antiqua" w:cs="Book Antiqua"/>
          <w:sz w:val="24"/>
          <w:szCs w:val="24"/>
          <w:vertAlign w:val="superscript"/>
        </w:rPr>
        <w:t>]</w:t>
      </w:r>
      <w:r w:rsidR="00A000CE" w:rsidRPr="00074190">
        <w:rPr>
          <w:rFonts w:ascii="Book Antiqua" w:hAnsi="Book Antiqua" w:cs="Book Antiqua"/>
          <w:sz w:val="24"/>
          <w:szCs w:val="24"/>
          <w:lang w:eastAsia="zh-CN"/>
        </w:rPr>
        <w:t>.</w:t>
      </w:r>
      <w:r w:rsidR="00A000CE" w:rsidRPr="00074190">
        <w:rPr>
          <w:rFonts w:ascii="Book Antiqua" w:hAnsi="Book Antiqua" w:cs="Book Antiqua"/>
          <w:sz w:val="24"/>
          <w:szCs w:val="24"/>
          <w:vertAlign w:val="superscript"/>
          <w:lang w:eastAsia="zh-CN"/>
        </w:rPr>
        <w:t xml:space="preserve"> </w:t>
      </w:r>
      <w:r w:rsidRPr="00074190">
        <w:rPr>
          <w:rFonts w:ascii="Book Antiqua" w:eastAsia="Book Antiqua" w:hAnsi="Book Antiqua" w:cs="Book Antiqua"/>
          <w:sz w:val="24"/>
          <w:szCs w:val="24"/>
        </w:rPr>
        <w:t>Figure 4 demonstrates a bile leak from the right common hepatic duct stump a few days after right lobe donation.</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Donor biliary complications generally present within 2 w</w:t>
      </w:r>
      <w:r w:rsidR="00A000CE" w:rsidRPr="00074190">
        <w:rPr>
          <w:rFonts w:ascii="Book Antiqua" w:eastAsia="Book Antiqua" w:hAnsi="Book Antiqua" w:cs="Book Antiqua"/>
          <w:sz w:val="24"/>
          <w:szCs w:val="24"/>
        </w:rPr>
        <w:t>k</w:t>
      </w:r>
      <w:r w:rsidRPr="00074190">
        <w:rPr>
          <w:rFonts w:ascii="Book Antiqua" w:eastAsia="Book Antiqua" w:hAnsi="Book Antiqua" w:cs="Book Antiqua"/>
          <w:sz w:val="24"/>
          <w:szCs w:val="24"/>
        </w:rPr>
        <w:t xml:space="preserve"> of surgery. Bile leaks can be noted from bilious drain output or present with pain or suspicion for an intra-abdominal collection. Imaging can also be helpful. As in the recipient, strictures present with elevated cholestatic liver enzymes or jaundice.</w:t>
      </w:r>
    </w:p>
    <w:p w:rsidR="005E3013" w:rsidRPr="00074190" w:rsidRDefault="006A074B" w:rsidP="00074190">
      <w:pPr>
        <w:spacing w:after="0" w:line="360" w:lineRule="auto"/>
        <w:ind w:firstLineChars="200" w:firstLine="480"/>
        <w:jc w:val="both"/>
        <w:rPr>
          <w:rFonts w:ascii="Book Antiqua" w:eastAsia="Book Antiqua" w:hAnsi="Book Antiqua" w:cs="Book Antiqua"/>
          <w:sz w:val="24"/>
          <w:szCs w:val="24"/>
        </w:rPr>
      </w:pPr>
      <w:r w:rsidRPr="00074190">
        <w:rPr>
          <w:rFonts w:ascii="Book Antiqua" w:eastAsia="Book Antiqua" w:hAnsi="Book Antiqua" w:cs="Book Antiqua"/>
          <w:sz w:val="24"/>
          <w:szCs w:val="24"/>
        </w:rPr>
        <w:t>Management of bile leaks and strictures is similar to the recipient with ERCP and stent pl</w:t>
      </w:r>
      <w:r w:rsidR="00A000CE" w:rsidRPr="00074190">
        <w:rPr>
          <w:rFonts w:ascii="Book Antiqua" w:eastAsia="Book Antiqua" w:hAnsi="Book Antiqua" w:cs="Book Antiqua"/>
          <w:sz w:val="24"/>
          <w:szCs w:val="24"/>
        </w:rPr>
        <w:t>acement the mainstay. Almost 80</w:t>
      </w:r>
      <w:r w:rsidRPr="00074190">
        <w:rPr>
          <w:rFonts w:ascii="Book Antiqua" w:eastAsia="Book Antiqua" w:hAnsi="Book Antiqua" w:cs="Book Antiqua"/>
          <w:sz w:val="24"/>
          <w:szCs w:val="24"/>
        </w:rPr>
        <w:t>% of leaks were successfully treated by ERCP or percutaneous drainage, though a few required surgical revision or repair</w:t>
      </w:r>
      <w:r w:rsidR="00B0728A" w:rsidRPr="00074190">
        <w:rPr>
          <w:rFonts w:ascii="Book Antiqua" w:eastAsia="Book Antiqua" w:hAnsi="Book Antiqua" w:cs="Book Antiqua"/>
          <w:sz w:val="24"/>
          <w:szCs w:val="24"/>
          <w:vertAlign w:val="superscript"/>
        </w:rPr>
        <w:t>[</w:t>
      </w:r>
      <w:r w:rsidR="00535B2B" w:rsidRPr="00074190">
        <w:rPr>
          <w:rFonts w:ascii="Book Antiqua" w:eastAsia="Book Antiqua" w:hAnsi="Book Antiqua" w:cs="Book Antiqua"/>
          <w:sz w:val="24"/>
          <w:szCs w:val="24"/>
          <w:vertAlign w:val="superscript"/>
        </w:rPr>
        <w:fldChar w:fldCharType="begin" w:fldLock="1"/>
      </w:r>
      <w:r w:rsidR="009624AE" w:rsidRPr="00074190">
        <w:rPr>
          <w:rFonts w:ascii="Book Antiqua" w:eastAsia="Book Antiqua" w:hAnsi="Book Antiqua" w:cs="Book Antiqua"/>
          <w:sz w:val="24"/>
          <w:szCs w:val="24"/>
          <w:vertAlign w:val="superscript"/>
        </w:rPr>
        <w:instrText>ADDIN CSL_CITATION { "citationItems" : [ { "id" : "ITEM-1", "itemData" : { "DOI" : "10.1111/j.1572-0241.2008.01786.x", "ISSN" : "1572-0241", "PMID" : "18510614", "abstract" : "OBJECTIVES: With the increasing number of living donor liver transplantations, biliary complications in donors have emerged as a major postoperative problem. The aim of the present study was to characterize the features of the biliary complications that occur in donors.\n\nMETHODS: The study subjects comprised 731 consecutive patients who donated liver grafts (434 right-lobe and 297 left-lobe grafts) for transplantation at Kyoto University Hospital from July 1999 to December 2006. Donors whose biliary complications could not be cured by conservative therapy were referred for endoscopic treatment.\n\nRESULTS: Postoperative biliary complications occurred in 55 (7.5%) donors. Initially, 48 of these 55 donors had biliary leakage and 7 had biliary stricture. Subsequently, 5 of 48 donors with leakage developed biliary stricture. The respective incidences of biliary leakage and overall biliary complications were significantly higher among donors of right-lobe grafts (9.9% and 11.1%) than among donors of left-lobe grafts (1.7% and 2.4%). Among 55 donors with biliary complications, 24 were cured by conservative therapy, and 1 was converted to surgical repair due to ileus. Endoscopic treatment was successful in 24 of 30 (80%) donors treated by endoscopic retrograde cholangiography, while the remaining 6 (20%) patients underwent surgery due to difficulties with cannulation (N = 2), excessive biliary leakage (N = 2), or complete biliary obstruction (N = 2).\n\nCONCLUSIONS: Donors of right-lobe grafts have a significantly higher incidence of biliary complications than donors of left-lobe grafts. When conservative therapy fails, endoscopic treatment is effective for these complications, and should be attempted as the first-line therapy before surgical repair.", "author" : [ { "dropping-particle" : "", "family" : "Shio", "given" : "Seiji", "non-dropping-particle" : "", "parse-names" : false, "suffix" : "" }, { "dropping-particle" : "", "family" : "Yazumi", "given" : "Shujiro", "non-dropping-particle" : "", "parse-names" : false, "suffix" : "" }, { "dropping-particle" : "", "family" : "Ogawa", "given" : "Kohei", "non-dropping-particle" : "", "parse-names" : false, "suffix" : "" }, { "dropping-particle" : "", "family" : "Hasegawa", "given" : "Kazunori", "non-dropping-particle" : "", "parse-names" : false, "suffix" : "" }, { "dropping-particle" : "", "family" : "Tsuji", "given" : "Yoshihisa", "non-dropping-particle" : "", "parse-names" : false, "suffix" : "" }, { "dropping-particle" : "", "family" : "Kida", "given" : "Masaya", "non-dropping-particle" : "", "parse-names" : false, "suffix" : "" }, { "dropping-particle" : "", "family" : "Yamauchi", "given" : "Junichi", "non-dropping-particle" : "", "parse-names" : false, "suffix" : "" }, { "dropping-particle" : "", "family" : "Ida", "given" : "Hiroshi", "non-dropping-particle" : "", "parse-names" : false, "suffix" : "" }, { "dropping-particle" : "", "family" : "Tada", "given" : "Shinsuke", "non-dropping-particle" : "", "parse-names" : false, "suffix" : "" }, { "dropping-particle" : "", "family" : "Uemoto", "given" : "Shinji", "non-dropping-particle" : "", "parse-names" : false, "suffix" : "" }, { "dropping-particle" : "", "family" : "Chiba", "given" : "Tsutomu", "non-dropping-particle" : "", "parse-names" : false, "suffix" : "" } ], "container-title" : "The American journal of gastroenterology", "id" : "ITEM-1", "issue" : "6", "issued" : { "date-parts" : [ [ "2008", "6" ] ] }, "page" : "1393-8", "title" : "Biliary complications in donors for living donor liver transplantation.", "type" : "article-journal", "volume" : "103" }, "uris" : [ "http://www.mendeley.com/documents/?uuid=eb70d438-1573-46fc-a601-6bd81ad6edf5" ] } ], "mendeley" : { "formattedCitation" : "&lt;sup&gt;75&lt;/sup&gt;", "plainTextFormattedCitation" : "75", "previouslyFormattedCitation" : "&lt;sup&gt;75&lt;/sup&gt;" }, "properties" : { "noteIndex" : 0 }, "schema" : "https://github.com/citation-style-language/schema/raw/master/csl-citation.json" }</w:instrText>
      </w:r>
      <w:r w:rsidR="00535B2B" w:rsidRPr="00074190">
        <w:rPr>
          <w:rFonts w:ascii="Book Antiqua" w:eastAsia="Book Antiqua" w:hAnsi="Book Antiqua" w:cs="Book Antiqua"/>
          <w:sz w:val="24"/>
          <w:szCs w:val="24"/>
          <w:vertAlign w:val="superscript"/>
        </w:rPr>
        <w:fldChar w:fldCharType="separate"/>
      </w:r>
      <w:r w:rsidR="00ED2A50" w:rsidRPr="00074190">
        <w:rPr>
          <w:rFonts w:ascii="Book Antiqua" w:eastAsia="Book Antiqua" w:hAnsi="Book Antiqua" w:cs="Book Antiqua"/>
          <w:noProof/>
          <w:sz w:val="24"/>
          <w:szCs w:val="24"/>
          <w:vertAlign w:val="superscript"/>
        </w:rPr>
        <w:t>75</w:t>
      </w:r>
      <w:r w:rsidR="00535B2B" w:rsidRPr="00074190">
        <w:rPr>
          <w:rFonts w:ascii="Book Antiqua" w:eastAsia="Book Antiqua" w:hAnsi="Book Antiqua" w:cs="Book Antiqua"/>
          <w:sz w:val="24"/>
          <w:szCs w:val="24"/>
          <w:vertAlign w:val="superscript"/>
        </w:rPr>
        <w:fldChar w:fldCharType="end"/>
      </w:r>
      <w:r w:rsidR="00B0728A"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rPr>
        <w:t>. Strictures can be more difficult to manage after right lobe donation as they form as the liver regenerates and wire access to the remaining left lobe biliary tree can be very difficult either endoscopically or percutaneously. Surgical revision is then required. Figure 5 shows a stricture that developed at the takeoff of the left common hepatic duct a few weeks after right lobe donation which could not be treated at ERCP or PTC. The patient was asymptomatic but presented with rising cholestatic enzymes and was successfully treated with biliary bypass surgery.</w:t>
      </w:r>
    </w:p>
    <w:p w:rsidR="007A2D1E" w:rsidRPr="003F3BC0" w:rsidRDefault="007A2D1E" w:rsidP="00074190">
      <w:pPr>
        <w:spacing w:after="0" w:line="360" w:lineRule="auto"/>
        <w:jc w:val="both"/>
        <w:rPr>
          <w:rFonts w:ascii="Book Antiqua" w:hAnsi="Book Antiqua" w:cs="Book Antiqua"/>
          <w:b/>
          <w:color w:val="000000"/>
          <w:sz w:val="24"/>
          <w:szCs w:val="24"/>
          <w:lang w:eastAsia="zh-CN"/>
        </w:rPr>
      </w:pPr>
    </w:p>
    <w:p w:rsidR="00A000CE" w:rsidRPr="00074190" w:rsidRDefault="00A000CE" w:rsidP="00074190">
      <w:pPr>
        <w:spacing w:after="0" w:line="360" w:lineRule="auto"/>
        <w:jc w:val="both"/>
        <w:rPr>
          <w:rFonts w:ascii="Book Antiqua" w:hAnsi="Book Antiqua" w:cs="Book Antiqua"/>
          <w:b/>
          <w:color w:val="000000"/>
          <w:sz w:val="24"/>
          <w:szCs w:val="24"/>
          <w:lang w:eastAsia="zh-CN"/>
        </w:rPr>
      </w:pPr>
      <w:r w:rsidRPr="00074190">
        <w:rPr>
          <w:rFonts w:ascii="Book Antiqua" w:eastAsia="Book Antiqua" w:hAnsi="Book Antiqua" w:cs="Book Antiqua"/>
          <w:b/>
          <w:color w:val="000000"/>
          <w:sz w:val="24"/>
          <w:szCs w:val="24"/>
        </w:rPr>
        <w:t>CONCLUSION</w:t>
      </w:r>
    </w:p>
    <w:p w:rsidR="00A000CE" w:rsidRPr="00074190" w:rsidRDefault="00B67770" w:rsidP="00074190">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sz w:val="24"/>
          <w:szCs w:val="24"/>
        </w:rPr>
        <w:t xml:space="preserve">The development of living donor liver transplantation </w:t>
      </w:r>
      <w:r w:rsidR="00D66067" w:rsidRPr="00074190">
        <w:rPr>
          <w:rFonts w:ascii="Book Antiqua" w:eastAsia="Book Antiqua" w:hAnsi="Book Antiqua" w:cs="Book Antiqua"/>
          <w:sz w:val="24"/>
          <w:szCs w:val="24"/>
        </w:rPr>
        <w:t>(LDLT</w:t>
      </w:r>
      <w:r w:rsidRPr="00074190">
        <w:rPr>
          <w:rFonts w:ascii="Book Antiqua" w:eastAsia="Book Antiqua" w:hAnsi="Book Antiqua" w:cs="Book Antiqua"/>
          <w:sz w:val="24"/>
          <w:szCs w:val="24"/>
        </w:rPr>
        <w:t>) with split liver grafts has allowed for elective liver transplants with shortened wait times. It offers several advantages over deceased donor liver transplant (DDLT) but carries an increased risk of biliary complications, mainly bile leaks and strictures. These present within a few weeks to months post transplant. They are usually managed endoscopically, with stenting for bile leaks and dilatation followed by stenting for strictures. Occasionally, endoscopic methods fail and surgical repair or even re transplantation may be required. Strategies to avoid vascular injury and ischemia of the biliary tree are important in preventing these complications.</w:t>
      </w:r>
    </w:p>
    <w:p w:rsidR="003F3BC0" w:rsidRDefault="003F3BC0">
      <w:pPr>
        <w:rPr>
          <w:rFonts w:ascii="Book Antiqua" w:hAnsi="Book Antiqua" w:cs="Book Antiqua"/>
          <w:sz w:val="24"/>
          <w:szCs w:val="24"/>
          <w:lang w:eastAsia="zh-CN"/>
        </w:rPr>
      </w:pPr>
      <w:r>
        <w:rPr>
          <w:rFonts w:ascii="Book Antiqua" w:hAnsi="Book Antiqua" w:cs="Book Antiqua"/>
          <w:sz w:val="24"/>
          <w:szCs w:val="24"/>
          <w:lang w:eastAsia="zh-CN"/>
        </w:rPr>
        <w:br w:type="page"/>
      </w:r>
    </w:p>
    <w:p w:rsidR="00F9310D" w:rsidRPr="00074190" w:rsidRDefault="00A000CE" w:rsidP="00074190">
      <w:pPr>
        <w:spacing w:after="0" w:line="360" w:lineRule="auto"/>
        <w:jc w:val="both"/>
        <w:rPr>
          <w:rFonts w:ascii="Book Antiqua" w:hAnsi="Book Antiqua" w:cs="Book Antiqua"/>
          <w:b/>
          <w:color w:val="000000"/>
          <w:sz w:val="24"/>
          <w:szCs w:val="24"/>
          <w:lang w:eastAsia="zh-CN"/>
        </w:rPr>
      </w:pPr>
      <w:r w:rsidRPr="00074190">
        <w:rPr>
          <w:rFonts w:ascii="Book Antiqua" w:eastAsia="Book Antiqua" w:hAnsi="Book Antiqua" w:cs="Book Antiqua"/>
          <w:b/>
          <w:color w:val="000000"/>
          <w:sz w:val="24"/>
          <w:szCs w:val="24"/>
        </w:rPr>
        <w:t>REFERENCES</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1 </w:t>
      </w:r>
      <w:r w:rsidRPr="00F06614">
        <w:rPr>
          <w:rFonts w:ascii="Book Antiqua" w:eastAsia="宋体" w:hAnsi="Book Antiqua" w:cs="宋体"/>
          <w:b/>
          <w:bCs/>
          <w:sz w:val="24"/>
          <w:szCs w:val="24"/>
        </w:rPr>
        <w:t>Song AT</w:t>
      </w:r>
      <w:r w:rsidRPr="00F06614">
        <w:rPr>
          <w:rFonts w:ascii="Book Antiqua" w:eastAsia="宋体" w:hAnsi="Book Antiqua" w:cs="宋体"/>
          <w:sz w:val="24"/>
          <w:szCs w:val="24"/>
        </w:rPr>
        <w:t xml:space="preserve">, Avelino-Silva VI, Pecora RA, Pugliese V, D'Albuquerque LA, Abdala E. Liver transplantation: fifty years of experience. </w:t>
      </w:r>
      <w:r w:rsidRPr="00F06614">
        <w:rPr>
          <w:rFonts w:ascii="Book Antiqua" w:eastAsia="宋体" w:hAnsi="Book Antiqua" w:cs="宋体"/>
          <w:i/>
          <w:iCs/>
          <w:sz w:val="24"/>
          <w:szCs w:val="24"/>
        </w:rPr>
        <w:t>World J Gastroenterol</w:t>
      </w:r>
      <w:r w:rsidRPr="00F06614">
        <w:rPr>
          <w:rFonts w:ascii="Book Antiqua" w:eastAsia="宋体" w:hAnsi="Book Antiqua" w:cs="宋体"/>
          <w:sz w:val="24"/>
          <w:szCs w:val="24"/>
        </w:rPr>
        <w:t xml:space="preserve"> 2014; </w:t>
      </w:r>
      <w:r w:rsidRPr="00F06614">
        <w:rPr>
          <w:rFonts w:ascii="Book Antiqua" w:eastAsia="宋体" w:hAnsi="Book Antiqua" w:cs="宋体"/>
          <w:b/>
          <w:bCs/>
          <w:sz w:val="24"/>
          <w:szCs w:val="24"/>
        </w:rPr>
        <w:t>20</w:t>
      </w:r>
      <w:r w:rsidRPr="00F06614">
        <w:rPr>
          <w:rFonts w:ascii="Book Antiqua" w:eastAsia="宋体" w:hAnsi="Book Antiqua" w:cs="宋体"/>
          <w:sz w:val="24"/>
          <w:szCs w:val="24"/>
        </w:rPr>
        <w:t>: 5363-5374 [PMID: 2483386</w:t>
      </w:r>
      <w:r w:rsidRPr="00074190">
        <w:rPr>
          <w:rFonts w:ascii="Book Antiqua" w:eastAsia="宋体" w:hAnsi="Book Antiqua" w:cs="宋体"/>
          <w:sz w:val="24"/>
          <w:szCs w:val="24"/>
        </w:rPr>
        <w:t>6 DOI: 10.3748/wjg.v20.i18.5363</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 </w:t>
      </w:r>
      <w:r w:rsidRPr="00F06614">
        <w:rPr>
          <w:rFonts w:ascii="Book Antiqua" w:eastAsia="宋体" w:hAnsi="Book Antiqua" w:cs="宋体"/>
          <w:b/>
          <w:bCs/>
          <w:sz w:val="24"/>
          <w:szCs w:val="24"/>
        </w:rPr>
        <w:t>Raia S</w:t>
      </w:r>
      <w:r w:rsidRPr="00F06614">
        <w:rPr>
          <w:rFonts w:ascii="Book Antiqua" w:eastAsia="宋体" w:hAnsi="Book Antiqua" w:cs="宋体"/>
          <w:sz w:val="24"/>
          <w:szCs w:val="24"/>
        </w:rPr>
        <w:t xml:space="preserve">, Nery JR, Mies S. Liver transplantation from live donors. </w:t>
      </w:r>
      <w:r w:rsidRPr="00F06614">
        <w:rPr>
          <w:rFonts w:ascii="Book Antiqua" w:eastAsia="宋体" w:hAnsi="Book Antiqua" w:cs="宋体"/>
          <w:i/>
          <w:iCs/>
          <w:sz w:val="24"/>
          <w:szCs w:val="24"/>
        </w:rPr>
        <w:t>Lancet</w:t>
      </w:r>
      <w:r w:rsidRPr="00F06614">
        <w:rPr>
          <w:rFonts w:ascii="Book Antiqua" w:eastAsia="宋体" w:hAnsi="Book Antiqua" w:cs="宋体"/>
          <w:sz w:val="24"/>
          <w:szCs w:val="24"/>
        </w:rPr>
        <w:t xml:space="preserve"> 1989; </w:t>
      </w:r>
      <w:r w:rsidRPr="00F06614">
        <w:rPr>
          <w:rFonts w:ascii="Book Antiqua" w:eastAsia="宋体" w:hAnsi="Book Antiqua" w:cs="宋体"/>
          <w:b/>
          <w:bCs/>
          <w:sz w:val="24"/>
          <w:szCs w:val="24"/>
        </w:rPr>
        <w:t>2</w:t>
      </w:r>
      <w:r w:rsidRPr="00F06614">
        <w:rPr>
          <w:rFonts w:ascii="Book Antiqua" w:eastAsia="宋体" w:hAnsi="Book Antiqua" w:cs="宋体"/>
          <w:sz w:val="24"/>
          <w:szCs w:val="24"/>
        </w:rPr>
        <w:t>: 497 [PMID: 2570198]</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 </w:t>
      </w:r>
      <w:r w:rsidRPr="00F06614">
        <w:rPr>
          <w:rFonts w:ascii="Book Antiqua" w:eastAsia="宋体" w:hAnsi="Book Antiqua" w:cs="宋体"/>
          <w:b/>
          <w:bCs/>
          <w:sz w:val="24"/>
          <w:szCs w:val="24"/>
        </w:rPr>
        <w:t>Pichlmayr R</w:t>
      </w:r>
      <w:r w:rsidRPr="00F06614">
        <w:rPr>
          <w:rFonts w:ascii="Book Antiqua" w:eastAsia="宋体" w:hAnsi="Book Antiqua" w:cs="宋体"/>
          <w:sz w:val="24"/>
          <w:szCs w:val="24"/>
        </w:rPr>
        <w:t xml:space="preserve">, Ringe B, Gubernatis G, Hauss J, Bunzendahl H. [Transplantation of a donor liver to 2 recipients (splitting transplantation)--a new method in the further development of segmental liver transplantation]. </w:t>
      </w:r>
      <w:r w:rsidRPr="00F06614">
        <w:rPr>
          <w:rFonts w:ascii="Book Antiqua" w:eastAsia="宋体" w:hAnsi="Book Antiqua" w:cs="宋体"/>
          <w:i/>
          <w:iCs/>
          <w:sz w:val="24"/>
          <w:szCs w:val="24"/>
        </w:rPr>
        <w:t>Langenbecks Arch Chir</w:t>
      </w:r>
      <w:r w:rsidRPr="00F06614">
        <w:rPr>
          <w:rFonts w:ascii="Book Antiqua" w:eastAsia="宋体" w:hAnsi="Book Antiqua" w:cs="宋体"/>
          <w:sz w:val="24"/>
          <w:szCs w:val="24"/>
        </w:rPr>
        <w:t xml:space="preserve"> 1988; </w:t>
      </w:r>
      <w:r w:rsidRPr="00F06614">
        <w:rPr>
          <w:rFonts w:ascii="Book Antiqua" w:eastAsia="宋体" w:hAnsi="Book Antiqua" w:cs="宋体"/>
          <w:b/>
          <w:bCs/>
          <w:sz w:val="24"/>
          <w:szCs w:val="24"/>
        </w:rPr>
        <w:t>373</w:t>
      </w:r>
      <w:r w:rsidRPr="00F06614">
        <w:rPr>
          <w:rFonts w:ascii="Book Antiqua" w:eastAsia="宋体" w:hAnsi="Book Antiqua" w:cs="宋体"/>
          <w:sz w:val="24"/>
          <w:szCs w:val="24"/>
        </w:rPr>
        <w:t>: 127-130 [PMID: 3287073]</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 </w:t>
      </w:r>
      <w:r w:rsidRPr="00F06614">
        <w:rPr>
          <w:rFonts w:ascii="Book Antiqua" w:eastAsia="宋体" w:hAnsi="Book Antiqua" w:cs="宋体"/>
          <w:b/>
          <w:bCs/>
          <w:sz w:val="24"/>
          <w:szCs w:val="24"/>
        </w:rPr>
        <w:t>Alonso EM</w:t>
      </w:r>
      <w:r w:rsidRPr="00F06614">
        <w:rPr>
          <w:rFonts w:ascii="Book Antiqua" w:eastAsia="宋体" w:hAnsi="Book Antiqua" w:cs="宋体"/>
          <w:sz w:val="24"/>
          <w:szCs w:val="24"/>
        </w:rPr>
        <w:t xml:space="preserve">, Piper JB, Echols G, Thistlethwaite JR, Whitington PF. Allograft rejection in pediatric recipients of living related liver transplants. </w:t>
      </w:r>
      <w:r w:rsidRPr="00F06614">
        <w:rPr>
          <w:rFonts w:ascii="Book Antiqua" w:eastAsia="宋体" w:hAnsi="Book Antiqua" w:cs="宋体"/>
          <w:i/>
          <w:iCs/>
          <w:sz w:val="24"/>
          <w:szCs w:val="24"/>
        </w:rPr>
        <w:t>Hepatology</w:t>
      </w:r>
      <w:r w:rsidRPr="00F06614">
        <w:rPr>
          <w:rFonts w:ascii="Book Antiqua" w:eastAsia="宋体" w:hAnsi="Book Antiqua" w:cs="宋体"/>
          <w:sz w:val="24"/>
          <w:szCs w:val="24"/>
        </w:rPr>
        <w:t xml:space="preserve"> 1996; </w:t>
      </w:r>
      <w:r w:rsidRPr="00F06614">
        <w:rPr>
          <w:rFonts w:ascii="Book Antiqua" w:eastAsia="宋体" w:hAnsi="Book Antiqua" w:cs="宋体"/>
          <w:b/>
          <w:bCs/>
          <w:sz w:val="24"/>
          <w:szCs w:val="24"/>
        </w:rPr>
        <w:t>23</w:t>
      </w:r>
      <w:r w:rsidRPr="00F06614">
        <w:rPr>
          <w:rFonts w:ascii="Book Antiqua" w:eastAsia="宋体" w:hAnsi="Book Antiqua" w:cs="宋体"/>
          <w:sz w:val="24"/>
          <w:szCs w:val="24"/>
        </w:rPr>
        <w:t>: 40-43 [PMID: 855</w:t>
      </w:r>
      <w:r w:rsidRPr="00074190">
        <w:rPr>
          <w:rFonts w:ascii="Book Antiqua" w:eastAsia="宋体" w:hAnsi="Book Antiqua" w:cs="宋体"/>
          <w:sz w:val="24"/>
          <w:szCs w:val="24"/>
        </w:rPr>
        <w:t>0046 DOI: 10.1002/hep.510230106</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 </w:t>
      </w:r>
      <w:r w:rsidRPr="00F06614">
        <w:rPr>
          <w:rFonts w:ascii="Book Antiqua" w:eastAsia="宋体" w:hAnsi="Book Antiqua" w:cs="宋体"/>
          <w:b/>
          <w:bCs/>
          <w:sz w:val="24"/>
          <w:szCs w:val="24"/>
        </w:rPr>
        <w:t>Doyle MB</w:t>
      </w:r>
      <w:r w:rsidRPr="00F06614">
        <w:rPr>
          <w:rFonts w:ascii="Book Antiqua" w:eastAsia="宋体" w:hAnsi="Book Antiqua" w:cs="宋体"/>
          <w:sz w:val="24"/>
          <w:szCs w:val="24"/>
        </w:rPr>
        <w:t xml:space="preserve">, Maynard E, Lin Y, Vachharajani N, Shenoy S, Anderson C, Earl M, Lowell JA, Chapman WC. Outcomes with split liver transplantation are equivalent to those with whole organ transplantation. </w:t>
      </w:r>
      <w:r w:rsidRPr="00F06614">
        <w:rPr>
          <w:rFonts w:ascii="Book Antiqua" w:eastAsia="宋体" w:hAnsi="Book Antiqua" w:cs="宋体"/>
          <w:i/>
          <w:iCs/>
          <w:sz w:val="24"/>
          <w:szCs w:val="24"/>
        </w:rPr>
        <w:t>J Am Coll Surg</w:t>
      </w:r>
      <w:r w:rsidRPr="00F06614">
        <w:rPr>
          <w:rFonts w:ascii="Book Antiqua" w:eastAsia="宋体" w:hAnsi="Book Antiqua" w:cs="宋体"/>
          <w:sz w:val="24"/>
          <w:szCs w:val="24"/>
        </w:rPr>
        <w:t xml:space="preserve"> 2013; </w:t>
      </w:r>
      <w:r w:rsidRPr="00F06614">
        <w:rPr>
          <w:rFonts w:ascii="Book Antiqua" w:eastAsia="宋体" w:hAnsi="Book Antiqua" w:cs="宋体"/>
          <w:b/>
          <w:bCs/>
          <w:sz w:val="24"/>
          <w:szCs w:val="24"/>
        </w:rPr>
        <w:t>217</w:t>
      </w:r>
      <w:r w:rsidRPr="00F06614">
        <w:rPr>
          <w:rFonts w:ascii="Book Antiqua" w:eastAsia="宋体" w:hAnsi="Book Antiqua" w:cs="宋体"/>
          <w:sz w:val="24"/>
          <w:szCs w:val="24"/>
        </w:rPr>
        <w:t>: 102-1</w:t>
      </w:r>
      <w:r w:rsidRPr="00074190">
        <w:rPr>
          <w:rFonts w:ascii="Book Antiqua" w:eastAsia="宋体" w:hAnsi="Book Antiqua" w:cs="宋体"/>
          <w:sz w:val="24"/>
          <w:szCs w:val="24"/>
        </w:rPr>
        <w:t>1</w:t>
      </w:r>
      <w:r w:rsidRPr="00F06614">
        <w:rPr>
          <w:rFonts w:ascii="Book Antiqua" w:eastAsia="宋体" w:hAnsi="Book Antiqua" w:cs="宋体"/>
          <w:sz w:val="24"/>
          <w:szCs w:val="24"/>
        </w:rPr>
        <w:t>2; discussion 113-</w:t>
      </w:r>
      <w:r w:rsidRPr="00074190">
        <w:rPr>
          <w:rFonts w:ascii="Book Antiqua" w:eastAsia="宋体" w:hAnsi="Book Antiqua" w:cs="宋体"/>
          <w:sz w:val="24"/>
          <w:szCs w:val="24"/>
        </w:rPr>
        <w:t>11</w:t>
      </w:r>
      <w:r w:rsidRPr="00F06614">
        <w:rPr>
          <w:rFonts w:ascii="Book Antiqua" w:eastAsia="宋体" w:hAnsi="Book Antiqua" w:cs="宋体"/>
          <w:sz w:val="24"/>
          <w:szCs w:val="24"/>
        </w:rPr>
        <w:t>4 [PMID: 23639200 DOI: 10</w:t>
      </w:r>
      <w:r w:rsidRPr="00074190">
        <w:rPr>
          <w:rFonts w:ascii="Book Antiqua" w:eastAsia="宋体" w:hAnsi="Book Antiqua" w:cs="宋体"/>
          <w:sz w:val="24"/>
          <w:szCs w:val="24"/>
        </w:rPr>
        <w:t>.1016/j.jamcollsurg.2013.03.003</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 </w:t>
      </w:r>
      <w:r w:rsidRPr="00F06614">
        <w:rPr>
          <w:rFonts w:ascii="Book Antiqua" w:eastAsia="宋体" w:hAnsi="Book Antiqua" w:cs="宋体"/>
          <w:b/>
          <w:bCs/>
          <w:sz w:val="24"/>
          <w:szCs w:val="24"/>
        </w:rPr>
        <w:t>Maluf DG</w:t>
      </w:r>
      <w:r w:rsidRPr="00F06614">
        <w:rPr>
          <w:rFonts w:ascii="Book Antiqua" w:eastAsia="宋体" w:hAnsi="Book Antiqua" w:cs="宋体"/>
          <w:sz w:val="24"/>
          <w:szCs w:val="24"/>
        </w:rPr>
        <w:t xml:space="preserve">, Stravitz RT, Cotterell AH, Posner MP, Nakatsuka M, Sterling RK, Luketic VA, Shiffman ML, Ham JM, Marcos A, Behnke MK, Fisher RA. Adult living donor versus deceased donor liver transplantation: a 6-year single center experience. </w:t>
      </w:r>
      <w:r w:rsidRPr="00F06614">
        <w:rPr>
          <w:rFonts w:ascii="Book Antiqua" w:eastAsia="宋体" w:hAnsi="Book Antiqua" w:cs="宋体"/>
          <w:i/>
          <w:iCs/>
          <w:sz w:val="24"/>
          <w:szCs w:val="24"/>
        </w:rPr>
        <w:t>Am J Transplant</w:t>
      </w:r>
      <w:r w:rsidRPr="00F06614">
        <w:rPr>
          <w:rFonts w:ascii="Book Antiqua" w:eastAsia="宋体" w:hAnsi="Book Antiqua" w:cs="宋体"/>
          <w:sz w:val="24"/>
          <w:szCs w:val="24"/>
        </w:rPr>
        <w:t xml:space="preserve"> 2005; </w:t>
      </w:r>
      <w:r w:rsidRPr="00F06614">
        <w:rPr>
          <w:rFonts w:ascii="Book Antiqua" w:eastAsia="宋体" w:hAnsi="Book Antiqua" w:cs="宋体"/>
          <w:b/>
          <w:bCs/>
          <w:sz w:val="24"/>
          <w:szCs w:val="24"/>
        </w:rPr>
        <w:t>5</w:t>
      </w:r>
      <w:r w:rsidRPr="00F06614">
        <w:rPr>
          <w:rFonts w:ascii="Book Antiqua" w:eastAsia="宋体" w:hAnsi="Book Antiqua" w:cs="宋体"/>
          <w:sz w:val="24"/>
          <w:szCs w:val="24"/>
        </w:rPr>
        <w:t>: 149-156 [PMID: 15636624 DOI: 1</w:t>
      </w:r>
      <w:r w:rsidRPr="00074190">
        <w:rPr>
          <w:rFonts w:ascii="Book Antiqua" w:eastAsia="宋体" w:hAnsi="Book Antiqua" w:cs="宋体"/>
          <w:sz w:val="24"/>
          <w:szCs w:val="24"/>
        </w:rPr>
        <w:t>0.1111/j.1600-6143.2004.00654.x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 </w:t>
      </w:r>
      <w:r w:rsidRPr="00F06614">
        <w:rPr>
          <w:rFonts w:ascii="Book Antiqua" w:eastAsia="宋体" w:hAnsi="Book Antiqua" w:cs="宋体"/>
          <w:b/>
          <w:bCs/>
          <w:sz w:val="24"/>
          <w:szCs w:val="24"/>
        </w:rPr>
        <w:t>Freise CE</w:t>
      </w:r>
      <w:r w:rsidRPr="00F06614">
        <w:rPr>
          <w:rFonts w:ascii="Book Antiqua" w:eastAsia="宋体" w:hAnsi="Book Antiqua" w:cs="宋体"/>
          <w:sz w:val="24"/>
          <w:szCs w:val="24"/>
        </w:rPr>
        <w:t xml:space="preserve">, Gillespie BW, Koffron AJ, Lok AS, Pruett TL, Emond JC, Fair JH, Fisher RA, Olthoff KM, Trotter JF, Ghobrial RM, Everhart JE. Recipient morbidity after living and deceased donor liver transplantation: findings from the A2ALL Retrospective Cohort Study. </w:t>
      </w:r>
      <w:r w:rsidRPr="00F06614">
        <w:rPr>
          <w:rFonts w:ascii="Book Antiqua" w:eastAsia="宋体" w:hAnsi="Book Antiqua" w:cs="宋体"/>
          <w:i/>
          <w:iCs/>
          <w:sz w:val="24"/>
          <w:szCs w:val="24"/>
        </w:rPr>
        <w:t>Am J Transplant</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8</w:t>
      </w:r>
      <w:r w:rsidRPr="00F06614">
        <w:rPr>
          <w:rFonts w:ascii="Book Antiqua" w:eastAsia="宋体" w:hAnsi="Book Antiqua" w:cs="宋体"/>
          <w:sz w:val="24"/>
          <w:szCs w:val="24"/>
        </w:rPr>
        <w:t>: 2569-2579 [PMID: 18976306 DOI: 10.1111/j.1600-6143.2008.024</w:t>
      </w:r>
      <w:r w:rsidRPr="00074190">
        <w:rPr>
          <w:rFonts w:ascii="Book Antiqua" w:eastAsia="宋体" w:hAnsi="Book Antiqua" w:cs="宋体"/>
          <w:sz w:val="24"/>
          <w:szCs w:val="24"/>
        </w:rPr>
        <w:t>40.x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8 </w:t>
      </w:r>
      <w:r w:rsidRPr="00F06614">
        <w:rPr>
          <w:rFonts w:ascii="Book Antiqua" w:eastAsia="宋体" w:hAnsi="Book Antiqua" w:cs="宋体"/>
          <w:b/>
          <w:bCs/>
          <w:sz w:val="24"/>
          <w:szCs w:val="24"/>
        </w:rPr>
        <w:t>Merion RM</w:t>
      </w:r>
      <w:r w:rsidRPr="00F06614">
        <w:rPr>
          <w:rFonts w:ascii="Book Antiqua" w:eastAsia="宋体" w:hAnsi="Book Antiqua" w:cs="宋体"/>
          <w:sz w:val="24"/>
          <w:szCs w:val="24"/>
        </w:rPr>
        <w:t xml:space="preserve">, Shearon TH, Berg CL, Everhart JE, Abecassis MM, Shaked A, Fisher RA, Trotter JF, Brown RS, Terrault NA, Hayashi PH, Hong JC. Hospitalization rates before and after adult-to-adult living donor or deceased donor liver transplantation. </w:t>
      </w:r>
      <w:r w:rsidRPr="00F06614">
        <w:rPr>
          <w:rFonts w:ascii="Book Antiqua" w:eastAsia="宋体" w:hAnsi="Book Antiqua" w:cs="宋体"/>
          <w:i/>
          <w:iCs/>
          <w:sz w:val="24"/>
          <w:szCs w:val="24"/>
        </w:rPr>
        <w:t>Ann Surg</w:t>
      </w:r>
      <w:r w:rsidRPr="00F06614">
        <w:rPr>
          <w:rFonts w:ascii="Book Antiqua" w:eastAsia="宋体" w:hAnsi="Book Antiqua" w:cs="宋体"/>
          <w:sz w:val="24"/>
          <w:szCs w:val="24"/>
        </w:rPr>
        <w:t xml:space="preserve"> 2010; </w:t>
      </w:r>
      <w:r w:rsidRPr="00F06614">
        <w:rPr>
          <w:rFonts w:ascii="Book Antiqua" w:eastAsia="宋体" w:hAnsi="Book Antiqua" w:cs="宋体"/>
          <w:b/>
          <w:bCs/>
          <w:sz w:val="24"/>
          <w:szCs w:val="24"/>
        </w:rPr>
        <w:t>251</w:t>
      </w:r>
      <w:r w:rsidRPr="00F06614">
        <w:rPr>
          <w:rFonts w:ascii="Book Antiqua" w:eastAsia="宋体" w:hAnsi="Book Antiqua" w:cs="宋体"/>
          <w:sz w:val="24"/>
          <w:szCs w:val="24"/>
        </w:rPr>
        <w:t>: 542-549 [PMID: 20130466 DO</w:t>
      </w:r>
      <w:r w:rsidRPr="00074190">
        <w:rPr>
          <w:rFonts w:ascii="Book Antiqua" w:eastAsia="宋体" w:hAnsi="Book Antiqua" w:cs="宋体"/>
          <w:sz w:val="24"/>
          <w:szCs w:val="24"/>
        </w:rPr>
        <w:t>I: 10.1097/SLA.0b013e3181ccb370</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9 </w:t>
      </w:r>
      <w:r w:rsidRPr="00F06614">
        <w:rPr>
          <w:rFonts w:ascii="Book Antiqua" w:eastAsia="宋体" w:hAnsi="Book Antiqua" w:cs="宋体"/>
          <w:b/>
          <w:bCs/>
          <w:sz w:val="24"/>
          <w:szCs w:val="24"/>
        </w:rPr>
        <w:t>Vagefi PA</w:t>
      </w:r>
      <w:r w:rsidRPr="00F06614">
        <w:rPr>
          <w:rFonts w:ascii="Book Antiqua" w:eastAsia="宋体" w:hAnsi="Book Antiqua" w:cs="宋体"/>
          <w:sz w:val="24"/>
          <w:szCs w:val="24"/>
        </w:rPr>
        <w:t xml:space="preserve">, Parekh J, Ascher NL, Roberts JP, Freise CE. Outcomes with split liver transplantation in 106 recipients: the University of California, San Francisco, experience from 1993 to 2010. </w:t>
      </w:r>
      <w:r w:rsidRPr="00F06614">
        <w:rPr>
          <w:rFonts w:ascii="Book Antiqua" w:eastAsia="宋体" w:hAnsi="Book Antiqua" w:cs="宋体"/>
          <w:i/>
          <w:iCs/>
          <w:sz w:val="24"/>
          <w:szCs w:val="24"/>
        </w:rPr>
        <w:t>Arch Surg</w:t>
      </w:r>
      <w:r w:rsidRPr="00F06614">
        <w:rPr>
          <w:rFonts w:ascii="Book Antiqua" w:eastAsia="宋体" w:hAnsi="Book Antiqua" w:cs="宋体"/>
          <w:sz w:val="24"/>
          <w:szCs w:val="24"/>
        </w:rPr>
        <w:t xml:space="preserve"> 2011; </w:t>
      </w:r>
      <w:r w:rsidRPr="00F06614">
        <w:rPr>
          <w:rFonts w:ascii="Book Antiqua" w:eastAsia="宋体" w:hAnsi="Book Antiqua" w:cs="宋体"/>
          <w:b/>
          <w:bCs/>
          <w:sz w:val="24"/>
          <w:szCs w:val="24"/>
        </w:rPr>
        <w:t>146</w:t>
      </w:r>
      <w:r w:rsidRPr="00F06614">
        <w:rPr>
          <w:rFonts w:ascii="Book Antiqua" w:eastAsia="宋体" w:hAnsi="Book Antiqua" w:cs="宋体"/>
          <w:sz w:val="24"/>
          <w:szCs w:val="24"/>
        </w:rPr>
        <w:t>: 1052-1059 [PMID: 21931003</w:t>
      </w:r>
      <w:r w:rsidRPr="00074190">
        <w:rPr>
          <w:rFonts w:ascii="Book Antiqua" w:eastAsia="宋体" w:hAnsi="Book Antiqua" w:cs="宋体"/>
          <w:sz w:val="24"/>
          <w:szCs w:val="24"/>
        </w:rPr>
        <w:t xml:space="preserve"> DOI: 10.1001/archsurg.2011.218</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10 </w:t>
      </w:r>
      <w:r w:rsidRPr="00F06614">
        <w:rPr>
          <w:rFonts w:ascii="Book Antiqua" w:eastAsia="宋体" w:hAnsi="Book Antiqua" w:cs="宋体"/>
          <w:b/>
          <w:bCs/>
          <w:sz w:val="24"/>
          <w:szCs w:val="24"/>
        </w:rPr>
        <w:t>Noack K</w:t>
      </w:r>
      <w:r w:rsidRPr="00F06614">
        <w:rPr>
          <w:rFonts w:ascii="Book Antiqua" w:eastAsia="宋体" w:hAnsi="Book Antiqua" w:cs="宋体"/>
          <w:sz w:val="24"/>
          <w:szCs w:val="24"/>
        </w:rPr>
        <w:t xml:space="preserve">, Bronk SF, Kato A, Gores GJ. The greater vulnerability of bile duct cells to reoxygenation injury than to anoxia. Implications for the pathogenesis of biliary strictures after liver transplantation. </w:t>
      </w:r>
      <w:r w:rsidRPr="00F06614">
        <w:rPr>
          <w:rFonts w:ascii="Book Antiqua" w:eastAsia="宋体" w:hAnsi="Book Antiqua" w:cs="宋体"/>
          <w:i/>
          <w:iCs/>
          <w:sz w:val="24"/>
          <w:szCs w:val="24"/>
        </w:rPr>
        <w:t>Transplantation</w:t>
      </w:r>
      <w:r w:rsidRPr="00F06614">
        <w:rPr>
          <w:rFonts w:ascii="Book Antiqua" w:eastAsia="宋体" w:hAnsi="Book Antiqua" w:cs="宋体"/>
          <w:sz w:val="24"/>
          <w:szCs w:val="24"/>
        </w:rPr>
        <w:t xml:space="preserve"> 1993; </w:t>
      </w:r>
      <w:r w:rsidRPr="00F06614">
        <w:rPr>
          <w:rFonts w:ascii="Book Antiqua" w:eastAsia="宋体" w:hAnsi="Book Antiqua" w:cs="宋体"/>
          <w:b/>
          <w:bCs/>
          <w:sz w:val="24"/>
          <w:szCs w:val="24"/>
        </w:rPr>
        <w:t>56</w:t>
      </w:r>
      <w:r w:rsidRPr="00F06614">
        <w:rPr>
          <w:rFonts w:ascii="Book Antiqua" w:eastAsia="宋体" w:hAnsi="Book Antiqua" w:cs="宋体"/>
          <w:sz w:val="24"/>
          <w:szCs w:val="24"/>
        </w:rPr>
        <w:t>: 495-500 [PMID: 8212138]</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11 </w:t>
      </w:r>
      <w:r w:rsidRPr="00F06614">
        <w:rPr>
          <w:rFonts w:ascii="Book Antiqua" w:eastAsia="宋体" w:hAnsi="Book Antiqua" w:cs="宋体"/>
          <w:b/>
          <w:bCs/>
          <w:sz w:val="24"/>
          <w:szCs w:val="24"/>
        </w:rPr>
        <w:t>Deltenre P</w:t>
      </w:r>
      <w:r w:rsidRPr="00F06614">
        <w:rPr>
          <w:rFonts w:ascii="Book Antiqua" w:eastAsia="宋体" w:hAnsi="Book Antiqua" w:cs="宋体"/>
          <w:sz w:val="24"/>
          <w:szCs w:val="24"/>
        </w:rPr>
        <w:t xml:space="preserve">, Valla DC. Ischemic cholangiopathy. </w:t>
      </w:r>
      <w:r w:rsidRPr="00F06614">
        <w:rPr>
          <w:rFonts w:ascii="Book Antiqua" w:eastAsia="宋体" w:hAnsi="Book Antiqua" w:cs="宋体"/>
          <w:i/>
          <w:iCs/>
          <w:sz w:val="24"/>
          <w:szCs w:val="24"/>
        </w:rPr>
        <w:t>Semin Liver Dis</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28</w:t>
      </w:r>
      <w:r w:rsidRPr="00F06614">
        <w:rPr>
          <w:rFonts w:ascii="Book Antiqua" w:eastAsia="宋体" w:hAnsi="Book Antiqua" w:cs="宋体"/>
          <w:sz w:val="24"/>
          <w:szCs w:val="24"/>
        </w:rPr>
        <w:t>: 235-246 [PMID: 18814</w:t>
      </w:r>
      <w:r w:rsidRPr="00074190">
        <w:rPr>
          <w:rFonts w:ascii="Book Antiqua" w:eastAsia="宋体" w:hAnsi="Book Antiqua" w:cs="宋体"/>
          <w:sz w:val="24"/>
          <w:szCs w:val="24"/>
        </w:rPr>
        <w:t>077 DOI: 10.1055/s-0028-1085092</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12 </w:t>
      </w:r>
      <w:r w:rsidRPr="00F06614">
        <w:rPr>
          <w:rFonts w:ascii="Book Antiqua" w:eastAsia="宋体" w:hAnsi="Book Antiqua" w:cs="宋体"/>
          <w:b/>
          <w:bCs/>
          <w:sz w:val="24"/>
          <w:szCs w:val="24"/>
        </w:rPr>
        <w:t>Chan EY</w:t>
      </w:r>
      <w:r w:rsidRPr="00F06614">
        <w:rPr>
          <w:rFonts w:ascii="Book Antiqua" w:eastAsia="宋体" w:hAnsi="Book Antiqua" w:cs="宋体"/>
          <w:sz w:val="24"/>
          <w:szCs w:val="24"/>
        </w:rPr>
        <w:t xml:space="preserve">, Olson LC, Kisthard JA, Perkins JD, Bakthavatsalam R, Halldorson JB, Reyes JD, Larson AM, Levy AE. Ischemic cholangiopathy following liver transplantation from donation after cardiac death donors.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14</w:t>
      </w:r>
      <w:r w:rsidRPr="00F06614">
        <w:rPr>
          <w:rFonts w:ascii="Book Antiqua" w:eastAsia="宋体" w:hAnsi="Book Antiqua" w:cs="宋体"/>
          <w:sz w:val="24"/>
          <w:szCs w:val="24"/>
        </w:rPr>
        <w:t>: 604-610 [PMID: 18433032 DOI: 10.10</w:t>
      </w:r>
      <w:r w:rsidRPr="00074190">
        <w:rPr>
          <w:rFonts w:ascii="Book Antiqua" w:eastAsia="宋体" w:hAnsi="Book Antiqua" w:cs="宋体"/>
          <w:sz w:val="24"/>
          <w:szCs w:val="24"/>
        </w:rPr>
        <w:t>02/lt.21361</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074190">
        <w:rPr>
          <w:rFonts w:ascii="Book Antiqua" w:eastAsia="宋体" w:hAnsi="Book Antiqua" w:cs="宋体"/>
          <w:sz w:val="24"/>
          <w:szCs w:val="24"/>
        </w:rPr>
        <w:t xml:space="preserve">13 </w:t>
      </w:r>
      <w:r w:rsidRPr="00F06614">
        <w:rPr>
          <w:rFonts w:ascii="Book Antiqua" w:eastAsia="宋体" w:hAnsi="Book Antiqua" w:cs="宋体"/>
          <w:b/>
          <w:sz w:val="24"/>
          <w:szCs w:val="24"/>
        </w:rPr>
        <w:t xml:space="preserve">Castaing D. </w:t>
      </w:r>
      <w:r w:rsidRPr="00F06614">
        <w:rPr>
          <w:rFonts w:ascii="Book Antiqua" w:eastAsia="宋体" w:hAnsi="Book Antiqua" w:cs="宋体"/>
          <w:sz w:val="24"/>
          <w:szCs w:val="24"/>
        </w:rPr>
        <w:t xml:space="preserve">Surgical anatomy of the biliary tract. </w:t>
      </w:r>
      <w:r w:rsidRPr="00F06614">
        <w:rPr>
          <w:rFonts w:ascii="Book Antiqua" w:eastAsia="宋体" w:hAnsi="Book Antiqua" w:cs="宋体"/>
          <w:i/>
          <w:sz w:val="24"/>
          <w:szCs w:val="24"/>
        </w:rPr>
        <w:t>HPB</w:t>
      </w:r>
      <w:r w:rsidRPr="00074190">
        <w:rPr>
          <w:rFonts w:ascii="Book Antiqua" w:eastAsia="宋体" w:hAnsi="Book Antiqua" w:cs="宋体"/>
          <w:sz w:val="24"/>
          <w:szCs w:val="24"/>
        </w:rPr>
        <w:t xml:space="preserve"> (Oxford)</w:t>
      </w:r>
      <w:r w:rsidRPr="00F06614">
        <w:rPr>
          <w:rFonts w:ascii="Book Antiqua" w:eastAsia="宋体" w:hAnsi="Book Antiqua" w:cs="宋体"/>
          <w:sz w:val="24"/>
          <w:szCs w:val="24"/>
        </w:rPr>
        <w:t xml:space="preserve"> 2008; </w:t>
      </w:r>
      <w:r w:rsidRPr="00F06614">
        <w:rPr>
          <w:rFonts w:ascii="Book Antiqua" w:eastAsia="宋体" w:hAnsi="Book Antiqua" w:cs="宋体"/>
          <w:b/>
          <w:sz w:val="24"/>
          <w:szCs w:val="24"/>
        </w:rPr>
        <w:t>10</w:t>
      </w:r>
      <w:r w:rsidRPr="00074190">
        <w:rPr>
          <w:rFonts w:ascii="Book Antiqua" w:eastAsia="宋体" w:hAnsi="Book Antiqua" w:cs="宋体"/>
          <w:sz w:val="24"/>
          <w:szCs w:val="24"/>
        </w:rPr>
        <w:t>: 72-76</w:t>
      </w:r>
      <w:r w:rsidRPr="00F06614">
        <w:rPr>
          <w:rFonts w:ascii="Book Antiqua" w:eastAsia="宋体" w:hAnsi="Book Antiqua" w:cs="宋体"/>
          <w:sz w:val="24"/>
          <w:szCs w:val="24"/>
        </w:rPr>
        <w:t xml:space="preserve"> </w:t>
      </w:r>
      <w:r w:rsidRPr="00074190">
        <w:rPr>
          <w:rFonts w:ascii="Book Antiqua" w:eastAsia="宋体" w:hAnsi="Book Antiqua" w:cs="宋体"/>
          <w:sz w:val="24"/>
          <w:szCs w:val="24"/>
        </w:rPr>
        <w:t>[DOI</w:t>
      </w:r>
      <w:r w:rsidRPr="00F06614">
        <w:rPr>
          <w:rFonts w:ascii="Book Antiqua" w:eastAsia="宋体" w:hAnsi="Book Antiqua" w:cs="宋体"/>
          <w:sz w:val="24"/>
          <w:szCs w:val="24"/>
        </w:rPr>
        <w:t>: 10.1080/13651820801992518</w:t>
      </w:r>
      <w:r w:rsidRPr="00074190">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14 </w:t>
      </w:r>
      <w:r w:rsidRPr="00F06614">
        <w:rPr>
          <w:rFonts w:ascii="Book Antiqua" w:eastAsia="宋体" w:hAnsi="Book Antiqua" w:cs="宋体"/>
          <w:b/>
          <w:bCs/>
          <w:sz w:val="24"/>
          <w:szCs w:val="24"/>
        </w:rPr>
        <w:t>Soin AS</w:t>
      </w:r>
      <w:r w:rsidRPr="00F06614">
        <w:rPr>
          <w:rFonts w:ascii="Book Antiqua" w:eastAsia="宋体" w:hAnsi="Book Antiqua" w:cs="宋体"/>
          <w:sz w:val="24"/>
          <w:szCs w:val="24"/>
        </w:rPr>
        <w:t xml:space="preserve">, Kumaran V, Rastogi AN, Mohanka R, Mehta N, Saigal S, Saraf N, Mohan N, Nundy S. Evolution of a reliable biliary reconstructive technique in 400 consecutive living donor liver transplants. </w:t>
      </w:r>
      <w:r w:rsidRPr="00F06614">
        <w:rPr>
          <w:rFonts w:ascii="Book Antiqua" w:eastAsia="宋体" w:hAnsi="Book Antiqua" w:cs="宋体"/>
          <w:i/>
          <w:iCs/>
          <w:sz w:val="24"/>
          <w:szCs w:val="24"/>
        </w:rPr>
        <w:t>J Am Coll Surg</w:t>
      </w:r>
      <w:r w:rsidRPr="00F06614">
        <w:rPr>
          <w:rFonts w:ascii="Book Antiqua" w:eastAsia="宋体" w:hAnsi="Book Antiqua" w:cs="宋体"/>
          <w:sz w:val="24"/>
          <w:szCs w:val="24"/>
        </w:rPr>
        <w:t xml:space="preserve"> 2010; </w:t>
      </w:r>
      <w:r w:rsidRPr="00F06614">
        <w:rPr>
          <w:rFonts w:ascii="Book Antiqua" w:eastAsia="宋体" w:hAnsi="Book Antiqua" w:cs="宋体"/>
          <w:b/>
          <w:bCs/>
          <w:sz w:val="24"/>
          <w:szCs w:val="24"/>
        </w:rPr>
        <w:t>211</w:t>
      </w:r>
      <w:r w:rsidRPr="00F06614">
        <w:rPr>
          <w:rFonts w:ascii="Book Antiqua" w:eastAsia="宋体" w:hAnsi="Book Antiqua" w:cs="宋体"/>
          <w:sz w:val="24"/>
          <w:szCs w:val="24"/>
        </w:rPr>
        <w:t>: 24-32 [PMID: 20610245 DOI: 10</w:t>
      </w:r>
      <w:r w:rsidRPr="00074190">
        <w:rPr>
          <w:rFonts w:ascii="Book Antiqua" w:eastAsia="宋体" w:hAnsi="Book Antiqua" w:cs="宋体"/>
          <w:sz w:val="24"/>
          <w:szCs w:val="24"/>
        </w:rPr>
        <w:t>.1016/j.jamcollsurg.2010.02.048</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15 </w:t>
      </w:r>
      <w:r w:rsidRPr="00F06614">
        <w:rPr>
          <w:rFonts w:ascii="Book Antiqua" w:eastAsia="宋体" w:hAnsi="Book Antiqua" w:cs="宋体"/>
          <w:b/>
          <w:bCs/>
          <w:sz w:val="24"/>
          <w:szCs w:val="24"/>
        </w:rPr>
        <w:t>Gunji H</w:t>
      </w:r>
      <w:r w:rsidRPr="00F06614">
        <w:rPr>
          <w:rFonts w:ascii="Book Antiqua" w:eastAsia="宋体" w:hAnsi="Book Antiqua" w:cs="宋体"/>
          <w:sz w:val="24"/>
          <w:szCs w:val="24"/>
        </w:rPr>
        <w:t xml:space="preserve">, Cho A, Tohma T, Okazumi S, Makino H, Shuto K, Mochizuki R, Matsubara K, Hayano K, Mori C, Murakami G, Ochiai T. The blood supply of the hilar bile duct and its relationship to the communicating arcade located between the right and left hepatic arteries. </w:t>
      </w:r>
      <w:r w:rsidRPr="00F06614">
        <w:rPr>
          <w:rFonts w:ascii="Book Antiqua" w:eastAsia="宋体" w:hAnsi="Book Antiqua" w:cs="宋体"/>
          <w:i/>
          <w:iCs/>
          <w:sz w:val="24"/>
          <w:szCs w:val="24"/>
        </w:rPr>
        <w:t>Am J Surg</w:t>
      </w:r>
      <w:r w:rsidRPr="00F06614">
        <w:rPr>
          <w:rFonts w:ascii="Book Antiqua" w:eastAsia="宋体" w:hAnsi="Book Antiqua" w:cs="宋体"/>
          <w:sz w:val="24"/>
          <w:szCs w:val="24"/>
        </w:rPr>
        <w:t xml:space="preserve"> 2006; </w:t>
      </w:r>
      <w:r w:rsidRPr="00F06614">
        <w:rPr>
          <w:rFonts w:ascii="Book Antiqua" w:eastAsia="宋体" w:hAnsi="Book Antiqua" w:cs="宋体"/>
          <w:b/>
          <w:bCs/>
          <w:sz w:val="24"/>
          <w:szCs w:val="24"/>
        </w:rPr>
        <w:t>192</w:t>
      </w:r>
      <w:r w:rsidRPr="00F06614">
        <w:rPr>
          <w:rFonts w:ascii="Book Antiqua" w:eastAsia="宋体" w:hAnsi="Book Antiqua" w:cs="宋体"/>
          <w:sz w:val="24"/>
          <w:szCs w:val="24"/>
        </w:rPr>
        <w:t>: 276-280 [PMID: 16920417 DOI: 10.1016/j.amjsurg.2006.01.04</w:t>
      </w:r>
      <w:r w:rsidRPr="00074190">
        <w:rPr>
          <w:rFonts w:ascii="Book Antiqua" w:eastAsia="宋体" w:hAnsi="Book Antiqua" w:cs="宋体"/>
          <w:sz w:val="24"/>
          <w:szCs w:val="24"/>
        </w:rPr>
        <w:t>6</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16 </w:t>
      </w:r>
      <w:r w:rsidRPr="00F06614">
        <w:rPr>
          <w:rFonts w:ascii="Book Antiqua" w:eastAsia="宋体" w:hAnsi="Book Antiqua" w:cs="宋体"/>
          <w:b/>
          <w:bCs/>
          <w:sz w:val="24"/>
          <w:szCs w:val="24"/>
        </w:rPr>
        <w:t>Soejima Y</w:t>
      </w:r>
      <w:r w:rsidRPr="00F06614">
        <w:rPr>
          <w:rFonts w:ascii="Book Antiqua" w:eastAsia="宋体" w:hAnsi="Book Antiqua" w:cs="宋体"/>
          <w:sz w:val="24"/>
          <w:szCs w:val="24"/>
        </w:rPr>
        <w:t xml:space="preserve">, Fukuhara T, Morita K, Yoshizumi T, Ikegami T, Yamashita Y, Sugimachi K, Taketomi A, Maehara Y. A simple hilar dissection technique preserving maximum blood supply to the bile duct in living donor liver transplantation. </w:t>
      </w:r>
      <w:r w:rsidRPr="00F06614">
        <w:rPr>
          <w:rFonts w:ascii="Book Antiqua" w:eastAsia="宋体" w:hAnsi="Book Antiqua" w:cs="宋体"/>
          <w:i/>
          <w:iCs/>
          <w:sz w:val="24"/>
          <w:szCs w:val="24"/>
        </w:rPr>
        <w:t>Transplantation</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86</w:t>
      </w:r>
      <w:r w:rsidRPr="00F06614">
        <w:rPr>
          <w:rFonts w:ascii="Book Antiqua" w:eastAsia="宋体" w:hAnsi="Book Antiqua" w:cs="宋体"/>
          <w:sz w:val="24"/>
          <w:szCs w:val="24"/>
        </w:rPr>
        <w:t>: 1468-1469 [PMID: 19034019 D</w:t>
      </w:r>
      <w:r w:rsidRPr="00074190">
        <w:rPr>
          <w:rFonts w:ascii="Book Antiqua" w:eastAsia="宋体" w:hAnsi="Book Antiqua" w:cs="宋体"/>
          <w:sz w:val="24"/>
          <w:szCs w:val="24"/>
        </w:rPr>
        <w:t>OI: 10.1097/TP.0b013e318188d4dc</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17 </w:t>
      </w:r>
      <w:r w:rsidRPr="00F06614">
        <w:rPr>
          <w:rFonts w:ascii="Book Antiqua" w:eastAsia="宋体" w:hAnsi="Book Antiqua" w:cs="宋体"/>
          <w:b/>
          <w:bCs/>
          <w:sz w:val="24"/>
          <w:szCs w:val="24"/>
        </w:rPr>
        <w:t>Wang SF</w:t>
      </w:r>
      <w:r w:rsidRPr="00F06614">
        <w:rPr>
          <w:rFonts w:ascii="Book Antiqua" w:eastAsia="宋体" w:hAnsi="Book Antiqua" w:cs="宋体"/>
          <w:sz w:val="24"/>
          <w:szCs w:val="24"/>
        </w:rPr>
        <w:t xml:space="preserve">, Huang ZY, Chen XP. Biliary complications after living donor liver transplantation.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2011; </w:t>
      </w:r>
      <w:r w:rsidRPr="00F06614">
        <w:rPr>
          <w:rFonts w:ascii="Book Antiqua" w:eastAsia="宋体" w:hAnsi="Book Antiqua" w:cs="宋体"/>
          <w:b/>
          <w:bCs/>
          <w:sz w:val="24"/>
          <w:szCs w:val="24"/>
        </w:rPr>
        <w:t>17</w:t>
      </w:r>
      <w:r w:rsidRPr="00F06614">
        <w:rPr>
          <w:rFonts w:ascii="Book Antiqua" w:eastAsia="宋体" w:hAnsi="Book Antiqua" w:cs="宋体"/>
          <w:sz w:val="24"/>
          <w:szCs w:val="24"/>
        </w:rPr>
        <w:t>: 1127-1136 [PMID:</w:t>
      </w:r>
      <w:r w:rsidRPr="00074190">
        <w:rPr>
          <w:rFonts w:ascii="Book Antiqua" w:eastAsia="宋体" w:hAnsi="Book Antiqua" w:cs="宋体"/>
          <w:sz w:val="24"/>
          <w:szCs w:val="24"/>
        </w:rPr>
        <w:t xml:space="preserve"> 21761548 DOI: 10.1002/lt.22381</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18 </w:t>
      </w:r>
      <w:r w:rsidRPr="00F06614">
        <w:rPr>
          <w:rFonts w:ascii="Book Antiqua" w:eastAsia="宋体" w:hAnsi="Book Antiqua" w:cs="宋体"/>
          <w:b/>
          <w:bCs/>
          <w:sz w:val="24"/>
          <w:szCs w:val="24"/>
        </w:rPr>
        <w:t>Seehofer D</w:t>
      </w:r>
      <w:r w:rsidRPr="00F06614">
        <w:rPr>
          <w:rFonts w:ascii="Book Antiqua" w:eastAsia="宋体" w:hAnsi="Book Antiqua" w:cs="宋体"/>
          <w:sz w:val="24"/>
          <w:szCs w:val="24"/>
        </w:rPr>
        <w:t xml:space="preserve">, Eurich D, Veltzke-Schlieker W, Neuhaus P. Biliary complications after liver transplantation: old problems and new challenges. </w:t>
      </w:r>
      <w:r w:rsidRPr="00F06614">
        <w:rPr>
          <w:rFonts w:ascii="Book Antiqua" w:eastAsia="宋体" w:hAnsi="Book Antiqua" w:cs="宋体"/>
          <w:i/>
          <w:iCs/>
          <w:sz w:val="24"/>
          <w:szCs w:val="24"/>
        </w:rPr>
        <w:t>Am J Transplant</w:t>
      </w:r>
      <w:r w:rsidRPr="00F06614">
        <w:rPr>
          <w:rFonts w:ascii="Book Antiqua" w:eastAsia="宋体" w:hAnsi="Book Antiqua" w:cs="宋体"/>
          <w:sz w:val="24"/>
          <w:szCs w:val="24"/>
        </w:rPr>
        <w:t xml:space="preserve"> 2013; </w:t>
      </w:r>
      <w:r w:rsidRPr="00F06614">
        <w:rPr>
          <w:rFonts w:ascii="Book Antiqua" w:eastAsia="宋体" w:hAnsi="Book Antiqua" w:cs="宋体"/>
          <w:b/>
          <w:bCs/>
          <w:sz w:val="24"/>
          <w:szCs w:val="24"/>
        </w:rPr>
        <w:t>13</w:t>
      </w:r>
      <w:r w:rsidRPr="00F06614">
        <w:rPr>
          <w:rFonts w:ascii="Book Antiqua" w:eastAsia="宋体" w:hAnsi="Book Antiqua" w:cs="宋体"/>
          <w:sz w:val="24"/>
          <w:szCs w:val="24"/>
        </w:rPr>
        <w:t xml:space="preserve">: 253-265 [PMID: </w:t>
      </w:r>
      <w:r w:rsidRPr="00074190">
        <w:rPr>
          <w:rFonts w:ascii="Book Antiqua" w:eastAsia="宋体" w:hAnsi="Book Antiqua" w:cs="宋体"/>
          <w:sz w:val="24"/>
          <w:szCs w:val="24"/>
        </w:rPr>
        <w:t>23331505 DOI: 10.1111/ajt.12034</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074190">
        <w:rPr>
          <w:rFonts w:ascii="Book Antiqua" w:eastAsia="宋体" w:hAnsi="Book Antiqua" w:cs="宋体"/>
          <w:sz w:val="24"/>
          <w:szCs w:val="24"/>
        </w:rPr>
        <w:t xml:space="preserve">19 </w:t>
      </w:r>
      <w:r w:rsidRPr="00F06614">
        <w:rPr>
          <w:rFonts w:ascii="Book Antiqua" w:eastAsia="宋体" w:hAnsi="Book Antiqua" w:cs="宋体"/>
          <w:b/>
          <w:sz w:val="24"/>
          <w:szCs w:val="24"/>
        </w:rPr>
        <w:t xml:space="preserve">Blumgart LH, </w:t>
      </w:r>
      <w:r w:rsidRPr="00F06614">
        <w:rPr>
          <w:rFonts w:ascii="Book Antiqua" w:eastAsia="宋体" w:hAnsi="Book Antiqua" w:cs="宋体"/>
          <w:sz w:val="24"/>
          <w:szCs w:val="24"/>
        </w:rPr>
        <w:t xml:space="preserve">Hann LE. Blumgart’s Surgery of the Liver, Pancreas and Biliary Tract. </w:t>
      </w:r>
      <w:r w:rsidRPr="00074190">
        <w:rPr>
          <w:rFonts w:ascii="Book Antiqua" w:eastAsia="宋体" w:hAnsi="Book Antiqua" w:cs="宋体"/>
          <w:sz w:val="24"/>
          <w:szCs w:val="24"/>
        </w:rPr>
        <w:t>5th ed. Elsevier, 2012: 31-57.e1</w:t>
      </w:r>
      <w:r w:rsidRPr="00F06614">
        <w:rPr>
          <w:rFonts w:ascii="Book Antiqua" w:eastAsia="宋体" w:hAnsi="Book Antiqua" w:cs="宋体"/>
          <w:sz w:val="24"/>
          <w:szCs w:val="24"/>
        </w:rPr>
        <w:t xml:space="preserve"> </w:t>
      </w:r>
      <w:r w:rsidRPr="00074190">
        <w:rPr>
          <w:rFonts w:ascii="Book Antiqua" w:eastAsia="宋体" w:hAnsi="Book Antiqua" w:cs="宋体"/>
          <w:sz w:val="24"/>
          <w:szCs w:val="24"/>
        </w:rPr>
        <w:t>[DOI</w:t>
      </w:r>
      <w:r w:rsidRPr="00F06614">
        <w:rPr>
          <w:rFonts w:ascii="Book Antiqua" w:eastAsia="宋体" w:hAnsi="Book Antiqua" w:cs="宋体"/>
          <w:sz w:val="24"/>
          <w:szCs w:val="24"/>
        </w:rPr>
        <w:t>: 10.</w:t>
      </w:r>
      <w:r w:rsidRPr="00074190">
        <w:rPr>
          <w:rFonts w:ascii="Book Antiqua" w:eastAsia="宋体" w:hAnsi="Book Antiqua" w:cs="宋体"/>
          <w:sz w:val="24"/>
          <w:szCs w:val="24"/>
        </w:rPr>
        <w:t>1016/B978-1-4377-1454-8.00107-7]</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20 </w:t>
      </w:r>
      <w:r w:rsidRPr="00F06614">
        <w:rPr>
          <w:rFonts w:ascii="Book Antiqua" w:eastAsia="宋体" w:hAnsi="Book Antiqua" w:cs="宋体"/>
          <w:b/>
          <w:bCs/>
          <w:sz w:val="24"/>
          <w:szCs w:val="24"/>
        </w:rPr>
        <w:t>Clavien PA</w:t>
      </w:r>
      <w:r w:rsidRPr="00F06614">
        <w:rPr>
          <w:rFonts w:ascii="Book Antiqua" w:eastAsia="宋体" w:hAnsi="Book Antiqua" w:cs="宋体"/>
          <w:sz w:val="24"/>
          <w:szCs w:val="24"/>
        </w:rPr>
        <w:t xml:space="preserve">, Camargo CA, Croxford R, Langer B, Levy GA, Greig PD. Definition and classification of negative outcomes in solid organ transplantation. Application in liver transplantation. </w:t>
      </w:r>
      <w:r w:rsidRPr="00F06614">
        <w:rPr>
          <w:rFonts w:ascii="Book Antiqua" w:eastAsia="宋体" w:hAnsi="Book Antiqua" w:cs="宋体"/>
          <w:i/>
          <w:iCs/>
          <w:sz w:val="24"/>
          <w:szCs w:val="24"/>
        </w:rPr>
        <w:t>Ann Surg</w:t>
      </w:r>
      <w:r w:rsidRPr="00F06614">
        <w:rPr>
          <w:rFonts w:ascii="Book Antiqua" w:eastAsia="宋体" w:hAnsi="Book Antiqua" w:cs="宋体"/>
          <w:sz w:val="24"/>
          <w:szCs w:val="24"/>
        </w:rPr>
        <w:t xml:space="preserve"> 1994; </w:t>
      </w:r>
      <w:r w:rsidRPr="00F06614">
        <w:rPr>
          <w:rFonts w:ascii="Book Antiqua" w:eastAsia="宋体" w:hAnsi="Book Antiqua" w:cs="宋体"/>
          <w:b/>
          <w:bCs/>
          <w:sz w:val="24"/>
          <w:szCs w:val="24"/>
        </w:rPr>
        <w:t>220</w:t>
      </w:r>
      <w:r w:rsidRPr="00F06614">
        <w:rPr>
          <w:rFonts w:ascii="Book Antiqua" w:eastAsia="宋体" w:hAnsi="Book Antiqua" w:cs="宋体"/>
          <w:sz w:val="24"/>
          <w:szCs w:val="24"/>
        </w:rPr>
        <w:t>: 109-120 [PMID: 8053733]</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21 </w:t>
      </w:r>
      <w:r w:rsidRPr="00F06614">
        <w:rPr>
          <w:rFonts w:ascii="Book Antiqua" w:eastAsia="宋体" w:hAnsi="Book Antiqua" w:cs="宋体"/>
          <w:b/>
          <w:bCs/>
          <w:sz w:val="24"/>
          <w:szCs w:val="24"/>
        </w:rPr>
        <w:t>Broelsch CE</w:t>
      </w:r>
      <w:r w:rsidRPr="00F06614">
        <w:rPr>
          <w:rFonts w:ascii="Book Antiqua" w:eastAsia="宋体" w:hAnsi="Book Antiqua" w:cs="宋体"/>
          <w:sz w:val="24"/>
          <w:szCs w:val="24"/>
        </w:rPr>
        <w:t xml:space="preserve">, Frilling A, Testa G, Malago M. Living donor liver transplantation in adults. </w:t>
      </w:r>
      <w:r w:rsidRPr="00F06614">
        <w:rPr>
          <w:rFonts w:ascii="Book Antiqua" w:eastAsia="宋体" w:hAnsi="Book Antiqua" w:cs="宋体"/>
          <w:i/>
          <w:iCs/>
          <w:sz w:val="24"/>
          <w:szCs w:val="24"/>
        </w:rPr>
        <w:t>Eur J Gastroenterol Hepatol</w:t>
      </w:r>
      <w:r w:rsidRPr="00F06614">
        <w:rPr>
          <w:rFonts w:ascii="Book Antiqua" w:eastAsia="宋体" w:hAnsi="Book Antiqua" w:cs="宋体"/>
          <w:sz w:val="24"/>
          <w:szCs w:val="24"/>
        </w:rPr>
        <w:t xml:space="preserve"> 2003; </w:t>
      </w:r>
      <w:r w:rsidRPr="00F06614">
        <w:rPr>
          <w:rFonts w:ascii="Book Antiqua" w:eastAsia="宋体" w:hAnsi="Book Antiqua" w:cs="宋体"/>
          <w:b/>
          <w:bCs/>
          <w:sz w:val="24"/>
          <w:szCs w:val="24"/>
        </w:rPr>
        <w:t>15</w:t>
      </w:r>
      <w:r w:rsidRPr="00F06614">
        <w:rPr>
          <w:rFonts w:ascii="Book Antiqua" w:eastAsia="宋体" w:hAnsi="Book Antiqua" w:cs="宋体"/>
          <w:sz w:val="24"/>
          <w:szCs w:val="24"/>
        </w:rPr>
        <w:t>: 3-6 [PMID: 12544687]</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22 </w:t>
      </w:r>
      <w:r w:rsidRPr="00F06614">
        <w:rPr>
          <w:rFonts w:ascii="Book Antiqua" w:eastAsia="宋体" w:hAnsi="Book Antiqua" w:cs="宋体"/>
          <w:b/>
          <w:bCs/>
          <w:sz w:val="24"/>
          <w:szCs w:val="24"/>
        </w:rPr>
        <w:t>Ghobrial RM</w:t>
      </w:r>
      <w:r w:rsidRPr="00F06614">
        <w:rPr>
          <w:rFonts w:ascii="Book Antiqua" w:eastAsia="宋体" w:hAnsi="Book Antiqua" w:cs="宋体"/>
          <w:sz w:val="24"/>
          <w:szCs w:val="24"/>
        </w:rPr>
        <w:t xml:space="preserve">, Saab S, Lassman C, Lu DS, Raman S, Limanond P, Kunder G, Marks K, Amersi F, Anselmo D, Chen P, Farmer D, Han S, Durazo F, Goldstein LI, Busuttil RW. Donor and recipient outcomes in right lobe adult living donor liver transplantation.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2002; </w:t>
      </w:r>
      <w:r w:rsidRPr="00F06614">
        <w:rPr>
          <w:rFonts w:ascii="Book Antiqua" w:eastAsia="宋体" w:hAnsi="Book Antiqua" w:cs="宋体"/>
          <w:b/>
          <w:bCs/>
          <w:sz w:val="24"/>
          <w:szCs w:val="24"/>
        </w:rPr>
        <w:t>8</w:t>
      </w:r>
      <w:r w:rsidRPr="00F06614">
        <w:rPr>
          <w:rFonts w:ascii="Book Antiqua" w:eastAsia="宋体" w:hAnsi="Book Antiqua" w:cs="宋体"/>
          <w:sz w:val="24"/>
          <w:szCs w:val="24"/>
        </w:rPr>
        <w:t>: 901-909 [PMID: 123604</w:t>
      </w:r>
      <w:r w:rsidRPr="00074190">
        <w:rPr>
          <w:rFonts w:ascii="Book Antiqua" w:eastAsia="宋体" w:hAnsi="Book Antiqua" w:cs="宋体"/>
          <w:sz w:val="24"/>
          <w:szCs w:val="24"/>
        </w:rPr>
        <w:t>31 DOI: 10.1053/jlts.2002.35548</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23 </w:t>
      </w:r>
      <w:r w:rsidRPr="00F06614">
        <w:rPr>
          <w:rFonts w:ascii="Book Antiqua" w:eastAsia="宋体" w:hAnsi="Book Antiqua" w:cs="宋体"/>
          <w:b/>
          <w:bCs/>
          <w:sz w:val="24"/>
          <w:szCs w:val="24"/>
        </w:rPr>
        <w:t>Gondolesi GE</w:t>
      </w:r>
      <w:r w:rsidRPr="00F06614">
        <w:rPr>
          <w:rFonts w:ascii="Book Antiqua" w:eastAsia="宋体" w:hAnsi="Book Antiqua" w:cs="宋体"/>
          <w:sz w:val="24"/>
          <w:szCs w:val="24"/>
        </w:rPr>
        <w:t xml:space="preserve">, Varotti G, Florman SS, Muñoz L, Fishbein TM, Emre SH, Schwartz ME, Miller C. Biliary complications in 96 consecutive right lobe living donor transplant recipients. </w:t>
      </w:r>
      <w:r w:rsidRPr="00F06614">
        <w:rPr>
          <w:rFonts w:ascii="Book Antiqua" w:eastAsia="宋体" w:hAnsi="Book Antiqua" w:cs="宋体"/>
          <w:i/>
          <w:iCs/>
          <w:sz w:val="24"/>
          <w:szCs w:val="24"/>
        </w:rPr>
        <w:t>Transplantation</w:t>
      </w:r>
      <w:r w:rsidRPr="00F06614">
        <w:rPr>
          <w:rFonts w:ascii="Book Antiqua" w:eastAsia="宋体" w:hAnsi="Book Antiqua" w:cs="宋体"/>
          <w:sz w:val="24"/>
          <w:szCs w:val="24"/>
        </w:rPr>
        <w:t xml:space="preserve"> 2004; </w:t>
      </w:r>
      <w:r w:rsidRPr="00F06614">
        <w:rPr>
          <w:rFonts w:ascii="Book Antiqua" w:eastAsia="宋体" w:hAnsi="Book Antiqua" w:cs="宋体"/>
          <w:b/>
          <w:bCs/>
          <w:sz w:val="24"/>
          <w:szCs w:val="24"/>
        </w:rPr>
        <w:t>77</w:t>
      </w:r>
      <w:r w:rsidRPr="00F06614">
        <w:rPr>
          <w:rFonts w:ascii="Book Antiqua" w:eastAsia="宋体" w:hAnsi="Book Antiqua" w:cs="宋体"/>
          <w:sz w:val="24"/>
          <w:szCs w:val="24"/>
        </w:rPr>
        <w:t>: 1842-1848 [PMID: 15223901 DOI: 10</w:t>
      </w:r>
      <w:r w:rsidRPr="00074190">
        <w:rPr>
          <w:rFonts w:ascii="Book Antiqua" w:eastAsia="宋体" w:hAnsi="Book Antiqua" w:cs="宋体"/>
          <w:sz w:val="24"/>
          <w:szCs w:val="24"/>
        </w:rPr>
        <w:t>.1097/01.TP.0000123077.78702.0C</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24 </w:t>
      </w:r>
      <w:r w:rsidRPr="00F06614">
        <w:rPr>
          <w:rFonts w:ascii="Book Antiqua" w:eastAsia="宋体" w:hAnsi="Book Antiqua" w:cs="宋体"/>
          <w:b/>
          <w:bCs/>
          <w:sz w:val="24"/>
          <w:szCs w:val="24"/>
        </w:rPr>
        <w:t>Liu CL</w:t>
      </w:r>
      <w:r w:rsidRPr="00F06614">
        <w:rPr>
          <w:rFonts w:ascii="Book Antiqua" w:eastAsia="宋体" w:hAnsi="Book Antiqua" w:cs="宋体"/>
          <w:sz w:val="24"/>
          <w:szCs w:val="24"/>
        </w:rPr>
        <w:t xml:space="preserve">, Lo CM, Chan SC, Fan ST. Safety of duct-to-duct biliary reconstruction in right-lobe live-donor liver transplantation without biliary drainage. </w:t>
      </w:r>
      <w:r w:rsidRPr="00F06614">
        <w:rPr>
          <w:rFonts w:ascii="Book Antiqua" w:eastAsia="宋体" w:hAnsi="Book Antiqua" w:cs="宋体"/>
          <w:i/>
          <w:iCs/>
          <w:sz w:val="24"/>
          <w:szCs w:val="24"/>
        </w:rPr>
        <w:t>Transplantation</w:t>
      </w:r>
      <w:r w:rsidRPr="00F06614">
        <w:rPr>
          <w:rFonts w:ascii="Book Antiqua" w:eastAsia="宋体" w:hAnsi="Book Antiqua" w:cs="宋体"/>
          <w:sz w:val="24"/>
          <w:szCs w:val="24"/>
        </w:rPr>
        <w:t xml:space="preserve"> 2004; </w:t>
      </w:r>
      <w:r w:rsidRPr="00F06614">
        <w:rPr>
          <w:rFonts w:ascii="Book Antiqua" w:eastAsia="宋体" w:hAnsi="Book Antiqua" w:cs="宋体"/>
          <w:b/>
          <w:bCs/>
          <w:sz w:val="24"/>
          <w:szCs w:val="24"/>
        </w:rPr>
        <w:t>77</w:t>
      </w:r>
      <w:r w:rsidRPr="00F06614">
        <w:rPr>
          <w:rFonts w:ascii="Book Antiqua" w:eastAsia="宋体" w:hAnsi="Book Antiqua" w:cs="宋体"/>
          <w:sz w:val="24"/>
          <w:szCs w:val="24"/>
        </w:rPr>
        <w:t>: 726-732 [PMID: 15021836]</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25 </w:t>
      </w:r>
      <w:r w:rsidRPr="00F06614">
        <w:rPr>
          <w:rFonts w:ascii="Book Antiqua" w:eastAsia="宋体" w:hAnsi="Book Antiqua" w:cs="宋体"/>
          <w:b/>
          <w:bCs/>
          <w:sz w:val="24"/>
          <w:szCs w:val="24"/>
        </w:rPr>
        <w:t>Giacomoni A</w:t>
      </w:r>
      <w:r w:rsidRPr="00F06614">
        <w:rPr>
          <w:rFonts w:ascii="Book Antiqua" w:eastAsia="宋体" w:hAnsi="Book Antiqua" w:cs="宋体"/>
          <w:sz w:val="24"/>
          <w:szCs w:val="24"/>
        </w:rPr>
        <w:t xml:space="preserve">, Lauterio A, Slim AO, Vanzulli A, Calcagno A, Mangoni I, Belli LS, De Gasperi A, De Carlis L. Biliary complications after living donor adult liver transplantation. </w:t>
      </w:r>
      <w:r w:rsidRPr="00F06614">
        <w:rPr>
          <w:rFonts w:ascii="Book Antiqua" w:eastAsia="宋体" w:hAnsi="Book Antiqua" w:cs="宋体"/>
          <w:i/>
          <w:iCs/>
          <w:sz w:val="24"/>
          <w:szCs w:val="24"/>
        </w:rPr>
        <w:t>Transpl Int</w:t>
      </w:r>
      <w:r w:rsidRPr="00F06614">
        <w:rPr>
          <w:rFonts w:ascii="Book Antiqua" w:eastAsia="宋体" w:hAnsi="Book Antiqua" w:cs="宋体"/>
          <w:sz w:val="24"/>
          <w:szCs w:val="24"/>
        </w:rPr>
        <w:t xml:space="preserve"> 2006; </w:t>
      </w:r>
      <w:r w:rsidRPr="00F06614">
        <w:rPr>
          <w:rFonts w:ascii="Book Antiqua" w:eastAsia="宋体" w:hAnsi="Book Antiqua" w:cs="宋体"/>
          <w:b/>
          <w:bCs/>
          <w:sz w:val="24"/>
          <w:szCs w:val="24"/>
        </w:rPr>
        <w:t>19</w:t>
      </w:r>
      <w:r w:rsidRPr="00F06614">
        <w:rPr>
          <w:rFonts w:ascii="Book Antiqua" w:eastAsia="宋体" w:hAnsi="Book Antiqua" w:cs="宋体"/>
          <w:sz w:val="24"/>
          <w:szCs w:val="24"/>
        </w:rPr>
        <w:t>: 466-473 [PMID: 16771867 DOI: 1</w:t>
      </w:r>
      <w:r w:rsidRPr="00074190">
        <w:rPr>
          <w:rFonts w:ascii="Book Antiqua" w:eastAsia="宋体" w:hAnsi="Book Antiqua" w:cs="宋体"/>
          <w:sz w:val="24"/>
          <w:szCs w:val="24"/>
        </w:rPr>
        <w:t>0.1111/j.1432-2277.2006.00274.x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26 </w:t>
      </w:r>
      <w:r w:rsidRPr="00F06614">
        <w:rPr>
          <w:rFonts w:ascii="Book Antiqua" w:eastAsia="宋体" w:hAnsi="Book Antiqua" w:cs="宋体"/>
          <w:b/>
          <w:bCs/>
          <w:sz w:val="24"/>
          <w:szCs w:val="24"/>
        </w:rPr>
        <w:t>Soejima Y</w:t>
      </w:r>
      <w:r w:rsidRPr="00F06614">
        <w:rPr>
          <w:rFonts w:ascii="Book Antiqua" w:eastAsia="宋体" w:hAnsi="Book Antiqua" w:cs="宋体"/>
          <w:sz w:val="24"/>
          <w:szCs w:val="24"/>
        </w:rPr>
        <w:t xml:space="preserve">, Taketomi A, Yoshizumi T, Uchiyama H, Harada N, Ijichi H, Yonemura Y, Ikeda T, Shimada M, Maehara Y. Biliary strictures in living donor liver transplantation: incidence, management, and technical evolution.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2006; </w:t>
      </w:r>
      <w:r w:rsidRPr="00F06614">
        <w:rPr>
          <w:rFonts w:ascii="Book Antiqua" w:eastAsia="宋体" w:hAnsi="Book Antiqua" w:cs="宋体"/>
          <w:b/>
          <w:bCs/>
          <w:sz w:val="24"/>
          <w:szCs w:val="24"/>
        </w:rPr>
        <w:t>12</w:t>
      </w:r>
      <w:r w:rsidRPr="00F06614">
        <w:rPr>
          <w:rFonts w:ascii="Book Antiqua" w:eastAsia="宋体" w:hAnsi="Book Antiqua" w:cs="宋体"/>
          <w:sz w:val="24"/>
          <w:szCs w:val="24"/>
        </w:rPr>
        <w:t>: 979-986 [PMID:</w:t>
      </w:r>
      <w:r w:rsidRPr="00074190">
        <w:rPr>
          <w:rFonts w:ascii="Book Antiqua" w:eastAsia="宋体" w:hAnsi="Book Antiqua" w:cs="宋体"/>
          <w:sz w:val="24"/>
          <w:szCs w:val="24"/>
        </w:rPr>
        <w:t xml:space="preserve"> 16721777 DOI: 10.1002/lt.20740</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27 </w:t>
      </w:r>
      <w:r w:rsidRPr="00F06614">
        <w:rPr>
          <w:rFonts w:ascii="Book Antiqua" w:eastAsia="宋体" w:hAnsi="Book Antiqua" w:cs="宋体"/>
          <w:b/>
          <w:bCs/>
          <w:sz w:val="24"/>
          <w:szCs w:val="24"/>
        </w:rPr>
        <w:t>Shah SA</w:t>
      </w:r>
      <w:r w:rsidRPr="00F06614">
        <w:rPr>
          <w:rFonts w:ascii="Book Antiqua" w:eastAsia="宋体" w:hAnsi="Book Antiqua" w:cs="宋体"/>
          <w:sz w:val="24"/>
          <w:szCs w:val="24"/>
        </w:rPr>
        <w:t xml:space="preserve">, Grant DR, McGilvray ID, Greig PD, Selzner M, Lilly LB, Girgrah N, Levy GA, Cattral MS. Biliary strictures in 130 consecutive right lobe living donor liver transplant recipients: results of a Western center. </w:t>
      </w:r>
      <w:r w:rsidRPr="00F06614">
        <w:rPr>
          <w:rFonts w:ascii="Book Antiqua" w:eastAsia="宋体" w:hAnsi="Book Antiqua" w:cs="宋体"/>
          <w:i/>
          <w:iCs/>
          <w:sz w:val="24"/>
          <w:szCs w:val="24"/>
        </w:rPr>
        <w:t>Am J Transplant</w:t>
      </w:r>
      <w:r w:rsidRPr="00F06614">
        <w:rPr>
          <w:rFonts w:ascii="Book Antiqua" w:eastAsia="宋体" w:hAnsi="Book Antiqua" w:cs="宋体"/>
          <w:sz w:val="24"/>
          <w:szCs w:val="24"/>
        </w:rPr>
        <w:t xml:space="preserve"> 2007; </w:t>
      </w:r>
      <w:r w:rsidRPr="00F06614">
        <w:rPr>
          <w:rFonts w:ascii="Book Antiqua" w:eastAsia="宋体" w:hAnsi="Book Antiqua" w:cs="宋体"/>
          <w:b/>
          <w:bCs/>
          <w:sz w:val="24"/>
          <w:szCs w:val="24"/>
        </w:rPr>
        <w:t>7</w:t>
      </w:r>
      <w:r w:rsidRPr="00F06614">
        <w:rPr>
          <w:rFonts w:ascii="Book Antiqua" w:eastAsia="宋体" w:hAnsi="Book Antiqua" w:cs="宋体"/>
          <w:sz w:val="24"/>
          <w:szCs w:val="24"/>
        </w:rPr>
        <w:t>: 161-167 [PMID: 17227565 DOI: 1</w:t>
      </w:r>
      <w:r w:rsidRPr="00074190">
        <w:rPr>
          <w:rFonts w:ascii="Book Antiqua" w:eastAsia="宋体" w:hAnsi="Book Antiqua" w:cs="宋体"/>
          <w:sz w:val="24"/>
          <w:szCs w:val="24"/>
        </w:rPr>
        <w:t>0.1111/j.1600-6143.2006.01601.x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28 </w:t>
      </w:r>
      <w:r w:rsidRPr="00F06614">
        <w:rPr>
          <w:rFonts w:ascii="Book Antiqua" w:eastAsia="宋体" w:hAnsi="Book Antiqua" w:cs="宋体"/>
          <w:b/>
          <w:bCs/>
          <w:sz w:val="24"/>
          <w:szCs w:val="24"/>
        </w:rPr>
        <w:t>Mita A</w:t>
      </w:r>
      <w:r w:rsidRPr="00F06614">
        <w:rPr>
          <w:rFonts w:ascii="Book Antiqua" w:eastAsia="宋体" w:hAnsi="Book Antiqua" w:cs="宋体"/>
          <w:sz w:val="24"/>
          <w:szCs w:val="24"/>
        </w:rPr>
        <w:t xml:space="preserve">, Hashikura Y, Masuda Y, Ohno Y, Urata K, Nakazawa Y, Ikegami T, Terada M, Yamamoto H, Miyagawa S. Nonsurgical policy for treatment of bilioenteric anastomotic stricture after living donor liver transplantation. </w:t>
      </w:r>
      <w:r w:rsidRPr="00F06614">
        <w:rPr>
          <w:rFonts w:ascii="Book Antiqua" w:eastAsia="宋体" w:hAnsi="Book Antiqua" w:cs="宋体"/>
          <w:i/>
          <w:iCs/>
          <w:sz w:val="24"/>
          <w:szCs w:val="24"/>
        </w:rPr>
        <w:t>Transpl Int</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21</w:t>
      </w:r>
      <w:r w:rsidRPr="00F06614">
        <w:rPr>
          <w:rFonts w:ascii="Book Antiqua" w:eastAsia="宋体" w:hAnsi="Book Antiqua" w:cs="宋体"/>
          <w:sz w:val="24"/>
          <w:szCs w:val="24"/>
        </w:rPr>
        <w:t>: 320-327 [PMID: 18069923 DOI: 1</w:t>
      </w:r>
      <w:r w:rsidRPr="00074190">
        <w:rPr>
          <w:rFonts w:ascii="Book Antiqua" w:eastAsia="宋体" w:hAnsi="Book Antiqua" w:cs="宋体"/>
          <w:sz w:val="24"/>
          <w:szCs w:val="24"/>
        </w:rPr>
        <w:t>0.1111/j.1432-2277.2007.00609.x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29 </w:t>
      </w:r>
      <w:r w:rsidRPr="00F06614">
        <w:rPr>
          <w:rFonts w:ascii="Book Antiqua" w:eastAsia="宋体" w:hAnsi="Book Antiqua" w:cs="宋体"/>
          <w:b/>
          <w:bCs/>
          <w:sz w:val="24"/>
          <w:szCs w:val="24"/>
        </w:rPr>
        <w:t>Marubashi S</w:t>
      </w:r>
      <w:r w:rsidRPr="00F06614">
        <w:rPr>
          <w:rFonts w:ascii="Book Antiqua" w:eastAsia="宋体" w:hAnsi="Book Antiqua" w:cs="宋体"/>
          <w:sz w:val="24"/>
          <w:szCs w:val="24"/>
        </w:rPr>
        <w:t xml:space="preserve">, Dono K, Nagano H, Kobayashi S, Takeda Y, Umeshita K, Monden M, Doki Y, Mori M. Biliary reconstruction in living donor liver transplantation: technical invention and risk factor analysis for anastomotic stricture. </w:t>
      </w:r>
      <w:r w:rsidRPr="00F06614">
        <w:rPr>
          <w:rFonts w:ascii="Book Antiqua" w:eastAsia="宋体" w:hAnsi="Book Antiqua" w:cs="宋体"/>
          <w:i/>
          <w:iCs/>
          <w:sz w:val="24"/>
          <w:szCs w:val="24"/>
        </w:rPr>
        <w:t>Transplantation</w:t>
      </w:r>
      <w:r w:rsidRPr="00F06614">
        <w:rPr>
          <w:rFonts w:ascii="Book Antiqua" w:eastAsia="宋体" w:hAnsi="Book Antiqua" w:cs="宋体"/>
          <w:sz w:val="24"/>
          <w:szCs w:val="24"/>
        </w:rPr>
        <w:t xml:space="preserve"> 2009; </w:t>
      </w:r>
      <w:r w:rsidRPr="00F06614">
        <w:rPr>
          <w:rFonts w:ascii="Book Antiqua" w:eastAsia="宋体" w:hAnsi="Book Antiqua" w:cs="宋体"/>
          <w:b/>
          <w:bCs/>
          <w:sz w:val="24"/>
          <w:szCs w:val="24"/>
        </w:rPr>
        <w:t>88</w:t>
      </w:r>
      <w:r w:rsidRPr="00F06614">
        <w:rPr>
          <w:rFonts w:ascii="Book Antiqua" w:eastAsia="宋体" w:hAnsi="Book Antiqua" w:cs="宋体"/>
          <w:sz w:val="24"/>
          <w:szCs w:val="24"/>
        </w:rPr>
        <w:t>: 1123-1130 [PMID: 19898209 D</w:t>
      </w:r>
      <w:r w:rsidRPr="00074190">
        <w:rPr>
          <w:rFonts w:ascii="Book Antiqua" w:eastAsia="宋体" w:hAnsi="Book Antiqua" w:cs="宋体"/>
          <w:sz w:val="24"/>
          <w:szCs w:val="24"/>
        </w:rPr>
        <w:t>OI: 10.1097/TP.0b013e3181ba184a</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30 </w:t>
      </w:r>
      <w:r w:rsidRPr="00F06614">
        <w:rPr>
          <w:rFonts w:ascii="Book Antiqua" w:eastAsia="宋体" w:hAnsi="Book Antiqua" w:cs="宋体"/>
          <w:b/>
          <w:bCs/>
          <w:sz w:val="24"/>
          <w:szCs w:val="24"/>
        </w:rPr>
        <w:t>Lin TS</w:t>
      </w:r>
      <w:r w:rsidRPr="00F06614">
        <w:rPr>
          <w:rFonts w:ascii="Book Antiqua" w:eastAsia="宋体" w:hAnsi="Book Antiqua" w:cs="宋体"/>
          <w:sz w:val="24"/>
          <w:szCs w:val="24"/>
        </w:rPr>
        <w:t xml:space="preserve">, Concejero AM, Chen CL, Chiang YC, Wang CC, Wang SH, Liu YW, Yang CH, Yong CC, Jawan B, Cheng YF. Routine microsurgical biliary reconstruction decreases early anastomotic complications in living donor liver transplantation.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2009; </w:t>
      </w:r>
      <w:r w:rsidRPr="00F06614">
        <w:rPr>
          <w:rFonts w:ascii="Book Antiqua" w:eastAsia="宋体" w:hAnsi="Book Antiqua" w:cs="宋体"/>
          <w:b/>
          <w:bCs/>
          <w:sz w:val="24"/>
          <w:szCs w:val="24"/>
        </w:rPr>
        <w:t>15</w:t>
      </w:r>
      <w:r w:rsidRPr="00F06614">
        <w:rPr>
          <w:rFonts w:ascii="Book Antiqua" w:eastAsia="宋体" w:hAnsi="Book Antiqua" w:cs="宋体"/>
          <w:sz w:val="24"/>
          <w:szCs w:val="24"/>
        </w:rPr>
        <w:t xml:space="preserve">: 1766-1775 [PMID: 19938121 DOI: </w:t>
      </w:r>
      <w:r w:rsidRPr="00074190">
        <w:rPr>
          <w:rFonts w:ascii="Book Antiqua" w:eastAsia="宋体" w:hAnsi="Book Antiqua" w:cs="宋体"/>
          <w:sz w:val="24"/>
          <w:szCs w:val="24"/>
        </w:rPr>
        <w:t>10.1002/lt.21947</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31 </w:t>
      </w:r>
      <w:r w:rsidRPr="00F06614">
        <w:rPr>
          <w:rFonts w:ascii="Book Antiqua" w:eastAsia="宋体" w:hAnsi="Book Antiqua" w:cs="宋体"/>
          <w:b/>
          <w:bCs/>
          <w:sz w:val="24"/>
          <w:szCs w:val="24"/>
        </w:rPr>
        <w:t>Wadhawan M</w:t>
      </w:r>
      <w:r w:rsidRPr="00F06614">
        <w:rPr>
          <w:rFonts w:ascii="Book Antiqua" w:eastAsia="宋体" w:hAnsi="Book Antiqua" w:cs="宋体"/>
          <w:sz w:val="24"/>
          <w:szCs w:val="24"/>
        </w:rPr>
        <w:t xml:space="preserve">, Kumar A, Gupta S, Goyal N, Shandil R, Taneja S, Sibal A. Post-transplant biliary complications: an analysis from a predominantly living donor liver transplant center. </w:t>
      </w:r>
      <w:r w:rsidRPr="00F06614">
        <w:rPr>
          <w:rFonts w:ascii="Book Antiqua" w:eastAsia="宋体" w:hAnsi="Book Antiqua" w:cs="宋体"/>
          <w:i/>
          <w:iCs/>
          <w:sz w:val="24"/>
          <w:szCs w:val="24"/>
        </w:rPr>
        <w:t>J Gastroenterol Hepatol</w:t>
      </w:r>
      <w:r w:rsidRPr="00F06614">
        <w:rPr>
          <w:rFonts w:ascii="Book Antiqua" w:eastAsia="宋体" w:hAnsi="Book Antiqua" w:cs="宋体"/>
          <w:sz w:val="24"/>
          <w:szCs w:val="24"/>
        </w:rPr>
        <w:t xml:space="preserve"> 2013; </w:t>
      </w:r>
      <w:r w:rsidRPr="00F06614">
        <w:rPr>
          <w:rFonts w:ascii="Book Antiqua" w:eastAsia="宋体" w:hAnsi="Book Antiqua" w:cs="宋体"/>
          <w:b/>
          <w:bCs/>
          <w:sz w:val="24"/>
          <w:szCs w:val="24"/>
        </w:rPr>
        <w:t>28</w:t>
      </w:r>
      <w:r w:rsidRPr="00F06614">
        <w:rPr>
          <w:rFonts w:ascii="Book Antiqua" w:eastAsia="宋体" w:hAnsi="Book Antiqua" w:cs="宋体"/>
          <w:sz w:val="24"/>
          <w:szCs w:val="24"/>
        </w:rPr>
        <w:t xml:space="preserve">: 1056-1060 [PMID: </w:t>
      </w:r>
      <w:r w:rsidRPr="00074190">
        <w:rPr>
          <w:rFonts w:ascii="Book Antiqua" w:eastAsia="宋体" w:hAnsi="Book Antiqua" w:cs="宋体"/>
          <w:sz w:val="24"/>
          <w:szCs w:val="24"/>
        </w:rPr>
        <w:t>23432435 DOI: 10.1111/jgh.12169</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32 </w:t>
      </w:r>
      <w:r w:rsidRPr="00F06614">
        <w:rPr>
          <w:rFonts w:ascii="Book Antiqua" w:eastAsia="宋体" w:hAnsi="Book Antiqua" w:cs="宋体"/>
          <w:b/>
          <w:bCs/>
          <w:sz w:val="24"/>
          <w:szCs w:val="24"/>
        </w:rPr>
        <w:t>Kim SH</w:t>
      </w:r>
      <w:r w:rsidRPr="00F06614">
        <w:rPr>
          <w:rFonts w:ascii="Book Antiqua" w:eastAsia="宋体" w:hAnsi="Book Antiqua" w:cs="宋体"/>
          <w:sz w:val="24"/>
          <w:szCs w:val="24"/>
        </w:rPr>
        <w:t xml:space="preserve">, Lee KW, Kim YK, Cho SY, Han SS, Park SJ. Tailored telescopic reconstruction of the bile duct in living donor liver transplantation.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2010; </w:t>
      </w:r>
      <w:r w:rsidRPr="00F06614">
        <w:rPr>
          <w:rFonts w:ascii="Book Antiqua" w:eastAsia="宋体" w:hAnsi="Book Antiqua" w:cs="宋体"/>
          <w:b/>
          <w:bCs/>
          <w:sz w:val="24"/>
          <w:szCs w:val="24"/>
        </w:rPr>
        <w:t>16</w:t>
      </w:r>
      <w:r w:rsidRPr="00F06614">
        <w:rPr>
          <w:rFonts w:ascii="Book Antiqua" w:eastAsia="宋体" w:hAnsi="Book Antiqua" w:cs="宋体"/>
          <w:sz w:val="24"/>
          <w:szCs w:val="24"/>
        </w:rPr>
        <w:t>: 1069-1074 [PMID:</w:t>
      </w:r>
      <w:r w:rsidRPr="00074190">
        <w:rPr>
          <w:rFonts w:ascii="Book Antiqua" w:eastAsia="宋体" w:hAnsi="Book Antiqua" w:cs="宋体"/>
          <w:sz w:val="24"/>
          <w:szCs w:val="24"/>
        </w:rPr>
        <w:t xml:space="preserve"> 20818745 DOI: 10.1002/lt.22116</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33 </w:t>
      </w:r>
      <w:r w:rsidRPr="00F06614">
        <w:rPr>
          <w:rFonts w:ascii="Book Antiqua" w:eastAsia="宋体" w:hAnsi="Book Antiqua" w:cs="宋体"/>
          <w:b/>
          <w:bCs/>
          <w:sz w:val="24"/>
          <w:szCs w:val="24"/>
        </w:rPr>
        <w:t>Scanga AE</w:t>
      </w:r>
      <w:r w:rsidRPr="00F06614">
        <w:rPr>
          <w:rFonts w:ascii="Book Antiqua" w:eastAsia="宋体" w:hAnsi="Book Antiqua" w:cs="宋体"/>
          <w:sz w:val="24"/>
          <w:szCs w:val="24"/>
        </w:rPr>
        <w:t xml:space="preserve">, Kowdley KV. Management of biliary complications following orthotopic liver transplantation. </w:t>
      </w:r>
      <w:r w:rsidRPr="00F06614">
        <w:rPr>
          <w:rFonts w:ascii="Book Antiqua" w:eastAsia="宋体" w:hAnsi="Book Antiqua" w:cs="宋体"/>
          <w:i/>
          <w:iCs/>
          <w:sz w:val="24"/>
          <w:szCs w:val="24"/>
        </w:rPr>
        <w:t>Curr Gastroenterol Rep</w:t>
      </w:r>
      <w:r w:rsidRPr="00F06614">
        <w:rPr>
          <w:rFonts w:ascii="Book Antiqua" w:eastAsia="宋体" w:hAnsi="Book Antiqua" w:cs="宋体"/>
          <w:sz w:val="24"/>
          <w:szCs w:val="24"/>
        </w:rPr>
        <w:t xml:space="preserve"> 2007; </w:t>
      </w:r>
      <w:r w:rsidRPr="00F06614">
        <w:rPr>
          <w:rFonts w:ascii="Book Antiqua" w:eastAsia="宋体" w:hAnsi="Book Antiqua" w:cs="宋体"/>
          <w:b/>
          <w:bCs/>
          <w:sz w:val="24"/>
          <w:szCs w:val="24"/>
        </w:rPr>
        <w:t>9</w:t>
      </w:r>
      <w:r w:rsidRPr="00F06614">
        <w:rPr>
          <w:rFonts w:ascii="Book Antiqua" w:eastAsia="宋体" w:hAnsi="Book Antiqua" w:cs="宋体"/>
          <w:sz w:val="24"/>
          <w:szCs w:val="24"/>
        </w:rPr>
        <w:t>: 31-38 [PMID: 17335675]</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34 </w:t>
      </w:r>
      <w:r w:rsidRPr="00F06614">
        <w:rPr>
          <w:rFonts w:ascii="Book Antiqua" w:eastAsia="宋体" w:hAnsi="Book Antiqua" w:cs="宋体"/>
          <w:b/>
          <w:bCs/>
          <w:sz w:val="24"/>
          <w:szCs w:val="24"/>
        </w:rPr>
        <w:t>Yazumi S</w:t>
      </w:r>
      <w:r w:rsidRPr="00F06614">
        <w:rPr>
          <w:rFonts w:ascii="Book Antiqua" w:eastAsia="宋体" w:hAnsi="Book Antiqua" w:cs="宋体"/>
          <w:sz w:val="24"/>
          <w:szCs w:val="24"/>
        </w:rPr>
        <w:t xml:space="preserve">, Yoshimoto T, Hisatsune H, Hasegawa K, Kida M, Tada S, Uenoyama Y, Yamauchi J, Shio S, Kasahara M, Ogawa K, Egawa H, Tanaka K, Chiba T. Endoscopic treatment of biliary complications after right-lobe living-donor liver transplantation with duct-to-duct biliary anastomosis. </w:t>
      </w:r>
      <w:r w:rsidRPr="00F06614">
        <w:rPr>
          <w:rFonts w:ascii="Book Antiqua" w:eastAsia="宋体" w:hAnsi="Book Antiqua" w:cs="宋体"/>
          <w:i/>
          <w:iCs/>
          <w:sz w:val="24"/>
          <w:szCs w:val="24"/>
        </w:rPr>
        <w:t>J Hepatobiliary Pancreat Surg</w:t>
      </w:r>
      <w:r w:rsidRPr="00F06614">
        <w:rPr>
          <w:rFonts w:ascii="Book Antiqua" w:eastAsia="宋体" w:hAnsi="Book Antiqua" w:cs="宋体"/>
          <w:sz w:val="24"/>
          <w:szCs w:val="24"/>
        </w:rPr>
        <w:t xml:space="preserve"> 2006; </w:t>
      </w:r>
      <w:r w:rsidRPr="00F06614">
        <w:rPr>
          <w:rFonts w:ascii="Book Antiqua" w:eastAsia="宋体" w:hAnsi="Book Antiqua" w:cs="宋体"/>
          <w:b/>
          <w:bCs/>
          <w:sz w:val="24"/>
          <w:szCs w:val="24"/>
        </w:rPr>
        <w:t>13</w:t>
      </w:r>
      <w:r w:rsidRPr="00F06614">
        <w:rPr>
          <w:rFonts w:ascii="Book Antiqua" w:eastAsia="宋体" w:hAnsi="Book Antiqua" w:cs="宋体"/>
          <w:sz w:val="24"/>
          <w:szCs w:val="24"/>
        </w:rPr>
        <w:t>: 502-510 [PMID: 17139423</w:t>
      </w:r>
      <w:r w:rsidRPr="00074190">
        <w:rPr>
          <w:rFonts w:ascii="Book Antiqua" w:eastAsia="宋体" w:hAnsi="Book Antiqua" w:cs="宋体"/>
          <w:sz w:val="24"/>
          <w:szCs w:val="24"/>
        </w:rPr>
        <w:t xml:space="preserve"> DOI: 10.1007/s00534-005-1084-y</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35 </w:t>
      </w:r>
      <w:r w:rsidRPr="00F06614">
        <w:rPr>
          <w:rFonts w:ascii="Book Antiqua" w:eastAsia="宋体" w:hAnsi="Book Antiqua" w:cs="宋体"/>
          <w:b/>
          <w:bCs/>
          <w:sz w:val="24"/>
          <w:szCs w:val="24"/>
        </w:rPr>
        <w:t>Testa G</w:t>
      </w:r>
      <w:r w:rsidRPr="00F06614">
        <w:rPr>
          <w:rFonts w:ascii="Book Antiqua" w:eastAsia="宋体" w:hAnsi="Book Antiqua" w:cs="宋体"/>
          <w:sz w:val="24"/>
          <w:szCs w:val="24"/>
        </w:rPr>
        <w:t xml:space="preserve">, Malagó M, Valentín-Gamazo C, Lindell G, Broelsch CE. Biliary anastomosis in living related liver transplantation using the right liver lobe: techniques and complications.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2000; </w:t>
      </w:r>
      <w:r w:rsidRPr="00F06614">
        <w:rPr>
          <w:rFonts w:ascii="Book Antiqua" w:eastAsia="宋体" w:hAnsi="Book Antiqua" w:cs="宋体"/>
          <w:b/>
          <w:bCs/>
          <w:sz w:val="24"/>
          <w:szCs w:val="24"/>
        </w:rPr>
        <w:t>6</w:t>
      </w:r>
      <w:r w:rsidRPr="00F06614">
        <w:rPr>
          <w:rFonts w:ascii="Book Antiqua" w:eastAsia="宋体" w:hAnsi="Book Antiqua" w:cs="宋体"/>
          <w:sz w:val="24"/>
          <w:szCs w:val="24"/>
        </w:rPr>
        <w:t>: 710-714 [PMID: 110840</w:t>
      </w:r>
      <w:r w:rsidRPr="00074190">
        <w:rPr>
          <w:rFonts w:ascii="Book Antiqua" w:eastAsia="宋体" w:hAnsi="Book Antiqua" w:cs="宋体"/>
          <w:sz w:val="24"/>
          <w:szCs w:val="24"/>
        </w:rPr>
        <w:t>56 DOI: 10.1053/jlts.2000.18706</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36 </w:t>
      </w:r>
      <w:r w:rsidRPr="00F06614">
        <w:rPr>
          <w:rFonts w:ascii="Book Antiqua" w:eastAsia="宋体" w:hAnsi="Book Antiqua" w:cs="宋体"/>
          <w:b/>
          <w:bCs/>
          <w:sz w:val="24"/>
          <w:szCs w:val="24"/>
        </w:rPr>
        <w:t>Gunawansa N</w:t>
      </w:r>
      <w:r w:rsidRPr="00F06614">
        <w:rPr>
          <w:rFonts w:ascii="Book Antiqua" w:eastAsia="宋体" w:hAnsi="Book Antiqua" w:cs="宋体"/>
          <w:sz w:val="24"/>
          <w:szCs w:val="24"/>
        </w:rPr>
        <w:t xml:space="preserve">, McCall JL, Holden A, Plank L, Munn SR. Biliary complications following orthotopic liver transplantation: a 10-year audit. </w:t>
      </w:r>
      <w:r w:rsidRPr="00F06614">
        <w:rPr>
          <w:rFonts w:ascii="Book Antiqua" w:eastAsia="宋体" w:hAnsi="Book Antiqua" w:cs="宋体"/>
          <w:i/>
          <w:iCs/>
          <w:sz w:val="24"/>
          <w:szCs w:val="24"/>
        </w:rPr>
        <w:t xml:space="preserve">HPB </w:t>
      </w:r>
      <w:r w:rsidRPr="00F06614">
        <w:rPr>
          <w:rFonts w:ascii="Book Antiqua" w:eastAsia="宋体" w:hAnsi="Book Antiqua" w:cs="宋体"/>
          <w:iCs/>
          <w:sz w:val="24"/>
          <w:szCs w:val="24"/>
        </w:rPr>
        <w:t>(Oxford)</w:t>
      </w:r>
      <w:r w:rsidRPr="00F06614">
        <w:rPr>
          <w:rFonts w:ascii="Book Antiqua" w:eastAsia="宋体" w:hAnsi="Book Antiqua" w:cs="宋体"/>
          <w:sz w:val="24"/>
          <w:szCs w:val="24"/>
        </w:rPr>
        <w:t xml:space="preserve"> 2011; </w:t>
      </w:r>
      <w:r w:rsidRPr="00F06614">
        <w:rPr>
          <w:rFonts w:ascii="Book Antiqua" w:eastAsia="宋体" w:hAnsi="Book Antiqua" w:cs="宋体"/>
          <w:b/>
          <w:bCs/>
          <w:sz w:val="24"/>
          <w:szCs w:val="24"/>
        </w:rPr>
        <w:t>13</w:t>
      </w:r>
      <w:r w:rsidRPr="00F06614">
        <w:rPr>
          <w:rFonts w:ascii="Book Antiqua" w:eastAsia="宋体" w:hAnsi="Book Antiqua" w:cs="宋体"/>
          <w:sz w:val="24"/>
          <w:szCs w:val="24"/>
        </w:rPr>
        <w:t>: 391-399 [PMID: 21609371 DOI: 1</w:t>
      </w:r>
      <w:r w:rsidRPr="00074190">
        <w:rPr>
          <w:rFonts w:ascii="Book Antiqua" w:eastAsia="宋体" w:hAnsi="Book Antiqua" w:cs="宋体"/>
          <w:sz w:val="24"/>
          <w:szCs w:val="24"/>
        </w:rPr>
        <w:t>0.1111/j.1477-2574.2011.00300.x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37 </w:t>
      </w:r>
      <w:r w:rsidRPr="00F06614">
        <w:rPr>
          <w:rFonts w:ascii="Book Antiqua" w:eastAsia="宋体" w:hAnsi="Book Antiqua" w:cs="宋体"/>
          <w:b/>
          <w:bCs/>
          <w:sz w:val="24"/>
          <w:szCs w:val="24"/>
        </w:rPr>
        <w:t>Jassem W</w:t>
      </w:r>
      <w:r w:rsidRPr="00F06614">
        <w:rPr>
          <w:rFonts w:ascii="Book Antiqua" w:eastAsia="宋体" w:hAnsi="Book Antiqua" w:cs="宋体"/>
          <w:sz w:val="24"/>
          <w:szCs w:val="24"/>
        </w:rPr>
        <w:t xml:space="preserve">, Heaton ND, Rela M. Reducing bile leak following segmental liver transplantation: understanding biliary anatomy of the caudate lobe. </w:t>
      </w:r>
      <w:r w:rsidRPr="00F06614">
        <w:rPr>
          <w:rFonts w:ascii="Book Antiqua" w:eastAsia="宋体" w:hAnsi="Book Antiqua" w:cs="宋体"/>
          <w:i/>
          <w:iCs/>
          <w:sz w:val="24"/>
          <w:szCs w:val="24"/>
        </w:rPr>
        <w:t>Am J Transplant</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8</w:t>
      </w:r>
      <w:r w:rsidRPr="00F06614">
        <w:rPr>
          <w:rFonts w:ascii="Book Antiqua" w:eastAsia="宋体" w:hAnsi="Book Antiqua" w:cs="宋体"/>
          <w:sz w:val="24"/>
          <w:szCs w:val="24"/>
        </w:rPr>
        <w:t>: 271-274 [PMID: 18162089 DOI: 1</w:t>
      </w:r>
      <w:r w:rsidRPr="00074190">
        <w:rPr>
          <w:rFonts w:ascii="Book Antiqua" w:eastAsia="宋体" w:hAnsi="Book Antiqua" w:cs="宋体"/>
          <w:sz w:val="24"/>
          <w:szCs w:val="24"/>
        </w:rPr>
        <w:t>0.1111/j.1600-6143.2007.02069.x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38 </w:t>
      </w:r>
      <w:r w:rsidRPr="00F06614">
        <w:rPr>
          <w:rFonts w:ascii="Book Antiqua" w:eastAsia="宋体" w:hAnsi="Book Antiqua" w:cs="宋体"/>
          <w:b/>
          <w:bCs/>
          <w:sz w:val="24"/>
          <w:szCs w:val="24"/>
        </w:rPr>
        <w:t>Zimmerman MA</w:t>
      </w:r>
      <w:r w:rsidRPr="00F06614">
        <w:rPr>
          <w:rFonts w:ascii="Book Antiqua" w:eastAsia="宋体" w:hAnsi="Book Antiqua" w:cs="宋体"/>
          <w:sz w:val="24"/>
          <w:szCs w:val="24"/>
        </w:rPr>
        <w:t xml:space="preserve">, Baker T, Goodrich NP, Freise C, Hong JC, Kumer S, Abt P, Cotterell AH, Samstein B, Everhart JE, Merion RM. Development, management, and resolution of biliary complications after living and deceased donor liver transplantation: a report from the adult-to-adult living donor liver transplantation cohort study consortium.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2013; </w:t>
      </w:r>
      <w:r w:rsidRPr="00F06614">
        <w:rPr>
          <w:rFonts w:ascii="Book Antiqua" w:eastAsia="宋体" w:hAnsi="Book Antiqua" w:cs="宋体"/>
          <w:b/>
          <w:bCs/>
          <w:sz w:val="24"/>
          <w:szCs w:val="24"/>
        </w:rPr>
        <w:t>19</w:t>
      </w:r>
      <w:r w:rsidRPr="00F06614">
        <w:rPr>
          <w:rFonts w:ascii="Book Antiqua" w:eastAsia="宋体" w:hAnsi="Book Antiqua" w:cs="宋体"/>
          <w:sz w:val="24"/>
          <w:szCs w:val="24"/>
        </w:rPr>
        <w:t>: 259-267 [PMID:</w:t>
      </w:r>
      <w:r w:rsidRPr="00074190">
        <w:rPr>
          <w:rFonts w:ascii="Book Antiqua" w:eastAsia="宋体" w:hAnsi="Book Antiqua" w:cs="宋体"/>
          <w:sz w:val="24"/>
          <w:szCs w:val="24"/>
        </w:rPr>
        <w:t xml:space="preserve"> 23495079 DOI: 10.1002/lt.23595</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39 </w:t>
      </w:r>
      <w:r w:rsidRPr="00F06614">
        <w:rPr>
          <w:rFonts w:ascii="Book Antiqua" w:eastAsia="宋体" w:hAnsi="Book Antiqua" w:cs="宋体"/>
          <w:b/>
          <w:bCs/>
          <w:sz w:val="24"/>
          <w:szCs w:val="24"/>
        </w:rPr>
        <w:t>Azoulay D</w:t>
      </w:r>
      <w:r w:rsidRPr="00F06614">
        <w:rPr>
          <w:rFonts w:ascii="Book Antiqua" w:eastAsia="宋体" w:hAnsi="Book Antiqua" w:cs="宋体"/>
          <w:sz w:val="24"/>
          <w:szCs w:val="24"/>
        </w:rPr>
        <w:t xml:space="preserve">, Bhangui P, Andreani P, Salloum C, Karam V, Hoti E, Pascal G, Adam R, Samuel D, Ichai P, Saliba F, Castaing D. Short- and long-term donor morbidity in right lobe living donor liver transplantation: 91 consecutive cases in a European Center. </w:t>
      </w:r>
      <w:r w:rsidRPr="00F06614">
        <w:rPr>
          <w:rFonts w:ascii="Book Antiqua" w:eastAsia="宋体" w:hAnsi="Book Antiqua" w:cs="宋体"/>
          <w:i/>
          <w:iCs/>
          <w:sz w:val="24"/>
          <w:szCs w:val="24"/>
        </w:rPr>
        <w:t>Am J Transplant</w:t>
      </w:r>
      <w:r w:rsidRPr="00F06614">
        <w:rPr>
          <w:rFonts w:ascii="Book Antiqua" w:eastAsia="宋体" w:hAnsi="Book Antiqua" w:cs="宋体"/>
          <w:sz w:val="24"/>
          <w:szCs w:val="24"/>
        </w:rPr>
        <w:t xml:space="preserve"> 2011; </w:t>
      </w:r>
      <w:r w:rsidRPr="00F06614">
        <w:rPr>
          <w:rFonts w:ascii="Book Antiqua" w:eastAsia="宋体" w:hAnsi="Book Antiqua" w:cs="宋体"/>
          <w:b/>
          <w:bCs/>
          <w:sz w:val="24"/>
          <w:szCs w:val="24"/>
        </w:rPr>
        <w:t>11</w:t>
      </w:r>
      <w:r w:rsidRPr="00F06614">
        <w:rPr>
          <w:rFonts w:ascii="Book Antiqua" w:eastAsia="宋体" w:hAnsi="Book Antiqua" w:cs="宋体"/>
          <w:sz w:val="24"/>
          <w:szCs w:val="24"/>
        </w:rPr>
        <w:t>: 101-110 [PMID: 21199351 DOI: 1</w:t>
      </w:r>
      <w:r w:rsidRPr="00074190">
        <w:rPr>
          <w:rFonts w:ascii="Book Antiqua" w:eastAsia="宋体" w:hAnsi="Book Antiqua" w:cs="宋体"/>
          <w:sz w:val="24"/>
          <w:szCs w:val="24"/>
        </w:rPr>
        <w:t>0.1111/j.1600-6143.2010.03284.x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40 </w:t>
      </w:r>
      <w:r w:rsidRPr="00F06614">
        <w:rPr>
          <w:rFonts w:ascii="Book Antiqua" w:eastAsia="宋体" w:hAnsi="Book Antiqua" w:cs="宋体"/>
          <w:b/>
          <w:bCs/>
          <w:sz w:val="24"/>
          <w:szCs w:val="24"/>
        </w:rPr>
        <w:t>Park JB</w:t>
      </w:r>
      <w:r w:rsidRPr="00F06614">
        <w:rPr>
          <w:rFonts w:ascii="Book Antiqua" w:eastAsia="宋体" w:hAnsi="Book Antiqua" w:cs="宋体"/>
          <w:sz w:val="24"/>
          <w:szCs w:val="24"/>
        </w:rPr>
        <w:t xml:space="preserve">, Kwon CH, Choi GS, Chun JM, Jung GO, Kim SJ, Joh JW, Lee SK. Prolonged cold ischemic time is a risk factor for biliary strictures in duct-to-duct biliary reconstruction in living donor liver transplantation. </w:t>
      </w:r>
      <w:r w:rsidRPr="00F06614">
        <w:rPr>
          <w:rFonts w:ascii="Book Antiqua" w:eastAsia="宋体" w:hAnsi="Book Antiqua" w:cs="宋体"/>
          <w:i/>
          <w:iCs/>
          <w:sz w:val="24"/>
          <w:szCs w:val="24"/>
        </w:rPr>
        <w:t>Transplantation</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86</w:t>
      </w:r>
      <w:r w:rsidRPr="00F06614">
        <w:rPr>
          <w:rFonts w:ascii="Book Antiqua" w:eastAsia="宋体" w:hAnsi="Book Antiqua" w:cs="宋体"/>
          <w:sz w:val="24"/>
          <w:szCs w:val="24"/>
        </w:rPr>
        <w:t>: 1536-1542 [PMID: 19077886 D</w:t>
      </w:r>
      <w:r w:rsidRPr="00074190">
        <w:rPr>
          <w:rFonts w:ascii="Book Antiqua" w:eastAsia="宋体" w:hAnsi="Book Antiqua" w:cs="宋体"/>
          <w:sz w:val="24"/>
          <w:szCs w:val="24"/>
        </w:rPr>
        <w:t>OI: 10.1097/TP.0b013e31818b2316</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41 </w:t>
      </w:r>
      <w:r w:rsidRPr="00F06614">
        <w:rPr>
          <w:rFonts w:ascii="Book Antiqua" w:eastAsia="宋体" w:hAnsi="Book Antiqua" w:cs="宋体"/>
          <w:b/>
          <w:bCs/>
          <w:sz w:val="24"/>
          <w:szCs w:val="24"/>
        </w:rPr>
        <w:t>Verdonk RC</w:t>
      </w:r>
      <w:r w:rsidRPr="00F06614">
        <w:rPr>
          <w:rFonts w:ascii="Book Antiqua" w:eastAsia="宋体" w:hAnsi="Book Antiqua" w:cs="宋体"/>
          <w:sz w:val="24"/>
          <w:szCs w:val="24"/>
        </w:rPr>
        <w:t xml:space="preserve">, Buis CI, Porte RJ, van der Jagt EJ, Limburg AJ, van den Berg AP, Slooff MJ, Peeters PM, de Jong KP, Kleibeuker JH, Haagsma EB. Anastomotic biliary strictures after liver transplantation: causes and consequences.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2006; </w:t>
      </w:r>
      <w:r w:rsidRPr="00F06614">
        <w:rPr>
          <w:rFonts w:ascii="Book Antiqua" w:eastAsia="宋体" w:hAnsi="Book Antiqua" w:cs="宋体"/>
          <w:b/>
          <w:bCs/>
          <w:sz w:val="24"/>
          <w:szCs w:val="24"/>
        </w:rPr>
        <w:t>12</w:t>
      </w:r>
      <w:r w:rsidRPr="00F06614">
        <w:rPr>
          <w:rFonts w:ascii="Book Antiqua" w:eastAsia="宋体" w:hAnsi="Book Antiqua" w:cs="宋体"/>
          <w:sz w:val="24"/>
          <w:szCs w:val="24"/>
        </w:rPr>
        <w:t>: 726-735 [PMID:</w:t>
      </w:r>
      <w:r w:rsidRPr="00074190">
        <w:rPr>
          <w:rFonts w:ascii="Book Antiqua" w:eastAsia="宋体" w:hAnsi="Book Antiqua" w:cs="宋体"/>
          <w:sz w:val="24"/>
          <w:szCs w:val="24"/>
        </w:rPr>
        <w:t xml:space="preserve"> 16628689 DOI: 10.1002/lt.20714</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42 </w:t>
      </w:r>
      <w:r w:rsidRPr="00F06614">
        <w:rPr>
          <w:rFonts w:ascii="Book Antiqua" w:eastAsia="宋体" w:hAnsi="Book Antiqua" w:cs="宋体"/>
          <w:b/>
          <w:bCs/>
          <w:sz w:val="24"/>
          <w:szCs w:val="24"/>
        </w:rPr>
        <w:t>Foley DP</w:t>
      </w:r>
      <w:r w:rsidRPr="00F06614">
        <w:rPr>
          <w:rFonts w:ascii="Book Antiqua" w:eastAsia="宋体" w:hAnsi="Book Antiqua" w:cs="宋体"/>
          <w:sz w:val="24"/>
          <w:szCs w:val="24"/>
        </w:rPr>
        <w:t xml:space="preserve">, Fernandez LA, Leverson G, Anderson M, Mezrich J, Sollinger HW, D'Alessandro A. Biliary complications after liver transplantation from donation after cardiac death donors: an analysis of risk factors and long-term outcomes from a single center. </w:t>
      </w:r>
      <w:r w:rsidRPr="00F06614">
        <w:rPr>
          <w:rFonts w:ascii="Book Antiqua" w:eastAsia="宋体" w:hAnsi="Book Antiqua" w:cs="宋体"/>
          <w:i/>
          <w:iCs/>
          <w:sz w:val="24"/>
          <w:szCs w:val="24"/>
        </w:rPr>
        <w:t>Ann Surg</w:t>
      </w:r>
      <w:r w:rsidRPr="00F06614">
        <w:rPr>
          <w:rFonts w:ascii="Book Antiqua" w:eastAsia="宋体" w:hAnsi="Book Antiqua" w:cs="宋体"/>
          <w:sz w:val="24"/>
          <w:szCs w:val="24"/>
        </w:rPr>
        <w:t xml:space="preserve"> 2011; </w:t>
      </w:r>
      <w:r w:rsidRPr="00F06614">
        <w:rPr>
          <w:rFonts w:ascii="Book Antiqua" w:eastAsia="宋体" w:hAnsi="Book Antiqua" w:cs="宋体"/>
          <w:b/>
          <w:bCs/>
          <w:sz w:val="24"/>
          <w:szCs w:val="24"/>
        </w:rPr>
        <w:t>253</w:t>
      </w:r>
      <w:r w:rsidRPr="00F06614">
        <w:rPr>
          <w:rFonts w:ascii="Book Antiqua" w:eastAsia="宋体" w:hAnsi="Book Antiqua" w:cs="宋体"/>
          <w:sz w:val="24"/>
          <w:szCs w:val="24"/>
        </w:rPr>
        <w:t>: 817-825 [PMID: 21475025 DO</w:t>
      </w:r>
      <w:r w:rsidRPr="00074190">
        <w:rPr>
          <w:rFonts w:ascii="Book Antiqua" w:eastAsia="宋体" w:hAnsi="Book Antiqua" w:cs="宋体"/>
          <w:sz w:val="24"/>
          <w:szCs w:val="24"/>
        </w:rPr>
        <w:t>I: 10.1097/SLA.0b013e3182104784</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43 </w:t>
      </w:r>
      <w:r w:rsidRPr="00F06614">
        <w:rPr>
          <w:rFonts w:ascii="Book Antiqua" w:eastAsia="宋体" w:hAnsi="Book Antiqua" w:cs="宋体"/>
          <w:b/>
          <w:bCs/>
          <w:sz w:val="24"/>
          <w:szCs w:val="24"/>
        </w:rPr>
        <w:t>Sundaram V</w:t>
      </w:r>
      <w:r w:rsidRPr="00F06614">
        <w:rPr>
          <w:rFonts w:ascii="Book Antiqua" w:eastAsia="宋体" w:hAnsi="Book Antiqua" w:cs="宋体"/>
          <w:sz w:val="24"/>
          <w:szCs w:val="24"/>
        </w:rPr>
        <w:t xml:space="preserve">, Jones DT, Shah NH, de Vera ME, Fontes P, Marsh JW, Humar A, Ahmad J. Posttransplant biliary complications in the pre- and post-model for end-stage liver disease era.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2011; </w:t>
      </w:r>
      <w:r w:rsidRPr="00F06614">
        <w:rPr>
          <w:rFonts w:ascii="Book Antiqua" w:eastAsia="宋体" w:hAnsi="Book Antiqua" w:cs="宋体"/>
          <w:b/>
          <w:bCs/>
          <w:sz w:val="24"/>
          <w:szCs w:val="24"/>
        </w:rPr>
        <w:t>17</w:t>
      </w:r>
      <w:r w:rsidRPr="00F06614">
        <w:rPr>
          <w:rFonts w:ascii="Book Antiqua" w:eastAsia="宋体" w:hAnsi="Book Antiqua" w:cs="宋体"/>
          <w:sz w:val="24"/>
          <w:szCs w:val="24"/>
        </w:rPr>
        <w:t>: 428-435 [PMID:</w:t>
      </w:r>
      <w:r w:rsidRPr="00074190">
        <w:rPr>
          <w:rFonts w:ascii="Book Antiqua" w:eastAsia="宋体" w:hAnsi="Book Antiqua" w:cs="宋体"/>
          <w:sz w:val="24"/>
          <w:szCs w:val="24"/>
        </w:rPr>
        <w:t xml:space="preserve"> 21445926 DOI: 10.1002/lt.22251</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44 </w:t>
      </w:r>
      <w:r w:rsidRPr="00F06614">
        <w:rPr>
          <w:rFonts w:ascii="Book Antiqua" w:eastAsia="宋体" w:hAnsi="Book Antiqua" w:cs="宋体"/>
          <w:b/>
          <w:bCs/>
          <w:sz w:val="24"/>
          <w:szCs w:val="24"/>
        </w:rPr>
        <w:t>Baccarani U</w:t>
      </w:r>
      <w:r w:rsidRPr="00F06614">
        <w:rPr>
          <w:rFonts w:ascii="Book Antiqua" w:eastAsia="宋体" w:hAnsi="Book Antiqua" w:cs="宋体"/>
          <w:sz w:val="24"/>
          <w:szCs w:val="24"/>
        </w:rPr>
        <w:t xml:space="preserve">, Isola M, Adani GL, Avellini C, Lorenzin D, Rossetto A, Currò G, Comuzzi C, Toniutto P, Risaliti A, Soldano F, Bresadola V, De Anna D, Bresadola F. Steatosis of the hepatic graft as a risk factor for post-transplant biliary complications. </w:t>
      </w:r>
      <w:r w:rsidRPr="00F06614">
        <w:rPr>
          <w:rFonts w:ascii="Book Antiqua" w:eastAsia="宋体" w:hAnsi="Book Antiqua" w:cs="宋体"/>
          <w:i/>
          <w:iCs/>
          <w:sz w:val="24"/>
          <w:szCs w:val="24"/>
        </w:rPr>
        <w:t>Clin Transplant</w:t>
      </w:r>
      <w:r w:rsidRPr="00F06614">
        <w:rPr>
          <w:rFonts w:ascii="Book Antiqua" w:eastAsia="宋体" w:hAnsi="Book Antiqua" w:cs="宋体"/>
          <w:sz w:val="24"/>
          <w:szCs w:val="24"/>
        </w:rPr>
        <w:t xml:space="preserve"> </w:t>
      </w:r>
      <w:r w:rsidRPr="00074190">
        <w:rPr>
          <w:rFonts w:ascii="Book Antiqua" w:eastAsia="宋体" w:hAnsi="Book Antiqua" w:cs="宋体"/>
          <w:sz w:val="24"/>
          <w:szCs w:val="24"/>
        </w:rPr>
        <w:t>2010</w:t>
      </w:r>
      <w:r w:rsidRPr="00F06614">
        <w:rPr>
          <w:rFonts w:ascii="Book Antiqua" w:eastAsia="宋体" w:hAnsi="Book Antiqua" w:cs="宋体"/>
          <w:sz w:val="24"/>
          <w:szCs w:val="24"/>
        </w:rPr>
        <w:t xml:space="preserve">; </w:t>
      </w:r>
      <w:r w:rsidRPr="00F06614">
        <w:rPr>
          <w:rFonts w:ascii="Book Antiqua" w:eastAsia="宋体" w:hAnsi="Book Antiqua" w:cs="宋体"/>
          <w:b/>
          <w:bCs/>
          <w:sz w:val="24"/>
          <w:szCs w:val="24"/>
        </w:rPr>
        <w:t>24</w:t>
      </w:r>
      <w:r w:rsidRPr="00F06614">
        <w:rPr>
          <w:rFonts w:ascii="Book Antiqua" w:eastAsia="宋体" w:hAnsi="Book Antiqua" w:cs="宋体"/>
          <w:sz w:val="24"/>
          <w:szCs w:val="24"/>
        </w:rPr>
        <w:t xml:space="preserve">: 631-635 [PMID: </w:t>
      </w:r>
      <w:bookmarkStart w:id="8" w:name="OLE_LINK5"/>
      <w:bookmarkStart w:id="9" w:name="OLE_LINK6"/>
      <w:r w:rsidRPr="00F06614">
        <w:rPr>
          <w:rFonts w:ascii="Book Antiqua" w:eastAsia="宋体" w:hAnsi="Book Antiqua" w:cs="宋体"/>
          <w:sz w:val="24"/>
          <w:szCs w:val="24"/>
        </w:rPr>
        <w:t xml:space="preserve">19878512 </w:t>
      </w:r>
      <w:bookmarkEnd w:id="8"/>
      <w:bookmarkEnd w:id="9"/>
      <w:r w:rsidRPr="00F06614">
        <w:rPr>
          <w:rFonts w:ascii="Book Antiqua" w:eastAsia="宋体" w:hAnsi="Book Antiqua" w:cs="宋体"/>
          <w:sz w:val="24"/>
          <w:szCs w:val="24"/>
        </w:rPr>
        <w:t>DOI: 1</w:t>
      </w:r>
      <w:r w:rsidRPr="00074190">
        <w:rPr>
          <w:rFonts w:ascii="Book Antiqua" w:eastAsia="宋体" w:hAnsi="Book Antiqua" w:cs="宋体"/>
          <w:sz w:val="24"/>
          <w:szCs w:val="24"/>
        </w:rPr>
        <w:t>0.1111/j.1399-0012.2009.01128.x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45 </w:t>
      </w:r>
      <w:r w:rsidRPr="00F06614">
        <w:rPr>
          <w:rFonts w:ascii="Book Antiqua" w:eastAsia="宋体" w:hAnsi="Book Antiqua" w:cs="宋体"/>
          <w:b/>
          <w:bCs/>
          <w:sz w:val="24"/>
          <w:szCs w:val="24"/>
        </w:rPr>
        <w:t>Schwartz DA</w:t>
      </w:r>
      <w:r w:rsidRPr="00F06614">
        <w:rPr>
          <w:rFonts w:ascii="Book Antiqua" w:eastAsia="宋体" w:hAnsi="Book Antiqua" w:cs="宋体"/>
          <w:sz w:val="24"/>
          <w:szCs w:val="24"/>
        </w:rPr>
        <w:t xml:space="preserve">, Petersen BT, Poterucha JJ, Gostout CJ. Endoscopic therapy of anastomotic bile duct strictures occurring after liver transplantation. </w:t>
      </w:r>
      <w:r w:rsidRPr="00F06614">
        <w:rPr>
          <w:rFonts w:ascii="Book Antiqua" w:eastAsia="宋体" w:hAnsi="Book Antiqua" w:cs="宋体"/>
          <w:i/>
          <w:iCs/>
          <w:sz w:val="24"/>
          <w:szCs w:val="24"/>
        </w:rPr>
        <w:t>Gastrointest Endosc</w:t>
      </w:r>
      <w:r w:rsidRPr="00F06614">
        <w:rPr>
          <w:rFonts w:ascii="Book Antiqua" w:eastAsia="宋体" w:hAnsi="Book Antiqua" w:cs="宋体"/>
          <w:sz w:val="24"/>
          <w:szCs w:val="24"/>
        </w:rPr>
        <w:t xml:space="preserve"> 2000; </w:t>
      </w:r>
      <w:r w:rsidRPr="00F06614">
        <w:rPr>
          <w:rFonts w:ascii="Book Antiqua" w:eastAsia="宋体" w:hAnsi="Book Antiqua" w:cs="宋体"/>
          <w:b/>
          <w:bCs/>
          <w:sz w:val="24"/>
          <w:szCs w:val="24"/>
        </w:rPr>
        <w:t>51</w:t>
      </w:r>
      <w:r w:rsidRPr="00F06614">
        <w:rPr>
          <w:rFonts w:ascii="Book Antiqua" w:eastAsia="宋体" w:hAnsi="Book Antiqua" w:cs="宋体"/>
          <w:sz w:val="24"/>
          <w:szCs w:val="24"/>
        </w:rPr>
        <w:t>: 169-174 [PMID: 10650259]</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46 </w:t>
      </w:r>
      <w:r w:rsidRPr="00F06614">
        <w:rPr>
          <w:rFonts w:ascii="Book Antiqua" w:eastAsia="宋体" w:hAnsi="Book Antiqua" w:cs="宋体"/>
          <w:b/>
          <w:bCs/>
          <w:sz w:val="24"/>
          <w:szCs w:val="24"/>
        </w:rPr>
        <w:t>Ribeiro JB</w:t>
      </w:r>
      <w:r w:rsidRPr="00F06614">
        <w:rPr>
          <w:rFonts w:ascii="Book Antiqua" w:eastAsia="宋体" w:hAnsi="Book Antiqua" w:cs="宋体"/>
          <w:sz w:val="24"/>
          <w:szCs w:val="24"/>
        </w:rPr>
        <w:t xml:space="preserve">, Martins Fde S, Garcia JH, Cunha AC, Pinto RA, Satacaso MV, Prado-Júnior FP, Pessoa RR. Endoscopic management of biliary complications after liver transplantation. </w:t>
      </w:r>
      <w:r w:rsidRPr="00F06614">
        <w:rPr>
          <w:rFonts w:ascii="Book Antiqua" w:eastAsia="宋体" w:hAnsi="Book Antiqua" w:cs="宋体"/>
          <w:i/>
          <w:iCs/>
          <w:sz w:val="24"/>
          <w:szCs w:val="24"/>
        </w:rPr>
        <w:t>Arq Bras Cir Dig</w:t>
      </w:r>
      <w:r w:rsidRPr="00F06614">
        <w:rPr>
          <w:rFonts w:ascii="Book Antiqua" w:eastAsia="宋体" w:hAnsi="Book Antiqua" w:cs="宋体"/>
          <w:sz w:val="24"/>
          <w:szCs w:val="24"/>
        </w:rPr>
        <w:t xml:space="preserve"> </w:t>
      </w:r>
      <w:r w:rsidRPr="00074190">
        <w:rPr>
          <w:rFonts w:ascii="Book Antiqua" w:eastAsia="宋体" w:hAnsi="Book Antiqua" w:cs="宋体"/>
          <w:sz w:val="24"/>
          <w:szCs w:val="24"/>
        </w:rPr>
        <w:t>2012</w:t>
      </w:r>
      <w:r w:rsidRPr="00F06614">
        <w:rPr>
          <w:rFonts w:ascii="Book Antiqua" w:eastAsia="宋体" w:hAnsi="Book Antiqua" w:cs="宋体"/>
          <w:sz w:val="24"/>
          <w:szCs w:val="24"/>
        </w:rPr>
        <w:t xml:space="preserve">; </w:t>
      </w:r>
      <w:r w:rsidRPr="00F06614">
        <w:rPr>
          <w:rFonts w:ascii="Book Antiqua" w:eastAsia="宋体" w:hAnsi="Book Antiqua" w:cs="宋体"/>
          <w:b/>
          <w:bCs/>
          <w:sz w:val="24"/>
          <w:szCs w:val="24"/>
        </w:rPr>
        <w:t>25</w:t>
      </w:r>
      <w:r w:rsidRPr="00F06614">
        <w:rPr>
          <w:rFonts w:ascii="Book Antiqua" w:eastAsia="宋体" w:hAnsi="Book Antiqua" w:cs="宋体"/>
          <w:sz w:val="24"/>
          <w:szCs w:val="24"/>
        </w:rPr>
        <w:t>: 269-272 [PMID: 23411927]</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47 </w:t>
      </w:r>
      <w:r w:rsidRPr="00F06614">
        <w:rPr>
          <w:rFonts w:ascii="Book Antiqua" w:eastAsia="宋体" w:hAnsi="Book Antiqua" w:cs="宋体"/>
          <w:b/>
          <w:bCs/>
          <w:sz w:val="24"/>
          <w:szCs w:val="24"/>
        </w:rPr>
        <w:t>Kasahara M</w:t>
      </w:r>
      <w:r w:rsidRPr="00F06614">
        <w:rPr>
          <w:rFonts w:ascii="Book Antiqua" w:eastAsia="宋体" w:hAnsi="Book Antiqua" w:cs="宋体"/>
          <w:sz w:val="24"/>
          <w:szCs w:val="24"/>
        </w:rPr>
        <w:t xml:space="preserve">, Egawa H, Takada Y, Oike F, Sakamoto S, Kiuchi T, Yazumi S, Shibata T, Tanaka K. Biliary reconstruction in right lobe living-donor liver transplantation: Comparison of different techniques in 321 recipients. </w:t>
      </w:r>
      <w:r w:rsidRPr="00F06614">
        <w:rPr>
          <w:rFonts w:ascii="Book Antiqua" w:eastAsia="宋体" w:hAnsi="Book Antiqua" w:cs="宋体"/>
          <w:i/>
          <w:iCs/>
          <w:sz w:val="24"/>
          <w:szCs w:val="24"/>
        </w:rPr>
        <w:t>Ann Surg</w:t>
      </w:r>
      <w:r w:rsidRPr="00F06614">
        <w:rPr>
          <w:rFonts w:ascii="Book Antiqua" w:eastAsia="宋体" w:hAnsi="Book Antiqua" w:cs="宋体"/>
          <w:sz w:val="24"/>
          <w:szCs w:val="24"/>
        </w:rPr>
        <w:t xml:space="preserve"> 2006; </w:t>
      </w:r>
      <w:r w:rsidRPr="00F06614">
        <w:rPr>
          <w:rFonts w:ascii="Book Antiqua" w:eastAsia="宋体" w:hAnsi="Book Antiqua" w:cs="宋体"/>
          <w:b/>
          <w:bCs/>
          <w:sz w:val="24"/>
          <w:szCs w:val="24"/>
        </w:rPr>
        <w:t>243</w:t>
      </w:r>
      <w:r w:rsidRPr="00F06614">
        <w:rPr>
          <w:rFonts w:ascii="Book Antiqua" w:eastAsia="宋体" w:hAnsi="Book Antiqua" w:cs="宋体"/>
          <w:sz w:val="24"/>
          <w:szCs w:val="24"/>
        </w:rPr>
        <w:t>: 559-566 [PMID: 16552210 DOI: 10.1097/01.sla.0000206419.65</w:t>
      </w:r>
      <w:r w:rsidRPr="00074190">
        <w:rPr>
          <w:rFonts w:ascii="Book Antiqua" w:eastAsia="宋体" w:hAnsi="Book Antiqua" w:cs="宋体"/>
          <w:sz w:val="24"/>
          <w:szCs w:val="24"/>
        </w:rPr>
        <w:t>678.2e</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48 </w:t>
      </w:r>
      <w:r w:rsidRPr="00F06614">
        <w:rPr>
          <w:rFonts w:ascii="Book Antiqua" w:eastAsia="宋体" w:hAnsi="Book Antiqua" w:cs="宋体"/>
          <w:b/>
          <w:bCs/>
          <w:sz w:val="24"/>
          <w:szCs w:val="24"/>
        </w:rPr>
        <w:t>Poley JW</w:t>
      </w:r>
      <w:r w:rsidRPr="00F06614">
        <w:rPr>
          <w:rFonts w:ascii="Book Antiqua" w:eastAsia="宋体" w:hAnsi="Book Antiqua" w:cs="宋体"/>
          <w:sz w:val="24"/>
          <w:szCs w:val="24"/>
        </w:rPr>
        <w:t xml:space="preserve">, Lekkerkerker MN, Metselaar HJ, Kuipers EJ, Bruno MJ. Clinical outcome of progressive stenting in patients with anastomotic strictures after orthotopic liver transplantation. </w:t>
      </w:r>
      <w:r w:rsidRPr="00F06614">
        <w:rPr>
          <w:rFonts w:ascii="Book Antiqua" w:eastAsia="宋体" w:hAnsi="Book Antiqua" w:cs="宋体"/>
          <w:i/>
          <w:iCs/>
          <w:sz w:val="24"/>
          <w:szCs w:val="24"/>
        </w:rPr>
        <w:t>Endoscopy</w:t>
      </w:r>
      <w:r w:rsidRPr="00F06614">
        <w:rPr>
          <w:rFonts w:ascii="Book Antiqua" w:eastAsia="宋体" w:hAnsi="Book Antiqua" w:cs="宋体"/>
          <w:sz w:val="24"/>
          <w:szCs w:val="24"/>
        </w:rPr>
        <w:t xml:space="preserve"> 2013; </w:t>
      </w:r>
      <w:r w:rsidRPr="00F06614">
        <w:rPr>
          <w:rFonts w:ascii="Book Antiqua" w:eastAsia="宋体" w:hAnsi="Book Antiqua" w:cs="宋体"/>
          <w:b/>
          <w:bCs/>
          <w:sz w:val="24"/>
          <w:szCs w:val="24"/>
        </w:rPr>
        <w:t>45</w:t>
      </w:r>
      <w:r w:rsidRPr="00F06614">
        <w:rPr>
          <w:rFonts w:ascii="Book Antiqua" w:eastAsia="宋体" w:hAnsi="Book Antiqua" w:cs="宋体"/>
          <w:sz w:val="24"/>
          <w:szCs w:val="24"/>
        </w:rPr>
        <w:t>: 567-570 [PMID: 23580410 DOI: 10.1055/s-0</w:t>
      </w:r>
      <w:r w:rsidRPr="00074190">
        <w:rPr>
          <w:rFonts w:ascii="Book Antiqua" w:eastAsia="宋体" w:hAnsi="Book Antiqua" w:cs="宋体"/>
          <w:sz w:val="24"/>
          <w:szCs w:val="24"/>
        </w:rPr>
        <w:t>032-1326411</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49 </w:t>
      </w:r>
      <w:r w:rsidRPr="00F06614">
        <w:rPr>
          <w:rFonts w:ascii="Book Antiqua" w:eastAsia="宋体" w:hAnsi="Book Antiqua" w:cs="宋体"/>
          <w:b/>
          <w:bCs/>
          <w:sz w:val="24"/>
          <w:szCs w:val="24"/>
        </w:rPr>
        <w:t>Guichelaar MM</w:t>
      </w:r>
      <w:r w:rsidRPr="00F06614">
        <w:rPr>
          <w:rFonts w:ascii="Book Antiqua" w:eastAsia="宋体" w:hAnsi="Book Antiqua" w:cs="宋体"/>
          <w:sz w:val="24"/>
          <w:szCs w:val="24"/>
        </w:rPr>
        <w:t xml:space="preserve">, Benson JT, Malinchoc M, Krom RA, Wiesner RH, Charlton MR. Risk factors for and clinical course of non-anastomotic biliary strictures after liver transplantation. </w:t>
      </w:r>
      <w:r w:rsidRPr="00F06614">
        <w:rPr>
          <w:rFonts w:ascii="Book Antiqua" w:eastAsia="宋体" w:hAnsi="Book Antiqua" w:cs="宋体"/>
          <w:i/>
          <w:iCs/>
          <w:sz w:val="24"/>
          <w:szCs w:val="24"/>
        </w:rPr>
        <w:t>Am J Transplant</w:t>
      </w:r>
      <w:r w:rsidRPr="00F06614">
        <w:rPr>
          <w:rFonts w:ascii="Book Antiqua" w:eastAsia="宋体" w:hAnsi="Book Antiqua" w:cs="宋体"/>
          <w:sz w:val="24"/>
          <w:szCs w:val="24"/>
        </w:rPr>
        <w:t xml:space="preserve"> 2003; </w:t>
      </w:r>
      <w:r w:rsidRPr="00F06614">
        <w:rPr>
          <w:rFonts w:ascii="Book Antiqua" w:eastAsia="宋体" w:hAnsi="Book Antiqua" w:cs="宋体"/>
          <w:b/>
          <w:bCs/>
          <w:sz w:val="24"/>
          <w:szCs w:val="24"/>
        </w:rPr>
        <w:t>3</w:t>
      </w:r>
      <w:r w:rsidRPr="00F06614">
        <w:rPr>
          <w:rFonts w:ascii="Book Antiqua" w:eastAsia="宋体" w:hAnsi="Book Antiqua" w:cs="宋体"/>
          <w:sz w:val="24"/>
          <w:szCs w:val="24"/>
        </w:rPr>
        <w:t>: 885-890 [PMID: 12814481]</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50 </w:t>
      </w:r>
      <w:r w:rsidRPr="00F06614">
        <w:rPr>
          <w:rFonts w:ascii="Book Antiqua" w:eastAsia="宋体" w:hAnsi="Book Antiqua" w:cs="宋体"/>
          <w:b/>
          <w:bCs/>
          <w:sz w:val="24"/>
          <w:szCs w:val="24"/>
        </w:rPr>
        <w:t>Sanchez-Urdazpal L</w:t>
      </w:r>
      <w:r w:rsidRPr="00F06614">
        <w:rPr>
          <w:rFonts w:ascii="Book Antiqua" w:eastAsia="宋体" w:hAnsi="Book Antiqua" w:cs="宋体"/>
          <w:sz w:val="24"/>
          <w:szCs w:val="24"/>
        </w:rPr>
        <w:t xml:space="preserve">, Gores GJ, Ward EM, Maus TP, Wahlstrom HE, Moore SB, Wiesner RH, Krom RA. Ischemic-type biliary complications after orthotopic liver transplantation. </w:t>
      </w:r>
      <w:r w:rsidRPr="00F06614">
        <w:rPr>
          <w:rFonts w:ascii="Book Antiqua" w:eastAsia="宋体" w:hAnsi="Book Antiqua" w:cs="宋体"/>
          <w:i/>
          <w:iCs/>
          <w:sz w:val="24"/>
          <w:szCs w:val="24"/>
        </w:rPr>
        <w:t>Hepatology</w:t>
      </w:r>
      <w:r w:rsidRPr="00F06614">
        <w:rPr>
          <w:rFonts w:ascii="Book Antiqua" w:eastAsia="宋体" w:hAnsi="Book Antiqua" w:cs="宋体"/>
          <w:sz w:val="24"/>
          <w:szCs w:val="24"/>
        </w:rPr>
        <w:t xml:space="preserve"> 1992; </w:t>
      </w:r>
      <w:r w:rsidRPr="00F06614">
        <w:rPr>
          <w:rFonts w:ascii="Book Antiqua" w:eastAsia="宋体" w:hAnsi="Book Antiqua" w:cs="宋体"/>
          <w:b/>
          <w:bCs/>
          <w:sz w:val="24"/>
          <w:szCs w:val="24"/>
        </w:rPr>
        <w:t>16</w:t>
      </w:r>
      <w:r w:rsidRPr="00F06614">
        <w:rPr>
          <w:rFonts w:ascii="Book Antiqua" w:eastAsia="宋体" w:hAnsi="Book Antiqua" w:cs="宋体"/>
          <w:sz w:val="24"/>
          <w:szCs w:val="24"/>
        </w:rPr>
        <w:t>: 49-53 [PMID: 1618</w:t>
      </w:r>
      <w:r w:rsidRPr="00074190">
        <w:rPr>
          <w:rFonts w:ascii="Book Antiqua" w:eastAsia="宋体" w:hAnsi="Book Antiqua" w:cs="宋体"/>
          <w:sz w:val="24"/>
          <w:szCs w:val="24"/>
        </w:rPr>
        <w:t>482 DOI: 10.1002/hep.1840160110</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51 </w:t>
      </w:r>
      <w:r w:rsidRPr="00F06614">
        <w:rPr>
          <w:rFonts w:ascii="Book Antiqua" w:eastAsia="宋体" w:hAnsi="Book Antiqua" w:cs="宋体"/>
          <w:b/>
          <w:bCs/>
          <w:sz w:val="24"/>
          <w:szCs w:val="24"/>
        </w:rPr>
        <w:t>Howell JA</w:t>
      </w:r>
      <w:r w:rsidRPr="00F06614">
        <w:rPr>
          <w:rFonts w:ascii="Book Antiqua" w:eastAsia="宋体" w:hAnsi="Book Antiqua" w:cs="宋体"/>
          <w:sz w:val="24"/>
          <w:szCs w:val="24"/>
        </w:rPr>
        <w:t xml:space="preserve">, Gow PJ, Angus PW, Jones RM, Wang BZ, Bailey M, Fink MA. Early-onset versus late-onset nonanastomotic biliary strictures post liver transplantation: risk factors reflect different pathogenesis. </w:t>
      </w:r>
      <w:r w:rsidRPr="00F06614">
        <w:rPr>
          <w:rFonts w:ascii="Book Antiqua" w:eastAsia="宋体" w:hAnsi="Book Antiqua" w:cs="宋体"/>
          <w:i/>
          <w:iCs/>
          <w:sz w:val="24"/>
          <w:szCs w:val="24"/>
        </w:rPr>
        <w:t>Transpl Int</w:t>
      </w:r>
      <w:r w:rsidRPr="00F06614">
        <w:rPr>
          <w:rFonts w:ascii="Book Antiqua" w:eastAsia="宋体" w:hAnsi="Book Antiqua" w:cs="宋体"/>
          <w:sz w:val="24"/>
          <w:szCs w:val="24"/>
        </w:rPr>
        <w:t xml:space="preserve"> 2012; </w:t>
      </w:r>
      <w:r w:rsidRPr="00F06614">
        <w:rPr>
          <w:rFonts w:ascii="Book Antiqua" w:eastAsia="宋体" w:hAnsi="Book Antiqua" w:cs="宋体"/>
          <w:b/>
          <w:bCs/>
          <w:sz w:val="24"/>
          <w:szCs w:val="24"/>
        </w:rPr>
        <w:t>25</w:t>
      </w:r>
      <w:r w:rsidRPr="00F06614">
        <w:rPr>
          <w:rFonts w:ascii="Book Antiqua" w:eastAsia="宋体" w:hAnsi="Book Antiqua" w:cs="宋体"/>
          <w:sz w:val="24"/>
          <w:szCs w:val="24"/>
        </w:rPr>
        <w:t>: 765-775 [PMID: 22643194 DOI: 10.1111/j.1432-2277.20</w:t>
      </w:r>
      <w:r w:rsidRPr="00074190">
        <w:rPr>
          <w:rFonts w:ascii="Book Antiqua" w:eastAsia="宋体" w:hAnsi="Book Antiqua" w:cs="宋体"/>
          <w:sz w:val="24"/>
          <w:szCs w:val="24"/>
        </w:rPr>
        <w:t>12.01501.x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52 </w:t>
      </w:r>
      <w:r w:rsidRPr="00F06614">
        <w:rPr>
          <w:rFonts w:ascii="Book Antiqua" w:eastAsia="宋体" w:hAnsi="Book Antiqua" w:cs="宋体"/>
          <w:b/>
          <w:bCs/>
          <w:sz w:val="24"/>
          <w:szCs w:val="24"/>
        </w:rPr>
        <w:t>Moench C</w:t>
      </w:r>
      <w:r w:rsidRPr="00F06614">
        <w:rPr>
          <w:rFonts w:ascii="Book Antiqua" w:eastAsia="宋体" w:hAnsi="Book Antiqua" w:cs="宋体"/>
          <w:sz w:val="24"/>
          <w:szCs w:val="24"/>
        </w:rPr>
        <w:t xml:space="preserve">, Moench K, Lohse AW, Thies J, Otto G. Prevention of ischemic-type biliary lesions by arterial back-table pressure perfusion.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2003; </w:t>
      </w:r>
      <w:r w:rsidRPr="00F06614">
        <w:rPr>
          <w:rFonts w:ascii="Book Antiqua" w:eastAsia="宋体" w:hAnsi="Book Antiqua" w:cs="宋体"/>
          <w:b/>
          <w:bCs/>
          <w:sz w:val="24"/>
          <w:szCs w:val="24"/>
        </w:rPr>
        <w:t>9</w:t>
      </w:r>
      <w:r w:rsidRPr="00F06614">
        <w:rPr>
          <w:rFonts w:ascii="Book Antiqua" w:eastAsia="宋体" w:hAnsi="Book Antiqua" w:cs="宋体"/>
          <w:sz w:val="24"/>
          <w:szCs w:val="24"/>
        </w:rPr>
        <w:t>: 285-289 [PMID: 126190</w:t>
      </w:r>
      <w:r w:rsidRPr="00074190">
        <w:rPr>
          <w:rFonts w:ascii="Book Antiqua" w:eastAsia="宋体" w:hAnsi="Book Antiqua" w:cs="宋体"/>
          <w:sz w:val="24"/>
          <w:szCs w:val="24"/>
        </w:rPr>
        <w:t>26 DOI: 10.1053/jlts.2003.50015</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53 </w:t>
      </w:r>
      <w:r w:rsidRPr="00F06614">
        <w:rPr>
          <w:rFonts w:ascii="Book Antiqua" w:eastAsia="宋体" w:hAnsi="Book Antiqua" w:cs="宋体"/>
          <w:b/>
          <w:bCs/>
          <w:sz w:val="24"/>
          <w:szCs w:val="24"/>
        </w:rPr>
        <w:t>Buis CI</w:t>
      </w:r>
      <w:r w:rsidRPr="00F06614">
        <w:rPr>
          <w:rFonts w:ascii="Book Antiqua" w:eastAsia="宋体" w:hAnsi="Book Antiqua" w:cs="宋体"/>
          <w:sz w:val="24"/>
          <w:szCs w:val="24"/>
        </w:rPr>
        <w:t xml:space="preserve">, Verdonk RC, Van der Jagt EJ, van der Hilst CS, Slooff MJ, Haagsma EB, Porte RJ. Nonanastomotic biliary strictures after liver transplantation, part 1: Radiological features and risk factors for early vs. late presentation.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2007; </w:t>
      </w:r>
      <w:r w:rsidRPr="00F06614">
        <w:rPr>
          <w:rFonts w:ascii="Book Antiqua" w:eastAsia="宋体" w:hAnsi="Book Antiqua" w:cs="宋体"/>
          <w:b/>
          <w:bCs/>
          <w:sz w:val="24"/>
          <w:szCs w:val="24"/>
        </w:rPr>
        <w:t>13</w:t>
      </w:r>
      <w:r w:rsidRPr="00F06614">
        <w:rPr>
          <w:rFonts w:ascii="Book Antiqua" w:eastAsia="宋体" w:hAnsi="Book Antiqua" w:cs="宋体"/>
          <w:sz w:val="24"/>
          <w:szCs w:val="24"/>
        </w:rPr>
        <w:t>: 708-718 [PMID: 17457932 D</w:t>
      </w:r>
      <w:r w:rsidRPr="00074190">
        <w:rPr>
          <w:rFonts w:ascii="Book Antiqua" w:eastAsia="宋体" w:hAnsi="Book Antiqua" w:cs="宋体"/>
          <w:sz w:val="24"/>
          <w:szCs w:val="24"/>
        </w:rPr>
        <w:t>OI: 10.1002/lt.21166</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074190">
        <w:rPr>
          <w:rFonts w:ascii="Book Antiqua" w:eastAsia="宋体" w:hAnsi="Book Antiqua" w:cs="宋体"/>
          <w:sz w:val="24"/>
          <w:szCs w:val="24"/>
        </w:rPr>
        <w:t xml:space="preserve">54 </w:t>
      </w:r>
      <w:r w:rsidRPr="00F06614">
        <w:rPr>
          <w:rFonts w:ascii="Book Antiqua" w:eastAsia="宋体" w:hAnsi="Book Antiqua" w:cs="宋体"/>
          <w:b/>
          <w:sz w:val="24"/>
          <w:szCs w:val="24"/>
        </w:rPr>
        <w:t xml:space="preserve">Verdonk RC, </w:t>
      </w:r>
      <w:r w:rsidRPr="00F06614">
        <w:rPr>
          <w:rFonts w:ascii="Book Antiqua" w:eastAsia="宋体" w:hAnsi="Book Antiqua" w:cs="宋体"/>
          <w:sz w:val="24"/>
          <w:szCs w:val="24"/>
        </w:rPr>
        <w:t xml:space="preserve">Buis CI, Porte RJ, Haagsma EB. Biliary complications after liver transplantation: a review. </w:t>
      </w:r>
      <w:r w:rsidRPr="00F06614">
        <w:rPr>
          <w:rFonts w:ascii="Book Antiqua" w:eastAsia="宋体" w:hAnsi="Book Antiqua" w:cs="宋体"/>
          <w:i/>
          <w:sz w:val="24"/>
          <w:szCs w:val="24"/>
        </w:rPr>
        <w:t>Scand J Gastroent</w:t>
      </w:r>
      <w:r w:rsidRPr="00074190">
        <w:rPr>
          <w:rFonts w:ascii="Book Antiqua" w:eastAsia="宋体" w:hAnsi="Book Antiqua" w:cs="宋体"/>
          <w:i/>
          <w:sz w:val="24"/>
          <w:szCs w:val="24"/>
        </w:rPr>
        <w:t>erol Suppl</w:t>
      </w:r>
      <w:r w:rsidRPr="00074190">
        <w:rPr>
          <w:rFonts w:ascii="Book Antiqua" w:eastAsia="宋体" w:hAnsi="Book Antiqua" w:cs="宋体"/>
          <w:sz w:val="24"/>
          <w:szCs w:val="24"/>
        </w:rPr>
        <w:t xml:space="preserve"> 2006; </w:t>
      </w:r>
      <w:r w:rsidRPr="00074190">
        <w:rPr>
          <w:rFonts w:ascii="Book Antiqua" w:eastAsia="宋体" w:hAnsi="Book Antiqua" w:cs="宋体"/>
          <w:b/>
          <w:sz w:val="24"/>
          <w:szCs w:val="24"/>
        </w:rPr>
        <w:t>(243)</w:t>
      </w:r>
      <w:r w:rsidRPr="00074190">
        <w:rPr>
          <w:rFonts w:ascii="Book Antiqua" w:eastAsia="宋体" w:hAnsi="Book Antiqua" w:cs="宋体"/>
          <w:sz w:val="24"/>
          <w:szCs w:val="24"/>
        </w:rPr>
        <w:t>: 89-101</w:t>
      </w:r>
      <w:r w:rsidRPr="00F06614">
        <w:rPr>
          <w:rFonts w:ascii="Book Antiqua" w:eastAsia="宋体" w:hAnsi="Book Antiqua" w:cs="宋体"/>
          <w:sz w:val="24"/>
          <w:szCs w:val="24"/>
        </w:rPr>
        <w:t xml:space="preserve"> </w:t>
      </w:r>
      <w:r w:rsidRPr="00074190">
        <w:rPr>
          <w:rFonts w:ascii="Book Antiqua" w:eastAsia="宋体" w:hAnsi="Book Antiqua" w:cs="宋体"/>
          <w:sz w:val="24"/>
          <w:szCs w:val="24"/>
        </w:rPr>
        <w:t>[</w:t>
      </w:r>
      <w:r w:rsidRPr="00F06614">
        <w:rPr>
          <w:rFonts w:ascii="Book Antiqua" w:eastAsia="宋体" w:hAnsi="Book Antiqua" w:cs="宋体"/>
          <w:sz w:val="24"/>
          <w:szCs w:val="24"/>
        </w:rPr>
        <w:t>PMID</w:t>
      </w:r>
      <w:r w:rsidRPr="00074190">
        <w:rPr>
          <w:rFonts w:ascii="Book Antiqua" w:eastAsia="宋体" w:hAnsi="Book Antiqua" w:cs="宋体"/>
          <w:sz w:val="24"/>
          <w:szCs w:val="24"/>
        </w:rPr>
        <w:t xml:space="preserve">: </w:t>
      </w:r>
      <w:r w:rsidRPr="00F06614">
        <w:rPr>
          <w:rFonts w:ascii="Book Antiqua" w:eastAsia="宋体" w:hAnsi="Book Antiqua" w:cs="宋体"/>
          <w:sz w:val="24"/>
          <w:szCs w:val="24"/>
        </w:rPr>
        <w:t>16782628</w:t>
      </w:r>
      <w:r w:rsidRPr="00074190">
        <w:rPr>
          <w:rFonts w:ascii="Book Antiqua" w:eastAsia="宋体" w:hAnsi="Book Antiqua" w:cs="宋体"/>
          <w:sz w:val="24"/>
          <w:szCs w:val="24"/>
        </w:rPr>
        <w:t xml:space="preserve"> DOI: 10.1080/00365520600664375]</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55 </w:t>
      </w:r>
      <w:r w:rsidRPr="00F06614">
        <w:rPr>
          <w:rFonts w:ascii="Book Antiqua" w:eastAsia="宋体" w:hAnsi="Book Antiqua" w:cs="宋体"/>
          <w:b/>
          <w:bCs/>
          <w:sz w:val="24"/>
          <w:szCs w:val="24"/>
        </w:rPr>
        <w:t>Verdonk RC</w:t>
      </w:r>
      <w:r w:rsidRPr="00F06614">
        <w:rPr>
          <w:rFonts w:ascii="Book Antiqua" w:eastAsia="宋体" w:hAnsi="Book Antiqua" w:cs="宋体"/>
          <w:sz w:val="24"/>
          <w:szCs w:val="24"/>
        </w:rPr>
        <w:t xml:space="preserve">, Buis CI, van der Jagt EJ, Gouw AS, Limburg AJ, Slooff MJ, Kleibeuker JH, Porte RJ, Haagsma EB. Nonanastomotic biliary strictures after liver transplantation, part 2: Management, outcome, and risk factors for disease progression.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2007; </w:t>
      </w:r>
      <w:r w:rsidRPr="00F06614">
        <w:rPr>
          <w:rFonts w:ascii="Book Antiqua" w:eastAsia="宋体" w:hAnsi="Book Antiqua" w:cs="宋体"/>
          <w:b/>
          <w:bCs/>
          <w:sz w:val="24"/>
          <w:szCs w:val="24"/>
        </w:rPr>
        <w:t>13</w:t>
      </w:r>
      <w:r w:rsidRPr="00F06614">
        <w:rPr>
          <w:rFonts w:ascii="Book Antiqua" w:eastAsia="宋体" w:hAnsi="Book Antiqua" w:cs="宋体"/>
          <w:sz w:val="24"/>
          <w:szCs w:val="24"/>
        </w:rPr>
        <w:t>: 725-732 [PMID: 17</w:t>
      </w:r>
      <w:r w:rsidRPr="00074190">
        <w:rPr>
          <w:rFonts w:ascii="Book Antiqua" w:eastAsia="宋体" w:hAnsi="Book Antiqua" w:cs="宋体"/>
          <w:sz w:val="24"/>
          <w:szCs w:val="24"/>
        </w:rPr>
        <w:t>457935 DOI: 10.1002/lt.21165</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56 </w:t>
      </w:r>
      <w:r w:rsidRPr="00F06614">
        <w:rPr>
          <w:rFonts w:ascii="Book Antiqua" w:eastAsia="宋体" w:hAnsi="Book Antiqua" w:cs="宋体"/>
          <w:b/>
          <w:bCs/>
          <w:sz w:val="24"/>
          <w:szCs w:val="24"/>
        </w:rPr>
        <w:t>Graziadei IW</w:t>
      </w:r>
      <w:r w:rsidRPr="00F06614">
        <w:rPr>
          <w:rFonts w:ascii="Book Antiqua" w:eastAsia="宋体" w:hAnsi="Book Antiqua" w:cs="宋体"/>
          <w:sz w:val="24"/>
          <w:szCs w:val="24"/>
        </w:rPr>
        <w:t xml:space="preserve">, Schwaighofer H, Koch R, Nachbaur K, Koenigsrainer A, Margreiter R, Vogel W. Long-term outcome of endoscopic treatment of biliary strictures after liver transplantation.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2006; </w:t>
      </w:r>
      <w:r w:rsidRPr="00F06614">
        <w:rPr>
          <w:rFonts w:ascii="Book Antiqua" w:eastAsia="宋体" w:hAnsi="Book Antiqua" w:cs="宋体"/>
          <w:b/>
          <w:bCs/>
          <w:sz w:val="24"/>
          <w:szCs w:val="24"/>
        </w:rPr>
        <w:t>12</w:t>
      </w:r>
      <w:r w:rsidRPr="00F06614">
        <w:rPr>
          <w:rFonts w:ascii="Book Antiqua" w:eastAsia="宋体" w:hAnsi="Book Antiqua" w:cs="宋体"/>
          <w:sz w:val="24"/>
          <w:szCs w:val="24"/>
        </w:rPr>
        <w:t xml:space="preserve">: 718-725 [PMID: </w:t>
      </w:r>
      <w:r w:rsidRPr="00074190">
        <w:rPr>
          <w:rFonts w:ascii="Book Antiqua" w:eastAsia="宋体" w:hAnsi="Book Antiqua" w:cs="宋体"/>
          <w:sz w:val="24"/>
          <w:szCs w:val="24"/>
        </w:rPr>
        <w:t>16482553 DOI: 10.1002/lt.20644</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57 </w:t>
      </w:r>
      <w:r w:rsidRPr="00F06614">
        <w:rPr>
          <w:rFonts w:ascii="Book Antiqua" w:eastAsia="宋体" w:hAnsi="Book Antiqua" w:cs="宋体"/>
          <w:b/>
          <w:bCs/>
          <w:sz w:val="24"/>
          <w:szCs w:val="24"/>
        </w:rPr>
        <w:t>Sharma S</w:t>
      </w:r>
      <w:r w:rsidRPr="00F06614">
        <w:rPr>
          <w:rFonts w:ascii="Book Antiqua" w:eastAsia="宋体" w:hAnsi="Book Antiqua" w:cs="宋体"/>
          <w:sz w:val="24"/>
          <w:szCs w:val="24"/>
        </w:rPr>
        <w:t xml:space="preserve">, Gurakar A, Jabbour N. Biliary strictures following liver transplantation: past, present and preventive strategies.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14</w:t>
      </w:r>
      <w:r w:rsidRPr="00F06614">
        <w:rPr>
          <w:rFonts w:ascii="Book Antiqua" w:eastAsia="宋体" w:hAnsi="Book Antiqua" w:cs="宋体"/>
          <w:sz w:val="24"/>
          <w:szCs w:val="24"/>
        </w:rPr>
        <w:t>: 759-769 [PMID:</w:t>
      </w:r>
      <w:r w:rsidRPr="00074190">
        <w:rPr>
          <w:rFonts w:ascii="Book Antiqua" w:eastAsia="宋体" w:hAnsi="Book Antiqua" w:cs="宋体"/>
          <w:sz w:val="24"/>
          <w:szCs w:val="24"/>
        </w:rPr>
        <w:t xml:space="preserve"> 18508368 DOI: 10.1002/lt.21509</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58 </w:t>
      </w:r>
      <w:r w:rsidRPr="00F06614">
        <w:rPr>
          <w:rFonts w:ascii="Book Antiqua" w:eastAsia="宋体" w:hAnsi="Book Antiqua" w:cs="宋体"/>
          <w:b/>
          <w:bCs/>
          <w:sz w:val="24"/>
          <w:szCs w:val="24"/>
        </w:rPr>
        <w:t>Yazumi S</w:t>
      </w:r>
      <w:r w:rsidRPr="00F06614">
        <w:rPr>
          <w:rFonts w:ascii="Book Antiqua" w:eastAsia="宋体" w:hAnsi="Book Antiqua" w:cs="宋体"/>
          <w:sz w:val="24"/>
          <w:szCs w:val="24"/>
        </w:rPr>
        <w:t xml:space="preserve">, Chiba T. Biliary complications after a right-lobe living donor liver transplantation. </w:t>
      </w:r>
      <w:r w:rsidRPr="00F06614">
        <w:rPr>
          <w:rFonts w:ascii="Book Antiqua" w:eastAsia="宋体" w:hAnsi="Book Antiqua" w:cs="宋体"/>
          <w:i/>
          <w:iCs/>
          <w:sz w:val="24"/>
          <w:szCs w:val="24"/>
        </w:rPr>
        <w:t>J Gastroenterol</w:t>
      </w:r>
      <w:r w:rsidRPr="00F06614">
        <w:rPr>
          <w:rFonts w:ascii="Book Antiqua" w:eastAsia="宋体" w:hAnsi="Book Antiqua" w:cs="宋体"/>
          <w:sz w:val="24"/>
          <w:szCs w:val="24"/>
        </w:rPr>
        <w:t xml:space="preserve"> 2005; </w:t>
      </w:r>
      <w:r w:rsidRPr="00F06614">
        <w:rPr>
          <w:rFonts w:ascii="Book Antiqua" w:eastAsia="宋体" w:hAnsi="Book Antiqua" w:cs="宋体"/>
          <w:b/>
          <w:bCs/>
          <w:sz w:val="24"/>
          <w:szCs w:val="24"/>
        </w:rPr>
        <w:t>40</w:t>
      </w:r>
      <w:r w:rsidRPr="00F06614">
        <w:rPr>
          <w:rFonts w:ascii="Book Antiqua" w:eastAsia="宋体" w:hAnsi="Book Antiqua" w:cs="宋体"/>
          <w:sz w:val="24"/>
          <w:szCs w:val="24"/>
        </w:rPr>
        <w:t xml:space="preserve">: 861-865 [PMID: 16211341 DOI: </w:t>
      </w:r>
      <w:r w:rsidRPr="00074190">
        <w:rPr>
          <w:rFonts w:ascii="Book Antiqua" w:eastAsia="宋体" w:hAnsi="Book Antiqua" w:cs="宋体"/>
          <w:sz w:val="24"/>
          <w:szCs w:val="24"/>
        </w:rPr>
        <w:t>10.1007/s00535-005-1698-5</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59 </w:t>
      </w:r>
      <w:r w:rsidRPr="00F06614">
        <w:rPr>
          <w:rFonts w:ascii="Book Antiqua" w:eastAsia="宋体" w:hAnsi="Book Antiqua" w:cs="宋体"/>
          <w:b/>
          <w:bCs/>
          <w:sz w:val="24"/>
          <w:szCs w:val="24"/>
        </w:rPr>
        <w:t>Tsujino T</w:t>
      </w:r>
      <w:r w:rsidRPr="00F06614">
        <w:rPr>
          <w:rFonts w:ascii="Book Antiqua" w:eastAsia="宋体" w:hAnsi="Book Antiqua" w:cs="宋体"/>
          <w:sz w:val="24"/>
          <w:szCs w:val="24"/>
        </w:rPr>
        <w:t xml:space="preserve">, Sugawara Y, Omata M. Management of biliary strictures after living donor liver transplantation. </w:t>
      </w:r>
      <w:r w:rsidRPr="00F06614">
        <w:rPr>
          <w:rFonts w:ascii="Book Antiqua" w:eastAsia="宋体" w:hAnsi="Book Antiqua" w:cs="宋体"/>
          <w:i/>
          <w:iCs/>
          <w:sz w:val="24"/>
          <w:szCs w:val="24"/>
        </w:rPr>
        <w:t>Gastrointest Endosc</w:t>
      </w:r>
      <w:r w:rsidRPr="00F06614">
        <w:rPr>
          <w:rFonts w:ascii="Book Antiqua" w:eastAsia="宋体" w:hAnsi="Book Antiqua" w:cs="宋体"/>
          <w:sz w:val="24"/>
          <w:szCs w:val="24"/>
        </w:rPr>
        <w:t xml:space="preserve"> 2009; </w:t>
      </w:r>
      <w:r w:rsidRPr="00F06614">
        <w:rPr>
          <w:rFonts w:ascii="Book Antiqua" w:eastAsia="宋体" w:hAnsi="Book Antiqua" w:cs="宋体"/>
          <w:b/>
          <w:bCs/>
          <w:sz w:val="24"/>
          <w:szCs w:val="24"/>
        </w:rPr>
        <w:t>70</w:t>
      </w:r>
      <w:r w:rsidRPr="00F06614">
        <w:rPr>
          <w:rFonts w:ascii="Book Antiqua" w:eastAsia="宋体" w:hAnsi="Book Antiqua" w:cs="宋体"/>
          <w:sz w:val="24"/>
          <w:szCs w:val="24"/>
        </w:rPr>
        <w:t>: 599-600; author reply 600-</w:t>
      </w:r>
      <w:r w:rsidRPr="00074190">
        <w:rPr>
          <w:rFonts w:ascii="Book Antiqua" w:eastAsia="宋体" w:hAnsi="Book Antiqua" w:cs="宋体"/>
          <w:sz w:val="24"/>
          <w:szCs w:val="24"/>
        </w:rPr>
        <w:t>60</w:t>
      </w:r>
      <w:r w:rsidRPr="00F06614">
        <w:rPr>
          <w:rFonts w:ascii="Book Antiqua" w:eastAsia="宋体" w:hAnsi="Book Antiqua" w:cs="宋体"/>
          <w:sz w:val="24"/>
          <w:szCs w:val="24"/>
        </w:rPr>
        <w:t>1 [PMID: 19699984</w:t>
      </w:r>
      <w:r w:rsidRPr="00074190">
        <w:rPr>
          <w:rFonts w:ascii="Book Antiqua" w:eastAsia="宋体" w:hAnsi="Book Antiqua" w:cs="宋体"/>
          <w:sz w:val="24"/>
          <w:szCs w:val="24"/>
        </w:rPr>
        <w:t xml:space="preserve"> DOI: 10.1016/j.gie.2009.01.033</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60 </w:t>
      </w:r>
      <w:r w:rsidRPr="00F06614">
        <w:rPr>
          <w:rFonts w:ascii="Book Antiqua" w:eastAsia="宋体" w:hAnsi="Book Antiqua" w:cs="宋体"/>
          <w:b/>
          <w:bCs/>
          <w:sz w:val="24"/>
          <w:szCs w:val="24"/>
        </w:rPr>
        <w:t>Buxbaum JL</w:t>
      </w:r>
      <w:r w:rsidRPr="00F06614">
        <w:rPr>
          <w:rFonts w:ascii="Book Antiqua" w:eastAsia="宋体" w:hAnsi="Book Antiqua" w:cs="宋体"/>
          <w:sz w:val="24"/>
          <w:szCs w:val="24"/>
        </w:rPr>
        <w:t xml:space="preserve">, Biggins SW, Bagatelos KC, Ostroff JW. Predictors of endoscopic treatment outcomes in the management of biliary problems after liver transplantation at a high-volume academic center. </w:t>
      </w:r>
      <w:r w:rsidRPr="00F06614">
        <w:rPr>
          <w:rFonts w:ascii="Book Antiqua" w:eastAsia="宋体" w:hAnsi="Book Antiqua" w:cs="宋体"/>
          <w:i/>
          <w:iCs/>
          <w:sz w:val="24"/>
          <w:szCs w:val="24"/>
        </w:rPr>
        <w:t>Gastrointest Endosc</w:t>
      </w:r>
      <w:r w:rsidRPr="00F06614">
        <w:rPr>
          <w:rFonts w:ascii="Book Antiqua" w:eastAsia="宋体" w:hAnsi="Book Antiqua" w:cs="宋体"/>
          <w:sz w:val="24"/>
          <w:szCs w:val="24"/>
        </w:rPr>
        <w:t xml:space="preserve"> 2011; </w:t>
      </w:r>
      <w:r w:rsidRPr="00F06614">
        <w:rPr>
          <w:rFonts w:ascii="Book Antiqua" w:eastAsia="宋体" w:hAnsi="Book Antiqua" w:cs="宋体"/>
          <w:b/>
          <w:bCs/>
          <w:sz w:val="24"/>
          <w:szCs w:val="24"/>
        </w:rPr>
        <w:t>73</w:t>
      </w:r>
      <w:r w:rsidRPr="00F06614">
        <w:rPr>
          <w:rFonts w:ascii="Book Antiqua" w:eastAsia="宋体" w:hAnsi="Book Antiqua" w:cs="宋体"/>
          <w:sz w:val="24"/>
          <w:szCs w:val="24"/>
        </w:rPr>
        <w:t>: 37-44 [PMID: 21074761</w:t>
      </w:r>
      <w:r w:rsidRPr="00074190">
        <w:rPr>
          <w:rFonts w:ascii="Book Antiqua" w:eastAsia="宋体" w:hAnsi="Book Antiqua" w:cs="宋体"/>
          <w:sz w:val="24"/>
          <w:szCs w:val="24"/>
        </w:rPr>
        <w:t xml:space="preserve"> DOI: 10.1016/j.gie.2010.09.007</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61 </w:t>
      </w:r>
      <w:r w:rsidRPr="00F06614">
        <w:rPr>
          <w:rFonts w:ascii="Book Antiqua" w:eastAsia="宋体" w:hAnsi="Book Antiqua" w:cs="宋体"/>
          <w:b/>
          <w:bCs/>
          <w:sz w:val="24"/>
          <w:szCs w:val="24"/>
        </w:rPr>
        <w:t>Ishiko T</w:t>
      </w:r>
      <w:r w:rsidRPr="00F06614">
        <w:rPr>
          <w:rFonts w:ascii="Book Antiqua" w:eastAsia="宋体" w:hAnsi="Book Antiqua" w:cs="宋体"/>
          <w:sz w:val="24"/>
          <w:szCs w:val="24"/>
        </w:rPr>
        <w:t xml:space="preserve">, Egawa H, Kasahara M, Nakamura T, Oike F, Kaihara S, Kiuchi T, Uemoto S, Inomata Y, Tanaka K. Duct-to-duct biliary reconstruction in living donor liver transplantation utilizing right lobe graft. </w:t>
      </w:r>
      <w:r w:rsidRPr="00F06614">
        <w:rPr>
          <w:rFonts w:ascii="Book Antiqua" w:eastAsia="宋体" w:hAnsi="Book Antiqua" w:cs="宋体"/>
          <w:i/>
          <w:iCs/>
          <w:sz w:val="24"/>
          <w:szCs w:val="24"/>
        </w:rPr>
        <w:t>Ann Surg</w:t>
      </w:r>
      <w:r w:rsidRPr="00F06614">
        <w:rPr>
          <w:rFonts w:ascii="Book Antiqua" w:eastAsia="宋体" w:hAnsi="Book Antiqua" w:cs="宋体"/>
          <w:sz w:val="24"/>
          <w:szCs w:val="24"/>
        </w:rPr>
        <w:t xml:space="preserve"> 2002; </w:t>
      </w:r>
      <w:r w:rsidRPr="00F06614">
        <w:rPr>
          <w:rFonts w:ascii="Book Antiqua" w:eastAsia="宋体" w:hAnsi="Book Antiqua" w:cs="宋体"/>
          <w:b/>
          <w:bCs/>
          <w:sz w:val="24"/>
          <w:szCs w:val="24"/>
        </w:rPr>
        <w:t>236</w:t>
      </w:r>
      <w:r w:rsidRPr="00F06614">
        <w:rPr>
          <w:rFonts w:ascii="Book Antiqua" w:eastAsia="宋体" w:hAnsi="Book Antiqua" w:cs="宋体"/>
          <w:sz w:val="24"/>
          <w:szCs w:val="24"/>
        </w:rPr>
        <w:t>: 235-240 [PMID: 12170029 DOI: 10.</w:t>
      </w:r>
      <w:r w:rsidRPr="00074190">
        <w:rPr>
          <w:rFonts w:ascii="Book Antiqua" w:eastAsia="宋体" w:hAnsi="Book Antiqua" w:cs="宋体"/>
          <w:sz w:val="24"/>
          <w:szCs w:val="24"/>
        </w:rPr>
        <w:t>1097/01.SLA.0000022026.90761.FC</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62 </w:t>
      </w:r>
      <w:r w:rsidRPr="00F06614">
        <w:rPr>
          <w:rFonts w:ascii="Book Antiqua" w:eastAsia="宋体" w:hAnsi="Book Antiqua" w:cs="宋体"/>
          <w:b/>
          <w:bCs/>
          <w:sz w:val="24"/>
          <w:szCs w:val="24"/>
        </w:rPr>
        <w:t>Chok KS</w:t>
      </w:r>
      <w:r w:rsidRPr="00F06614">
        <w:rPr>
          <w:rFonts w:ascii="Book Antiqua" w:eastAsia="宋体" w:hAnsi="Book Antiqua" w:cs="宋体"/>
          <w:sz w:val="24"/>
          <w:szCs w:val="24"/>
        </w:rPr>
        <w:t xml:space="preserve">, Lo CM. Prevention and management of biliary anastomotic stricture in right-lobe living-donor liver transplantation. </w:t>
      </w:r>
      <w:r w:rsidRPr="00F06614">
        <w:rPr>
          <w:rFonts w:ascii="Book Antiqua" w:eastAsia="宋体" w:hAnsi="Book Antiqua" w:cs="宋体"/>
          <w:i/>
          <w:iCs/>
          <w:sz w:val="24"/>
          <w:szCs w:val="24"/>
        </w:rPr>
        <w:t>J Gastroenterol Hepatol</w:t>
      </w:r>
      <w:r w:rsidRPr="00F06614">
        <w:rPr>
          <w:rFonts w:ascii="Book Antiqua" w:eastAsia="宋体" w:hAnsi="Book Antiqua" w:cs="宋体"/>
          <w:sz w:val="24"/>
          <w:szCs w:val="24"/>
        </w:rPr>
        <w:t xml:space="preserve"> 2014; </w:t>
      </w:r>
      <w:r w:rsidRPr="00F06614">
        <w:rPr>
          <w:rFonts w:ascii="Book Antiqua" w:eastAsia="宋体" w:hAnsi="Book Antiqua" w:cs="宋体"/>
          <w:b/>
          <w:bCs/>
          <w:sz w:val="24"/>
          <w:szCs w:val="24"/>
        </w:rPr>
        <w:t>29</w:t>
      </w:r>
      <w:r w:rsidRPr="00F06614">
        <w:rPr>
          <w:rFonts w:ascii="Book Antiqua" w:eastAsia="宋体" w:hAnsi="Book Antiqua" w:cs="宋体"/>
          <w:sz w:val="24"/>
          <w:szCs w:val="24"/>
        </w:rPr>
        <w:t xml:space="preserve">: 1756-1763 [PMID: </w:t>
      </w:r>
      <w:r w:rsidRPr="00074190">
        <w:rPr>
          <w:rFonts w:ascii="Book Antiqua" w:eastAsia="宋体" w:hAnsi="Book Antiqua" w:cs="宋体"/>
          <w:sz w:val="24"/>
          <w:szCs w:val="24"/>
        </w:rPr>
        <w:t>24909190 DOI: 10.1111/jgh.12648</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63 </w:t>
      </w:r>
      <w:r w:rsidRPr="00F06614">
        <w:rPr>
          <w:rFonts w:ascii="Book Antiqua" w:eastAsia="宋体" w:hAnsi="Book Antiqua" w:cs="宋体"/>
          <w:b/>
          <w:bCs/>
          <w:sz w:val="24"/>
          <w:szCs w:val="24"/>
        </w:rPr>
        <w:t>Davidson BR</w:t>
      </w:r>
      <w:r w:rsidRPr="00F06614">
        <w:rPr>
          <w:rFonts w:ascii="Book Antiqua" w:eastAsia="宋体" w:hAnsi="Book Antiqua" w:cs="宋体"/>
          <w:sz w:val="24"/>
          <w:szCs w:val="24"/>
        </w:rPr>
        <w:t xml:space="preserve">, Rai R, Kurzawinski TR, Selves L, Farouk M, Dooley JS, Burroughs AK, Rolles K. Prospective randomized trial of end-to-end versus side-to-side biliary reconstruction after orthotopic liver transplantation. </w:t>
      </w:r>
      <w:r w:rsidRPr="00F06614">
        <w:rPr>
          <w:rFonts w:ascii="Book Antiqua" w:eastAsia="宋体" w:hAnsi="Book Antiqua" w:cs="宋体"/>
          <w:i/>
          <w:iCs/>
          <w:sz w:val="24"/>
          <w:szCs w:val="24"/>
        </w:rPr>
        <w:t>Br J Surg</w:t>
      </w:r>
      <w:r w:rsidRPr="00F06614">
        <w:rPr>
          <w:rFonts w:ascii="Book Antiqua" w:eastAsia="宋体" w:hAnsi="Book Antiqua" w:cs="宋体"/>
          <w:sz w:val="24"/>
          <w:szCs w:val="24"/>
        </w:rPr>
        <w:t xml:space="preserve"> 1999; </w:t>
      </w:r>
      <w:r w:rsidRPr="00F06614">
        <w:rPr>
          <w:rFonts w:ascii="Book Antiqua" w:eastAsia="宋体" w:hAnsi="Book Antiqua" w:cs="宋体"/>
          <w:b/>
          <w:bCs/>
          <w:sz w:val="24"/>
          <w:szCs w:val="24"/>
        </w:rPr>
        <w:t>86</w:t>
      </w:r>
      <w:r w:rsidRPr="00F06614">
        <w:rPr>
          <w:rFonts w:ascii="Book Antiqua" w:eastAsia="宋体" w:hAnsi="Book Antiqua" w:cs="宋体"/>
          <w:sz w:val="24"/>
          <w:szCs w:val="24"/>
        </w:rPr>
        <w:t>: 447-452 [PMID: 10215812 DOI: 1</w:t>
      </w:r>
      <w:r w:rsidRPr="00074190">
        <w:rPr>
          <w:rFonts w:ascii="Book Antiqua" w:eastAsia="宋体" w:hAnsi="Book Antiqua" w:cs="宋体"/>
          <w:sz w:val="24"/>
          <w:szCs w:val="24"/>
        </w:rPr>
        <w:t>0.1046/j.1365-2168.1999.01073.x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64 </w:t>
      </w:r>
      <w:r w:rsidRPr="00F06614">
        <w:rPr>
          <w:rFonts w:ascii="Book Antiqua" w:eastAsia="宋体" w:hAnsi="Book Antiqua" w:cs="宋体"/>
          <w:b/>
          <w:bCs/>
          <w:sz w:val="24"/>
          <w:szCs w:val="24"/>
        </w:rPr>
        <w:t>Castaldo ET</w:t>
      </w:r>
      <w:r w:rsidRPr="00F06614">
        <w:rPr>
          <w:rFonts w:ascii="Book Antiqua" w:eastAsia="宋体" w:hAnsi="Book Antiqua" w:cs="宋体"/>
          <w:sz w:val="24"/>
          <w:szCs w:val="24"/>
        </w:rPr>
        <w:t xml:space="preserve">, Pinson CW, Feurer ID, Wright JK, Gorden DL, Kelly BS, Chari RS. Continuous versus interrupted suture for end-to-end biliary anastomosis during liver transplantation gives equal results.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2007; </w:t>
      </w:r>
      <w:r w:rsidRPr="00F06614">
        <w:rPr>
          <w:rFonts w:ascii="Book Antiqua" w:eastAsia="宋体" w:hAnsi="Book Antiqua" w:cs="宋体"/>
          <w:b/>
          <w:bCs/>
          <w:sz w:val="24"/>
          <w:szCs w:val="24"/>
        </w:rPr>
        <w:t>13</w:t>
      </w:r>
      <w:r w:rsidRPr="00F06614">
        <w:rPr>
          <w:rFonts w:ascii="Book Antiqua" w:eastAsia="宋体" w:hAnsi="Book Antiqua" w:cs="宋体"/>
          <w:sz w:val="24"/>
          <w:szCs w:val="24"/>
        </w:rPr>
        <w:t>: 234-238 [PMID:</w:t>
      </w:r>
      <w:r w:rsidRPr="00074190">
        <w:rPr>
          <w:rFonts w:ascii="Book Antiqua" w:eastAsia="宋体" w:hAnsi="Book Antiqua" w:cs="宋体"/>
          <w:sz w:val="24"/>
          <w:szCs w:val="24"/>
        </w:rPr>
        <w:t xml:space="preserve"> 17256781 DOI: 10.1002/lt.20986</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65 </w:t>
      </w:r>
      <w:r w:rsidRPr="00F06614">
        <w:rPr>
          <w:rFonts w:ascii="Book Antiqua" w:eastAsia="宋体" w:hAnsi="Book Antiqua" w:cs="宋体"/>
          <w:b/>
          <w:bCs/>
          <w:sz w:val="24"/>
          <w:szCs w:val="24"/>
        </w:rPr>
        <w:t>Starzl TE</w:t>
      </w:r>
      <w:r w:rsidRPr="00F06614">
        <w:rPr>
          <w:rFonts w:ascii="Book Antiqua" w:eastAsia="宋体" w:hAnsi="Book Antiqua" w:cs="宋体"/>
          <w:sz w:val="24"/>
          <w:szCs w:val="24"/>
        </w:rPr>
        <w:t xml:space="preserve">, Putnam CW, Hansbrough JF, Porter KA, Reid HA. Biliary complications after liver transplantation: with special reference to the biliary cast syndrome and techniques of secondary duct repair. </w:t>
      </w:r>
      <w:r w:rsidRPr="00F06614">
        <w:rPr>
          <w:rFonts w:ascii="Book Antiqua" w:eastAsia="宋体" w:hAnsi="Book Antiqua" w:cs="宋体"/>
          <w:i/>
          <w:iCs/>
          <w:sz w:val="24"/>
          <w:szCs w:val="24"/>
        </w:rPr>
        <w:t>Surgery</w:t>
      </w:r>
      <w:r w:rsidRPr="00F06614">
        <w:rPr>
          <w:rFonts w:ascii="Book Antiqua" w:eastAsia="宋体" w:hAnsi="Book Antiqua" w:cs="宋体"/>
          <w:sz w:val="24"/>
          <w:szCs w:val="24"/>
        </w:rPr>
        <w:t xml:space="preserve"> 1977; </w:t>
      </w:r>
      <w:r w:rsidRPr="00F06614">
        <w:rPr>
          <w:rFonts w:ascii="Book Antiqua" w:eastAsia="宋体" w:hAnsi="Book Antiqua" w:cs="宋体"/>
          <w:b/>
          <w:bCs/>
          <w:sz w:val="24"/>
          <w:szCs w:val="24"/>
        </w:rPr>
        <w:t>81</w:t>
      </w:r>
      <w:r w:rsidRPr="00F06614">
        <w:rPr>
          <w:rFonts w:ascii="Book Antiqua" w:eastAsia="宋体" w:hAnsi="Book Antiqua" w:cs="宋体"/>
          <w:sz w:val="24"/>
          <w:szCs w:val="24"/>
        </w:rPr>
        <w:t>: 212-221 [PMID: 319551]</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66 </w:t>
      </w:r>
      <w:r w:rsidRPr="00F06614">
        <w:rPr>
          <w:rFonts w:ascii="Book Antiqua" w:eastAsia="宋体" w:hAnsi="Book Antiqua" w:cs="宋体"/>
          <w:b/>
          <w:bCs/>
          <w:sz w:val="24"/>
          <w:szCs w:val="24"/>
        </w:rPr>
        <w:t>Yang YL</w:t>
      </w:r>
      <w:r w:rsidRPr="00F06614">
        <w:rPr>
          <w:rFonts w:ascii="Book Antiqua" w:eastAsia="宋体" w:hAnsi="Book Antiqua" w:cs="宋体"/>
          <w:sz w:val="24"/>
          <w:szCs w:val="24"/>
        </w:rPr>
        <w:t xml:space="preserve">, Zhang C, Lin MJ, Shi LJ, Zhang HW, Li JY, Yu Q. Biliary casts after liver transplantation: morphology and biochemical analysis. </w:t>
      </w:r>
      <w:r w:rsidRPr="00F06614">
        <w:rPr>
          <w:rFonts w:ascii="Book Antiqua" w:eastAsia="宋体" w:hAnsi="Book Antiqua" w:cs="宋体"/>
          <w:i/>
          <w:iCs/>
          <w:sz w:val="24"/>
          <w:szCs w:val="24"/>
        </w:rPr>
        <w:t>World J Gastroenterol</w:t>
      </w:r>
      <w:r w:rsidRPr="00F06614">
        <w:rPr>
          <w:rFonts w:ascii="Book Antiqua" w:eastAsia="宋体" w:hAnsi="Book Antiqua" w:cs="宋体"/>
          <w:sz w:val="24"/>
          <w:szCs w:val="24"/>
        </w:rPr>
        <w:t xml:space="preserve"> 2013; </w:t>
      </w:r>
      <w:r w:rsidRPr="00F06614">
        <w:rPr>
          <w:rFonts w:ascii="Book Antiqua" w:eastAsia="宋体" w:hAnsi="Book Antiqua" w:cs="宋体"/>
          <w:b/>
          <w:bCs/>
          <w:sz w:val="24"/>
          <w:szCs w:val="24"/>
        </w:rPr>
        <w:t>19</w:t>
      </w:r>
      <w:r w:rsidRPr="00F06614">
        <w:rPr>
          <w:rFonts w:ascii="Book Antiqua" w:eastAsia="宋体" w:hAnsi="Book Antiqua" w:cs="宋体"/>
          <w:sz w:val="24"/>
          <w:szCs w:val="24"/>
        </w:rPr>
        <w:t>: 7772-7777 [PMID: 24282366 DOI: 10.3748/wjg.</w:t>
      </w:r>
      <w:r w:rsidRPr="00074190">
        <w:rPr>
          <w:rFonts w:ascii="Book Antiqua" w:eastAsia="宋体" w:hAnsi="Book Antiqua" w:cs="宋体"/>
          <w:sz w:val="24"/>
          <w:szCs w:val="24"/>
        </w:rPr>
        <w:t>v19.i43.7772</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67 </w:t>
      </w:r>
      <w:r w:rsidRPr="00F06614">
        <w:rPr>
          <w:rFonts w:ascii="Book Antiqua" w:eastAsia="宋体" w:hAnsi="Book Antiqua" w:cs="宋体"/>
          <w:b/>
          <w:bCs/>
          <w:sz w:val="24"/>
          <w:szCs w:val="24"/>
        </w:rPr>
        <w:t>Shah JN</w:t>
      </w:r>
      <w:r w:rsidRPr="00F06614">
        <w:rPr>
          <w:rFonts w:ascii="Book Antiqua" w:eastAsia="宋体" w:hAnsi="Book Antiqua" w:cs="宋体"/>
          <w:sz w:val="24"/>
          <w:szCs w:val="24"/>
        </w:rPr>
        <w:t xml:space="preserve">, Haigh WG, Lee SP, Lucey MR, Brensinger CM, Kochman ML, Long WB, Olthoff K, Shaked A, Ginsberg GG. Biliary casts after orthotopic liver transplantation: clinical factors, treatment, biochemical analysis. </w:t>
      </w:r>
      <w:r w:rsidRPr="00F06614">
        <w:rPr>
          <w:rFonts w:ascii="Book Antiqua" w:eastAsia="宋体" w:hAnsi="Book Antiqua" w:cs="宋体"/>
          <w:i/>
          <w:iCs/>
          <w:sz w:val="24"/>
          <w:szCs w:val="24"/>
        </w:rPr>
        <w:t>Am J Gastroenterol</w:t>
      </w:r>
      <w:r w:rsidRPr="00F06614">
        <w:rPr>
          <w:rFonts w:ascii="Book Antiqua" w:eastAsia="宋体" w:hAnsi="Book Antiqua" w:cs="宋体"/>
          <w:sz w:val="24"/>
          <w:szCs w:val="24"/>
        </w:rPr>
        <w:t xml:space="preserve"> 2003; </w:t>
      </w:r>
      <w:r w:rsidRPr="00F06614">
        <w:rPr>
          <w:rFonts w:ascii="Book Antiqua" w:eastAsia="宋体" w:hAnsi="Book Antiqua" w:cs="宋体"/>
          <w:b/>
          <w:bCs/>
          <w:sz w:val="24"/>
          <w:szCs w:val="24"/>
        </w:rPr>
        <w:t>98</w:t>
      </w:r>
      <w:r w:rsidRPr="00F06614">
        <w:rPr>
          <w:rFonts w:ascii="Book Antiqua" w:eastAsia="宋体" w:hAnsi="Book Antiqua" w:cs="宋体"/>
          <w:sz w:val="24"/>
          <w:szCs w:val="24"/>
        </w:rPr>
        <w:t>: 1861-1867 [PMID: 12907345 DOI</w:t>
      </w:r>
      <w:r w:rsidRPr="00074190">
        <w:rPr>
          <w:rFonts w:ascii="Book Antiqua" w:eastAsia="宋体" w:hAnsi="Book Antiqua" w:cs="宋体"/>
          <w:sz w:val="24"/>
          <w:szCs w:val="24"/>
        </w:rPr>
        <w:t>: 10.1016/S0002-9270(03)00508-2</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68 </w:t>
      </w:r>
      <w:r w:rsidRPr="00F06614">
        <w:rPr>
          <w:rFonts w:ascii="Book Antiqua" w:eastAsia="宋体" w:hAnsi="Book Antiqua" w:cs="宋体"/>
          <w:b/>
          <w:bCs/>
          <w:sz w:val="24"/>
          <w:szCs w:val="24"/>
        </w:rPr>
        <w:t>O'Connor HJ</w:t>
      </w:r>
      <w:r w:rsidRPr="00F06614">
        <w:rPr>
          <w:rFonts w:ascii="Book Antiqua" w:eastAsia="宋体" w:hAnsi="Book Antiqua" w:cs="宋体"/>
          <w:sz w:val="24"/>
          <w:szCs w:val="24"/>
        </w:rPr>
        <w:t xml:space="preserve">, Vickers CR, Buckels JA, McMaster P, Neuberger JM, West RJ, Elias E. Role of endoscopic retrograde cholangiopancreatography after orthotopic liver transplantation. </w:t>
      </w:r>
      <w:r w:rsidRPr="00F06614">
        <w:rPr>
          <w:rFonts w:ascii="Book Antiqua" w:eastAsia="宋体" w:hAnsi="Book Antiqua" w:cs="宋体"/>
          <w:i/>
          <w:iCs/>
          <w:sz w:val="24"/>
          <w:szCs w:val="24"/>
        </w:rPr>
        <w:t>Gut</w:t>
      </w:r>
      <w:r w:rsidRPr="00F06614">
        <w:rPr>
          <w:rFonts w:ascii="Book Antiqua" w:eastAsia="宋体" w:hAnsi="Book Antiqua" w:cs="宋体"/>
          <w:sz w:val="24"/>
          <w:szCs w:val="24"/>
        </w:rPr>
        <w:t xml:space="preserve"> 1991; </w:t>
      </w:r>
      <w:r w:rsidRPr="00F06614">
        <w:rPr>
          <w:rFonts w:ascii="Book Antiqua" w:eastAsia="宋体" w:hAnsi="Book Antiqua" w:cs="宋体"/>
          <w:b/>
          <w:bCs/>
          <w:sz w:val="24"/>
          <w:szCs w:val="24"/>
        </w:rPr>
        <w:t>32</w:t>
      </w:r>
      <w:r w:rsidRPr="00F06614">
        <w:rPr>
          <w:rFonts w:ascii="Book Antiqua" w:eastAsia="宋体" w:hAnsi="Book Antiqua" w:cs="宋体"/>
          <w:sz w:val="24"/>
          <w:szCs w:val="24"/>
        </w:rPr>
        <w:t>: 419-423 [PMID: 20</w:t>
      </w:r>
      <w:r w:rsidRPr="00074190">
        <w:rPr>
          <w:rFonts w:ascii="Book Antiqua" w:eastAsia="宋体" w:hAnsi="Book Antiqua" w:cs="宋体"/>
          <w:sz w:val="24"/>
          <w:szCs w:val="24"/>
        </w:rPr>
        <w:t>26341 DOI: 10.1136/gut.32.4.419</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69 </w:t>
      </w:r>
      <w:r w:rsidRPr="00F06614">
        <w:rPr>
          <w:rFonts w:ascii="Book Antiqua" w:eastAsia="宋体" w:hAnsi="Book Antiqua" w:cs="宋体"/>
          <w:b/>
          <w:bCs/>
          <w:sz w:val="24"/>
          <w:szCs w:val="24"/>
        </w:rPr>
        <w:t>Spier BJ</w:t>
      </w:r>
      <w:r w:rsidRPr="00F06614">
        <w:rPr>
          <w:rFonts w:ascii="Book Antiqua" w:eastAsia="宋体" w:hAnsi="Book Antiqua" w:cs="宋体"/>
          <w:sz w:val="24"/>
          <w:szCs w:val="24"/>
        </w:rPr>
        <w:t xml:space="preserve">, Pfau PR, Lorenze KR, Knechtle SJ, Said A. Risk factors and outcomes in post-liver transplantation bile duct stones and casts: A case-control study.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14</w:t>
      </w:r>
      <w:r w:rsidRPr="00F06614">
        <w:rPr>
          <w:rFonts w:ascii="Book Antiqua" w:eastAsia="宋体" w:hAnsi="Book Antiqua" w:cs="宋体"/>
          <w:sz w:val="24"/>
          <w:szCs w:val="24"/>
        </w:rPr>
        <w:t xml:space="preserve">: 1461-1465 [PMID: </w:t>
      </w:r>
      <w:r w:rsidRPr="00074190">
        <w:rPr>
          <w:rFonts w:ascii="Book Antiqua" w:eastAsia="宋体" w:hAnsi="Book Antiqua" w:cs="宋体"/>
          <w:sz w:val="24"/>
          <w:szCs w:val="24"/>
        </w:rPr>
        <w:t>18825682 DOI: 10.1002/lt.21511</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70 </w:t>
      </w:r>
      <w:r w:rsidRPr="00F06614">
        <w:rPr>
          <w:rFonts w:ascii="Book Antiqua" w:eastAsia="宋体" w:hAnsi="Book Antiqua" w:cs="宋体"/>
          <w:b/>
          <w:bCs/>
          <w:sz w:val="24"/>
          <w:szCs w:val="24"/>
        </w:rPr>
        <w:t>Pfau PR</w:t>
      </w:r>
      <w:r w:rsidRPr="00F06614">
        <w:rPr>
          <w:rFonts w:ascii="Book Antiqua" w:eastAsia="宋体" w:hAnsi="Book Antiqua" w:cs="宋体"/>
          <w:sz w:val="24"/>
          <w:szCs w:val="24"/>
        </w:rPr>
        <w:t xml:space="preserve">, Kochman ML, Lewis JD, Long WB, Lucey MR, Olthoff K, Shaked A, Ginsberg GG. Endoscopic management of postoperative biliary complications in orthotopic liver transplantation. </w:t>
      </w:r>
      <w:r w:rsidRPr="00F06614">
        <w:rPr>
          <w:rFonts w:ascii="Book Antiqua" w:eastAsia="宋体" w:hAnsi="Book Antiqua" w:cs="宋体"/>
          <w:i/>
          <w:iCs/>
          <w:sz w:val="24"/>
          <w:szCs w:val="24"/>
        </w:rPr>
        <w:t>Gastrointest Endosc</w:t>
      </w:r>
      <w:r w:rsidRPr="00F06614">
        <w:rPr>
          <w:rFonts w:ascii="Book Antiqua" w:eastAsia="宋体" w:hAnsi="Book Antiqua" w:cs="宋体"/>
          <w:sz w:val="24"/>
          <w:szCs w:val="24"/>
        </w:rPr>
        <w:t xml:space="preserve"> 2000; </w:t>
      </w:r>
      <w:r w:rsidRPr="00F06614">
        <w:rPr>
          <w:rFonts w:ascii="Book Antiqua" w:eastAsia="宋体" w:hAnsi="Book Antiqua" w:cs="宋体"/>
          <w:b/>
          <w:bCs/>
          <w:sz w:val="24"/>
          <w:szCs w:val="24"/>
        </w:rPr>
        <w:t>52</w:t>
      </w:r>
      <w:r w:rsidRPr="00F06614">
        <w:rPr>
          <w:rFonts w:ascii="Book Antiqua" w:eastAsia="宋体" w:hAnsi="Book Antiqua" w:cs="宋体"/>
          <w:sz w:val="24"/>
          <w:szCs w:val="24"/>
        </w:rPr>
        <w:t>: 55-63 [PMID: 108829</w:t>
      </w:r>
      <w:r w:rsidRPr="00074190">
        <w:rPr>
          <w:rFonts w:ascii="Book Antiqua" w:eastAsia="宋体" w:hAnsi="Book Antiqua" w:cs="宋体"/>
          <w:sz w:val="24"/>
          <w:szCs w:val="24"/>
        </w:rPr>
        <w:t>63 DOI: 10.1067/mge.2000.106687</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71 </w:t>
      </w:r>
      <w:r w:rsidRPr="00F06614">
        <w:rPr>
          <w:rFonts w:ascii="Book Antiqua" w:eastAsia="宋体" w:hAnsi="Book Antiqua" w:cs="宋体"/>
          <w:b/>
          <w:bCs/>
          <w:sz w:val="24"/>
          <w:szCs w:val="24"/>
        </w:rPr>
        <w:t>Berg CL</w:t>
      </w:r>
      <w:r w:rsidRPr="00F06614">
        <w:rPr>
          <w:rFonts w:ascii="Book Antiqua" w:eastAsia="宋体" w:hAnsi="Book Antiqua" w:cs="宋体"/>
          <w:sz w:val="24"/>
          <w:szCs w:val="24"/>
        </w:rPr>
        <w:t xml:space="preserve">, Gillespie BW, Merion RM, Brown RS, Abecassis MM, Trotter JF, Fisher RA, Freise CE, Ghobrial RM, Shaked A, Fair JH, Everhart JE. Improvement in survival associated with adult-to-adult living donor liver transplantation. </w:t>
      </w:r>
      <w:r w:rsidRPr="00F06614">
        <w:rPr>
          <w:rFonts w:ascii="Book Antiqua" w:eastAsia="宋体" w:hAnsi="Book Antiqua" w:cs="宋体"/>
          <w:i/>
          <w:iCs/>
          <w:sz w:val="24"/>
          <w:szCs w:val="24"/>
        </w:rPr>
        <w:t>Gastroenterology</w:t>
      </w:r>
      <w:r w:rsidRPr="00F06614">
        <w:rPr>
          <w:rFonts w:ascii="Book Antiqua" w:eastAsia="宋体" w:hAnsi="Book Antiqua" w:cs="宋体"/>
          <w:sz w:val="24"/>
          <w:szCs w:val="24"/>
        </w:rPr>
        <w:t xml:space="preserve"> 2007; </w:t>
      </w:r>
      <w:r w:rsidRPr="00F06614">
        <w:rPr>
          <w:rFonts w:ascii="Book Antiqua" w:eastAsia="宋体" w:hAnsi="Book Antiqua" w:cs="宋体"/>
          <w:b/>
          <w:bCs/>
          <w:sz w:val="24"/>
          <w:szCs w:val="24"/>
        </w:rPr>
        <w:t>133</w:t>
      </w:r>
      <w:r w:rsidRPr="00F06614">
        <w:rPr>
          <w:rFonts w:ascii="Book Antiqua" w:eastAsia="宋体" w:hAnsi="Book Antiqua" w:cs="宋体"/>
          <w:sz w:val="24"/>
          <w:szCs w:val="24"/>
        </w:rPr>
        <w:t>: 1806-1813 [PMID: 18054553 DO</w:t>
      </w:r>
      <w:r w:rsidRPr="00074190">
        <w:rPr>
          <w:rFonts w:ascii="Book Antiqua" w:eastAsia="宋体" w:hAnsi="Book Antiqua" w:cs="宋体"/>
          <w:sz w:val="24"/>
          <w:szCs w:val="24"/>
        </w:rPr>
        <w:t>I: 10.1053/j.gastro.2007.09.004</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72 </w:t>
      </w:r>
      <w:r w:rsidRPr="00F06614">
        <w:rPr>
          <w:rFonts w:ascii="Book Antiqua" w:eastAsia="宋体" w:hAnsi="Book Antiqua" w:cs="宋体"/>
          <w:b/>
          <w:bCs/>
          <w:sz w:val="24"/>
          <w:szCs w:val="24"/>
        </w:rPr>
        <w:t>Ghobrial RM</w:t>
      </w:r>
      <w:r w:rsidRPr="00F06614">
        <w:rPr>
          <w:rFonts w:ascii="Book Antiqua" w:eastAsia="宋体" w:hAnsi="Book Antiqua" w:cs="宋体"/>
          <w:sz w:val="24"/>
          <w:szCs w:val="24"/>
        </w:rPr>
        <w:t xml:space="preserve">, Freise CE, Trotter JF, Tong L, Ojo AO, Fair JH, Fisher RA, Emond JC, Koffron AJ, Pruett TL, Olthoff KM. Donor morbidity after living donation for liver transplantation. </w:t>
      </w:r>
      <w:r w:rsidRPr="00F06614">
        <w:rPr>
          <w:rFonts w:ascii="Book Antiqua" w:eastAsia="宋体" w:hAnsi="Book Antiqua" w:cs="宋体"/>
          <w:i/>
          <w:iCs/>
          <w:sz w:val="24"/>
          <w:szCs w:val="24"/>
        </w:rPr>
        <w:t>Gastroenterology</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135</w:t>
      </w:r>
      <w:r w:rsidRPr="00F06614">
        <w:rPr>
          <w:rFonts w:ascii="Book Antiqua" w:eastAsia="宋体" w:hAnsi="Book Antiqua" w:cs="宋体"/>
          <w:sz w:val="24"/>
          <w:szCs w:val="24"/>
        </w:rPr>
        <w:t>: 468-476 [PMID: 18505689 DO</w:t>
      </w:r>
      <w:r w:rsidRPr="00074190">
        <w:rPr>
          <w:rFonts w:ascii="Book Antiqua" w:eastAsia="宋体" w:hAnsi="Book Antiqua" w:cs="宋体"/>
          <w:sz w:val="24"/>
          <w:szCs w:val="24"/>
        </w:rPr>
        <w:t>I: 10.1053/j.gastro.2008.04.018</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73 </w:t>
      </w:r>
      <w:r w:rsidRPr="00F06614">
        <w:rPr>
          <w:rFonts w:ascii="Book Antiqua" w:eastAsia="宋体" w:hAnsi="Book Antiqua" w:cs="宋体"/>
          <w:b/>
          <w:bCs/>
          <w:sz w:val="24"/>
          <w:szCs w:val="24"/>
        </w:rPr>
        <w:t>Beavers KL</w:t>
      </w:r>
      <w:r w:rsidRPr="00F06614">
        <w:rPr>
          <w:rFonts w:ascii="Book Antiqua" w:eastAsia="宋体" w:hAnsi="Book Antiqua" w:cs="宋体"/>
          <w:sz w:val="24"/>
          <w:szCs w:val="24"/>
        </w:rPr>
        <w:t xml:space="preserve">, Sandler RS, Shrestha R. Donor morbidity associated with right lobectomy for living donor liver transplantation to adult recipients: a systematic review. </w:t>
      </w:r>
      <w:r w:rsidRPr="00F06614">
        <w:rPr>
          <w:rFonts w:ascii="Book Antiqua" w:eastAsia="宋体" w:hAnsi="Book Antiqua" w:cs="宋体"/>
          <w:i/>
          <w:iCs/>
          <w:sz w:val="24"/>
          <w:szCs w:val="24"/>
        </w:rPr>
        <w:t>Liver Transpl</w:t>
      </w:r>
      <w:r w:rsidRPr="00F06614">
        <w:rPr>
          <w:rFonts w:ascii="Book Antiqua" w:eastAsia="宋体" w:hAnsi="Book Antiqua" w:cs="宋体"/>
          <w:sz w:val="24"/>
          <w:szCs w:val="24"/>
        </w:rPr>
        <w:t xml:space="preserve"> 2002; </w:t>
      </w:r>
      <w:r w:rsidRPr="00F06614">
        <w:rPr>
          <w:rFonts w:ascii="Book Antiqua" w:eastAsia="宋体" w:hAnsi="Book Antiqua" w:cs="宋体"/>
          <w:b/>
          <w:bCs/>
          <w:sz w:val="24"/>
          <w:szCs w:val="24"/>
        </w:rPr>
        <w:t>8</w:t>
      </w:r>
      <w:r w:rsidRPr="00F06614">
        <w:rPr>
          <w:rFonts w:ascii="Book Antiqua" w:eastAsia="宋体" w:hAnsi="Book Antiqua" w:cs="宋体"/>
          <w:sz w:val="24"/>
          <w:szCs w:val="24"/>
        </w:rPr>
        <w:t>: 110-117 [PMID: 118625</w:t>
      </w:r>
      <w:r w:rsidRPr="00074190">
        <w:rPr>
          <w:rFonts w:ascii="Book Antiqua" w:eastAsia="宋体" w:hAnsi="Book Antiqua" w:cs="宋体"/>
          <w:sz w:val="24"/>
          <w:szCs w:val="24"/>
        </w:rPr>
        <w:t>85 DOI: 10.1053/jlts.2002.31315</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74 </w:t>
      </w:r>
      <w:r w:rsidRPr="00F06614">
        <w:rPr>
          <w:rFonts w:ascii="Book Antiqua" w:eastAsia="宋体" w:hAnsi="Book Antiqua" w:cs="宋体"/>
          <w:b/>
          <w:bCs/>
          <w:sz w:val="24"/>
          <w:szCs w:val="24"/>
        </w:rPr>
        <w:t>Ozgor D</w:t>
      </w:r>
      <w:r w:rsidRPr="00F06614">
        <w:rPr>
          <w:rFonts w:ascii="Book Antiqua" w:eastAsia="宋体" w:hAnsi="Book Antiqua" w:cs="宋体"/>
          <w:sz w:val="24"/>
          <w:szCs w:val="24"/>
        </w:rPr>
        <w:t xml:space="preserve">, Dirican A, Ates M, Gönültas F, Ara C, Yilmaz S. Donor complications among 500 living donor liver transplantations at a single center. </w:t>
      </w:r>
      <w:r w:rsidRPr="00F06614">
        <w:rPr>
          <w:rFonts w:ascii="Book Antiqua" w:eastAsia="宋体" w:hAnsi="Book Antiqua" w:cs="宋体"/>
          <w:i/>
          <w:iCs/>
          <w:sz w:val="24"/>
          <w:szCs w:val="24"/>
        </w:rPr>
        <w:t>Transplant Proc</w:t>
      </w:r>
      <w:r w:rsidRPr="00F06614">
        <w:rPr>
          <w:rFonts w:ascii="Book Antiqua" w:eastAsia="宋体" w:hAnsi="Book Antiqua" w:cs="宋体"/>
          <w:sz w:val="24"/>
          <w:szCs w:val="24"/>
        </w:rPr>
        <w:t xml:space="preserve"> </w:t>
      </w:r>
      <w:r w:rsidRPr="00074190">
        <w:rPr>
          <w:rFonts w:ascii="Book Antiqua" w:eastAsia="宋体" w:hAnsi="Book Antiqua" w:cs="宋体"/>
          <w:sz w:val="24"/>
          <w:szCs w:val="24"/>
        </w:rPr>
        <w:t>2012</w:t>
      </w:r>
      <w:r w:rsidRPr="00F06614">
        <w:rPr>
          <w:rFonts w:ascii="Book Antiqua" w:eastAsia="宋体" w:hAnsi="Book Antiqua" w:cs="宋体"/>
          <w:sz w:val="24"/>
          <w:szCs w:val="24"/>
        </w:rPr>
        <w:t xml:space="preserve">; </w:t>
      </w:r>
      <w:r w:rsidRPr="00F06614">
        <w:rPr>
          <w:rFonts w:ascii="Book Antiqua" w:eastAsia="宋体" w:hAnsi="Book Antiqua" w:cs="宋体"/>
          <w:b/>
          <w:bCs/>
          <w:sz w:val="24"/>
          <w:szCs w:val="24"/>
        </w:rPr>
        <w:t>44</w:t>
      </w:r>
      <w:r w:rsidRPr="00F06614">
        <w:rPr>
          <w:rFonts w:ascii="Book Antiqua" w:eastAsia="宋体" w:hAnsi="Book Antiqua" w:cs="宋体"/>
          <w:sz w:val="24"/>
          <w:szCs w:val="24"/>
        </w:rPr>
        <w:t>: 1604-1607 [PMID: 22841225 DOI: 10.</w:t>
      </w:r>
      <w:r w:rsidRPr="00074190">
        <w:rPr>
          <w:rFonts w:ascii="Book Antiqua" w:eastAsia="宋体" w:hAnsi="Book Antiqua" w:cs="宋体"/>
          <w:sz w:val="24"/>
          <w:szCs w:val="24"/>
        </w:rPr>
        <w:t>1016/j.transproceed.2012.04.002</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75 </w:t>
      </w:r>
      <w:r w:rsidRPr="00F06614">
        <w:rPr>
          <w:rFonts w:ascii="Book Antiqua" w:eastAsia="宋体" w:hAnsi="Book Antiqua" w:cs="宋体"/>
          <w:b/>
          <w:bCs/>
          <w:sz w:val="24"/>
          <w:szCs w:val="24"/>
        </w:rPr>
        <w:t>Shio S</w:t>
      </w:r>
      <w:r w:rsidRPr="00F06614">
        <w:rPr>
          <w:rFonts w:ascii="Book Antiqua" w:eastAsia="宋体" w:hAnsi="Book Antiqua" w:cs="宋体"/>
          <w:sz w:val="24"/>
          <w:szCs w:val="24"/>
        </w:rPr>
        <w:t xml:space="preserve">, Yazumi S, Ogawa K, Hasegawa K, Tsuji Y, Kida M, Yamauchi J, Ida H, Tada S, Uemoto S, Chiba T. Biliary complications in donors for living donor liver transplantation. </w:t>
      </w:r>
      <w:r w:rsidRPr="00F06614">
        <w:rPr>
          <w:rFonts w:ascii="Book Antiqua" w:eastAsia="宋体" w:hAnsi="Book Antiqua" w:cs="宋体"/>
          <w:i/>
          <w:iCs/>
          <w:sz w:val="24"/>
          <w:szCs w:val="24"/>
        </w:rPr>
        <w:t>Am J Gastroenterol</w:t>
      </w:r>
      <w:r w:rsidRPr="00F06614">
        <w:rPr>
          <w:rFonts w:ascii="Book Antiqua" w:eastAsia="宋体" w:hAnsi="Book Antiqua" w:cs="宋体"/>
          <w:sz w:val="24"/>
          <w:szCs w:val="24"/>
        </w:rPr>
        <w:t xml:space="preserve"> 2008; </w:t>
      </w:r>
      <w:r w:rsidRPr="00F06614">
        <w:rPr>
          <w:rFonts w:ascii="Book Antiqua" w:eastAsia="宋体" w:hAnsi="Book Antiqua" w:cs="宋体"/>
          <w:b/>
          <w:bCs/>
          <w:sz w:val="24"/>
          <w:szCs w:val="24"/>
        </w:rPr>
        <w:t>103</w:t>
      </w:r>
      <w:r w:rsidRPr="00F06614">
        <w:rPr>
          <w:rFonts w:ascii="Book Antiqua" w:eastAsia="宋体" w:hAnsi="Book Antiqua" w:cs="宋体"/>
          <w:sz w:val="24"/>
          <w:szCs w:val="24"/>
        </w:rPr>
        <w:t>: 1393-1398 [PMID: 18510614 DOI: 10.1111/j.1572-0241.2008.01</w:t>
      </w:r>
      <w:r w:rsidRPr="00074190">
        <w:rPr>
          <w:rFonts w:ascii="Book Antiqua" w:eastAsia="宋体" w:hAnsi="Book Antiqua" w:cs="宋体"/>
          <w:sz w:val="24"/>
          <w:szCs w:val="24"/>
        </w:rPr>
        <w:t>786.x]</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76 </w:t>
      </w:r>
      <w:r w:rsidRPr="00F06614">
        <w:rPr>
          <w:rFonts w:ascii="Book Antiqua" w:eastAsia="宋体" w:hAnsi="Book Antiqua" w:cs="宋体"/>
          <w:b/>
          <w:bCs/>
          <w:sz w:val="24"/>
          <w:szCs w:val="24"/>
        </w:rPr>
        <w:t>Iida T</w:t>
      </w:r>
      <w:r w:rsidRPr="00F06614">
        <w:rPr>
          <w:rFonts w:ascii="Book Antiqua" w:eastAsia="宋体" w:hAnsi="Book Antiqua" w:cs="宋体"/>
          <w:sz w:val="24"/>
          <w:szCs w:val="24"/>
        </w:rPr>
        <w:t xml:space="preserve">, Ogura Y, Oike F, Hatano E, Kaido T, Egawa H, Takada Y, Uemoto S. Surgery-related morbidity in living donors for liver transplantation. </w:t>
      </w:r>
      <w:r w:rsidRPr="00F06614">
        <w:rPr>
          <w:rFonts w:ascii="Book Antiqua" w:eastAsia="宋体" w:hAnsi="Book Antiqua" w:cs="宋体"/>
          <w:i/>
          <w:iCs/>
          <w:sz w:val="24"/>
          <w:szCs w:val="24"/>
        </w:rPr>
        <w:t>Transplantation</w:t>
      </w:r>
      <w:r w:rsidRPr="00F06614">
        <w:rPr>
          <w:rFonts w:ascii="Book Antiqua" w:eastAsia="宋体" w:hAnsi="Book Antiqua" w:cs="宋体"/>
          <w:sz w:val="24"/>
          <w:szCs w:val="24"/>
        </w:rPr>
        <w:t xml:space="preserve"> 2010; </w:t>
      </w:r>
      <w:r w:rsidRPr="00F06614">
        <w:rPr>
          <w:rFonts w:ascii="Book Antiqua" w:eastAsia="宋体" w:hAnsi="Book Antiqua" w:cs="宋体"/>
          <w:b/>
          <w:bCs/>
          <w:sz w:val="24"/>
          <w:szCs w:val="24"/>
        </w:rPr>
        <w:t>89</w:t>
      </w:r>
      <w:r w:rsidRPr="00F06614">
        <w:rPr>
          <w:rFonts w:ascii="Book Antiqua" w:eastAsia="宋体" w:hAnsi="Book Antiqua" w:cs="宋体"/>
          <w:sz w:val="24"/>
          <w:szCs w:val="24"/>
        </w:rPr>
        <w:t>: 1276-1282 [PMID: 20216482 D</w:t>
      </w:r>
      <w:r w:rsidRPr="00074190">
        <w:rPr>
          <w:rFonts w:ascii="Book Antiqua" w:eastAsia="宋体" w:hAnsi="Book Antiqua" w:cs="宋体"/>
          <w:sz w:val="24"/>
          <w:szCs w:val="24"/>
        </w:rPr>
        <w:t>OI: 10.1097/TP.0b013e3181d66c55</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77 </w:t>
      </w:r>
      <w:r w:rsidRPr="00F06614">
        <w:rPr>
          <w:rFonts w:ascii="Book Antiqua" w:eastAsia="宋体" w:hAnsi="Book Antiqua" w:cs="宋体"/>
          <w:b/>
          <w:bCs/>
          <w:sz w:val="24"/>
          <w:szCs w:val="24"/>
        </w:rPr>
        <w:t>El-Meteini M</w:t>
      </w:r>
      <w:r w:rsidRPr="00F06614">
        <w:rPr>
          <w:rFonts w:ascii="Book Antiqua" w:eastAsia="宋体" w:hAnsi="Book Antiqua" w:cs="宋体"/>
          <w:sz w:val="24"/>
          <w:szCs w:val="24"/>
        </w:rPr>
        <w:t xml:space="preserve">, Hamza A, Abdalaal A, Fathy M, Bahaa M, Mukhtar A, Abouelfetouh F, Mostafa I, Shaker M, Abdelwahab S, El-Dorry A, El-Monayeri M, Hobballah A, Sabry H. Biliary complications including single-donor mortality: experience of 207 adult-to-adult living donor liver transplantations with right liver grafts. </w:t>
      </w:r>
      <w:r w:rsidRPr="00F06614">
        <w:rPr>
          <w:rFonts w:ascii="Book Antiqua" w:eastAsia="宋体" w:hAnsi="Book Antiqua" w:cs="宋体"/>
          <w:i/>
          <w:iCs/>
          <w:sz w:val="24"/>
          <w:szCs w:val="24"/>
        </w:rPr>
        <w:t xml:space="preserve">HPB </w:t>
      </w:r>
      <w:r w:rsidRPr="00F06614">
        <w:rPr>
          <w:rFonts w:ascii="Book Antiqua" w:eastAsia="宋体" w:hAnsi="Book Antiqua" w:cs="宋体"/>
          <w:iCs/>
          <w:sz w:val="24"/>
          <w:szCs w:val="24"/>
        </w:rPr>
        <w:t>(Oxford)</w:t>
      </w:r>
      <w:r w:rsidRPr="00F06614">
        <w:rPr>
          <w:rFonts w:ascii="Book Antiqua" w:eastAsia="宋体" w:hAnsi="Book Antiqua" w:cs="宋体"/>
          <w:sz w:val="24"/>
          <w:szCs w:val="24"/>
        </w:rPr>
        <w:t xml:space="preserve"> 2010; </w:t>
      </w:r>
      <w:r w:rsidRPr="00F06614">
        <w:rPr>
          <w:rFonts w:ascii="Book Antiqua" w:eastAsia="宋体" w:hAnsi="Book Antiqua" w:cs="宋体"/>
          <w:b/>
          <w:bCs/>
          <w:sz w:val="24"/>
          <w:szCs w:val="24"/>
        </w:rPr>
        <w:t>12</w:t>
      </w:r>
      <w:r w:rsidRPr="00F06614">
        <w:rPr>
          <w:rFonts w:ascii="Book Antiqua" w:eastAsia="宋体" w:hAnsi="Book Antiqua" w:cs="宋体"/>
          <w:sz w:val="24"/>
          <w:szCs w:val="24"/>
        </w:rPr>
        <w:t>: 109-114 [PMID: 20495654 DOI: 1</w:t>
      </w:r>
      <w:r w:rsidRPr="00074190">
        <w:rPr>
          <w:rFonts w:ascii="Book Antiqua" w:eastAsia="宋体" w:hAnsi="Book Antiqua" w:cs="宋体"/>
          <w:sz w:val="24"/>
          <w:szCs w:val="24"/>
        </w:rPr>
        <w:t>0.1111/j.1477-2574.2009.00142.x</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78 </w:t>
      </w:r>
      <w:r w:rsidRPr="00F06614">
        <w:rPr>
          <w:rFonts w:ascii="Book Antiqua" w:eastAsia="宋体" w:hAnsi="Book Antiqua" w:cs="宋体"/>
          <w:b/>
          <w:bCs/>
          <w:sz w:val="24"/>
          <w:szCs w:val="24"/>
        </w:rPr>
        <w:t>Taketomi A</w:t>
      </w:r>
      <w:r w:rsidRPr="00F06614">
        <w:rPr>
          <w:rFonts w:ascii="Book Antiqua" w:eastAsia="宋体" w:hAnsi="Book Antiqua" w:cs="宋体"/>
          <w:sz w:val="24"/>
          <w:szCs w:val="24"/>
        </w:rPr>
        <w:t xml:space="preserve">, Kayashima H, Soejima Y, Yoshizumi T, Uchiyama H, Ikegami T, Yamashita Y, Harada N, Shimada M, Maehara Y. Donor risk in adult-to-adult living donor liver transplantation: impact of left lobe graft. </w:t>
      </w:r>
      <w:r w:rsidRPr="00F06614">
        <w:rPr>
          <w:rFonts w:ascii="Book Antiqua" w:eastAsia="宋体" w:hAnsi="Book Antiqua" w:cs="宋体"/>
          <w:i/>
          <w:iCs/>
          <w:sz w:val="24"/>
          <w:szCs w:val="24"/>
        </w:rPr>
        <w:t>Transplantation</w:t>
      </w:r>
      <w:r w:rsidRPr="00F06614">
        <w:rPr>
          <w:rFonts w:ascii="Book Antiqua" w:eastAsia="宋体" w:hAnsi="Book Antiqua" w:cs="宋体"/>
          <w:sz w:val="24"/>
          <w:szCs w:val="24"/>
        </w:rPr>
        <w:t xml:space="preserve"> 2009; </w:t>
      </w:r>
      <w:r w:rsidRPr="00F06614">
        <w:rPr>
          <w:rFonts w:ascii="Book Antiqua" w:eastAsia="宋体" w:hAnsi="Book Antiqua" w:cs="宋体"/>
          <w:b/>
          <w:bCs/>
          <w:sz w:val="24"/>
          <w:szCs w:val="24"/>
        </w:rPr>
        <w:t>87</w:t>
      </w:r>
      <w:r w:rsidRPr="00F06614">
        <w:rPr>
          <w:rFonts w:ascii="Book Antiqua" w:eastAsia="宋体" w:hAnsi="Book Antiqua" w:cs="宋体"/>
          <w:sz w:val="24"/>
          <w:szCs w:val="24"/>
        </w:rPr>
        <w:t>: 445-450 [PMID: 19202452 D</w:t>
      </w:r>
      <w:r w:rsidRPr="00074190">
        <w:rPr>
          <w:rFonts w:ascii="Book Antiqua" w:eastAsia="宋体" w:hAnsi="Book Antiqua" w:cs="宋体"/>
          <w:sz w:val="24"/>
          <w:szCs w:val="24"/>
        </w:rPr>
        <w:t>OI: 10.1097/TP.0b013e3181943d46</w:t>
      </w:r>
      <w:r w:rsidRPr="00F06614">
        <w:rPr>
          <w:rFonts w:ascii="Book Antiqua" w:eastAsia="宋体" w:hAnsi="Book Antiqua" w:cs="宋体"/>
          <w:sz w:val="24"/>
          <w:szCs w:val="24"/>
        </w:rPr>
        <w:t>]</w:t>
      </w:r>
    </w:p>
    <w:p w:rsidR="00074190" w:rsidRPr="00F06614" w:rsidRDefault="00074190" w:rsidP="00074190">
      <w:pPr>
        <w:spacing w:after="0" w:line="360" w:lineRule="auto"/>
        <w:jc w:val="both"/>
        <w:rPr>
          <w:rFonts w:ascii="Book Antiqua" w:eastAsia="宋体" w:hAnsi="Book Antiqua" w:cs="宋体"/>
          <w:sz w:val="24"/>
          <w:szCs w:val="24"/>
        </w:rPr>
      </w:pPr>
      <w:r w:rsidRPr="00F06614">
        <w:rPr>
          <w:rFonts w:ascii="Book Antiqua" w:eastAsia="宋体" w:hAnsi="Book Antiqua" w:cs="宋体"/>
          <w:sz w:val="24"/>
          <w:szCs w:val="24"/>
        </w:rPr>
        <w:t xml:space="preserve">79 </w:t>
      </w:r>
      <w:r w:rsidRPr="00F06614">
        <w:rPr>
          <w:rFonts w:ascii="Book Antiqua" w:eastAsia="宋体" w:hAnsi="Book Antiqua" w:cs="宋体"/>
          <w:b/>
          <w:bCs/>
          <w:sz w:val="24"/>
          <w:szCs w:val="24"/>
        </w:rPr>
        <w:t>Lo CM</w:t>
      </w:r>
      <w:r w:rsidRPr="00F06614">
        <w:rPr>
          <w:rFonts w:ascii="Book Antiqua" w:eastAsia="宋体" w:hAnsi="Book Antiqua" w:cs="宋体"/>
          <w:sz w:val="24"/>
          <w:szCs w:val="24"/>
        </w:rPr>
        <w:t xml:space="preserve">. Complications and long-term outcome of living liver donors: a survey of 1,508 cases in five Asian centers. </w:t>
      </w:r>
      <w:r w:rsidRPr="00F06614">
        <w:rPr>
          <w:rFonts w:ascii="Book Antiqua" w:eastAsia="宋体" w:hAnsi="Book Antiqua" w:cs="宋体"/>
          <w:i/>
          <w:iCs/>
          <w:sz w:val="24"/>
          <w:szCs w:val="24"/>
        </w:rPr>
        <w:t>Transplantation</w:t>
      </w:r>
      <w:r w:rsidRPr="00F06614">
        <w:rPr>
          <w:rFonts w:ascii="Book Antiqua" w:eastAsia="宋体" w:hAnsi="Book Antiqua" w:cs="宋体"/>
          <w:sz w:val="24"/>
          <w:szCs w:val="24"/>
        </w:rPr>
        <w:t xml:space="preserve"> 2003; </w:t>
      </w:r>
      <w:r w:rsidRPr="00F06614">
        <w:rPr>
          <w:rFonts w:ascii="Book Antiqua" w:eastAsia="宋体" w:hAnsi="Book Antiqua" w:cs="宋体"/>
          <w:b/>
          <w:bCs/>
          <w:sz w:val="24"/>
          <w:szCs w:val="24"/>
        </w:rPr>
        <w:t>75</w:t>
      </w:r>
      <w:r w:rsidRPr="00F06614">
        <w:rPr>
          <w:rFonts w:ascii="Book Antiqua" w:eastAsia="宋体" w:hAnsi="Book Antiqua" w:cs="宋体"/>
          <w:sz w:val="24"/>
          <w:szCs w:val="24"/>
        </w:rPr>
        <w:t>: S12-S15 [PMID: 12589131 DOI: 10</w:t>
      </w:r>
      <w:r w:rsidRPr="00074190">
        <w:rPr>
          <w:rFonts w:ascii="Book Antiqua" w:eastAsia="宋体" w:hAnsi="Book Antiqua" w:cs="宋体"/>
          <w:sz w:val="24"/>
          <w:szCs w:val="24"/>
        </w:rPr>
        <w:t>.1097/01.TP.0000046534.45645.47</w:t>
      </w:r>
      <w:r w:rsidRPr="00F06614">
        <w:rPr>
          <w:rFonts w:ascii="Book Antiqua" w:eastAsia="宋体" w:hAnsi="Book Antiqua" w:cs="宋体"/>
          <w:sz w:val="24"/>
          <w:szCs w:val="24"/>
        </w:rPr>
        <w:t>]</w:t>
      </w:r>
    </w:p>
    <w:p w:rsidR="00074190" w:rsidRPr="00074190" w:rsidRDefault="00074190" w:rsidP="00074190">
      <w:pPr>
        <w:spacing w:after="0" w:line="360" w:lineRule="auto"/>
        <w:jc w:val="both"/>
        <w:rPr>
          <w:rFonts w:ascii="Book Antiqua" w:eastAsia="宋体" w:hAnsi="Book Antiqua" w:cs="宋体"/>
          <w:sz w:val="24"/>
          <w:szCs w:val="24"/>
          <w:lang w:eastAsia="zh-CN"/>
        </w:rPr>
      </w:pPr>
      <w:r w:rsidRPr="00074190">
        <w:rPr>
          <w:rFonts w:ascii="Book Antiqua" w:eastAsia="宋体" w:hAnsi="Book Antiqua" w:cs="宋体"/>
          <w:sz w:val="24"/>
          <w:szCs w:val="24"/>
        </w:rPr>
        <w:t xml:space="preserve">80 </w:t>
      </w:r>
      <w:r w:rsidRPr="00F06614">
        <w:rPr>
          <w:rFonts w:ascii="Book Antiqua" w:eastAsia="宋体" w:hAnsi="Book Antiqua" w:cs="宋体"/>
          <w:sz w:val="24"/>
          <w:szCs w:val="24"/>
        </w:rPr>
        <w:t>European Liver Transplant Registry.</w:t>
      </w:r>
      <w:r w:rsidRPr="00074190">
        <w:rPr>
          <w:rFonts w:ascii="Book Antiqua" w:eastAsia="宋体" w:hAnsi="Book Antiqua" w:cs="宋体"/>
          <w:sz w:val="24"/>
          <w:szCs w:val="24"/>
        </w:rPr>
        <w:t xml:space="preserve"> </w:t>
      </w:r>
      <w:r w:rsidR="00D17AB8">
        <w:rPr>
          <w:rFonts w:ascii="Book Antiqua" w:eastAsia="宋体" w:hAnsi="Book Antiqua" w:cs="宋体"/>
          <w:sz w:val="24"/>
          <w:szCs w:val="24"/>
        </w:rPr>
        <w:t>[a</w:t>
      </w:r>
      <w:r w:rsidRPr="00F06614">
        <w:rPr>
          <w:rFonts w:ascii="Book Antiqua" w:eastAsia="宋体" w:hAnsi="Book Antiqua" w:cs="宋体"/>
          <w:sz w:val="24"/>
          <w:szCs w:val="24"/>
        </w:rPr>
        <w:t>ccessed 2015</w:t>
      </w:r>
      <w:r w:rsidR="00D17AB8" w:rsidRPr="00D17AB8">
        <w:rPr>
          <w:rFonts w:ascii="Book Antiqua" w:eastAsia="宋体" w:hAnsi="Book Antiqua" w:cs="宋体"/>
          <w:sz w:val="24"/>
          <w:szCs w:val="24"/>
        </w:rPr>
        <w:t xml:space="preserve"> </w:t>
      </w:r>
      <w:r w:rsidR="00D17AB8" w:rsidRPr="00F06614">
        <w:rPr>
          <w:rFonts w:ascii="Book Antiqua" w:eastAsia="宋体" w:hAnsi="Book Antiqua" w:cs="宋体"/>
          <w:sz w:val="24"/>
          <w:szCs w:val="24"/>
        </w:rPr>
        <w:t>Jan 8</w:t>
      </w:r>
      <w:r w:rsidR="00D17AB8">
        <w:rPr>
          <w:rFonts w:ascii="Book Antiqua" w:eastAsia="宋体" w:hAnsi="Book Antiqua" w:cs="宋体"/>
          <w:sz w:val="24"/>
          <w:szCs w:val="24"/>
        </w:rPr>
        <w:t>]</w:t>
      </w:r>
      <w:r w:rsidRPr="00F06614">
        <w:rPr>
          <w:rFonts w:ascii="Book Antiqua" w:eastAsia="宋体" w:hAnsi="Book Antiqua" w:cs="宋体"/>
          <w:sz w:val="24"/>
          <w:szCs w:val="24"/>
        </w:rPr>
        <w:t xml:space="preserve">. </w:t>
      </w:r>
      <w:r w:rsidRPr="00074190">
        <w:rPr>
          <w:rFonts w:ascii="Book Antiqua" w:eastAsia="宋体" w:hAnsi="Book Antiqua" w:cs="宋体"/>
          <w:sz w:val="24"/>
          <w:szCs w:val="24"/>
        </w:rPr>
        <w:t>Available from: URL: http: //www.eltr.org/</w:t>
      </w:r>
    </w:p>
    <w:p w:rsidR="003F3BC0" w:rsidRPr="003F3BC0" w:rsidRDefault="003F3BC0" w:rsidP="003F3BC0">
      <w:pPr>
        <w:adjustRightInd w:val="0"/>
        <w:snapToGrid w:val="0"/>
        <w:spacing w:after="0" w:line="360" w:lineRule="auto"/>
        <w:ind w:right="239"/>
        <w:jc w:val="right"/>
        <w:rPr>
          <w:rFonts w:ascii="Book Antiqua" w:hAnsi="Book Antiqua"/>
          <w:b/>
          <w:bCs/>
          <w:sz w:val="24"/>
          <w:szCs w:val="24"/>
          <w:lang w:val="en-GB"/>
        </w:rPr>
      </w:pPr>
      <w:r w:rsidRPr="003F3BC0">
        <w:rPr>
          <w:rStyle w:val="Strong"/>
          <w:rFonts w:ascii="Book Antiqua" w:hAnsi="Book Antiqua" w:cs="Arial"/>
          <w:noProof/>
          <w:sz w:val="24"/>
          <w:szCs w:val="24"/>
          <w:lang w:val="en-GB"/>
        </w:rPr>
        <w:t>P-Reviewer:</w:t>
      </w:r>
      <w:r w:rsidRPr="003F3BC0">
        <w:rPr>
          <w:rFonts w:ascii="Book Antiqua" w:hAnsi="Book Antiqua" w:hint="eastAsia"/>
          <w:color w:val="000000"/>
          <w:sz w:val="24"/>
          <w:szCs w:val="24"/>
          <w:lang w:val="en-GB"/>
        </w:rPr>
        <w:t xml:space="preserve"> </w:t>
      </w:r>
      <w:r>
        <w:rPr>
          <w:rFonts w:ascii="Book Antiqua" w:hAnsi="Book Antiqua"/>
          <w:color w:val="000000"/>
          <w:sz w:val="24"/>
          <w:szCs w:val="24"/>
          <w:lang w:val="en-GB"/>
        </w:rPr>
        <w:t>Celikbilek</w:t>
      </w:r>
      <w:r>
        <w:rPr>
          <w:rFonts w:ascii="Book Antiqua" w:hAnsi="Book Antiqua" w:hint="eastAsia"/>
          <w:color w:val="000000"/>
          <w:sz w:val="24"/>
          <w:szCs w:val="24"/>
          <w:lang w:val="en-GB" w:eastAsia="zh-CN"/>
        </w:rPr>
        <w:t xml:space="preserve"> </w:t>
      </w:r>
      <w:r w:rsidRPr="003F3BC0">
        <w:rPr>
          <w:rFonts w:ascii="Book Antiqua" w:hAnsi="Book Antiqua"/>
          <w:color w:val="000000"/>
          <w:sz w:val="24"/>
          <w:szCs w:val="24"/>
          <w:lang w:val="en-GB"/>
        </w:rPr>
        <w:t>M</w:t>
      </w:r>
      <w:r w:rsidRPr="003F3BC0">
        <w:rPr>
          <w:rFonts w:ascii="Book Antiqua" w:hAnsi="Book Antiqua" w:hint="eastAsia"/>
          <w:color w:val="000000"/>
          <w:sz w:val="24"/>
          <w:szCs w:val="24"/>
          <w:lang w:val="en-GB"/>
        </w:rPr>
        <w:t xml:space="preserve">, </w:t>
      </w:r>
      <w:r w:rsidRPr="003F3BC0">
        <w:rPr>
          <w:rFonts w:ascii="Book Antiqua" w:hAnsi="Book Antiqua"/>
          <w:color w:val="000000"/>
          <w:sz w:val="24"/>
          <w:szCs w:val="24"/>
          <w:lang w:val="en-GB"/>
        </w:rPr>
        <w:t>Peltec</w:t>
      </w:r>
      <w:r>
        <w:rPr>
          <w:rFonts w:ascii="Book Antiqua" w:hAnsi="Book Antiqua" w:hint="eastAsia"/>
          <w:color w:val="000000"/>
          <w:sz w:val="24"/>
          <w:szCs w:val="24"/>
          <w:lang w:val="en-GB" w:eastAsia="zh-CN"/>
        </w:rPr>
        <w:t xml:space="preserve"> </w:t>
      </w:r>
      <w:r>
        <w:rPr>
          <w:rFonts w:ascii="Book Antiqua" w:hAnsi="Book Antiqua"/>
          <w:color w:val="000000"/>
          <w:sz w:val="24"/>
          <w:szCs w:val="24"/>
          <w:lang w:val="en-GB"/>
        </w:rPr>
        <w:t>A</w:t>
      </w:r>
      <w:r w:rsidRPr="003F3BC0">
        <w:rPr>
          <w:rFonts w:ascii="Book Antiqua" w:hAnsi="Book Antiqua" w:hint="eastAsia"/>
          <w:color w:val="000000"/>
          <w:sz w:val="24"/>
          <w:szCs w:val="24"/>
          <w:lang w:val="en-GB" w:eastAsia="zh-CN"/>
        </w:rPr>
        <w:t xml:space="preserve">, </w:t>
      </w:r>
      <w:r>
        <w:rPr>
          <w:rFonts w:ascii="Book Antiqua" w:hAnsi="Book Antiqua"/>
          <w:color w:val="000000"/>
          <w:sz w:val="24"/>
          <w:szCs w:val="24"/>
          <w:lang w:val="en-GB" w:eastAsia="zh-CN"/>
        </w:rPr>
        <w:t>Rodriguez-Castro</w:t>
      </w:r>
      <w:r>
        <w:rPr>
          <w:rFonts w:ascii="Book Antiqua" w:hAnsi="Book Antiqua" w:hint="eastAsia"/>
          <w:color w:val="000000"/>
          <w:sz w:val="24"/>
          <w:szCs w:val="24"/>
          <w:lang w:val="en-GB" w:eastAsia="zh-CN"/>
        </w:rPr>
        <w:t xml:space="preserve"> </w:t>
      </w:r>
      <w:r>
        <w:rPr>
          <w:rFonts w:ascii="Book Antiqua" w:hAnsi="Book Antiqua"/>
          <w:color w:val="000000"/>
          <w:sz w:val="24"/>
          <w:szCs w:val="24"/>
          <w:lang w:val="en-GB" w:eastAsia="zh-CN"/>
        </w:rPr>
        <w:t>KI</w:t>
      </w:r>
      <w:r w:rsidRPr="003F3BC0">
        <w:rPr>
          <w:rFonts w:ascii="Book Antiqua" w:hAnsi="Book Antiqua" w:hint="eastAsia"/>
          <w:bCs/>
          <w:sz w:val="24"/>
          <w:szCs w:val="24"/>
          <w:lang w:val="en-GB"/>
        </w:rPr>
        <w:t xml:space="preserve"> </w:t>
      </w:r>
      <w:r w:rsidRPr="003F3BC0">
        <w:rPr>
          <w:rFonts w:ascii="Book Antiqua" w:hAnsi="Book Antiqua"/>
          <w:b/>
          <w:bCs/>
          <w:sz w:val="24"/>
          <w:szCs w:val="24"/>
          <w:lang w:val="en-GB"/>
        </w:rPr>
        <w:t>S-Editor:</w:t>
      </w:r>
      <w:r w:rsidRPr="003F3BC0">
        <w:rPr>
          <w:rFonts w:ascii="Book Antiqua" w:hAnsi="Book Antiqua"/>
          <w:bCs/>
          <w:sz w:val="24"/>
          <w:szCs w:val="24"/>
          <w:lang w:val="en-GB"/>
        </w:rPr>
        <w:t xml:space="preserve"> Tian YL</w:t>
      </w:r>
    </w:p>
    <w:p w:rsidR="003F3BC0" w:rsidRPr="003F3BC0" w:rsidRDefault="003F3BC0" w:rsidP="003F3BC0">
      <w:pPr>
        <w:adjustRightInd w:val="0"/>
        <w:snapToGrid w:val="0"/>
        <w:spacing w:after="0" w:line="360" w:lineRule="auto"/>
        <w:ind w:right="239"/>
        <w:jc w:val="right"/>
        <w:rPr>
          <w:rFonts w:ascii="Book Antiqua" w:hAnsi="Book Antiqua"/>
          <w:bCs/>
          <w:sz w:val="24"/>
          <w:szCs w:val="24"/>
        </w:rPr>
      </w:pPr>
      <w:r w:rsidRPr="003F3BC0">
        <w:rPr>
          <w:rFonts w:ascii="Book Antiqua" w:hAnsi="Book Antiqua"/>
          <w:b/>
          <w:bCs/>
          <w:sz w:val="24"/>
          <w:szCs w:val="24"/>
        </w:rPr>
        <w:t>L-Editor:   E-Editor:</w:t>
      </w:r>
    </w:p>
    <w:p w:rsidR="00074190" w:rsidRPr="003F3BC0" w:rsidRDefault="00074190" w:rsidP="003F3BC0">
      <w:pPr>
        <w:spacing w:after="0" w:line="360" w:lineRule="auto"/>
        <w:jc w:val="both"/>
        <w:rPr>
          <w:rFonts w:ascii="Book Antiqua" w:hAnsi="Book Antiqua" w:cs="Book Antiqua"/>
          <w:b/>
          <w:sz w:val="24"/>
          <w:szCs w:val="24"/>
          <w:lang w:eastAsia="zh-CN"/>
        </w:rPr>
      </w:pPr>
    </w:p>
    <w:p w:rsidR="00F9310D" w:rsidRPr="00074190" w:rsidRDefault="00F9310D" w:rsidP="00074190">
      <w:pPr>
        <w:spacing w:after="0" w:line="360" w:lineRule="auto"/>
        <w:jc w:val="both"/>
        <w:rPr>
          <w:rFonts w:ascii="Book Antiqua" w:hAnsi="Book Antiqua" w:cs="Book Antiqua"/>
          <w:color w:val="000000"/>
          <w:sz w:val="24"/>
          <w:szCs w:val="24"/>
          <w:lang w:eastAsia="zh-CN"/>
        </w:rPr>
      </w:pPr>
      <w:r w:rsidRPr="00074190">
        <w:rPr>
          <w:rFonts w:ascii="Book Antiqua" w:hAnsi="Book Antiqua" w:cs="Book Antiqua"/>
          <w:color w:val="000000"/>
          <w:sz w:val="24"/>
          <w:szCs w:val="24"/>
          <w:lang w:eastAsia="zh-CN"/>
        </w:rPr>
        <w:br w:type="page"/>
      </w:r>
    </w:p>
    <w:p w:rsidR="003B7BED" w:rsidRPr="00074190" w:rsidRDefault="003B7BED" w:rsidP="00074190">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noProof/>
          <w:color w:val="241F20"/>
          <w:sz w:val="24"/>
          <w:szCs w:val="24"/>
        </w:rPr>
        <w:drawing>
          <wp:inline distT="0" distB="0" distL="0" distR="0" wp14:anchorId="32345070" wp14:editId="1BFEA591">
            <wp:extent cx="2791811" cy="31750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3132" t="16551" r="32902" b="3448"/>
                    <a:stretch>
                      <a:fillRect/>
                    </a:stretch>
                  </pic:blipFill>
                  <pic:spPr bwMode="auto">
                    <a:xfrm>
                      <a:off x="0" y="0"/>
                      <a:ext cx="2793402" cy="3176810"/>
                    </a:xfrm>
                    <a:prstGeom prst="rect">
                      <a:avLst/>
                    </a:prstGeom>
                    <a:noFill/>
                    <a:ln w="9525">
                      <a:noFill/>
                      <a:miter lim="800000"/>
                      <a:headEnd/>
                      <a:tailEnd/>
                    </a:ln>
                  </pic:spPr>
                </pic:pic>
              </a:graphicData>
            </a:graphic>
          </wp:inline>
        </w:drawing>
      </w:r>
    </w:p>
    <w:p w:rsidR="00544A9A" w:rsidRPr="00074190" w:rsidRDefault="00544A9A" w:rsidP="00544A9A">
      <w:pPr>
        <w:pStyle w:val="NormalWeb"/>
        <w:spacing w:before="0" w:beforeAutospacing="0" w:after="0" w:afterAutospacing="0" w:line="360" w:lineRule="auto"/>
        <w:jc w:val="both"/>
        <w:rPr>
          <w:rFonts w:ascii="Book Antiqua" w:eastAsia="Book Antiqua" w:hAnsi="Book Antiqua" w:cs="Book Antiqua"/>
        </w:rPr>
      </w:pPr>
      <w:r w:rsidRPr="00074190">
        <w:rPr>
          <w:rFonts w:ascii="Book Antiqua" w:eastAsia="Book Antiqua" w:hAnsi="Book Antiqua" w:cs="Book Antiqua"/>
          <w:b/>
          <w:color w:val="241F20"/>
        </w:rPr>
        <w:t>Figure 1 Arterial supply of the biliary tree</w:t>
      </w:r>
      <w:r w:rsidRPr="00074190">
        <w:rPr>
          <w:rFonts w:ascii="Book Antiqua" w:eastAsia="Book Antiqua" w:hAnsi="Book Antiqua" w:cs="Book Antiqua"/>
          <w:b/>
          <w:color w:val="241F20"/>
          <w:vertAlign w:val="superscript"/>
        </w:rPr>
        <w:t>[</w:t>
      </w:r>
      <w:r w:rsidRPr="00074190">
        <w:rPr>
          <w:rFonts w:ascii="Book Antiqua" w:eastAsia="Book Antiqua" w:hAnsi="Book Antiqua" w:cs="Book Antiqua"/>
          <w:b/>
          <w:color w:val="241F20"/>
          <w:vertAlign w:val="superscript"/>
        </w:rPr>
        <w:fldChar w:fldCharType="begin" w:fldLock="1"/>
      </w:r>
      <w:r w:rsidRPr="00074190">
        <w:rPr>
          <w:rFonts w:ascii="Book Antiqua" w:eastAsia="Book Antiqua" w:hAnsi="Book Antiqua" w:cs="Book Antiqua"/>
          <w:b/>
          <w:color w:val="241F20"/>
          <w:vertAlign w:val="superscript"/>
        </w:rPr>
        <w:instrText>ADDIN CSL_CITATION { "citationItems" : [ { "id" : "ITEM-1", "itemData" : { "DOI" : "10.1016/B978-1-4377-1454-8.00107-7", "ISBN" : "9781437714548", "author" : [ { "dropping-particle" : "", "family" : "Blumgart", "given" : "Leslie H", "non-dropping-particle" : "", "parse-names" : false, "suffix" : "" }, { "dropping-particle" : "", "family" : "Hann", "given" : "Lucy E", "non-dropping-particle" : "", "parse-names" : false, "suffix" : "" } ], "container-title" : "Blumgart's Surgery of the Liver, Pancreas and Biliary Tract", "edition" : "Fifth Edit", "id" : "ITEM-1", "issued" : { "date-parts" : [ [ "2012" ] ] }, "page" : "31-57.e1", "publisher" : "Elsevier", "title" : "Blumgart's Surgery of the Liver, Pancreas and Biliary Tract", "type" : "book" }, "uris" : [ "http://www.mendeley.com/documents/?uuid=dcb6b6ff-e347-4595-b10d-65b85e9cf373" ] } ], "mendeley" : { "formattedCitation" : "&lt;sup&gt;19&lt;/sup&gt;", "plainTextFormattedCitation" : "19", "previouslyFormattedCitation" : "&lt;sup&gt;19&lt;/sup&gt;" }, "properties" : { "noteIndex" : 0 }, "schema" : "https://github.com/citation-style-language/schema/raw/master/csl-citation.json" }</w:instrText>
      </w:r>
      <w:r w:rsidRPr="00074190">
        <w:rPr>
          <w:rFonts w:ascii="Book Antiqua" w:eastAsia="Book Antiqua" w:hAnsi="Book Antiqua" w:cs="Book Antiqua"/>
          <w:b/>
          <w:color w:val="241F20"/>
          <w:vertAlign w:val="superscript"/>
        </w:rPr>
        <w:fldChar w:fldCharType="separate"/>
      </w:r>
      <w:r w:rsidRPr="00074190">
        <w:rPr>
          <w:rFonts w:ascii="Book Antiqua" w:eastAsia="Book Antiqua" w:hAnsi="Book Antiqua" w:cs="Book Antiqua"/>
          <w:b/>
          <w:noProof/>
          <w:color w:val="241F20"/>
          <w:vertAlign w:val="superscript"/>
        </w:rPr>
        <w:t>19</w:t>
      </w:r>
      <w:r w:rsidRPr="00074190">
        <w:rPr>
          <w:rFonts w:ascii="Book Antiqua" w:eastAsia="Book Antiqua" w:hAnsi="Book Antiqua" w:cs="Book Antiqua"/>
          <w:b/>
          <w:color w:val="241F20"/>
          <w:vertAlign w:val="superscript"/>
        </w:rPr>
        <w:fldChar w:fldCharType="end"/>
      </w:r>
      <w:r w:rsidRPr="00074190">
        <w:rPr>
          <w:rFonts w:ascii="Book Antiqua" w:eastAsia="Book Antiqua" w:hAnsi="Book Antiqua" w:cs="Book Antiqua"/>
          <w:b/>
          <w:color w:val="241F20"/>
          <w:vertAlign w:val="superscript"/>
        </w:rPr>
        <w:t>]</w:t>
      </w:r>
      <w:r w:rsidRPr="00074190">
        <w:rPr>
          <w:rFonts w:ascii="Book Antiqua" w:eastAsia="Book Antiqua" w:hAnsi="Book Antiqua" w:cs="Book Antiqua"/>
          <w:b/>
          <w:color w:val="241F20"/>
        </w:rPr>
        <w:t xml:space="preserve"> (reprinted with permission from Elsevier)</w:t>
      </w:r>
      <w:r w:rsidRPr="00074190">
        <w:rPr>
          <w:rFonts w:ascii="Book Antiqua" w:hAnsi="Book Antiqua" w:cs="Book Antiqua"/>
          <w:b/>
          <w:color w:val="241F20"/>
          <w:lang w:eastAsia="zh-CN"/>
        </w:rPr>
        <w:t>.</w:t>
      </w:r>
    </w:p>
    <w:p w:rsidR="003B7BED" w:rsidRPr="00074190" w:rsidRDefault="003B7BED" w:rsidP="00074190">
      <w:pPr>
        <w:spacing w:after="0" w:line="360" w:lineRule="auto"/>
        <w:jc w:val="both"/>
        <w:rPr>
          <w:rFonts w:ascii="Book Antiqua" w:hAnsi="Book Antiqua" w:cs="Book Antiqua"/>
          <w:sz w:val="24"/>
          <w:szCs w:val="24"/>
          <w:lang w:eastAsia="zh-CN"/>
        </w:rPr>
      </w:pPr>
    </w:p>
    <w:p w:rsidR="00544A9A" w:rsidRDefault="00544A9A">
      <w:pPr>
        <w:rPr>
          <w:rFonts w:ascii="Book Antiqua" w:hAnsi="Book Antiqua" w:cs="Book Antiqua"/>
          <w:sz w:val="24"/>
          <w:szCs w:val="24"/>
          <w:lang w:eastAsia="zh-CN"/>
        </w:rPr>
      </w:pPr>
      <w:r>
        <w:rPr>
          <w:rFonts w:ascii="Book Antiqua" w:hAnsi="Book Antiqua" w:cs="Book Antiqua"/>
          <w:sz w:val="24"/>
          <w:szCs w:val="24"/>
          <w:lang w:eastAsia="zh-CN"/>
        </w:rPr>
        <w:br w:type="page"/>
      </w:r>
    </w:p>
    <w:p w:rsidR="005E3013" w:rsidRPr="00074190" w:rsidRDefault="005E3013" w:rsidP="00074190">
      <w:pPr>
        <w:spacing w:after="0" w:line="360" w:lineRule="auto"/>
        <w:jc w:val="both"/>
        <w:rPr>
          <w:rFonts w:ascii="Book Antiqua" w:hAnsi="Book Antiqua" w:cs="Book Antiqua"/>
          <w:sz w:val="24"/>
          <w:szCs w:val="24"/>
          <w:lang w:eastAsia="zh-CN"/>
        </w:rPr>
      </w:pPr>
    </w:p>
    <w:p w:rsidR="003B7BED" w:rsidRPr="00074190" w:rsidRDefault="00D17AB8" w:rsidP="00074190">
      <w:pPr>
        <w:spacing w:after="0" w:line="360" w:lineRule="auto"/>
        <w:jc w:val="both"/>
        <w:rPr>
          <w:rFonts w:ascii="Book Antiqua" w:hAnsi="Book Antiqua" w:cs="Book Antiqua"/>
          <w:i/>
          <w:sz w:val="24"/>
          <w:szCs w:val="24"/>
          <w:lang w:eastAsia="zh-CN"/>
        </w:rPr>
      </w:pPr>
      <w:r>
        <w:rPr>
          <w:rFonts w:ascii="Book Antiqua" w:hAnsi="Book Antiqua"/>
          <w:sz w:val="24"/>
          <w:szCs w:val="24"/>
        </w:rPr>
      </w:r>
      <w:r>
        <w:rPr>
          <w:rFonts w:ascii="Book Antiqua" w:hAnsi="Book Antiqua"/>
          <w:sz w:val="24"/>
          <w:szCs w:val="24"/>
        </w:rPr>
        <w:pict>
          <v:rect id="rectole0000000000" o:spid="_x0000_s1025" style="width:137.5pt;height:192pt;mso-left-percent:-10001;mso-top-percent:-10001;mso-position-horizontal:absolute;mso-position-horizontal-relative:char;mso-position-vertical:absolute;mso-position-vertical-relative:line;mso-left-percent:-10001;mso-top-percent:-10001" o:preferrelative="t" stroked="f">
            <v:imagedata r:id="rId11" o:title=""/>
          </v:rect>
          <o:OLEObject Type="Embed" ProgID="StaticMetafile" ShapeID="rectole0000000000" DrawAspect="Content" ObjectID="_1371649166" r:id="rId12"/>
        </w:pict>
      </w:r>
      <w:r w:rsidR="006A074B" w:rsidRPr="00074190">
        <w:rPr>
          <w:rFonts w:ascii="Book Antiqua" w:eastAsia="Book Antiqua" w:hAnsi="Book Antiqua" w:cs="Book Antiqua"/>
          <w:i/>
          <w:sz w:val="24"/>
          <w:szCs w:val="24"/>
        </w:rPr>
        <w:t xml:space="preserve"> </w:t>
      </w:r>
      <w:r w:rsidR="006A074B" w:rsidRPr="00074190">
        <w:rPr>
          <w:rFonts w:ascii="Book Antiqua" w:eastAsia="Book Antiqua" w:hAnsi="Book Antiqua" w:cs="Book Antiqua"/>
          <w:i/>
          <w:sz w:val="24"/>
          <w:szCs w:val="24"/>
        </w:rPr>
        <w:tab/>
      </w:r>
      <w:r>
        <w:rPr>
          <w:rFonts w:ascii="Book Antiqua" w:hAnsi="Book Antiqua"/>
          <w:sz w:val="24"/>
          <w:szCs w:val="24"/>
        </w:rPr>
      </w:r>
      <w:r>
        <w:rPr>
          <w:rFonts w:ascii="Book Antiqua" w:hAnsi="Book Antiqua"/>
          <w:sz w:val="24"/>
          <w:szCs w:val="24"/>
        </w:rPr>
        <w:pict>
          <v:rect id="rectole0000000001" o:spid="_x0000_s1026" style="width:127.5pt;height:193pt;mso-left-percent:-10001;mso-top-percent:-10001;mso-position-horizontal:absolute;mso-position-horizontal-relative:char;mso-position-vertical:absolute;mso-position-vertical-relative:line;mso-left-percent:-10001;mso-top-percent:-10001" o:preferrelative="t" stroked="f">
            <v:imagedata r:id="rId13" o:title=""/>
          </v:rect>
          <o:OLEObject Type="Embed" ProgID="StaticMetafile" ShapeID="rectole0000000001" DrawAspect="Content" ObjectID="_1371649167" r:id="rId14"/>
        </w:pict>
      </w:r>
      <w:r w:rsidR="003B7BED" w:rsidRPr="00074190">
        <w:rPr>
          <w:rFonts w:ascii="Book Antiqua" w:hAnsi="Book Antiqua"/>
          <w:sz w:val="24"/>
          <w:szCs w:val="24"/>
          <w:lang w:eastAsia="zh-CN"/>
        </w:rPr>
        <w:t xml:space="preserve"> </w:t>
      </w:r>
      <w:r>
        <w:rPr>
          <w:rFonts w:ascii="Book Antiqua" w:hAnsi="Book Antiqua"/>
          <w:sz w:val="24"/>
          <w:szCs w:val="24"/>
        </w:rPr>
      </w:r>
      <w:r>
        <w:rPr>
          <w:rFonts w:ascii="Book Antiqua" w:hAnsi="Book Antiqua"/>
          <w:sz w:val="24"/>
          <w:szCs w:val="24"/>
        </w:rPr>
        <w:pict>
          <v:rect id="rectole0000000002" o:spid="_x0000_s1027" style="width:129pt;height:189.5pt;mso-left-percent:-10001;mso-top-percent:-10001;mso-position-horizontal:absolute;mso-position-horizontal-relative:char;mso-position-vertical:absolute;mso-position-vertical-relative:line;mso-left-percent:-10001;mso-top-percent:-10001" o:preferrelative="t" stroked="f">
            <v:imagedata r:id="rId15" o:title=""/>
          </v:rect>
          <o:OLEObject Type="Embed" ProgID="StaticMetafile" ShapeID="rectole0000000002" DrawAspect="Content" ObjectID="_1371649168" r:id="rId16"/>
        </w:pict>
      </w:r>
    </w:p>
    <w:p w:rsidR="00544A9A" w:rsidRPr="00074190" w:rsidRDefault="00544A9A" w:rsidP="00544A9A">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b/>
          <w:sz w:val="24"/>
          <w:szCs w:val="24"/>
        </w:rPr>
        <w:t>Figure 2 Endoscopic retrograde cholangiograms from a patient with an anastomotic leak after live donor liver transplantation</w:t>
      </w:r>
      <w:r w:rsidRPr="00074190">
        <w:rPr>
          <w:rFonts w:ascii="Book Antiqua" w:hAnsi="Book Antiqua" w:cs="Book Antiqua"/>
          <w:b/>
          <w:sz w:val="24"/>
          <w:szCs w:val="24"/>
          <w:lang w:eastAsia="zh-CN"/>
        </w:rPr>
        <w:t>.</w:t>
      </w:r>
      <w:r w:rsidRPr="00074190">
        <w:rPr>
          <w:rFonts w:ascii="Book Antiqua" w:eastAsia="Book Antiqua" w:hAnsi="Book Antiqua" w:cs="Book Antiqua"/>
          <w:b/>
          <w:sz w:val="24"/>
          <w:szCs w:val="24"/>
        </w:rPr>
        <w:t xml:space="preserve"> </w:t>
      </w:r>
      <w:r w:rsidRPr="00074190">
        <w:rPr>
          <w:rFonts w:ascii="Book Antiqua" w:eastAsia="Book Antiqua" w:hAnsi="Book Antiqua" w:cs="Book Antiqua"/>
          <w:sz w:val="24"/>
          <w:szCs w:val="24"/>
        </w:rPr>
        <w:t>A</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Cholangiogram demonstrating leak (extravasation of contrast) coming off the anastomosis after right lobe live donor liver transplant</w:t>
      </w:r>
      <w:r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B</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Cholangiogram with plastic stent deployed across the anastomosis to heal the leak</w:t>
      </w:r>
      <w:r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C</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Cholangiogram showing resolution of the leak several months later.</w:t>
      </w:r>
    </w:p>
    <w:p w:rsidR="005E3013" w:rsidRPr="00074190" w:rsidRDefault="005E3013" w:rsidP="00074190">
      <w:pPr>
        <w:spacing w:after="0" w:line="360" w:lineRule="auto"/>
        <w:jc w:val="both"/>
        <w:rPr>
          <w:rFonts w:ascii="Book Antiqua" w:eastAsia="Book Antiqua" w:hAnsi="Book Antiqua" w:cs="Book Antiqua"/>
          <w:sz w:val="24"/>
          <w:szCs w:val="24"/>
        </w:rPr>
      </w:pPr>
    </w:p>
    <w:p w:rsidR="00544A9A" w:rsidRDefault="00544A9A">
      <w:pPr>
        <w:rPr>
          <w:rFonts w:ascii="Book Antiqua" w:hAnsi="Book Antiqua" w:cs="Book Antiqua"/>
          <w:sz w:val="24"/>
          <w:szCs w:val="24"/>
          <w:lang w:eastAsia="zh-CN"/>
        </w:rPr>
      </w:pPr>
      <w:r>
        <w:rPr>
          <w:rFonts w:ascii="Book Antiqua" w:hAnsi="Book Antiqua" w:cs="Book Antiqua"/>
          <w:sz w:val="24"/>
          <w:szCs w:val="24"/>
          <w:lang w:eastAsia="zh-CN"/>
        </w:rPr>
        <w:br w:type="page"/>
      </w:r>
    </w:p>
    <w:p w:rsidR="005E3013" w:rsidRPr="00074190" w:rsidRDefault="005E3013" w:rsidP="00074190">
      <w:pPr>
        <w:spacing w:after="0" w:line="360" w:lineRule="auto"/>
        <w:jc w:val="both"/>
        <w:rPr>
          <w:rFonts w:ascii="Book Antiqua" w:hAnsi="Book Antiqua" w:cs="Book Antiqua"/>
          <w:sz w:val="24"/>
          <w:szCs w:val="24"/>
          <w:lang w:eastAsia="zh-CN"/>
        </w:rPr>
      </w:pPr>
    </w:p>
    <w:p w:rsidR="003B7BED" w:rsidRPr="00074190" w:rsidRDefault="00D17AB8" w:rsidP="00074190">
      <w:pPr>
        <w:spacing w:after="0" w:line="360" w:lineRule="auto"/>
        <w:jc w:val="both"/>
        <w:rPr>
          <w:rFonts w:ascii="Book Antiqua" w:hAnsi="Book Antiqua" w:cs="Book Antiqua"/>
          <w:sz w:val="24"/>
          <w:szCs w:val="24"/>
          <w:lang w:eastAsia="zh-CN"/>
        </w:rPr>
      </w:pPr>
      <w:r>
        <w:rPr>
          <w:rFonts w:ascii="Book Antiqua" w:hAnsi="Book Antiqua"/>
          <w:sz w:val="24"/>
          <w:szCs w:val="24"/>
        </w:rPr>
      </w:r>
      <w:r>
        <w:rPr>
          <w:rFonts w:ascii="Book Antiqua" w:hAnsi="Book Antiqua"/>
          <w:sz w:val="24"/>
          <w:szCs w:val="24"/>
        </w:rPr>
        <w:pict>
          <v:rect id="rectole0000000003" o:spid="_x0000_s1028" style="width:103.5pt;height:152pt;mso-left-percent:-10001;mso-top-percent:-10001;mso-position-horizontal:absolute;mso-position-horizontal-relative:char;mso-position-vertical:absolute;mso-position-vertical-relative:line;mso-left-percent:-10001;mso-top-percent:-10001" o:preferrelative="t" stroked="f">
            <v:imagedata r:id="rId17" o:title=""/>
          </v:rect>
          <o:OLEObject Type="Embed" ProgID="StaticMetafile" ShapeID="rectole0000000003" DrawAspect="Content" ObjectID="_1371649169" r:id="rId18"/>
        </w:pict>
      </w:r>
      <w:r w:rsidR="006A074B" w:rsidRPr="00074190">
        <w:rPr>
          <w:rFonts w:ascii="Book Antiqua" w:eastAsia="Book Antiqua" w:hAnsi="Book Antiqua" w:cs="Book Antiqua"/>
          <w:sz w:val="24"/>
          <w:szCs w:val="24"/>
        </w:rPr>
        <w:tab/>
      </w:r>
      <w:r>
        <w:rPr>
          <w:rFonts w:ascii="Book Antiqua" w:hAnsi="Book Antiqua"/>
          <w:sz w:val="24"/>
          <w:szCs w:val="24"/>
        </w:rPr>
      </w:r>
      <w:r>
        <w:rPr>
          <w:rFonts w:ascii="Book Antiqua" w:hAnsi="Book Antiqua"/>
          <w:sz w:val="24"/>
          <w:szCs w:val="24"/>
        </w:rPr>
        <w:pict>
          <v:rect id="rectole0000000004" o:spid="_x0000_s1029" style="width:116pt;height:152pt;mso-left-percent:-10001;mso-top-percent:-10001;mso-position-horizontal:absolute;mso-position-horizontal-relative:char;mso-position-vertical:absolute;mso-position-vertical-relative:line;mso-left-percent:-10001;mso-top-percent:-10001" o:preferrelative="t" stroked="f">
            <v:imagedata r:id="rId19" o:title=""/>
          </v:rect>
          <o:OLEObject Type="Embed" ProgID="StaticMetafile" ShapeID="rectole0000000004" DrawAspect="Content" ObjectID="_1371649170" r:id="rId20"/>
        </w:pict>
      </w:r>
      <w:r w:rsidR="003B7BED" w:rsidRPr="00074190">
        <w:rPr>
          <w:rFonts w:ascii="Book Antiqua" w:hAnsi="Book Antiqua"/>
          <w:sz w:val="24"/>
          <w:szCs w:val="24"/>
          <w:lang w:eastAsia="zh-CN"/>
        </w:rPr>
        <w:t xml:space="preserve"> </w:t>
      </w:r>
      <w:r>
        <w:rPr>
          <w:rFonts w:ascii="Book Antiqua" w:hAnsi="Book Antiqua"/>
          <w:sz w:val="24"/>
          <w:szCs w:val="24"/>
        </w:rPr>
      </w:r>
      <w:r>
        <w:rPr>
          <w:rFonts w:ascii="Book Antiqua" w:hAnsi="Book Antiqua"/>
          <w:sz w:val="24"/>
          <w:szCs w:val="24"/>
        </w:rPr>
        <w:pict>
          <v:rect id="rectole0000000005" o:spid="_x0000_s1030" style="width:106pt;height:152pt;mso-left-percent:-10001;mso-top-percent:-10001;mso-position-horizontal:absolute;mso-position-horizontal-relative:char;mso-position-vertical:absolute;mso-position-vertical-relative:line;mso-left-percent:-10001;mso-top-percent:-10001" o:preferrelative="t" stroked="f">
            <v:imagedata r:id="rId21" o:title=""/>
          </v:rect>
          <o:OLEObject Type="Embed" ProgID="StaticMetafile" ShapeID="rectole0000000005" DrawAspect="Content" ObjectID="_1371649171" r:id="rId22"/>
        </w:pict>
      </w:r>
    </w:p>
    <w:p w:rsidR="00544A9A" w:rsidRPr="00074190" w:rsidRDefault="00544A9A" w:rsidP="00544A9A">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b/>
          <w:sz w:val="24"/>
          <w:szCs w:val="24"/>
        </w:rPr>
        <w:t>Figure 3 Endoscopic retrograde cholangiograms from a patient with an anastomotic stricture after live donor liver transplantation</w:t>
      </w:r>
      <w:r w:rsidRPr="00074190">
        <w:rPr>
          <w:rFonts w:ascii="Book Antiqua" w:hAnsi="Book Antiqua" w:cs="Book Antiqua"/>
          <w:b/>
          <w:sz w:val="24"/>
          <w:szCs w:val="24"/>
          <w:lang w:eastAsia="zh-CN"/>
        </w:rPr>
        <w:t>.</w:t>
      </w:r>
      <w:r w:rsidRPr="00074190">
        <w:rPr>
          <w:rFonts w:ascii="Book Antiqua" w:eastAsia="Book Antiqua" w:hAnsi="Book Antiqua" w:cs="Book Antiqua"/>
          <w:b/>
          <w:sz w:val="24"/>
          <w:szCs w:val="24"/>
        </w:rPr>
        <w:t xml:space="preserve"> </w:t>
      </w:r>
      <w:r w:rsidRPr="00074190">
        <w:rPr>
          <w:rFonts w:ascii="Book Antiqua" w:eastAsia="Book Antiqua" w:hAnsi="Book Antiqua" w:cs="Book Antiqua"/>
          <w:sz w:val="24"/>
          <w:szCs w:val="24"/>
        </w:rPr>
        <w:t>A</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Cholangiogram demonstrating complex anastomotic stricture after right lobe live donor liver transplant</w:t>
      </w:r>
      <w:r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B</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Cholangiogram with plastic stent deployed across the stricture</w:t>
      </w:r>
      <w:r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C</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Cholangiogram showing marked improvement in stricture after multiple dilation and stenting.</w:t>
      </w:r>
    </w:p>
    <w:p w:rsidR="00544A9A" w:rsidRDefault="00544A9A">
      <w:pPr>
        <w:rPr>
          <w:rFonts w:ascii="Book Antiqua" w:hAnsi="Book Antiqua" w:cs="Book Antiqua"/>
          <w:sz w:val="24"/>
          <w:szCs w:val="24"/>
          <w:lang w:eastAsia="zh-CN"/>
        </w:rPr>
      </w:pPr>
      <w:r>
        <w:rPr>
          <w:rFonts w:ascii="Book Antiqua" w:hAnsi="Book Antiqua" w:cs="Book Antiqua"/>
          <w:sz w:val="24"/>
          <w:szCs w:val="24"/>
          <w:lang w:eastAsia="zh-CN"/>
        </w:rPr>
        <w:br w:type="page"/>
      </w:r>
    </w:p>
    <w:p w:rsidR="005E3013" w:rsidRPr="00074190" w:rsidRDefault="005E3013" w:rsidP="00074190">
      <w:pPr>
        <w:spacing w:after="0" w:line="360" w:lineRule="auto"/>
        <w:jc w:val="both"/>
        <w:rPr>
          <w:rFonts w:ascii="Book Antiqua" w:hAnsi="Book Antiqua" w:cs="Book Antiqua"/>
          <w:sz w:val="24"/>
          <w:szCs w:val="24"/>
          <w:lang w:eastAsia="zh-CN"/>
        </w:rPr>
      </w:pPr>
    </w:p>
    <w:p w:rsidR="003B7BED" w:rsidRPr="00074190" w:rsidRDefault="00D17AB8" w:rsidP="00074190">
      <w:pPr>
        <w:spacing w:after="0" w:line="360" w:lineRule="auto"/>
        <w:jc w:val="both"/>
        <w:rPr>
          <w:rFonts w:ascii="Book Antiqua" w:hAnsi="Book Antiqua" w:cs="Book Antiqua"/>
          <w:sz w:val="24"/>
          <w:szCs w:val="24"/>
          <w:lang w:eastAsia="zh-CN"/>
        </w:rPr>
      </w:pPr>
      <w:r>
        <w:rPr>
          <w:rFonts w:ascii="Book Antiqua" w:hAnsi="Book Antiqua"/>
          <w:sz w:val="24"/>
          <w:szCs w:val="24"/>
        </w:rPr>
      </w:r>
      <w:r>
        <w:rPr>
          <w:rFonts w:ascii="Book Antiqua" w:hAnsi="Book Antiqua"/>
          <w:sz w:val="24"/>
          <w:szCs w:val="24"/>
        </w:rPr>
        <w:pict>
          <v:rect id="rectole0000000006" o:spid="_x0000_s1031" style="width:80.5pt;height:141pt;mso-left-percent:-10001;mso-top-percent:-10001;mso-position-horizontal:absolute;mso-position-horizontal-relative:char;mso-position-vertical:absolute;mso-position-vertical-relative:line;mso-left-percent:-10001;mso-top-percent:-10001" o:preferrelative="t" stroked="f">
            <v:imagedata r:id="rId23" o:title=""/>
          </v:rect>
          <o:OLEObject Type="Embed" ProgID="StaticMetafile" ShapeID="rectole0000000006" DrawAspect="Content" ObjectID="_1371649172" r:id="rId24"/>
        </w:pict>
      </w:r>
      <w:r w:rsidR="006A074B" w:rsidRPr="00074190">
        <w:rPr>
          <w:rFonts w:ascii="Book Antiqua" w:eastAsia="Book Antiqua" w:hAnsi="Book Antiqua" w:cs="Book Antiqua"/>
          <w:sz w:val="24"/>
          <w:szCs w:val="24"/>
        </w:rPr>
        <w:t xml:space="preserve"> </w:t>
      </w:r>
      <w:r w:rsidR="003B7BED" w:rsidRPr="00074190">
        <w:rPr>
          <w:rFonts w:ascii="Book Antiqua" w:hAnsi="Book Antiqua" w:cs="Book Antiqua"/>
          <w:sz w:val="24"/>
          <w:szCs w:val="24"/>
          <w:lang w:eastAsia="zh-CN"/>
        </w:rPr>
        <w:t xml:space="preserve"> </w:t>
      </w:r>
      <w:r>
        <w:rPr>
          <w:rFonts w:ascii="Book Antiqua" w:hAnsi="Book Antiqua"/>
          <w:sz w:val="24"/>
          <w:szCs w:val="24"/>
        </w:rPr>
      </w:r>
      <w:r>
        <w:rPr>
          <w:rFonts w:ascii="Book Antiqua" w:hAnsi="Book Antiqua"/>
          <w:sz w:val="24"/>
          <w:szCs w:val="24"/>
        </w:rPr>
        <w:pict>
          <v:rect id="rectole0000000007" o:spid="_x0000_s1032" style="width:88.5pt;height:142.5pt;mso-left-percent:-10001;mso-top-percent:-10001;mso-position-horizontal:absolute;mso-position-horizontal-relative:char;mso-position-vertical:absolute;mso-position-vertical-relative:line;mso-left-percent:-10001;mso-top-percent:-10001" o:preferrelative="t" stroked="f">
            <v:imagedata r:id="rId25" o:title=""/>
          </v:rect>
          <o:OLEObject Type="Embed" ProgID="StaticMetafile" ShapeID="rectole0000000007" DrawAspect="Content" ObjectID="_1371649173" r:id="rId26"/>
        </w:pict>
      </w:r>
      <w:r w:rsidR="003B7BED" w:rsidRPr="00074190">
        <w:rPr>
          <w:rFonts w:ascii="Book Antiqua" w:hAnsi="Book Antiqua"/>
          <w:sz w:val="24"/>
          <w:szCs w:val="24"/>
          <w:lang w:eastAsia="zh-CN"/>
        </w:rPr>
        <w:t xml:space="preserve"> </w:t>
      </w:r>
      <w:r>
        <w:rPr>
          <w:rFonts w:ascii="Book Antiqua" w:hAnsi="Book Antiqua"/>
          <w:sz w:val="24"/>
          <w:szCs w:val="24"/>
        </w:rPr>
      </w:r>
      <w:r>
        <w:rPr>
          <w:rFonts w:ascii="Book Antiqua" w:hAnsi="Book Antiqua"/>
          <w:sz w:val="24"/>
          <w:szCs w:val="24"/>
        </w:rPr>
        <w:pict>
          <v:rect id="rectole0000000008" o:spid="_x0000_s1033" style="width:98.5pt;height:140.5pt;mso-left-percent:-10001;mso-top-percent:-10001;mso-position-horizontal:absolute;mso-position-horizontal-relative:char;mso-position-vertical:absolute;mso-position-vertical-relative:line;mso-left-percent:-10001;mso-top-percent:-10001" o:preferrelative="t" stroked="f">
            <v:imagedata r:id="rId27" o:title=""/>
          </v:rect>
          <o:OLEObject Type="Embed" ProgID="StaticMetafile" ShapeID="rectole0000000008" DrawAspect="Content" ObjectID="_1371649174" r:id="rId28"/>
        </w:pict>
      </w:r>
      <w:r w:rsidR="003B7BED" w:rsidRPr="00074190">
        <w:rPr>
          <w:rFonts w:ascii="Book Antiqua" w:hAnsi="Book Antiqua"/>
          <w:sz w:val="24"/>
          <w:szCs w:val="24"/>
          <w:lang w:eastAsia="zh-CN"/>
        </w:rPr>
        <w:t xml:space="preserve"> </w:t>
      </w:r>
      <w:r>
        <w:rPr>
          <w:rFonts w:ascii="Book Antiqua" w:hAnsi="Book Antiqua"/>
          <w:sz w:val="24"/>
          <w:szCs w:val="24"/>
        </w:rPr>
      </w:r>
      <w:r>
        <w:rPr>
          <w:rFonts w:ascii="Book Antiqua" w:hAnsi="Book Antiqua"/>
          <w:sz w:val="24"/>
          <w:szCs w:val="24"/>
        </w:rPr>
        <w:pict>
          <v:rect id="rectole0000000009" o:spid="_x0000_s1034" style="width:103.5pt;height:141pt;mso-left-percent:-10001;mso-top-percent:-10001;mso-position-horizontal:absolute;mso-position-horizontal-relative:char;mso-position-vertical:absolute;mso-position-vertical-relative:line;mso-left-percent:-10001;mso-top-percent:-10001" o:preferrelative="t" stroked="f">
            <v:imagedata r:id="rId29" o:title=""/>
          </v:rect>
          <o:OLEObject Type="Embed" ProgID="StaticMetafile" ShapeID="rectole0000000009" DrawAspect="Content" ObjectID="_1371649175" r:id="rId30"/>
        </w:pict>
      </w:r>
    </w:p>
    <w:p w:rsidR="00544A9A" w:rsidRPr="00074190" w:rsidRDefault="00544A9A" w:rsidP="00544A9A">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b/>
          <w:sz w:val="24"/>
          <w:szCs w:val="24"/>
        </w:rPr>
        <w:t>Figure 4</w:t>
      </w:r>
      <w:r w:rsidRPr="00074190">
        <w:rPr>
          <w:rFonts w:ascii="Book Antiqua" w:hAnsi="Book Antiqua" w:cs="Book Antiqua"/>
          <w:b/>
          <w:sz w:val="24"/>
          <w:szCs w:val="24"/>
          <w:lang w:eastAsia="zh-CN"/>
        </w:rPr>
        <w:t xml:space="preserve"> </w:t>
      </w:r>
      <w:r w:rsidRPr="00074190">
        <w:rPr>
          <w:rFonts w:ascii="Book Antiqua" w:eastAsia="Book Antiqua" w:hAnsi="Book Antiqua" w:cs="Book Antiqua"/>
          <w:b/>
          <w:sz w:val="24"/>
          <w:szCs w:val="24"/>
        </w:rPr>
        <w:t>Endoscopic retrograde cholangiograms from a patient with a non-anastomotic stricture after live donor liver transplantation complicated by biliary cast formation (endoscopic image)</w:t>
      </w:r>
      <w:r w:rsidRPr="00074190">
        <w:rPr>
          <w:rFonts w:ascii="Book Antiqua" w:hAnsi="Book Antiqua" w:cs="Book Antiqua"/>
          <w:b/>
          <w:sz w:val="24"/>
          <w:szCs w:val="24"/>
          <w:lang w:eastAsia="zh-CN"/>
        </w:rPr>
        <w:t>.</w:t>
      </w:r>
      <w:r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A</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Cholangiogram demonstrating non-anastomotic stricture after right lobe live donor liver transplant with irregular filling defects (casts) in a dilated segment (running at 8 o’clock in the image)</w:t>
      </w:r>
      <w:r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B</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Cholangiogram demonstrating clearance of the filling defects</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Cholangiogram demonstrating two plastic stents deployed into the right anterior and right posterior systems after the casts were removed. Note how well the biliary tree has drained</w:t>
      </w:r>
      <w:r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D</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Endoscopic image of the cast material being removed through the ampulla. </w:t>
      </w:r>
    </w:p>
    <w:p w:rsidR="00544A9A" w:rsidRDefault="00544A9A">
      <w:pPr>
        <w:rPr>
          <w:rFonts w:ascii="Book Antiqua" w:eastAsia="Book Antiqua" w:hAnsi="Book Antiqua" w:cs="Book Antiqua"/>
          <w:sz w:val="24"/>
          <w:szCs w:val="24"/>
        </w:rPr>
      </w:pPr>
      <w:r>
        <w:rPr>
          <w:rFonts w:ascii="Book Antiqua" w:eastAsia="Book Antiqua" w:hAnsi="Book Antiqua" w:cs="Book Antiqua"/>
          <w:sz w:val="24"/>
          <w:szCs w:val="24"/>
        </w:rPr>
        <w:br w:type="page"/>
      </w:r>
    </w:p>
    <w:p w:rsidR="005E3013" w:rsidRPr="00544A9A" w:rsidRDefault="005E3013" w:rsidP="00074190">
      <w:pPr>
        <w:spacing w:after="0" w:line="360" w:lineRule="auto"/>
        <w:jc w:val="both"/>
        <w:rPr>
          <w:rFonts w:ascii="Book Antiqua" w:hAnsi="Book Antiqua" w:cs="Book Antiqua"/>
          <w:sz w:val="24"/>
          <w:szCs w:val="24"/>
          <w:lang w:eastAsia="zh-CN"/>
        </w:rPr>
      </w:pPr>
    </w:p>
    <w:p w:rsidR="005E3013" w:rsidRPr="00074190" w:rsidRDefault="00D17AB8" w:rsidP="00074190">
      <w:pPr>
        <w:spacing w:after="0" w:line="360" w:lineRule="auto"/>
        <w:jc w:val="both"/>
        <w:rPr>
          <w:rFonts w:ascii="Book Antiqua" w:eastAsia="Book Antiqua" w:hAnsi="Book Antiqua" w:cs="Book Antiqua"/>
          <w:sz w:val="24"/>
          <w:szCs w:val="24"/>
        </w:rPr>
      </w:pPr>
      <w:r>
        <w:rPr>
          <w:rFonts w:ascii="Book Antiqua" w:hAnsi="Book Antiqua"/>
          <w:sz w:val="24"/>
          <w:szCs w:val="24"/>
        </w:rPr>
      </w:r>
      <w:r>
        <w:rPr>
          <w:rFonts w:ascii="Book Antiqua" w:hAnsi="Book Antiqua"/>
          <w:sz w:val="24"/>
          <w:szCs w:val="24"/>
        </w:rPr>
        <w:pict>
          <v:rect id="rectole0000000010" o:spid="_x0000_s1035" style="width:215pt;height:220.5pt;mso-left-percent:-10001;mso-top-percent:-10001;mso-position-horizontal:absolute;mso-position-horizontal-relative:char;mso-position-vertical:absolute;mso-position-vertical-relative:line;mso-left-percent:-10001;mso-top-percent:-10001" o:preferrelative="t" stroked="f">
            <v:imagedata r:id="rId31" o:title=""/>
          </v:rect>
          <o:OLEObject Type="Embed" ProgID="StaticMetafile" ShapeID="rectole0000000010" DrawAspect="Content" ObjectID="_1371649176" r:id="rId32"/>
        </w:pict>
      </w:r>
    </w:p>
    <w:p w:rsidR="00544A9A" w:rsidRPr="00074190" w:rsidRDefault="00544A9A" w:rsidP="00544A9A">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b/>
          <w:sz w:val="24"/>
          <w:szCs w:val="24"/>
        </w:rPr>
        <w:t xml:space="preserve">Figure 5 Endoscopic retrograde cholangiogram from a patient with a leak from the remnant right common hepatic duct a few days after right lobe live donor liver transplantation. </w:t>
      </w:r>
      <w:r w:rsidRPr="00074190">
        <w:rPr>
          <w:rFonts w:ascii="Book Antiqua" w:eastAsia="Book Antiqua" w:hAnsi="Book Antiqua" w:cs="Book Antiqua"/>
          <w:sz w:val="24"/>
          <w:szCs w:val="24"/>
        </w:rPr>
        <w:t>The drain to the left can be seen filling when contrast is injected into the right common hepatic duct. This was managed successfully by a transpapillary stent.</w:t>
      </w:r>
    </w:p>
    <w:p w:rsidR="00544A9A" w:rsidRDefault="00544A9A">
      <w:pPr>
        <w:rPr>
          <w:rFonts w:ascii="Book Antiqua" w:eastAsia="Book Antiqua" w:hAnsi="Book Antiqua" w:cs="Book Antiqua"/>
          <w:sz w:val="24"/>
          <w:szCs w:val="24"/>
        </w:rPr>
      </w:pPr>
      <w:r>
        <w:rPr>
          <w:rFonts w:ascii="Book Antiqua" w:eastAsia="Book Antiqua" w:hAnsi="Book Antiqua" w:cs="Book Antiqua"/>
          <w:sz w:val="24"/>
          <w:szCs w:val="24"/>
        </w:rPr>
        <w:br w:type="page"/>
      </w:r>
    </w:p>
    <w:p w:rsidR="005E3013" w:rsidRPr="00544A9A" w:rsidRDefault="005E3013" w:rsidP="00074190">
      <w:pPr>
        <w:spacing w:after="0" w:line="360" w:lineRule="auto"/>
        <w:jc w:val="both"/>
        <w:rPr>
          <w:rFonts w:ascii="Book Antiqua" w:hAnsi="Book Antiqua" w:cs="Book Antiqua"/>
          <w:sz w:val="24"/>
          <w:szCs w:val="24"/>
          <w:lang w:eastAsia="zh-CN"/>
        </w:rPr>
      </w:pPr>
    </w:p>
    <w:p w:rsidR="003B7BED" w:rsidRDefault="00D17AB8" w:rsidP="00074190">
      <w:pPr>
        <w:spacing w:after="0" w:line="360" w:lineRule="auto"/>
        <w:jc w:val="both"/>
        <w:rPr>
          <w:rFonts w:ascii="Book Antiqua" w:hAnsi="Book Antiqua"/>
          <w:sz w:val="24"/>
          <w:szCs w:val="24"/>
          <w:lang w:eastAsia="zh-CN"/>
        </w:rPr>
      </w:pPr>
      <w:r>
        <w:rPr>
          <w:rFonts w:ascii="Book Antiqua" w:hAnsi="Book Antiqua"/>
          <w:sz w:val="24"/>
          <w:szCs w:val="24"/>
        </w:rPr>
      </w:r>
      <w:r>
        <w:rPr>
          <w:rFonts w:ascii="Book Antiqua" w:hAnsi="Book Antiqua"/>
          <w:sz w:val="24"/>
          <w:szCs w:val="24"/>
        </w:rPr>
        <w:pict>
          <v:rect id="rectole0000000011" o:spid="_x0000_s1036" style="width:105pt;height:152pt;mso-left-percent:-10001;mso-top-percent:-10001;mso-position-horizontal:absolute;mso-position-horizontal-relative:char;mso-position-vertical:absolute;mso-position-vertical-relative:line;mso-left-percent:-10001;mso-top-percent:-10001" o:preferrelative="t" stroked="f">
            <v:imagedata r:id="rId33" o:title=""/>
          </v:rect>
          <o:OLEObject Type="Embed" ProgID="StaticMetafile" ShapeID="rectole0000000011" DrawAspect="Content" ObjectID="_1371649177" r:id="rId34"/>
        </w:pict>
      </w:r>
      <w:r w:rsidR="006A074B" w:rsidRPr="00074190">
        <w:rPr>
          <w:rFonts w:ascii="Book Antiqua" w:eastAsia="Book Antiqua" w:hAnsi="Book Antiqua" w:cs="Book Antiqua"/>
          <w:sz w:val="24"/>
          <w:szCs w:val="24"/>
        </w:rPr>
        <w:tab/>
      </w:r>
      <w:r>
        <w:rPr>
          <w:rFonts w:ascii="Book Antiqua" w:hAnsi="Book Antiqua"/>
          <w:sz w:val="24"/>
          <w:szCs w:val="24"/>
        </w:rPr>
      </w:r>
      <w:r>
        <w:rPr>
          <w:rFonts w:ascii="Book Antiqua" w:hAnsi="Book Antiqua"/>
          <w:sz w:val="24"/>
          <w:szCs w:val="24"/>
        </w:rPr>
        <w:pict>
          <v:rect id="rectole0000000012" o:spid="_x0000_s1037" style="width:101pt;height:152pt;mso-left-percent:-10001;mso-top-percent:-10001;mso-position-horizontal:absolute;mso-position-horizontal-relative:char;mso-position-vertical:absolute;mso-position-vertical-relative:line;mso-left-percent:-10001;mso-top-percent:-10001" o:preferrelative="t" stroked="f">
            <v:imagedata r:id="rId35" o:title=""/>
          </v:rect>
          <o:OLEObject Type="Embed" ProgID="StaticMetafile" ShapeID="rectole0000000012" DrawAspect="Content" ObjectID="_1371649178" r:id="rId36"/>
        </w:pict>
      </w:r>
    </w:p>
    <w:p w:rsidR="00544A9A" w:rsidRPr="00074190" w:rsidRDefault="00544A9A" w:rsidP="00544A9A">
      <w:pPr>
        <w:spacing w:after="0" w:line="360" w:lineRule="auto"/>
        <w:jc w:val="both"/>
        <w:rPr>
          <w:rFonts w:ascii="Book Antiqua" w:hAnsi="Book Antiqua" w:cs="Book Antiqua"/>
          <w:sz w:val="24"/>
          <w:szCs w:val="24"/>
          <w:lang w:eastAsia="zh-CN"/>
        </w:rPr>
      </w:pPr>
      <w:r w:rsidRPr="00074190">
        <w:rPr>
          <w:rFonts w:ascii="Book Antiqua" w:eastAsia="Book Antiqua" w:hAnsi="Book Antiqua" w:cs="Book Antiqua"/>
          <w:b/>
          <w:sz w:val="24"/>
          <w:szCs w:val="24"/>
        </w:rPr>
        <w:t>Figure 6 Stricture in donor after right lobe live donor liver transplantation.</w:t>
      </w:r>
      <w:r w:rsidRPr="00074190">
        <w:rPr>
          <w:rFonts w:ascii="Book Antiqua" w:eastAsia="Book Antiqua" w:hAnsi="Book Antiqua" w:cs="Book Antiqua"/>
          <w:sz w:val="24"/>
          <w:szCs w:val="24"/>
        </w:rPr>
        <w:t xml:space="preserve"> A</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Endoscopic retrograde cholangiogram showing minimal filling of the left system a few weeks after right lobe live donor liver transplantation</w:t>
      </w:r>
      <w:r w:rsidRPr="00074190">
        <w:rPr>
          <w:rFonts w:ascii="Book Antiqua" w:hAnsi="Book Antiqua" w:cs="Book Antiqua"/>
          <w:sz w:val="24"/>
          <w:szCs w:val="24"/>
          <w:lang w:eastAsia="zh-CN"/>
        </w:rPr>
        <w:t xml:space="preserve">; </w:t>
      </w:r>
      <w:r w:rsidRPr="00074190">
        <w:rPr>
          <w:rFonts w:ascii="Book Antiqua" w:eastAsia="Book Antiqua" w:hAnsi="Book Antiqua" w:cs="Book Antiqua"/>
          <w:sz w:val="24"/>
          <w:szCs w:val="24"/>
        </w:rPr>
        <w:t>B</w:t>
      </w:r>
      <w:r w:rsidRPr="00074190">
        <w:rPr>
          <w:rFonts w:ascii="Book Antiqua" w:hAnsi="Book Antiqua" w:cs="Book Antiqua"/>
          <w:sz w:val="24"/>
          <w:szCs w:val="24"/>
          <w:lang w:eastAsia="zh-CN"/>
        </w:rPr>
        <w:t>:</w:t>
      </w:r>
      <w:r w:rsidRPr="00074190">
        <w:rPr>
          <w:rFonts w:ascii="Book Antiqua" w:eastAsia="Book Antiqua" w:hAnsi="Book Antiqua" w:cs="Book Antiqua"/>
          <w:sz w:val="24"/>
          <w:szCs w:val="24"/>
        </w:rPr>
        <w:t xml:space="preserve"> Percutaneous transhepatic cholangiogram from the same patient in Figure 4A demonstrating a tight stricture at the take off the left common hepatic duct. </w:t>
      </w:r>
    </w:p>
    <w:p w:rsidR="00544A9A" w:rsidRPr="00544A9A" w:rsidRDefault="00544A9A" w:rsidP="00074190">
      <w:pPr>
        <w:spacing w:after="0" w:line="360" w:lineRule="auto"/>
        <w:jc w:val="both"/>
        <w:rPr>
          <w:rFonts w:ascii="Book Antiqua" w:hAnsi="Book Antiqua" w:cs="Book Antiqua"/>
          <w:sz w:val="24"/>
          <w:szCs w:val="24"/>
          <w:lang w:eastAsia="zh-CN"/>
        </w:rPr>
      </w:pPr>
    </w:p>
    <w:p w:rsidR="00644BD6" w:rsidRPr="00074190" w:rsidRDefault="00644BD6" w:rsidP="00074190">
      <w:pPr>
        <w:spacing w:after="0" w:line="360" w:lineRule="auto"/>
        <w:jc w:val="both"/>
        <w:rPr>
          <w:rFonts w:ascii="Book Antiqua" w:hAnsi="Book Antiqua" w:cs="Book Antiqua"/>
          <w:sz w:val="24"/>
          <w:szCs w:val="24"/>
          <w:lang w:eastAsia="zh-CN"/>
        </w:rPr>
      </w:pPr>
      <w:r w:rsidRPr="00074190">
        <w:rPr>
          <w:rFonts w:ascii="Book Antiqua" w:hAnsi="Book Antiqua" w:cs="Book Antiqua"/>
          <w:sz w:val="24"/>
          <w:szCs w:val="24"/>
          <w:lang w:eastAsia="zh-CN"/>
        </w:rPr>
        <w:br w:type="page"/>
      </w:r>
    </w:p>
    <w:p w:rsidR="00644BD6" w:rsidRPr="00074190" w:rsidRDefault="00644BD6" w:rsidP="00074190">
      <w:pPr>
        <w:spacing w:after="0" w:line="360" w:lineRule="auto"/>
        <w:jc w:val="both"/>
        <w:rPr>
          <w:rFonts w:ascii="Book Antiqua" w:hAnsi="Book Antiqua" w:cs="Book Antiqua"/>
          <w:color w:val="241F20"/>
          <w:sz w:val="24"/>
          <w:szCs w:val="24"/>
          <w:lang w:eastAsia="zh-CN"/>
        </w:rPr>
      </w:pPr>
      <w:r w:rsidRPr="00074190">
        <w:rPr>
          <w:rFonts w:ascii="Book Antiqua" w:eastAsia="Book Antiqua" w:hAnsi="Book Antiqua" w:cs="Book Antiqua"/>
          <w:color w:val="241F20"/>
          <w:sz w:val="24"/>
          <w:szCs w:val="24"/>
        </w:rPr>
        <w:t>Table 1 Clavien system for classification of complications in general surgery and solid organ transplantation</w:t>
      </w:r>
    </w:p>
    <w:tbl>
      <w:tblPr>
        <w:tblStyle w:val="TableGrid"/>
        <w:tblW w:w="0" w:type="auto"/>
        <w:tblLook w:val="04A0" w:firstRow="1" w:lastRow="0" w:firstColumn="1" w:lastColumn="0" w:noHBand="0" w:noVBand="1"/>
      </w:tblPr>
      <w:tblGrid>
        <w:gridCol w:w="1728"/>
        <w:gridCol w:w="7848"/>
      </w:tblGrid>
      <w:tr w:rsidR="00644BD6" w:rsidRPr="00074190" w:rsidTr="008E6B5B">
        <w:tc>
          <w:tcPr>
            <w:tcW w:w="1728" w:type="dxa"/>
          </w:tcPr>
          <w:p w:rsidR="00644BD6" w:rsidRPr="00074190" w:rsidRDefault="00644BD6" w:rsidP="00074190">
            <w:pPr>
              <w:spacing w:line="360" w:lineRule="auto"/>
              <w:jc w:val="both"/>
              <w:rPr>
                <w:rFonts w:ascii="Book Antiqua" w:eastAsia="Book Antiqua" w:hAnsi="Book Antiqua" w:cs="Book Antiqua"/>
                <w:color w:val="241F20"/>
                <w:sz w:val="24"/>
                <w:szCs w:val="24"/>
              </w:rPr>
            </w:pPr>
            <w:r w:rsidRPr="00074190">
              <w:rPr>
                <w:rFonts w:ascii="Book Antiqua" w:eastAsia="Book Antiqua" w:hAnsi="Book Antiqua" w:cs="Book Antiqua"/>
                <w:color w:val="241F20"/>
                <w:sz w:val="24"/>
                <w:szCs w:val="24"/>
              </w:rPr>
              <w:t>Grade 1</w:t>
            </w:r>
          </w:p>
        </w:tc>
        <w:tc>
          <w:tcPr>
            <w:tcW w:w="7848" w:type="dxa"/>
          </w:tcPr>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Any alteration from the ideal postoperative course,</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with complete recovery or which can be easily</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lang w:eastAsia="zh-CN"/>
              </w:rPr>
            </w:pPr>
            <w:r w:rsidRPr="00074190">
              <w:rPr>
                <w:rFonts w:ascii="Book Antiqua" w:hAnsi="Book Antiqua" w:cs="Times New Roman"/>
                <w:iCs/>
                <w:sz w:val="24"/>
                <w:szCs w:val="24"/>
              </w:rPr>
              <w:t>controlled and which fulfills the following general characteristics</w:t>
            </w:r>
            <w:r w:rsidR="00A000CE" w:rsidRPr="00074190">
              <w:rPr>
                <w:rFonts w:ascii="Book Antiqua" w:hAnsi="Book Antiqua" w:cs="Times New Roman"/>
                <w:iCs/>
                <w:sz w:val="24"/>
                <w:szCs w:val="24"/>
                <w:lang w:eastAsia="zh-CN"/>
              </w:rPr>
              <w:t>:</w:t>
            </w:r>
          </w:p>
          <w:p w:rsidR="00644BD6" w:rsidRPr="00074190" w:rsidRDefault="00644BD6" w:rsidP="00074190">
            <w:pPr>
              <w:spacing w:line="360" w:lineRule="auto"/>
              <w:jc w:val="both"/>
              <w:rPr>
                <w:rFonts w:ascii="Book Antiqua" w:eastAsia="Book Antiqua" w:hAnsi="Book Antiqua" w:cs="Times New Roman"/>
                <w:color w:val="241F20"/>
                <w:sz w:val="24"/>
                <w:szCs w:val="24"/>
              </w:rPr>
            </w:pPr>
            <w:r w:rsidRPr="00074190">
              <w:rPr>
                <w:rFonts w:ascii="Book Antiqua" w:hAnsi="Book Antiqua" w:cs="Times New Roman"/>
                <w:i/>
                <w:iCs/>
                <w:sz w:val="24"/>
                <w:szCs w:val="24"/>
              </w:rPr>
              <w:t>(</w:t>
            </w:r>
            <w:r w:rsidR="00A000CE" w:rsidRPr="00074190">
              <w:rPr>
                <w:rFonts w:ascii="Book Antiqua" w:hAnsi="Book Antiqua" w:cs="Times New Roman"/>
                <w:iCs/>
                <w:sz w:val="24"/>
                <w:szCs w:val="24"/>
                <w:lang w:eastAsia="zh-CN"/>
              </w:rPr>
              <w:t>1</w:t>
            </w:r>
            <w:r w:rsidRPr="00074190">
              <w:rPr>
                <w:rFonts w:ascii="Book Antiqua" w:hAnsi="Book Antiqua" w:cs="Times New Roman"/>
                <w:iCs/>
                <w:sz w:val="24"/>
                <w:szCs w:val="24"/>
              </w:rPr>
              <w:t>) Not life threatening</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w:t>
            </w:r>
            <w:r w:rsidR="00A000CE" w:rsidRPr="00074190">
              <w:rPr>
                <w:rFonts w:ascii="Book Antiqua" w:hAnsi="Book Antiqua" w:cs="Times New Roman"/>
                <w:iCs/>
                <w:sz w:val="24"/>
                <w:szCs w:val="24"/>
                <w:lang w:eastAsia="zh-CN"/>
              </w:rPr>
              <w:t>2</w:t>
            </w:r>
            <w:r w:rsidRPr="00074190">
              <w:rPr>
                <w:rFonts w:ascii="Book Antiqua" w:hAnsi="Book Antiqua" w:cs="Times New Roman"/>
                <w:iCs/>
                <w:sz w:val="24"/>
                <w:szCs w:val="24"/>
              </w:rPr>
              <w:t>) Not requiring use of drugs other than immunosuppressants, analgesics, antipyretics,</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anti-inflammatory agents, antiemetic, drugs</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required for urinary retention or lower urinary tract</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infection, arterial hypertension, hyperlipidemia or</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transient hyperglycemia</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w:t>
            </w:r>
            <w:r w:rsidR="00A000CE" w:rsidRPr="00074190">
              <w:rPr>
                <w:rFonts w:ascii="Book Antiqua" w:hAnsi="Book Antiqua" w:cs="Times New Roman"/>
                <w:iCs/>
                <w:sz w:val="24"/>
                <w:szCs w:val="24"/>
                <w:lang w:eastAsia="zh-CN"/>
              </w:rPr>
              <w:t>3</w:t>
            </w:r>
            <w:r w:rsidRPr="00074190">
              <w:rPr>
                <w:rFonts w:ascii="Book Antiqua" w:hAnsi="Book Antiqua" w:cs="Times New Roman"/>
                <w:iCs/>
                <w:sz w:val="24"/>
                <w:szCs w:val="24"/>
              </w:rPr>
              <w:t>) Requiring only therapeutic procedures that can be</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performed at the bedside</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w:t>
            </w:r>
            <w:r w:rsidR="00A000CE" w:rsidRPr="00074190">
              <w:rPr>
                <w:rFonts w:ascii="Book Antiqua" w:hAnsi="Book Antiqua" w:cs="Times New Roman"/>
                <w:iCs/>
                <w:sz w:val="24"/>
                <w:szCs w:val="24"/>
                <w:lang w:eastAsia="zh-CN"/>
              </w:rPr>
              <w:t>4</w:t>
            </w:r>
            <w:r w:rsidRPr="00074190">
              <w:rPr>
                <w:rFonts w:ascii="Book Antiqua" w:hAnsi="Book Antiqua" w:cs="Times New Roman"/>
                <w:iCs/>
                <w:sz w:val="24"/>
                <w:szCs w:val="24"/>
              </w:rPr>
              <w:t xml:space="preserve">) Postoperative bleeding requiring </w:t>
            </w:r>
            <w:r w:rsidRPr="00074190">
              <w:rPr>
                <w:rFonts w:ascii="Book Antiqua" w:eastAsia="MTSY" w:hAnsi="Book Antiqua" w:cs="Times New Roman"/>
                <w:sz w:val="24"/>
                <w:szCs w:val="24"/>
              </w:rPr>
              <w:t>≤</w:t>
            </w:r>
            <w:r w:rsidR="00A000CE" w:rsidRPr="00074190">
              <w:rPr>
                <w:rFonts w:ascii="Book Antiqua" w:hAnsi="Book Antiqua" w:cs="Times New Roman"/>
                <w:sz w:val="24"/>
                <w:szCs w:val="24"/>
                <w:lang w:eastAsia="zh-CN"/>
              </w:rPr>
              <w:t xml:space="preserve"> </w:t>
            </w:r>
            <w:r w:rsidRPr="00074190">
              <w:rPr>
                <w:rFonts w:ascii="Book Antiqua" w:hAnsi="Book Antiqua" w:cs="Times New Roman"/>
                <w:iCs/>
                <w:sz w:val="24"/>
                <w:szCs w:val="24"/>
              </w:rPr>
              <w:t>3 units of blood</w:t>
            </w:r>
          </w:p>
          <w:p w:rsidR="00644BD6" w:rsidRPr="00074190" w:rsidRDefault="00644BD6" w:rsidP="00074190">
            <w:pPr>
              <w:autoSpaceDE w:val="0"/>
              <w:autoSpaceDN w:val="0"/>
              <w:adjustRightInd w:val="0"/>
              <w:spacing w:line="360" w:lineRule="auto"/>
              <w:jc w:val="both"/>
              <w:rPr>
                <w:rFonts w:ascii="Book Antiqua" w:hAnsi="Book Antiqua" w:cs="Univers-Light"/>
                <w:iCs/>
                <w:sz w:val="24"/>
                <w:szCs w:val="24"/>
              </w:rPr>
            </w:pPr>
            <w:r w:rsidRPr="00074190">
              <w:rPr>
                <w:rFonts w:ascii="Book Antiqua" w:hAnsi="Book Antiqua" w:cs="Univers-Light"/>
                <w:iCs/>
                <w:sz w:val="24"/>
                <w:szCs w:val="24"/>
              </w:rPr>
              <w:t>transfusion</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Univers-Light"/>
                <w:iCs/>
                <w:sz w:val="24"/>
                <w:szCs w:val="24"/>
              </w:rPr>
              <w:t>(</w:t>
            </w:r>
            <w:r w:rsidR="00A000CE" w:rsidRPr="00074190">
              <w:rPr>
                <w:rFonts w:ascii="Book Antiqua" w:hAnsi="Book Antiqua" w:cs="Times New Roman"/>
                <w:iCs/>
                <w:sz w:val="24"/>
                <w:szCs w:val="24"/>
                <w:lang w:eastAsia="zh-CN"/>
              </w:rPr>
              <w:t>5</w:t>
            </w:r>
            <w:r w:rsidRPr="00074190">
              <w:rPr>
                <w:rFonts w:ascii="Book Antiqua" w:hAnsi="Book Antiqua" w:cs="Times New Roman"/>
                <w:iCs/>
                <w:sz w:val="24"/>
                <w:szCs w:val="24"/>
              </w:rPr>
              <w:t>) Never associated with a prolongation of ICU stay</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or total hospital stay to more than twice the median</w:t>
            </w:r>
          </w:p>
          <w:p w:rsidR="00644BD6" w:rsidRPr="00074190" w:rsidRDefault="00644BD6" w:rsidP="00074190">
            <w:pPr>
              <w:spacing w:line="360" w:lineRule="auto"/>
              <w:jc w:val="both"/>
              <w:rPr>
                <w:rFonts w:ascii="Book Antiqua" w:eastAsia="Book Antiqua" w:hAnsi="Book Antiqua" w:cs="Book Antiqua"/>
                <w:color w:val="241F20"/>
                <w:sz w:val="24"/>
                <w:szCs w:val="24"/>
              </w:rPr>
            </w:pPr>
            <w:r w:rsidRPr="00074190">
              <w:rPr>
                <w:rFonts w:ascii="Book Antiqua" w:hAnsi="Book Antiqua" w:cs="Times New Roman"/>
                <w:iCs/>
                <w:sz w:val="24"/>
                <w:szCs w:val="24"/>
              </w:rPr>
              <w:t>stay for the procedure in the population of the study</w:t>
            </w:r>
          </w:p>
        </w:tc>
      </w:tr>
      <w:tr w:rsidR="00644BD6" w:rsidRPr="00074190" w:rsidTr="008E6B5B">
        <w:tc>
          <w:tcPr>
            <w:tcW w:w="1728" w:type="dxa"/>
          </w:tcPr>
          <w:p w:rsidR="00644BD6" w:rsidRPr="00074190" w:rsidRDefault="00644BD6" w:rsidP="00074190">
            <w:pPr>
              <w:spacing w:line="360" w:lineRule="auto"/>
              <w:jc w:val="both"/>
              <w:rPr>
                <w:rFonts w:ascii="Book Antiqua" w:eastAsia="Book Antiqua" w:hAnsi="Book Antiqua" w:cs="Book Antiqua"/>
                <w:color w:val="241F20"/>
                <w:sz w:val="24"/>
                <w:szCs w:val="24"/>
              </w:rPr>
            </w:pPr>
            <w:r w:rsidRPr="00074190">
              <w:rPr>
                <w:rFonts w:ascii="Book Antiqua" w:eastAsia="Book Antiqua" w:hAnsi="Book Antiqua" w:cs="Book Antiqua"/>
                <w:color w:val="241F20"/>
                <w:sz w:val="24"/>
                <w:szCs w:val="24"/>
              </w:rPr>
              <w:t>Grade 2</w:t>
            </w:r>
          </w:p>
        </w:tc>
        <w:tc>
          <w:tcPr>
            <w:tcW w:w="7848" w:type="dxa"/>
          </w:tcPr>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Any complication that is potentially life threatening or</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lang w:eastAsia="zh-CN"/>
              </w:rPr>
            </w:pPr>
            <w:r w:rsidRPr="00074190">
              <w:rPr>
                <w:rFonts w:ascii="Book Antiqua" w:hAnsi="Book Antiqua" w:cs="Times New Roman"/>
                <w:iCs/>
                <w:sz w:val="24"/>
                <w:szCs w:val="24"/>
              </w:rPr>
              <w:t>results in ICU stay &gt;</w:t>
            </w:r>
            <w:r w:rsidR="00A000CE" w:rsidRPr="00074190">
              <w:rPr>
                <w:rFonts w:ascii="Book Antiqua" w:hAnsi="Book Antiqua" w:cs="Times New Roman"/>
                <w:iCs/>
                <w:sz w:val="24"/>
                <w:szCs w:val="24"/>
                <w:lang w:eastAsia="zh-CN"/>
              </w:rPr>
              <w:t xml:space="preserve"> </w:t>
            </w:r>
            <w:r w:rsidR="00A000CE" w:rsidRPr="00074190">
              <w:rPr>
                <w:rFonts w:ascii="Book Antiqua" w:hAnsi="Book Antiqua" w:cs="Times New Roman"/>
                <w:iCs/>
                <w:sz w:val="24"/>
                <w:szCs w:val="24"/>
              </w:rPr>
              <w:t>5 d</w:t>
            </w:r>
            <w:r w:rsidRPr="00074190">
              <w:rPr>
                <w:rFonts w:ascii="Book Antiqua" w:hAnsi="Book Antiqua" w:cs="Times New Roman"/>
                <w:iCs/>
                <w:sz w:val="24"/>
                <w:szCs w:val="24"/>
              </w:rPr>
              <w:t>, hospital stay &gt;</w:t>
            </w:r>
            <w:r w:rsidR="00A000CE" w:rsidRPr="00074190">
              <w:rPr>
                <w:rFonts w:ascii="Book Antiqua" w:hAnsi="Book Antiqua" w:cs="Times New Roman"/>
                <w:iCs/>
                <w:sz w:val="24"/>
                <w:szCs w:val="24"/>
                <w:lang w:eastAsia="zh-CN"/>
              </w:rPr>
              <w:t xml:space="preserve"> </w:t>
            </w:r>
            <w:r w:rsidRPr="00074190">
              <w:rPr>
                <w:rFonts w:ascii="Book Antiqua" w:hAnsi="Book Antiqua" w:cs="Times New Roman"/>
                <w:iCs/>
                <w:sz w:val="24"/>
                <w:szCs w:val="24"/>
              </w:rPr>
              <w:t>4 w</w:t>
            </w:r>
            <w:r w:rsidR="00A000CE" w:rsidRPr="00074190">
              <w:rPr>
                <w:rFonts w:ascii="Book Antiqua" w:hAnsi="Book Antiqua" w:cs="Times New Roman"/>
                <w:iCs/>
                <w:sz w:val="24"/>
                <w:szCs w:val="24"/>
              </w:rPr>
              <w:t>k</w:t>
            </w:r>
          </w:p>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for the recipient, but which does not result in</w:t>
            </w:r>
          </w:p>
          <w:p w:rsidR="00644BD6" w:rsidRPr="00074190" w:rsidRDefault="00644BD6" w:rsidP="00074190">
            <w:pPr>
              <w:spacing w:line="360" w:lineRule="auto"/>
              <w:jc w:val="both"/>
              <w:rPr>
                <w:rFonts w:ascii="Book Antiqua" w:eastAsia="Book Antiqua" w:hAnsi="Book Antiqua" w:cs="Times New Roman"/>
                <w:color w:val="241F20"/>
                <w:sz w:val="24"/>
                <w:szCs w:val="24"/>
              </w:rPr>
            </w:pPr>
            <w:r w:rsidRPr="00074190">
              <w:rPr>
                <w:rFonts w:ascii="Book Antiqua" w:hAnsi="Book Antiqua" w:cs="Times New Roman"/>
                <w:iCs/>
                <w:sz w:val="24"/>
                <w:szCs w:val="24"/>
              </w:rPr>
              <w:t>residual disability or persistent disease</w:t>
            </w:r>
          </w:p>
        </w:tc>
      </w:tr>
      <w:tr w:rsidR="00644BD6" w:rsidRPr="00074190" w:rsidTr="008E6B5B">
        <w:tc>
          <w:tcPr>
            <w:tcW w:w="1728" w:type="dxa"/>
          </w:tcPr>
          <w:p w:rsidR="00644BD6" w:rsidRPr="00074190" w:rsidRDefault="00D17AB8" w:rsidP="00074190">
            <w:pPr>
              <w:spacing w:line="360" w:lineRule="auto"/>
              <w:jc w:val="both"/>
              <w:rPr>
                <w:rFonts w:ascii="Book Antiqua" w:eastAsia="Book Antiqua" w:hAnsi="Book Antiqua" w:cs="Book Antiqua"/>
                <w:color w:val="241F20"/>
                <w:sz w:val="24"/>
                <w:szCs w:val="24"/>
              </w:rPr>
            </w:pPr>
            <w:r>
              <w:rPr>
                <w:rFonts w:ascii="Book Antiqua" w:eastAsia="Book Antiqua" w:hAnsi="Book Antiqua" w:cs="Book Antiqua"/>
                <w:color w:val="241F20"/>
                <w:sz w:val="24"/>
                <w:szCs w:val="24"/>
              </w:rPr>
              <w:t>Grade 3</w:t>
            </w:r>
          </w:p>
        </w:tc>
        <w:tc>
          <w:tcPr>
            <w:tcW w:w="7848" w:type="dxa"/>
          </w:tcPr>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Any complication with residual or lasting functional</w:t>
            </w:r>
          </w:p>
          <w:p w:rsidR="00644BD6" w:rsidRPr="00074190" w:rsidRDefault="00644BD6" w:rsidP="00074190">
            <w:pPr>
              <w:spacing w:line="360" w:lineRule="auto"/>
              <w:jc w:val="both"/>
              <w:rPr>
                <w:rFonts w:ascii="Book Antiqua" w:eastAsia="Book Antiqua" w:hAnsi="Book Antiqua" w:cs="Times New Roman"/>
                <w:color w:val="241F20"/>
                <w:sz w:val="24"/>
                <w:szCs w:val="24"/>
              </w:rPr>
            </w:pPr>
            <w:r w:rsidRPr="00074190">
              <w:rPr>
                <w:rFonts w:ascii="Book Antiqua" w:hAnsi="Book Antiqua" w:cs="Times New Roman"/>
                <w:iCs/>
                <w:sz w:val="24"/>
                <w:szCs w:val="24"/>
              </w:rPr>
              <w:t>disability or development of malignant disease</w:t>
            </w:r>
          </w:p>
        </w:tc>
      </w:tr>
      <w:tr w:rsidR="00644BD6" w:rsidRPr="00074190" w:rsidTr="008E6B5B">
        <w:tc>
          <w:tcPr>
            <w:tcW w:w="1728" w:type="dxa"/>
          </w:tcPr>
          <w:p w:rsidR="00644BD6" w:rsidRPr="00074190" w:rsidRDefault="00644BD6" w:rsidP="00074190">
            <w:pPr>
              <w:spacing w:line="360" w:lineRule="auto"/>
              <w:jc w:val="both"/>
              <w:rPr>
                <w:rFonts w:ascii="Book Antiqua" w:eastAsia="Book Antiqua" w:hAnsi="Book Antiqua" w:cs="Book Antiqua"/>
                <w:color w:val="241F20"/>
                <w:sz w:val="24"/>
                <w:szCs w:val="24"/>
              </w:rPr>
            </w:pPr>
            <w:r w:rsidRPr="00074190">
              <w:rPr>
                <w:rFonts w:ascii="Book Antiqua" w:eastAsia="Book Antiqua" w:hAnsi="Book Antiqua" w:cs="Book Antiqua"/>
                <w:color w:val="241F20"/>
                <w:sz w:val="24"/>
                <w:szCs w:val="24"/>
              </w:rPr>
              <w:t>Grade 4</w:t>
            </w:r>
          </w:p>
        </w:tc>
        <w:tc>
          <w:tcPr>
            <w:tcW w:w="7848" w:type="dxa"/>
          </w:tcPr>
          <w:p w:rsidR="00644BD6" w:rsidRPr="00074190" w:rsidRDefault="00644BD6" w:rsidP="00074190">
            <w:pPr>
              <w:autoSpaceDE w:val="0"/>
              <w:autoSpaceDN w:val="0"/>
              <w:adjustRightInd w:val="0"/>
              <w:spacing w:line="360" w:lineRule="auto"/>
              <w:jc w:val="both"/>
              <w:rPr>
                <w:rFonts w:ascii="Book Antiqua" w:hAnsi="Book Antiqua" w:cs="Times New Roman"/>
                <w:iCs/>
                <w:sz w:val="24"/>
                <w:szCs w:val="24"/>
              </w:rPr>
            </w:pPr>
            <w:r w:rsidRPr="00074190">
              <w:rPr>
                <w:rFonts w:ascii="Book Antiqua" w:hAnsi="Book Antiqua" w:cs="Times New Roman"/>
                <w:iCs/>
                <w:sz w:val="24"/>
                <w:szCs w:val="24"/>
              </w:rPr>
              <w:t>Complications that lead to re transplantation (grade 4a)</w:t>
            </w:r>
          </w:p>
          <w:p w:rsidR="00644BD6" w:rsidRPr="00074190" w:rsidRDefault="00644BD6" w:rsidP="00074190">
            <w:pPr>
              <w:spacing w:line="360" w:lineRule="auto"/>
              <w:jc w:val="both"/>
              <w:rPr>
                <w:rFonts w:ascii="Book Antiqua" w:eastAsia="Book Antiqua" w:hAnsi="Book Antiqua" w:cs="Times New Roman"/>
                <w:color w:val="241F20"/>
                <w:sz w:val="24"/>
                <w:szCs w:val="24"/>
              </w:rPr>
            </w:pPr>
            <w:r w:rsidRPr="00074190">
              <w:rPr>
                <w:rFonts w:ascii="Book Antiqua" w:hAnsi="Book Antiqua" w:cs="Times New Roman"/>
                <w:iCs/>
                <w:sz w:val="24"/>
                <w:szCs w:val="24"/>
              </w:rPr>
              <w:t>or death (grade 4b)</w:t>
            </w:r>
          </w:p>
        </w:tc>
      </w:tr>
    </w:tbl>
    <w:p w:rsidR="00644BD6" w:rsidRPr="00074190" w:rsidRDefault="00644BD6" w:rsidP="00074190">
      <w:pPr>
        <w:spacing w:after="0" w:line="360" w:lineRule="auto"/>
        <w:jc w:val="both"/>
        <w:rPr>
          <w:rFonts w:ascii="Book Antiqua" w:eastAsia="Book Antiqua" w:hAnsi="Book Antiqua" w:cs="Book Antiqua"/>
          <w:color w:val="241F20"/>
          <w:sz w:val="24"/>
          <w:szCs w:val="24"/>
        </w:rPr>
      </w:pPr>
    </w:p>
    <w:p w:rsidR="00644BD6" w:rsidRPr="00074190" w:rsidRDefault="00644BD6" w:rsidP="00074190">
      <w:pPr>
        <w:spacing w:after="0" w:line="360" w:lineRule="auto"/>
        <w:jc w:val="both"/>
        <w:rPr>
          <w:rFonts w:ascii="Book Antiqua" w:eastAsia="Book Antiqua" w:hAnsi="Book Antiqua" w:cs="Book Antiqua"/>
          <w:color w:val="241F20"/>
          <w:sz w:val="24"/>
          <w:szCs w:val="24"/>
          <w:vertAlign w:val="superscript"/>
        </w:rPr>
      </w:pPr>
    </w:p>
    <w:p w:rsidR="00644BD6" w:rsidRPr="00074190" w:rsidRDefault="00644BD6" w:rsidP="00074190">
      <w:pPr>
        <w:spacing w:after="0" w:line="360" w:lineRule="auto"/>
        <w:jc w:val="both"/>
        <w:rPr>
          <w:rFonts w:ascii="Book Antiqua" w:hAnsi="Book Antiqua" w:cs="Book Antiqua"/>
          <w:b/>
          <w:color w:val="241F20"/>
          <w:sz w:val="24"/>
          <w:szCs w:val="24"/>
          <w:lang w:eastAsia="zh-CN"/>
        </w:rPr>
      </w:pPr>
      <w:r w:rsidRPr="00074190">
        <w:rPr>
          <w:rFonts w:ascii="Book Antiqua" w:eastAsia="Book Antiqua" w:hAnsi="Book Antiqua" w:cs="Book Antiqua"/>
          <w:b/>
          <w:color w:val="241F20"/>
          <w:sz w:val="24"/>
          <w:szCs w:val="24"/>
        </w:rPr>
        <w:t>Table 2 Biliary complications in recipients after live donor liver transplantation</w:t>
      </w:r>
    </w:p>
    <w:tbl>
      <w:tblPr>
        <w:tblStyle w:val="TableGrid"/>
        <w:tblW w:w="0" w:type="auto"/>
        <w:tblLook w:val="04A0" w:firstRow="1" w:lastRow="0" w:firstColumn="1" w:lastColumn="0" w:noHBand="0" w:noVBand="1"/>
      </w:tblPr>
      <w:tblGrid>
        <w:gridCol w:w="1709"/>
        <w:gridCol w:w="758"/>
        <w:gridCol w:w="1615"/>
        <w:gridCol w:w="986"/>
        <w:gridCol w:w="952"/>
        <w:gridCol w:w="1049"/>
        <w:gridCol w:w="1243"/>
        <w:gridCol w:w="1264"/>
      </w:tblGrid>
      <w:tr w:rsidR="00644BD6" w:rsidRPr="00074190" w:rsidTr="00A000CE">
        <w:trPr>
          <w:trHeight w:val="1"/>
        </w:trPr>
        <w:tc>
          <w:tcPr>
            <w:tcW w:w="1709" w:type="dxa"/>
            <w:vMerge w:val="restart"/>
          </w:tcPr>
          <w:p w:rsidR="00644BD6" w:rsidRPr="00074190" w:rsidRDefault="00644BD6" w:rsidP="00074190">
            <w:pPr>
              <w:spacing w:line="360" w:lineRule="auto"/>
              <w:jc w:val="both"/>
              <w:rPr>
                <w:rFonts w:ascii="Book Antiqua" w:hAnsi="Book Antiqua"/>
                <w:sz w:val="24"/>
                <w:szCs w:val="24"/>
                <w:lang w:eastAsia="zh-CN"/>
              </w:rPr>
            </w:pPr>
            <w:r w:rsidRPr="00074190">
              <w:rPr>
                <w:rFonts w:ascii="Book Antiqua" w:hAnsi="Book Antiqua" w:cs="Book Antiqua"/>
                <w:sz w:val="24"/>
                <w:szCs w:val="24"/>
                <w:lang w:eastAsia="zh-CN"/>
              </w:rPr>
              <w:t>Ref.</w:t>
            </w:r>
          </w:p>
        </w:tc>
        <w:tc>
          <w:tcPr>
            <w:tcW w:w="758" w:type="dxa"/>
            <w:vMerge w:val="restart"/>
          </w:tcPr>
          <w:p w:rsidR="00644BD6" w:rsidRPr="00074190" w:rsidRDefault="00644BD6"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Year</w:t>
            </w:r>
          </w:p>
        </w:tc>
        <w:tc>
          <w:tcPr>
            <w:tcW w:w="1615" w:type="dxa"/>
            <w:vMerge w:val="restart"/>
          </w:tcPr>
          <w:p w:rsidR="00644BD6" w:rsidRPr="00074190" w:rsidRDefault="00644BD6"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Country</w:t>
            </w:r>
          </w:p>
        </w:tc>
        <w:tc>
          <w:tcPr>
            <w:tcW w:w="1938" w:type="dxa"/>
            <w:gridSpan w:val="2"/>
          </w:tcPr>
          <w:p w:rsidR="00644BD6" w:rsidRPr="00074190" w:rsidRDefault="00644BD6"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Grafts (</w:t>
            </w:r>
            <w:r w:rsidRPr="00544A9A">
              <w:rPr>
                <w:rFonts w:ascii="Book Antiqua" w:eastAsia="Book Antiqua" w:hAnsi="Book Antiqua" w:cs="Book Antiqua"/>
                <w:i/>
                <w:sz w:val="24"/>
                <w:szCs w:val="24"/>
              </w:rPr>
              <w:t>n</w:t>
            </w:r>
            <w:r w:rsidRPr="00074190">
              <w:rPr>
                <w:rFonts w:ascii="Book Antiqua" w:eastAsia="Book Antiqua" w:hAnsi="Book Antiqua" w:cs="Book Antiqua"/>
                <w:sz w:val="24"/>
                <w:szCs w:val="24"/>
              </w:rPr>
              <w:t>)</w:t>
            </w:r>
          </w:p>
        </w:tc>
        <w:tc>
          <w:tcPr>
            <w:tcW w:w="3556" w:type="dxa"/>
            <w:gridSpan w:val="3"/>
          </w:tcPr>
          <w:p w:rsidR="00644BD6" w:rsidRPr="00074190" w:rsidRDefault="00644BD6"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Biliary Complications (%)</w:t>
            </w:r>
          </w:p>
        </w:tc>
      </w:tr>
      <w:tr w:rsidR="00644BD6" w:rsidRPr="00074190" w:rsidTr="00A000CE">
        <w:trPr>
          <w:trHeight w:val="1"/>
        </w:trPr>
        <w:tc>
          <w:tcPr>
            <w:tcW w:w="1709" w:type="dxa"/>
            <w:vMerge/>
          </w:tcPr>
          <w:p w:rsidR="00644BD6" w:rsidRPr="00074190" w:rsidRDefault="00644BD6" w:rsidP="00074190">
            <w:pPr>
              <w:spacing w:line="360" w:lineRule="auto"/>
              <w:jc w:val="both"/>
              <w:rPr>
                <w:rFonts w:ascii="Book Antiqua" w:eastAsia="Calibri" w:hAnsi="Book Antiqua" w:cs="Calibri"/>
                <w:sz w:val="24"/>
                <w:szCs w:val="24"/>
              </w:rPr>
            </w:pPr>
          </w:p>
        </w:tc>
        <w:tc>
          <w:tcPr>
            <w:tcW w:w="758" w:type="dxa"/>
            <w:vMerge/>
          </w:tcPr>
          <w:p w:rsidR="00644BD6" w:rsidRPr="00074190" w:rsidRDefault="00644BD6" w:rsidP="00074190">
            <w:pPr>
              <w:spacing w:line="360" w:lineRule="auto"/>
              <w:jc w:val="both"/>
              <w:rPr>
                <w:rFonts w:ascii="Book Antiqua" w:eastAsia="Calibri" w:hAnsi="Book Antiqua" w:cs="Calibri"/>
                <w:sz w:val="24"/>
                <w:szCs w:val="24"/>
              </w:rPr>
            </w:pPr>
          </w:p>
        </w:tc>
        <w:tc>
          <w:tcPr>
            <w:tcW w:w="1615" w:type="dxa"/>
            <w:vMerge/>
          </w:tcPr>
          <w:p w:rsidR="00644BD6" w:rsidRPr="00074190" w:rsidRDefault="00644BD6" w:rsidP="00074190">
            <w:pPr>
              <w:spacing w:line="360" w:lineRule="auto"/>
              <w:jc w:val="both"/>
              <w:rPr>
                <w:rFonts w:ascii="Book Antiqua" w:eastAsia="Calibri" w:hAnsi="Book Antiqua" w:cs="Calibri"/>
                <w:sz w:val="24"/>
                <w:szCs w:val="24"/>
              </w:rPr>
            </w:pPr>
          </w:p>
        </w:tc>
        <w:tc>
          <w:tcPr>
            <w:tcW w:w="986" w:type="dxa"/>
          </w:tcPr>
          <w:p w:rsidR="00644BD6" w:rsidRPr="00074190" w:rsidRDefault="00644BD6"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Right</w:t>
            </w:r>
          </w:p>
        </w:tc>
        <w:tc>
          <w:tcPr>
            <w:tcW w:w="952" w:type="dxa"/>
          </w:tcPr>
          <w:p w:rsidR="00644BD6" w:rsidRPr="00074190" w:rsidRDefault="00644BD6"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Left</w:t>
            </w:r>
          </w:p>
        </w:tc>
        <w:tc>
          <w:tcPr>
            <w:tcW w:w="1049" w:type="dxa"/>
          </w:tcPr>
          <w:p w:rsidR="00644BD6" w:rsidRPr="00074190" w:rsidRDefault="00644BD6"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Leaks</w:t>
            </w:r>
          </w:p>
        </w:tc>
        <w:tc>
          <w:tcPr>
            <w:tcW w:w="1243" w:type="dxa"/>
          </w:tcPr>
          <w:p w:rsidR="00644BD6" w:rsidRPr="00074190" w:rsidRDefault="00644BD6"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Strictures</w:t>
            </w:r>
          </w:p>
        </w:tc>
        <w:tc>
          <w:tcPr>
            <w:tcW w:w="1264" w:type="dxa"/>
          </w:tcPr>
          <w:p w:rsidR="00644BD6" w:rsidRPr="00074190" w:rsidRDefault="00644BD6"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Overall Rate</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Ghobrial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"10.1053/jlts.2002.35548", "ISSN" : "1527-6465", "PMID" : "12360431", "abstract" : "Severe donor organ shortage has provided the impetus for adult living donor liver transplantation (ALDLT). Despite rapid implementation and expansion of the procedure, outcome analysis of ALDLT is still incomplete. This study analyzed both donor and recipient outcomes after ALDLT at a single center. ALDLT performed at UCLA between August 1999 and November 2001 were reviewed retrospectively. Twenty recipients (14 men and 6 women) with a mean age of 48.8 +/- 9.7 (29 to 66) years underwent right lobe ALDLT. By computed tomograpy (CT), graft/recipient weight ratio (GRWR) was 1.3 +/- 0.3 (1 to 2.2). Overall 1-year patient and graft survival rates were 95% and 85%, respectively. One recipient died of heart failure with normal liver function 5 months after transplantation. Three grafts (14%) were lost and all three patients underwent successful cadaveric retransplantation. Complications were classified according to the Clavien grading system with all but 3 recipients encountering at least one complication. Nine (45%) had grade 1 (minor), 10 (50%) had grade 2 (potentially life threatening without residual disease/disability), 3 (14%) had grade 4A (retransplantation) and one grade 4B (death). Right lobectomy for living donation was performed in 20 patients (12 men, 8 women). Residual left lobe volumes were 36 +/- 5.3 (23.9 to 47.9)% of total donor liver volume. No donor required intensive care unit admission and median hospital stay was 7.5 (6 to 14) days. One donor was aborted after intraoperative biopsy showed &gt; 50% macrovesicular steatosis. No donor mortality or long-term complications were encountered. Five grade 1 minor complications, by Clavien Classification, occurred in 4 of 20 (20%) donors. ALDLT using right lobe grafts is an effective procedure to expand a severely depleted donor, but is associated with a high complication rate despite good survival outcomes. Continuous standardized reporting of ALDLT outcomes is required to allow successful and safe implementation of the procedure.", "author" : [ { "dropping-particle" : "", "family" : "Ghobrial", "given" : "Rafik M", "non-dropping-particle" : "", "parse-names" : false, "suffix" : "" }, { "dropping-particle" : "", "family" : "Saab", "given" : "Sammy", "non-dropping-particle" : "", "parse-names" : false, "suffix" : "" }, { "dropping-particle" : "", "family" : "Lassman", "given" : "Charles", "non-dropping-particle" : "", "parse-names" : false, "suffix" : "" }, { "dropping-particle" : "", "family" : "Lu", "given" : "David S K", "non-dropping-particle" : "", "parse-names" : false, "suffix" : "" }, { "dropping-particle" : "", "family" : "Raman", "given" : "Steven", "non-dropping-particle" : "", "parse-names" : false, "suffix" : "" }, { "dropping-particle" : "", "family" : "Limanond", "given" : "Piyagorn", "non-dropping-particle" : "", "parse-names" : false, "suffix" : "" }, { "dropping-particle" : "", "family" : "Kunder", "given" : "Greg", "non-dropping-particle" : "", "parse-names" : false, "suffix" : "" }, { "dropping-particle" : "", "family" : "Marks", "given" : "Karyn", "non-dropping-particle" : "", "parse-names" : false, "suffix" : "" }, { "dropping-particle" : "", "family" : "Amersi", "given" : "Farin", "non-dropping-particle" : "", "parse-names" : false, "suffix" : "" }, { "dropping-particle" : "", "family" : "Anselmo", "given" : "Dean", "non-dropping-particle" : "", "parse-names" : false, "suffix" : "" }, { "dropping-particle" : "", "family" : "Chen", "given" : "Pauline", "non-dropping-particle" : "", "parse-names" : false, "suffix" : "" }, { "dropping-particle" : "", "family" : "Farmer", "given" : "Douglas", "non-dropping-particle" : "", "parse-names" : false, "suffix" : "" }, { "dropping-particle" : "", "family" : "Han", "given" : "Steven", "non-dropping-particle" : "", "parse-names" : false, "suffix" : "" }, { "dropping-particle" : "", "family" : "Durazo", "given" : "Francisco", "non-dropping-particle" : "", "parse-names" : false, "suffix" : "" }, { "dropping-particle" : "", "family" : "Goldstein", "given" : "Leonard I", "non-dropping-particle" : "", "parse-names" : false, "suffix" : "" }, { "dropping-particle" : "", "family" : "Busuttil", "given" : "Ronald W", "non-dropping-particle" : "", "parse-names" : false, "suffix" : "" } ], "container-title" : "Liver transplantation : official publication of the American Association for the Study of Liver Diseases and the International Liver Transplantation Society", "id" : "ITEM-1", "issue" : "10", "issued" : { "date-parts" : [ [ "2002", "10" ] ] }, "page" : "901-9", "title" : "Donor and recipient outcomes in right lobe adult living donor liver transplantation.", "type" : "article-journal", "volume" : "8" }, "uris" : [ "http://www.mendeley.com/documents/?uuid=18732663-8cf8-4825-af08-138151740328" ] } ], "mendeley" : { "formattedCitation" : "&lt;sup&gt;22&lt;/sup&gt;", "plainTextFormattedCitation" : "22", "previouslyFormattedCitation" : "&lt;sup&gt;22&lt;/sup&gt;"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22</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2001</w:t>
            </w:r>
          </w:p>
        </w:tc>
        <w:tc>
          <w:tcPr>
            <w:tcW w:w="1615" w:type="dxa"/>
          </w:tcPr>
          <w:p w:rsidR="00A000CE" w:rsidRPr="00074190" w:rsidRDefault="00A000CE" w:rsidP="00074190">
            <w:pPr>
              <w:spacing w:line="360" w:lineRule="auto"/>
              <w:jc w:val="both"/>
              <w:rPr>
                <w:rFonts w:ascii="Book Antiqua" w:hAnsi="Book Antiqua"/>
                <w:sz w:val="24"/>
                <w:szCs w:val="24"/>
                <w:lang w:eastAsia="zh-CN"/>
              </w:rPr>
            </w:pPr>
            <w:r w:rsidRPr="00074190">
              <w:rPr>
                <w:rFonts w:ascii="Book Antiqua" w:eastAsia="Book Antiqua" w:hAnsi="Book Antiqua" w:cs="Book Antiqua"/>
                <w:sz w:val="24"/>
                <w:szCs w:val="24"/>
              </w:rPr>
              <w:t>U</w:t>
            </w:r>
            <w:r w:rsidRPr="00074190">
              <w:rPr>
                <w:rFonts w:ascii="Book Antiqua" w:hAnsi="Book Antiqua" w:cs="Book Antiqua"/>
                <w:sz w:val="24"/>
                <w:szCs w:val="24"/>
                <w:lang w:eastAsia="zh-CN"/>
              </w:rPr>
              <w:t>nited States</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w:t>
            </w:r>
          </w:p>
        </w:tc>
        <w:tc>
          <w:tcPr>
            <w:tcW w:w="952" w:type="dxa"/>
          </w:tcPr>
          <w:p w:rsidR="00A000CE" w:rsidRPr="00074190" w:rsidRDefault="00A000CE" w:rsidP="00074190">
            <w:pPr>
              <w:spacing w:line="360" w:lineRule="auto"/>
              <w:jc w:val="both"/>
              <w:rPr>
                <w:rFonts w:ascii="Book Antiqua" w:eastAsia="Calibri" w:hAnsi="Book Antiqua" w:cs="Calibri"/>
                <w:sz w:val="24"/>
                <w:szCs w:val="24"/>
              </w:rPr>
            </w:pP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25</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Gondolesi 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"10.1097/01.TP.0000123077.78702.0C", "ISSN" : "0041-1337", "author" : [ { "dropping-particle" : "", "family" : "Gondolesi", "given" : "Gabriel E.", "non-dropping-particle" : "", "parse-names" : false, "suffix" : "" }, { "dropping-particle" : "", "family" : "Varotti", "given" : "Giovanni", "non-dropping-particle" : "", "parse-names" : false, "suffix" : "" }, { "dropping-particle" : "", "family" : "Florman", "given" : "Sander S.", "non-dropping-particle" : "", "parse-names" : false, "suffix" : "" }, { "dropping-particle" : "", "family" : "Mu??oz", "given" : "Luis", "non-dropping-particle" : "", "parse-names" : false, "suffix" : "" }, { "dropping-particle" : "", "family" : "Fishbein", "given" : "Thomas M.", "non-dropping-particle" : "", "parse-names" : false, "suffix" : "" }, { "dropping-particle" : "", "family" : "Emre", "given" : "Sukru H.", "non-dropping-particle" : "", "parse-names" : false, "suffix" : "" }, { "dropping-particle" : "", "family" : "Schwartz", "given" : "Myron E.", "non-dropping-particle" : "", "parse-names" : false, "suffix" : "" }, { "dropping-particle" : "", "family" : "Miller", "given" : "Charles", "non-dropping-particle" : "", "parse-names" : false, "suffix" : "" } ], "container-title" : "Transplantation", "id" : "ITEM-1", "issue" : "12", "issued" : { "date-parts" : [ [ "2004", "6" ] ] }, "page" : "1842-1848", "title" : "Biliary Complications in 96 Consecutive Right Lobe Living Donor Transplant Recipients", "type" : "article-journal", "volume" : "77" }, "uris" : [ "http://www.mendeley.com/documents/?uuid=868fc5a8-e1b7-4724-ac0e-0b911b23fa04" ] } ], "mendeley" : { "formattedCitation" : "&lt;sup&gt;23&lt;/sup&gt;", "plainTextFormattedCitation" : "23", "previouslyFormattedCitation" : "&lt;sup&gt;23&lt;/sup&gt;"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23</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2004</w:t>
            </w:r>
          </w:p>
        </w:tc>
        <w:tc>
          <w:tcPr>
            <w:tcW w:w="1615" w:type="dxa"/>
          </w:tcPr>
          <w:p w:rsidR="00A000CE" w:rsidRPr="00074190" w:rsidRDefault="00A000CE" w:rsidP="00074190">
            <w:pPr>
              <w:spacing w:line="360" w:lineRule="auto"/>
              <w:jc w:val="both"/>
              <w:rPr>
                <w:rFonts w:ascii="Book Antiqua" w:hAnsi="Book Antiqua"/>
                <w:sz w:val="24"/>
                <w:szCs w:val="24"/>
                <w:lang w:eastAsia="zh-CN"/>
              </w:rPr>
            </w:pPr>
            <w:r w:rsidRPr="00074190">
              <w:rPr>
                <w:rFonts w:ascii="Book Antiqua" w:eastAsia="Book Antiqua" w:hAnsi="Book Antiqua" w:cs="Book Antiqua"/>
                <w:sz w:val="24"/>
                <w:szCs w:val="24"/>
              </w:rPr>
              <w:t>U</w:t>
            </w:r>
            <w:r w:rsidRPr="00074190">
              <w:rPr>
                <w:rFonts w:ascii="Book Antiqua" w:hAnsi="Book Antiqua" w:cs="Book Antiqua"/>
                <w:sz w:val="24"/>
                <w:szCs w:val="24"/>
                <w:lang w:eastAsia="zh-CN"/>
              </w:rPr>
              <w:t>nited States</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96</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0</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21.9</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22.9</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40.6</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Liu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"ISSN" : "0041-1337", "PMID" : "15021836", "abstract" : "BACKGROUND: Duct-to-duct biliary reconstruction is frequently used in right-lobe live-donor liver transplantation (RLDLT), and routine biliary drainage has been recommended. The aim of the present study was to evaluate the safety and operative outcomes of duct-to-duct biliary reconstruction after RLDLT without biliary drainage.\n\nMETHODS: The study comprised 41 RLDLT recipients who had duct-to-duct biliary reconstruction. During donor and recipient operations, precautions were taken to preserve blood supply to the bile duct. Biliary anastomosis was performed with fine Prolene sutures without stents or drainage tubes. The operative outcomes were prospectively evaluated.\n\nRESULTS: The median postoperative intensive care unit and hospital stay were 3 days (range, 1-47 days) and 19 days (range, 8-114 days), respectively. There was no hospital mortality. At a median follow-up of 13.3 months (range, 4.0-26.8 months), the graft and patient survival rates were 95% and 98%, respectively. Three (7%) patients had biliary leakage. These three patients and the other seven patients developed late biliary stricture. The overall biliary complication rate was 24%. On multivariate analysis, preoperative Model for End-Stage Liver Disease (MELD) score of greater than or equal to 35 was the risk factor associated with biliary complication (P =0.032; risk ratio, 4.58).\n\nCONCLUSIONS: Duct-to-duct anastomosis without biliary drainage is safe in RLDLT. Patients with a high preoperative MELD score were associated with an increased incidence of biliary complications. Further studies are required to investigate the hemodynamic changes and modulation of blood flow of liver grafts in patients with chronic liver disease, which may significantly affect the incidence of biliary complications.", "author" : [ { "dropping-particle" : "", "family" : "Liu", "given" : "Chi-Leung", "non-dropping-particle" : "", "parse-names" : false, "suffix" : "" }, { "dropping-particle" : "", "family" : "Lo", "given" : "Chung-Mau", "non-dropping-particle" : "", "parse-names" : false, "suffix" : "" }, { "dropping-particle" : "", "family" : "Chan", "given" : "See-Ching", "non-dropping-particle" : "", "parse-names" : false, "suffix" : "" }, { "dropping-particle" : "", "family" : "Fan", "given" : "Sheung-Tat", "non-dropping-particle" : "", "parse-names" : false, "suffix" : "" } ], "container-title" : "Transplantation", "id" : "ITEM-1", "issue" : "5", "issued" : { "date-parts" : [ [ "2004", "3", "15" ] ] }, "page" : "726-32", "title" : "Safety of duct-to-duct biliary reconstruction in right-lobe live-donor liver transplantation without biliary drainage.", "type" : "article-journal", "volume" : "77" }, "uris" : [ "http://www.mendeley.com/documents/?uuid=d62bda98-e40a-45e2-b77b-82e8132bda62" ] } ], "mendeley" : { "formattedCitation" : "&lt;sup&gt;24&lt;/sup&gt;", "plainTextFormattedCitation" : "24", "previouslyFormattedCitation" : "&lt;sup&gt;24&lt;/sup&gt;"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24</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2004</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China</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41</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0</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7.3</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24.3</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24.3</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Giacomoni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"10.1111/j.1432-2277.2006.00274.x", "ISSN" : "0934-0874", "PMID" : "16771867", "abstract" : "The highest rate of complications characterizing the adult living donor liver transplantation (ALDLT) are due to biliary problems with a reported negative incidence of 22-64%. We performed 23 ALDLT grafting segments V-VIII without the middle hepatic vein from March 2001 to September 2005. Biliary anatomy was investigated using intraoperative cholangiography alone in the first five cases and magnetic resonance cholangiography in the remaining 18 cases. In 13 cases we found a single right biliary duct (56.5%) and in 10 we found multiple biliary ducts (43.7%). We performed single biliary anastomosis in 17 cases (73.91%) and double anastomosis in the remaining six (26%) cases. With a mean follow up of 644 days (8-1598 days), patient and graft survivals are 86.95% and 78.26%, respectively. The following biliary complications were observed: biliary leak from the cutting surface: three, anastomotic leak: two, late anastomotic strictures: five, early kinking of the choledochus: one. These 11 biliary complications (47.82%) occurred in eight patients (34.78%). Three of these patients developed two consecutive and different biliary complications. Biliary complications affected our series of ALDLT with a high percentage, but none of the grafts transplanted was lost because of biliary problems. Multiple biliary reconstructions are strongly related with a high risk of complication.", "author" : [ { "dropping-particle" : "", "family" : "Giacomoni", "given" : "Alessandro", "non-dropping-particle" : "", "parse-names" : false, "suffix" : "" }, { "dropping-particle" : "", "family" : "Lauterio", "given" : "Andrea", "non-dropping-particle" : "", "parse-names" : false, "suffix" : "" }, { "dropping-particle" : "", "family" : "Slim", "given" : "Abdallah O", "non-dropping-particle" : "", "parse-names" : false, "suffix" : "" }, { "dropping-particle" : "", "family" : "Vanzulli", "given" : "Angelo", "non-dropping-particle" : "", "parse-names" : false, "suffix" : "" }, { "dropping-particle" : "", "family" : "Calcagno", "given" : "Antonella", "non-dropping-particle" : "", "parse-names" : false, "suffix" : "" }, { "dropping-particle" : "", "family" : "Mangoni", "given" : "Iacopo", "non-dropping-particle" : "", "parse-names" : false, "suffix" : "" }, { "dropping-particle" : "", "family" : "Belli", "given" : "Luca S", "non-dropping-particle" : "", "parse-names" : false, "suffix" : "" }, { "dropping-particle" : "", "family" : "Gasperi", "given" : "Andrea", "non-dropping-particle" : "De", "parse-names" : false, "suffix" : "" }, { "dropping-particle" : "", "family" : "Carlis", "given" : "Luciano", "non-dropping-particle" : "De", "parse-names" : false, "suffix" : "" } ], "container-title" : "Transplant international : official journal of the European Society for Organ Transplantation", "id" : "ITEM-1", "issue" : "6", "issued" : { "date-parts" : [ [ "2006", "6" ] ] }, "page" : "466-73", "title" : "Biliary complications after living donor adult liver transplantation.", "type" : "article-journal", "volume" : "19" }, "uris" : [ "http://www.mendeley.com/documents/?uuid=e85fd586-58a1-496f-afcb-3d098bf54d97" ] } ], "mendeley" : { "formattedCitation" : "&lt;sup&gt;25&lt;/sup&gt;", "plainTextFormattedCitation" : "25", "previouslyFormattedCitation" : "&lt;sup&gt;25&lt;/sup&gt;"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25</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2006</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Italy</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23</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0</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21.7</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21.7</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34.8</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Soejima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"10.1002/lt.20740", "ISSN" : "1527-6465", "PMID" : "16721777", "abstract" : "Biliary complications, biliary strictures (BS) in particular, continue to be a significant cause of morbidity after LDLT despite technical refinement. In this study, we assessed the incidence of BS and their management in living donor liver transplantation (LDLT) with special reference to the type of biliary reconstruction. A total of 182 LDLTs performed at our institution for either adult (n = 157) or pediatric (n = 25) patients were included in the study. The duct-to-duct (DD) biliary reconstruction was performed for 106 cases, while the conventional Roux-en-Y hepaticojejunostomy (HJ) was utilized for the remaining 76 cases. Overall, BS developed in 46/182 (25.3%) of the cases (DD, 26.4%; HJ, 25.0%). The 1- and 3-year cumulative incidences of BS were 22.9% and 31.9%, respectively, in the DD group, and 15.2% and 29.1%, respectively, in the HJ group (P= not significant). The left-lobe LDLT was more prone to develop BS. Continuous anastomosis tended to be associated with the high incidence of BS in the DD group. The incidence of anastomotic leak was significantly lower in the DD group. Intervention via either pre-cutaneous or endoscopic approach was successful in the majority of cases, although recurrence could occur in some patients. In conclusion, BS was not associated with the type of reconstruction in LDLT. The primary radiological or endoscopic interventions were satisfactory treatments of choice. Technical refinement is an important factor to reduce the incidence of BS.", "author" : [ { "dropping-particle" : "", "family" : "Soejima", "given" : "Yuji", "non-dropping-particle" : "", "parse-names" : false, "suffix" : "" }, { "dropping-particle" : "", "family" : "Taketomi", "given" : "Akinobu", "non-dropping-particle" : "", "parse-names" : false, "suffix" : "" }, { "dropping-particle" : "", "family" : "Yoshizumi", "given" : "Tomoharu", "non-dropping-particle" : "", "parse-names" : false, "suffix" : "" }, { "dropping-particle" : "", "family" : "Uchiyama", "given" : "Hideaki", "non-dropping-particle" : "", "parse-names" : false, "suffix" : "" }, { "dropping-particle" : "", "family" : "Harada", "given" : "Noboru", "non-dropping-particle" : "", "parse-names" : false, "suffix" : "" }, { "dropping-particle" : "", "family" : "Ijichi", "given" : "Hideki", "non-dropping-particle" : "", "parse-names" : false, "suffix" : "" }, { "dropping-particle" : "", "family" : "Yonemura", "given" : "Yusuke", "non-dropping-particle" : "", "parse-names" : false, "suffix" : "" }, { "dropping-particle" : "", "family" : "Ikeda", "given" : "Tetsuo", "non-dropping-particle" : "", "parse-names" : false, "suffix" : "" }, { "dropping-particle" : "", "family" : "Shimada", "given" : "Mitsuo", "non-dropping-particle" : "", "parse-names" : false, "suffix" : "" }, { "dropping-particle" : "", "family" : "Maehara", "given" : "Yoshihiko", "non-dropping-particle" : "", "parse-names" : false, "suffix" : "" } ], "container-title" : "Liver transplantation : official publication of the American Association for the Study of Liver Diseases and the International Liver Transplantation Society", "id" : "ITEM-1", "issue" : "6", "issued" : { "date-parts" : [ [ "2006", "6" ] ] }, "page" : "979-86", "title" : "Biliary strictures in living donor liver transplantation: incidence, management, and technical evolution.", "type" : "article-journal", "volume" : "12" }, "uris" : [ "http://www.mendeley.com/documents/?uuid=c4fbe1cd-45a0-4e60-b842-f69a8be7e461" ] } ], "mendeley" : { "formattedCitation" : "&lt;sup&gt;26&lt;/sup&gt;", "plainTextFormattedCitation" : "26", "previouslyFormattedCitation" : "&lt;sup&gt;26&lt;/sup&gt;"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26</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2006</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Japan</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50</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132</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11.5</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25.3</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36.8</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Shah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"10.1111/j.1600-6143.2006.01601.x", "ISSN" : "1600-6135", "PMID" : "17227565", "abstract" : "Biliary strictures remain the most challenging aspect of adult right lobe living donor liver transplantation (RLDLT). Between 04/2000 and 10/2005, 130 consecutive RLDLTs were performed in our center and followed prospectively. Median follow-up was 23 months (range 3-67) and 1-year graft and patient survival was 85% and 87%, respectively. Overall incidence of biliary leaks (n = 19) or strictures (n = 22) was 32% (41/128) in 33 patients (26%). A duct-to-duct (D-D) or Roux-en-Y (R-Y) anastomosis were performed equally (n = 64 each) with no difference in stricture rate (p = 0.31). The use of ductoplasty increased the number of grafts with a single duct for anastomosis and reduced the biliary complication rate compared to grafts &gt;/=2 ducts (17% vs. 46%; p = 0.02). Independent risk factors for strictures included older donor age and previous history of a bile leak. All strictures were managed nonsurgically initially but four patients ultimately required conversion from D-D to R-Y. Ninety-six percent (123/128) of patients are currently free of any biliary complications. D-D anastomosis is safe after RLDLT and provides access for future endoscopic therapy in cases of leak or stricture. When presented with multiple bile ducts, ductoplasty should be considered to reduce the potential chance of stricture.", "author" : [ { "dropping-particle" : "", "family" : "Shah", "given" : "S A", "non-dropping-particle" : "", "parse-names" : false, "suffix" : "" }, { "dropping-particle" : "", "family" : "Grant", "given" : "D R", "non-dropping-particle" : "", "parse-names" : false, "suffix" : "" }, { "dropping-particle" : "", "family" : "McGilvray", "given" : "I D", "non-dropping-particle" : "", "parse-names" : false, "suffix" : "" }, { "dropping-particle" : "", "family" : "Greig", "given" : "P D", "non-dropping-particle" : "", "parse-names" : false, "suffix" : "" }, { "dropping-particle" : "", "family" : "Selzner", "given" : "M", "non-dropping-particle" : "", "parse-names" : false, "suffix" : "" }, { "dropping-particle" : "", "family" : "Lilly", "given" : "L B", "non-dropping-particle" : "", "parse-names" : false, "suffix" : "" }, { "dropping-particle" : "", "family" : "Girgrah", "given" : "N", "non-dropping-particle" : "", "parse-names" : false, "suffix" : "" }, { "dropping-particle" : "", "family" : "Levy", "given" : "G A", "non-dropping-particle" : "", "parse-names" : false, "suffix" : "" }, { "dropping-particle" : "", "family" : "Cattral", "given" : "M S", "non-dropping-particle" : "", "parse-names" : false, "suffix" : "" } ], "container-title" : "American journal of transplantation : official journal of the American Society of Transplantation and the American Society of Transplant Surgeons", "id" : "ITEM-1", "issue" : "1", "issued" : { "date-parts" : [ [ "2007", "1" ] ] }, "page" : "161-7", "title" : "Biliary strictures in 130 consecutive right lobe living donor liver transplant recipients: results of a Western center.", "type" : "article-journal", "volume" : "7" }, "uris" : [ "http://www.mendeley.com/documents/?uuid=bd619b18-e4cd-4ae5-8c65-b3344ac10e84" ] } ], "mendeley" : { "formattedCitation" : "&lt;sup&gt;27&lt;/sup&gt;", "plainTextFormattedCitation" : "27", "previouslyFormattedCitation" : "&lt;sup&gt;27&lt;/sup&gt;"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27</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2007</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Canada</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128</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0</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14.8</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17.1</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26.0</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Mita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"10.1111/j.1432-2277.2007.00609.x", "ISSN" : "0934-0874", "PMID" : "18069923", "abstract" : "Biliary complications remain a significant cause of morbidity following living donor liver transplantation. The purpose of this retrospective study was to assess the outcome of nonsurgical management for hepatojejunostomy stricture in our institution. We reviewed 22 patients with hepatojejunostomy stricture among the 231 patients who underwent living donor liver transplantation between June 1990 and December 2005. Hepatojejunostomy stricture was confirmed by percutaneous transhepatic or endoscopic retrograde cholangiography. Anastomotic strictures were treated by balloon dilatation. Percutaneous transhepatic cholangiography was performed on 15 of the 22 patients. Two of 15 patients, with complete obstruction of the anastomosis, were treated successfully by Yamanouchi magnet compression anastomosis. Although another two patients died of infectious disease that was unlikely to have been related to biliary complications, anastomotic patency was maintained in the other 13 patients. Endoscopic retrograde cholangiography was performed on seven of the 22 patients. None of the 22 patients required re-operation or died of biliary complications. The 5-year graft survival rate of 85.6% in the 22 patients with stricture was equivalent to that of the patients without stricture (82.9%, P = 0.98). Advances in intervention techniques have enabled wider application of nonsurgical approaches for this complication, and fair results have been obtained.", "author" : [ { "dropping-particle" : "", "family" : "Mita", "given" : "Atsuyoshi", "non-dropping-particle" : "", "parse-names" : false, "suffix" : "" }, { "dropping-particle" : "", "family" : "Hashikura", "given" : "Yasuhiko", "non-dropping-particle" : "", "parse-names" : false, "suffix" : "" }, { "dropping-particle" : "", "family" : "Masuda", "given" : "Yuichi", "non-dropping-particle" : "", "parse-names" : false, "suffix" : "" }, { "dropping-particle" : "", "family" : "Ohno", "given" : "Yasunari", "non-dropping-particle" : "", "parse-names" : false, "suffix" : "" }, { "dropping-particle" : "", "family" : "Urata", "given" : "Koichi", "non-dropping-particle" : "", "parse-names" : false, "suffix" : "" }, { "dropping-particle" : "", "family" : "Nakazawa", "given" : "Yuichi", "non-dropping-particle" : "", "parse-names" : false, "suffix" : "" }, { "dropping-particle" : "", "family" : "Ikegami", "given" : "Toshihiko", "non-dropping-particle" : "", "parse-names" : false, "suffix" : "" }, { "dropping-particle" : "", "family" : "Terada", "given" : "Masaru", "non-dropping-particle" : "", "parse-names" : false, "suffix" : "" }, { "dropping-particle" : "", "family" : "Yamamoto", "given" : "Hironori", "non-dropping-particle" : "", "parse-names" : false, "suffix" : "" }, { "dropping-particle" : "", "family" : "Miyagawa", "given" : "Shin-Ichi", "non-dropping-particle" : "", "parse-names" : false, "suffix" : "" } ], "container-title" : "Transplant international : official journal of the European Society for Organ Transplantation", "id" : "ITEM-1", "issue" : "4", "issued" : { "date-parts" : [ [ "2008", "4" ] ] }, "page" : "320-7", "title" : "Nonsurgical policy for treatment of bilioenteric anastomotic stricture after living donor liver transplantation.", "type" : "article-journal", "volume" : "21" }, "uris" : [ "http://www.mendeley.com/documents/?uuid=8899dc8a-cdd0-40c5-ab87-7ce6eb9d5160" ] } ], "mendeley" : { "formattedCitation" : "&lt;sup&gt;28&lt;/sup&gt;", "plainTextFormattedCitation" : "28", "previouslyFormattedCitation" : "&lt;sup&gt;28&lt;/sup&gt;"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28</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2008</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Japan</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5</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226</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9.5</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Friese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"10.1111/j.1600-6143.2008.02440.x", "ISSN" : "1600-6143", "PMID" : "18976306", "abstract" : "Patients considering living donor liver transplantation (LDLT) need to know the risk and severity of complications compared to deceased donor liver transplantation (DDLT). One aim of the Adult-to-Adult Living Donor Liver Transplantation Cohort Study (A2ALL) was to examine recipient complications following these procedures. Medical records of DDLT or LDLT recipients who had a living donor evaluated at the nine A2ALL centers between 1998 and 2003 were reviewed. Among 384 LDLT and 216 DDLT, at least one complication occurred after 82.8% of LDLT and 78.2% of DDLT (p = 0.17). There was a median of two complications after DDLT and three after LDLT. Complications that occurred at a higher rate (p &lt; 0.05) after LDLT included biliary leak (31.8% vs. 10.2%), unplanned reexploration (26.2% vs. 17.1%), hepatic artery thrombosis (6.5% vs. 2.3%) and portal vein thrombosis (2.9% vs. 0.0%). There were more complications leading to retransplantation or death (Clavien grade 4) after LDLT versus DDLT (15.9% vs. 9.3%, p = 0.023). Many complications occurred more commonly during early center experience; the odds of grade 4 complications were more than two-fold higher when centers had performed &lt;or=20 LDLT (vs. &gt;40). In summary, complication rates were higher after LDLT versus DDLT, but declined with center experience to levels comparable to DDLT.", "author" : [ { "dropping-particle" : "", "family" : "Freise", "given" : "C E", "non-dropping-particle" : "", "parse-names" : false, "suffix" : "" }, { "dropping-particle" : "", "family" : "Gillespie", "given" : "B W", "non-dropping-particle" : "", "parse-names" : false, "suffix" : "" }, { "dropping-particle" : "", "family" : "Koffron", "given" : "a J", "non-dropping-particle" : "", "parse-names" : false, "suffix" : "" }, { "dropping-particle" : "", "family" : "Lok", "given" : "A S F", "non-dropping-particle" : "", "parse-names" : false, "suffix" : "" }, { "dropping-particle" : "", "family" : "Pruett", "given" : "T L", "non-dropping-particle" : "", "parse-names" : false, "suffix" : "" }, { "dropping-particle" : "", "family" : "Emond", "given" : "J C", "non-dropping-particle" : "", "parse-names" : false, "suffix" : "" }, { "dropping-particle" : "", "family" : "Fair", "given" : "J H", "non-dropping-particle" : "", "parse-names" : false, "suffix" : "" }, { "dropping-particle" : "", "family" : "Fisher", "given" : "R a", "non-dropping-particle" : "", "parse-names" : false, "suffix" : "" }, { "dropping-particle" : "", "family" : "Olthoff", "given" : "K M", "non-dropping-particle" : "", "parse-names" : false, "suffix" : "" }, { "dropping-particle" : "", "family" : "Trotter", "given" : "J F", "non-dropping-particle" : "", "parse-names" : false, "suffix" : "" }, { "dropping-particle" : "", "family" : "Ghobrial", "given" : "R M", "non-dropping-particle" : "", "parse-names" : false, "suffix" : "" }, { "dropping-particle" : "", "family" : "Everhart", "given" : "J E", "non-dropping-particle" : "", "parse-names" : false, "suffix" : "" } ], "container-title" : "American journal of transplantation : official journal of the American Society of Transplantation and the American Society of Transplant Surgeons", "id" : "ITEM-1", "issue" : "12", "issued" : { "date-parts" : [ [ "2008", "12" ] ] }, "page" : "2569-79", "title" : "Recipient morbidity after living and deceased donor liver transplantation: findings from the A2ALL Retrospective Cohort Study.", "type" : "article-journal", "volume" : "8" }, "uris" : [ "http://www.mendeley.com/documents/?uuid=054363ba-793c-4dad-837e-a64563df4051" ] } ], "mendeley" : { "formattedCitation" : "&lt;sup&gt;7&lt;/sup&gt;", "plainTextFormattedCitation" : "7", "previouslyFormattedCitation" : "&lt;sup&gt;7&lt;/sup&gt;"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7</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2008</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USA ( A2ALL)</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384</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0</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27.2</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18</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35.5</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Marubashi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"10.1097/TP.0b013e3181ba184a", "ISSN" : "1534-6080", "PMID" : "19898209", "abstract" : "BACKGROUNDS: Bile duct complications especially biliary stricture remains a major cause of morbidity influencing the postoperative course in living donor liver transplantation (LDLT). The objectives of this study were to investigate the outcome of biliary reconstruction using \"open-up\" anastomotic technique and to clarify the risk factors for biliary stricture after LDLT.\n\nPATIENTS AND METHODS: We retrospectively analyzed data of 83 consecutive adult patients who underwent LDLT between 1999 and 2007. Hepaticojejunostomy was conducted in 22 patients and duct-to-duct anastomosis in 61 patients. The \"open-up\" anastomotic technique was applied uniformly for biliary reconstruction.\n\nRESULTS: The mean follow-up period after LDLT was 2.7+/-2.1 years (range, 0.01-7.52). Of the 83 recipients, six (7.2%) developed biliary strictures (four at anastomotic site and two at multiple intrahepatic sites), and one (1.2%) developed biliary leakage after hepaticojejunostomy. Risk factor analysis identified the diameter of donor bile duct and the use of right lateral sector as significant risk factors for biliary stricture at the anastomosis.\n\nCONCLUSIONS: Care should be taken when anastomosing a small bile duct of the donor graft or right lateral sector graft in LDLT because of the associated high incidence of biliary stenosis. Our technique, including the \"open-up\" procedure, ensures quality control for bile duct reconstruction and a better outcome after LDLT.", "author" : [ { "dropping-particle" : "", "family" : "Marubashi", "given" : "Shigeru", "non-dropping-particle" : "", "parse-names" : false, "suffix" : "" }, { "dropping-particle" : "", "family" : "Dono", "given" : "Keizo", "non-dropping-particle" : "", "parse-names" : false, "suffix" : "" }, { "dropping-particle" : "", "family" : "Nagano", "given" : "Hiroaki", "non-dropping-particle" : "", "parse-names" : false, "suffix" : "" }, { "dropping-particle" : "", "family" : "Kobayashi", "given" : "Shogo", "non-dropping-particle" : "", "parse-names" : false, "suffix" : "" }, { "dropping-particle" : "", "family" : "Takeda", "given" : "Yutaka", "non-dropping-particle" : "", "parse-names" : false, "suffix" : "" }, { "dropping-particle" : "", "family" : "Umeshita", "given" : "Koji", "non-dropping-particle" : "", "parse-names" : false, "suffix" : "" }, { "dropping-particle" : "", "family" : "Monden", "given" : "Morito", "non-dropping-particle" : "", "parse-names" : false, "suffix" : "" }, { "dropping-particle" : "", "family" : "Doki", "given" : "Yuichiro", "non-dropping-particle" : "", "parse-names" : false, "suffix" : "" }, { "dropping-particle" : "", "family" : "Mori", "given" : "Masaki", "non-dropping-particle" : "", "parse-names" : false, "suffix" : "" } ], "container-title" : "Transplantation", "id" : "ITEM-1", "issue" : "9", "issued" : { "date-parts" : [ [ "2009", "11", "15" ] ] }, "page" : "1123-30", "title" : "Biliary reconstruction in living donor liver transplantation: technical invention and risk factor analysis for anastomotic stricture.", "type" : "article-journal", "volume" : "88" }, "uris" : [ "http://www.mendeley.com/documents/?uuid=e681305c-6f62-4ad4-8198-3a2e2fc1c05d" ] } ], "mendeley" : { "formattedCitation" : "&lt;sup&gt;29&lt;/sup&gt;", "plainTextFormattedCitation" : "29", "previouslyFormattedCitation" : "&lt;sup&gt;29&lt;/sup&gt;"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29</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2009</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Japan</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57</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26</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1.2</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7.2</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8.4</w:t>
            </w:r>
          </w:p>
        </w:tc>
      </w:tr>
      <w:tr w:rsidR="00A000CE" w:rsidRPr="00074190" w:rsidTr="00A000CE">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Lin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"10.1002/lt.21947", "ISSN" : "1527-6473", "PMID" : "19938121", "abstract" : "Biliary reconstruction using a microsurgical technique in living donor liver transplantation was routinely performed on 88 grafts primarily transplanted into 85 patients. All procedures were performed under a microscope by a single microsurgeon. Except for biliary atresia and Alagille syndrome, duct-to-duct reconstruction was performed. Stents were not used. The outcomes with microsurgical biliary reconstruction (MB) were compared with the outcomes of a cohort of 86 grafts in 85 patients that underwent conventional biliary reconstruction (CB). The identification of complications included only up to 12 months of follow-up for each recipient in both groups. The average graft duct sizes were 2.8 mm for MB and 3.4 mm for CB. Most complications occurred in the first 15 cases with MB, and these cases were considered to constitute the learning curve phase. The MB complication rate was 46.7% in the first 15 cases, 20.0% in the next 15 cases, and 5.4% in the last 55 cases. When the learning curve phase was excluded, the overall complication rate over time with MB (8.9%) was significantly lower than that with CB (21.9%). CB increased the risk of biliary complications by 2.5 times (relative risk: 2.5; attributable risk: 128; odds ratio: 2.9). In conclusion, routine MB is a technical innovation that leads to decreased early anastomotic complications in living donor liver transplantation.", "author" : [ { "dropping-particle" : "", "family" : "Lin", "given" : "Tsan-Shiun", "non-dropping-particle" : "", "parse-names" : false, "suffix" : "" }, { "dropping-particle" : "", "family" : "Concejero", "given" : "Allan M", "non-dropping-particle" : "", "parse-names" : false, "suffix" : "" }, { "dropping-particle" : "", "family" : "Chen", "given" : "Chao-Long", "non-dropping-particle" : "", "parse-names" : false, "suffix" : "" }, { "dropping-particle" : "", "family" : "Chiang", "given" : "Yuan-Cheng", "non-dropping-particle" : "", "parse-names" : false, "suffix" : "" }, { "dropping-particle" : "", "family" : "Wang", "given" : "Chih-Chi", "non-dropping-particle" : "", "parse-names" : false, "suffix" : "" }, { "dropping-particle" : "", "family" : "Wang", "given" : "Shih-Ho", "non-dropping-particle" : "", "parse-names" : false, "suffix" : "" }, { "dropping-particle" : "", "family" : "Liu", "given" : "Yueh-Wei", "non-dropping-particle" : "", "parse-names" : false, "suffix" : "" }, { "dropping-particle" : "", "family" : "Yang", "given" : "Chin-Hsiang", "non-dropping-particle" : "", "parse-names" : false, "suffix" : "" }, { "dropping-particle" : "", "family" : "Yong", "given" : "Chee-Chien", "non-dropping-particle" : "", "parse-names" : false, "suffix" : "" }, { "dropping-particle" : "", "family" : "Jawan", "given" : "Bruno", "non-dropping-particle" : "", "parse-names" : false, "suffix" : "" }, { "dropping-particle" : "", "family" : "Cheng", "given" : "Yu-Fan", "non-dropping-particle" : "", "parse-names" : false, "suffix" : "" } ], "container-title" : "Liver transplantation : official publication of the American Association for the Study of Liver Diseases and the International Liver Transplantation Society", "id" : "ITEM-1", "issue" : "12", "issued" : { "date-parts" : [ [ "2009", "12" ] ] }, "page" : "1766-75", "title" : "Routine microsurgical biliary reconstruction decreases early anastomotic complications in living donor liver transplantation.", "type" : "article-journal", "volume" : "15" }, "uris" : [ "http://www.mendeley.com/documents/?uuid=e1edbeed-74c3-4349-86b1-1fc0863b91c3" ] } ], "mendeley" : { "formattedCitation" : "&lt;sup&gt;30&lt;/sup&gt;", "plainTextFormattedCitation" : "30", "previouslyFormattedCitation" : "&lt;sup&gt;30&lt;/sup&gt;"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30</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2009</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China</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8.9</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Wadhawan</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"10.1111/jgh.12169", "ISSN" : "1440-1746", "PMID" : "23432435", "abstract" : "BACKGROUND AND AIM: Biliary anastomosis is the Achilles' heel of liver transplant. The reported incidence of biliary complications is 5-15% after deceased donor liver transplantation, and 20-34% after right-lobe live donor liver transplantation (LDLT). We report our experience from an LDLT program.\n\nMETHODS: Between September 2006 and August 2010, 338 liver transplants were performed. Biliary reconstructions were done with an end-to-end choledochocholedochostomy in 307 cases. All recipients were monitored for any evidence of bile leak or stricture.\n\nRESULTS: Of 338 transplants performed during this time period, 65 patients had biliary complications (19%). Of these, 30 were biliary leaks, and 35 patients had biliary stricture. Four were cut surface leaks, which settled without any intervention. One patient had leak from primary hepaticojejunostomy, which settled on conservative management. Twenty-five patients had anastomotic leaks, of which 17 underwent endoscopic retrograde cholangiopancreatography and stenting; another eight underwent re-exploration and hepaticojejunostomy. Forty-five patients had biliary strictures. Of these, 10 patients had bile leak initially, followed by biliary stricture. Patients with a double duct anastomosis had a significantly higher risk of developing biliary complications compared with those with a single duct anastomosis. There was no statistically significant difference in survival between those with or without biliary complications.\n\nCONCLUSIONS: Biliary complications are common after LDLT. Most leaks will subsequently form strictures. Endoscopic retrograde cholangiopancreatography is the first-line treatment for biliary complications, with surgery required in a minority of cases. The incidence of biliary complications is higher in multiple duct anastomoses. Biliary complications are not associated with increased mortality.", "author" : [ { "dropping-particle" : "", "family" : "Wadhawan", "given" : "Manav", "non-dropping-particle" : "", "parse-names" : false, "suffix" : "" }, { "dropping-particle" : "", "family" : "Kumar", "given" : "Ajay", "non-dropping-particle" : "", "parse-names" : false, "suffix" : "" }, { "dropping-particle" : "", "family" : "Gupta", "given" : "Subash", "non-dropping-particle" : "", "parse-names" : false, "suffix" : "" }, { "dropping-particle" : "", "family" : "Goyal", "given" : "Neerav", "non-dropping-particle" : "", "parse-names" : false, "suffix" : "" }, { "dropping-particle" : "", "family" : "Shandil", "given" : "Rajeev", "non-dropping-particle" : "", "parse-names" : false, "suffix" : "" }, { "dropping-particle" : "", "family" : "Taneja", "given" : "Sunil", "non-dropping-particle" : "", "parse-names" : false, "suffix" : "" }, { "dropping-particle" : "", "family" : "Sibal", "given" : "Anupam", "non-dropping-particle" : "", "parse-names" : false, "suffix" : "" } ], "container-title" : "Journal of gastroenterology and hepatology", "id" : "ITEM-1", "issue" : "6", "issued" : { "date-parts" : [ [ "2013", "6", "1" ] ] }, "page" : "1056-60", "title" : "Post-transplant biliary complications: an analysis from a predominantly living donor liver transplant center.", "type" : "article-journal", "volume" : "28" }, "uris" : [ "http://www.mendeley.com/documents/?uuid=b1d80dde-fcea-4eae-8005-79268ba60305" ] } ], "mendeley" : { "formattedCitation" : "&lt;sup&gt;31&lt;/sup&gt;", "plainTextFormattedCitation" : "31", "previouslyFormattedCitation" : "&lt;sup&gt;31&lt;/sup&gt;"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31</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2010</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India</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338</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0</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8.8</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10.3</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19</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Kim</w:t>
            </w:r>
            <w:r w:rsidRPr="00074190">
              <w:rPr>
                <w:rFonts w:ascii="Book Antiqua" w:eastAsia="Book Antiqua" w:hAnsi="Book Antiqua" w:cs="Book Antiqua"/>
                <w:i/>
                <w:sz w:val="24"/>
                <w:szCs w:val="24"/>
              </w:rPr>
              <w:t xml:space="preserve"> 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"10.1002/lt.22116", "ISSN" : "1527-6473", "PMID" : "20818745", "abstract" : "Duct-to-duct reconstruction (DDR) of the bile duct has recently become the preferred choice in living donor liver transplantation (LDLT), but biliary complications still remain the most common cause of morbidity. We introduce our new technique of tailored telescopic reconstruction (TTR) of the bile duct for reducing bile duct complications in LDLT: the hilar plate covering the right and left hepatic ducts is bisected lengthwise through the right or left hepatic duct opening to make a funnel-shaped top, into which the donor hepatic duct is telescoped to match the recipient bile duct in size, and DDR is performed in the inner tissue of good vascular integrity of the recipient bile duct without redundancy. Forty-five consecutive LDLT procedures from January to August 2008 were analyzed through a comparison of 23 conventional duct-to-duct reconstructions (cDDRs) and 22 TTRs in bile duct anastomoses. At a mean follow-up of 19.5 months, the rates of overall biliary complications, leakage, and strictures were 43.5%, 26.1%, and 34.8%, respectively, for cDDR and 9.1%, 0%, and 9.1%, respectively, for TTR (P &lt; 0.05 for each). In conclusion, TTR of the bile duct results in excellent outcomes with respect to minimization of biliary complications; thus, TTR can be recommended as a preferred method for biliary reconstruction in LDLT.", "author" : [ { "dropping-particle" : "", "family" : "Kim", "given" : "Seong Hoon", "non-dropping-particle" : "", "parse-names" : false, "suffix" : "" }, { "dropping-particle" : "", "family" : "Lee", "given" : "Kwang-Woong", "non-dropping-particle" : "", "parse-names" : false, "suffix" : "" }, { "dropping-particle" : "", "family" : "Kim", "given" : "Young-Kyu", "non-dropping-particle" : "", "parse-names" : false, "suffix" : "" }, { "dropping-particle" : "", "family" : "Cho", "given" : "Seong Yeon", "non-dropping-particle" : "", "parse-names" : false, "suffix" : "" }, { "dropping-particle" : "", "family" : "Han", "given" : "Sung-Sik", "non-dropping-particle" : "", "parse-names" : false, "suffix" : "" }, { "dropping-particle" : "", "family" : "Park", "given" : "Sang-Jae", "non-dropping-particle" : "", "parse-names" : false, "suffix" : "" } ], "container-title" : "Liver transplantation : official publication of the American Association for the Study of Liver Diseases and the International Liver Transplantation Society", "id" : "ITEM-1", "issue" : "9", "issued" : { "date-parts" : [ [ "2010", "9" ] ] }, "page" : "1069-74", "title" : "Tailored telescopic reconstruction of the bile duct in living donor liver transplantation.", "type" : "article-journal", "volume" : "16" }, "uris" : [ "http://www.mendeley.com/documents/?uuid=696c60af-7e58-4a36-adba-9be852d7a124" ] } ], "mendeley" : { "formattedCitation" : "&lt;sup&gt;32&lt;/sup&gt;", "plainTextFormattedCitation" : "32", "previouslyFormattedCitation" : "&lt;sup&gt;32&lt;/sup&gt;"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32</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2010</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Korea</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22</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0</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0</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9.1</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9.1</w:t>
            </w:r>
          </w:p>
        </w:tc>
      </w:tr>
      <w:tr w:rsidR="00A000CE" w:rsidRPr="00074190" w:rsidTr="00A000CE">
        <w:trPr>
          <w:trHeight w:val="1"/>
        </w:trPr>
        <w:tc>
          <w:tcPr>
            <w:tcW w:w="170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 xml:space="preserve">Soin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"10.1016/j.jamcollsurg.2010.02.048", "ISSN" : "1879-1190", "PMID" : "20610245", "abstract" : "BACKGROUND: Biliary complications (BCs) are a major cause of morbidity and mortality after living donor liver transplantation (LDLT). They occur because the graft hepatic ducts are often small, thin walled, multiple, and may become ischemic during transection.\n\nSTUDY DESIGN: Of the 460 LDLTs done at our center before November 2009, the first 402 partial liver grafts had at least 3 months of follow-up. In the first 158, conventional hepatic duct isolation was used in the donor (group C). In the last 244 cases, the complete hilar plate and Glissonian sheath approach (HPGS) was used (group H). We compared the incidence and outcomes of BCs in the 2 groups.\n\nRESULTS: The rate of BC was significantly lower in group H (5.3%) than in group C (15.8%, p = 0.000). The incidence of early (within 3 months of transplant) BCs was similarly significantly lower in group H (3.3%) than in group C (13.2%, P=0.000). The incidence of late BCs in the 145 patients in group H who had completed at least 12 months of follow-up was 2.8%.The proportion of BCs needing surgical correction was much higher in group C (44%) than in group H (7.7%, p = 0.022).\n\nCONCLUSIONS: By providing a graft with a well-vascularized hepatic duct or ducts with a sheath of supporting tissue that holds sutures well, the HPGS approach minimizes the incidence and severity of BCs in LDLT.", "author" : [ { "dropping-particle" : "", "family" : "Soin", "given" : "Arvinder Singh", "non-dropping-particle" : "", "parse-names" : false, "suffix" : "" }, { "dropping-particle" : "", "family" : "Kumaran", "given" : "Vinay", "non-dropping-particle" : "", "parse-names" : false, "suffix" : "" }, { "dropping-particle" : "", "family" : "Rastogi", "given" : "Amit Nath", "non-dropping-particle" : "", "parse-names" : false, "suffix" : "" }, { "dropping-particle" : "", "family" : "Mohanka", "given" : "Ravi", "non-dropping-particle" : "", "parse-names" : false, "suffix" : "" }, { "dropping-particle" : "", "family" : "Mehta", "given" : "Naimish", "non-dropping-particle" : "", "parse-names" : false, "suffix" : "" }, { "dropping-particle" : "", "family" : "Saigal", "given" : "Sanjiv", "non-dropping-particle" : "", "parse-names" : false, "suffix" : "" }, { "dropping-particle" : "", "family" : "Saraf", "given" : "Neeraj", "non-dropping-particle" : "", "parse-names" : false, "suffix" : "" }, { "dropping-particle" : "", "family" : "Mohan", "given" : "Neelam", "non-dropping-particle" : "", "parse-names" : false, "suffix" : "" }, { "dropping-particle" : "", "family" : "Nundy", "given" : "Samiran", "non-dropping-particle" : "", "parse-names" : false, "suffix" : "" } ], "container-title" : "Journal of the American College of Surgeons", "id" : "ITEM-1", "issue" : "1", "issued" : { "date-parts" : [ [ "2010", "7" ] ] }, "page" : "24-32", "title" : "Evolution of a reliable biliary reconstructive technique in 400 consecutive living donor liver transplants.", "type" : "article-journal", "volume" : "211" }, "uris" : [ "http://www.mendeley.com/documents/?uuid=d14b0561-f80d-4e5e-94b5-f682b288e663" ] } ], "mendeley" : { "formattedCitation" : "&lt;sup&gt;14&lt;/sup&gt;", "plainTextFormattedCitation" : "14", "previouslyFormattedCitation" : "&lt;sup&gt;14&lt;/sup&gt;"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14</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758"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2010</w:t>
            </w:r>
          </w:p>
        </w:tc>
        <w:tc>
          <w:tcPr>
            <w:tcW w:w="1615"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India</w:t>
            </w:r>
          </w:p>
        </w:tc>
        <w:tc>
          <w:tcPr>
            <w:tcW w:w="986"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218</w:t>
            </w:r>
          </w:p>
        </w:tc>
        <w:tc>
          <w:tcPr>
            <w:tcW w:w="952"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26</w:t>
            </w:r>
          </w:p>
        </w:tc>
        <w:tc>
          <w:tcPr>
            <w:tcW w:w="1049"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2</w:t>
            </w:r>
          </w:p>
        </w:tc>
        <w:tc>
          <w:tcPr>
            <w:tcW w:w="1243"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3.7</w:t>
            </w:r>
          </w:p>
        </w:tc>
        <w:tc>
          <w:tcPr>
            <w:tcW w:w="1264" w:type="dxa"/>
          </w:tcPr>
          <w:p w:rsidR="00A000CE" w:rsidRPr="00074190" w:rsidRDefault="00A000CE" w:rsidP="00074190">
            <w:pPr>
              <w:spacing w:line="360" w:lineRule="auto"/>
              <w:jc w:val="both"/>
              <w:rPr>
                <w:rFonts w:ascii="Book Antiqua" w:hAnsi="Book Antiqua"/>
                <w:sz w:val="24"/>
                <w:szCs w:val="24"/>
              </w:rPr>
            </w:pPr>
            <w:r w:rsidRPr="00074190">
              <w:rPr>
                <w:rFonts w:ascii="Book Antiqua" w:eastAsia="Book Antiqua" w:hAnsi="Book Antiqua" w:cs="Book Antiqua"/>
                <w:sz w:val="24"/>
                <w:szCs w:val="24"/>
              </w:rPr>
              <w:t>5</w:t>
            </w:r>
          </w:p>
        </w:tc>
      </w:tr>
    </w:tbl>
    <w:p w:rsidR="00644BD6" w:rsidRPr="00074190" w:rsidRDefault="00644BD6" w:rsidP="00074190">
      <w:pPr>
        <w:spacing w:after="0" w:line="360" w:lineRule="auto"/>
        <w:jc w:val="both"/>
        <w:rPr>
          <w:rFonts w:ascii="Book Antiqua" w:eastAsia="Book Antiqua" w:hAnsi="Book Antiqua" w:cs="Book Antiqua"/>
          <w:color w:val="241F20"/>
          <w:sz w:val="24"/>
          <w:szCs w:val="24"/>
        </w:rPr>
      </w:pPr>
    </w:p>
    <w:p w:rsidR="00644BD6" w:rsidRPr="00074190" w:rsidRDefault="00644BD6" w:rsidP="00074190">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sz w:val="24"/>
          <w:szCs w:val="24"/>
        </w:rPr>
        <w:br w:type="page"/>
      </w:r>
    </w:p>
    <w:p w:rsidR="00644BD6" w:rsidRPr="00074190" w:rsidRDefault="00644BD6" w:rsidP="00074190">
      <w:pPr>
        <w:spacing w:after="0" w:line="360" w:lineRule="auto"/>
        <w:jc w:val="both"/>
        <w:rPr>
          <w:rFonts w:ascii="Book Antiqua" w:eastAsia="Book Antiqua" w:hAnsi="Book Antiqua" w:cs="Book Antiqua"/>
          <w:b/>
          <w:sz w:val="24"/>
          <w:szCs w:val="24"/>
        </w:rPr>
      </w:pPr>
      <w:r w:rsidRPr="00074190">
        <w:rPr>
          <w:rFonts w:ascii="Book Antiqua" w:eastAsia="Book Antiqua" w:hAnsi="Book Antiqua" w:cs="Book Antiqua"/>
          <w:b/>
          <w:sz w:val="24"/>
          <w:szCs w:val="24"/>
        </w:rPr>
        <w:t>Table 3 Incidence of biliary complications in donors after live donor liver transplantation</w:t>
      </w:r>
    </w:p>
    <w:tbl>
      <w:tblPr>
        <w:tblW w:w="0" w:type="auto"/>
        <w:tblInd w:w="18" w:type="dxa"/>
        <w:tblCellMar>
          <w:left w:w="10" w:type="dxa"/>
          <w:right w:w="10" w:type="dxa"/>
        </w:tblCellMar>
        <w:tblLook w:val="04A0" w:firstRow="1" w:lastRow="0" w:firstColumn="1" w:lastColumn="0" w:noHBand="0" w:noVBand="1"/>
      </w:tblPr>
      <w:tblGrid>
        <w:gridCol w:w="1440"/>
        <w:gridCol w:w="990"/>
        <w:gridCol w:w="1350"/>
        <w:gridCol w:w="1350"/>
        <w:gridCol w:w="1620"/>
        <w:gridCol w:w="1800"/>
      </w:tblGrid>
      <w:tr w:rsidR="00644BD6" w:rsidRPr="00074190" w:rsidTr="008E6B5B">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lang w:eastAsia="zh-CN"/>
              </w:rPr>
            </w:pPr>
            <w:r w:rsidRPr="00074190">
              <w:rPr>
                <w:rFonts w:ascii="Book Antiqua" w:hAnsi="Book Antiqua" w:cs="Book Antiqua"/>
                <w:color w:val="000000"/>
                <w:sz w:val="24"/>
                <w:szCs w:val="24"/>
                <w:lang w:eastAsia="zh-CN"/>
              </w:rPr>
              <w:t>Ref.</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b/>
                <w:i/>
                <w:sz w:val="24"/>
                <w:szCs w:val="24"/>
              </w:rPr>
            </w:pPr>
            <w:r w:rsidRPr="00074190">
              <w:rPr>
                <w:rFonts w:ascii="Book Antiqua" w:eastAsia="Book Antiqua" w:hAnsi="Book Antiqua" w:cs="Book Antiqua"/>
                <w:b/>
                <w:i/>
                <w:color w:val="000000"/>
                <w:sz w:val="24"/>
                <w:szCs w:val="24"/>
              </w:rPr>
              <w:t>n</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Graft type</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Leak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Stricture (%)</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Overall Rate (%)</w:t>
            </w:r>
          </w:p>
        </w:tc>
      </w:tr>
      <w:tr w:rsidR="00644BD6" w:rsidRPr="00074190" w:rsidTr="008E6B5B">
        <w:trPr>
          <w:trHeight w:val="1"/>
        </w:trPr>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sz w:val="24"/>
                <w:szCs w:val="24"/>
              </w:rPr>
              <w:t xml:space="preserve">Iida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"10.1097/TP.0b013e3181d66c55", "ISSN" : "1534-6080", "PMID" : "20216482", "abstract" : "INTRODUCTION: Complications occur in a considerable proportion of living donors for liver transplantation. In this study, the surgery-related morbidity in living donors for more than 1000 liver transplantations was investigated.\n\nMETHODS: The donor morbidity between June 1990 and August 2007 was analyzed retrospectively and classified by the graft type and time period. The complication severity was graded using the Clavien scoring system.\n\nRESULTS: During the study period, 1262 living donors underwent donor operations for liver transplantation. The donors were divided into two groups by the graft type: group RG (n=500), comprising right and extended right lobe grafts, and group LG (n=762), comprising non-right lobe grafts. The overall complication rate was significantly higher in group RG than that in group LG (44.2% vs. 18.8%, P&lt;0.05). The complication severity was worse in group RG than in group LG. Although biliary complications were the most common complications in both the groups, the frequencies differed significantly (RG: 12.2% vs. LG: 4.9%; P&lt;0.05). Short-term complications (within 4 weeks after the donor operation) occurred in 308 donors (24.4% of all donors). Complications after 4 weeks occurred in only 17 donors. Donor age, right lobe donation, and prolonged operation time were found to be independent risk factors for complications by multivariate analyses.\n\nCONCLUSIONS: Biliary complications were the most common and feared complications in living donors. There were more frequent and severe complications for right and extended right lobe donation than for non-right lobe donation. The possible risks of donor morbidity for different graft types should be understood and carefully considered.", "author" : [ { "dropping-particle" : "", "family" : "Iida", "given" : "Taku", "non-dropping-particle" : "", "parse-names" : false, "suffix" : "" }, { "dropping-particle" : "", "family" : "Ogura", "given" : "Yasuhiro", "non-dropping-particle" : "", "parse-names" : false, "suffix" : "" }, { "dropping-particle" : "", "family" : "Oike", "given" : "Fumitaka", "non-dropping-particle" : "", "parse-names" : false, "suffix" : "" }, { "dropping-particle" : "", "family" : "Hatano", "given" : "Etsuro", "non-dropping-particle" : "", "parse-names" : false, "suffix" : "" }, { "dropping-particle" : "", "family" : "Kaido", "given" : "Toshimi", "non-dropping-particle" : "", "parse-names" : false, "suffix" : "" }, { "dropping-particle" : "", "family" : "Egawa", "given" : "Hiroto", "non-dropping-particle" : "", "parse-names" : false, "suffix" : "" }, { "dropping-particle" : "", "family" : "Takada", "given" : "Yasutsugu", "non-dropping-particle" : "", "parse-names" : false, "suffix" : "" }, { "dropping-particle" : "", "family" : "Uemoto", "given" : "Shinji", "non-dropping-particle" : "", "parse-names" : false, "suffix" : "" } ], "container-title" : "Transplantation", "id" : "ITEM-1", "issue" : "10", "issued" : { "date-parts" : [ [ "2010", "5", "27" ] ] }, "page" : "1276-82", "title" : "Surgery-related morbidity in living donors for liver transplantation.", "type" : "article-journal", "volume" : "89" }, "uris" : [ "http://www.mendeley.com/documents/?uuid=65763adc-0faf-4107-a00c-d6ca84fadea1" ] } ], "mendeley" : { "formattedCitation" : "&lt;sup&gt;76&lt;/sup&gt;", "plainTextFormattedCitation" : "76", "previouslyFormattedCitation" : "&lt;sup&gt;76&lt;/sup&gt;"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76</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500</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762</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right</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left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10.6</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4.7</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1.6</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0.3</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 xml:space="preserve">12.2 </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4.9</w:t>
            </w:r>
          </w:p>
        </w:tc>
      </w:tr>
      <w:tr w:rsidR="00644BD6" w:rsidRPr="00074190" w:rsidTr="008E6B5B">
        <w:trPr>
          <w:trHeight w:val="1"/>
        </w:trPr>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sz w:val="24"/>
                <w:szCs w:val="24"/>
              </w:rPr>
              <w:t xml:space="preserve">El-Meteini </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"10.1111/j.1477-2574.2009.00142.x", "ISSN" : "1477-2574", "PMID" : "20495654", "abstract" : "BACKGROUND: After right lobe donation, biliary complication is the main cause of morbidity. Mortality after right lobe donation has been estimated to be less than 0.5%.\n\nPATIENTS AND METHODS: Between November 2001 and December 2008, 207 adult-to-adult living donor liver transplantations (ALDLT) were undertaken using right lobe grafts. Donors included 173 men and 34 women with a mean age of 28.4 +/- 5.2 years.\n\nRESULTS: Siblings comprised 144 (69.6%) cases whereas unrelated donors comprised 63 (30.4%) with a mean body mass index (BMI) of 25.2 +/- 2.4. Single and multiple right hepatic ducts (RHD) were present in 82 (39.6%) and 125 (60.3%) donors, respectively. Mean operative time was 360 +/- 50 min with an estimated blood loss of 950 +/- 450 ml and returned cell-saver amount of 450 +/- 334 ml. Mean donor remnant liver volume was 33.5 +/- 3.2%. Mean intensive care unit (ICU) stay was 3 +/- 0.7 days and mean hospital stay was 14 +/- 3.5 days. Modified Clavien classifications were used to stratify all donor biliary complications The overall biliary complications occurred in 27 cases (13.0%). After modified Clavien classification, biliary complications were graded as grade I (n= 10), grade II (n= 2), grade III (n= 14) and grade V (n= 1). Grade I and II (n= 12) biliary complications were successfully managed conservatively. Grade III cases were treated using ultrasound-guided aspiration (USGA), endoscopic retrograde cholangiography (ERCP) and surgery in 10, 2 and 2 donors, respectively. Single donor mortality (Grade V) (0.4%) occurred after uncontrolled biliary leakage with peritonitis that necessitated exploration followed by ERCP with stent insertion but the donor died on day 43 as a result of ongoing sepsis.\n\nCONCLUSION: Although the majority of biliary complications are minor and can be managed conservatively, uncontrolled biliary leakage is a serious morbidity that should be avoided as it could lead to mortality.", "author" : [ { "dropping-particle" : "", "family" : "El-Meteini", "given" : "Mahmoud", "non-dropping-particle" : "", "parse-names" : false, "suffix" : "" }, { "dropping-particle" : "", "family" : "Hamza", "given" : "Alaa", "non-dropping-particle" : "", "parse-names" : false, "suffix" : "" }, { "dropping-particle" : "", "family" : "Abdalaal", "given" : "Amr", "non-dropping-particle" : "", "parse-names" : false, "suffix" : "" }, { "dropping-particle" : "", "family" : "Fathy", "given" : "Mohamed", "non-dropping-particle" : "", "parse-names" : false, "suffix" : "" }, { "dropping-particle" : "", "family" : "Bahaa", "given" : "Mohamed", "non-dropping-particle" : "", "parse-names" : false, "suffix" : "" }, { "dropping-particle" : "", "family" : "Mukhtar", "given" : "Ahmed", "non-dropping-particle" : "", "parse-names" : false, "suffix" : "" }, { "dropping-particle" : "", "family" : "Abouelfetouh", "given" : "Fawzia", "non-dropping-particle" : "", "parse-names" : false, "suffix" : "" }, { "dropping-particle" : "", "family" : "Mostafa", "given" : "Ibrahim", "non-dropping-particle" : "", "parse-names" : false, "suffix" : "" }, { "dropping-particle" : "", "family" : "Shaker", "given" : "Mohamed", "non-dropping-particle" : "", "parse-names" : false, "suffix" : "" }, { "dropping-particle" : "", "family" : "Abdelwahab", "given" : "Sameh", "non-dropping-particle" : "", "parse-names" : false, "suffix" : "" }, { "dropping-particle" : "", "family" : "El-Dorry", "given" : "Ahmed", "non-dropping-particle" : "", "parse-names" : false, "suffix" : "" }, { "dropping-particle" : "", "family" : "El-Monayeri", "given" : "Magda", "non-dropping-particle" : "", "parse-names" : false, "suffix" : "" }, { "dropping-particle" : "", "family" : "Hobballah", "given" : "Ali", "non-dropping-particle" : "", "parse-names" : false, "suffix" : "" }, { "dropping-particle" : "", "family" : "Sabry", "given" : "Hasan", "non-dropping-particle" : "", "parse-names" : false, "suffix" : "" } ], "container-title" : "HPB : the official journal of the International Hepato Pancreato Biliary Association", "id" : "ITEM-1", "issue" : "2", "issued" : { "date-parts" : [ [ "2010", "3" ] ] }, "page" : "109-14", "title" : "Biliary complications including single-donor mortality: experience of 207 adult-to-adult living donor liver transplantations with right liver grafts.", "type" : "article-journal", "volume" : "12" }, "uris" : [ "http://www.mendeley.com/documents/?uuid=5bb1156e-2db8-435f-8494-5ef15683062c" ] } ], "mendeley" : { "formattedCitation" : "&lt;sup&gt;77&lt;/sup&gt;", "plainTextFormattedCitation" : "77", "previouslyFormattedCitation" : "&lt;sup&gt;77&lt;/sup&gt;"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77</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sz w:val="24"/>
                <w:szCs w:val="24"/>
              </w:rPr>
              <w:t>207</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sz w:val="24"/>
                <w:szCs w:val="24"/>
              </w:rPr>
              <w:t>right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22</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1.6</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13.04</w:t>
            </w:r>
          </w:p>
        </w:tc>
      </w:tr>
      <w:tr w:rsidR="00644BD6" w:rsidRPr="00074190" w:rsidTr="008E6B5B">
        <w:trPr>
          <w:trHeight w:val="1"/>
        </w:trPr>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sz w:val="24"/>
                <w:szCs w:val="24"/>
              </w:rPr>
              <w:t xml:space="preserve">Taketomi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"10.1097/TP.0b013e3181943d46", "ISSN" : "1534-6080", "PMID" : "19202452", "abstract" : "BACKGROUND: To ensure donor safety in adult-to-adult living donor liver transplantation, we established a selection criterion for donors in which left lobe (LL) was the first choice of graft.\n\nMETHODS: Two hundred six consecutive donors were retrospectively studied. Donors were divided into two groups according to graft type: LL graft (n=137) and right lobe (RL) graft (n=69).\n\nRESULTS: Although mean intraoperative blood loss of LL was significantly increased compared with RL, mean peak postoperative total bilirubin levels and duration of hospital stay after surgery were significantly less for LL than RL (P&lt;0.05). No donor died or suffered a life-threatening complication during the study period. The overall complication rate was 34.0%, including biliary complications in 5.3%. The number of biliary complications was four (2.9%) in LL and seven (10.1%) in RL (P&lt;0.05). Logistic regression analysis revealed that only graft type (LL vs. RL) is significantly related to the occurrence of biliary complications (odds ratio 0.11; P=0.0012). The cumulative overall graft survival rates in the recipients with LL were not significantly different from that in the recipients with RL.\n\nCONCLUSIONS: LL grafting should be considered favorably when selecting donors for adult-to-adult living donor liver transplantation.", "author" : [ { "dropping-particle" : "", "family" : "Taketomi", "given" : "Akinobu", "non-dropping-particle" : "", "parse-names" : false, "suffix" : "" }, { "dropping-particle" : "", "family" : "Kayashima", "given" : "Hiroto", "non-dropping-particle" : "", "parse-names" : false, "suffix" : "" }, { "dropping-particle" : "", "family" : "Soejima", "given" : "Yuji", "non-dropping-particle" : "", "parse-names" : false, "suffix" : "" }, { "dropping-particle" : "", "family" : "Yoshizumi", "given" : "Tomoharu", "non-dropping-particle" : "", "parse-names" : false, "suffix" : "" }, { "dropping-particle" : "", "family" : "Uchiyama", "given" : "Hideaki", "non-dropping-particle" : "", "parse-names" : false, "suffix" : "" }, { "dropping-particle" : "", "family" : "Ikegami", "given" : "Toru", "non-dropping-particle" : "", "parse-names" : false, "suffix" : "" }, { "dropping-particle" : "", "family" : "Yamashita", "given" : "Yoichi", "non-dropping-particle" : "", "parse-names" : false, "suffix" : "" }, { "dropping-particle" : "", "family" : "Harada", "given" : "Noboru", "non-dropping-particle" : "", "parse-names" : false, "suffix" : "" }, { "dropping-particle" : "", "family" : "Shimada", "given" : "Mitsuo", "non-dropping-particle" : "", "parse-names" : false, "suffix" : "" }, { "dropping-particle" : "", "family" : "Maehara", "given" : "Yoshihiko", "non-dropping-particle" : "", "parse-names" : false, "suffix" : "" } ], "container-title" : "Transplantation", "id" : "ITEM-1", "issue" : "3", "issued" : { "date-parts" : [ [ "2009", "2", "15" ] ] }, "page" : "445-50", "title" : "Donor risk in adult-to-adult living donor liver transplantation: impact of left lobe graft.", "type" : "article-journal", "volume" : "87" }, "uris" : [ "http://www.mendeley.com/documents/?uuid=9297b000-217a-4efc-ab90-47698cff6d45" ] } ], "mendeley" : { "formattedCitation" : "&lt;sup&gt;78&lt;/sup&gt;", "plainTextFormattedCitation" : "78", "previouslyFormattedCitation" : "&lt;sup&gt;78&lt;/sup&gt;"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78</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sz w:val="24"/>
                <w:szCs w:val="24"/>
              </w:rPr>
              <w:t>69</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sz w:val="24"/>
                <w:szCs w:val="24"/>
              </w:rPr>
              <w:t>137</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sz w:val="24"/>
                <w:szCs w:val="24"/>
              </w:rPr>
              <w:t>right</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sz w:val="24"/>
                <w:szCs w:val="24"/>
              </w:rPr>
              <w:t>left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_</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_</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_</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_</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 xml:space="preserve">10.1 </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 xml:space="preserve">2.9 </w:t>
            </w:r>
          </w:p>
        </w:tc>
      </w:tr>
      <w:tr w:rsidR="00644BD6" w:rsidRPr="00074190" w:rsidTr="008E6B5B">
        <w:trPr>
          <w:trHeight w:val="1"/>
        </w:trPr>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sz w:val="24"/>
                <w:szCs w:val="24"/>
              </w:rPr>
              <w:t xml:space="preserve">Lo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"10.1097/01.TP.0000046534.45645.47", "ISSN" : "0041-1337", "PMID" : "12589131", "abstract" : "A multicenter survey was conducted regarding the safety and outcome of living liver donors in Asia. Five Asian liver transplant centers reported a total of 1,508 living donor liver transplantations (LDLT) performed between January 1990 and December 2001. The recipients consisted of 766 adults and 742 children. The graft types were left lateral or extended left lateral segment in 605, left lobe in 334, right lobe or right lateral sector in 561, and not classified in eight cases. The donor blood loss was less than 1,000 mL in 94.1% of the cases, and 0.53% of the donors received banked blood transfusion. The overall donor complication rate was 15.8%, and 1.1% of donors underwent reoperation. The complication rate was higher in right lobe (28%) than in left lateral segment (9.3%) or left lobe (7.5%) donors. In particular, right lobe donors had more serious complications such as cholestasis (7.3%), bile leakage (6.1%), biliary stricture (1.1%), portal vein thrombosis (0.5%), intra-abdominal bleeding (0.5%), and pulmonary embolism (0.5%). There was no hospital mortality, but there was one late donor death 3 years after operation. Long-term follow-up beyond 3 months was available in 15.1% of the donors only. The data from the multicenter study set the standard for the safety of living liver donors in high-volume liver transplant centers in Asia and provide further justification for the continued application of LDLT in the face of the critical organ shortage in Asia. The long-term outcome of liver donation, however, remains unknown, and transplant centers should continue their follow-up of donors.", "author" : [ { "dropping-particle" : "", "family" : "Lo", "given" : "Chung-Mau", "non-dropping-particle" : "", "parse-names" : false, "suffix" : "" } ], "container-title" : "Transplantation", "id" : "ITEM-1", "issue" : "3 Suppl", "issued" : { "date-parts" : [ [ "2003", "2", "15" ] ] }, "page" : "S12-5", "title" : "Complications and long-term outcome of living liver donors: a survey of 1,508 cases in five Asian centers.", "type" : "article-journal", "volume" : "75" }, "uris" : [ "http://www.mendeley.com/documents/?uuid=6662deec-ac34-4fbb-af1b-b6cf7ae07413" ] } ], "mendeley" : { "formattedCitation" : "&lt;sup&gt;79&lt;/sup&gt;", "plainTextFormattedCitation" : "79", "previouslyFormattedCitation" : "&lt;sup&gt;79&lt;/sup&gt;"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79</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p w:rsidR="00644BD6" w:rsidRPr="00074190" w:rsidRDefault="00644BD6" w:rsidP="00074190">
            <w:pPr>
              <w:spacing w:after="0" w:line="360" w:lineRule="auto"/>
              <w:jc w:val="both"/>
              <w:rPr>
                <w:rFonts w:ascii="Book Antiqua" w:hAnsi="Book Antiqua"/>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sz w:val="24"/>
                <w:szCs w:val="24"/>
              </w:rPr>
            </w:pPr>
            <w:r w:rsidRPr="00074190">
              <w:rPr>
                <w:rFonts w:ascii="Book Antiqua" w:eastAsia="Book Antiqua" w:hAnsi="Book Antiqua" w:cs="Book Antiqua"/>
                <w:sz w:val="24"/>
                <w:szCs w:val="24"/>
              </w:rPr>
              <w:t>561</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sz w:val="24"/>
                <w:szCs w:val="24"/>
              </w:rPr>
              <w:t>939</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right</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left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6.1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1.1</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7.1</w:t>
            </w:r>
          </w:p>
        </w:tc>
      </w:tr>
      <w:tr w:rsidR="00644BD6" w:rsidRPr="00074190" w:rsidTr="008E6B5B">
        <w:trPr>
          <w:trHeight w:val="1"/>
        </w:trPr>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sz w:val="24"/>
                <w:szCs w:val="24"/>
              </w:rPr>
              <w:t xml:space="preserve">Shio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w:t>
            </w:r>
            <w:r w:rsidRPr="00074190">
              <w:rPr>
                <w:rFonts w:ascii="Book Antiqua" w:eastAsia="Book Antiqua" w:hAnsi="Book Antiqua" w:cs="Book Antiqua"/>
                <w:sz w:val="24"/>
                <w:szCs w:val="24"/>
                <w:vertAlign w:val="superscript"/>
              </w:rPr>
              <w:fldChar w:fldCharType="begin" w:fldLock="1"/>
            </w:r>
            <w:r w:rsidRPr="00074190">
              <w:rPr>
                <w:rFonts w:ascii="Book Antiqua" w:eastAsia="Book Antiqua" w:hAnsi="Book Antiqua" w:cs="Book Antiqua"/>
                <w:sz w:val="24"/>
                <w:szCs w:val="24"/>
                <w:vertAlign w:val="superscript"/>
              </w:rPr>
              <w:instrText>ADDIN CSL_CITATION { "citationItems" : [ { "id" : "ITEM-1", "itemData" : { "DOI" : "10.1111/j.1572-0241.2008.01786.x", "ISSN" : "1572-0241", "PMID" : "18510614", "abstract" : "OBJECTIVES: With the increasing number of living donor liver transplantations, biliary complications in donors have emerged as a major postoperative problem. The aim of the present study was to characterize the features of the biliary complications that occur in donors.\n\nMETHODS: The study subjects comprised 731 consecutive patients who donated liver grafts (434 right-lobe and 297 left-lobe grafts) for transplantation at Kyoto University Hospital from July 1999 to December 2006. Donors whose biliary complications could not be cured by conservative therapy were referred for endoscopic treatment.\n\nRESULTS: Postoperative biliary complications occurred in 55 (7.5%) donors. Initially, 48 of these 55 donors had biliary leakage and 7 had biliary stricture. Subsequently, 5 of 48 donors with leakage developed biliary stricture. The respective incidences of biliary leakage and overall biliary complications were significantly higher among donors of right-lobe grafts (9.9% and 11.1%) than among donors of left-lobe grafts (1.7% and 2.4%). Among 55 donors with biliary complications, 24 were cured by conservative therapy, and 1 was converted to surgical repair due to ileus. Endoscopic treatment was successful in 24 of 30 (80%) donors treated by endoscopic retrograde cholangiography, while the remaining 6 (20%) patients underwent surgery due to difficulties with cannulation (N = 2), excessive biliary leakage (N = 2), or complete biliary obstruction (N = 2).\n\nCONCLUSIONS: Donors of right-lobe grafts have a significantly higher incidence of biliary complications than donors of left-lobe grafts. When conservative therapy fails, endoscopic treatment is effective for these complications, and should be attempted as the first-line therapy before surgical repair.", "author" : [ { "dropping-particle" : "", "family" : "Shio", "given" : "Seiji", "non-dropping-particle" : "", "parse-names" : false, "suffix" : "" }, { "dropping-particle" : "", "family" : "Yazumi", "given" : "Shujiro", "non-dropping-particle" : "", "parse-names" : false, "suffix" : "" }, { "dropping-particle" : "", "family" : "Ogawa", "given" : "Kohei", "non-dropping-particle" : "", "parse-names" : false, "suffix" : "" }, { "dropping-particle" : "", "family" : "Hasegawa", "given" : "Kazunori", "non-dropping-particle" : "", "parse-names" : false, "suffix" : "" }, { "dropping-particle" : "", "family" : "Tsuji", "given" : "Yoshihisa", "non-dropping-particle" : "", "parse-names" : false, "suffix" : "" }, { "dropping-particle" : "", "family" : "Kida", "given" : "Masaya", "non-dropping-particle" : "", "parse-names" : false, "suffix" : "" }, { "dropping-particle" : "", "family" : "Yamauchi", "given" : "Junichi", "non-dropping-particle" : "", "parse-names" : false, "suffix" : "" }, { "dropping-particle" : "", "family" : "Ida", "given" : "Hiroshi", "non-dropping-particle" : "", "parse-names" : false, "suffix" : "" }, { "dropping-particle" : "", "family" : "Tada", "given" : "Shinsuke", "non-dropping-particle" : "", "parse-names" : false, "suffix" : "" }, { "dropping-particle" : "", "family" : "Uemoto", "given" : "Shinji", "non-dropping-particle" : "", "parse-names" : false, "suffix" : "" }, { "dropping-particle" : "", "family" : "Chiba", "given" : "Tsutomu", "non-dropping-particle" : "", "parse-names" : false, "suffix" : "" } ], "container-title" : "The American journal of gastroenterology", "id" : "ITEM-1", "issue" : "6", "issued" : { "date-parts" : [ [ "2008", "6" ] ] }, "page" : "1393-8", "title" : "Biliary complications in donors for living donor liver transplantation.", "type" : "article-journal", "volume" : "103" }, "uris" : [ "http://www.mendeley.com/documents/?uuid=eb70d438-1573-46fc-a601-6bd81ad6edf5" ] } ], "mendeley" : { "formattedCitation" : "&lt;sup&gt;75&lt;/sup&gt;", "plainTextFormattedCitation" : "75", "previouslyFormattedCitation" : "&lt;sup&gt;75&lt;/sup&gt;" }, "properties" : { "noteIndex" : 0 }, "schema" : "https://github.com/citation-style-language/schema/raw/master/csl-citation.json" }</w:instrText>
            </w:r>
            <w:r w:rsidRPr="00074190">
              <w:rPr>
                <w:rFonts w:ascii="Book Antiqua" w:eastAsia="Book Antiqua" w:hAnsi="Book Antiqua" w:cs="Book Antiqua"/>
                <w:sz w:val="24"/>
                <w:szCs w:val="24"/>
                <w:vertAlign w:val="superscript"/>
              </w:rPr>
              <w:fldChar w:fldCharType="separate"/>
            </w:r>
            <w:r w:rsidRPr="00074190">
              <w:rPr>
                <w:rFonts w:ascii="Book Antiqua" w:eastAsia="Book Antiqua" w:hAnsi="Book Antiqua" w:cs="Book Antiqua"/>
                <w:noProof/>
                <w:sz w:val="24"/>
                <w:szCs w:val="24"/>
                <w:vertAlign w:val="superscript"/>
              </w:rPr>
              <w:t>75</w:t>
            </w:r>
            <w:r w:rsidRPr="00074190">
              <w:rPr>
                <w:rFonts w:ascii="Book Antiqua" w:eastAsia="Book Antiqua" w:hAnsi="Book Antiqua" w:cs="Book Antiqua"/>
                <w:sz w:val="24"/>
                <w:szCs w:val="24"/>
                <w:vertAlign w:val="superscript"/>
              </w:rPr>
              <w:fldChar w:fldCharType="end"/>
            </w:r>
            <w:r w:rsidRPr="00074190">
              <w:rPr>
                <w:rFonts w:ascii="Book Antiqua" w:eastAsia="Book Antiqua" w:hAnsi="Book Antiqua" w:cs="Book Antiqua"/>
                <w:sz w:val="24"/>
                <w:szCs w:val="24"/>
                <w:vertAlign w:val="superscript"/>
              </w:rPr>
              <w: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434</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297</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right</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left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9.9</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1.7</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2.1</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1</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Book Antiqua" w:hAnsi="Book Antiqua" w:cs="Book Antiqua"/>
                <w:color w:val="000000"/>
                <w:sz w:val="24"/>
                <w:szCs w:val="24"/>
              </w:rPr>
            </w:pPr>
            <w:r w:rsidRPr="00074190">
              <w:rPr>
                <w:rFonts w:ascii="Book Antiqua" w:eastAsia="Book Antiqua" w:hAnsi="Book Antiqua" w:cs="Book Antiqua"/>
                <w:color w:val="000000"/>
                <w:sz w:val="24"/>
                <w:szCs w:val="24"/>
              </w:rPr>
              <w:t>11.1</w:t>
            </w:r>
          </w:p>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2.4</w:t>
            </w:r>
          </w:p>
        </w:tc>
      </w:tr>
      <w:tr w:rsidR="00644BD6" w:rsidRPr="00074190" w:rsidTr="008E6B5B">
        <w:trPr>
          <w:trHeight w:val="1"/>
        </w:trPr>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sz w:val="24"/>
                <w:szCs w:val="24"/>
              </w:rPr>
              <w:t xml:space="preserve">Ghobrial </w:t>
            </w:r>
            <w:r w:rsidRPr="00074190">
              <w:rPr>
                <w:rFonts w:ascii="Book Antiqua" w:eastAsia="Book Antiqua" w:hAnsi="Book Antiqua" w:cs="Book Antiqua"/>
                <w:i/>
                <w:sz w:val="24"/>
                <w:szCs w:val="24"/>
              </w:rPr>
              <w:t>et al</w:t>
            </w:r>
            <w:r w:rsidRPr="00074190">
              <w:rPr>
                <w:rFonts w:ascii="Book Antiqua" w:eastAsia="Book Antiqua" w:hAnsi="Book Antiqua" w:cs="Book Antiqua"/>
                <w:sz w:val="24"/>
                <w:szCs w:val="24"/>
                <w:vertAlign w:val="superscript"/>
              </w:rPr>
              <w:t>[67]</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393</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right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9</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0.5</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sz w:val="24"/>
                <w:szCs w:val="24"/>
              </w:rPr>
            </w:pPr>
            <w:r w:rsidRPr="00074190">
              <w:rPr>
                <w:rFonts w:ascii="Book Antiqua" w:eastAsia="Book Antiqua" w:hAnsi="Book Antiqua" w:cs="Book Antiqua"/>
                <w:color w:val="000000"/>
                <w:sz w:val="24"/>
                <w:szCs w:val="24"/>
              </w:rPr>
              <w:t>9.6</w:t>
            </w:r>
          </w:p>
        </w:tc>
      </w:tr>
      <w:tr w:rsidR="00644BD6" w:rsidRPr="00074190" w:rsidTr="008E6B5B">
        <w:trPr>
          <w:trHeight w:val="1"/>
        </w:trPr>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 xml:space="preserve">Ozgor </w:t>
            </w:r>
            <w:r w:rsidRPr="00074190">
              <w:rPr>
                <w:rFonts w:ascii="Book Antiqua" w:eastAsia="Calibri" w:hAnsi="Book Antiqua" w:cs="Times New Roman"/>
                <w:i/>
                <w:color w:val="000000" w:themeColor="text1"/>
                <w:sz w:val="24"/>
                <w:szCs w:val="24"/>
              </w:rPr>
              <w:t>et al</w:t>
            </w:r>
            <w:r w:rsidRPr="00074190">
              <w:rPr>
                <w:rFonts w:ascii="Book Antiqua" w:eastAsia="Calibri" w:hAnsi="Book Antiqua" w:cs="Times New Roman"/>
                <w:color w:val="000000" w:themeColor="text1"/>
                <w:sz w:val="24"/>
                <w:szCs w:val="24"/>
                <w:vertAlign w:val="superscript"/>
              </w:rPr>
              <w:t>[</w:t>
            </w:r>
            <w:r w:rsidRPr="00074190">
              <w:rPr>
                <w:rFonts w:ascii="Book Antiqua" w:eastAsia="Calibri" w:hAnsi="Book Antiqua" w:cs="Times New Roman"/>
                <w:color w:val="000000" w:themeColor="text1"/>
                <w:sz w:val="24"/>
                <w:szCs w:val="24"/>
                <w:vertAlign w:val="superscript"/>
              </w:rPr>
              <w:fldChar w:fldCharType="begin" w:fldLock="1"/>
            </w:r>
            <w:r w:rsidRPr="00074190">
              <w:rPr>
                <w:rFonts w:ascii="Book Antiqua" w:eastAsia="Calibri" w:hAnsi="Book Antiqua" w:cs="Times New Roman"/>
                <w:color w:val="000000" w:themeColor="text1"/>
                <w:sz w:val="24"/>
                <w:szCs w:val="24"/>
                <w:vertAlign w:val="superscript"/>
              </w:rPr>
              <w:instrText>ADDIN CSL_CITATION { "citationItems" : [ { "id" : "ITEM-1", "itemData" : { "DOI" : "10.1016/j.transproceed.2012.04.002", "ISSN" : "1873-2623", "PMID" : "22841225", "abstract" : "INTRODUCTION: Living donor liver transplantation (LDLT) has become necessary because of the shortage of cadaveric organs. We retrospectively analyzed 500 living donor hepatectomies using the Clavien classification system for complications to grade their severity.\n\nMATERIALS AND METHODS: We retrospectively identified and applied the Clavien classification to 500 consecutive donors who underwent right for LDLT left hepatectomy between January 2007 and August 2011.\n\nRESULTS: The 149 complications were observed in 93 of 500 (18.6%) donors who were followed for a mean 30 months. There wan no donor mortality. Complications developed in 85 (18.6%) right 5 (35.7%) left, and 3 (10%) left lateral segment hepatectomy donors. The overall incidence of reoperations was 7.2%. Seventy-seven of 149 complications were grade I (51.6%) or 9 grade II (6%). The major complications consisted of 27 (18.1%) grade IIIa, 35 (23.4%) grade IIIb, and 1 (0.6%) grade IVa. Grade IVb and grade V complications did not occur. The most common problems were biliary complications in 14 of 181 donors (7.7%).\n\nCONCLUSION: Donors for LDLT experienced a range of complications.", "author" : [ { "dropping-particle" : "", "family" : "Ozgor", "given" : "D", "non-dropping-particle" : "", "parse-names" : false, "suffix" : "" }, { "dropping-particle" : "", "family" : "Dirican", "given" : "A", "non-dropping-particle" : "", "parse-names" : false, "suffix" : "" }, { "dropping-particle" : "", "family" : "Ates", "given" : "M", "non-dropping-particle" : "", "parse-names" : false, "suffix" : "" }, { "dropping-particle" : "", "family" : "G\u00f6n\u00fcltas", "given" : "F", "non-dropping-particle" : "", "parse-names" : false, "suffix" : "" }, { "dropping-particle" : "", "family" : "Ara", "given" : "C", "non-dropping-particle" : "", "parse-names" : false, "suffix" : "" }, { "dropping-particle" : "", "family" : "Yilmaz", "given" : "S", "non-dropping-particle" : "", "parse-names" : false, "suffix" : "" } ], "container-title" : "Transplantation proceedings", "id" : "ITEM-1", "issue" : "6", "issued" : { "date-parts" : [ [ "0" ] ] }, "page" : "1604-7", "title" : "Donor complications among 500 living donor liver transplantations at a single center.", "type" : "article-journal", "volume" : "44" }, "uris" : [ "http://www.mendeley.com/documents/?uuid=cdd98f7d-1631-4fd9-b5f3-30f5d800ed35" ] } ], "mendeley" : { "formattedCitation" : "&lt;sup&gt;74&lt;/sup&gt;", "plainTextFormattedCitation" : "74", "previouslyFormattedCitation" : "&lt;sup&gt;74&lt;/sup&gt;" }, "properties" : { "noteIndex" : 0 }, "schema" : "https://github.com/citation-style-language/schema/raw/master/csl-citation.json" }</w:instrText>
            </w:r>
            <w:r w:rsidRPr="00074190">
              <w:rPr>
                <w:rFonts w:ascii="Book Antiqua" w:eastAsia="Calibri" w:hAnsi="Book Antiqua" w:cs="Times New Roman"/>
                <w:color w:val="000000" w:themeColor="text1"/>
                <w:sz w:val="24"/>
                <w:szCs w:val="24"/>
                <w:vertAlign w:val="superscript"/>
              </w:rPr>
              <w:fldChar w:fldCharType="separate"/>
            </w:r>
            <w:r w:rsidRPr="00074190">
              <w:rPr>
                <w:rFonts w:ascii="Book Antiqua" w:eastAsia="Calibri" w:hAnsi="Book Antiqua" w:cs="Times New Roman"/>
                <w:noProof/>
                <w:color w:val="000000" w:themeColor="text1"/>
                <w:sz w:val="24"/>
                <w:szCs w:val="24"/>
                <w:vertAlign w:val="superscript"/>
              </w:rPr>
              <w:t>74</w:t>
            </w:r>
            <w:r w:rsidRPr="00074190">
              <w:rPr>
                <w:rFonts w:ascii="Book Antiqua" w:eastAsia="Calibri" w:hAnsi="Book Antiqua" w:cs="Times New Roman"/>
                <w:color w:val="000000" w:themeColor="text1"/>
                <w:sz w:val="24"/>
                <w:szCs w:val="24"/>
                <w:vertAlign w:val="superscript"/>
              </w:rPr>
              <w:fldChar w:fldCharType="end"/>
            </w:r>
            <w:r w:rsidRPr="00074190">
              <w:rPr>
                <w:rFonts w:ascii="Book Antiqua" w:eastAsia="Calibri" w:hAnsi="Book Antiqua" w:cs="Times New Roman"/>
                <w:color w:val="000000" w:themeColor="text1"/>
                <w:sz w:val="24"/>
                <w:szCs w:val="24"/>
                <w:vertAlign w:val="superscript"/>
              </w:rPr>
              <w: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500</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right</w:t>
            </w:r>
          </w:p>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left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cs="Times New Roman"/>
                <w:color w:val="000000" w:themeColor="text1"/>
                <w:sz w:val="24"/>
                <w:szCs w:val="24"/>
              </w:rPr>
            </w:pPr>
            <w:r w:rsidRPr="00074190">
              <w:rPr>
                <w:rFonts w:ascii="Book Antiqua" w:eastAsia="Book Antiqua" w:hAnsi="Book Antiqua" w:cs="Times New Roman"/>
                <w:color w:val="000000" w:themeColor="text1"/>
                <w:sz w:val="24"/>
                <w:szCs w:val="24"/>
              </w:rPr>
              <w:t>10.8</w:t>
            </w:r>
          </w:p>
        </w:tc>
      </w:tr>
      <w:tr w:rsidR="00644BD6" w:rsidRPr="00074190" w:rsidTr="008E6B5B">
        <w:trPr>
          <w:trHeight w:val="1"/>
        </w:trPr>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European Liver transplant regi</w:t>
            </w:r>
            <w:bookmarkStart w:id="10" w:name="_GoBack"/>
            <w:bookmarkEnd w:id="10"/>
            <w:r w:rsidRPr="00074190">
              <w:rPr>
                <w:rFonts w:ascii="Book Antiqua" w:eastAsia="Calibri" w:hAnsi="Book Antiqua" w:cs="Times New Roman"/>
                <w:color w:val="000000" w:themeColor="text1"/>
                <w:sz w:val="24"/>
                <w:szCs w:val="24"/>
              </w:rPr>
              <w:t>stry</w:t>
            </w:r>
            <w:r w:rsidRPr="00074190">
              <w:rPr>
                <w:rFonts w:ascii="Book Antiqua" w:eastAsia="Calibri" w:hAnsi="Book Antiqua" w:cs="Times New Roman"/>
                <w:color w:val="000000" w:themeColor="text1"/>
                <w:sz w:val="24"/>
                <w:szCs w:val="24"/>
                <w:vertAlign w:val="superscript"/>
              </w:rPr>
              <w:t>[</w:t>
            </w:r>
            <w:r w:rsidRPr="00074190">
              <w:rPr>
                <w:rFonts w:ascii="Book Antiqua" w:eastAsia="Calibri" w:hAnsi="Book Antiqua" w:cs="Times New Roman"/>
                <w:color w:val="000000" w:themeColor="text1"/>
                <w:sz w:val="24"/>
                <w:szCs w:val="24"/>
                <w:vertAlign w:val="superscript"/>
              </w:rPr>
              <w:fldChar w:fldCharType="begin" w:fldLock="1"/>
            </w:r>
            <w:r w:rsidRPr="00074190">
              <w:rPr>
                <w:rFonts w:ascii="Book Antiqua" w:eastAsia="Calibri" w:hAnsi="Book Antiqua" w:cs="Times New Roman"/>
                <w:color w:val="000000" w:themeColor="text1"/>
                <w:sz w:val="24"/>
                <w:szCs w:val="24"/>
                <w:vertAlign w:val="superscript"/>
              </w:rPr>
              <w:instrText>ADDIN CSL_CITATION { "citationItems" : [ { "id" : "ITEM-1", "itemData" : { "URL" : "http://www.eltr.org/", "accessed" : { "date-parts" : [ [ "2015", "1", "8" ] ] }, "id" : "ITEM-1", "issued" : { "date-parts" : [ [ "0" ] ] }, "title" : "European Liver Transplant Registry - ELTR", "type" : "webpage" }, "uris" : [ "http://www.mendeley.com/documents/?uuid=2adfb9bd-b5dc-4f17-94b3-a2bf9e28bd91" ] } ], "mendeley" : { "formattedCitation" : "&lt;sup&gt;80&lt;/sup&gt;", "plainTextFormattedCitation" : "80", "previouslyFormattedCitation" : "&lt;sup&gt;80&lt;/sup&gt;" }, "properties" : { "noteIndex" : 0 }, "schema" : "https://github.com/citation-style-language/schema/raw/master/csl-citation.json" }</w:instrText>
            </w:r>
            <w:r w:rsidRPr="00074190">
              <w:rPr>
                <w:rFonts w:ascii="Book Antiqua" w:eastAsia="Calibri" w:hAnsi="Book Antiqua" w:cs="Times New Roman"/>
                <w:color w:val="000000" w:themeColor="text1"/>
                <w:sz w:val="24"/>
                <w:szCs w:val="24"/>
                <w:vertAlign w:val="superscript"/>
              </w:rPr>
              <w:fldChar w:fldCharType="separate"/>
            </w:r>
            <w:r w:rsidRPr="00074190">
              <w:rPr>
                <w:rFonts w:ascii="Book Antiqua" w:eastAsia="Calibri" w:hAnsi="Book Antiqua" w:cs="Times New Roman"/>
                <w:noProof/>
                <w:color w:val="000000" w:themeColor="text1"/>
                <w:sz w:val="24"/>
                <w:szCs w:val="24"/>
                <w:vertAlign w:val="superscript"/>
              </w:rPr>
              <w:t>80</w:t>
            </w:r>
            <w:r w:rsidRPr="00074190">
              <w:rPr>
                <w:rFonts w:ascii="Book Antiqua" w:eastAsia="Calibri" w:hAnsi="Book Antiqua" w:cs="Times New Roman"/>
                <w:color w:val="000000" w:themeColor="text1"/>
                <w:sz w:val="24"/>
                <w:szCs w:val="24"/>
                <w:vertAlign w:val="superscript"/>
              </w:rPr>
              <w:fldChar w:fldCharType="end"/>
            </w:r>
            <w:r w:rsidRPr="00074190">
              <w:rPr>
                <w:rFonts w:ascii="Book Antiqua" w:eastAsia="Calibri" w:hAnsi="Book Antiqua" w:cs="Times New Roman"/>
                <w:color w:val="000000" w:themeColor="text1"/>
                <w:sz w:val="24"/>
                <w:szCs w:val="24"/>
                <w:vertAlign w:val="superscript"/>
              </w:rPr>
              <w:t>]</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276</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 xml:space="preserve">right </w:t>
            </w:r>
          </w:p>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left</w:t>
            </w:r>
          </w:p>
        </w:tc>
        <w:tc>
          <w:tcPr>
            <w:tcW w:w="1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5</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eastAsia="Calibri" w:hAnsi="Book Antiqua" w:cs="Times New Roman"/>
                <w:color w:val="000000" w:themeColor="text1"/>
                <w:sz w:val="24"/>
                <w:szCs w:val="24"/>
              </w:rPr>
            </w:pPr>
            <w:r w:rsidRPr="00074190">
              <w:rPr>
                <w:rFonts w:ascii="Book Antiqua" w:eastAsia="Calibri" w:hAnsi="Book Antiqua" w:cs="Times New Roman"/>
                <w:color w:val="000000" w:themeColor="text1"/>
                <w:sz w:val="24"/>
                <w:szCs w:val="24"/>
              </w:rPr>
              <w:t>3</w:t>
            </w:r>
          </w:p>
        </w:tc>
        <w:tc>
          <w:tcPr>
            <w:tcW w:w="1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4BD6" w:rsidRPr="00074190" w:rsidRDefault="00644BD6" w:rsidP="00074190">
            <w:pPr>
              <w:spacing w:after="0" w:line="360" w:lineRule="auto"/>
              <w:jc w:val="both"/>
              <w:rPr>
                <w:rFonts w:ascii="Book Antiqua" w:hAnsi="Book Antiqua" w:cs="Times New Roman"/>
                <w:color w:val="000000" w:themeColor="text1"/>
                <w:sz w:val="24"/>
                <w:szCs w:val="24"/>
              </w:rPr>
            </w:pPr>
            <w:r w:rsidRPr="00074190">
              <w:rPr>
                <w:rFonts w:ascii="Book Antiqua" w:eastAsia="Book Antiqua" w:hAnsi="Book Antiqua" w:cs="Times New Roman"/>
                <w:color w:val="000000" w:themeColor="text1"/>
                <w:sz w:val="24"/>
                <w:szCs w:val="24"/>
              </w:rPr>
              <w:t>8</w:t>
            </w:r>
          </w:p>
        </w:tc>
      </w:tr>
    </w:tbl>
    <w:p w:rsidR="003B7BED" w:rsidRPr="00074190" w:rsidRDefault="003B7BED" w:rsidP="00074190">
      <w:pPr>
        <w:spacing w:after="0" w:line="360" w:lineRule="auto"/>
        <w:jc w:val="both"/>
        <w:rPr>
          <w:rFonts w:ascii="Book Antiqua" w:hAnsi="Book Antiqua" w:cs="Book Antiqua"/>
          <w:sz w:val="24"/>
          <w:szCs w:val="24"/>
          <w:lang w:eastAsia="zh-CN"/>
        </w:rPr>
      </w:pPr>
    </w:p>
    <w:sectPr w:rsidR="003B7BED" w:rsidRPr="00074190" w:rsidSect="004B43CA">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0E3176" w:rsidRDefault="000E3176" w:rsidP="00B67770">
      <w:pPr>
        <w:spacing w:after="0" w:line="240" w:lineRule="auto"/>
      </w:pPr>
      <w:r>
        <w:separator/>
      </w:r>
    </w:p>
  </w:endnote>
  <w:endnote w:type="continuationSeparator" w:id="0">
    <w:p w:rsidR="000E3176" w:rsidRDefault="000E3176" w:rsidP="00B67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MTSY">
    <w:altName w:val="Arial Unicode MS"/>
    <w:panose1 w:val="00000000000000000000"/>
    <w:charset w:val="81"/>
    <w:family w:val="auto"/>
    <w:notTrueType/>
    <w:pitch w:val="default"/>
    <w:sig w:usb0="00000000" w:usb1="09060000" w:usb2="00000010" w:usb3="00000000" w:csb0="00080000" w:csb1="00000000"/>
  </w:font>
  <w:font w:name="Univers-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0E3176" w:rsidRDefault="000E3176" w:rsidP="00B67770">
      <w:pPr>
        <w:spacing w:after="0" w:line="240" w:lineRule="auto"/>
      </w:pPr>
      <w:r>
        <w:separator/>
      </w:r>
    </w:p>
  </w:footnote>
  <w:footnote w:type="continuationSeparator" w:id="0">
    <w:p w:rsidR="000E3176" w:rsidRDefault="000E3176" w:rsidP="00B6777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88047"/>
      <w:docPartObj>
        <w:docPartGallery w:val="Page Numbers (Top of Page)"/>
        <w:docPartUnique/>
      </w:docPartObj>
    </w:sdtPr>
    <w:sdtEndPr/>
    <w:sdtContent>
      <w:p w:rsidR="00F9310D" w:rsidRDefault="00F9310D">
        <w:pPr>
          <w:pStyle w:val="Header"/>
        </w:pPr>
        <w:r>
          <w:fldChar w:fldCharType="begin"/>
        </w:r>
        <w:r>
          <w:instrText xml:space="preserve"> PAGE   \* MERGEFORMAT </w:instrText>
        </w:r>
        <w:r>
          <w:fldChar w:fldCharType="separate"/>
        </w:r>
        <w:r w:rsidR="00D17AB8">
          <w:rPr>
            <w:noProof/>
          </w:rPr>
          <w:t>1</w:t>
        </w:r>
        <w:r>
          <w:rPr>
            <w:noProof/>
          </w:rPr>
          <w:fldChar w:fldCharType="end"/>
        </w:r>
      </w:p>
    </w:sdtContent>
  </w:sdt>
  <w:p w:rsidR="00F9310D" w:rsidRDefault="00F931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013"/>
    <w:rsid w:val="00025173"/>
    <w:rsid w:val="00051B18"/>
    <w:rsid w:val="00065D7D"/>
    <w:rsid w:val="00074190"/>
    <w:rsid w:val="000809EE"/>
    <w:rsid w:val="00094042"/>
    <w:rsid w:val="000A2513"/>
    <w:rsid w:val="000C23F8"/>
    <w:rsid w:val="000C6A1B"/>
    <w:rsid w:val="000E2E75"/>
    <w:rsid w:val="000E3176"/>
    <w:rsid w:val="000F5C96"/>
    <w:rsid w:val="00116B23"/>
    <w:rsid w:val="00121F30"/>
    <w:rsid w:val="00133FCA"/>
    <w:rsid w:val="00142851"/>
    <w:rsid w:val="00156DAE"/>
    <w:rsid w:val="001A6EF9"/>
    <w:rsid w:val="001A7091"/>
    <w:rsid w:val="001B27D0"/>
    <w:rsid w:val="001D66CE"/>
    <w:rsid w:val="0020611C"/>
    <w:rsid w:val="00241956"/>
    <w:rsid w:val="00247E55"/>
    <w:rsid w:val="002F6260"/>
    <w:rsid w:val="003B7BED"/>
    <w:rsid w:val="003C18E3"/>
    <w:rsid w:val="003C5BE1"/>
    <w:rsid w:val="003E29A3"/>
    <w:rsid w:val="003F3BC0"/>
    <w:rsid w:val="004354C0"/>
    <w:rsid w:val="00437A94"/>
    <w:rsid w:val="00470CF4"/>
    <w:rsid w:val="004770AC"/>
    <w:rsid w:val="004B3D5A"/>
    <w:rsid w:val="004B43CA"/>
    <w:rsid w:val="004F54FD"/>
    <w:rsid w:val="00503C76"/>
    <w:rsid w:val="005327DD"/>
    <w:rsid w:val="00534DA0"/>
    <w:rsid w:val="00535B2B"/>
    <w:rsid w:val="00544A9A"/>
    <w:rsid w:val="00572983"/>
    <w:rsid w:val="005834A8"/>
    <w:rsid w:val="0059562B"/>
    <w:rsid w:val="005A38DA"/>
    <w:rsid w:val="005D1538"/>
    <w:rsid w:val="005E3013"/>
    <w:rsid w:val="00644BD6"/>
    <w:rsid w:val="00664498"/>
    <w:rsid w:val="006953C5"/>
    <w:rsid w:val="006A074B"/>
    <w:rsid w:val="006E731C"/>
    <w:rsid w:val="007236BA"/>
    <w:rsid w:val="007A2D1E"/>
    <w:rsid w:val="007B22CE"/>
    <w:rsid w:val="007C07D9"/>
    <w:rsid w:val="007C3C9B"/>
    <w:rsid w:val="007D69B5"/>
    <w:rsid w:val="007F6FBE"/>
    <w:rsid w:val="008146AA"/>
    <w:rsid w:val="00830FB4"/>
    <w:rsid w:val="008822FF"/>
    <w:rsid w:val="008878FC"/>
    <w:rsid w:val="008F74B8"/>
    <w:rsid w:val="0090605C"/>
    <w:rsid w:val="0092638C"/>
    <w:rsid w:val="00926D05"/>
    <w:rsid w:val="00944635"/>
    <w:rsid w:val="009624AE"/>
    <w:rsid w:val="00980099"/>
    <w:rsid w:val="00996A85"/>
    <w:rsid w:val="00A000CE"/>
    <w:rsid w:val="00A018D5"/>
    <w:rsid w:val="00A316CB"/>
    <w:rsid w:val="00A45F29"/>
    <w:rsid w:val="00A71605"/>
    <w:rsid w:val="00AC5879"/>
    <w:rsid w:val="00AF2320"/>
    <w:rsid w:val="00B03E6C"/>
    <w:rsid w:val="00B04F1C"/>
    <w:rsid w:val="00B0728A"/>
    <w:rsid w:val="00B27FC0"/>
    <w:rsid w:val="00B36CB7"/>
    <w:rsid w:val="00B67770"/>
    <w:rsid w:val="00B72D3D"/>
    <w:rsid w:val="00C05982"/>
    <w:rsid w:val="00C30979"/>
    <w:rsid w:val="00C31D17"/>
    <w:rsid w:val="00C44C7A"/>
    <w:rsid w:val="00C45A27"/>
    <w:rsid w:val="00C47885"/>
    <w:rsid w:val="00C55586"/>
    <w:rsid w:val="00C63B2C"/>
    <w:rsid w:val="00C76A30"/>
    <w:rsid w:val="00CC1005"/>
    <w:rsid w:val="00D17AB8"/>
    <w:rsid w:val="00D31496"/>
    <w:rsid w:val="00D53FC3"/>
    <w:rsid w:val="00D63F24"/>
    <w:rsid w:val="00D66067"/>
    <w:rsid w:val="00D71AD3"/>
    <w:rsid w:val="00DC217A"/>
    <w:rsid w:val="00DD1D77"/>
    <w:rsid w:val="00DE366B"/>
    <w:rsid w:val="00E46FE4"/>
    <w:rsid w:val="00E81731"/>
    <w:rsid w:val="00E822DE"/>
    <w:rsid w:val="00EA5445"/>
    <w:rsid w:val="00EC6026"/>
    <w:rsid w:val="00ED2A50"/>
    <w:rsid w:val="00F1132C"/>
    <w:rsid w:val="00F541DF"/>
    <w:rsid w:val="00F74710"/>
    <w:rsid w:val="00F818B6"/>
    <w:rsid w:val="00F92EC6"/>
    <w:rsid w:val="00F9310D"/>
    <w:rsid w:val="00F97D07"/>
    <w:rsid w:val="00FC14DD"/>
    <w:rsid w:val="00FF5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879"/>
    <w:rPr>
      <w:rFonts w:ascii="Tahoma" w:hAnsi="Tahoma" w:cs="Tahoma"/>
      <w:sz w:val="16"/>
      <w:szCs w:val="16"/>
    </w:rPr>
  </w:style>
  <w:style w:type="paragraph" w:styleId="NormalWeb">
    <w:name w:val="Normal (Web)"/>
    <w:basedOn w:val="Normal"/>
    <w:uiPriority w:val="99"/>
    <w:unhideWhenUsed/>
    <w:rsid w:val="00CC1005"/>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B04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36CB7"/>
    <w:rPr>
      <w:sz w:val="16"/>
      <w:szCs w:val="16"/>
    </w:rPr>
  </w:style>
  <w:style w:type="paragraph" w:styleId="CommentText">
    <w:name w:val="annotation text"/>
    <w:basedOn w:val="Normal"/>
    <w:link w:val="CommentTextChar"/>
    <w:uiPriority w:val="99"/>
    <w:semiHidden/>
    <w:unhideWhenUsed/>
    <w:rsid w:val="00B36CB7"/>
    <w:pPr>
      <w:spacing w:line="240" w:lineRule="auto"/>
    </w:pPr>
    <w:rPr>
      <w:sz w:val="20"/>
      <w:szCs w:val="20"/>
    </w:rPr>
  </w:style>
  <w:style w:type="character" w:customStyle="1" w:styleId="CommentTextChar">
    <w:name w:val="Comment Text Char"/>
    <w:basedOn w:val="DefaultParagraphFont"/>
    <w:link w:val="CommentText"/>
    <w:uiPriority w:val="99"/>
    <w:semiHidden/>
    <w:rsid w:val="00B36CB7"/>
    <w:rPr>
      <w:sz w:val="20"/>
      <w:szCs w:val="20"/>
    </w:rPr>
  </w:style>
  <w:style w:type="paragraph" w:styleId="CommentSubject">
    <w:name w:val="annotation subject"/>
    <w:basedOn w:val="CommentText"/>
    <w:next w:val="CommentText"/>
    <w:link w:val="CommentSubjectChar"/>
    <w:uiPriority w:val="99"/>
    <w:semiHidden/>
    <w:unhideWhenUsed/>
    <w:rsid w:val="00B36CB7"/>
    <w:rPr>
      <w:b/>
      <w:bCs/>
    </w:rPr>
  </w:style>
  <w:style w:type="character" w:customStyle="1" w:styleId="CommentSubjectChar">
    <w:name w:val="Comment Subject Char"/>
    <w:basedOn w:val="CommentTextChar"/>
    <w:link w:val="CommentSubject"/>
    <w:uiPriority w:val="99"/>
    <w:semiHidden/>
    <w:rsid w:val="00B36CB7"/>
    <w:rPr>
      <w:b/>
      <w:bCs/>
      <w:sz w:val="20"/>
      <w:szCs w:val="20"/>
    </w:rPr>
  </w:style>
  <w:style w:type="character" w:styleId="Hyperlink">
    <w:name w:val="Hyperlink"/>
    <w:basedOn w:val="DefaultParagraphFont"/>
    <w:uiPriority w:val="99"/>
    <w:unhideWhenUsed/>
    <w:rsid w:val="001A6EF9"/>
    <w:rPr>
      <w:color w:val="0000FF" w:themeColor="hyperlink"/>
      <w:u w:val="single"/>
    </w:rPr>
  </w:style>
  <w:style w:type="paragraph" w:styleId="Header">
    <w:name w:val="header"/>
    <w:basedOn w:val="Normal"/>
    <w:link w:val="HeaderChar"/>
    <w:uiPriority w:val="99"/>
    <w:unhideWhenUsed/>
    <w:rsid w:val="00B67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770"/>
  </w:style>
  <w:style w:type="paragraph" w:styleId="Footer">
    <w:name w:val="footer"/>
    <w:basedOn w:val="Normal"/>
    <w:link w:val="FooterChar"/>
    <w:uiPriority w:val="99"/>
    <w:unhideWhenUsed/>
    <w:rsid w:val="00B67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770"/>
  </w:style>
  <w:style w:type="character" w:customStyle="1" w:styleId="apple-converted-space">
    <w:name w:val="apple-converted-space"/>
    <w:basedOn w:val="DefaultParagraphFont"/>
    <w:rsid w:val="003C5BE1"/>
  </w:style>
  <w:style w:type="character" w:customStyle="1" w:styleId="highlight">
    <w:name w:val="highlight"/>
    <w:basedOn w:val="DefaultParagraphFont"/>
    <w:rsid w:val="003C5BE1"/>
  </w:style>
  <w:style w:type="paragraph" w:styleId="BodyText">
    <w:name w:val="Body Text"/>
    <w:basedOn w:val="Normal"/>
    <w:link w:val="BodyTextChar"/>
    <w:semiHidden/>
    <w:rsid w:val="003C18E3"/>
    <w:pPr>
      <w:spacing w:after="0" w:line="240" w:lineRule="auto"/>
      <w:jc w:val="both"/>
    </w:pPr>
    <w:rPr>
      <w:rFonts w:ascii="Arial" w:eastAsia="宋体" w:hAnsi="Arial" w:cs="Arial"/>
      <w:sz w:val="24"/>
      <w:szCs w:val="24"/>
      <w:lang w:val="en" w:eastAsia="fr-FR"/>
    </w:rPr>
  </w:style>
  <w:style w:type="character" w:customStyle="1" w:styleId="BodyTextChar">
    <w:name w:val="Body Text Char"/>
    <w:basedOn w:val="DefaultParagraphFont"/>
    <w:link w:val="BodyText"/>
    <w:semiHidden/>
    <w:rsid w:val="003C18E3"/>
    <w:rPr>
      <w:rFonts w:ascii="Arial" w:eastAsia="宋体" w:hAnsi="Arial" w:cs="Arial"/>
      <w:sz w:val="24"/>
      <w:szCs w:val="24"/>
      <w:lang w:val="en" w:eastAsia="fr-FR"/>
    </w:rPr>
  </w:style>
  <w:style w:type="character" w:styleId="Strong">
    <w:name w:val="Strong"/>
    <w:qFormat/>
    <w:rsid w:val="003F3BC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879"/>
    <w:rPr>
      <w:rFonts w:ascii="Tahoma" w:hAnsi="Tahoma" w:cs="Tahoma"/>
      <w:sz w:val="16"/>
      <w:szCs w:val="16"/>
    </w:rPr>
  </w:style>
  <w:style w:type="paragraph" w:styleId="NormalWeb">
    <w:name w:val="Normal (Web)"/>
    <w:basedOn w:val="Normal"/>
    <w:uiPriority w:val="99"/>
    <w:unhideWhenUsed/>
    <w:rsid w:val="00CC1005"/>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B04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36CB7"/>
    <w:rPr>
      <w:sz w:val="16"/>
      <w:szCs w:val="16"/>
    </w:rPr>
  </w:style>
  <w:style w:type="paragraph" w:styleId="CommentText">
    <w:name w:val="annotation text"/>
    <w:basedOn w:val="Normal"/>
    <w:link w:val="CommentTextChar"/>
    <w:uiPriority w:val="99"/>
    <w:semiHidden/>
    <w:unhideWhenUsed/>
    <w:rsid w:val="00B36CB7"/>
    <w:pPr>
      <w:spacing w:line="240" w:lineRule="auto"/>
    </w:pPr>
    <w:rPr>
      <w:sz w:val="20"/>
      <w:szCs w:val="20"/>
    </w:rPr>
  </w:style>
  <w:style w:type="character" w:customStyle="1" w:styleId="CommentTextChar">
    <w:name w:val="Comment Text Char"/>
    <w:basedOn w:val="DefaultParagraphFont"/>
    <w:link w:val="CommentText"/>
    <w:uiPriority w:val="99"/>
    <w:semiHidden/>
    <w:rsid w:val="00B36CB7"/>
    <w:rPr>
      <w:sz w:val="20"/>
      <w:szCs w:val="20"/>
    </w:rPr>
  </w:style>
  <w:style w:type="paragraph" w:styleId="CommentSubject">
    <w:name w:val="annotation subject"/>
    <w:basedOn w:val="CommentText"/>
    <w:next w:val="CommentText"/>
    <w:link w:val="CommentSubjectChar"/>
    <w:uiPriority w:val="99"/>
    <w:semiHidden/>
    <w:unhideWhenUsed/>
    <w:rsid w:val="00B36CB7"/>
    <w:rPr>
      <w:b/>
      <w:bCs/>
    </w:rPr>
  </w:style>
  <w:style w:type="character" w:customStyle="1" w:styleId="CommentSubjectChar">
    <w:name w:val="Comment Subject Char"/>
    <w:basedOn w:val="CommentTextChar"/>
    <w:link w:val="CommentSubject"/>
    <w:uiPriority w:val="99"/>
    <w:semiHidden/>
    <w:rsid w:val="00B36CB7"/>
    <w:rPr>
      <w:b/>
      <w:bCs/>
      <w:sz w:val="20"/>
      <w:szCs w:val="20"/>
    </w:rPr>
  </w:style>
  <w:style w:type="character" w:styleId="Hyperlink">
    <w:name w:val="Hyperlink"/>
    <w:basedOn w:val="DefaultParagraphFont"/>
    <w:uiPriority w:val="99"/>
    <w:unhideWhenUsed/>
    <w:rsid w:val="001A6EF9"/>
    <w:rPr>
      <w:color w:val="0000FF" w:themeColor="hyperlink"/>
      <w:u w:val="single"/>
    </w:rPr>
  </w:style>
  <w:style w:type="paragraph" w:styleId="Header">
    <w:name w:val="header"/>
    <w:basedOn w:val="Normal"/>
    <w:link w:val="HeaderChar"/>
    <w:uiPriority w:val="99"/>
    <w:unhideWhenUsed/>
    <w:rsid w:val="00B67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770"/>
  </w:style>
  <w:style w:type="paragraph" w:styleId="Footer">
    <w:name w:val="footer"/>
    <w:basedOn w:val="Normal"/>
    <w:link w:val="FooterChar"/>
    <w:uiPriority w:val="99"/>
    <w:unhideWhenUsed/>
    <w:rsid w:val="00B67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770"/>
  </w:style>
  <w:style w:type="character" w:customStyle="1" w:styleId="apple-converted-space">
    <w:name w:val="apple-converted-space"/>
    <w:basedOn w:val="DefaultParagraphFont"/>
    <w:rsid w:val="003C5BE1"/>
  </w:style>
  <w:style w:type="character" w:customStyle="1" w:styleId="highlight">
    <w:name w:val="highlight"/>
    <w:basedOn w:val="DefaultParagraphFont"/>
    <w:rsid w:val="003C5BE1"/>
  </w:style>
  <w:style w:type="paragraph" w:styleId="BodyText">
    <w:name w:val="Body Text"/>
    <w:basedOn w:val="Normal"/>
    <w:link w:val="BodyTextChar"/>
    <w:semiHidden/>
    <w:rsid w:val="003C18E3"/>
    <w:pPr>
      <w:spacing w:after="0" w:line="240" w:lineRule="auto"/>
      <w:jc w:val="both"/>
    </w:pPr>
    <w:rPr>
      <w:rFonts w:ascii="Arial" w:eastAsia="宋体" w:hAnsi="Arial" w:cs="Arial"/>
      <w:sz w:val="24"/>
      <w:szCs w:val="24"/>
      <w:lang w:val="en" w:eastAsia="fr-FR"/>
    </w:rPr>
  </w:style>
  <w:style w:type="character" w:customStyle="1" w:styleId="BodyTextChar">
    <w:name w:val="Body Text Char"/>
    <w:basedOn w:val="DefaultParagraphFont"/>
    <w:link w:val="BodyText"/>
    <w:semiHidden/>
    <w:rsid w:val="003C18E3"/>
    <w:rPr>
      <w:rFonts w:ascii="Arial" w:eastAsia="宋体" w:hAnsi="Arial" w:cs="Arial"/>
      <w:sz w:val="24"/>
      <w:szCs w:val="24"/>
      <w:lang w:val="en" w:eastAsia="fr-FR"/>
    </w:rPr>
  </w:style>
  <w:style w:type="character" w:styleId="Strong">
    <w:name w:val="Strong"/>
    <w:qFormat/>
    <w:rsid w:val="003F3B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230093">
      <w:bodyDiv w:val="1"/>
      <w:marLeft w:val="0"/>
      <w:marRight w:val="0"/>
      <w:marTop w:val="0"/>
      <w:marBottom w:val="0"/>
      <w:divBdr>
        <w:top w:val="none" w:sz="0" w:space="0" w:color="auto"/>
        <w:left w:val="none" w:sz="0" w:space="0" w:color="auto"/>
        <w:bottom w:val="none" w:sz="0" w:space="0" w:color="auto"/>
        <w:right w:val="none" w:sz="0" w:space="0" w:color="auto"/>
      </w:divBdr>
      <w:divsChild>
        <w:div w:id="1435323830">
          <w:marLeft w:val="0"/>
          <w:marRight w:val="0"/>
          <w:marTop w:val="0"/>
          <w:marBottom w:val="0"/>
          <w:divBdr>
            <w:top w:val="none" w:sz="0" w:space="0" w:color="auto"/>
            <w:left w:val="none" w:sz="0" w:space="0" w:color="auto"/>
            <w:bottom w:val="none" w:sz="0" w:space="0" w:color="auto"/>
            <w:right w:val="none" w:sz="0" w:space="0" w:color="auto"/>
          </w:divBdr>
          <w:divsChild>
            <w:div w:id="187256254">
              <w:marLeft w:val="0"/>
              <w:marRight w:val="0"/>
              <w:marTop w:val="0"/>
              <w:marBottom w:val="0"/>
              <w:divBdr>
                <w:top w:val="none" w:sz="0" w:space="0" w:color="auto"/>
                <w:left w:val="none" w:sz="0" w:space="0" w:color="auto"/>
                <w:bottom w:val="none" w:sz="0" w:space="0" w:color="auto"/>
                <w:right w:val="none" w:sz="0" w:space="0" w:color="auto"/>
              </w:divBdr>
              <w:divsChild>
                <w:div w:id="798373764">
                  <w:marLeft w:val="0"/>
                  <w:marRight w:val="0"/>
                  <w:marTop w:val="0"/>
                  <w:marBottom w:val="0"/>
                  <w:divBdr>
                    <w:top w:val="none" w:sz="0" w:space="0" w:color="auto"/>
                    <w:left w:val="none" w:sz="0" w:space="0" w:color="auto"/>
                    <w:bottom w:val="none" w:sz="0" w:space="0" w:color="auto"/>
                    <w:right w:val="none" w:sz="0" w:space="0" w:color="auto"/>
                  </w:divBdr>
                  <w:divsChild>
                    <w:div w:id="745104418">
                      <w:marLeft w:val="0"/>
                      <w:marRight w:val="0"/>
                      <w:marTop w:val="0"/>
                      <w:marBottom w:val="0"/>
                      <w:divBdr>
                        <w:top w:val="none" w:sz="0" w:space="0" w:color="auto"/>
                        <w:left w:val="none" w:sz="0" w:space="0" w:color="auto"/>
                        <w:bottom w:val="none" w:sz="0" w:space="0" w:color="auto"/>
                        <w:right w:val="none" w:sz="0" w:space="0" w:color="auto"/>
                      </w:divBdr>
                      <w:divsChild>
                        <w:div w:id="1944024725">
                          <w:marLeft w:val="0"/>
                          <w:marRight w:val="0"/>
                          <w:marTop w:val="0"/>
                          <w:marBottom w:val="0"/>
                          <w:divBdr>
                            <w:top w:val="none" w:sz="0" w:space="0" w:color="auto"/>
                            <w:left w:val="none" w:sz="0" w:space="0" w:color="auto"/>
                            <w:bottom w:val="none" w:sz="0" w:space="0" w:color="auto"/>
                            <w:right w:val="none" w:sz="0" w:space="0" w:color="auto"/>
                          </w:divBdr>
                          <w:divsChild>
                            <w:div w:id="44644334">
                              <w:marLeft w:val="0"/>
                              <w:marRight w:val="0"/>
                              <w:marTop w:val="0"/>
                              <w:marBottom w:val="0"/>
                              <w:divBdr>
                                <w:top w:val="none" w:sz="0" w:space="0" w:color="auto"/>
                                <w:left w:val="none" w:sz="0" w:space="0" w:color="auto"/>
                                <w:bottom w:val="none" w:sz="0" w:space="0" w:color="auto"/>
                                <w:right w:val="none" w:sz="0" w:space="0" w:color="auto"/>
                              </w:divBdr>
                              <w:divsChild>
                                <w:div w:id="921254525">
                                  <w:marLeft w:val="0"/>
                                  <w:marRight w:val="0"/>
                                  <w:marTop w:val="0"/>
                                  <w:marBottom w:val="0"/>
                                  <w:divBdr>
                                    <w:top w:val="none" w:sz="0" w:space="0" w:color="auto"/>
                                    <w:left w:val="none" w:sz="0" w:space="0" w:color="auto"/>
                                    <w:bottom w:val="none" w:sz="0" w:space="0" w:color="auto"/>
                                    <w:right w:val="none" w:sz="0" w:space="0" w:color="auto"/>
                                  </w:divBdr>
                                  <w:divsChild>
                                    <w:div w:id="1089235035">
                                      <w:marLeft w:val="0"/>
                                      <w:marRight w:val="0"/>
                                      <w:marTop w:val="0"/>
                                      <w:marBottom w:val="0"/>
                                      <w:divBdr>
                                        <w:top w:val="none" w:sz="0" w:space="0" w:color="auto"/>
                                        <w:left w:val="none" w:sz="0" w:space="0" w:color="auto"/>
                                        <w:bottom w:val="none" w:sz="0" w:space="0" w:color="auto"/>
                                        <w:right w:val="none" w:sz="0" w:space="0" w:color="auto"/>
                                      </w:divBdr>
                                      <w:divsChild>
                                        <w:div w:id="1502694186">
                                          <w:marLeft w:val="0"/>
                                          <w:marRight w:val="0"/>
                                          <w:marTop w:val="0"/>
                                          <w:marBottom w:val="0"/>
                                          <w:divBdr>
                                            <w:top w:val="none" w:sz="0" w:space="0" w:color="auto"/>
                                            <w:left w:val="none" w:sz="0" w:space="0" w:color="auto"/>
                                            <w:bottom w:val="none" w:sz="0" w:space="0" w:color="auto"/>
                                            <w:right w:val="none" w:sz="0" w:space="0" w:color="auto"/>
                                          </w:divBdr>
                                          <w:divsChild>
                                            <w:div w:id="27535366">
                                              <w:marLeft w:val="0"/>
                                              <w:marRight w:val="0"/>
                                              <w:marTop w:val="0"/>
                                              <w:marBottom w:val="0"/>
                                              <w:divBdr>
                                                <w:top w:val="none" w:sz="0" w:space="0" w:color="auto"/>
                                                <w:left w:val="none" w:sz="0" w:space="0" w:color="auto"/>
                                                <w:bottom w:val="none" w:sz="0" w:space="0" w:color="auto"/>
                                                <w:right w:val="none" w:sz="0" w:space="0" w:color="auto"/>
                                              </w:divBdr>
                                              <w:divsChild>
                                                <w:div w:id="2018801697">
                                                  <w:marLeft w:val="0"/>
                                                  <w:marRight w:val="0"/>
                                                  <w:marTop w:val="0"/>
                                                  <w:marBottom w:val="0"/>
                                                  <w:divBdr>
                                                    <w:top w:val="none" w:sz="0" w:space="0" w:color="auto"/>
                                                    <w:left w:val="none" w:sz="0" w:space="0" w:color="auto"/>
                                                    <w:bottom w:val="none" w:sz="0" w:space="0" w:color="auto"/>
                                                    <w:right w:val="none" w:sz="0" w:space="0" w:color="auto"/>
                                                  </w:divBdr>
                                                  <w:divsChild>
                                                    <w:div w:id="1702784809">
                                                      <w:marLeft w:val="0"/>
                                                      <w:marRight w:val="0"/>
                                                      <w:marTop w:val="0"/>
                                                      <w:marBottom w:val="0"/>
                                                      <w:divBdr>
                                                        <w:top w:val="none" w:sz="0" w:space="0" w:color="auto"/>
                                                        <w:left w:val="none" w:sz="0" w:space="0" w:color="auto"/>
                                                        <w:bottom w:val="none" w:sz="0" w:space="0" w:color="auto"/>
                                                        <w:right w:val="none" w:sz="0" w:space="0" w:color="auto"/>
                                                      </w:divBdr>
                                                      <w:divsChild>
                                                        <w:div w:id="1065228174">
                                                          <w:marLeft w:val="0"/>
                                                          <w:marRight w:val="0"/>
                                                          <w:marTop w:val="0"/>
                                                          <w:marBottom w:val="0"/>
                                                          <w:divBdr>
                                                            <w:top w:val="none" w:sz="0" w:space="0" w:color="auto"/>
                                                            <w:left w:val="none" w:sz="0" w:space="0" w:color="auto"/>
                                                            <w:bottom w:val="none" w:sz="0" w:space="0" w:color="auto"/>
                                                            <w:right w:val="none" w:sz="0" w:space="0" w:color="auto"/>
                                                          </w:divBdr>
                                                          <w:divsChild>
                                                            <w:div w:id="781926113">
                                                              <w:marLeft w:val="0"/>
                                                              <w:marRight w:val="0"/>
                                                              <w:marTop w:val="0"/>
                                                              <w:marBottom w:val="0"/>
                                                              <w:divBdr>
                                                                <w:top w:val="none" w:sz="0" w:space="0" w:color="auto"/>
                                                                <w:left w:val="none" w:sz="0" w:space="0" w:color="auto"/>
                                                                <w:bottom w:val="none" w:sz="0" w:space="0" w:color="auto"/>
                                                                <w:right w:val="none" w:sz="0" w:space="0" w:color="auto"/>
                                                              </w:divBdr>
                                                              <w:divsChild>
                                                                <w:div w:id="1356927728">
                                                                  <w:marLeft w:val="0"/>
                                                                  <w:marRight w:val="0"/>
                                                                  <w:marTop w:val="0"/>
                                                                  <w:marBottom w:val="0"/>
                                                                  <w:divBdr>
                                                                    <w:top w:val="none" w:sz="0" w:space="0" w:color="auto"/>
                                                                    <w:left w:val="none" w:sz="0" w:space="0" w:color="auto"/>
                                                                    <w:bottom w:val="none" w:sz="0" w:space="0" w:color="auto"/>
                                                                    <w:right w:val="none" w:sz="0" w:space="0" w:color="auto"/>
                                                                  </w:divBdr>
                                                                  <w:divsChild>
                                                                    <w:div w:id="722214027">
                                                                      <w:marLeft w:val="0"/>
                                                                      <w:marRight w:val="0"/>
                                                                      <w:marTop w:val="0"/>
                                                                      <w:marBottom w:val="0"/>
                                                                      <w:divBdr>
                                                                        <w:top w:val="none" w:sz="0" w:space="0" w:color="auto"/>
                                                                        <w:left w:val="none" w:sz="0" w:space="0" w:color="auto"/>
                                                                        <w:bottom w:val="none" w:sz="0" w:space="0" w:color="auto"/>
                                                                        <w:right w:val="none" w:sz="0" w:space="0" w:color="auto"/>
                                                                      </w:divBdr>
                                                                      <w:divsChild>
                                                                        <w:div w:id="944116460">
                                                                          <w:marLeft w:val="0"/>
                                                                          <w:marRight w:val="0"/>
                                                                          <w:marTop w:val="0"/>
                                                                          <w:marBottom w:val="0"/>
                                                                          <w:divBdr>
                                                                            <w:top w:val="none" w:sz="0" w:space="0" w:color="auto"/>
                                                                            <w:left w:val="none" w:sz="0" w:space="0" w:color="auto"/>
                                                                            <w:bottom w:val="none" w:sz="0" w:space="0" w:color="auto"/>
                                                                            <w:right w:val="none" w:sz="0" w:space="0" w:color="auto"/>
                                                                          </w:divBdr>
                                                                          <w:divsChild>
                                                                            <w:div w:id="148639920">
                                                                              <w:marLeft w:val="0"/>
                                                                              <w:marRight w:val="0"/>
                                                                              <w:marTop w:val="0"/>
                                                                              <w:marBottom w:val="0"/>
                                                                              <w:divBdr>
                                                                                <w:top w:val="none" w:sz="0" w:space="0" w:color="auto"/>
                                                                                <w:left w:val="none" w:sz="0" w:space="0" w:color="auto"/>
                                                                                <w:bottom w:val="none" w:sz="0" w:space="0" w:color="auto"/>
                                                                                <w:right w:val="none" w:sz="0" w:space="0" w:color="auto"/>
                                                                              </w:divBdr>
                                                                              <w:divsChild>
                                                                                <w:div w:id="1717201256">
                                                                                  <w:marLeft w:val="0"/>
                                                                                  <w:marRight w:val="0"/>
                                                                                  <w:marTop w:val="0"/>
                                                                                  <w:marBottom w:val="0"/>
                                                                                  <w:divBdr>
                                                                                    <w:top w:val="none" w:sz="0" w:space="0" w:color="auto"/>
                                                                                    <w:left w:val="none" w:sz="0" w:space="0" w:color="auto"/>
                                                                                    <w:bottom w:val="none" w:sz="0" w:space="0" w:color="auto"/>
                                                                                    <w:right w:val="none" w:sz="0" w:space="0" w:color="auto"/>
                                                                                  </w:divBdr>
                                                                                  <w:divsChild>
                                                                                    <w:div w:id="1549026151">
                                                                                      <w:marLeft w:val="0"/>
                                                                                      <w:marRight w:val="0"/>
                                                                                      <w:marTop w:val="0"/>
                                                                                      <w:marBottom w:val="0"/>
                                                                                      <w:divBdr>
                                                                                        <w:top w:val="none" w:sz="0" w:space="0" w:color="auto"/>
                                                                                        <w:left w:val="none" w:sz="0" w:space="0" w:color="auto"/>
                                                                                        <w:bottom w:val="none" w:sz="0" w:space="0" w:color="auto"/>
                                                                                        <w:right w:val="none" w:sz="0" w:space="0" w:color="auto"/>
                                                                                      </w:divBdr>
                                                                                      <w:divsChild>
                                                                                        <w:div w:id="1806728053">
                                                                                          <w:marLeft w:val="0"/>
                                                                                          <w:marRight w:val="0"/>
                                                                                          <w:marTop w:val="0"/>
                                                                                          <w:marBottom w:val="0"/>
                                                                                          <w:divBdr>
                                                                                            <w:top w:val="none" w:sz="0" w:space="0" w:color="auto"/>
                                                                                            <w:left w:val="none" w:sz="0" w:space="0" w:color="auto"/>
                                                                                            <w:bottom w:val="none" w:sz="0" w:space="0" w:color="auto"/>
                                                                                            <w:right w:val="none" w:sz="0" w:space="0" w:color="auto"/>
                                                                                          </w:divBdr>
                                                                                          <w:divsChild>
                                                                                            <w:div w:id="1861773243">
                                                                                              <w:marLeft w:val="0"/>
                                                                                              <w:marRight w:val="0"/>
                                                                                              <w:marTop w:val="0"/>
                                                                                              <w:marBottom w:val="0"/>
                                                                                              <w:divBdr>
                                                                                                <w:top w:val="none" w:sz="0" w:space="0" w:color="auto"/>
                                                                                                <w:left w:val="none" w:sz="0" w:space="0" w:color="auto"/>
                                                                                                <w:bottom w:val="none" w:sz="0" w:space="0" w:color="auto"/>
                                                                                                <w:right w:val="none" w:sz="0" w:space="0" w:color="auto"/>
                                                                                              </w:divBdr>
                                                                                              <w:divsChild>
                                                                                                <w:div w:id="1602225381">
                                                                                                  <w:marLeft w:val="0"/>
                                                                                                  <w:marRight w:val="0"/>
                                                                                                  <w:marTop w:val="0"/>
                                                                                                  <w:marBottom w:val="0"/>
                                                                                                  <w:divBdr>
                                                                                                    <w:top w:val="none" w:sz="0" w:space="0" w:color="auto"/>
                                                                                                    <w:left w:val="none" w:sz="0" w:space="0" w:color="auto"/>
                                                                                                    <w:bottom w:val="none" w:sz="0" w:space="0" w:color="auto"/>
                                                                                                    <w:right w:val="none" w:sz="0" w:space="0" w:color="auto"/>
                                                                                                  </w:divBdr>
                                                                                                  <w:divsChild>
                                                                                                    <w:div w:id="319432841">
                                                                                                      <w:marLeft w:val="0"/>
                                                                                                      <w:marRight w:val="0"/>
                                                                                                      <w:marTop w:val="0"/>
                                                                                                      <w:marBottom w:val="0"/>
                                                                                                      <w:divBdr>
                                                                                                        <w:top w:val="none" w:sz="0" w:space="0" w:color="auto"/>
                                                                                                        <w:left w:val="none" w:sz="0" w:space="0" w:color="auto"/>
                                                                                                        <w:bottom w:val="none" w:sz="0" w:space="0" w:color="auto"/>
                                                                                                        <w:right w:val="none" w:sz="0" w:space="0" w:color="auto"/>
                                                                                                      </w:divBdr>
                                                                                                      <w:divsChild>
                                                                                                        <w:div w:id="521092559">
                                                                                                          <w:marLeft w:val="0"/>
                                                                                                          <w:marRight w:val="0"/>
                                                                                                          <w:marTop w:val="0"/>
                                                                                                          <w:marBottom w:val="0"/>
                                                                                                          <w:divBdr>
                                                                                                            <w:top w:val="none" w:sz="0" w:space="0" w:color="auto"/>
                                                                                                            <w:left w:val="none" w:sz="0" w:space="0" w:color="auto"/>
                                                                                                            <w:bottom w:val="none" w:sz="0" w:space="0" w:color="auto"/>
                                                                                                            <w:right w:val="none" w:sz="0" w:space="0" w:color="auto"/>
                                                                                                          </w:divBdr>
                                                                                                          <w:divsChild>
                                                                                                            <w:div w:id="412505525">
                                                                                                              <w:marLeft w:val="0"/>
                                                                                                              <w:marRight w:val="0"/>
                                                                                                              <w:marTop w:val="0"/>
                                                                                                              <w:marBottom w:val="0"/>
                                                                                                              <w:divBdr>
                                                                                                                <w:top w:val="none" w:sz="0" w:space="0" w:color="auto"/>
                                                                                                                <w:left w:val="none" w:sz="0" w:space="0" w:color="auto"/>
                                                                                                                <w:bottom w:val="none" w:sz="0" w:space="0" w:color="auto"/>
                                                                                                                <w:right w:val="none" w:sz="0" w:space="0" w:color="auto"/>
                                                                                                              </w:divBdr>
                                                                                                              <w:divsChild>
                                                                                                                <w:div w:id="1573807677">
                                                                                                                  <w:marLeft w:val="0"/>
                                                                                                                  <w:marRight w:val="0"/>
                                                                                                                  <w:marTop w:val="0"/>
                                                                                                                  <w:marBottom w:val="0"/>
                                                                                                                  <w:divBdr>
                                                                                                                    <w:top w:val="none" w:sz="0" w:space="0" w:color="auto"/>
                                                                                                                    <w:left w:val="none" w:sz="0" w:space="0" w:color="auto"/>
                                                                                                                    <w:bottom w:val="none" w:sz="0" w:space="0" w:color="auto"/>
                                                                                                                    <w:right w:val="none" w:sz="0" w:space="0" w:color="auto"/>
                                                                                                                  </w:divBdr>
                                                                                                                  <w:divsChild>
                                                                                                                    <w:div w:id="1662343622">
                                                                                                                      <w:marLeft w:val="0"/>
                                                                                                                      <w:marRight w:val="0"/>
                                                                                                                      <w:marTop w:val="0"/>
                                                                                                                      <w:marBottom w:val="0"/>
                                                                                                                      <w:divBdr>
                                                                                                                        <w:top w:val="none" w:sz="0" w:space="0" w:color="auto"/>
                                                                                                                        <w:left w:val="none" w:sz="0" w:space="0" w:color="auto"/>
                                                                                                                        <w:bottom w:val="none" w:sz="0" w:space="0" w:color="auto"/>
                                                                                                                        <w:right w:val="none" w:sz="0" w:space="0" w:color="auto"/>
                                                                                                                      </w:divBdr>
                                                                                                                      <w:divsChild>
                                                                                                                        <w:div w:id="364256045">
                                                                                                                          <w:marLeft w:val="0"/>
                                                                                                                          <w:marRight w:val="0"/>
                                                                                                                          <w:marTop w:val="0"/>
                                                                                                                          <w:marBottom w:val="0"/>
                                                                                                                          <w:divBdr>
                                                                                                                            <w:top w:val="none" w:sz="0" w:space="0" w:color="auto"/>
                                                                                                                            <w:left w:val="none" w:sz="0" w:space="0" w:color="auto"/>
                                                                                                                            <w:bottom w:val="none" w:sz="0" w:space="0" w:color="auto"/>
                                                                                                                            <w:right w:val="none" w:sz="0" w:space="0" w:color="auto"/>
                                                                                                                          </w:divBdr>
                                                                                                                          <w:divsChild>
                                                                                                                            <w:div w:id="1315180084">
                                                                                                                              <w:marLeft w:val="0"/>
                                                                                                                              <w:marRight w:val="0"/>
                                                                                                                              <w:marTop w:val="0"/>
                                                                                                                              <w:marBottom w:val="0"/>
                                                                                                                              <w:divBdr>
                                                                                                                                <w:top w:val="none" w:sz="0" w:space="0" w:color="auto"/>
                                                                                                                                <w:left w:val="none" w:sz="0" w:space="0" w:color="auto"/>
                                                                                                                                <w:bottom w:val="none" w:sz="0" w:space="0" w:color="auto"/>
                                                                                                                                <w:right w:val="none" w:sz="0" w:space="0" w:color="auto"/>
                                                                                                                              </w:divBdr>
                                                                                                                              <w:divsChild>
                                                                                                                                <w:div w:id="443810469">
                                                                                                                                  <w:marLeft w:val="0"/>
                                                                                                                                  <w:marRight w:val="0"/>
                                                                                                                                  <w:marTop w:val="0"/>
                                                                                                                                  <w:marBottom w:val="0"/>
                                                                                                                                  <w:divBdr>
                                                                                                                                    <w:top w:val="none" w:sz="0" w:space="0" w:color="auto"/>
                                                                                                                                    <w:left w:val="none" w:sz="0" w:space="0" w:color="auto"/>
                                                                                                                                    <w:bottom w:val="none" w:sz="0" w:space="0" w:color="auto"/>
                                                                                                                                    <w:right w:val="none" w:sz="0" w:space="0" w:color="auto"/>
                                                                                                                                  </w:divBdr>
                                                                                                                                  <w:divsChild>
                                                                                                                                    <w:div w:id="1846093137">
                                                                                                                                      <w:marLeft w:val="0"/>
                                                                                                                                      <w:marRight w:val="0"/>
                                                                                                                                      <w:marTop w:val="0"/>
                                                                                                                                      <w:marBottom w:val="0"/>
                                                                                                                                      <w:divBdr>
                                                                                                                                        <w:top w:val="none" w:sz="0" w:space="0" w:color="auto"/>
                                                                                                                                        <w:left w:val="none" w:sz="0" w:space="0" w:color="auto"/>
                                                                                                                                        <w:bottom w:val="none" w:sz="0" w:space="0" w:color="auto"/>
                                                                                                                                        <w:right w:val="none" w:sz="0" w:space="0" w:color="auto"/>
                                                                                                                                      </w:divBdr>
                                                                                                                                      <w:divsChild>
                                                                                                                                        <w:div w:id="793325249">
                                                                                                                                          <w:marLeft w:val="0"/>
                                                                                                                                          <w:marRight w:val="0"/>
                                                                                                                                          <w:marTop w:val="0"/>
                                                                                                                                          <w:marBottom w:val="0"/>
                                                                                                                                          <w:divBdr>
                                                                                                                                            <w:top w:val="none" w:sz="0" w:space="0" w:color="auto"/>
                                                                                                                                            <w:left w:val="none" w:sz="0" w:space="0" w:color="auto"/>
                                                                                                                                            <w:bottom w:val="none" w:sz="0" w:space="0" w:color="auto"/>
                                                                                                                                            <w:right w:val="none" w:sz="0" w:space="0" w:color="auto"/>
                                                                                                                                          </w:divBdr>
                                                                                                                                          <w:divsChild>
                                                                                                                                            <w:div w:id="1997686503">
                                                                                                                                              <w:marLeft w:val="0"/>
                                                                                                                                              <w:marRight w:val="0"/>
                                                                                                                                              <w:marTop w:val="0"/>
                                                                                                                                              <w:marBottom w:val="0"/>
                                                                                                                                              <w:divBdr>
                                                                                                                                                <w:top w:val="none" w:sz="0" w:space="0" w:color="auto"/>
                                                                                                                                                <w:left w:val="none" w:sz="0" w:space="0" w:color="auto"/>
                                                                                                                                                <w:bottom w:val="none" w:sz="0" w:space="0" w:color="auto"/>
                                                                                                                                                <w:right w:val="none" w:sz="0" w:space="0" w:color="auto"/>
                                                                                                                                              </w:divBdr>
                                                                                                                                              <w:divsChild>
                                                                                                                                                <w:div w:id="479467380">
                                                                                                                                                  <w:marLeft w:val="0"/>
                                                                                                                                                  <w:marRight w:val="0"/>
                                                                                                                                                  <w:marTop w:val="0"/>
                                                                                                                                                  <w:marBottom w:val="0"/>
                                                                                                                                                  <w:divBdr>
                                                                                                                                                    <w:top w:val="none" w:sz="0" w:space="0" w:color="auto"/>
                                                                                                                                                    <w:left w:val="none" w:sz="0" w:space="0" w:color="auto"/>
                                                                                                                                                    <w:bottom w:val="none" w:sz="0" w:space="0" w:color="auto"/>
                                                                                                                                                    <w:right w:val="none" w:sz="0" w:space="0" w:color="auto"/>
                                                                                                                                                  </w:divBdr>
                                                                                                                                                  <w:divsChild>
                                                                                                                                                    <w:div w:id="1272518482">
                                                                                                                                                      <w:marLeft w:val="0"/>
                                                                                                                                                      <w:marRight w:val="0"/>
                                                                                                                                                      <w:marTop w:val="0"/>
                                                                                                                                                      <w:marBottom w:val="0"/>
                                                                                                                                                      <w:divBdr>
                                                                                                                                                        <w:top w:val="none" w:sz="0" w:space="0" w:color="auto"/>
                                                                                                                                                        <w:left w:val="none" w:sz="0" w:space="0" w:color="auto"/>
                                                                                                                                                        <w:bottom w:val="none" w:sz="0" w:space="0" w:color="auto"/>
                                                                                                                                                        <w:right w:val="none" w:sz="0" w:space="0" w:color="auto"/>
                                                                                                                                                      </w:divBdr>
                                                                                                                                                      <w:divsChild>
                                                                                                                                                        <w:div w:id="1615089152">
                                                                                                                                                          <w:marLeft w:val="0"/>
                                                                                                                                                          <w:marRight w:val="0"/>
                                                                                                                                                          <w:marTop w:val="0"/>
                                                                                                                                                          <w:marBottom w:val="0"/>
                                                                                                                                                          <w:divBdr>
                                                                                                                                                            <w:top w:val="none" w:sz="0" w:space="0" w:color="auto"/>
                                                                                                                                                            <w:left w:val="none" w:sz="0" w:space="0" w:color="auto"/>
                                                                                                                                                            <w:bottom w:val="none" w:sz="0" w:space="0" w:color="auto"/>
                                                                                                                                                            <w:right w:val="none" w:sz="0" w:space="0" w:color="auto"/>
                                                                                                                                                          </w:divBdr>
                                                                                                                                                          <w:divsChild>
                                                                                                                                                            <w:div w:id="1629361236">
                                                                                                                                                              <w:marLeft w:val="0"/>
                                                                                                                                                              <w:marRight w:val="0"/>
                                                                                                                                                              <w:marTop w:val="0"/>
                                                                                                                                                              <w:marBottom w:val="0"/>
                                                                                                                                                              <w:divBdr>
                                                                                                                                                                <w:top w:val="none" w:sz="0" w:space="0" w:color="auto"/>
                                                                                                                                                                <w:left w:val="none" w:sz="0" w:space="0" w:color="auto"/>
                                                                                                                                                                <w:bottom w:val="none" w:sz="0" w:space="0" w:color="auto"/>
                                                                                                                                                                <w:right w:val="none" w:sz="0" w:space="0" w:color="auto"/>
                                                                                                                                                              </w:divBdr>
                                                                                                                                                              <w:divsChild>
                                                                                                                                                                <w:div w:id="918909427">
                                                                                                                                                                  <w:marLeft w:val="0"/>
                                                                                                                                                                  <w:marRight w:val="0"/>
                                                                                                                                                                  <w:marTop w:val="0"/>
                                                                                                                                                                  <w:marBottom w:val="0"/>
                                                                                                                                                                  <w:divBdr>
                                                                                                                                                                    <w:top w:val="none" w:sz="0" w:space="0" w:color="auto"/>
                                                                                                                                                                    <w:left w:val="none" w:sz="0" w:space="0" w:color="auto"/>
                                                                                                                                                                    <w:bottom w:val="none" w:sz="0" w:space="0" w:color="auto"/>
                                                                                                                                                                    <w:right w:val="none" w:sz="0" w:space="0" w:color="auto"/>
                                                                                                                                                                  </w:divBdr>
                                                                                                                                                                  <w:divsChild>
                                                                                                                                                                    <w:div w:id="740641149">
                                                                                                                                                                      <w:marLeft w:val="0"/>
                                                                                                                                                                      <w:marRight w:val="0"/>
                                                                                                                                                                      <w:marTop w:val="0"/>
                                                                                                                                                                      <w:marBottom w:val="0"/>
                                                                                                                                                                      <w:divBdr>
                                                                                                                                                                        <w:top w:val="none" w:sz="0" w:space="0" w:color="auto"/>
                                                                                                                                                                        <w:left w:val="none" w:sz="0" w:space="0" w:color="auto"/>
                                                                                                                                                                        <w:bottom w:val="none" w:sz="0" w:space="0" w:color="auto"/>
                                                                                                                                                                        <w:right w:val="none" w:sz="0" w:space="0" w:color="auto"/>
                                                                                                                                                                      </w:divBdr>
                                                                                                                                                                      <w:divsChild>
                                                                                                                                                                        <w:div w:id="1585610100">
                                                                                                                                                                          <w:marLeft w:val="0"/>
                                                                                                                                                                          <w:marRight w:val="0"/>
                                                                                                                                                                          <w:marTop w:val="0"/>
                                                                                                                                                                          <w:marBottom w:val="0"/>
                                                                                                                                                                          <w:divBdr>
                                                                                                                                                                            <w:top w:val="none" w:sz="0" w:space="0" w:color="auto"/>
                                                                                                                                                                            <w:left w:val="none" w:sz="0" w:space="0" w:color="auto"/>
                                                                                                                                                                            <w:bottom w:val="none" w:sz="0" w:space="0" w:color="auto"/>
                                                                                                                                                                            <w:right w:val="none" w:sz="0" w:space="0" w:color="auto"/>
                                                                                                                                                                          </w:divBdr>
                                                                                                                                                                          <w:divsChild>
                                                                                                                                                                            <w:div w:id="480583759">
                                                                                                                                                                              <w:marLeft w:val="0"/>
                                                                                                                                                                              <w:marRight w:val="0"/>
                                                                                                                                                                              <w:marTop w:val="0"/>
                                                                                                                                                                              <w:marBottom w:val="0"/>
                                                                                                                                                                              <w:divBdr>
                                                                                                                                                                                <w:top w:val="none" w:sz="0" w:space="0" w:color="auto"/>
                                                                                                                                                                                <w:left w:val="none" w:sz="0" w:space="0" w:color="auto"/>
                                                                                                                                                                                <w:bottom w:val="none" w:sz="0" w:space="0" w:color="auto"/>
                                                                                                                                                                                <w:right w:val="none" w:sz="0" w:space="0" w:color="auto"/>
                                                                                                                                                                              </w:divBdr>
                                                                                                                                                                              <w:divsChild>
                                                                                                                                                                                <w:div w:id="615403725">
                                                                                                                                                                                  <w:marLeft w:val="0"/>
                                                                                                                                                                                  <w:marRight w:val="0"/>
                                                                                                                                                                                  <w:marTop w:val="0"/>
                                                                                                                                                                                  <w:marBottom w:val="0"/>
                                                                                                                                                                                  <w:divBdr>
                                                                                                                                                                                    <w:top w:val="none" w:sz="0" w:space="0" w:color="auto"/>
                                                                                                                                                                                    <w:left w:val="none" w:sz="0" w:space="0" w:color="auto"/>
                                                                                                                                                                                    <w:bottom w:val="none" w:sz="0" w:space="0" w:color="auto"/>
                                                                                                                                                                                    <w:right w:val="none" w:sz="0" w:space="0" w:color="auto"/>
                                                                                                                                                                                  </w:divBdr>
                                                                                                                                                                                  <w:divsChild>
                                                                                                                                                                                    <w:div w:id="1807618916">
                                                                                                                                                                                      <w:marLeft w:val="0"/>
                                                                                                                                                                                      <w:marRight w:val="0"/>
                                                                                                                                                                                      <w:marTop w:val="0"/>
                                                                                                                                                                                      <w:marBottom w:val="0"/>
                                                                                                                                                                                      <w:divBdr>
                                                                                                                                                                                        <w:top w:val="none" w:sz="0" w:space="0" w:color="auto"/>
                                                                                                                                                                                        <w:left w:val="none" w:sz="0" w:space="0" w:color="auto"/>
                                                                                                                                                                                        <w:bottom w:val="none" w:sz="0" w:space="0" w:color="auto"/>
                                                                                                                                                                                        <w:right w:val="none" w:sz="0" w:space="0" w:color="auto"/>
                                                                                                                                                                                      </w:divBdr>
                                                                                                                                                                                      <w:divsChild>
                                                                                                                                                                                        <w:div w:id="63644412">
                                                                                                                                                                                          <w:marLeft w:val="0"/>
                                                                                                                                                                                          <w:marRight w:val="0"/>
                                                                                                                                                                                          <w:marTop w:val="0"/>
                                                                                                                                                                                          <w:marBottom w:val="0"/>
                                                                                                                                                                                          <w:divBdr>
                                                                                                                                                                                            <w:top w:val="none" w:sz="0" w:space="0" w:color="auto"/>
                                                                                                                                                                                            <w:left w:val="none" w:sz="0" w:space="0" w:color="auto"/>
                                                                                                                                                                                            <w:bottom w:val="none" w:sz="0" w:space="0" w:color="auto"/>
                                                                                                                                                                                            <w:right w:val="none" w:sz="0" w:space="0" w:color="auto"/>
                                                                                                                                                                                          </w:divBdr>
                                                                                                                                                                                          <w:divsChild>
                                                                                                                                                                                            <w:div w:id="1216967954">
                                                                                                                                                                                              <w:marLeft w:val="0"/>
                                                                                                                                                                                              <w:marRight w:val="0"/>
                                                                                                                                                                                              <w:marTop w:val="0"/>
                                                                                                                                                                                              <w:marBottom w:val="0"/>
                                                                                                                                                                                              <w:divBdr>
                                                                                                                                                                                                <w:top w:val="none" w:sz="0" w:space="0" w:color="auto"/>
                                                                                                                                                                                                <w:left w:val="none" w:sz="0" w:space="0" w:color="auto"/>
                                                                                                                                                                                                <w:bottom w:val="none" w:sz="0" w:space="0" w:color="auto"/>
                                                                                                                                                                                                <w:right w:val="none" w:sz="0" w:space="0" w:color="auto"/>
                                                                                                                                                                                              </w:divBdr>
                                                                                                                                                                                              <w:divsChild>
                                                                                                                                                                                                <w:div w:id="1308631810">
                                                                                                                                                                                                  <w:marLeft w:val="0"/>
                                                                                                                                                                                                  <w:marRight w:val="0"/>
                                                                                                                                                                                                  <w:marTop w:val="0"/>
                                                                                                                                                                                                  <w:marBottom w:val="0"/>
                                                                                                                                                                                                  <w:divBdr>
                                                                                                                                                                                                    <w:top w:val="none" w:sz="0" w:space="0" w:color="auto"/>
                                                                                                                                                                                                    <w:left w:val="none" w:sz="0" w:space="0" w:color="auto"/>
                                                                                                                                                                                                    <w:bottom w:val="none" w:sz="0" w:space="0" w:color="auto"/>
                                                                                                                                                                                                    <w:right w:val="none" w:sz="0" w:space="0" w:color="auto"/>
                                                                                                                                                                                                  </w:divBdr>
                                                                                                                                                                                                  <w:divsChild>
                                                                                                                                                                                                    <w:div w:id="1081296441">
                                                                                                                                                                                                      <w:marLeft w:val="0"/>
                                                                                                                                                                                                      <w:marRight w:val="0"/>
                                                                                                                                                                                                      <w:marTop w:val="0"/>
                                                                                                                                                                                                      <w:marBottom w:val="0"/>
                                                                                                                                                                                                      <w:divBdr>
                                                                                                                                                                                                        <w:top w:val="none" w:sz="0" w:space="0" w:color="auto"/>
                                                                                                                                                                                                        <w:left w:val="none" w:sz="0" w:space="0" w:color="auto"/>
                                                                                                                                                                                                        <w:bottom w:val="none" w:sz="0" w:space="0" w:color="auto"/>
                                                                                                                                                                                                        <w:right w:val="none" w:sz="0" w:space="0" w:color="auto"/>
                                                                                                                                                                                                      </w:divBdr>
                                                                                                                                                                                                      <w:divsChild>
                                                                                                                                                                                                        <w:div w:id="2131851144">
                                                                                                                                                                                                          <w:marLeft w:val="0"/>
                                                                                                                                                                                                          <w:marRight w:val="0"/>
                                                                                                                                                                                                          <w:marTop w:val="0"/>
                                                                                                                                                                                                          <w:marBottom w:val="0"/>
                                                                                                                                                                                                          <w:divBdr>
                                                                                                                                                                                                            <w:top w:val="none" w:sz="0" w:space="0" w:color="auto"/>
                                                                                                                                                                                                            <w:left w:val="none" w:sz="0" w:space="0" w:color="auto"/>
                                                                                                                                                                                                            <w:bottom w:val="none" w:sz="0" w:space="0" w:color="auto"/>
                                                                                                                                                                                                            <w:right w:val="none" w:sz="0" w:space="0" w:color="auto"/>
                                                                                                                                                                                                          </w:divBdr>
                                                                                                                                                                                                          <w:divsChild>
                                                                                                                                                                                                            <w:div w:id="1268781016">
                                                                                                                                                                                                              <w:marLeft w:val="0"/>
                                                                                                                                                                                                              <w:marRight w:val="0"/>
                                                                                                                                                                                                              <w:marTop w:val="0"/>
                                                                                                                                                                                                              <w:marBottom w:val="0"/>
                                                                                                                                                                                                              <w:divBdr>
                                                                                                                                                                                                                <w:top w:val="none" w:sz="0" w:space="0" w:color="auto"/>
                                                                                                                                                                                                                <w:left w:val="none" w:sz="0" w:space="0" w:color="auto"/>
                                                                                                                                                                                                                <w:bottom w:val="none" w:sz="0" w:space="0" w:color="auto"/>
                                                                                                                                                                                                                <w:right w:val="none" w:sz="0" w:space="0" w:color="auto"/>
                                                                                                                                                                                                              </w:divBdr>
                                                                                                                                                                                                              <w:divsChild>
                                                                                                                                                                                                                <w:div w:id="1398624324">
                                                                                                                                                                                                                  <w:marLeft w:val="0"/>
                                                                                                                                                                                                                  <w:marRight w:val="0"/>
                                                                                                                                                                                                                  <w:marTop w:val="0"/>
                                                                                                                                                                                                                  <w:marBottom w:val="0"/>
                                                                                                                                                                                                                  <w:divBdr>
                                                                                                                                                                                                                    <w:top w:val="none" w:sz="0" w:space="0" w:color="auto"/>
                                                                                                                                                                                                                    <w:left w:val="none" w:sz="0" w:space="0" w:color="auto"/>
                                                                                                                                                                                                                    <w:bottom w:val="none" w:sz="0" w:space="0" w:color="auto"/>
                                                                                                                                                                                                                    <w:right w:val="none" w:sz="0" w:space="0" w:color="auto"/>
                                                                                                                                                                                                                  </w:divBdr>
                                                                                                                                                                                                                  <w:divsChild>
                                                                                                                                                                                                                    <w:div w:id="1422221216">
                                                                                                                                                                                                                      <w:marLeft w:val="0"/>
                                                                                                                                                                                                                      <w:marRight w:val="0"/>
                                                                                                                                                                                                                      <w:marTop w:val="0"/>
                                                                                                                                                                                                                      <w:marBottom w:val="0"/>
                                                                                                                                                                                                                      <w:divBdr>
                                                                                                                                                                                                                        <w:top w:val="none" w:sz="0" w:space="0" w:color="auto"/>
                                                                                                                                                                                                                        <w:left w:val="none" w:sz="0" w:space="0" w:color="auto"/>
                                                                                                                                                                                                                        <w:bottom w:val="none" w:sz="0" w:space="0" w:color="auto"/>
                                                                                                                                                                                                                        <w:right w:val="none" w:sz="0" w:space="0" w:color="auto"/>
                                                                                                                                                                                                                      </w:divBdr>
                                                                                                                                                                                                                      <w:divsChild>
                                                                                                                                                                                                                        <w:div w:id="1121613559">
                                                                                                                                                                                                                          <w:marLeft w:val="0"/>
                                                                                                                                                                                                                          <w:marRight w:val="0"/>
                                                                                                                                                                                                                          <w:marTop w:val="0"/>
                                                                                                                                                                                                                          <w:marBottom w:val="0"/>
                                                                                                                                                                                                                          <w:divBdr>
                                                                                                                                                                                                                            <w:top w:val="none" w:sz="0" w:space="0" w:color="auto"/>
                                                                                                                                                                                                                            <w:left w:val="none" w:sz="0" w:space="0" w:color="auto"/>
                                                                                                                                                                                                                            <w:bottom w:val="none" w:sz="0" w:space="0" w:color="auto"/>
                                                                                                                                                                                                                            <w:right w:val="none" w:sz="0" w:space="0" w:color="auto"/>
                                                                                                                                                                                                                          </w:divBdr>
                                                                                                                                                                                                                          <w:divsChild>
                                                                                                                                                                                                                            <w:div w:id="1584298039">
                                                                                                                                                                                                                              <w:marLeft w:val="0"/>
                                                                                                                                                                                                                              <w:marRight w:val="0"/>
                                                                                                                                                                                                                              <w:marTop w:val="0"/>
                                                                                                                                                                                                                              <w:marBottom w:val="0"/>
                                                                                                                                                                                                                              <w:divBdr>
                                                                                                                                                                                                                                <w:top w:val="none" w:sz="0" w:space="0" w:color="auto"/>
                                                                                                                                                                                                                                <w:left w:val="none" w:sz="0" w:space="0" w:color="auto"/>
                                                                                                                                                                                                                                <w:bottom w:val="none" w:sz="0" w:space="0" w:color="auto"/>
                                                                                                                                                                                                                                <w:right w:val="none" w:sz="0" w:space="0" w:color="auto"/>
                                                                                                                                                                                                                              </w:divBdr>
                                                                                                                                                                                                                              <w:divsChild>
                                                                                                                                                                                                                                <w:div w:id="1440685421">
                                                                                                                                                                                                                                  <w:marLeft w:val="0"/>
                                                                                                                                                                                                                                  <w:marRight w:val="0"/>
                                                                                                                                                                                                                                  <w:marTop w:val="0"/>
                                                                                                                                                                                                                                  <w:marBottom w:val="0"/>
                                                                                                                                                                                                                                  <w:divBdr>
                                                                                                                                                                                                                                    <w:top w:val="none" w:sz="0" w:space="0" w:color="auto"/>
                                                                                                                                                                                                                                    <w:left w:val="none" w:sz="0" w:space="0" w:color="auto"/>
                                                                                                                                                                                                                                    <w:bottom w:val="none" w:sz="0" w:space="0" w:color="auto"/>
                                                                                                                                                                                                                                    <w:right w:val="none" w:sz="0" w:space="0" w:color="auto"/>
                                                                                                                                                                                                                                  </w:divBdr>
                                                                                                                                                                                                                                  <w:divsChild>
                                                                                                                                                                                                                                    <w:div w:id="2067214037">
                                                                                                                                                                                                                                      <w:marLeft w:val="0"/>
                                                                                                                                                                                                                                      <w:marRight w:val="0"/>
                                                                                                                                                                                                                                      <w:marTop w:val="0"/>
                                                                                                                                                                                                                                      <w:marBottom w:val="0"/>
                                                                                                                                                                                                                                      <w:divBdr>
                                                                                                                                                                                                                                        <w:top w:val="none" w:sz="0" w:space="0" w:color="auto"/>
                                                                                                                                                                                                                                        <w:left w:val="none" w:sz="0" w:space="0" w:color="auto"/>
                                                                                                                                                                                                                                        <w:bottom w:val="none" w:sz="0" w:space="0" w:color="auto"/>
                                                                                                                                                                                                                                        <w:right w:val="none" w:sz="0" w:space="0" w:color="auto"/>
                                                                                                                                                                                                                                      </w:divBdr>
                                                                                                                                                                                                                                      <w:divsChild>
                                                                                                                                                                                                                                        <w:div w:id="869076304">
                                                                                                                                                                                                                                          <w:marLeft w:val="0"/>
                                                                                                                                                                                                                                          <w:marRight w:val="0"/>
                                                                                                                                                                                                                                          <w:marTop w:val="0"/>
                                                                                                                                                                                                                                          <w:marBottom w:val="0"/>
                                                                                                                                                                                                                                          <w:divBdr>
                                                                                                                                                                                                                                            <w:top w:val="none" w:sz="0" w:space="0" w:color="auto"/>
                                                                                                                                                                                                                                            <w:left w:val="none" w:sz="0" w:space="0" w:color="auto"/>
                                                                                                                                                                                                                                            <w:bottom w:val="none" w:sz="0" w:space="0" w:color="auto"/>
                                                                                                                                                                                                                                            <w:right w:val="none" w:sz="0" w:space="0" w:color="auto"/>
                                                                                                                                                                                                                                          </w:divBdr>
                                                                                                                                                                                                                                          <w:divsChild>
                                                                                                                                                                                                                                            <w:div w:id="1870947490">
                                                                                                                                                                                                                                              <w:marLeft w:val="0"/>
                                                                                                                                                                                                                                              <w:marRight w:val="0"/>
                                                                                                                                                                                                                                              <w:marTop w:val="0"/>
                                                                                                                                                                                                                                              <w:marBottom w:val="0"/>
                                                                                                                                                                                                                                              <w:divBdr>
                                                                                                                                                                                                                                                <w:top w:val="none" w:sz="0" w:space="0" w:color="auto"/>
                                                                                                                                                                                                                                                <w:left w:val="none" w:sz="0" w:space="0" w:color="auto"/>
                                                                                                                                                                                                                                                <w:bottom w:val="none" w:sz="0" w:space="0" w:color="auto"/>
                                                                                                                                                                                                                                                <w:right w:val="none" w:sz="0" w:space="0" w:color="auto"/>
                                                                                                                                                                                                                                              </w:divBdr>
                                                                                                                                                                                                                                              <w:divsChild>
                                                                                                                                                                                                                                                <w:div w:id="1997688293">
                                                                                                                                                                                                                                                  <w:marLeft w:val="0"/>
                                                                                                                                                                                                                                                  <w:marRight w:val="0"/>
                                                                                                                                                                                                                                                  <w:marTop w:val="0"/>
                                                                                                                                                                                                                                                  <w:marBottom w:val="0"/>
                                                                                                                                                                                                                                                  <w:divBdr>
                                                                                                                                                                                                                                                    <w:top w:val="none" w:sz="0" w:space="0" w:color="auto"/>
                                                                                                                                                                                                                                                    <w:left w:val="none" w:sz="0" w:space="0" w:color="auto"/>
                                                                                                                                                                                                                                                    <w:bottom w:val="none" w:sz="0" w:space="0" w:color="auto"/>
                                                                                                                                                                                                                                                    <w:right w:val="none" w:sz="0" w:space="0" w:color="auto"/>
                                                                                                                                                                                                                                                  </w:divBdr>
                                                                                                                                                                                                                                                  <w:divsChild>
                                                                                                                                                                                                                                                    <w:div w:id="2039886234">
                                                                                                                                                                                                                                                      <w:marLeft w:val="0"/>
                                                                                                                                                                                                                                                      <w:marRight w:val="0"/>
                                                                                                                                                                                                                                                      <w:marTop w:val="0"/>
                                                                                                                                                                                                                                                      <w:marBottom w:val="0"/>
                                                                                                                                                                                                                                                      <w:divBdr>
                                                                                                                                                                                                                                                        <w:top w:val="none" w:sz="0" w:space="0" w:color="auto"/>
                                                                                                                                                                                                                                                        <w:left w:val="none" w:sz="0" w:space="0" w:color="auto"/>
                                                                                                                                                                                                                                                        <w:bottom w:val="none" w:sz="0" w:space="0" w:color="auto"/>
                                                                                                                                                                                                                                                        <w:right w:val="none" w:sz="0" w:space="0" w:color="auto"/>
                                                                                                                                                                                                                                                      </w:divBdr>
                                                                                                                                                                                                                                                      <w:divsChild>
                                                                                                                                                                                                                                                        <w:div w:id="1758401263">
                                                                                                                                                                                                                                                          <w:marLeft w:val="0"/>
                                                                                                                                                                                                                                                          <w:marRight w:val="0"/>
                                                                                                                                                                                                                                                          <w:marTop w:val="0"/>
                                                                                                                                                                                                                                                          <w:marBottom w:val="0"/>
                                                                                                                                                                                                                                                          <w:divBdr>
                                                                                                                                                                                                                                                            <w:top w:val="none" w:sz="0" w:space="0" w:color="auto"/>
                                                                                                                                                                                                                                                            <w:left w:val="none" w:sz="0" w:space="0" w:color="auto"/>
                                                                                                                                                                                                                                                            <w:bottom w:val="none" w:sz="0" w:space="0" w:color="auto"/>
                                                                                                                                                                                                                                                            <w:right w:val="none" w:sz="0" w:space="0" w:color="auto"/>
                                                                                                                                                                                                                                                          </w:divBdr>
                                                                                                                                                                                                                                                          <w:divsChild>
                                                                                                                                                                                                                                                            <w:div w:id="1056587684">
                                                                                                                                                                                                                                                              <w:marLeft w:val="0"/>
                                                                                                                                                                                                                                                              <w:marRight w:val="0"/>
                                                                                                                                                                                                                                                              <w:marTop w:val="0"/>
                                                                                                                                                                                                                                                              <w:marBottom w:val="0"/>
                                                                                                                                                                                                                                                              <w:divBdr>
                                                                                                                                                                                                                                                                <w:top w:val="none" w:sz="0" w:space="0" w:color="auto"/>
                                                                                                                                                                                                                                                                <w:left w:val="none" w:sz="0" w:space="0" w:color="auto"/>
                                                                                                                                                                                                                                                                <w:bottom w:val="none" w:sz="0" w:space="0" w:color="auto"/>
                                                                                                                                                                                                                                                                <w:right w:val="none" w:sz="0" w:space="0" w:color="auto"/>
                                                                                                                                                                                                                                                              </w:divBdr>
                                                                                                                                                                                                                                                              <w:divsChild>
                                                                                                                                                                                                                                                                <w:div w:id="788815485">
                                                                                                                                                                                                                                                                  <w:marLeft w:val="0"/>
                                                                                                                                                                                                                                                                  <w:marRight w:val="0"/>
                                                                                                                                                                                                                                                                  <w:marTop w:val="0"/>
                                                                                                                                                                                                                                                                  <w:marBottom w:val="0"/>
                                                                                                                                                                                                                                                                  <w:divBdr>
                                                                                                                                                                                                                                                                    <w:top w:val="none" w:sz="0" w:space="0" w:color="auto"/>
                                                                                                                                                                                                                                                                    <w:left w:val="none" w:sz="0" w:space="0" w:color="auto"/>
                                                                                                                                                                                                                                                                    <w:bottom w:val="none" w:sz="0" w:space="0" w:color="auto"/>
                                                                                                                                                                                                                                                                    <w:right w:val="none" w:sz="0" w:space="0" w:color="auto"/>
                                                                                                                                                                                                                                                                  </w:divBdr>
                                                                                                                                                                                                                                                                  <w:divsChild>
                                                                                                                                                                                                                                                                    <w:div w:id="331179839">
                                                                                                                                                                                                                                                                      <w:marLeft w:val="0"/>
                                                                                                                                                                                                                                                                      <w:marRight w:val="0"/>
                                                                                                                                                                                                                                                                      <w:marTop w:val="0"/>
                                                                                                                                                                                                                                                                      <w:marBottom w:val="0"/>
                                                                                                                                                                                                                                                                      <w:divBdr>
                                                                                                                                                                                                                                                                        <w:top w:val="none" w:sz="0" w:space="0" w:color="auto"/>
                                                                                                                                                                                                                                                                        <w:left w:val="none" w:sz="0" w:space="0" w:color="auto"/>
                                                                                                                                                                                                                                                                        <w:bottom w:val="none" w:sz="0" w:space="0" w:color="auto"/>
                                                                                                                                                                                                                                                                        <w:right w:val="none" w:sz="0" w:space="0" w:color="auto"/>
                                                                                                                                                                                                                                                                      </w:divBdr>
                                                                                                                                                                                                                                                                      <w:divsChild>
                                                                                                                                                                                                                                                                        <w:div w:id="368531434">
                                                                                                                                                                                                                                                                          <w:marLeft w:val="0"/>
                                                                                                                                                                                                                                                                          <w:marRight w:val="0"/>
                                                                                                                                                                                                                                                                          <w:marTop w:val="0"/>
                                                                                                                                                                                                                                                                          <w:marBottom w:val="0"/>
                                                                                                                                                                                                                                                                          <w:divBdr>
                                                                                                                                                                                                                                                                            <w:top w:val="none" w:sz="0" w:space="0" w:color="auto"/>
                                                                                                                                                                                                                                                                            <w:left w:val="none" w:sz="0" w:space="0" w:color="auto"/>
                                                                                                                                                                                                                                                                            <w:bottom w:val="none" w:sz="0" w:space="0" w:color="auto"/>
                                                                                                                                                                                                                                                                            <w:right w:val="none" w:sz="0" w:space="0" w:color="auto"/>
                                                                                                                                                                                                                                                                          </w:divBdr>
                                                                                                                                                                                                                                                                          <w:divsChild>
                                                                                                                                                                                                                                                                            <w:div w:id="836656484">
                                                                                                                                                                                                                                                                              <w:marLeft w:val="0"/>
                                                                                                                                                                                                                                                                              <w:marRight w:val="0"/>
                                                                                                                                                                                                                                                                              <w:marTop w:val="0"/>
                                                                                                                                                                                                                                                                              <w:marBottom w:val="0"/>
                                                                                                                                                                                                                                                                              <w:divBdr>
                                                                                                                                                                                                                                                                                <w:top w:val="none" w:sz="0" w:space="0" w:color="auto"/>
                                                                                                                                                                                                                                                                                <w:left w:val="none" w:sz="0" w:space="0" w:color="auto"/>
                                                                                                                                                                                                                                                                                <w:bottom w:val="none" w:sz="0" w:space="0" w:color="auto"/>
                                                                                                                                                                                                                                                                                <w:right w:val="none" w:sz="0" w:space="0" w:color="auto"/>
                                                                                                                                                                                                                                                                              </w:divBdr>
                                                                                                                                                                                                                                                                              <w:divsChild>
                                                                                                                                                                                                                                                                                <w:div w:id="1352148978">
                                                                                                                                                                                                                                                                                  <w:marLeft w:val="0"/>
                                                                                                                                                                                                                                                                                  <w:marRight w:val="0"/>
                                                                                                                                                                                                                                                                                  <w:marTop w:val="0"/>
                                                                                                                                                                                                                                                                                  <w:marBottom w:val="0"/>
                                                                                                                                                                                                                                                                                  <w:divBdr>
                                                                                                                                                                                                                                                                                    <w:top w:val="none" w:sz="0" w:space="0" w:color="auto"/>
                                                                                                                                                                                                                                                                                    <w:left w:val="none" w:sz="0" w:space="0" w:color="auto"/>
                                                                                                                                                                                                                                                                                    <w:bottom w:val="none" w:sz="0" w:space="0" w:color="auto"/>
                                                                                                                                                                                                                                                                                    <w:right w:val="none" w:sz="0" w:space="0" w:color="auto"/>
                                                                                                                                                                                                                                                                                  </w:divBdr>
                                                                                                                                                                                                                                                                                  <w:divsChild>
                                                                                                                                                                                                                                                                                    <w:div w:id="522206900">
                                                                                                                                                                                                                                                                                      <w:marLeft w:val="0"/>
                                                                                                                                                                                                                                                                                      <w:marRight w:val="0"/>
                                                                                                                                                                                                                                                                                      <w:marTop w:val="0"/>
                                                                                                                                                                                                                                                                                      <w:marBottom w:val="0"/>
                                                                                                                                                                                                                                                                                      <w:divBdr>
                                                                                                                                                                                                                                                                                        <w:top w:val="none" w:sz="0" w:space="0" w:color="auto"/>
                                                                                                                                                                                                                                                                                        <w:left w:val="none" w:sz="0" w:space="0" w:color="auto"/>
                                                                                                                                                                                                                                                                                        <w:bottom w:val="none" w:sz="0" w:space="0" w:color="auto"/>
                                                                                                                                                                                                                                                                                        <w:right w:val="none" w:sz="0" w:space="0" w:color="auto"/>
                                                                                                                                                                                                                                                                                      </w:divBdr>
                                                                                                                                                                                                                                                                                      <w:divsChild>
                                                                                                                                                                                                                                                                                        <w:div w:id="6032107">
                                                                                                                                                                                                                                                                                          <w:marLeft w:val="0"/>
                                                                                                                                                                                                                                                                                          <w:marRight w:val="0"/>
                                                                                                                                                                                                                                                                                          <w:marTop w:val="0"/>
                                                                                                                                                                                                                                                                                          <w:marBottom w:val="0"/>
                                                                                                                                                                                                                                                                                          <w:divBdr>
                                                                                                                                                                                                                                                                                            <w:top w:val="none" w:sz="0" w:space="0" w:color="auto"/>
                                                                                                                                                                                                                                                                                            <w:left w:val="none" w:sz="0" w:space="0" w:color="auto"/>
                                                                                                                                                                                                                                                                                            <w:bottom w:val="none" w:sz="0" w:space="0" w:color="auto"/>
                                                                                                                                                                                                                                                                                            <w:right w:val="none" w:sz="0" w:space="0" w:color="auto"/>
                                                                                                                                                                                                                                                                                          </w:divBdr>
                                                                                                                                                                                                                                                                                          <w:divsChild>
                                                                                                                                                                                                                                                                                            <w:div w:id="246809877">
                                                                                                                                                                                                                                                                                              <w:marLeft w:val="0"/>
                                                                                                                                                                                                                                                                                              <w:marRight w:val="0"/>
                                                                                                                                                                                                                                                                                              <w:marTop w:val="0"/>
                                                                                                                                                                                                                                                                                              <w:marBottom w:val="0"/>
                                                                                                                                                                                                                                                                                              <w:divBdr>
                                                                                                                                                                                                                                                                                                <w:top w:val="none" w:sz="0" w:space="0" w:color="auto"/>
                                                                                                                                                                                                                                                                                                <w:left w:val="none" w:sz="0" w:space="0" w:color="auto"/>
                                                                                                                                                                                                                                                                                                <w:bottom w:val="none" w:sz="0" w:space="0" w:color="auto"/>
                                                                                                                                                                                                                                                                                                <w:right w:val="none" w:sz="0" w:space="0" w:color="auto"/>
                                                                                                                                                                                                                                                                                              </w:divBdr>
                                                                                                                                                                                                                                                                                              <w:divsChild>
                                                                                                                                                                                                                                                                                                <w:div w:id="408231959">
                                                                                                                                                                                                                                                                                                  <w:marLeft w:val="0"/>
                                                                                                                                                                                                                                                                                                  <w:marRight w:val="0"/>
                                                                                                                                                                                                                                                                                                  <w:marTop w:val="0"/>
                                                                                                                                                                                                                                                                                                  <w:marBottom w:val="0"/>
                                                                                                                                                                                                                                                                                                  <w:divBdr>
                                                                                                                                                                                                                                                                                                    <w:top w:val="none" w:sz="0" w:space="0" w:color="auto"/>
                                                                                                                                                                                                                                                                                                    <w:left w:val="none" w:sz="0" w:space="0" w:color="auto"/>
                                                                                                                                                                                                                                                                                                    <w:bottom w:val="none" w:sz="0" w:space="0" w:color="auto"/>
                                                                                                                                                                                                                                                                                                    <w:right w:val="none" w:sz="0" w:space="0" w:color="auto"/>
                                                                                                                                                                                                                                                                                                  </w:divBdr>
                                                                                                                                                                                                                                                                                                  <w:divsChild>
                                                                                                                                                                                                                                                                                                    <w:div w:id="1078599892">
                                                                                                                                                                                                                                                                                                      <w:marLeft w:val="0"/>
                                                                                                                                                                                                                                                                                                      <w:marRight w:val="0"/>
                                                                                                                                                                                                                                                                                                      <w:marTop w:val="0"/>
                                                                                                                                                                                                                                                                                                      <w:marBottom w:val="0"/>
                                                                                                                                                                                                                                                                                                      <w:divBdr>
                                                                                                                                                                                                                                                                                                        <w:top w:val="none" w:sz="0" w:space="0" w:color="auto"/>
                                                                                                                                                                                                                                                                                                        <w:left w:val="none" w:sz="0" w:space="0" w:color="auto"/>
                                                                                                                                                                                                                                                                                                        <w:bottom w:val="none" w:sz="0" w:space="0" w:color="auto"/>
                                                                                                                                                                                                                                                                                                        <w:right w:val="none" w:sz="0" w:space="0" w:color="auto"/>
                                                                                                                                                                                                                                                                                                      </w:divBdr>
                                                                                                                                                                                                                                                                                                      <w:divsChild>
                                                                                                                                                                                                                                                                                                        <w:div w:id="1106313429">
                                                                                                                                                                                                                                                                                                          <w:marLeft w:val="0"/>
                                                                                                                                                                                                                                                                                                          <w:marRight w:val="0"/>
                                                                                                                                                                                                                                                                                                          <w:marTop w:val="0"/>
                                                                                                                                                                                                                                                                                                          <w:marBottom w:val="0"/>
                                                                                                                                                                                                                                                                                                          <w:divBdr>
                                                                                                                                                                                                                                                                                                            <w:top w:val="none" w:sz="0" w:space="0" w:color="auto"/>
                                                                                                                                                                                                                                                                                                            <w:left w:val="none" w:sz="0" w:space="0" w:color="auto"/>
                                                                                                                                                                                                                                                                                                            <w:bottom w:val="none" w:sz="0" w:space="0" w:color="auto"/>
                                                                                                                                                                                                                                                                                                            <w:right w:val="none" w:sz="0" w:space="0" w:color="auto"/>
                                                                                                                                                                                                                                                                                                          </w:divBdr>
                                                                                                                                                                                                                                                                                                          <w:divsChild>
                                                                                                                                                                                                                                                                                                            <w:div w:id="1517960436">
                                                                                                                                                                                                                                                                                                              <w:marLeft w:val="0"/>
                                                                                                                                                                                                                                                                                                              <w:marRight w:val="0"/>
                                                                                                                                                                                                                                                                                                              <w:marTop w:val="0"/>
                                                                                                                                                                                                                                                                                                              <w:marBottom w:val="0"/>
                                                                                                                                                                                                                                                                                                              <w:divBdr>
                                                                                                                                                                                                                                                                                                                <w:top w:val="none" w:sz="0" w:space="0" w:color="auto"/>
                                                                                                                                                                                                                                                                                                                <w:left w:val="none" w:sz="0" w:space="0" w:color="auto"/>
                                                                                                                                                                                                                                                                                                                <w:bottom w:val="none" w:sz="0" w:space="0" w:color="auto"/>
                                                                                                                                                                                                                                                                                                                <w:right w:val="none" w:sz="0" w:space="0" w:color="auto"/>
                                                                                                                                                                                                                                                                                                              </w:divBdr>
                                                                                                                                                                                                                                                                                                              <w:divsChild>
                                                                                                                                                                                                                                                                                                                <w:div w:id="455105432">
                                                                                                                                                                                                                                                                                                                  <w:marLeft w:val="0"/>
                                                                                                                                                                                                                                                                                                                  <w:marRight w:val="0"/>
                                                                                                                                                                                                                                                                                                                  <w:marTop w:val="0"/>
                                                                                                                                                                                                                                                                                                                  <w:marBottom w:val="0"/>
                                                                                                                                                                                                                                                                                                                  <w:divBdr>
                                                                                                                                                                                                                                                                                                                    <w:top w:val="none" w:sz="0" w:space="0" w:color="auto"/>
                                                                                                                                                                                                                                                                                                                    <w:left w:val="none" w:sz="0" w:space="0" w:color="auto"/>
                                                                                                                                                                                                                                                                                                                    <w:bottom w:val="none" w:sz="0" w:space="0" w:color="auto"/>
                                                                                                                                                                                                                                                                                                                    <w:right w:val="none" w:sz="0" w:space="0" w:color="auto"/>
                                                                                                                                                                                                                                                                                                                  </w:divBdr>
                                                                                                                                                                                                                                                                                                                  <w:divsChild>
                                                                                                                                                                                                                                                                                                                    <w:div w:id="60447467">
                                                                                                                                                                                                                                                                                                                      <w:marLeft w:val="0"/>
                                                                                                                                                                                                                                                                                                                      <w:marRight w:val="0"/>
                                                                                                                                                                                                                                                                                                                      <w:marTop w:val="0"/>
                                                                                                                                                                                                                                                                                                                      <w:marBottom w:val="0"/>
                                                                                                                                                                                                                                                                                                                      <w:divBdr>
                                                                                                                                                                                                                                                                                                                        <w:top w:val="none" w:sz="0" w:space="0" w:color="auto"/>
                                                                                                                                                                                                                                                                                                                        <w:left w:val="none" w:sz="0" w:space="0" w:color="auto"/>
                                                                                                                                                                                                                                                                                                                        <w:bottom w:val="none" w:sz="0" w:space="0" w:color="auto"/>
                                                                                                                                                                                                                                                                                                                        <w:right w:val="none" w:sz="0" w:space="0" w:color="auto"/>
                                                                                                                                                                                                                                                                                                                      </w:divBdr>
                                                                                                                                                                                                                                                                                                                      <w:divsChild>
                                                                                                                                                                                                                                                                                                                        <w:div w:id="648484526">
                                                                                                                                                                                                                                                                                                                          <w:marLeft w:val="0"/>
                                                                                                                                                                                                                                                                                                                          <w:marRight w:val="0"/>
                                                                                                                                                                                                                                                                                                                          <w:marTop w:val="0"/>
                                                                                                                                                                                                                                                                                                                          <w:marBottom w:val="0"/>
                                                                                                                                                                                                                                                                                                                          <w:divBdr>
                                                                                                                                                                                                                                                                                                                            <w:top w:val="none" w:sz="0" w:space="0" w:color="auto"/>
                                                                                                                                                                                                                                                                                                                            <w:left w:val="none" w:sz="0" w:space="0" w:color="auto"/>
                                                                                                                                                                                                                                                                                                                            <w:bottom w:val="none" w:sz="0" w:space="0" w:color="auto"/>
                                                                                                                                                                                                                                                                                                                            <w:right w:val="none" w:sz="0" w:space="0" w:color="auto"/>
                                                                                                                                                                                                                                                                                                                          </w:divBdr>
                                                                                                                                                                                                                                                                                                                          <w:divsChild>
                                                                                                                                                                                                                                                                                                                            <w:div w:id="1472479596">
                                                                                                                                                                                                                                                                                                                              <w:marLeft w:val="0"/>
                                                                                                                                                                                                                                                                                                                              <w:marRight w:val="0"/>
                                                                                                                                                                                                                                                                                                                              <w:marTop w:val="0"/>
                                                                                                                                                                                                                                                                                                                              <w:marBottom w:val="0"/>
                                                                                                                                                                                                                                                                                                                              <w:divBdr>
                                                                                                                                                                                                                                                                                                                                <w:top w:val="none" w:sz="0" w:space="0" w:color="auto"/>
                                                                                                                                                                                                                                                                                                                                <w:left w:val="none" w:sz="0" w:space="0" w:color="auto"/>
                                                                                                                                                                                                                                                                                                                                <w:bottom w:val="none" w:sz="0" w:space="0" w:color="auto"/>
                                                                                                                                                                                                                                                                                                                                <w:right w:val="none" w:sz="0" w:space="0" w:color="auto"/>
                                                                                                                                                                                                                                                                                                                              </w:divBdr>
                                                                                                                                                                                                                                                                                                                              <w:divsChild>
                                                                                                                                                                                                                                                                                                                                <w:div w:id="391201828">
                                                                                                                                                                                                                                                                                                                                  <w:marLeft w:val="0"/>
                                                                                                                                                                                                                                                                                                                                  <w:marRight w:val="0"/>
                                                                                                                                                                                                                                                                                                                                  <w:marTop w:val="0"/>
                                                                                                                                                                                                                                                                                                                                  <w:marBottom w:val="0"/>
                                                                                                                                                                                                                                                                                                                                  <w:divBdr>
                                                                                                                                                                                                                                                                                                                                    <w:top w:val="none" w:sz="0" w:space="0" w:color="auto"/>
                                                                                                                                                                                                                                                                                                                                    <w:left w:val="none" w:sz="0" w:space="0" w:color="auto"/>
                                                                                                                                                                                                                                                                                                                                    <w:bottom w:val="none" w:sz="0" w:space="0" w:color="auto"/>
                                                                                                                                                                                                                                                                                                                                    <w:right w:val="none" w:sz="0" w:space="0" w:color="auto"/>
                                                                                                                                                                                                                                                                                                                                  </w:divBdr>
                                                                                                                                                                                                                                                                                                                                  <w:divsChild>
                                                                                                                                                                                                                                                                                                                                    <w:div w:id="1248467370">
                                                                                                                                                                                                                                                                                                                                      <w:marLeft w:val="0"/>
                                                                                                                                                                                                                                                                                                                                      <w:marRight w:val="0"/>
                                                                                                                                                                                                                                                                                                                                      <w:marTop w:val="0"/>
                                                                                                                                                                                                                                                                                                                                      <w:marBottom w:val="0"/>
                                                                                                                                                                                                                                                                                                                                      <w:divBdr>
                                                                                                                                                                                                                                                                                                                                        <w:top w:val="none" w:sz="0" w:space="0" w:color="auto"/>
                                                                                                                                                                                                                                                                                                                                        <w:left w:val="none" w:sz="0" w:space="0" w:color="auto"/>
                                                                                                                                                                                                                                                                                                                                        <w:bottom w:val="none" w:sz="0" w:space="0" w:color="auto"/>
                                                                                                                                                                                                                                                                                                                                        <w:right w:val="none" w:sz="0" w:space="0" w:color="auto"/>
                                                                                                                                                                                                                                                                                                                                      </w:divBdr>
                                                                                                                                                                                                                                                                                                                                      <w:divsChild>
                                                                                                                                                                                                                                                                                                                                        <w:div w:id="1412266012">
                                                                                                                                                                                                                                                                                                                                          <w:marLeft w:val="0"/>
                                                                                                                                                                                                                                                                                                                                          <w:marRight w:val="0"/>
                                                                                                                                                                                                                                                                                                                                          <w:marTop w:val="0"/>
                                                                                                                                                                                                                                                                                                                                          <w:marBottom w:val="0"/>
                                                                                                                                                                                                                                                                                                                                          <w:divBdr>
                                                                                                                                                                                                                                                                                                                                            <w:top w:val="none" w:sz="0" w:space="0" w:color="auto"/>
                                                                                                                                                                                                                                                                                                                                            <w:left w:val="none" w:sz="0" w:space="0" w:color="auto"/>
                                                                                                                                                                                                                                                                                                                                            <w:bottom w:val="none" w:sz="0" w:space="0" w:color="auto"/>
                                                                                                                                                                                                                                                                                                                                            <w:right w:val="none" w:sz="0" w:space="0" w:color="auto"/>
                                                                                                                                                                                                                                                                                                                                          </w:divBdr>
                                                                                                                                                                                                                                                                                                                                          <w:divsChild>
                                                                                                                                                                                                                                                                                                                                            <w:div w:id="1019740225">
                                                                                                                                                                                                                                                                                                                                              <w:marLeft w:val="0"/>
                                                                                                                                                                                                                                                                                                                                              <w:marRight w:val="0"/>
                                                                                                                                                                                                                                                                                                                                              <w:marTop w:val="0"/>
                                                                                                                                                                                                                                                                                                                                              <w:marBottom w:val="0"/>
                                                                                                                                                                                                                                                                                                                                              <w:divBdr>
                                                                                                                                                                                                                                                                                                                                                <w:top w:val="none" w:sz="0" w:space="0" w:color="auto"/>
                                                                                                                                                                                                                                                                                                                                                <w:left w:val="none" w:sz="0" w:space="0" w:color="auto"/>
                                                                                                                                                                                                                                                                                                                                                <w:bottom w:val="none" w:sz="0" w:space="0" w:color="auto"/>
                                                                                                                                                                                                                                                                                                                                                <w:right w:val="none" w:sz="0" w:space="0" w:color="auto"/>
                                                                                                                                                                                                                                                                                                                                              </w:divBdr>
                                                                                                                                                                                                                                                                                                                                              <w:divsChild>
                                                                                                                                                                                                                                                                                                                                                <w:div w:id="888996782">
                                                                                                                                                                                                                                                                                                                                                  <w:marLeft w:val="0"/>
                                                                                                                                                                                                                                                                                                                                                  <w:marRight w:val="0"/>
                                                                                                                                                                                                                                                                                                                                                  <w:marTop w:val="0"/>
                                                                                                                                                                                                                                                                                                                                                  <w:marBottom w:val="0"/>
                                                                                                                                                                                                                                                                                                                                                  <w:divBdr>
                                                                                                                                                                                                                                                                                                                                                    <w:top w:val="none" w:sz="0" w:space="0" w:color="auto"/>
                                                                                                                                                                                                                                                                                                                                                    <w:left w:val="none" w:sz="0" w:space="0" w:color="auto"/>
                                                                                                                                                                                                                                                                                                                                                    <w:bottom w:val="none" w:sz="0" w:space="0" w:color="auto"/>
                                                                                                                                                                                                                                                                                                                                                    <w:right w:val="none" w:sz="0" w:space="0" w:color="auto"/>
                                                                                                                                                                                                                                                                                                                                                  </w:divBdr>
                                                                                                                                                                                                                                                                                                                                                  <w:divsChild>
                                                                                                                                                                                                                                                                                                                                                    <w:div w:id="1051029506">
                                                                                                                                                                                                                                                                                                                                                      <w:marLeft w:val="0"/>
                                                                                                                                                                                                                                                                                                                                                      <w:marRight w:val="0"/>
                                                                                                                                                                                                                                                                                                                                                      <w:marTop w:val="0"/>
                                                                                                                                                                                                                                                                                                                                                      <w:marBottom w:val="0"/>
                                                                                                                                                                                                                                                                                                                                                      <w:divBdr>
                                                                                                                                                                                                                                                                                                                                                        <w:top w:val="none" w:sz="0" w:space="0" w:color="auto"/>
                                                                                                                                                                                                                                                                                                                                                        <w:left w:val="none" w:sz="0" w:space="0" w:color="auto"/>
                                                                                                                                                                                                                                                                                                                                                        <w:bottom w:val="none" w:sz="0" w:space="0" w:color="auto"/>
                                                                                                                                                                                                                                                                                                                                                        <w:right w:val="none" w:sz="0" w:space="0" w:color="auto"/>
                                                                                                                                                                                                                                                                                                                                                      </w:divBdr>
                                                                                                                                                                                                                                                                                                                                                      <w:divsChild>
                                                                                                                                                                                                                                                                                                                                                        <w:div w:id="72094134">
                                                                                                                                                                                                                                                                                                                                                          <w:marLeft w:val="0"/>
                                                                                                                                                                                                                                                                                                                                                          <w:marRight w:val="0"/>
                                                                                                                                                                                                                                                                                                                                                          <w:marTop w:val="0"/>
                                                                                                                                                                                                                                                                                                                                                          <w:marBottom w:val="0"/>
                                                                                                                                                                                                                                                                                                                                                          <w:divBdr>
                                                                                                                                                                                                                                                                                                                                                            <w:top w:val="none" w:sz="0" w:space="0" w:color="auto"/>
                                                                                                                                                                                                                                                                                                                                                            <w:left w:val="none" w:sz="0" w:space="0" w:color="auto"/>
                                                                                                                                                                                                                                                                                                                                                            <w:bottom w:val="none" w:sz="0" w:space="0" w:color="auto"/>
                                                                                                                                                                                                                                                                                                                                                            <w:right w:val="none" w:sz="0" w:space="0" w:color="auto"/>
                                                                                                                                                                                                                                                                                                                                                          </w:divBdr>
                                                                                                                                                                                                                                                                                                                                                          <w:divsChild>
                                                                                                                                                                                                                                                                                                                                                            <w:div w:id="217206500">
                                                                                                                                                                                                                                                                                                                                                              <w:marLeft w:val="0"/>
                                                                                                                                                                                                                                                                                                                                                              <w:marRight w:val="0"/>
                                                                                                                                                                                                                                                                                                                                                              <w:marTop w:val="0"/>
                                                                                                                                                                                                                                                                                                                                                              <w:marBottom w:val="0"/>
                                                                                                                                                                                                                                                                                                                                                              <w:divBdr>
                                                                                                                                                                                                                                                                                                                                                                <w:top w:val="none" w:sz="0" w:space="0" w:color="auto"/>
                                                                                                                                                                                                                                                                                                                                                                <w:left w:val="none" w:sz="0" w:space="0" w:color="auto"/>
                                                                                                                                                                                                                                                                                                                                                                <w:bottom w:val="none" w:sz="0" w:space="0" w:color="auto"/>
                                                                                                                                                                                                                                                                                                                                                                <w:right w:val="none" w:sz="0" w:space="0" w:color="auto"/>
                                                                                                                                                                                                                                                                                                                                                              </w:divBdr>
                                                                                                                                                                                                                                                                                                                                                              <w:divsChild>
                                                                                                                                                                                                                                                                                                                                                                <w:div w:id="2090611046">
                                                                                                                                                                                                                                                                                                                                                                  <w:marLeft w:val="0"/>
                                                                                                                                                                                                                                                                                                                                                                  <w:marRight w:val="0"/>
                                                                                                                                                                                                                                                                                                                                                                  <w:marTop w:val="0"/>
                                                                                                                                                                                                                                                                                                                                                                  <w:marBottom w:val="0"/>
                                                                                                                                                                                                                                                                                                                                                                  <w:divBdr>
                                                                                                                                                                                                                                                                                                                                                                    <w:top w:val="none" w:sz="0" w:space="0" w:color="auto"/>
                                                                                                                                                                                                                                                                                                                                                                    <w:left w:val="none" w:sz="0" w:space="0" w:color="auto"/>
                                                                                                                                                                                                                                                                                                                                                                    <w:bottom w:val="none" w:sz="0" w:space="0" w:color="auto"/>
                                                                                                                                                                                                                                                                                                                                                                    <w:right w:val="none" w:sz="0" w:space="0" w:color="auto"/>
                                                                                                                                                                                                                                                                                                                                                                  </w:divBdr>
                                                                                                                                                                                                                                                                                                                                                                  <w:divsChild>
                                                                                                                                                                                                                                                                                                                                                                    <w:div w:id="897665164">
                                                                                                                                                                                                                                                                                                                                                                      <w:marLeft w:val="0"/>
                                                                                                                                                                                                                                                                                                                                                                      <w:marRight w:val="0"/>
                                                                                                                                                                                                                                                                                                                                                                      <w:marTop w:val="0"/>
                                                                                                                                                                                                                                                                                                                                                                      <w:marBottom w:val="0"/>
                                                                                                                                                                                                                                                                                                                                                                      <w:divBdr>
                                                                                                                                                                                                                                                                                                                                                                        <w:top w:val="none" w:sz="0" w:space="0" w:color="auto"/>
                                                                                                                                                                                                                                                                                                                                                                        <w:left w:val="none" w:sz="0" w:space="0" w:color="auto"/>
                                                                                                                                                                                                                                                                                                                                                                        <w:bottom w:val="none" w:sz="0" w:space="0" w:color="auto"/>
                                                                                                                                                                                                                                                                                                                                                                        <w:right w:val="none" w:sz="0" w:space="0" w:color="auto"/>
                                                                                                                                                                                                                                                                                                                                                                      </w:divBdr>
                                                                                                                                                                                                                                                                                                                                                                      <w:divsChild>
                                                                                                                                                                                                                                                                                                                                                                        <w:div w:id="244800213">
                                                                                                                                                                                                                                                                                                                                                                          <w:marLeft w:val="0"/>
                                                                                                                                                                                                                                                                                                                                                                          <w:marRight w:val="0"/>
                                                                                                                                                                                                                                                                                                                                                                          <w:marTop w:val="0"/>
                                                                                                                                                                                                                                                                                                                                                                          <w:marBottom w:val="0"/>
                                                                                                                                                                                                                                                                                                                                                                          <w:divBdr>
                                                                                                                                                                                                                                                                                                                                                                            <w:top w:val="none" w:sz="0" w:space="0" w:color="auto"/>
                                                                                                                                                                                                                                                                                                                                                                            <w:left w:val="none" w:sz="0" w:space="0" w:color="auto"/>
                                                                                                                                                                                                                                                                                                                                                                            <w:bottom w:val="none" w:sz="0" w:space="0" w:color="auto"/>
                                                                                                                                                                                                                                                                                                                                                                            <w:right w:val="none" w:sz="0" w:space="0" w:color="auto"/>
                                                                                                                                                                                                                                                                                                                                                                          </w:divBdr>
                                                                                                                                                                                                                                                                                                                                                                          <w:divsChild>
                                                                                                                                                                                                                                                                                                                                                                            <w:div w:id="1002662365">
                                                                                                                                                                                                                                                                                                                                                                              <w:marLeft w:val="0"/>
                                                                                                                                                                                                                                                                                                                                                                              <w:marRight w:val="0"/>
                                                                                                                                                                                                                                                                                                                                                                              <w:marTop w:val="0"/>
                                                                                                                                                                                                                                                                                                                                                                              <w:marBottom w:val="0"/>
                                                                                                                                                                                                                                                                                                                                                                              <w:divBdr>
                                                                                                                                                                                                                                                                                                                                                                                <w:top w:val="none" w:sz="0" w:space="0" w:color="auto"/>
                                                                                                                                                                                                                                                                                                                                                                                <w:left w:val="none" w:sz="0" w:space="0" w:color="auto"/>
                                                                                                                                                                                                                                                                                                                                                                                <w:bottom w:val="none" w:sz="0" w:space="0" w:color="auto"/>
                                                                                                                                                                                                                                                                                                                                                                                <w:right w:val="none" w:sz="0" w:space="0" w:color="auto"/>
                                                                                                                                                                                                                                                                                                                                                                              </w:divBdr>
                                                                                                                                                                                                                                                                                                                                                                              <w:divsChild>
                                                                                                                                                                                                                                                                                                                                                                                <w:div w:id="1756976431">
                                                                                                                                                                                                                                                                                                                                                                                  <w:marLeft w:val="0"/>
                                                                                                                                                                                                                                                                                                                                                                                  <w:marRight w:val="0"/>
                                                                                                                                                                                                                                                                                                                                                                                  <w:marTop w:val="0"/>
                                                                                                                                                                                                                                                                                                                                                                                  <w:marBottom w:val="0"/>
                                                                                                                                                                                                                                                                                                                                                                                  <w:divBdr>
                                                                                                                                                                                                                                                                                                                                                                                    <w:top w:val="none" w:sz="0" w:space="0" w:color="auto"/>
                                                                                                                                                                                                                                                                                                                                                                                    <w:left w:val="none" w:sz="0" w:space="0" w:color="auto"/>
                                                                                                                                                                                                                                                                                                                                                                                    <w:bottom w:val="none" w:sz="0" w:space="0" w:color="auto"/>
                                                                                                                                                                                                                                                                                                                                                                                    <w:right w:val="none" w:sz="0" w:space="0" w:color="auto"/>
                                                                                                                                                                                                                                                                                                                                                                                  </w:divBdr>
                                                                                                                                                                                                                                                                                                                                                                                  <w:divsChild>
                                                                                                                                                                                                                                                                                                                                                                                    <w:div w:id="1573152169">
                                                                                                                                                                                                                                                                                                                                                                                      <w:marLeft w:val="0"/>
                                                                                                                                                                                                                                                                                                                                                                                      <w:marRight w:val="0"/>
                                                                                                                                                                                                                                                                                                                                                                                      <w:marTop w:val="0"/>
                                                                                                                                                                                                                                                                                                                                                                                      <w:marBottom w:val="0"/>
                                                                                                                                                                                                                                                                                                                                                                                      <w:divBdr>
                                                                                                                                                                                                                                                                                                                                                                                        <w:top w:val="none" w:sz="0" w:space="0" w:color="auto"/>
                                                                                                                                                                                                                                                                                                                                                                                        <w:left w:val="none" w:sz="0" w:space="0" w:color="auto"/>
                                                                                                                                                                                                                                                                                                                                                                                        <w:bottom w:val="none" w:sz="0" w:space="0" w:color="auto"/>
                                                                                                                                                                                                                                                                                                                                                                                        <w:right w:val="none" w:sz="0" w:space="0" w:color="auto"/>
                                                                                                                                                                                                                                                                                                                                                                                      </w:divBdr>
                                                                                                                                                                                                                                                                                                                                                                                      <w:divsChild>
                                                                                                                                                                                                                                                                                                                                                                                        <w:div w:id="1435663638">
                                                                                                                                                                                                                                                                                                                                                                                          <w:marLeft w:val="0"/>
                                                                                                                                                                                                                                                                                                                                                                                          <w:marRight w:val="0"/>
                                                                                                                                                                                                                                                                                                                                                                                          <w:marTop w:val="0"/>
                                                                                                                                                                                                                                                                                                                                                                                          <w:marBottom w:val="0"/>
                                                                                                                                                                                                                                                                                                                                                                                          <w:divBdr>
                                                                                                                                                                                                                                                                                                                                                                                            <w:top w:val="none" w:sz="0" w:space="0" w:color="auto"/>
                                                                                                                                                                                                                                                                                                                                                                                            <w:left w:val="none" w:sz="0" w:space="0" w:color="auto"/>
                                                                                                                                                                                                                                                                                                                                                                                            <w:bottom w:val="none" w:sz="0" w:space="0" w:color="auto"/>
                                                                                                                                                                                                                                                                                                                                                                                            <w:right w:val="none" w:sz="0" w:space="0" w:color="auto"/>
                                                                                                                                                                                                                                                                                                                                                                                          </w:divBdr>
                                                                                                                                                                                                                                                                                                                                                                                          <w:divsChild>
                                                                                                                                                                                                                                                                                                                                                                                            <w:div w:id="929195967">
                                                                                                                                                                                                                                                                                                                                                                                              <w:marLeft w:val="0"/>
                                                                                                                                                                                                                                                                                                                                                                                              <w:marRight w:val="0"/>
                                                                                                                                                                                                                                                                                                                                                                                              <w:marTop w:val="0"/>
                                                                                                                                                                                                                                                                                                                                                                                              <w:marBottom w:val="0"/>
                                                                                                                                                                                                                                                                                                                                                                                              <w:divBdr>
                                                                                                                                                                                                                                                                                                                                                                                                <w:top w:val="none" w:sz="0" w:space="0" w:color="auto"/>
                                                                                                                                                                                                                                                                                                                                                                                                <w:left w:val="none" w:sz="0" w:space="0" w:color="auto"/>
                                                                                                                                                                                                                                                                                                                                                                                                <w:bottom w:val="none" w:sz="0" w:space="0" w:color="auto"/>
                                                                                                                                                                                                                                                                                                                                                                                                <w:right w:val="none" w:sz="0" w:space="0" w:color="auto"/>
                                                                                                                                                                                                                                                                                                                                                                                              </w:divBdr>
                                                                                                                                                                                                                                                                                                                                                                                              <w:divsChild>
                                                                                                                                                                                                                                                                                                                                                                                                <w:div w:id="430591932">
                                                                                                                                                                                                                                                                                                                                                                                                  <w:marLeft w:val="0"/>
                                                                                                                                                                                                                                                                                                                                                                                                  <w:marRight w:val="0"/>
                                                                                                                                                                                                                                                                                                                                                                                                  <w:marTop w:val="0"/>
                                                                                                                                                                                                                                                                                                                                                                                                  <w:marBottom w:val="0"/>
                                                                                                                                                                                                                                                                                                                                                                                                  <w:divBdr>
                                                                                                                                                                                                                                                                                                                                                                                                    <w:top w:val="none" w:sz="0" w:space="0" w:color="auto"/>
                                                                                                                                                                                                                                                                                                                                                                                                    <w:left w:val="none" w:sz="0" w:space="0" w:color="auto"/>
                                                                                                                                                                                                                                                                                                                                                                                                    <w:bottom w:val="none" w:sz="0" w:space="0" w:color="auto"/>
                                                                                                                                                                                                                                                                                                                                                                                                    <w:right w:val="none" w:sz="0" w:space="0" w:color="auto"/>
                                                                                                                                                                                                                                                                                                                                                                                                  </w:divBdr>
                                                                                                                                                                                                                                                                                                                                                                                                  <w:divsChild>
                                                                                                                                                                                                                                                                                                                                                                                                    <w:div w:id="619872134">
                                                                                                                                                                                                                                                                                                                                                                                                      <w:marLeft w:val="0"/>
                                                                                                                                                                                                                                                                                                                                                                                                      <w:marRight w:val="0"/>
                                                                                                                                                                                                                                                                                                                                                                                                      <w:marTop w:val="0"/>
                                                                                                                                                                                                                                                                                                                                                                                                      <w:marBottom w:val="0"/>
                                                                                                                                                                                                                                                                                                                                                                                                      <w:divBdr>
                                                                                                                                                                                                                                                                                                                                                                                                        <w:top w:val="none" w:sz="0" w:space="0" w:color="auto"/>
                                                                                                                                                                                                                                                                                                                                                                                                        <w:left w:val="none" w:sz="0" w:space="0" w:color="auto"/>
                                                                                                                                                                                                                                                                                                                                                                                                        <w:bottom w:val="none" w:sz="0" w:space="0" w:color="auto"/>
                                                                                                                                                                                                                                                                                                                                                                                                        <w:right w:val="none" w:sz="0" w:space="0" w:color="auto"/>
                                                                                                                                                                                                                                                                                                                                                                                                      </w:divBdr>
                                                                                                                                                                                                                                                                                                                                                                                                      <w:divsChild>
                                                                                                                                                                                                                                                                                                                                                                                                        <w:div w:id="680284243">
                                                                                                                                                                                                                                                                                                                                                                                                          <w:marLeft w:val="0"/>
                                                                                                                                                                                                                                                                                                                                                                                                          <w:marRight w:val="0"/>
                                                                                                                                                                                                                                                                                                                                                                                                          <w:marTop w:val="0"/>
                                                                                                                                                                                                                                                                                                                                                                                                          <w:marBottom w:val="0"/>
                                                                                                                                                                                                                                                                                                                                                                                                          <w:divBdr>
                                                                                                                                                                                                                                                                                                                                                                                                            <w:top w:val="none" w:sz="0" w:space="0" w:color="auto"/>
                                                                                                                                                                                                                                                                                                                                                                                                            <w:left w:val="none" w:sz="0" w:space="0" w:color="auto"/>
                                                                                                                                                                                                                                                                                                                                                                                                            <w:bottom w:val="none" w:sz="0" w:space="0" w:color="auto"/>
                                                                                                                                                                                                                                                                                                                                                                                                            <w:right w:val="none" w:sz="0" w:space="0" w:color="auto"/>
                                                                                                                                                                                                                                                                                                                                                                                                          </w:divBdr>
                                                                                                                                                                                                                                                                                                                                                                                                          <w:divsChild>
                                                                                                                                                                                                                                                                                                                                                                                                            <w:div w:id="1756779164">
                                                                                                                                                                                                                                                                                                                                                                                                              <w:marLeft w:val="0"/>
                                                                                                                                                                                                                                                                                                                                                                                                              <w:marRight w:val="0"/>
                                                                                                                                                                                                                                                                                                                                                                                                              <w:marTop w:val="0"/>
                                                                                                                                                                                                                                                                                                                                                                                                              <w:marBottom w:val="0"/>
                                                                                                                                                                                                                                                                                                                                                                                                              <w:divBdr>
                                                                                                                                                                                                                                                                                                                                                                                                                <w:top w:val="none" w:sz="0" w:space="0" w:color="auto"/>
                                                                                                                                                                                                                                                                                                                                                                                                                <w:left w:val="none" w:sz="0" w:space="0" w:color="auto"/>
                                                                                                                                                                                                                                                                                                                                                                                                                <w:bottom w:val="none" w:sz="0" w:space="0" w:color="auto"/>
                                                                                                                                                                                                                                                                                                                                                                                                                <w:right w:val="none" w:sz="0" w:space="0" w:color="auto"/>
                                                                                                                                                                                                                                                                                                                                                                                                              </w:divBdr>
                                                                                                                                                                                                                                                                                                                                                                                                              <w:divsChild>
                                                                                                                                                                                                                                                                                                                                                                                                                <w:div w:id="1275751907">
                                                                                                                                                                                                                                                                                                                                                                                                                  <w:marLeft w:val="0"/>
                                                                                                                                                                                                                                                                                                                                                                                                                  <w:marRight w:val="0"/>
                                                                                                                                                                                                                                                                                                                                                                                                                  <w:marTop w:val="0"/>
                                                                                                                                                                                                                                                                                                                                                                                                                  <w:marBottom w:val="0"/>
                                                                                                                                                                                                                                                                                                                                                                                                                  <w:divBdr>
                                                                                                                                                                                                                                                                                                                                                                                                                    <w:top w:val="none" w:sz="0" w:space="0" w:color="auto"/>
                                                                                                                                                                                                                                                                                                                                                                                                                    <w:left w:val="none" w:sz="0" w:space="0" w:color="auto"/>
                                                                                                                                                                                                                                                                                                                                                                                                                    <w:bottom w:val="none" w:sz="0" w:space="0" w:color="auto"/>
                                                                                                                                                                                                                                                                                                                                                                                                                    <w:right w:val="none" w:sz="0" w:space="0" w:color="auto"/>
                                                                                                                                                                                                                                                                                                                                                                                                                  </w:divBdr>
                                                                                                                                                                                                                                                                                                                                                                                                                  <w:divsChild>
                                                                                                                                                                                                                                                                                                                                                                                                                    <w:div w:id="982810401">
                                                                                                                                                                                                                                                                                                                                                                                                                      <w:marLeft w:val="0"/>
                                                                                                                                                                                                                                                                                                                                                                                                                      <w:marRight w:val="0"/>
                                                                                                                                                                                                                                                                                                                                                                                                                      <w:marTop w:val="0"/>
                                                                                                                                                                                                                                                                                                                                                                                                                      <w:marBottom w:val="0"/>
                                                                                                                                                                                                                                                                                                                                                                                                                      <w:divBdr>
                                                                                                                                                                                                                                                                                                                                                                                                                        <w:top w:val="none" w:sz="0" w:space="0" w:color="auto"/>
                                                                                                                                                                                                                                                                                                                                                                                                                        <w:left w:val="none" w:sz="0" w:space="0" w:color="auto"/>
                                                                                                                                                                                                                                                                                                                                                                                                                        <w:bottom w:val="none" w:sz="0" w:space="0" w:color="auto"/>
                                                                                                                                                                                                                                                                                                                                                                                                                        <w:right w:val="none" w:sz="0" w:space="0" w:color="auto"/>
                                                                                                                                                                                                                                                                                                                                                                                                                      </w:divBdr>
                                                                                                                                                                                                                                                                                                                                                                                                                      <w:divsChild>
                                                                                                                                                                                                                                                                                                                                                                                                                        <w:div w:id="293290312">
                                                                                                                                                                                                                                                                                                                                                                                                                          <w:marLeft w:val="0"/>
                                                                                                                                                                                                                                                                                                                                                                                                                          <w:marRight w:val="0"/>
                                                                                                                                                                                                                                                                                                                                                                                                                          <w:marTop w:val="0"/>
                                                                                                                                                                                                                                                                                                                                                                                                                          <w:marBottom w:val="0"/>
                                                                                                                                                                                                                                                                                                                                                                                                                          <w:divBdr>
                                                                                                                                                                                                                                                                                                                                                                                                                            <w:top w:val="none" w:sz="0" w:space="0" w:color="auto"/>
                                                                                                                                                                                                                                                                                                                                                                                                                            <w:left w:val="none" w:sz="0" w:space="0" w:color="auto"/>
                                                                                                                                                                                                                                                                                                                                                                                                                            <w:bottom w:val="none" w:sz="0" w:space="0" w:color="auto"/>
                                                                                                                                                                                                                                                                                                                                                                                                                            <w:right w:val="none" w:sz="0" w:space="0" w:color="auto"/>
                                                                                                                                                                                                                                                                                                                                                                                                                          </w:divBdr>
                                                                                                                                                                                                                                                                                                                                                                                                                          <w:divsChild>
                                                                                                                                                                                                                                                                                                                                                                                                                            <w:div w:id="93749182">
                                                                                                                                                                                                                                                                                                                                                                                                                              <w:marLeft w:val="0"/>
                                                                                                                                                                                                                                                                                                                                                                                                                              <w:marRight w:val="0"/>
                                                                                                                                                                                                                                                                                                                                                                                                                              <w:marTop w:val="0"/>
                                                                                                                                                                                                                                                                                                                                                                                                                              <w:marBottom w:val="0"/>
                                                                                                                                                                                                                                                                                                                                                                                                                              <w:divBdr>
                                                                                                                                                                                                                                                                                                                                                                                                                                <w:top w:val="none" w:sz="0" w:space="0" w:color="auto"/>
                                                                                                                                                                                                                                                                                                                                                                                                                                <w:left w:val="none" w:sz="0" w:space="0" w:color="auto"/>
                                                                                                                                                                                                                                                                                                                                                                                                                                <w:bottom w:val="none" w:sz="0" w:space="0" w:color="auto"/>
                                                                                                                                                                                                                                                                                                                                                                                                                                <w:right w:val="none" w:sz="0" w:space="0" w:color="auto"/>
                                                                                                                                                                                                                                                                                                                                                                                                                              </w:divBdr>
                                                                                                                                                                                                                                                                                                                                                                                                                              <w:divsChild>
                                                                                                                                                                                                                                                                                                                                                                                                                                <w:div w:id="260530231">
                                                                                                                                                                                                                                                                                                                                                                                                                                  <w:marLeft w:val="0"/>
                                                                                                                                                                                                                                                                                                                                                                                                                                  <w:marRight w:val="0"/>
                                                                                                                                                                                                                                                                                                                                                                                                                                  <w:marTop w:val="0"/>
                                                                                                                                                                                                                                                                                                                                                                                                                                  <w:marBottom w:val="0"/>
                                                                                                                                                                                                                                                                                                                                                                                                                                  <w:divBdr>
                                                                                                                                                                                                                                                                                                                                                                                                                                    <w:top w:val="none" w:sz="0" w:space="0" w:color="auto"/>
                                                                                                                                                                                                                                                                                                                                                                                                                                    <w:left w:val="none" w:sz="0" w:space="0" w:color="auto"/>
                                                                                                                                                                                                                                                                                                                                                                                                                                    <w:bottom w:val="none" w:sz="0" w:space="0" w:color="auto"/>
                                                                                                                                                                                                                                                                                                                                                                                                                                    <w:right w:val="none" w:sz="0" w:space="0" w:color="auto"/>
                                                                                                                                                                                                                                                                                                                                                                                                                                  </w:divBdr>
                                                                                                                                                                                                                                                                                                                                                                                                                                  <w:divsChild>
                                                                                                                                                                                                                                                                                                                                                                                                                                    <w:div w:id="339620954">
                                                                                                                                                                                                                                                                                                                                                                                                                                      <w:marLeft w:val="0"/>
                                                                                                                                                                                                                                                                                                                                                                                                                                      <w:marRight w:val="0"/>
                                                                                                                                                                                                                                                                                                                                                                                                                                      <w:marTop w:val="0"/>
                                                                                                                                                                                                                                                                                                                                                                                                                                      <w:marBottom w:val="0"/>
                                                                                                                                                                                                                                                                                                                                                                                                                                      <w:divBdr>
                                                                                                                                                                                                                                                                                                                                                                                                                                        <w:top w:val="none" w:sz="0" w:space="0" w:color="auto"/>
                                                                                                                                                                                                                                                                                                                                                                                                                                        <w:left w:val="none" w:sz="0" w:space="0" w:color="auto"/>
                                                                                                                                                                                                                                                                                                                                                                                                                                        <w:bottom w:val="none" w:sz="0" w:space="0" w:color="auto"/>
                                                                                                                                                                                                                                                                                                                                                                                                                                        <w:right w:val="none" w:sz="0" w:space="0" w:color="auto"/>
                                                                                                                                                                                                                                                                                                                                                                                                                                      </w:divBdr>
                                                                                                                                                                                                                                                                                                                                                                                                                                      <w:divsChild>
                                                                                                                                                                                                                                                                                                                                                                                                                                        <w:div w:id="46342612">
                                                                                                                                                                                                                                                                                                                                                                                                                                          <w:marLeft w:val="0"/>
                                                                                                                                                                                                                                                                                                                                                                                                                                          <w:marRight w:val="0"/>
                                                                                                                                                                                                                                                                                                                                                                                                                                          <w:marTop w:val="0"/>
                                                                                                                                                                                                                                                                                                                                                                                                                                          <w:marBottom w:val="0"/>
                                                                                                                                                                                                                                                                                                                                                                                                                                          <w:divBdr>
                                                                                                                                                                                                                                                                                                                                                                                                                                            <w:top w:val="none" w:sz="0" w:space="0" w:color="auto"/>
                                                                                                                                                                                                                                                                                                                                                                                                                                            <w:left w:val="none" w:sz="0" w:space="0" w:color="auto"/>
                                                                                                                                                                                                                                                                                                                                                                                                                                            <w:bottom w:val="none" w:sz="0" w:space="0" w:color="auto"/>
                                                                                                                                                                                                                                                                                                                                                                                                                                            <w:right w:val="none" w:sz="0" w:space="0" w:color="auto"/>
                                                                                                                                                                                                                                                                                                                                                                                                                                          </w:divBdr>
                                                                                                                                                                                                                                                                                                                                                                                                                                          <w:divsChild>
                                                                                                                                                                                                                                                                                                                                                                                                                                            <w:div w:id="297150230">
                                                                                                                                                                                                                                                                                                                                                                                                                                              <w:marLeft w:val="0"/>
                                                                                                                                                                                                                                                                                                                                                                                                                                              <w:marRight w:val="0"/>
                                                                                                                                                                                                                                                                                                                                                                                                                                              <w:marTop w:val="0"/>
                                                                                                                                                                                                                                                                                                                                                                                                                                              <w:marBottom w:val="0"/>
                                                                                                                                                                                                                                                                                                                                                                                                                                              <w:divBdr>
                                                                                                                                                                                                                                                                                                                                                                                                                                                <w:top w:val="none" w:sz="0" w:space="0" w:color="auto"/>
                                                                                                                                                                                                                                                                                                                                                                                                                                                <w:left w:val="none" w:sz="0" w:space="0" w:color="auto"/>
                                                                                                                                                                                                                                                                                                                                                                                                                                                <w:bottom w:val="none" w:sz="0" w:space="0" w:color="auto"/>
                                                                                                                                                                                                                                                                                                                                                                                                                                                <w:right w:val="none" w:sz="0" w:space="0" w:color="auto"/>
                                                                                                                                                                                                                                                                                                                                                                                                                                              </w:divBdr>
                                                                                                                                                                                                                                                                                                                                                                                                                                              <w:divsChild>
                                                                                                                                                                                                                                                                                                                                                                                                                                                <w:div w:id="830683344">
                                                                                                                                                                                                                                                                                                                                                                                                                                                  <w:marLeft w:val="0"/>
                                                                                                                                                                                                                                                                                                                                                                                                                                                  <w:marRight w:val="0"/>
                                                                                                                                                                                                                                                                                                                                                                                                                                                  <w:marTop w:val="0"/>
                                                                                                                                                                                                                                                                                                                                                                                                                                                  <w:marBottom w:val="0"/>
                                                                                                                                                                                                                                                                                                                                                                                                                                                  <w:divBdr>
                                                                                                                                                                                                                                                                                                                                                                                                                                                    <w:top w:val="none" w:sz="0" w:space="0" w:color="auto"/>
                                                                                                                                                                                                                                                                                                                                                                                                                                                    <w:left w:val="none" w:sz="0" w:space="0" w:color="auto"/>
                                                                                                                                                                                                                                                                                                                                                                                                                                                    <w:bottom w:val="none" w:sz="0" w:space="0" w:color="auto"/>
                                                                                                                                                                                                                                                                                                                                                                                                                                                    <w:right w:val="none" w:sz="0" w:space="0" w:color="auto"/>
                                                                                                                                                                                                                                                                                                                                                                                                                                                  </w:divBdr>
                                                                                                                                                                                                                                                                                                                                                                                                                                                  <w:divsChild>
                                                                                                                                                                                                                                                                                                                                                                                                                                                    <w:div w:id="1692489962">
                                                                                                                                                                                                                                                                                                                                                                                                                                                      <w:marLeft w:val="0"/>
                                                                                                                                                                                                                                                                                                                                                                                                                                                      <w:marRight w:val="0"/>
                                                                                                                                                                                                                                                                                                                                                                                                                                                      <w:marTop w:val="0"/>
                                                                                                                                                                                                                                                                                                                                                                                                                                                      <w:marBottom w:val="0"/>
                                                                                                                                                                                                                                                                                                                                                                                                                                                      <w:divBdr>
                                                                                                                                                                                                                                                                                                                                                                                                                                                        <w:top w:val="none" w:sz="0" w:space="0" w:color="auto"/>
                                                                                                                                                                                                                                                                                                                                                                                                                                                        <w:left w:val="none" w:sz="0" w:space="0" w:color="auto"/>
                                                                                                                                                                                                                                                                                                                                                                                                                                                        <w:bottom w:val="none" w:sz="0" w:space="0" w:color="auto"/>
                                                                                                                                                                                                                                                                                                                                                                                                                                                        <w:right w:val="none" w:sz="0" w:space="0" w:color="auto"/>
                                                                                                                                                                                                                                                                                                                                                                                                                                                      </w:divBdr>
                                                                                                                                                                                                                                                                                                                                                                                                                                                      <w:divsChild>
                                                                                                                                                                                                                                                                                                                                                                                                                                                        <w:div w:id="1621913953">
                                                                                                                                                                                                                                                                                                                                                                                                                                                          <w:marLeft w:val="0"/>
                                                                                                                                                                                                                                                                                                                                                                                                                                                          <w:marRight w:val="0"/>
                                                                                                                                                                                                                                                                                                                                                                                                                                                          <w:marTop w:val="0"/>
                                                                                                                                                                                                                                                                                                                                                                                                                                                          <w:marBottom w:val="0"/>
                                                                                                                                                                                                                                                                                                                                                                                                                                                          <w:divBdr>
                                                                                                                                                                                                                                                                                                                                                                                                                                                            <w:top w:val="none" w:sz="0" w:space="0" w:color="auto"/>
                                                                                                                                                                                                                                                                                                                                                                                                                                                            <w:left w:val="none" w:sz="0" w:space="0" w:color="auto"/>
                                                                                                                                                                                                                                                                                                                                                                                                                                                            <w:bottom w:val="none" w:sz="0" w:space="0" w:color="auto"/>
                                                                                                                                                                                                                                                                                                                                                                                                                                                            <w:right w:val="none" w:sz="0" w:space="0" w:color="auto"/>
                                                                                                                                                                                                                                                                                                                                                                                                                                                          </w:divBdr>
                                                                                                                                                                                                                                                                                                                                                                                                                                                          <w:divsChild>
                                                                                                                                                                                                                                                                                                                                                                                                                                                            <w:div w:id="1238514279">
                                                                                                                                                                                                                                                                                                                                                                                                                                                              <w:marLeft w:val="0"/>
                                                                                                                                                                                                                                                                                                                                                                                                                                                              <w:marRight w:val="0"/>
                                                                                                                                                                                                                                                                                                                                                                                                                                                              <w:marTop w:val="0"/>
                                                                                                                                                                                                                                                                                                                                                                                                                                                              <w:marBottom w:val="0"/>
                                                                                                                                                                                                                                                                                                                                                                                                                                                              <w:divBdr>
                                                                                                                                                                                                                                                                                                                                                                                                                                                                <w:top w:val="none" w:sz="0" w:space="0" w:color="auto"/>
                                                                                                                                                                                                                                                                                                                                                                                                                                                                <w:left w:val="none" w:sz="0" w:space="0" w:color="auto"/>
                                                                                                                                                                                                                                                                                                                                                                                                                                                                <w:bottom w:val="none" w:sz="0" w:space="0" w:color="auto"/>
                                                                                                                                                                                                                                                                                                                                                                                                                                                                <w:right w:val="none" w:sz="0" w:space="0" w:color="auto"/>
                                                                                                                                                                                                                                                                                                                                                                                                                                                              </w:divBdr>
                                                                                                                                                                                                                                                                                                                                                                                                                                                              <w:divsChild>
                                                                                                                                                                                                                                                                                                                                                                                                                                                                <w:div w:id="1791976273">
                                                                                                                                                                                                                                                                                                                                                                                                                                                                  <w:marLeft w:val="0"/>
                                                                                                                                                                                                                                                                                                                                                                                                                                                                  <w:marRight w:val="0"/>
                                                                                                                                                                                                                                                                                                                                                                                                                                                                  <w:marTop w:val="0"/>
                                                                                                                                                                                                                                                                                                                                                                                                                                                                  <w:marBottom w:val="0"/>
                                                                                                                                                                                                                                                                                                                                                                                                                                                                  <w:divBdr>
                                                                                                                                                                                                                                                                                                                                                                                                                                                                    <w:top w:val="none" w:sz="0" w:space="0" w:color="auto"/>
                                                                                                                                                                                                                                                                                                                                                                                                                                                                    <w:left w:val="none" w:sz="0" w:space="0" w:color="auto"/>
                                                                                                                                                                                                                                                                                                                                                                                                                                                                    <w:bottom w:val="none" w:sz="0" w:space="0" w:color="auto"/>
                                                                                                                                                                                                                                                                                                                                                                                                                                                                    <w:right w:val="none" w:sz="0" w:space="0" w:color="auto"/>
                                                                                                                                                                                                                                                                                                                                                                                                                                                                  </w:divBdr>
                                                                                                                                                                                                                                                                                                                                                                                                                                                                  <w:divsChild>
                                                                                                                                                                                                                                                                                                                                                                                                                                                                    <w:div w:id="1809281548">
                                                                                                                                                                                                                                                                                                                                                                                                                                                                      <w:marLeft w:val="0"/>
                                                                                                                                                                                                                                                                                                                                                                                                                                                                      <w:marRight w:val="0"/>
                                                                                                                                                                                                                                                                                                                                                                                                                                                                      <w:marTop w:val="0"/>
                                                                                                                                                                                                                                                                                                                                                                                                                                                                      <w:marBottom w:val="0"/>
                                                                                                                                                                                                                                                                                                                                                                                                                                                                      <w:divBdr>
                                                                                                                                                                                                                                                                                                                                                                                                                                                                        <w:top w:val="none" w:sz="0" w:space="0" w:color="auto"/>
                                                                                                                                                                                                                                                                                                                                                                                                                                                                        <w:left w:val="none" w:sz="0" w:space="0" w:color="auto"/>
                                                                                                                                                                                                                                                                                                                                                                                                                                                                        <w:bottom w:val="none" w:sz="0" w:space="0" w:color="auto"/>
                                                                                                                                                                                                                                                                                                                                                                                                                                                                        <w:right w:val="none" w:sz="0" w:space="0" w:color="auto"/>
                                                                                                                                                                                                                                                                                                                                                                                                                                                                      </w:divBdr>
                                                                                                                                                                                                                                                                                                                                                                                                                                                                      <w:divsChild>
                                                                                                                                                                                                                                                                                                                                                                                                                                                                        <w:div w:id="514225403">
                                                                                                                                                                                                                                                                                                                                                                                                                                                                          <w:marLeft w:val="0"/>
                                                                                                                                                                                                                                                                                                                                                                                                                                                                          <w:marRight w:val="0"/>
                                                                                                                                                                                                                                                                                                                                                                                                                                                                          <w:marTop w:val="0"/>
                                                                                                                                                                                                                                                                                                                                                                                                                                                                          <w:marBottom w:val="0"/>
                                                                                                                                                                                                                                                                                                                                                                                                                                                                          <w:divBdr>
                                                                                                                                                                                                                                                                                                                                                                                                                                                                            <w:top w:val="none" w:sz="0" w:space="0" w:color="auto"/>
                                                                                                                                                                                                                                                                                                                                                                                                                                                                            <w:left w:val="none" w:sz="0" w:space="0" w:color="auto"/>
                                                                                                                                                                                                                                                                                                                                                                                                                                                                            <w:bottom w:val="none" w:sz="0" w:space="0" w:color="auto"/>
                                                                                                                                                                                                                                                                                                                                                                                                                                                                            <w:right w:val="none" w:sz="0" w:space="0" w:color="auto"/>
                                                                                                                                                                                                                                                                                                                                                                                                                                                                          </w:divBdr>
                                                                                                                                                                                                                                                                                                                                                                                                                                                                          <w:divsChild>
                                                                                                                                                                                                                                                                                                                                                                                                                                                                            <w:div w:id="1321468094">
                                                                                                                                                                                                                                                                                                                                                                                                                                                                              <w:marLeft w:val="0"/>
                                                                                                                                                                                                                                                                                                                                                                                                                                                                              <w:marRight w:val="0"/>
                                                                                                                                                                                                                                                                                                                                                                                                                                                                              <w:marTop w:val="0"/>
                                                                                                                                                                                                                                                                                                                                                                                                                                                                              <w:marBottom w:val="0"/>
                                                                                                                                                                                                                                                                                                                                                                                                                                                                              <w:divBdr>
                                                                                                                                                                                                                                                                                                                                                                                                                                                                                <w:top w:val="none" w:sz="0" w:space="0" w:color="auto"/>
                                                                                                                                                                                                                                                                                                                                                                                                                                                                                <w:left w:val="none" w:sz="0" w:space="0" w:color="auto"/>
                                                                                                                                                                                                                                                                                                                                                                                                                                                                                <w:bottom w:val="none" w:sz="0" w:space="0" w:color="auto"/>
                                                                                                                                                                                                                                                                                                                                                                                                                                                                                <w:right w:val="none" w:sz="0" w:space="0" w:color="auto"/>
                                                                                                                                                                                                                                                                                                                                                                                                                                                                              </w:divBdr>
                                                                                                                                                                                                                                                                                                                                                                                                                                                                              <w:divsChild>
                                                                                                                                                                                                                                                                                                                                                                                                                                                                                <w:div w:id="1340083890">
                                                                                                                                                                                                                                                                                                                                                                                                                                                                                  <w:marLeft w:val="0"/>
                                                                                                                                                                                                                                                                                                                                                                                                                                                                                  <w:marRight w:val="0"/>
                                                                                                                                                                                                                                                                                                                                                                                                                                                                                  <w:marTop w:val="0"/>
                                                                                                                                                                                                                                                                                                                                                                                                                                                                                  <w:marBottom w:val="0"/>
                                                                                                                                                                                                                                                                                                                                                                                                                                                                                  <w:divBdr>
                                                                                                                                                                                                                                                                                                                                                                                                                                                                                    <w:top w:val="none" w:sz="0" w:space="0" w:color="auto"/>
                                                                                                                                                                                                                                                                                                                                                                                                                                                                                    <w:left w:val="none" w:sz="0" w:space="0" w:color="auto"/>
                                                                                                                                                                                                                                                                                                                                                                                                                                                                                    <w:bottom w:val="none" w:sz="0" w:space="0" w:color="auto"/>
                                                                                                                                                                                                                                                                                                                                                                                                                                                                                    <w:right w:val="none" w:sz="0" w:space="0" w:color="auto"/>
                                                                                                                                                                                                                                                                                                                                                                                                                                                                                  </w:divBdr>
                                                                                                                                                                                                                                                                                                                                                                                                                                                                                  <w:divsChild>
                                                                                                                                                                                                                                                                                                                                                                                                                                                                                    <w:div w:id="473520779">
                                                                                                                                                                                                                                                                                                                                                                                                                                                                                      <w:marLeft w:val="0"/>
                                                                                                                                                                                                                                                                                                                                                                                                                                                                                      <w:marRight w:val="0"/>
                                                                                                                                                                                                                                                                                                                                                                                                                                                                                      <w:marTop w:val="0"/>
                                                                                                                                                                                                                                                                                                                                                                                                                                                                                      <w:marBottom w:val="0"/>
                                                                                                                                                                                                                                                                                                                                                                                                                                                                                      <w:divBdr>
                                                                                                                                                                                                                                                                                                                                                                                                                                                                                        <w:top w:val="none" w:sz="0" w:space="0" w:color="auto"/>
                                                                                                                                                                                                                                                                                                                                                                                                                                                                                        <w:left w:val="none" w:sz="0" w:space="0" w:color="auto"/>
                                                                                                                                                                                                                                                                                                                                                                                                                                                                                        <w:bottom w:val="none" w:sz="0" w:space="0" w:color="auto"/>
                                                                                                                                                                                                                                                                                                                                                                                                                                                                                        <w:right w:val="none" w:sz="0" w:space="0" w:color="auto"/>
                                                                                                                                                                                                                                                                                                                                                                                                                                                                                      </w:divBdr>
                                                                                                                                                                                                                                                                                                                                                                                                                                                                                      <w:divsChild>
                                                                                                                                                                                                                                                                                                                                                                                                                                                                                        <w:div w:id="71590740">
                                                                                                                                                                                                                                                                                                                                                                                                                                                                                          <w:marLeft w:val="0"/>
                                                                                                                                                                                                                                                                                                                                                                                                                                                                                          <w:marRight w:val="0"/>
                                                                                                                                                                                                                                                                                                                                                                                                                                                                                          <w:marTop w:val="0"/>
                                                                                                                                                                                                                                                                                                                                                                                                                                                                                          <w:marBottom w:val="0"/>
                                                                                                                                                                                                                                                                                                                                                                                                                                                                                          <w:divBdr>
                                                                                                                                                                                                                                                                                                                                                                                                                                                                                            <w:top w:val="none" w:sz="0" w:space="0" w:color="auto"/>
                                                                                                                                                                                                                                                                                                                                                                                                                                                                                            <w:left w:val="none" w:sz="0" w:space="0" w:color="auto"/>
                                                                                                                                                                                                                                                                                                                                                                                                                                                                                            <w:bottom w:val="none" w:sz="0" w:space="0" w:color="auto"/>
                                                                                                                                                                                                                                                                                                                                                                                                                                                                                            <w:right w:val="none" w:sz="0" w:space="0" w:color="auto"/>
                                                                                                                                                                                                                                                                                                                                                                                                                                                                                          </w:divBdr>
                                                                                                                                                                                                                                                                                                                                                                                                                                                                                          <w:divsChild>
                                                                                                                                                                                                                                                                                                                                                                                                                                                                                            <w:div w:id="624889697">
                                                                                                                                                                                                                                                                                                                                                                                                                                                                                              <w:marLeft w:val="0"/>
                                                                                                                                                                                                                                                                                                                                                                                                                                                                                              <w:marRight w:val="0"/>
                                                                                                                                                                                                                                                                                                                                                                                                                                                                                              <w:marTop w:val="0"/>
                                                                                                                                                                                                                                                                                                                                                                                                                                                                                              <w:marBottom w:val="0"/>
                                                                                                                                                                                                                                                                                                                                                                                                                                                                                              <w:divBdr>
                                                                                                                                                                                                                                                                                                                                                                                                                                                                                                <w:top w:val="none" w:sz="0" w:space="0" w:color="auto"/>
                                                                                                                                                                                                                                                                                                                                                                                                                                                                                                <w:left w:val="none" w:sz="0" w:space="0" w:color="auto"/>
                                                                                                                                                                                                                                                                                                                                                                                                                                                                                                <w:bottom w:val="none" w:sz="0" w:space="0" w:color="auto"/>
                                                                                                                                                                                                                                                                                                                                                                                                                                                                                                <w:right w:val="none" w:sz="0" w:space="0" w:color="auto"/>
                                                                                                                                                                                                                                                                                                                                                                                                                                                                                              </w:divBdr>
                                                                                                                                                                                                                                                                                                                                                                                                                                                                                              <w:divsChild>
                                                                                                                                                                                                                                                                                                                                                                                                                                                                                                <w:div w:id="359547706">
                                                                                                                                                                                                                                                                                                                                                                                                                                                                                                  <w:marLeft w:val="0"/>
                                                                                                                                                                                                                                                                                                                                                                                                                                                                                                  <w:marRight w:val="0"/>
                                                                                                                                                                                                                                                                                                                                                                                                                                                                                                  <w:marTop w:val="0"/>
                                                                                                                                                                                                                                                                                                                                                                                                                                                                                                  <w:marBottom w:val="0"/>
                                                                                                                                                                                                                                                                                                                                                                                                                                                                                                  <w:divBdr>
                                                                                                                                                                                                                                                                                                                                                                                                                                                                                                    <w:top w:val="none" w:sz="0" w:space="0" w:color="auto"/>
                                                                                                                                                                                                                                                                                                                                                                                                                                                                                                    <w:left w:val="none" w:sz="0" w:space="0" w:color="auto"/>
                                                                                                                                                                                                                                                                                                                                                                                                                                                                                                    <w:bottom w:val="none" w:sz="0" w:space="0" w:color="auto"/>
                                                                                                                                                                                                                                                                                                                                                                                                                                                                                                    <w:right w:val="none" w:sz="0" w:space="0" w:color="auto"/>
                                                                                                                                                                                                                                                                                                                                                                                                                                                                                                  </w:divBdr>
                                                                                                                                                                                                                                                                                                                                                                                                                                                                                                  <w:divsChild>
                                                                                                                                                                                                                                                                                                                                                                                                                                                                                                    <w:div w:id="692389329">
                                                                                                                                                                                                                                                                                                                                                                                                                                                                                                      <w:marLeft w:val="0"/>
                                                                                                                                                                                                                                                                                                                                                                                                                                                                                                      <w:marRight w:val="0"/>
                                                                                                                                                                                                                                                                                                                                                                                                                                                                                                      <w:marTop w:val="0"/>
                                                                                                                                                                                                                                                                                                                                                                                                                                                                                                      <w:marBottom w:val="0"/>
                                                                                                                                                                                                                                                                                                                                                                                                                                                                                                      <w:divBdr>
                                                                                                                                                                                                                                                                                                                                                                                                                                                                                                        <w:top w:val="none" w:sz="0" w:space="0" w:color="auto"/>
                                                                                                                                                                                                                                                                                                                                                                                                                                                                                                        <w:left w:val="none" w:sz="0" w:space="0" w:color="auto"/>
                                                                                                                                                                                                                                                                                                                                                                                                                                                                                                        <w:bottom w:val="none" w:sz="0" w:space="0" w:color="auto"/>
                                                                                                                                                                                                                                                                                                                                                                                                                                                                                                        <w:right w:val="none" w:sz="0" w:space="0" w:color="auto"/>
                                                                                                                                                                                                                                                                                                                                                                                                                                                                                                      </w:divBdr>
                                                                                                                                                                                                                                                                                                                                                                                                                                                                                                      <w:divsChild>
                                                                                                                                                                                                                                                                                                                                                                                                                                                                                                        <w:div w:id="1434353582">
                                                                                                                                                                                                                                                                                                                                                                                                                                                                                                          <w:marLeft w:val="0"/>
                                                                                                                                                                                                                                                                                                                                                                                                                                                                                                          <w:marRight w:val="0"/>
                                                                                                                                                                                                                                                                                                                                                                                                                                                                                                          <w:marTop w:val="0"/>
                                                                                                                                                                                                                                                                                                                                                                                                                                                                                                          <w:marBottom w:val="0"/>
                                                                                                                                                                                                                                                                                                                                                                                                                                                                                                          <w:divBdr>
                                                                                                                                                                                                                                                                                                                                                                                                                                                                                                            <w:top w:val="none" w:sz="0" w:space="0" w:color="auto"/>
                                                                                                                                                                                                                                                                                                                                                                                                                                                                                                            <w:left w:val="none" w:sz="0" w:space="0" w:color="auto"/>
                                                                                                                                                                                                                                                                                                                                                                                                                                                                                                            <w:bottom w:val="none" w:sz="0" w:space="0" w:color="auto"/>
                                                                                                                                                                                                                                                                                                                                                                                                                                                                                                            <w:right w:val="none" w:sz="0" w:space="0" w:color="auto"/>
                                                                                                                                                                                                                                                                                                                                                                                                                                                                                                          </w:divBdr>
                                                                                                                                                                                                                                                                                                                                                                                                                                                                                                          <w:divsChild>
                                                                                                                                                                                                                                                                                                                                                                                                                                                                                                            <w:div w:id="1188442893">
                                                                                                                                                                                                                                                                                                                                                                                                                                                                                                              <w:marLeft w:val="0"/>
                                                                                                                                                                                                                                                                                                                                                                                                                                                                                                              <w:marRight w:val="0"/>
                                                                                                                                                                                                                                                                                                                                                                                                                                                                                                              <w:marTop w:val="0"/>
                                                                                                                                                                                                                                                                                                                                                                                                                                                                                                              <w:marBottom w:val="0"/>
                                                                                                                                                                                                                                                                                                                                                                                                                                                                                                              <w:divBdr>
                                                                                                                                                                                                                                                                                                                                                                                                                                                                                                                <w:top w:val="none" w:sz="0" w:space="0" w:color="auto"/>
                                                                                                                                                                                                                                                                                                                                                                                                                                                                                                                <w:left w:val="none" w:sz="0" w:space="0" w:color="auto"/>
                                                                                                                                                                                                                                                                                                                                                                                                                                                                                                                <w:bottom w:val="none" w:sz="0" w:space="0" w:color="auto"/>
                                                                                                                                                                                                                                                                                                                                                                                                                                                                                                                <w:right w:val="none" w:sz="0" w:space="0" w:color="auto"/>
                                                                                                                                                                                                                                                                                                                                                                                                                                                                                                              </w:divBdr>
                                                                                                                                                                                                                                                                                                                                                                                                                                                                                                              <w:divsChild>
                                                                                                                                                                                                                                                                                                                                                                                                                                                                                                                <w:div w:id="1600675322">
                                                                                                                                                                                                                                                                                                                                                                                                                                                                                                                  <w:marLeft w:val="0"/>
                                                                                                                                                                                                                                                                                                                                                                                                                                                                                                                  <w:marRight w:val="0"/>
                                                                                                                                                                                                                                                                                                                                                                                                                                                                                                                  <w:marTop w:val="0"/>
                                                                                                                                                                                                                                                                                                                                                                                                                                                                                                                  <w:marBottom w:val="0"/>
                                                                                                                                                                                                                                                                                                                                                                                                                                                                                                                  <w:divBdr>
                                                                                                                                                                                                                                                                                                                                                                                                                                                                                                                    <w:top w:val="none" w:sz="0" w:space="0" w:color="auto"/>
                                                                                                                                                                                                                                                                                                                                                                                                                                                                                                                    <w:left w:val="none" w:sz="0" w:space="0" w:color="auto"/>
                                                                                                                                                                                                                                                                                                                                                                                                                                                                                                                    <w:bottom w:val="none" w:sz="0" w:space="0" w:color="auto"/>
                                                                                                                                                                                                                                                                                                                                                                                                                                                                                                                    <w:right w:val="none" w:sz="0" w:space="0" w:color="auto"/>
                                                                                                                                                                                                                                                                                                                                                                                                                                                                                                                  </w:divBdr>
                                                                                                                                                                                                                                                                                                                                                                                                                                                                                                                  <w:divsChild>
                                                                                                                                                                                                                                                                                                                                                                                                                                                                                                                    <w:div w:id="521818801">
                                                                                                                                                                                                                                                                                                                                                                                                                                                                                                                      <w:marLeft w:val="0"/>
                                                                                                                                                                                                                                                                                                                                                                                                                                                                                                                      <w:marRight w:val="0"/>
                                                                                                                                                                                                                                                                                                                                                                                                                                                                                                                      <w:marTop w:val="0"/>
                                                                                                                                                                                                                                                                                                                                                                                                                                                                                                                      <w:marBottom w:val="0"/>
                                                                                                                                                                                                                                                                                                                                                                                                                                                                                                                      <w:divBdr>
                                                                                                                                                                                                                                                                                                                                                                                                                                                                                                                        <w:top w:val="none" w:sz="0" w:space="0" w:color="auto"/>
                                                                                                                                                                                                                                                                                                                                                                                                                                                                                                                        <w:left w:val="none" w:sz="0" w:space="0" w:color="auto"/>
                                                                                                                                                                                                                                                                                                                                                                                                                                                                                                                        <w:bottom w:val="none" w:sz="0" w:space="0" w:color="auto"/>
                                                                                                                                                                                                                                                                                                                                                                                                                                                                                                                        <w:right w:val="none" w:sz="0" w:space="0" w:color="auto"/>
                                                                                                                                                                                                                                                                                                                                                                                                                                                                                                                      </w:divBdr>
                                                                                                                                                                                                                                                                                                                                                                                                                                                                                                                      <w:divsChild>
                                                                                                                                                                                                                                                                                                                                                                                                                                                                                                                        <w:div w:id="1144543123">
                                                                                                                                                                                                                                                                                                                                                                                                                                                                                                                          <w:marLeft w:val="0"/>
                                                                                                                                                                                                                                                                                                                                                                                                                                                                                                                          <w:marRight w:val="0"/>
                                                                                                                                                                                                                                                                                                                                                                                                                                                                                                                          <w:marTop w:val="0"/>
                                                                                                                                                                                                                                                                                                                                                                                                                                                                                                                          <w:marBottom w:val="0"/>
                                                                                                                                                                                                                                                                                                                                                                                                                                                                                                                          <w:divBdr>
                                                                                                                                                                                                                                                                                                                                                                                                                                                                                                                            <w:top w:val="none" w:sz="0" w:space="0" w:color="auto"/>
                                                                                                                                                                                                                                                                                                                                                                                                                                                                                                                            <w:left w:val="none" w:sz="0" w:space="0" w:color="auto"/>
                                                                                                                                                                                                                                                                                                                                                                                                                                                                                                                            <w:bottom w:val="none" w:sz="0" w:space="0" w:color="auto"/>
                                                                                                                                                                                                                                                                                                                                                                                                                                                                                                                            <w:right w:val="none" w:sz="0" w:space="0" w:color="auto"/>
                                                                                                                                                                                                                                                                                                                                                                                                                                                                                                                          </w:divBdr>
                                                                                                                                                                                                                                                                                                                                                                                                                                                                                                                          <w:divsChild>
                                                                                                                                                                                                                                                                                                                                                                                                                                                                                                                            <w:div w:id="13710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5.bin"/><Relationship Id="rId21" Type="http://schemas.openxmlformats.org/officeDocument/2006/relationships/image" Target="media/image7.png"/><Relationship Id="rId22" Type="http://schemas.openxmlformats.org/officeDocument/2006/relationships/oleObject" Target="embeddings/oleObject6.bin"/><Relationship Id="rId23" Type="http://schemas.openxmlformats.org/officeDocument/2006/relationships/image" Target="media/image8.png"/><Relationship Id="rId24" Type="http://schemas.openxmlformats.org/officeDocument/2006/relationships/oleObject" Target="embeddings/oleObject7.bin"/><Relationship Id="rId25" Type="http://schemas.openxmlformats.org/officeDocument/2006/relationships/image" Target="media/image9.png"/><Relationship Id="rId26" Type="http://schemas.openxmlformats.org/officeDocument/2006/relationships/oleObject" Target="embeddings/oleObject8.bin"/><Relationship Id="rId27" Type="http://schemas.openxmlformats.org/officeDocument/2006/relationships/image" Target="media/image10.png"/><Relationship Id="rId28" Type="http://schemas.openxmlformats.org/officeDocument/2006/relationships/oleObject" Target="embeddings/oleObject9.bin"/><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10.bin"/><Relationship Id="rId31" Type="http://schemas.openxmlformats.org/officeDocument/2006/relationships/image" Target="media/image12.png"/><Relationship Id="rId32" Type="http://schemas.openxmlformats.org/officeDocument/2006/relationships/oleObject" Target="embeddings/oleObject11.bin"/><Relationship Id="rId9" Type="http://schemas.openxmlformats.org/officeDocument/2006/relationships/hyperlink" Target="mailto:javbob@hotmai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33" Type="http://schemas.openxmlformats.org/officeDocument/2006/relationships/image" Target="media/image13.png"/><Relationship Id="rId34" Type="http://schemas.openxmlformats.org/officeDocument/2006/relationships/oleObject" Target="embeddings/oleObject12.bin"/><Relationship Id="rId35" Type="http://schemas.openxmlformats.org/officeDocument/2006/relationships/image" Target="media/image14.png"/><Relationship Id="rId36" Type="http://schemas.openxmlformats.org/officeDocument/2006/relationships/oleObject" Target="embeddings/oleObject13.bin"/><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oleObject" Target="embeddings/oleObject1.bin"/><Relationship Id="rId13" Type="http://schemas.openxmlformats.org/officeDocument/2006/relationships/image" Target="media/image3.png"/><Relationship Id="rId14" Type="http://schemas.openxmlformats.org/officeDocument/2006/relationships/oleObject" Target="embeddings/oleObject2.bin"/><Relationship Id="rId15" Type="http://schemas.openxmlformats.org/officeDocument/2006/relationships/image" Target="media/image4.png"/><Relationship Id="rId16" Type="http://schemas.openxmlformats.org/officeDocument/2006/relationships/oleObject" Target="embeddings/oleObject3.bin"/><Relationship Id="rId17" Type="http://schemas.openxmlformats.org/officeDocument/2006/relationships/image" Target="media/image5.png"/><Relationship Id="rId18" Type="http://schemas.openxmlformats.org/officeDocument/2006/relationships/oleObject" Target="embeddings/oleObject4.bin"/><Relationship Id="rId19" Type="http://schemas.openxmlformats.org/officeDocument/2006/relationships/image" Target="media/image6.png"/><Relationship Id="rId37" Type="http://schemas.openxmlformats.org/officeDocument/2006/relationships/header" Target="head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A7A56-9E3B-BD41-B4EB-06EBA3089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34</Pages>
  <Words>72932</Words>
  <Characters>415716</Characters>
  <Application>Microsoft Macintosh Word</Application>
  <DocSecurity>0</DocSecurity>
  <Lines>3464</Lines>
  <Paragraphs>975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priya.simoes</dc:creator>
  <cp:lastModifiedBy>Na Ma</cp:lastModifiedBy>
  <cp:revision>1</cp:revision>
  <dcterms:created xsi:type="dcterms:W3CDTF">2015-06-08T04:28:00Z</dcterms:created>
  <dcterms:modified xsi:type="dcterms:W3CDTF">2015-07-07T23:53:00Z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psimoes@chpnet.org@www.mendeley.com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