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CC" w:rsidRPr="00DF1B65" w:rsidRDefault="00DF1B65">
      <w:pPr>
        <w:rPr>
          <w:b/>
        </w:rPr>
      </w:pPr>
      <w:r w:rsidRPr="00DF1B65">
        <w:rPr>
          <w:b/>
        </w:rPr>
        <w:t>Clinical trial registration</w:t>
      </w:r>
    </w:p>
    <w:p w:rsidR="00DF1B65" w:rsidRDefault="00DF1B65"/>
    <w:p w:rsidR="00DF1B65" w:rsidRDefault="00DF1B65">
      <w:r>
        <w:t>Following review by the hospital board and ethics committee, it was noted that the standard of care for patients was not affected with use of a different laser system. The study was ratified and since it was simply a case series of patients, clinical trial registration was not required.</w:t>
      </w:r>
      <w:bookmarkStart w:id="0" w:name="_GoBack"/>
      <w:bookmarkEnd w:id="0"/>
    </w:p>
    <w:sectPr w:rsidR="00DF1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4"/>
    <w:rsid w:val="00BA3914"/>
    <w:rsid w:val="00DF1B65"/>
    <w:rsid w:val="00E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0C653-FB2A-4BDA-BAA4-9DE911F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2015-08-01T13:30:00Z</dcterms:created>
  <dcterms:modified xsi:type="dcterms:W3CDTF">2015-08-01T13:32:00Z</dcterms:modified>
</cp:coreProperties>
</file>