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FD50" w14:textId="539E3B22" w:rsidR="005219E6" w:rsidRPr="00341571" w:rsidRDefault="005219E6" w:rsidP="00341571">
      <w:pPr>
        <w:spacing w:line="360" w:lineRule="auto"/>
        <w:jc w:val="both"/>
        <w:rPr>
          <w:rFonts w:ascii="Book Antiqua" w:hAnsi="Book Antiqua"/>
        </w:rPr>
      </w:pPr>
      <w:r w:rsidRPr="00341571">
        <w:rPr>
          <w:rFonts w:ascii="Book Antiqua" w:hAnsi="Book Antiqua"/>
          <w:b/>
        </w:rPr>
        <w:t xml:space="preserve">Name of Journal: </w:t>
      </w:r>
      <w:r w:rsidRPr="00341571">
        <w:rPr>
          <w:rFonts w:ascii="Book Antiqua" w:hAnsi="Book Antiqua"/>
          <w:b/>
          <w:i/>
          <w:iCs/>
        </w:rPr>
        <w:t>World Journal of Gastrointestinal Oncology</w:t>
      </w:r>
    </w:p>
    <w:p w14:paraId="05B1CA2C" w14:textId="4B384B0A" w:rsidR="005219E6" w:rsidRPr="00341571" w:rsidRDefault="005219E6" w:rsidP="00341571">
      <w:pPr>
        <w:spacing w:line="360" w:lineRule="auto"/>
        <w:jc w:val="both"/>
        <w:rPr>
          <w:rFonts w:ascii="Book Antiqua" w:eastAsia="宋体" w:hAnsi="Book Antiqua"/>
          <w:b/>
          <w:lang w:eastAsia="zh-CN"/>
        </w:rPr>
      </w:pPr>
      <w:r w:rsidRPr="00341571">
        <w:rPr>
          <w:rFonts w:ascii="Book Antiqua" w:hAnsi="Book Antiqua"/>
          <w:b/>
        </w:rPr>
        <w:t xml:space="preserve">ESPS Manuscript NO: </w:t>
      </w:r>
      <w:r w:rsidRPr="00341571">
        <w:rPr>
          <w:rFonts w:ascii="Book Antiqua" w:eastAsia="宋体" w:hAnsi="Book Antiqua"/>
          <w:b/>
          <w:lang w:eastAsia="zh-CN"/>
        </w:rPr>
        <w:t>31178</w:t>
      </w:r>
    </w:p>
    <w:p w14:paraId="10A5A0E0" w14:textId="77777777" w:rsidR="005219E6" w:rsidRPr="00341571" w:rsidRDefault="005219E6" w:rsidP="00341571">
      <w:pPr>
        <w:spacing w:line="360" w:lineRule="auto"/>
        <w:jc w:val="both"/>
        <w:rPr>
          <w:rFonts w:ascii="Book Antiqua" w:hAnsi="Book Antiqua"/>
          <w:b/>
        </w:rPr>
      </w:pPr>
      <w:r w:rsidRPr="00341571">
        <w:rPr>
          <w:rFonts w:ascii="Book Antiqua" w:hAnsi="Book Antiqua"/>
          <w:b/>
        </w:rPr>
        <w:t>Manuscript Type: Original Article</w:t>
      </w:r>
    </w:p>
    <w:p w14:paraId="3D196F44" w14:textId="77777777" w:rsidR="005219E6" w:rsidRPr="00341571" w:rsidRDefault="005219E6" w:rsidP="00341571">
      <w:pPr>
        <w:spacing w:line="360" w:lineRule="auto"/>
        <w:jc w:val="both"/>
        <w:rPr>
          <w:rFonts w:ascii="Book Antiqua" w:eastAsia="宋体" w:hAnsi="Book Antiqua" w:cs="Arial"/>
          <w:b/>
          <w:lang w:eastAsia="zh-CN"/>
        </w:rPr>
      </w:pPr>
    </w:p>
    <w:p w14:paraId="13CE5EE5" w14:textId="250BCC5C" w:rsidR="005219E6" w:rsidRPr="00341571" w:rsidRDefault="005219E6" w:rsidP="00341571">
      <w:pPr>
        <w:spacing w:line="360" w:lineRule="auto"/>
        <w:jc w:val="both"/>
        <w:rPr>
          <w:rFonts w:ascii="Book Antiqua" w:eastAsia="宋体" w:hAnsi="Book Antiqua" w:cs="Arial"/>
          <w:b/>
          <w:i/>
          <w:lang w:eastAsia="zh-CN"/>
        </w:rPr>
      </w:pPr>
      <w:r w:rsidRPr="00341571">
        <w:rPr>
          <w:rFonts w:ascii="Book Antiqua" w:hAnsi="Book Antiqua"/>
          <w:b/>
          <w:i/>
        </w:rPr>
        <w:t>Retrospective Cohort Study</w:t>
      </w:r>
    </w:p>
    <w:p w14:paraId="6C2C051E" w14:textId="21CC33EC" w:rsidR="00174455" w:rsidRPr="00341571" w:rsidRDefault="00174455" w:rsidP="00341571">
      <w:pPr>
        <w:spacing w:line="360" w:lineRule="auto"/>
        <w:jc w:val="both"/>
        <w:rPr>
          <w:rFonts w:ascii="Book Antiqua" w:eastAsia="宋体" w:hAnsi="Book Antiqua" w:cs="Arial"/>
          <w:b/>
          <w:lang w:eastAsia="zh-CN"/>
        </w:rPr>
      </w:pPr>
      <w:r w:rsidRPr="00341571">
        <w:rPr>
          <w:rFonts w:ascii="Book Antiqua" w:hAnsi="Book Antiqua" w:cs="Arial"/>
          <w:b/>
        </w:rPr>
        <w:t xml:space="preserve">Gastric peritoneal carcinomatosis </w:t>
      </w:r>
      <w:r w:rsidR="00316A9B" w:rsidRPr="00341571">
        <w:rPr>
          <w:rFonts w:ascii="Book Antiqua" w:eastAsia="宋体" w:hAnsi="Book Antiqua" w:cs="Arial"/>
          <w:b/>
          <w:lang w:eastAsia="zh-CN"/>
        </w:rPr>
        <w:t>-</w:t>
      </w:r>
      <w:r w:rsidRPr="00341571">
        <w:rPr>
          <w:rFonts w:ascii="Book Antiqua" w:hAnsi="Book Antiqua" w:cs="Arial"/>
          <w:b/>
        </w:rPr>
        <w:t xml:space="preserve"> a retrospective review</w:t>
      </w:r>
    </w:p>
    <w:p w14:paraId="7130A29B" w14:textId="77777777" w:rsidR="00292B77" w:rsidRPr="00341571" w:rsidRDefault="00292B77" w:rsidP="00341571">
      <w:pPr>
        <w:spacing w:line="360" w:lineRule="auto"/>
        <w:jc w:val="both"/>
        <w:rPr>
          <w:rFonts w:ascii="Book Antiqua" w:eastAsia="宋体" w:hAnsi="Book Antiqua" w:cs="Arial"/>
          <w:b/>
          <w:lang w:eastAsia="zh-CN"/>
        </w:rPr>
      </w:pPr>
    </w:p>
    <w:p w14:paraId="075D81E5" w14:textId="6403646D" w:rsidR="005219E6" w:rsidRPr="00341571" w:rsidRDefault="00292B77" w:rsidP="00341571">
      <w:pPr>
        <w:spacing w:line="360" w:lineRule="auto"/>
        <w:jc w:val="both"/>
        <w:rPr>
          <w:rFonts w:ascii="Book Antiqua" w:eastAsia="宋体" w:hAnsi="Book Antiqua" w:cs="Arial"/>
          <w:lang w:eastAsia="zh-CN"/>
        </w:rPr>
      </w:pPr>
      <w:r w:rsidRPr="00341571">
        <w:rPr>
          <w:rFonts w:ascii="Book Antiqua" w:hAnsi="Book Antiqua" w:cs="Arial"/>
        </w:rPr>
        <w:t>Tan</w:t>
      </w:r>
      <w:r w:rsidRPr="00341571">
        <w:rPr>
          <w:rFonts w:ascii="Book Antiqua" w:eastAsia="宋体" w:hAnsi="Book Antiqua" w:cs="Arial"/>
          <w:lang w:eastAsia="zh-CN"/>
        </w:rPr>
        <w:t xml:space="preserve"> HL </w:t>
      </w:r>
      <w:r w:rsidRPr="00341571">
        <w:rPr>
          <w:rFonts w:ascii="Book Antiqua" w:eastAsia="宋体" w:hAnsi="Book Antiqua" w:cs="Arial"/>
          <w:i/>
          <w:lang w:eastAsia="zh-CN"/>
        </w:rPr>
        <w:t xml:space="preserve">et al. </w:t>
      </w:r>
      <w:r w:rsidRPr="00341571">
        <w:rPr>
          <w:rFonts w:ascii="Book Antiqua" w:hAnsi="Book Antiqua" w:cs="Arial"/>
        </w:rPr>
        <w:t>Gastric peritoneal carcinomatosis</w:t>
      </w:r>
    </w:p>
    <w:p w14:paraId="71DAFB8F" w14:textId="77777777" w:rsidR="00292B77" w:rsidRPr="00341571" w:rsidRDefault="00292B77" w:rsidP="00341571">
      <w:pPr>
        <w:spacing w:line="360" w:lineRule="auto"/>
        <w:jc w:val="both"/>
        <w:rPr>
          <w:rFonts w:ascii="Book Antiqua" w:eastAsia="宋体" w:hAnsi="Book Antiqua" w:cs="Arial"/>
          <w:b/>
          <w:i/>
          <w:lang w:eastAsia="zh-CN"/>
        </w:rPr>
      </w:pPr>
    </w:p>
    <w:p w14:paraId="60F2AB69" w14:textId="7552DFB8" w:rsidR="00E049BA" w:rsidRPr="00341571" w:rsidRDefault="005219E6" w:rsidP="00341571">
      <w:pPr>
        <w:spacing w:line="360" w:lineRule="auto"/>
        <w:jc w:val="both"/>
        <w:rPr>
          <w:rFonts w:ascii="Book Antiqua" w:eastAsia="宋体" w:hAnsi="Book Antiqua" w:cs="Arial"/>
          <w:b/>
          <w:lang w:eastAsia="zh-CN"/>
        </w:rPr>
      </w:pPr>
      <w:r w:rsidRPr="00341571">
        <w:rPr>
          <w:rFonts w:ascii="Book Antiqua" w:hAnsi="Book Antiqua" w:cs="Arial"/>
          <w:b/>
        </w:rPr>
        <w:t>Hwee Leong Tan, Claramae Shulyn Chia, Grace Hwei Ching Tan, Su Pin Choo, David Wai-Meng Tai, Clarinda Wei Ling Chua, Matthew Chau Hsien Ng, Khee Chee Soo, Melissa Ching Ching Teo</w:t>
      </w:r>
    </w:p>
    <w:p w14:paraId="294CDEF9" w14:textId="77777777" w:rsidR="005219E6" w:rsidRPr="00341571" w:rsidRDefault="005219E6" w:rsidP="00341571">
      <w:pPr>
        <w:spacing w:line="360" w:lineRule="auto"/>
        <w:jc w:val="both"/>
        <w:rPr>
          <w:rFonts w:ascii="Book Antiqua" w:eastAsia="宋体" w:hAnsi="Book Antiqua" w:cs="Arial"/>
          <w:lang w:eastAsia="zh-CN"/>
        </w:rPr>
      </w:pPr>
    </w:p>
    <w:p w14:paraId="419C56DB" w14:textId="70C0355E" w:rsidR="00A60EF2" w:rsidRPr="00341571" w:rsidRDefault="00BE43E4" w:rsidP="00341571">
      <w:pPr>
        <w:spacing w:line="360" w:lineRule="auto"/>
        <w:jc w:val="both"/>
        <w:rPr>
          <w:rFonts w:ascii="Book Antiqua" w:eastAsia="宋体" w:hAnsi="Book Antiqua" w:cs="Arial"/>
          <w:b/>
          <w:lang w:eastAsia="zh-CN"/>
        </w:rPr>
      </w:pPr>
      <w:r w:rsidRPr="00341571">
        <w:rPr>
          <w:rFonts w:ascii="Book Antiqua" w:hAnsi="Book Antiqua" w:cs="Arial"/>
          <w:b/>
        </w:rPr>
        <w:t>Hwee Leong Tan, Claramae Shulyn Chia, Grace Hwei Ching Tan, Khee Chee Soo, Melissa Ching Ching Teo</w:t>
      </w:r>
      <w:r w:rsidRPr="00341571">
        <w:rPr>
          <w:rFonts w:ascii="Book Antiqua" w:eastAsia="宋体" w:hAnsi="Book Antiqua" w:cs="Arial"/>
          <w:b/>
          <w:lang w:eastAsia="zh-CN"/>
        </w:rPr>
        <w:t xml:space="preserve">, </w:t>
      </w:r>
      <w:r w:rsidR="00A60EF2" w:rsidRPr="00341571">
        <w:rPr>
          <w:rFonts w:ascii="Book Antiqua" w:hAnsi="Book Antiqua" w:cs="Arial"/>
        </w:rPr>
        <w:t>Division of Surgical Oncology, National Cancer Centre Singapore</w:t>
      </w:r>
      <w:r w:rsidR="00E218C0" w:rsidRPr="00341571">
        <w:rPr>
          <w:rFonts w:ascii="Book Antiqua" w:eastAsia="宋体" w:hAnsi="Book Antiqua" w:cs="Arial"/>
          <w:lang w:eastAsia="zh-CN"/>
        </w:rPr>
        <w:t>,</w:t>
      </w:r>
      <w:r w:rsidR="00E218C0" w:rsidRPr="00341571">
        <w:rPr>
          <w:rFonts w:ascii="Book Antiqua" w:hAnsi="Book Antiqua" w:cs="Arial"/>
        </w:rPr>
        <w:t xml:space="preserve"> Singapore 169610</w:t>
      </w:r>
      <w:r w:rsidR="00E218C0" w:rsidRPr="00341571">
        <w:rPr>
          <w:rFonts w:ascii="Book Antiqua" w:eastAsia="宋体" w:hAnsi="Book Antiqua" w:cs="Arial"/>
          <w:lang w:eastAsia="zh-CN"/>
        </w:rPr>
        <w:t xml:space="preserve">, </w:t>
      </w:r>
      <w:r w:rsidR="00E218C0" w:rsidRPr="00341571">
        <w:rPr>
          <w:rFonts w:ascii="Book Antiqua" w:hAnsi="Book Antiqua" w:cs="Arial"/>
        </w:rPr>
        <w:t>Singapore</w:t>
      </w:r>
    </w:p>
    <w:p w14:paraId="6DC4FCF7" w14:textId="77777777" w:rsidR="00BE43E4" w:rsidRPr="00341571" w:rsidRDefault="00BE43E4" w:rsidP="00341571">
      <w:pPr>
        <w:spacing w:line="360" w:lineRule="auto"/>
        <w:jc w:val="both"/>
        <w:rPr>
          <w:rFonts w:ascii="Book Antiqua" w:eastAsia="宋体" w:hAnsi="Book Antiqua" w:cs="Arial"/>
          <w:vertAlign w:val="superscript"/>
          <w:lang w:eastAsia="zh-CN"/>
        </w:rPr>
      </w:pPr>
    </w:p>
    <w:p w14:paraId="03B4C1B2" w14:textId="18CC3975" w:rsidR="007F787C" w:rsidRPr="00341571" w:rsidRDefault="00BE43E4" w:rsidP="00341571">
      <w:pPr>
        <w:spacing w:line="360" w:lineRule="auto"/>
        <w:jc w:val="both"/>
        <w:rPr>
          <w:rFonts w:ascii="Book Antiqua" w:eastAsia="宋体" w:hAnsi="Book Antiqua" w:cs="Arial"/>
          <w:lang w:eastAsia="zh-CN"/>
        </w:rPr>
      </w:pPr>
      <w:r w:rsidRPr="00341571">
        <w:rPr>
          <w:rFonts w:ascii="Book Antiqua" w:hAnsi="Book Antiqua" w:cs="Arial"/>
          <w:b/>
        </w:rPr>
        <w:t>Su Pin Choo, David Wai-Meng Tai, Clarinda Wei Ling Chua, Matthew Chau Hsien Ng,</w:t>
      </w:r>
      <w:r w:rsidRPr="00341571">
        <w:rPr>
          <w:rFonts w:ascii="Book Antiqua" w:eastAsia="宋体" w:hAnsi="Book Antiqua" w:cs="Arial"/>
          <w:b/>
          <w:lang w:eastAsia="zh-CN"/>
        </w:rPr>
        <w:t xml:space="preserve"> </w:t>
      </w:r>
      <w:r w:rsidR="00A60EF2" w:rsidRPr="00341571">
        <w:rPr>
          <w:rFonts w:ascii="Book Antiqua" w:hAnsi="Book Antiqua" w:cs="Arial"/>
        </w:rPr>
        <w:t>Dvision of Medical Oncology, National Cancer Centre Singapore</w:t>
      </w:r>
      <w:r w:rsidR="00E218C0" w:rsidRPr="00341571">
        <w:rPr>
          <w:rFonts w:ascii="Book Antiqua" w:eastAsia="宋体" w:hAnsi="Book Antiqua" w:cs="Arial"/>
          <w:lang w:eastAsia="zh-CN"/>
        </w:rPr>
        <w:t>,</w:t>
      </w:r>
      <w:r w:rsidR="00E218C0" w:rsidRPr="00341571">
        <w:rPr>
          <w:rFonts w:ascii="Book Antiqua" w:hAnsi="Book Antiqua" w:cs="Arial"/>
        </w:rPr>
        <w:t xml:space="preserve"> Singapore 169610</w:t>
      </w:r>
      <w:r w:rsidR="00E218C0" w:rsidRPr="00341571">
        <w:rPr>
          <w:rFonts w:ascii="Book Antiqua" w:eastAsia="宋体" w:hAnsi="Book Antiqua" w:cs="Arial"/>
          <w:lang w:eastAsia="zh-CN"/>
        </w:rPr>
        <w:t xml:space="preserve">, </w:t>
      </w:r>
      <w:r w:rsidR="00E218C0" w:rsidRPr="00341571">
        <w:rPr>
          <w:rFonts w:ascii="Book Antiqua" w:hAnsi="Book Antiqua" w:cs="Arial"/>
        </w:rPr>
        <w:t>Singapore</w:t>
      </w:r>
    </w:p>
    <w:p w14:paraId="627C7678" w14:textId="77777777" w:rsidR="00F9137A" w:rsidRPr="00F9137A" w:rsidRDefault="00F9137A" w:rsidP="00341571">
      <w:pPr>
        <w:spacing w:line="360" w:lineRule="auto"/>
        <w:jc w:val="both"/>
        <w:rPr>
          <w:rFonts w:ascii="Book Antiqua" w:eastAsia="宋体" w:hAnsi="Book Antiqua" w:cs="Arial"/>
          <w:lang w:eastAsia="zh-CN"/>
        </w:rPr>
      </w:pPr>
    </w:p>
    <w:p w14:paraId="325CE103" w14:textId="03DBBC5F" w:rsidR="00F9137A" w:rsidRPr="00341571" w:rsidRDefault="00BE43E4" w:rsidP="00F9137A">
      <w:pPr>
        <w:spacing w:line="360" w:lineRule="auto"/>
        <w:jc w:val="both"/>
        <w:rPr>
          <w:rFonts w:ascii="Book Antiqua" w:hAnsi="Book Antiqua" w:cs="Arial"/>
        </w:rPr>
      </w:pPr>
      <w:r w:rsidRPr="00341571">
        <w:rPr>
          <w:rFonts w:ascii="Book Antiqua" w:hAnsi="Book Antiqua"/>
          <w:b/>
        </w:rPr>
        <w:t>Author contributions:</w:t>
      </w:r>
      <w:r w:rsidRPr="00341571">
        <w:rPr>
          <w:rFonts w:ascii="Book Antiqua" w:eastAsia="宋体" w:hAnsi="Book Antiqua"/>
          <w:b/>
          <w:lang w:eastAsia="zh-CN"/>
        </w:rPr>
        <w:t xml:space="preserve"> </w:t>
      </w:r>
      <w:r w:rsidR="00F9137A" w:rsidRPr="00F9137A">
        <w:rPr>
          <w:rFonts w:ascii="Book Antiqua" w:hAnsi="Book Antiqua" w:cs="Arial"/>
        </w:rPr>
        <w:t>Tan HL conceptualized the study, collected the data, analyzed the data and wrote the manuscript</w:t>
      </w:r>
      <w:r w:rsidR="00F9137A" w:rsidRPr="00F9137A">
        <w:rPr>
          <w:rFonts w:ascii="Book Antiqua" w:eastAsia="宋体" w:hAnsi="Book Antiqua" w:cs="Arial" w:hint="eastAsia"/>
          <w:lang w:eastAsia="zh-CN"/>
        </w:rPr>
        <w:t>;</w:t>
      </w:r>
      <w:r w:rsidR="00F9137A" w:rsidRPr="00F9137A">
        <w:rPr>
          <w:rFonts w:ascii="Book Antiqua" w:hAnsi="Book Antiqua" w:cs="Arial"/>
        </w:rPr>
        <w:t xml:space="preserve"> Chia CS</w:t>
      </w:r>
      <w:r w:rsidR="00F9137A" w:rsidRPr="00F9137A">
        <w:rPr>
          <w:rFonts w:ascii="Book Antiqua" w:eastAsia="宋体" w:hAnsi="Book Antiqua" w:cs="Arial" w:hint="eastAsia"/>
          <w:lang w:eastAsia="zh-CN"/>
        </w:rPr>
        <w:t>,</w:t>
      </w:r>
      <w:r w:rsidR="00F9137A" w:rsidRPr="00F9137A">
        <w:rPr>
          <w:rFonts w:ascii="Book Antiqua" w:hAnsi="Book Antiqua" w:cs="Arial"/>
        </w:rPr>
        <w:t xml:space="preserve"> Tan GHC </w:t>
      </w:r>
      <w:r w:rsidR="00F9137A" w:rsidRPr="00F9137A">
        <w:rPr>
          <w:rFonts w:ascii="Book Antiqua" w:eastAsia="宋体" w:hAnsi="Book Antiqua" w:cs="Arial" w:hint="eastAsia"/>
          <w:lang w:eastAsia="zh-CN"/>
        </w:rPr>
        <w:t xml:space="preserve">and </w:t>
      </w:r>
      <w:r w:rsidR="00F9137A" w:rsidRPr="00F9137A">
        <w:rPr>
          <w:rFonts w:ascii="Book Antiqua" w:hAnsi="Book Antiqua" w:cs="Arial"/>
        </w:rPr>
        <w:t>Teo MCC conceptualized the study and critically revised the manuscript</w:t>
      </w:r>
      <w:r w:rsidR="00F9137A" w:rsidRPr="00F9137A">
        <w:rPr>
          <w:rFonts w:ascii="Book Antiqua" w:eastAsia="宋体" w:hAnsi="Book Antiqua" w:cs="Arial" w:hint="eastAsia"/>
          <w:lang w:eastAsia="zh-CN"/>
        </w:rPr>
        <w:t>;</w:t>
      </w:r>
      <w:r w:rsidR="00F9137A" w:rsidRPr="00F9137A">
        <w:rPr>
          <w:rFonts w:ascii="Book Antiqua" w:hAnsi="Book Antiqua" w:cs="Arial"/>
        </w:rPr>
        <w:t xml:space="preserve"> Choo SP</w:t>
      </w:r>
      <w:r w:rsidR="00F9137A" w:rsidRPr="00F9137A">
        <w:rPr>
          <w:rFonts w:ascii="Book Antiqua" w:eastAsia="宋体" w:hAnsi="Book Antiqua" w:cs="Arial" w:hint="eastAsia"/>
          <w:lang w:eastAsia="zh-CN"/>
        </w:rPr>
        <w:t>,</w:t>
      </w:r>
      <w:r w:rsidR="00F9137A" w:rsidRPr="00F9137A">
        <w:rPr>
          <w:rFonts w:ascii="Book Antiqua" w:hAnsi="Book Antiqua" w:cs="Arial"/>
        </w:rPr>
        <w:t xml:space="preserve"> Tai DW</w:t>
      </w:r>
      <w:r w:rsidR="00F9137A" w:rsidRPr="00F9137A">
        <w:rPr>
          <w:rFonts w:ascii="Book Antiqua" w:eastAsia="宋体" w:hAnsi="Book Antiqua" w:cs="Arial" w:hint="eastAsia"/>
          <w:lang w:eastAsia="zh-CN"/>
        </w:rPr>
        <w:t xml:space="preserve">M, </w:t>
      </w:r>
      <w:r w:rsidR="00F9137A" w:rsidRPr="00F9137A">
        <w:rPr>
          <w:rFonts w:ascii="Book Antiqua" w:hAnsi="Book Antiqua" w:cs="Arial"/>
        </w:rPr>
        <w:t>Chua CWL</w:t>
      </w:r>
      <w:r w:rsidR="00F9137A" w:rsidRPr="00F9137A">
        <w:rPr>
          <w:rFonts w:ascii="Book Antiqua" w:eastAsia="宋体" w:hAnsi="Book Antiqua" w:cs="Arial" w:hint="eastAsia"/>
          <w:lang w:eastAsia="zh-CN"/>
        </w:rPr>
        <w:t xml:space="preserve"> and</w:t>
      </w:r>
      <w:r w:rsidR="00F9137A" w:rsidRPr="00F9137A">
        <w:rPr>
          <w:rFonts w:ascii="Book Antiqua" w:hAnsi="Book Antiqua" w:cs="Arial"/>
        </w:rPr>
        <w:t xml:space="preserve"> Ng MCH assisted in data collection and critically revised the manuscript</w:t>
      </w:r>
      <w:r w:rsidR="00F9137A" w:rsidRPr="00F9137A">
        <w:rPr>
          <w:rFonts w:ascii="Book Antiqua" w:eastAsia="宋体" w:hAnsi="Book Antiqua" w:cs="Arial" w:hint="eastAsia"/>
          <w:lang w:eastAsia="zh-CN"/>
        </w:rPr>
        <w:t>;</w:t>
      </w:r>
      <w:r w:rsidR="00F9137A" w:rsidRPr="00F9137A">
        <w:rPr>
          <w:rFonts w:ascii="Book Antiqua" w:hAnsi="Book Antiqua" w:cs="Arial"/>
        </w:rPr>
        <w:t xml:space="preserve"> Soo KC critically revised the manuscript</w:t>
      </w:r>
      <w:r w:rsidR="00F9137A" w:rsidRPr="00F9137A">
        <w:rPr>
          <w:rFonts w:ascii="Book Antiqua" w:eastAsia="宋体" w:hAnsi="Book Antiqua" w:cs="Arial" w:hint="eastAsia"/>
          <w:lang w:eastAsia="zh-CN"/>
        </w:rPr>
        <w:t>.</w:t>
      </w:r>
    </w:p>
    <w:p w14:paraId="6A272F6D" w14:textId="77777777" w:rsidR="00712011" w:rsidRPr="00F9137A" w:rsidRDefault="00712011" w:rsidP="00341571">
      <w:pPr>
        <w:spacing w:line="360" w:lineRule="auto"/>
        <w:jc w:val="both"/>
        <w:rPr>
          <w:rFonts w:ascii="Book Antiqua" w:eastAsia="宋体" w:hAnsi="Book Antiqua" w:cs="Arial"/>
          <w:b/>
          <w:lang w:eastAsia="zh-CN"/>
        </w:rPr>
      </w:pPr>
    </w:p>
    <w:p w14:paraId="4A2F90F2" w14:textId="77777777" w:rsidR="00100B78" w:rsidRPr="00341571" w:rsidRDefault="00100B78" w:rsidP="00341571">
      <w:pPr>
        <w:spacing w:line="360" w:lineRule="auto"/>
        <w:jc w:val="both"/>
        <w:rPr>
          <w:rFonts w:ascii="Book Antiqua" w:hAnsi="Book Antiqua" w:cs="Arial"/>
        </w:rPr>
      </w:pPr>
      <w:r w:rsidRPr="00341571">
        <w:rPr>
          <w:rFonts w:ascii="Book Antiqua" w:hAnsi="Book Antiqua"/>
          <w:b/>
        </w:rPr>
        <w:t>Institutional review board statement</w:t>
      </w:r>
      <w:r w:rsidRPr="00341571">
        <w:rPr>
          <w:rFonts w:ascii="Book Antiqua" w:hAnsi="Book Antiqua"/>
          <w:b/>
          <w:iCs/>
        </w:rPr>
        <w:t xml:space="preserve">: </w:t>
      </w:r>
      <w:r w:rsidRPr="00341571">
        <w:rPr>
          <w:rFonts w:ascii="Book Antiqua" w:hAnsi="Book Antiqua" w:cs="Arial"/>
        </w:rPr>
        <w:t>This study involved an electronic medical record review of the included human study subjects. Ethics approval was obtained from the Singhealth Centralised Institutional Review Board.</w:t>
      </w:r>
    </w:p>
    <w:p w14:paraId="1741187B" w14:textId="77777777" w:rsidR="00100B78" w:rsidRPr="00341571" w:rsidRDefault="00100B78" w:rsidP="00341571">
      <w:pPr>
        <w:spacing w:line="360" w:lineRule="auto"/>
        <w:jc w:val="both"/>
        <w:rPr>
          <w:rFonts w:ascii="Book Antiqua" w:hAnsi="Book Antiqua"/>
          <w:b/>
        </w:rPr>
      </w:pPr>
    </w:p>
    <w:p w14:paraId="1235C04D" w14:textId="77777777" w:rsidR="00100B78" w:rsidRPr="00341571" w:rsidRDefault="00100B78" w:rsidP="00341571">
      <w:pPr>
        <w:autoSpaceDE w:val="0"/>
        <w:autoSpaceDN w:val="0"/>
        <w:adjustRightInd w:val="0"/>
        <w:spacing w:line="360" w:lineRule="auto"/>
        <w:jc w:val="both"/>
        <w:rPr>
          <w:rFonts w:ascii="Book Antiqua" w:hAnsi="Book Antiqua"/>
          <w:bCs/>
          <w:iCs/>
        </w:rPr>
      </w:pPr>
      <w:r w:rsidRPr="00341571">
        <w:rPr>
          <w:rFonts w:ascii="Book Antiqua" w:hAnsi="Book Antiqua"/>
          <w:b/>
        </w:rPr>
        <w:lastRenderedPageBreak/>
        <w:t>Informed consent statement</w:t>
      </w:r>
      <w:r w:rsidRPr="00341571">
        <w:rPr>
          <w:rFonts w:ascii="Book Antiqua" w:hAnsi="Book Antiqua"/>
          <w:b/>
          <w:iCs/>
        </w:rPr>
        <w:t xml:space="preserve">: </w:t>
      </w:r>
      <w:r w:rsidRPr="00341571">
        <w:rPr>
          <w:rFonts w:ascii="Book Antiqua" w:hAnsi="Book Antiqua"/>
          <w:bCs/>
          <w:iCs/>
        </w:rPr>
        <w:t>No informed consent was deemed necessary as majority of the patients we studied have passed away at the point of the study. Furthermore, the study involved a retrospective electronic medical record review, with no patient identifiers included in the results presented, hence bearing minimal risk to the patients included in the study.</w:t>
      </w:r>
    </w:p>
    <w:p w14:paraId="3754DDAF" w14:textId="77777777" w:rsidR="00100B78" w:rsidRPr="00341571" w:rsidRDefault="00100B78" w:rsidP="00341571">
      <w:pPr>
        <w:spacing w:line="360" w:lineRule="auto"/>
        <w:jc w:val="both"/>
        <w:rPr>
          <w:rFonts w:ascii="Book Antiqua" w:hAnsi="Book Antiqua"/>
          <w:b/>
        </w:rPr>
      </w:pPr>
    </w:p>
    <w:p w14:paraId="48F2BD0A" w14:textId="77777777" w:rsidR="00100B78" w:rsidRPr="00341571" w:rsidRDefault="00100B78" w:rsidP="00341571">
      <w:pPr>
        <w:autoSpaceDE w:val="0"/>
        <w:autoSpaceDN w:val="0"/>
        <w:adjustRightInd w:val="0"/>
        <w:spacing w:line="360" w:lineRule="auto"/>
        <w:jc w:val="both"/>
        <w:rPr>
          <w:rFonts w:ascii="Book Antiqua" w:hAnsi="Book Antiqua" w:cs="TimesNewRomanPS-BoldItalicMT"/>
          <w:bCs/>
          <w:iCs/>
        </w:rPr>
      </w:pPr>
      <w:r w:rsidRPr="00341571">
        <w:rPr>
          <w:rFonts w:ascii="Book Antiqua" w:hAnsi="Book Antiqua"/>
          <w:b/>
        </w:rPr>
        <w:t>Conflict-of-interest statement</w:t>
      </w:r>
      <w:r w:rsidRPr="00341571">
        <w:rPr>
          <w:rFonts w:ascii="Book Antiqua" w:hAnsi="Book Antiqua" w:cs="TimesNewRomanPS-BoldItalicMT"/>
          <w:b/>
          <w:iCs/>
        </w:rPr>
        <w:t xml:space="preserve">: </w:t>
      </w:r>
      <w:r w:rsidRPr="00341571">
        <w:rPr>
          <w:rFonts w:ascii="Book Antiqua" w:hAnsi="Book Antiqua" w:cs="TimesNewRomanPS-BoldItalicMT"/>
          <w:bCs/>
          <w:iCs/>
        </w:rPr>
        <w:t>There are no conflict-of-interests to declare for any of the authors.</w:t>
      </w:r>
    </w:p>
    <w:p w14:paraId="4DC9427D" w14:textId="77777777" w:rsidR="00100B78" w:rsidRPr="00341571" w:rsidRDefault="00100B78" w:rsidP="00341571">
      <w:pPr>
        <w:spacing w:line="360" w:lineRule="auto"/>
        <w:jc w:val="both"/>
        <w:rPr>
          <w:rFonts w:ascii="Book Antiqua" w:hAnsi="Book Antiqua"/>
          <w:b/>
        </w:rPr>
      </w:pPr>
    </w:p>
    <w:p w14:paraId="3D088CED" w14:textId="00997929" w:rsidR="00100B78" w:rsidRPr="00341571" w:rsidRDefault="00100B78" w:rsidP="00341571">
      <w:pPr>
        <w:spacing w:line="360" w:lineRule="auto"/>
        <w:jc w:val="both"/>
        <w:rPr>
          <w:rFonts w:ascii="Book Antiqua" w:eastAsia="宋体" w:hAnsi="Book Antiqua" w:cs="Arial"/>
          <w:b/>
          <w:lang w:eastAsia="zh-CN"/>
        </w:rPr>
      </w:pPr>
      <w:r w:rsidRPr="00341571">
        <w:rPr>
          <w:rFonts w:ascii="Book Antiqua" w:hAnsi="Book Antiqua"/>
          <w:b/>
        </w:rPr>
        <w:t>Data sharing statement</w:t>
      </w:r>
      <w:r w:rsidRPr="00341571">
        <w:rPr>
          <w:rFonts w:ascii="Book Antiqua" w:hAnsi="Book Antiqua" w:cs="TimesNewRomanPS-BoldItalicMT"/>
          <w:b/>
          <w:iCs/>
        </w:rPr>
        <w:t>:</w:t>
      </w:r>
      <w:r w:rsidRPr="00341571">
        <w:rPr>
          <w:rFonts w:ascii="Book Antiqua" w:hAnsi="Book Antiqua"/>
          <w:b/>
        </w:rPr>
        <w:t xml:space="preserve"> </w:t>
      </w:r>
      <w:r w:rsidRPr="00341571">
        <w:rPr>
          <w:rFonts w:ascii="Book Antiqua" w:hAnsi="Book Antiqua" w:cs="Garamond"/>
        </w:rPr>
        <w:t>No additional data are available.</w:t>
      </w:r>
    </w:p>
    <w:p w14:paraId="0C133FEF" w14:textId="77777777" w:rsidR="00100B78" w:rsidRPr="00341571" w:rsidRDefault="00100B78" w:rsidP="00341571">
      <w:pPr>
        <w:adjustRightInd w:val="0"/>
        <w:snapToGrid w:val="0"/>
        <w:spacing w:line="360" w:lineRule="auto"/>
        <w:jc w:val="both"/>
        <w:rPr>
          <w:rFonts w:ascii="Book Antiqua" w:hAnsi="Book Antiqua"/>
        </w:rPr>
      </w:pPr>
    </w:p>
    <w:p w14:paraId="59887383" w14:textId="77777777" w:rsidR="00100B78" w:rsidRPr="00341571" w:rsidRDefault="00100B78" w:rsidP="00341571">
      <w:pPr>
        <w:adjustRightInd w:val="0"/>
        <w:snapToGrid w:val="0"/>
        <w:spacing w:line="360" w:lineRule="auto"/>
        <w:jc w:val="both"/>
        <w:rPr>
          <w:rFonts w:ascii="Book Antiqua" w:hAnsi="Book Antiqua" w:cs="宋体"/>
        </w:rPr>
      </w:pPr>
      <w:r w:rsidRPr="00341571">
        <w:rPr>
          <w:rFonts w:ascii="Book Antiqua" w:hAnsi="Book Antiqua"/>
          <w:b/>
        </w:rPr>
        <w:t xml:space="preserve">Open-Access: </w:t>
      </w:r>
      <w:r w:rsidRPr="00341571">
        <w:rPr>
          <w:rFonts w:ascii="Book Antiqua" w:hAnsi="Book Antiqua"/>
        </w:rPr>
        <w:t xml:space="preserve">This is an </w:t>
      </w:r>
      <w:r w:rsidRPr="00341571">
        <w:rPr>
          <w:rFonts w:ascii="Book Antiqua" w:hAnsi="Book Antiqua" w:cs="宋体"/>
        </w:rPr>
        <w:t xml:space="preserve">open-access article that was </w:t>
      </w:r>
      <w:r w:rsidRPr="00341571">
        <w:rPr>
          <w:rFonts w:ascii="Book Antiqua" w:hAnsi="Book Antiqua"/>
        </w:rPr>
        <w:t xml:space="preserve">selected by an in-house editor and fully peer-reviewed by external reviewers. It is </w:t>
      </w:r>
      <w:r w:rsidRPr="00341571">
        <w:rPr>
          <w:rFonts w:ascii="Book Antiqua" w:hAnsi="Book Antiqua" w:cs="宋体"/>
        </w:rPr>
        <w:t xml:space="preserve">distributed in accordance with </w:t>
      </w:r>
      <w:r w:rsidRPr="00341571">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7B1713" w14:textId="77777777" w:rsidR="005219E6" w:rsidRPr="00341571" w:rsidRDefault="005219E6" w:rsidP="00341571">
      <w:pPr>
        <w:spacing w:line="360" w:lineRule="auto"/>
        <w:jc w:val="both"/>
        <w:rPr>
          <w:rFonts w:ascii="Book Antiqua" w:eastAsia="宋体" w:hAnsi="Book Antiqua" w:cs="Arial"/>
          <w:b/>
          <w:lang w:eastAsia="zh-CN"/>
        </w:rPr>
      </w:pPr>
    </w:p>
    <w:p w14:paraId="2D316997" w14:textId="0583435A" w:rsidR="00100B78" w:rsidRPr="00341571" w:rsidRDefault="00100B78" w:rsidP="00341571">
      <w:pPr>
        <w:spacing w:line="360" w:lineRule="auto"/>
        <w:jc w:val="both"/>
        <w:rPr>
          <w:rFonts w:ascii="Book Antiqua" w:eastAsia="宋体" w:hAnsi="Book Antiqua" w:cs="宋体"/>
          <w:lang w:eastAsia="zh-CN"/>
        </w:rPr>
      </w:pPr>
      <w:r w:rsidRPr="00341571">
        <w:rPr>
          <w:rFonts w:ascii="Book Antiqua" w:eastAsia="宋体" w:hAnsi="Book Antiqua" w:cs="宋体"/>
          <w:b/>
        </w:rPr>
        <w:t>Manuscript source:</w:t>
      </w:r>
      <w:r w:rsidRPr="00341571">
        <w:rPr>
          <w:rFonts w:ascii="Book Antiqua" w:eastAsia="宋体" w:hAnsi="Book Antiqua" w:cs="宋体"/>
        </w:rPr>
        <w:t> Unsolicited manuscript</w:t>
      </w:r>
    </w:p>
    <w:p w14:paraId="17BB9064" w14:textId="77777777" w:rsidR="00100B78" w:rsidRPr="00341571" w:rsidRDefault="00100B78" w:rsidP="00341571">
      <w:pPr>
        <w:spacing w:line="360" w:lineRule="auto"/>
        <w:jc w:val="both"/>
        <w:rPr>
          <w:rFonts w:ascii="Book Antiqua" w:eastAsia="宋体" w:hAnsi="Book Antiqua" w:cs="Arial"/>
          <w:b/>
          <w:lang w:eastAsia="zh-CN"/>
        </w:rPr>
      </w:pPr>
    </w:p>
    <w:p w14:paraId="1607E545" w14:textId="77777777" w:rsidR="00100B78" w:rsidRPr="00341571" w:rsidRDefault="00100B78" w:rsidP="00341571">
      <w:pPr>
        <w:spacing w:line="360" w:lineRule="auto"/>
        <w:jc w:val="both"/>
        <w:rPr>
          <w:rFonts w:ascii="Book Antiqua" w:eastAsia="宋体" w:hAnsi="Book Antiqua" w:cs="Arial"/>
          <w:lang w:eastAsia="zh-CN"/>
        </w:rPr>
      </w:pPr>
      <w:r w:rsidRPr="00341571">
        <w:rPr>
          <w:rFonts w:ascii="Book Antiqua" w:hAnsi="Book Antiqua"/>
          <w:b/>
        </w:rPr>
        <w:t>Correspondence to:</w:t>
      </w:r>
      <w:r w:rsidRPr="00341571">
        <w:rPr>
          <w:rFonts w:ascii="Book Antiqua" w:eastAsia="宋体" w:hAnsi="Book Antiqua"/>
          <w:b/>
          <w:lang w:eastAsia="zh-CN"/>
        </w:rPr>
        <w:t xml:space="preserve"> </w:t>
      </w:r>
      <w:r w:rsidRPr="00341571">
        <w:rPr>
          <w:rFonts w:ascii="Book Antiqua" w:hAnsi="Book Antiqua" w:cs="Arial"/>
          <w:b/>
        </w:rPr>
        <w:t>Melissa Ching Ching Teo</w:t>
      </w:r>
      <w:r w:rsidRPr="00341571">
        <w:rPr>
          <w:rFonts w:ascii="Book Antiqua" w:eastAsia="宋体" w:hAnsi="Book Antiqua" w:cs="Arial"/>
          <w:b/>
          <w:lang w:eastAsia="zh-CN"/>
        </w:rPr>
        <w:t xml:space="preserve">, </w:t>
      </w:r>
      <w:r w:rsidRPr="00341571">
        <w:rPr>
          <w:rFonts w:ascii="Book Antiqua" w:hAnsi="Book Antiqua" w:cs="Arial"/>
          <w:b/>
        </w:rPr>
        <w:t>Senior Consultant/Head</w:t>
      </w:r>
      <w:r w:rsidRPr="00341571">
        <w:rPr>
          <w:rFonts w:ascii="Book Antiqua" w:eastAsia="宋体" w:hAnsi="Book Antiqua" w:cs="Arial"/>
          <w:b/>
          <w:lang w:eastAsia="zh-CN"/>
        </w:rPr>
        <w:t>,</w:t>
      </w:r>
      <w:r w:rsidRPr="00341571">
        <w:rPr>
          <w:rFonts w:ascii="Book Antiqua" w:hAnsi="Book Antiqua" w:cs="Arial"/>
          <w:b/>
        </w:rPr>
        <w:t xml:space="preserve"> MBBS, MMed (Surg), FRCSEd, FAMS, MPH</w:t>
      </w:r>
      <w:r w:rsidRPr="00341571">
        <w:rPr>
          <w:rFonts w:ascii="Book Antiqua" w:eastAsia="宋体" w:hAnsi="Book Antiqua" w:cs="Arial"/>
          <w:b/>
          <w:lang w:eastAsia="zh-CN"/>
        </w:rPr>
        <w:t>,</w:t>
      </w:r>
      <w:r w:rsidRPr="00341571">
        <w:rPr>
          <w:rFonts w:ascii="Book Antiqua" w:hAnsi="Book Antiqua" w:cs="Arial"/>
          <w:b/>
        </w:rPr>
        <w:t xml:space="preserve"> Adjunct Assoc</w:t>
      </w:r>
      <w:r w:rsidRPr="00341571">
        <w:rPr>
          <w:rFonts w:ascii="Book Antiqua" w:eastAsia="宋体" w:hAnsi="Book Antiqua" w:cs="Arial"/>
          <w:b/>
          <w:lang w:eastAsia="zh-CN"/>
        </w:rPr>
        <w:t>iate</w:t>
      </w:r>
      <w:r w:rsidRPr="00341571">
        <w:rPr>
          <w:rFonts w:ascii="Book Antiqua" w:hAnsi="Book Antiqua" w:cs="Arial"/>
          <w:b/>
        </w:rPr>
        <w:t xml:space="preserve"> Prof</w:t>
      </w:r>
      <w:r w:rsidRPr="00341571">
        <w:rPr>
          <w:rFonts w:ascii="Book Antiqua" w:eastAsia="宋体" w:hAnsi="Book Antiqua" w:cs="Arial"/>
          <w:b/>
          <w:lang w:eastAsia="zh-CN"/>
        </w:rPr>
        <w:t>essor,</w:t>
      </w:r>
      <w:r w:rsidRPr="00341571">
        <w:rPr>
          <w:rFonts w:ascii="Book Antiqua" w:hAnsi="Book Antiqua" w:cs="Arial"/>
          <w:b/>
        </w:rPr>
        <w:t xml:space="preserve"> </w:t>
      </w:r>
      <w:r w:rsidRPr="00341571">
        <w:rPr>
          <w:rFonts w:ascii="Book Antiqua" w:hAnsi="Book Antiqua" w:cs="Arial"/>
        </w:rPr>
        <w:t>Division of Surgical Oncology, National Cancer Centre Singapore</w:t>
      </w:r>
      <w:r w:rsidRPr="00341571">
        <w:rPr>
          <w:rFonts w:ascii="Book Antiqua" w:eastAsia="宋体" w:hAnsi="Book Antiqua" w:cs="Arial"/>
          <w:lang w:eastAsia="zh-CN"/>
        </w:rPr>
        <w:t>,</w:t>
      </w:r>
      <w:r w:rsidRPr="00341571">
        <w:rPr>
          <w:rFonts w:ascii="Book Antiqua" w:hAnsi="Book Antiqua" w:cs="Arial"/>
        </w:rPr>
        <w:t xml:space="preserve"> 11 Hospital Drive</w:t>
      </w:r>
      <w:r w:rsidRPr="00341571">
        <w:rPr>
          <w:rFonts w:ascii="Book Antiqua" w:eastAsia="宋体" w:hAnsi="Book Antiqua" w:cs="Arial"/>
          <w:lang w:eastAsia="zh-CN"/>
        </w:rPr>
        <w:t>,</w:t>
      </w:r>
      <w:r w:rsidRPr="00341571">
        <w:rPr>
          <w:rFonts w:ascii="Book Antiqua" w:hAnsi="Book Antiqua" w:cs="Arial"/>
        </w:rPr>
        <w:t xml:space="preserve"> Singapore 169610</w:t>
      </w:r>
      <w:r w:rsidRPr="00341571">
        <w:rPr>
          <w:rFonts w:ascii="Book Antiqua" w:eastAsia="宋体" w:hAnsi="Book Antiqua" w:cs="Arial"/>
          <w:lang w:eastAsia="zh-CN"/>
        </w:rPr>
        <w:t xml:space="preserve">, </w:t>
      </w:r>
      <w:r w:rsidRPr="00341571">
        <w:rPr>
          <w:rFonts w:ascii="Book Antiqua" w:hAnsi="Book Antiqua" w:cs="Arial"/>
        </w:rPr>
        <w:t>Singapore</w:t>
      </w:r>
      <w:r w:rsidRPr="00341571">
        <w:rPr>
          <w:rFonts w:ascii="Book Antiqua" w:eastAsia="宋体" w:hAnsi="Book Antiqua" w:cs="Arial"/>
          <w:lang w:eastAsia="zh-CN"/>
        </w:rPr>
        <w:t>.</w:t>
      </w:r>
      <w:r w:rsidRPr="00341571">
        <w:rPr>
          <w:rFonts w:ascii="Book Antiqua" w:hAnsi="Book Antiqua" w:cs="Arial"/>
        </w:rPr>
        <w:t xml:space="preserve"> melissa.teo.c.c@singhealth.com.sg</w:t>
      </w:r>
    </w:p>
    <w:p w14:paraId="47F3589D" w14:textId="77777777" w:rsidR="00100B78" w:rsidRPr="00341571" w:rsidRDefault="00100B78" w:rsidP="00341571">
      <w:pPr>
        <w:spacing w:line="360" w:lineRule="auto"/>
        <w:jc w:val="both"/>
        <w:rPr>
          <w:rFonts w:ascii="Book Antiqua" w:hAnsi="Book Antiqua"/>
          <w:b/>
        </w:rPr>
      </w:pPr>
      <w:r w:rsidRPr="00341571">
        <w:rPr>
          <w:rFonts w:ascii="Book Antiqua" w:hAnsi="Book Antiqua"/>
          <w:b/>
        </w:rPr>
        <w:t xml:space="preserve">Telephone: </w:t>
      </w:r>
      <w:r w:rsidRPr="00341571">
        <w:rPr>
          <w:rFonts w:ascii="Book Antiqua" w:hAnsi="Book Antiqua" w:cs="Arial"/>
        </w:rPr>
        <w:t>+65</w:t>
      </w:r>
      <w:r w:rsidRPr="00341571">
        <w:rPr>
          <w:rFonts w:ascii="Book Antiqua" w:eastAsia="宋体" w:hAnsi="Book Antiqua" w:cs="Arial"/>
          <w:lang w:eastAsia="zh-CN"/>
        </w:rPr>
        <w:t>-</w:t>
      </w:r>
      <w:r w:rsidRPr="00341571">
        <w:rPr>
          <w:rFonts w:ascii="Book Antiqua" w:hAnsi="Book Antiqua" w:cs="Arial"/>
        </w:rPr>
        <w:t>4368088</w:t>
      </w:r>
    </w:p>
    <w:p w14:paraId="5D9B62FD" w14:textId="77777777" w:rsidR="00100B78" w:rsidRPr="00341571" w:rsidRDefault="00100B78" w:rsidP="00341571">
      <w:pPr>
        <w:spacing w:line="360" w:lineRule="auto"/>
        <w:jc w:val="both"/>
        <w:rPr>
          <w:rFonts w:ascii="Book Antiqua" w:hAnsi="Book Antiqua"/>
          <w:b/>
        </w:rPr>
      </w:pPr>
      <w:r w:rsidRPr="00341571">
        <w:rPr>
          <w:rFonts w:ascii="Book Antiqua" w:hAnsi="Book Antiqua"/>
          <w:b/>
        </w:rPr>
        <w:t>Fax:</w:t>
      </w:r>
      <w:r w:rsidRPr="00341571">
        <w:rPr>
          <w:rFonts w:ascii="Book Antiqua" w:hAnsi="Book Antiqua" w:cs="Arial"/>
        </w:rPr>
        <w:t xml:space="preserve"> +65</w:t>
      </w:r>
      <w:r w:rsidRPr="00341571">
        <w:rPr>
          <w:rFonts w:ascii="Book Antiqua" w:eastAsia="宋体" w:hAnsi="Book Antiqua" w:cs="Arial"/>
          <w:lang w:eastAsia="zh-CN"/>
        </w:rPr>
        <w:t>-</w:t>
      </w:r>
      <w:r w:rsidRPr="00341571">
        <w:rPr>
          <w:rFonts w:ascii="Book Antiqua" w:hAnsi="Book Antiqua" w:cs="Arial"/>
        </w:rPr>
        <w:t>62256283</w:t>
      </w:r>
    </w:p>
    <w:p w14:paraId="6E2ED756" w14:textId="77777777" w:rsidR="00100B78" w:rsidRPr="00341571" w:rsidRDefault="00100B78" w:rsidP="00341571">
      <w:pPr>
        <w:spacing w:line="360" w:lineRule="auto"/>
        <w:jc w:val="both"/>
        <w:rPr>
          <w:rFonts w:ascii="Book Antiqua" w:eastAsia="宋体" w:hAnsi="Book Antiqua" w:cs="Arial"/>
          <w:b/>
          <w:lang w:eastAsia="zh-CN"/>
        </w:rPr>
      </w:pPr>
    </w:p>
    <w:p w14:paraId="1077AE9E" w14:textId="101E3CF2" w:rsidR="00100B78" w:rsidRPr="00341571" w:rsidRDefault="00100B78" w:rsidP="00341571">
      <w:pPr>
        <w:spacing w:line="360" w:lineRule="auto"/>
        <w:jc w:val="both"/>
        <w:rPr>
          <w:rFonts w:ascii="Book Antiqua" w:hAnsi="Book Antiqua"/>
          <w:b/>
        </w:rPr>
      </w:pPr>
      <w:r w:rsidRPr="00341571">
        <w:rPr>
          <w:rFonts w:ascii="Book Antiqua" w:hAnsi="Book Antiqua"/>
          <w:b/>
        </w:rPr>
        <w:t xml:space="preserve">Received: </w:t>
      </w:r>
      <w:r w:rsidRPr="00341571">
        <w:rPr>
          <w:rFonts w:ascii="Book Antiqua" w:eastAsia="宋体" w:hAnsi="Book Antiqua"/>
          <w:lang w:eastAsia="zh-CN"/>
        </w:rPr>
        <w:t>November 1, 2016</w:t>
      </w:r>
      <w:r w:rsidR="008D031B">
        <w:rPr>
          <w:rFonts w:ascii="Book Antiqua" w:hAnsi="Book Antiqua"/>
        </w:rPr>
        <w:t xml:space="preserve"> </w:t>
      </w:r>
    </w:p>
    <w:p w14:paraId="5A72AE7A" w14:textId="7DE0AD46" w:rsidR="00100B78" w:rsidRPr="00341571" w:rsidRDefault="00100B78" w:rsidP="00341571">
      <w:pPr>
        <w:spacing w:line="360" w:lineRule="auto"/>
        <w:jc w:val="both"/>
        <w:rPr>
          <w:rFonts w:ascii="Book Antiqua" w:hAnsi="Book Antiqua"/>
          <w:b/>
        </w:rPr>
      </w:pPr>
      <w:r w:rsidRPr="00341571">
        <w:rPr>
          <w:rFonts w:ascii="Book Antiqua" w:hAnsi="Book Antiqua"/>
          <w:b/>
        </w:rPr>
        <w:t>Peer-review started:</w:t>
      </w:r>
      <w:r w:rsidRPr="00341571">
        <w:rPr>
          <w:rFonts w:ascii="Book Antiqua" w:eastAsia="宋体" w:hAnsi="Book Antiqua"/>
          <w:lang w:eastAsia="zh-CN"/>
        </w:rPr>
        <w:t xml:space="preserve"> November 4, 2016</w:t>
      </w:r>
      <w:r w:rsidR="008D031B">
        <w:rPr>
          <w:rFonts w:ascii="Book Antiqua" w:hAnsi="Book Antiqua"/>
        </w:rPr>
        <w:t xml:space="preserve"> </w:t>
      </w:r>
    </w:p>
    <w:p w14:paraId="7C9C584E" w14:textId="3698DF65" w:rsidR="00100B78" w:rsidRPr="00341571" w:rsidRDefault="00100B78" w:rsidP="00341571">
      <w:pPr>
        <w:spacing w:line="360" w:lineRule="auto"/>
        <w:jc w:val="both"/>
        <w:rPr>
          <w:rFonts w:ascii="Book Antiqua" w:hAnsi="Book Antiqua"/>
          <w:b/>
        </w:rPr>
      </w:pPr>
      <w:r w:rsidRPr="00341571">
        <w:rPr>
          <w:rFonts w:ascii="Book Antiqua" w:hAnsi="Book Antiqua"/>
          <w:b/>
        </w:rPr>
        <w:t>First decision:</w:t>
      </w:r>
      <w:r w:rsidRPr="00341571">
        <w:rPr>
          <w:rFonts w:ascii="Book Antiqua" w:eastAsia="宋体" w:hAnsi="Book Antiqua"/>
          <w:lang w:eastAsia="zh-CN"/>
        </w:rPr>
        <w:t xml:space="preserve"> November 30, 2016</w:t>
      </w:r>
      <w:r w:rsidR="008D031B">
        <w:rPr>
          <w:rFonts w:ascii="Book Antiqua" w:hAnsi="Book Antiqua"/>
        </w:rPr>
        <w:t xml:space="preserve"> </w:t>
      </w:r>
    </w:p>
    <w:p w14:paraId="14F4AE50" w14:textId="47618285" w:rsidR="00100B78" w:rsidRPr="00341571" w:rsidRDefault="00100B78" w:rsidP="00341571">
      <w:pPr>
        <w:spacing w:line="360" w:lineRule="auto"/>
        <w:jc w:val="both"/>
        <w:rPr>
          <w:rFonts w:ascii="Book Antiqua" w:hAnsi="Book Antiqua"/>
          <w:b/>
        </w:rPr>
      </w:pPr>
      <w:r w:rsidRPr="00341571">
        <w:rPr>
          <w:rFonts w:ascii="Book Antiqua" w:hAnsi="Book Antiqua"/>
          <w:b/>
        </w:rPr>
        <w:lastRenderedPageBreak/>
        <w:t xml:space="preserve">Revised: </w:t>
      </w:r>
      <w:r w:rsidRPr="00341571">
        <w:rPr>
          <w:rFonts w:ascii="Book Antiqua" w:eastAsia="宋体" w:hAnsi="Book Antiqua"/>
          <w:lang w:eastAsia="zh-CN"/>
        </w:rPr>
        <w:t>December 13, 2016</w:t>
      </w:r>
      <w:r w:rsidRPr="00341571">
        <w:rPr>
          <w:rFonts w:ascii="Book Antiqua" w:hAnsi="Book Antiqua"/>
        </w:rPr>
        <w:t xml:space="preserve"> </w:t>
      </w:r>
    </w:p>
    <w:p w14:paraId="09CFDDDA" w14:textId="1A66F62A" w:rsidR="00100B78" w:rsidRPr="00454D00" w:rsidRDefault="00100B78" w:rsidP="00454D00">
      <w:pPr>
        <w:rPr>
          <w:rFonts w:ascii="Book Antiqua" w:hAnsi="Book Antiqua"/>
          <w:iCs/>
        </w:rPr>
      </w:pPr>
      <w:r w:rsidRPr="00341571">
        <w:rPr>
          <w:rFonts w:ascii="Book Antiqua" w:hAnsi="Book Antiqua"/>
          <w:b/>
        </w:rPr>
        <w:t>Accepted:</w:t>
      </w:r>
      <w:r w:rsidR="008D031B">
        <w:rPr>
          <w:rFonts w:ascii="Book Antiqua" w:hAnsi="Book Antiqua"/>
          <w:b/>
        </w:rPr>
        <w:t xml:space="preserve"> </w:t>
      </w:r>
      <w:r w:rsidR="00454D00">
        <w:rPr>
          <w:rStyle w:val="ac"/>
        </w:rPr>
        <w:t>January</w:t>
      </w:r>
      <w:r w:rsidR="00454D00">
        <w:rPr>
          <w:rStyle w:val="ac"/>
          <w:rFonts w:ascii="宋体" w:hAnsi="宋体" w:cs="宋体" w:hint="eastAsia"/>
        </w:rPr>
        <w:t xml:space="preserve"> 2</w:t>
      </w:r>
      <w:r w:rsidR="00454D00">
        <w:rPr>
          <w:rStyle w:val="ac"/>
          <w:rFonts w:cs="宋体"/>
        </w:rPr>
        <w:t>,</w:t>
      </w:r>
      <w:r w:rsidR="00454D00">
        <w:rPr>
          <w:rStyle w:val="ac"/>
        </w:rPr>
        <w:t xml:space="preserve"> 2017</w:t>
      </w:r>
    </w:p>
    <w:p w14:paraId="067E9CCF" w14:textId="01D21815" w:rsidR="00100B78" w:rsidRPr="00341571" w:rsidRDefault="00100B78" w:rsidP="00341571">
      <w:pPr>
        <w:spacing w:line="360" w:lineRule="auto"/>
        <w:jc w:val="both"/>
        <w:rPr>
          <w:rFonts w:ascii="Book Antiqua" w:hAnsi="Book Antiqua"/>
        </w:rPr>
      </w:pPr>
      <w:r w:rsidRPr="00341571">
        <w:rPr>
          <w:rFonts w:ascii="Book Antiqua" w:hAnsi="Book Antiqua"/>
          <w:b/>
        </w:rPr>
        <w:t>Article in press:</w:t>
      </w:r>
      <w:r w:rsidR="008D031B">
        <w:rPr>
          <w:rFonts w:ascii="Book Antiqua" w:hAnsi="Book Antiqua"/>
        </w:rPr>
        <w:t xml:space="preserve">  </w:t>
      </w:r>
    </w:p>
    <w:p w14:paraId="425275E9" w14:textId="77777777" w:rsidR="00100B78" w:rsidRPr="00341571" w:rsidRDefault="00100B78" w:rsidP="00341571">
      <w:pPr>
        <w:spacing w:line="360" w:lineRule="auto"/>
        <w:jc w:val="both"/>
        <w:rPr>
          <w:rFonts w:ascii="Book Antiqua" w:hAnsi="Book Antiqua"/>
          <w:b/>
        </w:rPr>
      </w:pPr>
      <w:r w:rsidRPr="00341571">
        <w:rPr>
          <w:rFonts w:ascii="Book Antiqua" w:hAnsi="Book Antiqua"/>
          <w:b/>
        </w:rPr>
        <w:t xml:space="preserve">Published online: </w:t>
      </w:r>
    </w:p>
    <w:p w14:paraId="25A843A4" w14:textId="77777777" w:rsidR="00100B78" w:rsidRPr="00341571" w:rsidRDefault="00100B78" w:rsidP="00341571">
      <w:pPr>
        <w:spacing w:line="360" w:lineRule="auto"/>
        <w:jc w:val="both"/>
        <w:rPr>
          <w:rFonts w:ascii="Book Antiqua" w:eastAsia="宋体" w:hAnsi="Book Antiqua" w:cs="Arial"/>
          <w:lang w:eastAsia="zh-CN"/>
        </w:rPr>
      </w:pPr>
    </w:p>
    <w:p w14:paraId="238CB992" w14:textId="77777777" w:rsidR="00100B78" w:rsidRPr="00341571" w:rsidRDefault="00100B78" w:rsidP="00341571">
      <w:pPr>
        <w:spacing w:line="360" w:lineRule="auto"/>
        <w:jc w:val="both"/>
        <w:rPr>
          <w:rFonts w:ascii="Book Antiqua" w:hAnsi="Book Antiqua" w:cs="Arial"/>
          <w:b/>
        </w:rPr>
      </w:pPr>
      <w:r w:rsidRPr="00341571">
        <w:rPr>
          <w:rFonts w:ascii="Book Antiqua" w:hAnsi="Book Antiqua" w:cs="Arial"/>
          <w:b/>
        </w:rPr>
        <w:br w:type="page"/>
      </w:r>
    </w:p>
    <w:p w14:paraId="487AF21C" w14:textId="3FD9D9FE" w:rsidR="0081780C" w:rsidRPr="00341571" w:rsidRDefault="0081780C" w:rsidP="00341571">
      <w:pPr>
        <w:spacing w:line="360" w:lineRule="auto"/>
        <w:jc w:val="both"/>
        <w:rPr>
          <w:rFonts w:ascii="Book Antiqua" w:hAnsi="Book Antiqua" w:cs="Arial"/>
          <w:b/>
        </w:rPr>
      </w:pPr>
      <w:r w:rsidRPr="00341571">
        <w:rPr>
          <w:rFonts w:ascii="Book Antiqua" w:hAnsi="Book Antiqua" w:cs="Arial"/>
          <w:b/>
        </w:rPr>
        <w:lastRenderedPageBreak/>
        <w:t>Abstract</w:t>
      </w:r>
    </w:p>
    <w:p w14:paraId="39C66203" w14:textId="2E778A6E" w:rsidR="0081780C" w:rsidRPr="00341571" w:rsidRDefault="00100B78" w:rsidP="00341571">
      <w:pPr>
        <w:spacing w:line="360" w:lineRule="auto"/>
        <w:jc w:val="both"/>
        <w:rPr>
          <w:rFonts w:ascii="Book Antiqua" w:eastAsia="宋体" w:hAnsi="Book Antiqua"/>
          <w:b/>
          <w:i/>
          <w:lang w:eastAsia="zh-CN"/>
        </w:rPr>
      </w:pPr>
      <w:r w:rsidRPr="00341571">
        <w:rPr>
          <w:rFonts w:ascii="Book Antiqua" w:eastAsia="宋体" w:hAnsi="Book Antiqua"/>
          <w:b/>
          <w:i/>
          <w:lang w:eastAsia="zh-CN"/>
        </w:rPr>
        <w:t>AIM</w:t>
      </w:r>
    </w:p>
    <w:p w14:paraId="6EDC24D6" w14:textId="21E87289" w:rsidR="0081780C" w:rsidRPr="00341571" w:rsidRDefault="003A373B" w:rsidP="00341571">
      <w:pPr>
        <w:spacing w:line="360" w:lineRule="auto"/>
        <w:jc w:val="both"/>
        <w:rPr>
          <w:rFonts w:ascii="Book Antiqua" w:hAnsi="Book Antiqua"/>
        </w:rPr>
      </w:pPr>
      <w:r w:rsidRPr="00341571">
        <w:rPr>
          <w:rFonts w:ascii="Book Antiqua" w:hAnsi="Book Antiqua"/>
        </w:rPr>
        <w:t>T</w:t>
      </w:r>
      <w:r w:rsidR="002F369C" w:rsidRPr="00341571">
        <w:rPr>
          <w:rFonts w:ascii="Book Antiqua" w:hAnsi="Book Antiqua"/>
        </w:rPr>
        <w:t>o characteriz</w:t>
      </w:r>
      <w:r w:rsidR="0081780C" w:rsidRPr="00341571">
        <w:rPr>
          <w:rFonts w:ascii="Book Antiqua" w:hAnsi="Book Antiqua"/>
        </w:rPr>
        <w:t xml:space="preserve">e patients with gastric </w:t>
      </w:r>
      <w:r w:rsidRPr="00341571">
        <w:rPr>
          <w:rFonts w:ascii="Book Antiqua" w:hAnsi="Book Antiqua"/>
        </w:rPr>
        <w:t>peritoneal carcinomatosis</w:t>
      </w:r>
      <w:r w:rsidR="0081780C" w:rsidRPr="00341571">
        <w:rPr>
          <w:rFonts w:ascii="Book Antiqua" w:hAnsi="Book Antiqua"/>
        </w:rPr>
        <w:t xml:space="preserve"> </w:t>
      </w:r>
      <w:r w:rsidR="00B568F2">
        <w:rPr>
          <w:rFonts w:ascii="Book Antiqua" w:eastAsia="宋体" w:hAnsi="Book Antiqua" w:hint="eastAsia"/>
          <w:lang w:eastAsia="zh-CN"/>
        </w:rPr>
        <w:t>(</w:t>
      </w:r>
      <w:r w:rsidR="00B568F2" w:rsidRPr="00341571">
        <w:rPr>
          <w:rFonts w:ascii="Book Antiqua" w:hAnsi="Book Antiqua"/>
        </w:rPr>
        <w:t>PC</w:t>
      </w:r>
      <w:r w:rsidR="00B568F2">
        <w:rPr>
          <w:rFonts w:ascii="Book Antiqua" w:eastAsia="宋体" w:hAnsi="Book Antiqua" w:hint="eastAsia"/>
          <w:lang w:eastAsia="zh-CN"/>
        </w:rPr>
        <w:t xml:space="preserve">) </w:t>
      </w:r>
      <w:r w:rsidR="0081780C" w:rsidRPr="00341571">
        <w:rPr>
          <w:rFonts w:ascii="Book Antiqua" w:hAnsi="Book Antiqua"/>
        </w:rPr>
        <w:t>and their typical clinical and treatment course with palliative systemic chemotherapy as the current standard of care.</w:t>
      </w:r>
    </w:p>
    <w:p w14:paraId="0E7E0BDF" w14:textId="77777777" w:rsidR="0081780C" w:rsidRPr="00341571" w:rsidRDefault="0081780C" w:rsidP="00341571">
      <w:pPr>
        <w:spacing w:line="360" w:lineRule="auto"/>
        <w:jc w:val="both"/>
        <w:rPr>
          <w:rFonts w:ascii="Book Antiqua" w:hAnsi="Book Antiqua"/>
        </w:rPr>
      </w:pPr>
    </w:p>
    <w:p w14:paraId="6D0C53A9" w14:textId="071C9598" w:rsidR="0081780C" w:rsidRPr="00341571" w:rsidRDefault="00100B78" w:rsidP="00341571">
      <w:pPr>
        <w:spacing w:line="360" w:lineRule="auto"/>
        <w:jc w:val="both"/>
        <w:rPr>
          <w:rFonts w:ascii="Book Antiqua" w:eastAsia="宋体" w:hAnsi="Book Antiqua"/>
          <w:b/>
          <w:i/>
          <w:lang w:eastAsia="zh-CN"/>
        </w:rPr>
      </w:pPr>
      <w:r w:rsidRPr="00341571">
        <w:rPr>
          <w:rFonts w:ascii="Book Antiqua" w:hAnsi="Book Antiqua"/>
          <w:b/>
          <w:i/>
        </w:rPr>
        <w:t>METHODS</w:t>
      </w:r>
    </w:p>
    <w:p w14:paraId="149A33AB" w14:textId="0CF261A6" w:rsidR="0081780C" w:rsidRPr="00341571" w:rsidRDefault="0081780C" w:rsidP="00341571">
      <w:pPr>
        <w:spacing w:line="360" w:lineRule="auto"/>
        <w:jc w:val="both"/>
        <w:rPr>
          <w:rFonts w:ascii="Book Antiqua" w:hAnsi="Book Antiqua"/>
        </w:rPr>
      </w:pPr>
      <w:r w:rsidRPr="00341571">
        <w:rPr>
          <w:rFonts w:ascii="Book Antiqua" w:hAnsi="Book Antiqua"/>
        </w:rPr>
        <w:t>We performed a retrospective electronic chart review of all patients with gastric adenocarcinoma with PC diagnosed at initial metastatic presentation between January 2010 and December 2014 in a single tertiary referral centre.</w:t>
      </w:r>
    </w:p>
    <w:p w14:paraId="7ABCEFCC" w14:textId="77777777" w:rsidR="0081780C" w:rsidRPr="00341571" w:rsidRDefault="0081780C" w:rsidP="00341571">
      <w:pPr>
        <w:spacing w:line="360" w:lineRule="auto"/>
        <w:jc w:val="both"/>
        <w:rPr>
          <w:rFonts w:ascii="Book Antiqua" w:hAnsi="Book Antiqua"/>
        </w:rPr>
      </w:pPr>
    </w:p>
    <w:p w14:paraId="346524CF" w14:textId="29038C7A" w:rsidR="0081780C" w:rsidRPr="00341571" w:rsidRDefault="00100B78" w:rsidP="00341571">
      <w:pPr>
        <w:spacing w:line="360" w:lineRule="auto"/>
        <w:jc w:val="both"/>
        <w:rPr>
          <w:rFonts w:ascii="Book Antiqua" w:eastAsia="宋体" w:hAnsi="Book Antiqua"/>
          <w:b/>
          <w:i/>
          <w:lang w:eastAsia="zh-CN"/>
        </w:rPr>
      </w:pPr>
      <w:r w:rsidRPr="00341571">
        <w:rPr>
          <w:rFonts w:ascii="Book Antiqua" w:hAnsi="Book Antiqua"/>
          <w:b/>
          <w:i/>
        </w:rPr>
        <w:t>RESULTS</w:t>
      </w:r>
    </w:p>
    <w:p w14:paraId="3D486CA8" w14:textId="44CD1226" w:rsidR="0081780C" w:rsidRPr="00341571" w:rsidRDefault="0081780C" w:rsidP="00341571">
      <w:pPr>
        <w:spacing w:line="360" w:lineRule="auto"/>
        <w:jc w:val="both"/>
        <w:rPr>
          <w:rFonts w:ascii="Book Antiqua" w:hAnsi="Book Antiqua"/>
        </w:rPr>
      </w:pPr>
      <w:r w:rsidRPr="00341571">
        <w:rPr>
          <w:rFonts w:ascii="Book Antiqua" w:hAnsi="Book Antiqua"/>
        </w:rPr>
        <w:t>We studied a total of 271 patients with a median age of 63.8 years and median follow-up duration of 5.1 mo. The majority (</w:t>
      </w:r>
      <w:r w:rsidRPr="00341571">
        <w:rPr>
          <w:rFonts w:ascii="Book Antiqua" w:hAnsi="Book Antiqua"/>
          <w:i/>
        </w:rPr>
        <w:t>n</w:t>
      </w:r>
      <w:r w:rsidR="00100B78" w:rsidRPr="00341571">
        <w:rPr>
          <w:rFonts w:ascii="Book Antiqua" w:eastAsia="宋体" w:hAnsi="Book Antiqua"/>
          <w:lang w:eastAsia="zh-CN"/>
        </w:rPr>
        <w:t xml:space="preserve"> </w:t>
      </w:r>
      <w:r w:rsidRPr="00341571">
        <w:rPr>
          <w:rFonts w:ascii="Book Antiqua" w:hAnsi="Book Antiqua"/>
        </w:rPr>
        <w:t>=</w:t>
      </w:r>
      <w:r w:rsidR="00100B78" w:rsidRPr="00341571">
        <w:rPr>
          <w:rFonts w:ascii="Book Antiqua" w:eastAsia="宋体" w:hAnsi="Book Antiqua"/>
          <w:lang w:eastAsia="zh-CN"/>
        </w:rPr>
        <w:t xml:space="preserve"> </w:t>
      </w:r>
      <w:r w:rsidRPr="00341571">
        <w:rPr>
          <w:rFonts w:ascii="Book Antiqua" w:hAnsi="Book Antiqua"/>
        </w:rPr>
        <w:t xml:space="preserve">217, 80.1%) had the peritoneum as the only site of metastasis at initial presentation. Palliative systemic chemotherapy was eventually planned for 175 (64.6%) of our patients at initial presentation, of which 171 were initiated on it. </w:t>
      </w:r>
      <w:r w:rsidR="00432A3C" w:rsidRPr="00341571">
        <w:rPr>
          <w:rFonts w:ascii="Book Antiqua" w:hAnsi="Book Antiqua"/>
        </w:rPr>
        <w:t xml:space="preserve">Choice of first-line regime was in accordance with the </w:t>
      </w:r>
      <w:r w:rsidR="00432A3C" w:rsidRPr="00341571">
        <w:rPr>
          <w:rFonts w:ascii="Book Antiqua" w:hAnsi="Book Antiqua" w:cs="Arial"/>
        </w:rPr>
        <w:t xml:space="preserve">National Comprehensive Cancer Network Guidelines for Gastric Cancer Treatment. </w:t>
      </w:r>
      <w:r w:rsidRPr="00341571">
        <w:rPr>
          <w:rFonts w:ascii="Book Antiqua" w:hAnsi="Book Antiqua"/>
        </w:rPr>
        <w:t xml:space="preserve">These </w:t>
      </w:r>
      <w:r w:rsidR="002F369C" w:rsidRPr="00341571">
        <w:rPr>
          <w:rFonts w:ascii="Book Antiqua" w:hAnsi="Book Antiqua"/>
        </w:rPr>
        <w:t>patients underwent a median of one</w:t>
      </w:r>
      <w:r w:rsidRPr="00341571">
        <w:rPr>
          <w:rFonts w:ascii="Book Antiqua" w:hAnsi="Book Antiqua"/>
        </w:rPr>
        <w:t xml:space="preserve"> line of chemothera</w:t>
      </w:r>
      <w:r w:rsidR="002F369C" w:rsidRPr="00341571">
        <w:rPr>
          <w:rFonts w:ascii="Book Antiqua" w:hAnsi="Book Antiqua"/>
        </w:rPr>
        <w:t xml:space="preserve">py, completing a median of six </w:t>
      </w:r>
      <w:r w:rsidRPr="00341571">
        <w:rPr>
          <w:rFonts w:ascii="Book Antiqua" w:hAnsi="Book Antiqua"/>
        </w:rPr>
        <w:t>cycles in total. Chemotherapy disrup</w:t>
      </w:r>
      <w:r w:rsidR="002F369C" w:rsidRPr="00341571">
        <w:rPr>
          <w:rFonts w:ascii="Book Antiqua" w:hAnsi="Book Antiqua"/>
        </w:rPr>
        <w:t>tion due to unplanned hospitaliz</w:t>
      </w:r>
      <w:r w:rsidRPr="00341571">
        <w:rPr>
          <w:rFonts w:ascii="Book Antiqua" w:hAnsi="Book Antiqua"/>
        </w:rPr>
        <w:t xml:space="preserve">ations occurred in 114 (66.7%), while cessation of chemotherapy occurred in 157 (91.8%), with 42 cessations primarily attributable to PC-related complications. Patients who had initiation of systemic chemotherapy had a significantly better median overall survival than those who did not (10.9 </w:t>
      </w:r>
      <w:r w:rsidR="00100B78" w:rsidRPr="00341571">
        <w:rPr>
          <w:rFonts w:ascii="Book Antiqua" w:hAnsi="Book Antiqua"/>
        </w:rPr>
        <w:t xml:space="preserve">mo </w:t>
      </w:r>
      <w:r w:rsidRPr="00341571">
        <w:rPr>
          <w:rFonts w:ascii="Book Antiqua" w:hAnsi="Book Antiqua"/>
          <w:i/>
        </w:rPr>
        <w:t>vs</w:t>
      </w:r>
      <w:r w:rsidRPr="00341571">
        <w:rPr>
          <w:rFonts w:ascii="Book Antiqua" w:hAnsi="Book Antiqua"/>
        </w:rPr>
        <w:t xml:space="preserve"> 1.6 mo, </w:t>
      </w:r>
      <w:r w:rsidR="00100B78" w:rsidRPr="00341571">
        <w:rPr>
          <w:rFonts w:ascii="Book Antiqua" w:hAnsi="Book Antiqua"/>
          <w:i/>
        </w:rPr>
        <w:t>P</w:t>
      </w:r>
      <w:r w:rsidR="00100B78" w:rsidRPr="00341571">
        <w:rPr>
          <w:rFonts w:ascii="Book Antiqua" w:eastAsia="宋体" w:hAnsi="Book Antiqua"/>
          <w:lang w:eastAsia="zh-CN"/>
        </w:rPr>
        <w:t xml:space="preserve"> </w:t>
      </w:r>
      <w:r w:rsidRPr="00341571">
        <w:rPr>
          <w:rFonts w:ascii="Book Antiqua" w:hAnsi="Book Antiqua"/>
        </w:rPr>
        <w:t>&lt;</w:t>
      </w:r>
      <w:r w:rsidR="00100B78" w:rsidRPr="00341571">
        <w:rPr>
          <w:rFonts w:ascii="Book Antiqua" w:eastAsia="宋体" w:hAnsi="Book Antiqua"/>
          <w:lang w:eastAsia="zh-CN"/>
        </w:rPr>
        <w:t xml:space="preserve"> </w:t>
      </w:r>
      <w:r w:rsidRPr="00341571">
        <w:rPr>
          <w:rFonts w:ascii="Book Antiqua" w:hAnsi="Book Antiqua"/>
        </w:rPr>
        <w:t>0.001). Of patients who had initiation of systemic chemotherapy, those who experienced any disruptions to chemothe</w:t>
      </w:r>
      <w:r w:rsidR="002F369C" w:rsidRPr="00341571">
        <w:rPr>
          <w:rFonts w:ascii="Book Antiqua" w:hAnsi="Book Antiqua"/>
        </w:rPr>
        <w:t>rapy due to unplanned hospitaliz</w:t>
      </w:r>
      <w:r w:rsidRPr="00341571">
        <w:rPr>
          <w:rFonts w:ascii="Book Antiqua" w:hAnsi="Book Antiqua"/>
        </w:rPr>
        <w:t xml:space="preserve">ations had a significantly worse median overall survival compared to those who did not (8.7 </w:t>
      </w:r>
      <w:r w:rsidR="00100B78" w:rsidRPr="00341571">
        <w:rPr>
          <w:rFonts w:ascii="Book Antiqua" w:hAnsi="Book Antiqua"/>
        </w:rPr>
        <w:t xml:space="preserve">mo </w:t>
      </w:r>
      <w:r w:rsidRPr="00341571">
        <w:rPr>
          <w:rFonts w:ascii="Book Antiqua" w:hAnsi="Book Antiqua"/>
          <w:i/>
        </w:rPr>
        <w:t>vs</w:t>
      </w:r>
      <w:r w:rsidRPr="00341571">
        <w:rPr>
          <w:rFonts w:ascii="Book Antiqua" w:hAnsi="Book Antiqua"/>
        </w:rPr>
        <w:t xml:space="preserve"> 14.6 mo, </w:t>
      </w:r>
      <w:r w:rsidR="00100B78" w:rsidRPr="00341571">
        <w:rPr>
          <w:rFonts w:ascii="Book Antiqua" w:hAnsi="Book Antiqua"/>
          <w:i/>
        </w:rPr>
        <w:t>P</w:t>
      </w:r>
      <w:r w:rsidR="00100B78" w:rsidRPr="00341571">
        <w:rPr>
          <w:rFonts w:ascii="Book Antiqua" w:eastAsia="宋体" w:hAnsi="Book Antiqua"/>
          <w:lang w:eastAsia="zh-CN"/>
        </w:rPr>
        <w:t xml:space="preserve"> </w:t>
      </w:r>
      <w:r w:rsidRPr="00341571">
        <w:rPr>
          <w:rFonts w:ascii="Book Antiqua" w:hAnsi="Book Antiqua"/>
        </w:rPr>
        <w:t>&lt;</w:t>
      </w:r>
      <w:r w:rsidR="00100B78" w:rsidRPr="00341571">
        <w:rPr>
          <w:rFonts w:ascii="Book Antiqua" w:eastAsia="宋体" w:hAnsi="Book Antiqua"/>
          <w:lang w:eastAsia="zh-CN"/>
        </w:rPr>
        <w:t xml:space="preserve"> </w:t>
      </w:r>
      <w:r w:rsidRPr="00341571">
        <w:rPr>
          <w:rFonts w:ascii="Book Antiqua" w:hAnsi="Book Antiqua"/>
        </w:rPr>
        <w:t>0.001).</w:t>
      </w:r>
    </w:p>
    <w:p w14:paraId="1E7D3323" w14:textId="77777777" w:rsidR="0081780C" w:rsidRPr="00341571" w:rsidRDefault="0081780C" w:rsidP="00341571">
      <w:pPr>
        <w:spacing w:line="360" w:lineRule="auto"/>
        <w:jc w:val="both"/>
        <w:rPr>
          <w:rFonts w:ascii="Book Antiqua" w:hAnsi="Book Antiqua"/>
        </w:rPr>
      </w:pPr>
    </w:p>
    <w:p w14:paraId="73BD337A" w14:textId="39607F4F" w:rsidR="0081780C" w:rsidRPr="00341571" w:rsidRDefault="00100B78" w:rsidP="00341571">
      <w:pPr>
        <w:spacing w:line="360" w:lineRule="auto"/>
        <w:jc w:val="both"/>
        <w:rPr>
          <w:rFonts w:ascii="Book Antiqua" w:eastAsia="宋体" w:hAnsi="Book Antiqua"/>
          <w:b/>
          <w:i/>
          <w:lang w:eastAsia="zh-CN"/>
        </w:rPr>
      </w:pPr>
      <w:r w:rsidRPr="00341571">
        <w:rPr>
          <w:rFonts w:ascii="Book Antiqua" w:hAnsi="Book Antiqua"/>
          <w:b/>
          <w:i/>
        </w:rPr>
        <w:t>CONCLUSION</w:t>
      </w:r>
    </w:p>
    <w:p w14:paraId="441F91D8" w14:textId="179F5CF0" w:rsidR="0081780C" w:rsidRPr="00341571" w:rsidRDefault="0081780C" w:rsidP="00341571">
      <w:pPr>
        <w:spacing w:line="360" w:lineRule="auto"/>
        <w:jc w:val="both"/>
        <w:rPr>
          <w:rFonts w:ascii="Book Antiqua" w:hAnsi="Book Antiqua"/>
        </w:rPr>
      </w:pPr>
      <w:r w:rsidRPr="00341571">
        <w:rPr>
          <w:rFonts w:ascii="Book Antiqua" w:hAnsi="Book Antiqua"/>
        </w:rPr>
        <w:lastRenderedPageBreak/>
        <w:t xml:space="preserve">Gastric PC carries a grim prognosis with a clinical course fraught with disease-related complications which may attenuate any survival benefit which palliative systemic chemotherapy may have to offer. </w:t>
      </w:r>
      <w:r w:rsidR="00911614" w:rsidRPr="00341571">
        <w:rPr>
          <w:rFonts w:ascii="Book Antiqua" w:hAnsi="Book Antiqua"/>
        </w:rPr>
        <w:t>As such, investigational use of regional therapies is warranted and required validation in p</w:t>
      </w:r>
      <w:r w:rsidRPr="00341571">
        <w:rPr>
          <w:rFonts w:ascii="Book Antiqua" w:hAnsi="Book Antiqua"/>
        </w:rPr>
        <w:t xml:space="preserve">atients with isolated PC </w:t>
      </w:r>
      <w:r w:rsidR="00911614" w:rsidRPr="00341571">
        <w:rPr>
          <w:rFonts w:ascii="Book Antiqua" w:hAnsi="Book Antiqua"/>
        </w:rPr>
        <w:t>t</w:t>
      </w:r>
      <w:r w:rsidR="002F369C" w:rsidRPr="00341571">
        <w:rPr>
          <w:rFonts w:ascii="Book Antiqua" w:hAnsi="Book Antiqua"/>
        </w:rPr>
        <w:t>o maximiz</w:t>
      </w:r>
      <w:r w:rsidRPr="00341571">
        <w:rPr>
          <w:rFonts w:ascii="Book Antiqua" w:hAnsi="Book Antiqua"/>
        </w:rPr>
        <w:t>e thei</w:t>
      </w:r>
      <w:r w:rsidR="00097993" w:rsidRPr="00341571">
        <w:rPr>
          <w:rFonts w:ascii="Book Antiqua" w:hAnsi="Book Antiqua"/>
        </w:rPr>
        <w:t xml:space="preserve">r survival outcomes in the long </w:t>
      </w:r>
      <w:r w:rsidRPr="00341571">
        <w:rPr>
          <w:rFonts w:ascii="Book Antiqua" w:hAnsi="Book Antiqua"/>
        </w:rPr>
        <w:t>run.</w:t>
      </w:r>
    </w:p>
    <w:p w14:paraId="79A5F605" w14:textId="77777777" w:rsidR="0081780C" w:rsidRPr="00341571" w:rsidRDefault="0081780C" w:rsidP="00341571">
      <w:pPr>
        <w:spacing w:line="360" w:lineRule="auto"/>
        <w:jc w:val="both"/>
        <w:rPr>
          <w:rFonts w:ascii="Book Antiqua" w:eastAsia="宋体" w:hAnsi="Book Antiqua" w:cs="Arial"/>
          <w:lang w:eastAsia="zh-CN"/>
        </w:rPr>
      </w:pPr>
    </w:p>
    <w:p w14:paraId="4755C0FF" w14:textId="77777777" w:rsidR="00100B78" w:rsidRPr="00341571" w:rsidRDefault="00100B78" w:rsidP="00341571">
      <w:pPr>
        <w:spacing w:line="360" w:lineRule="auto"/>
        <w:jc w:val="both"/>
        <w:rPr>
          <w:rFonts w:ascii="Book Antiqua" w:eastAsia="宋体" w:hAnsi="Book Antiqua" w:cs="Arial"/>
          <w:b/>
          <w:lang w:eastAsia="zh-CN"/>
        </w:rPr>
      </w:pPr>
      <w:r w:rsidRPr="00341571">
        <w:rPr>
          <w:rFonts w:ascii="Book Antiqua" w:hAnsi="Book Antiqua" w:cs="Arial"/>
          <w:b/>
        </w:rPr>
        <w:t>Key</w:t>
      </w:r>
      <w:r w:rsidRPr="00341571">
        <w:rPr>
          <w:rFonts w:ascii="Book Antiqua" w:eastAsia="宋体" w:hAnsi="Book Antiqua" w:cs="Arial"/>
          <w:b/>
          <w:lang w:eastAsia="zh-CN"/>
        </w:rPr>
        <w:t xml:space="preserve"> </w:t>
      </w:r>
      <w:r w:rsidRPr="00341571">
        <w:rPr>
          <w:rFonts w:ascii="Book Antiqua" w:hAnsi="Book Antiqua" w:cs="Arial"/>
          <w:b/>
        </w:rPr>
        <w:t>words:</w:t>
      </w:r>
      <w:r w:rsidRPr="00341571">
        <w:rPr>
          <w:rFonts w:ascii="Book Antiqua" w:eastAsia="宋体" w:hAnsi="Book Antiqua" w:cs="Arial"/>
          <w:lang w:eastAsia="zh-CN"/>
        </w:rPr>
        <w:t xml:space="preserve"> </w:t>
      </w:r>
      <w:r w:rsidRPr="00341571">
        <w:rPr>
          <w:rFonts w:ascii="Book Antiqua" w:hAnsi="Book Antiqua" w:cs="Arial"/>
        </w:rPr>
        <w:t>Peritoneal carcinomatosis</w:t>
      </w:r>
      <w:r w:rsidRPr="00341571">
        <w:rPr>
          <w:rFonts w:ascii="Book Antiqua" w:eastAsia="宋体" w:hAnsi="Book Antiqua" w:cs="Arial"/>
          <w:lang w:eastAsia="zh-CN"/>
        </w:rPr>
        <w:t>;</w:t>
      </w:r>
      <w:r w:rsidRPr="00341571">
        <w:rPr>
          <w:rFonts w:ascii="Book Antiqua" w:hAnsi="Book Antiqua" w:cs="Arial"/>
        </w:rPr>
        <w:t xml:space="preserve"> Gastric cancer</w:t>
      </w:r>
    </w:p>
    <w:p w14:paraId="5E24DD97" w14:textId="77777777" w:rsidR="00100B78" w:rsidRPr="00341571" w:rsidRDefault="00100B78" w:rsidP="00341571">
      <w:pPr>
        <w:spacing w:line="360" w:lineRule="auto"/>
        <w:jc w:val="both"/>
        <w:rPr>
          <w:rFonts w:ascii="Book Antiqua" w:eastAsia="宋体" w:hAnsi="Book Antiqua" w:cs="Arial"/>
          <w:lang w:eastAsia="zh-CN"/>
        </w:rPr>
      </w:pPr>
    </w:p>
    <w:p w14:paraId="280045FA" w14:textId="67F2B46F" w:rsidR="007F370D" w:rsidRPr="00341571" w:rsidRDefault="007F370D" w:rsidP="00341571">
      <w:pPr>
        <w:spacing w:line="360" w:lineRule="auto"/>
        <w:jc w:val="both"/>
        <w:rPr>
          <w:rFonts w:ascii="Book Antiqua" w:hAnsi="Book Antiqua" w:cs="Arial"/>
        </w:rPr>
      </w:pPr>
      <w:r w:rsidRPr="00341571">
        <w:rPr>
          <w:rFonts w:ascii="Book Antiqua" w:hAnsi="Book Antiqua"/>
          <w:b/>
        </w:rPr>
        <w:t xml:space="preserve">© </w:t>
      </w:r>
      <w:r w:rsidRPr="00341571">
        <w:rPr>
          <w:rFonts w:ascii="Book Antiqua" w:hAnsi="Book Antiqua" w:cs="Arial"/>
          <w:b/>
        </w:rPr>
        <w:t>The Author(s) 201</w:t>
      </w:r>
      <w:r w:rsidR="00DD4D70">
        <w:rPr>
          <w:rFonts w:ascii="Book Antiqua" w:eastAsia="宋体" w:hAnsi="Book Antiqua" w:cs="Arial" w:hint="eastAsia"/>
          <w:b/>
          <w:lang w:eastAsia="zh-CN"/>
        </w:rPr>
        <w:t>7</w:t>
      </w:r>
      <w:r w:rsidRPr="00341571">
        <w:rPr>
          <w:rFonts w:ascii="Book Antiqua" w:hAnsi="Book Antiqua" w:cs="Arial"/>
          <w:b/>
        </w:rPr>
        <w:t>.</w:t>
      </w:r>
      <w:r w:rsidRPr="00341571">
        <w:rPr>
          <w:rFonts w:ascii="Book Antiqua" w:hAnsi="Book Antiqua" w:cs="Arial"/>
        </w:rPr>
        <w:t xml:space="preserve"> Published by Baishideng Publishing Group Inc. All rights reserved.</w:t>
      </w:r>
    </w:p>
    <w:p w14:paraId="21DB624D" w14:textId="77777777" w:rsidR="007F370D" w:rsidRPr="00341571" w:rsidRDefault="007F370D" w:rsidP="00341571">
      <w:pPr>
        <w:spacing w:line="360" w:lineRule="auto"/>
        <w:jc w:val="both"/>
        <w:rPr>
          <w:rFonts w:ascii="Book Antiqua" w:eastAsia="宋体" w:hAnsi="Book Antiqua" w:cs="Arial"/>
          <w:lang w:eastAsia="zh-CN"/>
        </w:rPr>
      </w:pPr>
    </w:p>
    <w:p w14:paraId="1CA3CDF4" w14:textId="1ABCEB85" w:rsidR="0081780C" w:rsidRPr="00341571" w:rsidRDefault="005219E6" w:rsidP="00341571">
      <w:pPr>
        <w:spacing w:line="360" w:lineRule="auto"/>
        <w:jc w:val="both"/>
        <w:rPr>
          <w:rFonts w:ascii="Book Antiqua" w:eastAsia="Arial Unicode MS" w:hAnsi="Book Antiqua" w:cs="Arial Unicode MS"/>
          <w:b/>
          <w:lang w:eastAsia="zh-CN"/>
        </w:rPr>
      </w:pPr>
      <w:r w:rsidRPr="00341571">
        <w:rPr>
          <w:rFonts w:ascii="Book Antiqua" w:eastAsia="Arial Unicode MS" w:hAnsi="Book Antiqua" w:cs="Arial Unicode MS"/>
          <w:b/>
        </w:rPr>
        <w:t>C</w:t>
      </w:r>
      <w:r w:rsidR="007F370D" w:rsidRPr="00341571">
        <w:rPr>
          <w:rFonts w:ascii="Book Antiqua" w:eastAsia="Arial Unicode MS" w:hAnsi="Book Antiqua" w:cs="Arial Unicode MS"/>
          <w:b/>
        </w:rPr>
        <w:t>ore tip</w:t>
      </w:r>
      <w:r w:rsidR="007F370D" w:rsidRPr="00341571">
        <w:rPr>
          <w:rFonts w:ascii="Book Antiqua" w:eastAsia="Arial Unicode MS" w:hAnsi="Book Antiqua" w:cs="Arial Unicode MS"/>
          <w:b/>
          <w:lang w:eastAsia="zh-CN"/>
        </w:rPr>
        <w:t xml:space="preserve">: </w:t>
      </w:r>
      <w:r w:rsidR="003A373B" w:rsidRPr="00341571">
        <w:rPr>
          <w:rFonts w:ascii="Book Antiqua" w:eastAsia="Arial Unicode MS" w:hAnsi="Book Antiqua" w:cs="Arial Unicode MS"/>
        </w:rPr>
        <w:t>We present a retrospective review of the clinical course and treatment outcomes of patients with gastric peritoneal carcinomatosis. It carries a poor prognosis with a clinical course fraught with disease-related complications which disrupts planned systemic palliative chemotherapy in the majority of patients. Such disruptions attenuate the benefits of systemic chemotherapy and decrease overall survival. Patients with isolated peritoneal disease may as such benefit from investigational loco-regional therapies pending further studies and validation.</w:t>
      </w:r>
    </w:p>
    <w:p w14:paraId="062E7803" w14:textId="77777777" w:rsidR="007F370D" w:rsidRPr="00341571" w:rsidRDefault="007F370D" w:rsidP="00341571">
      <w:pPr>
        <w:spacing w:line="360" w:lineRule="auto"/>
        <w:jc w:val="both"/>
        <w:rPr>
          <w:rFonts w:ascii="Book Antiqua" w:eastAsia="宋体" w:hAnsi="Book Antiqua" w:cs="Arial"/>
          <w:b/>
          <w:i/>
          <w:lang w:eastAsia="zh-CN"/>
        </w:rPr>
      </w:pPr>
    </w:p>
    <w:p w14:paraId="3FBEB02E" w14:textId="728F8448" w:rsidR="007F370D" w:rsidRPr="00341571" w:rsidRDefault="007F370D" w:rsidP="00341571">
      <w:pPr>
        <w:spacing w:line="360" w:lineRule="auto"/>
        <w:jc w:val="both"/>
        <w:rPr>
          <w:rFonts w:ascii="Book Antiqua" w:eastAsia="宋体" w:hAnsi="Book Antiqua" w:cs="Arial"/>
          <w:lang w:eastAsia="zh-CN"/>
        </w:rPr>
      </w:pPr>
      <w:r w:rsidRPr="00341571">
        <w:rPr>
          <w:rFonts w:ascii="Book Antiqua" w:hAnsi="Book Antiqua" w:cs="Arial"/>
        </w:rPr>
        <w:t>Tan</w:t>
      </w:r>
      <w:r w:rsidR="00341571" w:rsidRPr="00341571">
        <w:rPr>
          <w:rFonts w:ascii="Book Antiqua" w:eastAsia="宋体" w:hAnsi="Book Antiqua" w:cs="Arial"/>
          <w:lang w:eastAsia="zh-CN"/>
        </w:rPr>
        <w:t xml:space="preserve"> HL</w:t>
      </w:r>
      <w:r w:rsidRPr="00341571">
        <w:rPr>
          <w:rFonts w:ascii="Book Antiqua" w:hAnsi="Book Antiqua" w:cs="Arial"/>
        </w:rPr>
        <w:t>, Chia</w:t>
      </w:r>
      <w:r w:rsidR="00341571" w:rsidRPr="00341571">
        <w:rPr>
          <w:rFonts w:ascii="Book Antiqua" w:eastAsia="宋体" w:hAnsi="Book Antiqua" w:cs="Arial"/>
          <w:lang w:eastAsia="zh-CN"/>
        </w:rPr>
        <w:t xml:space="preserve"> CS</w:t>
      </w:r>
      <w:r w:rsidRPr="00341571">
        <w:rPr>
          <w:rFonts w:ascii="Book Antiqua" w:hAnsi="Book Antiqua" w:cs="Arial"/>
        </w:rPr>
        <w:t>, Tan</w:t>
      </w:r>
      <w:r w:rsidR="00341571" w:rsidRPr="00341571">
        <w:rPr>
          <w:rFonts w:ascii="Book Antiqua" w:eastAsia="宋体" w:hAnsi="Book Antiqua" w:cs="Arial"/>
          <w:lang w:eastAsia="zh-CN"/>
        </w:rPr>
        <w:t xml:space="preserve"> GHC</w:t>
      </w:r>
      <w:r w:rsidRPr="00341571">
        <w:rPr>
          <w:rFonts w:ascii="Book Antiqua" w:hAnsi="Book Antiqua" w:cs="Arial"/>
        </w:rPr>
        <w:t>, Choo</w:t>
      </w:r>
      <w:r w:rsidR="00341571" w:rsidRPr="00341571">
        <w:rPr>
          <w:rFonts w:ascii="Book Antiqua" w:eastAsia="宋体" w:hAnsi="Book Antiqua" w:cs="Arial"/>
          <w:lang w:eastAsia="zh-CN"/>
        </w:rPr>
        <w:t xml:space="preserve"> SP</w:t>
      </w:r>
      <w:r w:rsidRPr="00341571">
        <w:rPr>
          <w:rFonts w:ascii="Book Antiqua" w:hAnsi="Book Antiqua" w:cs="Arial"/>
        </w:rPr>
        <w:t>, Tai</w:t>
      </w:r>
      <w:r w:rsidR="00341571" w:rsidRPr="00341571">
        <w:rPr>
          <w:rFonts w:ascii="Book Antiqua" w:eastAsia="宋体" w:hAnsi="Book Antiqua" w:cs="Arial"/>
          <w:lang w:eastAsia="zh-CN"/>
        </w:rPr>
        <w:t xml:space="preserve"> DWM</w:t>
      </w:r>
      <w:r w:rsidRPr="00341571">
        <w:rPr>
          <w:rFonts w:ascii="Book Antiqua" w:hAnsi="Book Antiqua" w:cs="Arial"/>
        </w:rPr>
        <w:t>, Chua</w:t>
      </w:r>
      <w:r w:rsidR="00341571" w:rsidRPr="00341571">
        <w:rPr>
          <w:rFonts w:ascii="Book Antiqua" w:eastAsia="宋体" w:hAnsi="Book Antiqua" w:cs="Arial"/>
          <w:lang w:eastAsia="zh-CN"/>
        </w:rPr>
        <w:t xml:space="preserve"> CWL</w:t>
      </w:r>
      <w:r w:rsidRPr="00341571">
        <w:rPr>
          <w:rFonts w:ascii="Book Antiqua" w:hAnsi="Book Antiqua" w:cs="Arial"/>
        </w:rPr>
        <w:t>, Ng</w:t>
      </w:r>
      <w:r w:rsidR="00341571" w:rsidRPr="00341571">
        <w:rPr>
          <w:rFonts w:ascii="Book Antiqua" w:eastAsia="宋体" w:hAnsi="Book Antiqua" w:cs="Arial"/>
          <w:lang w:eastAsia="zh-CN"/>
        </w:rPr>
        <w:t xml:space="preserve"> MCH</w:t>
      </w:r>
      <w:r w:rsidRPr="00341571">
        <w:rPr>
          <w:rFonts w:ascii="Book Antiqua" w:hAnsi="Book Antiqua" w:cs="Arial"/>
        </w:rPr>
        <w:t>, Soo</w:t>
      </w:r>
      <w:r w:rsidR="00341571" w:rsidRPr="00341571">
        <w:rPr>
          <w:rFonts w:ascii="Book Antiqua" w:eastAsia="宋体" w:hAnsi="Book Antiqua" w:cs="Arial"/>
          <w:lang w:eastAsia="zh-CN"/>
        </w:rPr>
        <w:t xml:space="preserve"> KC</w:t>
      </w:r>
      <w:r w:rsidRPr="00341571">
        <w:rPr>
          <w:rFonts w:ascii="Book Antiqua" w:hAnsi="Book Antiqua" w:cs="Arial"/>
        </w:rPr>
        <w:t>, Teo</w:t>
      </w:r>
      <w:r w:rsidR="00341571" w:rsidRPr="00341571">
        <w:rPr>
          <w:rFonts w:ascii="Book Antiqua" w:eastAsia="宋体" w:hAnsi="Book Antiqua" w:cs="Arial"/>
          <w:lang w:eastAsia="zh-CN"/>
        </w:rPr>
        <w:t xml:space="preserve"> MCC.</w:t>
      </w:r>
      <w:r w:rsidR="00341571" w:rsidRPr="00341571">
        <w:rPr>
          <w:rFonts w:ascii="Book Antiqua" w:hAnsi="Book Antiqua" w:cs="Arial"/>
        </w:rPr>
        <w:t xml:space="preserve"> Gastric peritoneal carcinomatosis </w:t>
      </w:r>
      <w:r w:rsidR="00341571" w:rsidRPr="00341571">
        <w:rPr>
          <w:rFonts w:ascii="Book Antiqua" w:eastAsia="宋体" w:hAnsi="Book Antiqua" w:cs="Arial"/>
          <w:lang w:eastAsia="zh-CN"/>
        </w:rPr>
        <w:t>-</w:t>
      </w:r>
      <w:r w:rsidR="00341571" w:rsidRPr="00341571">
        <w:rPr>
          <w:rFonts w:ascii="Book Antiqua" w:hAnsi="Book Antiqua" w:cs="Arial"/>
        </w:rPr>
        <w:t xml:space="preserve"> a retrospective review</w:t>
      </w:r>
      <w:r w:rsidR="00341571" w:rsidRPr="00341571">
        <w:rPr>
          <w:rFonts w:ascii="Book Antiqua" w:eastAsia="宋体" w:hAnsi="Book Antiqua" w:cs="Arial"/>
          <w:lang w:eastAsia="zh-CN"/>
        </w:rPr>
        <w:t>.</w:t>
      </w:r>
      <w:r w:rsidR="00341571" w:rsidRPr="00341571">
        <w:rPr>
          <w:rFonts w:ascii="Book Antiqua" w:hAnsi="Book Antiqua"/>
          <w:i/>
          <w:iCs/>
        </w:rPr>
        <w:t xml:space="preserve"> World J Gastrointest Oncol</w:t>
      </w:r>
      <w:r w:rsidR="00341571" w:rsidRPr="00341571">
        <w:rPr>
          <w:rFonts w:ascii="Book Antiqua" w:eastAsia="宋体" w:hAnsi="Book Antiqua"/>
          <w:i/>
          <w:iCs/>
          <w:lang w:eastAsia="zh-CN"/>
        </w:rPr>
        <w:t xml:space="preserve"> </w:t>
      </w:r>
      <w:r w:rsidR="00341571" w:rsidRPr="00341571">
        <w:rPr>
          <w:rFonts w:ascii="Book Antiqua" w:eastAsia="宋体" w:hAnsi="Book Antiqua"/>
          <w:iCs/>
          <w:lang w:eastAsia="zh-CN"/>
        </w:rPr>
        <w:t>201</w:t>
      </w:r>
      <w:r w:rsidR="00DD4D70">
        <w:rPr>
          <w:rFonts w:ascii="Book Antiqua" w:eastAsia="宋体" w:hAnsi="Book Antiqua" w:hint="eastAsia"/>
          <w:iCs/>
          <w:lang w:eastAsia="zh-CN"/>
        </w:rPr>
        <w:t>7</w:t>
      </w:r>
      <w:bookmarkStart w:id="0" w:name="_GoBack"/>
      <w:bookmarkEnd w:id="0"/>
      <w:r w:rsidR="00341571" w:rsidRPr="00341571">
        <w:rPr>
          <w:rFonts w:ascii="Book Antiqua" w:eastAsia="宋体" w:hAnsi="Book Antiqua"/>
          <w:iCs/>
          <w:lang w:eastAsia="zh-CN"/>
        </w:rPr>
        <w:t>; In press</w:t>
      </w:r>
    </w:p>
    <w:p w14:paraId="1B906B59" w14:textId="77777777" w:rsidR="00341571" w:rsidRPr="00341571" w:rsidRDefault="00341571" w:rsidP="00341571">
      <w:pPr>
        <w:spacing w:line="360" w:lineRule="auto"/>
        <w:jc w:val="both"/>
        <w:rPr>
          <w:rFonts w:ascii="Book Antiqua" w:hAnsi="Book Antiqua" w:cs="Arial"/>
          <w:b/>
        </w:rPr>
      </w:pPr>
      <w:r w:rsidRPr="00341571">
        <w:rPr>
          <w:rFonts w:ascii="Book Antiqua" w:hAnsi="Book Antiqua" w:cs="Arial"/>
          <w:b/>
        </w:rPr>
        <w:br w:type="page"/>
      </w:r>
    </w:p>
    <w:p w14:paraId="2F116F07" w14:textId="478A3141" w:rsidR="00174455" w:rsidRPr="00341571" w:rsidRDefault="00341571" w:rsidP="00341571">
      <w:pPr>
        <w:spacing w:line="360" w:lineRule="auto"/>
        <w:jc w:val="both"/>
        <w:rPr>
          <w:rFonts w:ascii="Book Antiqua" w:hAnsi="Book Antiqua" w:cs="Arial"/>
          <w:b/>
        </w:rPr>
      </w:pPr>
      <w:r w:rsidRPr="00341571">
        <w:rPr>
          <w:rFonts w:ascii="Book Antiqua" w:hAnsi="Book Antiqua" w:cs="Arial"/>
          <w:b/>
        </w:rPr>
        <w:lastRenderedPageBreak/>
        <w:t>INTRODUCTION</w:t>
      </w:r>
    </w:p>
    <w:p w14:paraId="4ADD1CE9" w14:textId="18139444" w:rsidR="00174455" w:rsidRPr="00341571" w:rsidRDefault="00C969FA" w:rsidP="00341571">
      <w:pPr>
        <w:spacing w:line="360" w:lineRule="auto"/>
        <w:jc w:val="both"/>
        <w:rPr>
          <w:rFonts w:ascii="Book Antiqua" w:hAnsi="Book Antiqua" w:cs="Arial"/>
        </w:rPr>
      </w:pPr>
      <w:r w:rsidRPr="00341571">
        <w:rPr>
          <w:rFonts w:ascii="Book Antiqua" w:hAnsi="Book Antiqua" w:cs="Arial"/>
        </w:rPr>
        <w:t xml:space="preserve">Gastric cancer </w:t>
      </w:r>
      <w:r w:rsidR="00A7280A" w:rsidRPr="00341571">
        <w:rPr>
          <w:rFonts w:ascii="Book Antiqua" w:hAnsi="Book Antiqua" w:cs="Arial"/>
        </w:rPr>
        <w:t>is the fif</w:t>
      </w:r>
      <w:r w:rsidR="00BD50A6" w:rsidRPr="00341571">
        <w:rPr>
          <w:rFonts w:ascii="Book Antiqua" w:hAnsi="Book Antiqua" w:cs="Arial"/>
        </w:rPr>
        <w:t>th most co</w:t>
      </w:r>
      <w:r w:rsidR="005E04C2" w:rsidRPr="00341571">
        <w:rPr>
          <w:rFonts w:ascii="Book Antiqua" w:hAnsi="Book Antiqua" w:cs="Arial"/>
        </w:rPr>
        <w:t>mmon cancer across the world, accounting</w:t>
      </w:r>
      <w:r w:rsidR="00BD50A6" w:rsidRPr="00341571">
        <w:rPr>
          <w:rFonts w:ascii="Book Antiqua" w:hAnsi="Book Antiqua" w:cs="Arial"/>
        </w:rPr>
        <w:t xml:space="preserve"> for 7</w:t>
      </w:r>
      <w:r w:rsidR="00A7280A" w:rsidRPr="00341571">
        <w:rPr>
          <w:rFonts w:ascii="Book Antiqua" w:hAnsi="Book Antiqua" w:cs="Arial"/>
        </w:rPr>
        <w:t>23</w:t>
      </w:r>
      <w:r w:rsidR="00BD50A6" w:rsidRPr="00341571">
        <w:rPr>
          <w:rFonts w:ascii="Book Antiqua" w:hAnsi="Book Antiqua" w:cs="Arial"/>
        </w:rPr>
        <w:t xml:space="preserve">000 deaths per year, the </w:t>
      </w:r>
      <w:r w:rsidR="00A7280A" w:rsidRPr="00341571">
        <w:rPr>
          <w:rFonts w:ascii="Book Antiqua" w:hAnsi="Book Antiqua" w:cs="Arial"/>
        </w:rPr>
        <w:t xml:space="preserve">third </w:t>
      </w:r>
      <w:r w:rsidR="00BD50A6" w:rsidRPr="00341571">
        <w:rPr>
          <w:rFonts w:ascii="Book Antiqua" w:hAnsi="Book Antiqua" w:cs="Arial"/>
        </w:rPr>
        <w:t>most frequent cause of cancer-related deaths</w:t>
      </w:r>
      <w:r w:rsidR="00341571" w:rsidRPr="00341571">
        <w:rPr>
          <w:rFonts w:ascii="Book Antiqua" w:hAnsi="Book Antiqua" w:cs="Arial"/>
          <w:vertAlign w:val="superscript"/>
        </w:rPr>
        <w:t>[1-3]</w:t>
      </w:r>
      <w:r w:rsidR="00BD50A6" w:rsidRPr="00341571">
        <w:rPr>
          <w:rFonts w:ascii="Book Antiqua" w:hAnsi="Book Antiqua" w:cs="Arial"/>
        </w:rPr>
        <w:t>.</w:t>
      </w:r>
      <w:r w:rsidR="00551386" w:rsidRPr="00341571">
        <w:rPr>
          <w:rFonts w:ascii="Book Antiqua" w:hAnsi="Book Antiqua" w:cs="Arial"/>
        </w:rPr>
        <w:t xml:space="preserve"> In Singapore, gastric cancer ranks as the seventh and ninth most common cancers</w:t>
      </w:r>
      <w:r w:rsidR="007661DF" w:rsidRPr="00341571">
        <w:rPr>
          <w:rFonts w:ascii="Book Antiqua" w:hAnsi="Book Antiqua" w:cs="Arial"/>
        </w:rPr>
        <w:t>, but accounts for the fourth and fifth most frequent cancer deaths</w:t>
      </w:r>
      <w:r w:rsidR="00551386" w:rsidRPr="00341571">
        <w:rPr>
          <w:rFonts w:ascii="Book Antiqua" w:hAnsi="Book Antiqua" w:cs="Arial"/>
        </w:rPr>
        <w:t xml:space="preserve"> amongst</w:t>
      </w:r>
      <w:r w:rsidR="007661DF" w:rsidRPr="00341571">
        <w:rPr>
          <w:rFonts w:ascii="Book Antiqua" w:hAnsi="Book Antiqua" w:cs="Arial"/>
        </w:rPr>
        <w:t xml:space="preserve"> males and females respectively</w:t>
      </w:r>
      <w:r w:rsidR="00341571" w:rsidRPr="00341571">
        <w:rPr>
          <w:rFonts w:ascii="Book Antiqua" w:hAnsi="Book Antiqua" w:cs="Arial"/>
          <w:vertAlign w:val="superscript"/>
        </w:rPr>
        <w:t>[4]</w:t>
      </w:r>
      <w:r w:rsidR="00551386" w:rsidRPr="00341571">
        <w:rPr>
          <w:rFonts w:ascii="Book Antiqua" w:hAnsi="Book Antiqua" w:cs="Arial"/>
        </w:rPr>
        <w:t>.</w:t>
      </w:r>
      <w:r w:rsidR="003A373B" w:rsidRPr="00341571">
        <w:rPr>
          <w:rFonts w:ascii="Book Antiqua" w:hAnsi="Book Antiqua" w:cs="Arial"/>
          <w:vertAlign w:val="superscript"/>
        </w:rPr>
        <w:t xml:space="preserve"> </w:t>
      </w:r>
      <w:r w:rsidR="004F43B6" w:rsidRPr="00341571">
        <w:rPr>
          <w:rFonts w:ascii="Book Antiqua" w:hAnsi="Book Antiqua" w:cs="Arial"/>
        </w:rPr>
        <w:t xml:space="preserve">The poor prognosis of gastric cancer has in part been attributed to </w:t>
      </w:r>
      <w:r w:rsidR="00D01A3C" w:rsidRPr="00341571">
        <w:rPr>
          <w:rFonts w:ascii="Book Antiqua" w:hAnsi="Book Antiqua" w:cs="Arial"/>
        </w:rPr>
        <w:t xml:space="preserve">the high incidence of advanced disease at presentation, with up to </w:t>
      </w:r>
      <w:r w:rsidR="00097993" w:rsidRPr="00341571">
        <w:rPr>
          <w:rFonts w:ascii="Book Antiqua" w:hAnsi="Book Antiqua" w:cs="Arial"/>
        </w:rPr>
        <w:t>39% harbo</w:t>
      </w:r>
      <w:r w:rsidR="00DC4D2E" w:rsidRPr="00341571">
        <w:rPr>
          <w:rFonts w:ascii="Book Antiqua" w:hAnsi="Book Antiqua" w:cs="Arial"/>
        </w:rPr>
        <w:t>ring disseminated disease at diagnosis</w:t>
      </w:r>
      <w:r w:rsidR="00341571" w:rsidRPr="00341571">
        <w:rPr>
          <w:rFonts w:ascii="Book Antiqua" w:hAnsi="Book Antiqua" w:cs="Arial"/>
          <w:vertAlign w:val="superscript"/>
        </w:rPr>
        <w:t>[5]</w:t>
      </w:r>
      <w:r w:rsidR="00DC4D2E" w:rsidRPr="00341571">
        <w:rPr>
          <w:rFonts w:ascii="Book Antiqua" w:hAnsi="Book Antiqua" w:cs="Arial"/>
        </w:rPr>
        <w:t>.</w:t>
      </w:r>
      <w:r w:rsidR="003A373B" w:rsidRPr="00341571">
        <w:rPr>
          <w:rFonts w:ascii="Book Antiqua" w:hAnsi="Book Antiqua" w:cs="Arial"/>
          <w:vertAlign w:val="superscript"/>
        </w:rPr>
        <w:t xml:space="preserve"> </w:t>
      </w:r>
      <w:r w:rsidR="00DC4D2E" w:rsidRPr="00341571">
        <w:rPr>
          <w:rFonts w:ascii="Book Antiqua" w:hAnsi="Book Antiqua" w:cs="Arial"/>
        </w:rPr>
        <w:t>Metastatic gastric cancer carries a grim prognosis with a median ove</w:t>
      </w:r>
      <w:r w:rsidR="00097993" w:rsidRPr="00341571">
        <w:rPr>
          <w:rFonts w:ascii="Book Antiqua" w:hAnsi="Book Antiqua" w:cs="Arial"/>
        </w:rPr>
        <w:t>rall survival of approximately four</w:t>
      </w:r>
      <w:r w:rsidR="00DC4D2E" w:rsidRPr="00341571">
        <w:rPr>
          <w:rFonts w:ascii="Book Antiqua" w:hAnsi="Book Antiqua" w:cs="Arial"/>
        </w:rPr>
        <w:t xml:space="preserve"> months</w:t>
      </w:r>
      <w:r w:rsidR="00097993" w:rsidRPr="00341571">
        <w:rPr>
          <w:rFonts w:ascii="Book Antiqua" w:hAnsi="Book Antiqua" w:cs="Arial"/>
        </w:rPr>
        <w:t xml:space="preserve"> and five</w:t>
      </w:r>
      <w:r w:rsidR="00DD2631" w:rsidRPr="00341571">
        <w:rPr>
          <w:rFonts w:ascii="Book Antiqua" w:hAnsi="Book Antiqua" w:cs="Arial"/>
        </w:rPr>
        <w:t>-year survival rates of 3</w:t>
      </w:r>
      <w:r w:rsidR="00341571">
        <w:rPr>
          <w:rFonts w:ascii="Book Antiqua" w:eastAsia="宋体" w:hAnsi="Book Antiqua" w:cs="Arial" w:hint="eastAsia"/>
          <w:lang w:eastAsia="zh-CN"/>
        </w:rPr>
        <w:t>%</w:t>
      </w:r>
      <w:r w:rsidR="00DD2631" w:rsidRPr="00341571">
        <w:rPr>
          <w:rFonts w:ascii="Book Antiqua" w:hAnsi="Book Antiqua" w:cs="Arial"/>
        </w:rPr>
        <w:t>-</w:t>
      </w:r>
      <w:r w:rsidR="00DC4D2E" w:rsidRPr="00341571">
        <w:rPr>
          <w:rFonts w:ascii="Book Antiqua" w:hAnsi="Book Antiqua" w:cs="Arial"/>
        </w:rPr>
        <w:t>6%</w:t>
      </w:r>
      <w:r w:rsidR="00341571" w:rsidRPr="00341571">
        <w:rPr>
          <w:rFonts w:ascii="Book Antiqua" w:hAnsi="Book Antiqua" w:cs="Arial"/>
          <w:vertAlign w:val="superscript"/>
        </w:rPr>
        <w:t>[1,6,</w:t>
      </w:r>
      <w:r w:rsidR="00341571">
        <w:rPr>
          <w:rFonts w:ascii="Book Antiqua" w:eastAsia="宋体" w:hAnsi="Book Antiqua" w:cs="Arial" w:hint="eastAsia"/>
          <w:vertAlign w:val="superscript"/>
          <w:lang w:eastAsia="zh-CN"/>
        </w:rPr>
        <w:t>7</w:t>
      </w:r>
      <w:r w:rsidR="00341571" w:rsidRPr="00341571">
        <w:rPr>
          <w:rFonts w:ascii="Book Antiqua" w:hAnsi="Book Antiqua" w:cs="Arial"/>
          <w:vertAlign w:val="superscript"/>
        </w:rPr>
        <w:t>]</w:t>
      </w:r>
      <w:r w:rsidR="00DC4D2E" w:rsidRPr="00341571">
        <w:rPr>
          <w:rFonts w:ascii="Book Antiqua" w:hAnsi="Book Antiqua" w:cs="Arial"/>
        </w:rPr>
        <w:t xml:space="preserve">. </w:t>
      </w:r>
      <w:r w:rsidR="001C4253" w:rsidRPr="00341571">
        <w:rPr>
          <w:rFonts w:ascii="Book Antiqua" w:hAnsi="Book Antiqua" w:cs="Arial"/>
        </w:rPr>
        <w:t>Although p</w:t>
      </w:r>
      <w:r w:rsidR="00DC4D2E" w:rsidRPr="00341571">
        <w:rPr>
          <w:rFonts w:ascii="Book Antiqua" w:hAnsi="Book Antiqua" w:cs="Arial"/>
        </w:rPr>
        <w:t>alliative</w:t>
      </w:r>
      <w:r w:rsidR="001C4253" w:rsidRPr="00341571">
        <w:rPr>
          <w:rFonts w:ascii="Book Antiqua" w:hAnsi="Book Antiqua" w:cs="Arial"/>
        </w:rPr>
        <w:t xml:space="preserve"> systemic</w:t>
      </w:r>
      <w:r w:rsidR="00DC4D2E" w:rsidRPr="00341571">
        <w:rPr>
          <w:rFonts w:ascii="Book Antiqua" w:hAnsi="Book Antiqua" w:cs="Arial"/>
        </w:rPr>
        <w:t xml:space="preserve"> chemotherapy has been demonstrated in numerous trials to improve survival</w:t>
      </w:r>
      <w:r w:rsidR="001C4253" w:rsidRPr="00341571">
        <w:rPr>
          <w:rFonts w:ascii="Book Antiqua" w:hAnsi="Book Antiqua" w:cs="Arial"/>
        </w:rPr>
        <w:t xml:space="preserve"> amongst patients with metastatic gastric cance</w:t>
      </w:r>
      <w:r w:rsidR="00341571">
        <w:rPr>
          <w:rFonts w:ascii="Book Antiqua" w:hAnsi="Book Antiqua" w:cs="Arial"/>
        </w:rPr>
        <w:t>r to a median of 7.5-12.3 mo</w:t>
      </w:r>
      <w:r w:rsidR="00341571" w:rsidRPr="00341571">
        <w:rPr>
          <w:rFonts w:ascii="Book Antiqua" w:hAnsi="Book Antiqua" w:cs="Arial"/>
          <w:vertAlign w:val="superscript"/>
        </w:rPr>
        <w:t>[8-11]</w:t>
      </w:r>
      <w:r w:rsidR="0015728A" w:rsidRPr="00341571">
        <w:rPr>
          <w:rFonts w:ascii="Book Antiqua" w:hAnsi="Book Antiqua" w:cs="Arial"/>
        </w:rPr>
        <w:t>,</w:t>
      </w:r>
      <w:r w:rsidR="003A373B" w:rsidRPr="00341571">
        <w:rPr>
          <w:rFonts w:ascii="Book Antiqua" w:hAnsi="Book Antiqua" w:cs="Arial"/>
          <w:vertAlign w:val="superscript"/>
        </w:rPr>
        <w:t xml:space="preserve"> </w:t>
      </w:r>
      <w:r w:rsidR="0015728A" w:rsidRPr="00341571">
        <w:rPr>
          <w:rFonts w:ascii="Book Antiqua" w:hAnsi="Book Antiqua" w:cs="Arial"/>
        </w:rPr>
        <w:t>whether such a benefit accrues</w:t>
      </w:r>
      <w:r w:rsidR="00DC3D4A" w:rsidRPr="00341571">
        <w:rPr>
          <w:rFonts w:ascii="Book Antiqua" w:hAnsi="Book Antiqua" w:cs="Arial"/>
        </w:rPr>
        <w:t xml:space="preserve"> equally</w:t>
      </w:r>
      <w:r w:rsidR="0015728A" w:rsidRPr="00341571">
        <w:rPr>
          <w:rFonts w:ascii="Book Antiqua" w:hAnsi="Book Antiqua" w:cs="Arial"/>
        </w:rPr>
        <w:t xml:space="preserve"> to all sites of gastric cancer metastases is unclear.</w:t>
      </w:r>
    </w:p>
    <w:p w14:paraId="4431E68C" w14:textId="7C6FFB90" w:rsidR="0015728A" w:rsidRPr="00341571" w:rsidRDefault="0015728A" w:rsidP="00341571">
      <w:pPr>
        <w:spacing w:line="360" w:lineRule="auto"/>
        <w:ind w:firstLineChars="100" w:firstLine="240"/>
        <w:jc w:val="both"/>
        <w:rPr>
          <w:rFonts w:ascii="Book Antiqua" w:hAnsi="Book Antiqua" w:cs="Arial"/>
        </w:rPr>
      </w:pPr>
      <w:r w:rsidRPr="00341571">
        <w:rPr>
          <w:rFonts w:ascii="Book Antiqua" w:hAnsi="Book Antiqua" w:cs="Arial"/>
        </w:rPr>
        <w:t>Peritoneal carcinomatosis</w:t>
      </w:r>
      <w:r w:rsidR="00A7280A" w:rsidRPr="00341571">
        <w:rPr>
          <w:rFonts w:ascii="Book Antiqua" w:hAnsi="Book Antiqua" w:cs="Arial"/>
        </w:rPr>
        <w:t xml:space="preserve"> </w:t>
      </w:r>
      <w:r w:rsidR="00B568F2">
        <w:rPr>
          <w:rFonts w:ascii="Book Antiqua" w:eastAsia="宋体" w:hAnsi="Book Antiqua" w:cs="Arial" w:hint="eastAsia"/>
          <w:lang w:eastAsia="zh-CN"/>
        </w:rPr>
        <w:t>(</w:t>
      </w:r>
      <w:r w:rsidR="00B568F2" w:rsidRPr="00341571">
        <w:rPr>
          <w:rFonts w:ascii="Book Antiqua" w:hAnsi="Book Antiqua"/>
        </w:rPr>
        <w:t>PC</w:t>
      </w:r>
      <w:r w:rsidR="00B568F2">
        <w:rPr>
          <w:rFonts w:ascii="Book Antiqua" w:eastAsia="宋体" w:hAnsi="Book Antiqua" w:hint="eastAsia"/>
          <w:lang w:eastAsia="zh-CN"/>
        </w:rPr>
        <w:t>)</w:t>
      </w:r>
      <w:r w:rsidR="00B568F2" w:rsidRPr="00341571">
        <w:rPr>
          <w:rFonts w:ascii="Book Antiqua" w:hAnsi="Book Antiqua" w:cs="Arial"/>
        </w:rPr>
        <w:t xml:space="preserve"> </w:t>
      </w:r>
      <w:r w:rsidR="00A7280A" w:rsidRPr="00341571">
        <w:rPr>
          <w:rFonts w:ascii="Book Antiqua" w:hAnsi="Book Antiqua" w:cs="Arial"/>
        </w:rPr>
        <w:t>is recognized as an independent poor prognostic factor and</w:t>
      </w:r>
      <w:r w:rsidRPr="00341571">
        <w:rPr>
          <w:rFonts w:ascii="Book Antiqua" w:hAnsi="Book Antiqua" w:cs="Arial"/>
        </w:rPr>
        <w:t xml:space="preserve"> is known to have a penchant for causing a wide range of troubling clinical symptoms </w:t>
      </w:r>
      <w:r w:rsidR="0054406E" w:rsidRPr="00341571">
        <w:rPr>
          <w:rFonts w:ascii="Book Antiqua" w:hAnsi="Book Antiqua" w:cs="Arial"/>
        </w:rPr>
        <w:t xml:space="preserve">including </w:t>
      </w:r>
      <w:r w:rsidRPr="00341571">
        <w:rPr>
          <w:rFonts w:ascii="Book Antiqua" w:hAnsi="Book Antiqua" w:cs="Arial"/>
        </w:rPr>
        <w:t>symptomatic ascites</w:t>
      </w:r>
      <w:r w:rsidR="0054406E" w:rsidRPr="00341571">
        <w:rPr>
          <w:rFonts w:ascii="Book Antiqua" w:hAnsi="Book Antiqua" w:cs="Arial"/>
        </w:rPr>
        <w:t xml:space="preserve">, </w:t>
      </w:r>
      <w:r w:rsidR="00AB61E8" w:rsidRPr="00341571">
        <w:rPr>
          <w:rFonts w:ascii="Book Antiqua" w:hAnsi="Book Antiqua" w:cs="Arial"/>
        </w:rPr>
        <w:t>intestinal obstruction</w:t>
      </w:r>
      <w:r w:rsidR="0054406E" w:rsidRPr="00341571">
        <w:rPr>
          <w:rFonts w:ascii="Book Antiqua" w:hAnsi="Book Antiqua" w:cs="Arial"/>
        </w:rPr>
        <w:t>,</w:t>
      </w:r>
      <w:r w:rsidR="00AB61E8" w:rsidRPr="00341571">
        <w:rPr>
          <w:rFonts w:ascii="Book Antiqua" w:hAnsi="Book Antiqua" w:cs="Arial"/>
        </w:rPr>
        <w:t xml:space="preserve"> perforation </w:t>
      </w:r>
      <w:r w:rsidR="0054406E" w:rsidRPr="00341571">
        <w:rPr>
          <w:rFonts w:ascii="Book Antiqua" w:hAnsi="Book Antiqua" w:cs="Arial"/>
        </w:rPr>
        <w:t xml:space="preserve">and </w:t>
      </w:r>
      <w:r w:rsidRPr="00341571">
        <w:rPr>
          <w:rFonts w:ascii="Book Antiqua" w:hAnsi="Book Antiqua" w:cs="Arial"/>
        </w:rPr>
        <w:t>obstructive uropathy</w:t>
      </w:r>
      <w:r w:rsidR="00341571" w:rsidRPr="00341571">
        <w:rPr>
          <w:rFonts w:ascii="Book Antiqua" w:hAnsi="Book Antiqua" w:cs="Arial"/>
          <w:vertAlign w:val="superscript"/>
        </w:rPr>
        <w:t>[12]</w:t>
      </w:r>
      <w:r w:rsidRPr="00341571">
        <w:rPr>
          <w:rFonts w:ascii="Book Antiqua" w:hAnsi="Book Antiqua" w:cs="Arial"/>
        </w:rPr>
        <w:t>.</w:t>
      </w:r>
      <w:r w:rsidR="003A373B" w:rsidRPr="00341571">
        <w:rPr>
          <w:rFonts w:ascii="Book Antiqua" w:hAnsi="Book Antiqua" w:cs="Arial"/>
          <w:vertAlign w:val="superscript"/>
        </w:rPr>
        <w:t xml:space="preserve"> </w:t>
      </w:r>
      <w:r w:rsidRPr="00341571">
        <w:rPr>
          <w:rFonts w:ascii="Book Antiqua" w:hAnsi="Book Antiqua" w:cs="Arial"/>
        </w:rPr>
        <w:t>This can result in repeated hospitalization</w:t>
      </w:r>
      <w:r w:rsidR="00AB61E8" w:rsidRPr="00341571">
        <w:rPr>
          <w:rFonts w:ascii="Book Antiqua" w:hAnsi="Book Antiqua" w:cs="Arial"/>
        </w:rPr>
        <w:t xml:space="preserve">s, </w:t>
      </w:r>
      <w:r w:rsidR="0054406E" w:rsidRPr="00341571">
        <w:rPr>
          <w:rFonts w:ascii="Book Antiqua" w:hAnsi="Book Antiqua" w:cs="Arial"/>
        </w:rPr>
        <w:t xml:space="preserve">therapeutic </w:t>
      </w:r>
      <w:r w:rsidR="00AB61E8" w:rsidRPr="00341571">
        <w:rPr>
          <w:rFonts w:ascii="Book Antiqua" w:hAnsi="Book Antiqua" w:cs="Arial"/>
        </w:rPr>
        <w:t>interventions</w:t>
      </w:r>
      <w:r w:rsidR="00ED073C" w:rsidRPr="00341571">
        <w:rPr>
          <w:rFonts w:ascii="Book Antiqua" w:hAnsi="Book Antiqua" w:cs="Arial"/>
        </w:rPr>
        <w:t xml:space="preserve"> and rapid deterioration of a patient’s</w:t>
      </w:r>
      <w:r w:rsidRPr="00341571">
        <w:rPr>
          <w:rFonts w:ascii="Book Antiqua" w:hAnsi="Book Antiqua" w:cs="Arial"/>
        </w:rPr>
        <w:t xml:space="preserve"> performance status, which may serve to interrupt and prematurely terminate any planned palliative systemic chemotherapy regime </w:t>
      </w:r>
      <w:r w:rsidR="00ED073C" w:rsidRPr="00341571">
        <w:rPr>
          <w:rFonts w:ascii="Book Antiqua" w:hAnsi="Book Antiqua" w:cs="Arial"/>
        </w:rPr>
        <w:t>a patient might</w:t>
      </w:r>
      <w:r w:rsidRPr="00341571">
        <w:rPr>
          <w:rFonts w:ascii="Book Antiqua" w:hAnsi="Book Antiqua" w:cs="Arial"/>
        </w:rPr>
        <w:t xml:space="preserve"> be on.</w:t>
      </w:r>
      <w:r w:rsidR="00ED073C" w:rsidRPr="00341571">
        <w:rPr>
          <w:rFonts w:ascii="Book Antiqua" w:hAnsi="Book Antiqua" w:cs="Arial"/>
        </w:rPr>
        <w:t xml:space="preserve"> There is a paucity of literature on the characteristics of patients with gastric </w:t>
      </w:r>
      <w:r w:rsidR="00B568F2" w:rsidRPr="00341571">
        <w:rPr>
          <w:rFonts w:ascii="Book Antiqua" w:hAnsi="Book Antiqua"/>
        </w:rPr>
        <w:t>PC</w:t>
      </w:r>
      <w:r w:rsidR="00341571" w:rsidRPr="00341571">
        <w:rPr>
          <w:rFonts w:ascii="Book Antiqua" w:hAnsi="Book Antiqua" w:cs="Arial"/>
          <w:vertAlign w:val="superscript"/>
        </w:rPr>
        <w:t>[5]</w:t>
      </w:r>
      <w:r w:rsidR="00DC3D4A" w:rsidRPr="00341571">
        <w:rPr>
          <w:rFonts w:ascii="Book Antiqua" w:hAnsi="Book Antiqua" w:cs="Arial"/>
        </w:rPr>
        <w:t>,</w:t>
      </w:r>
      <w:r w:rsidR="003A373B" w:rsidRPr="00341571">
        <w:rPr>
          <w:rFonts w:ascii="Book Antiqua" w:hAnsi="Book Antiqua" w:cs="Arial"/>
          <w:vertAlign w:val="superscript"/>
        </w:rPr>
        <w:t xml:space="preserve"> </w:t>
      </w:r>
      <w:r w:rsidR="00DC3D4A" w:rsidRPr="00341571">
        <w:rPr>
          <w:rFonts w:ascii="Book Antiqua" w:hAnsi="Book Antiqua" w:cs="Arial"/>
        </w:rPr>
        <w:t>with virtually no studies examining the clinical and treatment course of these patients. The advent of studies examining the role of cytoreductive surgery</w:t>
      </w:r>
      <w:r w:rsidR="00D92683" w:rsidRPr="00341571">
        <w:rPr>
          <w:rFonts w:ascii="Book Antiqua" w:hAnsi="Book Antiqua" w:cs="Arial"/>
        </w:rPr>
        <w:t xml:space="preserve"> (CRS)</w:t>
      </w:r>
      <w:r w:rsidR="00DC3D4A" w:rsidRPr="00341571">
        <w:rPr>
          <w:rFonts w:ascii="Book Antiqua" w:hAnsi="Book Antiqua" w:cs="Arial"/>
        </w:rPr>
        <w:t xml:space="preserve"> and </w:t>
      </w:r>
      <w:r w:rsidR="00D92683" w:rsidRPr="00341571">
        <w:rPr>
          <w:rFonts w:ascii="Book Antiqua" w:hAnsi="Book Antiqua" w:cs="Arial"/>
        </w:rPr>
        <w:t xml:space="preserve">hyperthermic </w:t>
      </w:r>
      <w:r w:rsidR="00DC3D4A" w:rsidRPr="00341571">
        <w:rPr>
          <w:rFonts w:ascii="Book Antiqua" w:hAnsi="Book Antiqua" w:cs="Arial"/>
        </w:rPr>
        <w:t>intraperitoneal chemotherapy</w:t>
      </w:r>
      <w:r w:rsidR="00D92683" w:rsidRPr="00341571">
        <w:rPr>
          <w:rFonts w:ascii="Book Antiqua" w:hAnsi="Book Antiqua" w:cs="Arial"/>
        </w:rPr>
        <w:t xml:space="preserve"> (HIPEC)</w:t>
      </w:r>
      <w:r w:rsidR="00DC3D4A" w:rsidRPr="00341571">
        <w:rPr>
          <w:rFonts w:ascii="Book Antiqua" w:hAnsi="Book Antiqua" w:cs="Arial"/>
        </w:rPr>
        <w:t xml:space="preserve"> for the treatment of gastric </w:t>
      </w:r>
      <w:r w:rsidR="00B568F2" w:rsidRPr="00341571">
        <w:rPr>
          <w:rFonts w:ascii="Book Antiqua" w:hAnsi="Book Antiqua"/>
        </w:rPr>
        <w:t>PC</w:t>
      </w:r>
      <w:r w:rsidR="00DC3D4A" w:rsidRPr="00341571">
        <w:rPr>
          <w:rFonts w:ascii="Book Antiqua" w:hAnsi="Book Antiqua" w:cs="Arial"/>
        </w:rPr>
        <w:t xml:space="preserve"> was borne from the concept of peritoneal metastases being a loco-regional disease extension rather than a true systemic dissemination of gastric cancer</w:t>
      </w:r>
      <w:r w:rsidR="00341571" w:rsidRPr="00341571">
        <w:rPr>
          <w:rFonts w:ascii="Book Antiqua" w:hAnsi="Book Antiqua" w:cs="Arial"/>
          <w:vertAlign w:val="superscript"/>
        </w:rPr>
        <w:t>[13-18]</w:t>
      </w:r>
      <w:r w:rsidR="00DC3D4A" w:rsidRPr="00341571">
        <w:rPr>
          <w:rFonts w:ascii="Book Antiqua" w:hAnsi="Book Antiqua" w:cs="Arial"/>
        </w:rPr>
        <w:t>.</w:t>
      </w:r>
      <w:r w:rsidR="003A373B" w:rsidRPr="00341571">
        <w:rPr>
          <w:rFonts w:ascii="Book Antiqua" w:hAnsi="Book Antiqua" w:cs="Arial"/>
          <w:vertAlign w:val="superscript"/>
        </w:rPr>
        <w:t xml:space="preserve"> </w:t>
      </w:r>
      <w:r w:rsidR="00DC3D4A" w:rsidRPr="00341571">
        <w:rPr>
          <w:rFonts w:ascii="Book Antiqua" w:hAnsi="Book Antiqua" w:cs="Arial"/>
        </w:rPr>
        <w:t xml:space="preserve">Should patients with gastric </w:t>
      </w:r>
      <w:r w:rsidR="00B568F2" w:rsidRPr="00341571">
        <w:rPr>
          <w:rFonts w:ascii="Book Antiqua" w:hAnsi="Book Antiqua"/>
        </w:rPr>
        <w:t>PC</w:t>
      </w:r>
      <w:r w:rsidR="00DC3D4A" w:rsidRPr="00341571">
        <w:rPr>
          <w:rFonts w:ascii="Book Antiqua" w:hAnsi="Book Antiqua" w:cs="Arial"/>
        </w:rPr>
        <w:t xml:space="preserve"> be less likely to complete planned courses of palliative systemic che</w:t>
      </w:r>
      <w:r w:rsidR="00B81525" w:rsidRPr="00341571">
        <w:rPr>
          <w:rFonts w:ascii="Book Antiqua" w:hAnsi="Book Antiqua" w:cs="Arial"/>
        </w:rPr>
        <w:t>motherapy and hence perform relatively</w:t>
      </w:r>
      <w:r w:rsidR="00DC3D4A" w:rsidRPr="00341571">
        <w:rPr>
          <w:rFonts w:ascii="Book Antiqua" w:hAnsi="Book Antiqua" w:cs="Arial"/>
        </w:rPr>
        <w:t xml:space="preserve"> poorly, </w:t>
      </w:r>
      <w:r w:rsidR="00D92683" w:rsidRPr="00341571">
        <w:rPr>
          <w:rFonts w:ascii="Book Antiqua" w:hAnsi="Book Antiqua" w:cs="Arial"/>
        </w:rPr>
        <w:t xml:space="preserve">it would further bolster </w:t>
      </w:r>
      <w:r w:rsidR="00D92683" w:rsidRPr="00341571">
        <w:rPr>
          <w:rFonts w:ascii="Book Antiqua" w:hAnsi="Book Antiqua" w:cs="Arial"/>
        </w:rPr>
        <w:lastRenderedPageBreak/>
        <w:t xml:space="preserve">the case for </w:t>
      </w:r>
      <w:r w:rsidR="00A7280A" w:rsidRPr="00341571">
        <w:rPr>
          <w:rFonts w:ascii="Book Antiqua" w:hAnsi="Book Antiqua" w:cs="Arial"/>
        </w:rPr>
        <w:t xml:space="preserve">studying </w:t>
      </w:r>
      <w:r w:rsidR="00D92683" w:rsidRPr="00341571">
        <w:rPr>
          <w:rFonts w:ascii="Book Antiqua" w:hAnsi="Book Antiqua" w:cs="Arial"/>
        </w:rPr>
        <w:t xml:space="preserve">CRS and HIPEC for </w:t>
      </w:r>
      <w:r w:rsidR="00AB61E8" w:rsidRPr="00341571">
        <w:rPr>
          <w:rFonts w:ascii="Book Antiqua" w:hAnsi="Book Antiqua" w:cs="Arial"/>
        </w:rPr>
        <w:t>a select group of</w:t>
      </w:r>
      <w:r w:rsidR="00D92683" w:rsidRPr="00341571">
        <w:rPr>
          <w:rFonts w:ascii="Book Antiqua" w:hAnsi="Book Antiqua" w:cs="Arial"/>
        </w:rPr>
        <w:t xml:space="preserve"> patients with gastric </w:t>
      </w:r>
      <w:r w:rsidR="00B568F2" w:rsidRPr="00341571">
        <w:rPr>
          <w:rFonts w:ascii="Book Antiqua" w:hAnsi="Book Antiqua"/>
        </w:rPr>
        <w:t>PC</w:t>
      </w:r>
      <w:r w:rsidR="00D92683" w:rsidRPr="00341571">
        <w:rPr>
          <w:rFonts w:ascii="Book Antiqua" w:hAnsi="Book Antiqua" w:cs="Arial"/>
        </w:rPr>
        <w:t xml:space="preserve"> to maximize their survival.</w:t>
      </w:r>
    </w:p>
    <w:p w14:paraId="1BB40AC0" w14:textId="3DEEF02F" w:rsidR="00D92683" w:rsidRPr="00341571" w:rsidRDefault="00D92683" w:rsidP="00341571">
      <w:pPr>
        <w:spacing w:line="360" w:lineRule="auto"/>
        <w:ind w:firstLineChars="100" w:firstLine="240"/>
        <w:jc w:val="both"/>
        <w:rPr>
          <w:rFonts w:ascii="Book Antiqua" w:hAnsi="Book Antiqua" w:cs="Arial"/>
        </w:rPr>
      </w:pPr>
      <w:r w:rsidRPr="00341571">
        <w:rPr>
          <w:rFonts w:ascii="Book Antiqua" w:hAnsi="Book Antiqua" w:cs="Arial"/>
        </w:rPr>
        <w:t xml:space="preserve">As such, we aim to characterize patients with gastric </w:t>
      </w:r>
      <w:r w:rsidR="00B568F2" w:rsidRPr="00341571">
        <w:rPr>
          <w:rFonts w:ascii="Book Antiqua" w:hAnsi="Book Antiqua"/>
        </w:rPr>
        <w:t>PC</w:t>
      </w:r>
      <w:r w:rsidRPr="00341571">
        <w:rPr>
          <w:rFonts w:ascii="Book Antiqua" w:hAnsi="Book Antiqua" w:cs="Arial"/>
        </w:rPr>
        <w:t xml:space="preserve"> and their typical clinical and treatment course to glean a better understanding of how well this subset of metastatic gastric cancer patients are doing with palliative systemic chemotherapy as the current standard of care.</w:t>
      </w:r>
    </w:p>
    <w:p w14:paraId="1FAAE76B" w14:textId="77777777" w:rsidR="00174455" w:rsidRPr="00341571" w:rsidRDefault="00174455" w:rsidP="00341571">
      <w:pPr>
        <w:spacing w:line="360" w:lineRule="auto"/>
        <w:jc w:val="both"/>
        <w:rPr>
          <w:rFonts w:ascii="Book Antiqua" w:hAnsi="Book Antiqua" w:cs="Arial"/>
          <w:b/>
        </w:rPr>
      </w:pPr>
    </w:p>
    <w:p w14:paraId="7A7CC65D" w14:textId="5E91BFE7" w:rsidR="00174455" w:rsidRPr="00341571" w:rsidRDefault="00341571" w:rsidP="00341571">
      <w:pPr>
        <w:spacing w:line="360" w:lineRule="auto"/>
        <w:jc w:val="both"/>
        <w:rPr>
          <w:rFonts w:ascii="Book Antiqua" w:eastAsia="宋体" w:hAnsi="Book Antiqua" w:cs="Arial"/>
          <w:b/>
          <w:lang w:eastAsia="zh-CN"/>
        </w:rPr>
      </w:pPr>
      <w:r>
        <w:rPr>
          <w:rFonts w:ascii="Book Antiqua" w:eastAsia="宋体" w:hAnsi="Book Antiqua" w:cs="Arial"/>
          <w:b/>
          <w:lang w:eastAsia="zh-CN"/>
        </w:rPr>
        <w:t>MATERIALS AND METHODS</w:t>
      </w:r>
    </w:p>
    <w:p w14:paraId="1FD2DD77" w14:textId="538CDC50" w:rsidR="00174455" w:rsidRPr="00341571" w:rsidRDefault="00BD50A6" w:rsidP="00341571">
      <w:pPr>
        <w:spacing w:line="360" w:lineRule="auto"/>
        <w:jc w:val="both"/>
        <w:rPr>
          <w:rFonts w:ascii="Book Antiqua" w:hAnsi="Book Antiqua" w:cs="Arial"/>
        </w:rPr>
      </w:pPr>
      <w:r w:rsidRPr="00341571">
        <w:rPr>
          <w:rFonts w:ascii="Book Antiqua" w:hAnsi="Book Antiqua" w:cs="Arial"/>
        </w:rPr>
        <w:t xml:space="preserve">We performed a retrospective review of all patients with metastatic gastric cancer </w:t>
      </w:r>
      <w:r w:rsidR="00551386" w:rsidRPr="00341571">
        <w:rPr>
          <w:rFonts w:ascii="Book Antiqua" w:hAnsi="Book Antiqua" w:cs="Arial"/>
        </w:rPr>
        <w:t>managed</w:t>
      </w:r>
      <w:r w:rsidRPr="00341571">
        <w:rPr>
          <w:rFonts w:ascii="Book Antiqua" w:hAnsi="Book Antiqua" w:cs="Arial"/>
        </w:rPr>
        <w:t xml:space="preserve"> at the National Cancer Centre Singapore, the largest tertiary referr</w:t>
      </w:r>
      <w:r w:rsidR="008878EC" w:rsidRPr="00341571">
        <w:rPr>
          <w:rFonts w:ascii="Book Antiqua" w:hAnsi="Book Antiqua" w:cs="Arial"/>
        </w:rPr>
        <w:t xml:space="preserve">al centre for cancer treatment locally, </w:t>
      </w:r>
      <w:r w:rsidR="00097993" w:rsidRPr="00341571">
        <w:rPr>
          <w:rFonts w:ascii="Book Antiqua" w:hAnsi="Book Antiqua" w:cs="Arial"/>
        </w:rPr>
        <w:t>over a five</w:t>
      </w:r>
      <w:r w:rsidR="00551386" w:rsidRPr="00341571">
        <w:rPr>
          <w:rFonts w:ascii="Book Antiqua" w:hAnsi="Book Antiqua" w:cs="Arial"/>
        </w:rPr>
        <w:t xml:space="preserve">-year period </w:t>
      </w:r>
      <w:r w:rsidR="008878EC" w:rsidRPr="00341571">
        <w:rPr>
          <w:rFonts w:ascii="Book Antiqua" w:hAnsi="Book Antiqua" w:cs="Arial"/>
        </w:rPr>
        <w:t xml:space="preserve">between </w:t>
      </w:r>
      <w:r w:rsidR="00551386" w:rsidRPr="00341571">
        <w:rPr>
          <w:rFonts w:ascii="Book Antiqua" w:hAnsi="Book Antiqua" w:cs="Arial"/>
        </w:rPr>
        <w:t>January 2010 and December 2014.</w:t>
      </w:r>
      <w:r w:rsidR="00E34618" w:rsidRPr="00341571">
        <w:rPr>
          <w:rFonts w:ascii="Book Antiqua" w:hAnsi="Book Antiqua" w:cs="Arial"/>
        </w:rPr>
        <w:t xml:space="preserve"> </w:t>
      </w:r>
      <w:r w:rsidR="00E730BA" w:rsidRPr="00341571">
        <w:rPr>
          <w:rFonts w:ascii="Book Antiqua" w:hAnsi="Book Antiqua" w:cs="Arial"/>
        </w:rPr>
        <w:t>All patients with</w:t>
      </w:r>
      <w:r w:rsidR="00A01FBC" w:rsidRPr="00341571">
        <w:rPr>
          <w:rFonts w:ascii="Book Antiqua" w:hAnsi="Book Antiqua" w:cs="Arial"/>
        </w:rPr>
        <w:t xml:space="preserve"> gastric adenocarcinoma with</w:t>
      </w:r>
      <w:r w:rsidR="00E730BA" w:rsidRPr="00341571">
        <w:rPr>
          <w:rFonts w:ascii="Book Antiqua" w:hAnsi="Book Antiqua" w:cs="Arial"/>
        </w:rPr>
        <w:t xml:space="preserve"> peritoneal metastasis diagnosed at </w:t>
      </w:r>
      <w:r w:rsidR="00941D4A" w:rsidRPr="00341571">
        <w:rPr>
          <w:rFonts w:ascii="Book Antiqua" w:hAnsi="Book Antiqua" w:cs="Arial"/>
        </w:rPr>
        <w:t xml:space="preserve">initial metastatic </w:t>
      </w:r>
      <w:r w:rsidR="00E730BA" w:rsidRPr="00341571">
        <w:rPr>
          <w:rFonts w:ascii="Book Antiqua" w:hAnsi="Book Antiqua" w:cs="Arial"/>
        </w:rPr>
        <w:t>presentation</w:t>
      </w:r>
      <w:r w:rsidR="00097993" w:rsidRPr="00341571">
        <w:rPr>
          <w:rFonts w:ascii="Book Antiqua" w:hAnsi="Book Antiqua" w:cs="Arial"/>
        </w:rPr>
        <w:t>,</w:t>
      </w:r>
      <w:r w:rsidR="00E730BA" w:rsidRPr="00341571">
        <w:rPr>
          <w:rFonts w:ascii="Book Antiqua" w:hAnsi="Book Antiqua" w:cs="Arial"/>
        </w:rPr>
        <w:t xml:space="preserve"> with or without other concomitant distant sites of metastasis</w:t>
      </w:r>
      <w:r w:rsidR="00097993" w:rsidRPr="00341571">
        <w:rPr>
          <w:rFonts w:ascii="Book Antiqua" w:hAnsi="Book Antiqua" w:cs="Arial"/>
        </w:rPr>
        <w:t>,</w:t>
      </w:r>
      <w:r w:rsidR="00E730BA" w:rsidRPr="00341571">
        <w:rPr>
          <w:rFonts w:ascii="Book Antiqua" w:hAnsi="Book Antiqua" w:cs="Arial"/>
        </w:rPr>
        <w:t xml:space="preserve"> were included in our study. </w:t>
      </w:r>
      <w:r w:rsidR="003F6BDE" w:rsidRPr="00341571">
        <w:rPr>
          <w:rFonts w:ascii="Book Antiqua" w:hAnsi="Book Antiqua" w:cs="Arial"/>
        </w:rPr>
        <w:t xml:space="preserve">Patients with isolated positive peritoneal cytology were excluded. </w:t>
      </w:r>
      <w:r w:rsidR="00E34618" w:rsidRPr="00341571">
        <w:rPr>
          <w:rFonts w:ascii="Book Antiqua" w:hAnsi="Book Antiqua" w:cs="Arial"/>
        </w:rPr>
        <w:t>Electronic records were reviewed for</w:t>
      </w:r>
      <w:r w:rsidR="000467B8" w:rsidRPr="00341571">
        <w:rPr>
          <w:rFonts w:ascii="Book Antiqua" w:hAnsi="Book Antiqua" w:cs="Arial"/>
        </w:rPr>
        <w:t xml:space="preserve"> various patient characteristics including patient demographics, gastric cancer characteristics, treatments administered and subsequent clinical course through each patient’s follow-up duration.</w:t>
      </w:r>
    </w:p>
    <w:p w14:paraId="0B72106F" w14:textId="31ED2D98" w:rsidR="00757A88" w:rsidRPr="00341571" w:rsidRDefault="00A60AEA" w:rsidP="003243B6">
      <w:pPr>
        <w:spacing w:line="360" w:lineRule="auto"/>
        <w:ind w:firstLineChars="100" w:firstLine="240"/>
        <w:jc w:val="both"/>
        <w:rPr>
          <w:rFonts w:ascii="Book Antiqua" w:hAnsi="Book Antiqua" w:cs="Arial"/>
        </w:rPr>
      </w:pPr>
      <w:r w:rsidRPr="00341571">
        <w:rPr>
          <w:rFonts w:ascii="Book Antiqua" w:hAnsi="Book Antiqua" w:cs="Arial"/>
        </w:rPr>
        <w:t>All patients included in the study had computed tomography scans of the thorax, abdomen and pelvis performed for initial staging following the diagnosis of gastric adenocarcinoma. Patients without radiological evidence of metastatic disease then underwent staging laparoscopy with intra-operative frozen section assessment of peritoneal deposits.</w:t>
      </w:r>
    </w:p>
    <w:p w14:paraId="3A1C69ED" w14:textId="2FA70CA2" w:rsidR="00AF57E1" w:rsidRPr="00341571" w:rsidRDefault="00AF57E1" w:rsidP="003243B6">
      <w:pPr>
        <w:spacing w:line="360" w:lineRule="auto"/>
        <w:ind w:firstLineChars="100" w:firstLine="240"/>
        <w:jc w:val="both"/>
        <w:rPr>
          <w:rFonts w:ascii="Book Antiqua" w:hAnsi="Book Antiqua" w:cs="Arial"/>
        </w:rPr>
      </w:pPr>
      <w:r w:rsidRPr="00341571">
        <w:rPr>
          <w:rFonts w:ascii="Book Antiqua" w:hAnsi="Book Antiqua" w:cs="Arial"/>
        </w:rPr>
        <w:t>Palliative systemic chemotherapy was offered as</w:t>
      </w:r>
      <w:r w:rsidR="00097993" w:rsidRPr="00341571">
        <w:rPr>
          <w:rFonts w:ascii="Book Antiqua" w:hAnsi="Book Antiqua" w:cs="Arial"/>
        </w:rPr>
        <w:t xml:space="preserve"> the</w:t>
      </w:r>
      <w:r w:rsidRPr="00341571">
        <w:rPr>
          <w:rFonts w:ascii="Book Antiqua" w:hAnsi="Book Antiqua" w:cs="Arial"/>
        </w:rPr>
        <w:t xml:space="preserve"> standard of care in </w:t>
      </w:r>
      <w:r w:rsidR="00097993" w:rsidRPr="00341571">
        <w:rPr>
          <w:rFonts w:ascii="Book Antiqua" w:hAnsi="Book Antiqua" w:cs="Arial"/>
        </w:rPr>
        <w:t xml:space="preserve">our institution to </w:t>
      </w:r>
      <w:r w:rsidRPr="00341571">
        <w:rPr>
          <w:rFonts w:ascii="Book Antiqua" w:hAnsi="Book Antiqua" w:cs="Arial"/>
        </w:rPr>
        <w:t>all patients with metastatic gastric cancer</w:t>
      </w:r>
      <w:r w:rsidR="00097993" w:rsidRPr="00341571">
        <w:rPr>
          <w:rFonts w:ascii="Book Antiqua" w:hAnsi="Book Antiqua" w:cs="Arial"/>
        </w:rPr>
        <w:t xml:space="preserve"> in </w:t>
      </w:r>
      <w:r w:rsidRPr="00341571">
        <w:rPr>
          <w:rFonts w:ascii="Book Antiqua" w:hAnsi="Book Antiqua" w:cs="Arial"/>
        </w:rPr>
        <w:t>close discussion with each patient. The first-line palliative systemic chemotherapy regime for each patient was chosen in accordance to the National Comprehensive Cancer Network Guidelines for Gastric Cancer Treatment with consideration to each patient’s performan</w:t>
      </w:r>
      <w:r w:rsidR="00097993" w:rsidRPr="00341571">
        <w:rPr>
          <w:rFonts w:ascii="Book Antiqua" w:hAnsi="Book Antiqua" w:cs="Arial"/>
        </w:rPr>
        <w:t>ce status and preferences, favoring two to three</w:t>
      </w:r>
      <w:r w:rsidRPr="00341571">
        <w:rPr>
          <w:rFonts w:ascii="Book Antiqua" w:hAnsi="Book Antiqua" w:cs="Arial"/>
        </w:rPr>
        <w:t>-agent chemotherapy combinations over single-agent chemotherapy where possible</w:t>
      </w:r>
      <w:r w:rsidR="003243B6" w:rsidRPr="00341571">
        <w:rPr>
          <w:rFonts w:ascii="Book Antiqua" w:hAnsi="Book Antiqua" w:cs="Arial"/>
          <w:vertAlign w:val="superscript"/>
        </w:rPr>
        <w:t>[19]</w:t>
      </w:r>
      <w:r w:rsidRPr="00341571">
        <w:rPr>
          <w:rFonts w:ascii="Book Antiqua" w:hAnsi="Book Antiqua" w:cs="Arial"/>
        </w:rPr>
        <w:t>.</w:t>
      </w:r>
      <w:r w:rsidR="003A373B" w:rsidRPr="00341571">
        <w:rPr>
          <w:rFonts w:ascii="Book Antiqua" w:hAnsi="Book Antiqua" w:cs="Arial"/>
          <w:vertAlign w:val="superscript"/>
        </w:rPr>
        <w:t xml:space="preserve"> </w:t>
      </w:r>
      <w:r w:rsidR="00C1486D" w:rsidRPr="00341571">
        <w:rPr>
          <w:rFonts w:ascii="Book Antiqua" w:hAnsi="Book Antiqua" w:cs="Arial"/>
        </w:rPr>
        <w:t xml:space="preserve">Trastuzumab was additionally offered in cases which were </w:t>
      </w:r>
      <w:r w:rsidR="00C1486D" w:rsidRPr="00341571">
        <w:rPr>
          <w:rFonts w:ascii="Book Antiqua" w:hAnsi="Book Antiqua" w:cs="Arial"/>
        </w:rPr>
        <w:lastRenderedPageBreak/>
        <w:t xml:space="preserve">positive for Her2/Neu overexpression. </w:t>
      </w:r>
      <w:r w:rsidRPr="00341571">
        <w:rPr>
          <w:rFonts w:ascii="Book Antiqua" w:hAnsi="Book Antiqua" w:cs="Arial"/>
        </w:rPr>
        <w:t>Chemotherapy regime was switched or discontinued based on clinician discretion during the course of follow-up if patients experienced unacceptable levels of toxicity or had clinical evidence of disease progression. Chemotherapy was also put on hold or stopped entirely in the event of acute deteriorations in patients’ functional and/or medical conditions. Other therapeutic interventions including surgery, endoscopic therapy and radiotherapy were also undertaken where clinically indicated.</w:t>
      </w:r>
      <w:r w:rsidR="009F53D1" w:rsidRPr="00341571">
        <w:rPr>
          <w:rFonts w:ascii="Book Antiqua" w:hAnsi="Book Antiqua" w:cs="Arial"/>
        </w:rPr>
        <w:t xml:space="preserve"> Follow-up duration of each patient is calculated in months beginning from initial diagnosis till the last follow-up or death at the point of data collection.</w:t>
      </w:r>
    </w:p>
    <w:p w14:paraId="33521D9B" w14:textId="77777777" w:rsidR="003243B6" w:rsidRDefault="003243B6" w:rsidP="003243B6">
      <w:pPr>
        <w:spacing w:line="360" w:lineRule="auto"/>
        <w:jc w:val="both"/>
        <w:rPr>
          <w:rFonts w:ascii="Book Antiqua" w:eastAsia="宋体" w:hAnsi="Book Antiqua" w:cs="Arial"/>
          <w:lang w:eastAsia="zh-CN"/>
        </w:rPr>
      </w:pPr>
    </w:p>
    <w:p w14:paraId="369C810A" w14:textId="79D31ED0" w:rsidR="003243B6" w:rsidRPr="003243B6" w:rsidRDefault="003243B6" w:rsidP="003243B6">
      <w:pPr>
        <w:spacing w:line="360" w:lineRule="auto"/>
        <w:jc w:val="both"/>
        <w:rPr>
          <w:rFonts w:ascii="Book Antiqua" w:eastAsia="宋体" w:hAnsi="Book Antiqua" w:cs="Arial"/>
          <w:b/>
          <w:i/>
          <w:lang w:eastAsia="zh-CN"/>
        </w:rPr>
      </w:pPr>
      <w:r w:rsidRPr="003243B6">
        <w:rPr>
          <w:rFonts w:ascii="Book Antiqua" w:hAnsi="Book Antiqua" w:cs="Arial"/>
          <w:b/>
          <w:i/>
        </w:rPr>
        <w:t>Statistical analysis</w:t>
      </w:r>
    </w:p>
    <w:p w14:paraId="2848D4A2" w14:textId="2B4E289C" w:rsidR="000467B8" w:rsidRPr="00341571" w:rsidRDefault="000467B8" w:rsidP="003243B6">
      <w:pPr>
        <w:spacing w:line="360" w:lineRule="auto"/>
        <w:jc w:val="both"/>
        <w:rPr>
          <w:rFonts w:ascii="Book Antiqua" w:hAnsi="Book Antiqua" w:cs="Arial"/>
        </w:rPr>
      </w:pPr>
      <w:r w:rsidRPr="00341571">
        <w:rPr>
          <w:rFonts w:ascii="Book Antiqua" w:hAnsi="Book Antiqua" w:cs="Arial"/>
        </w:rPr>
        <w:t>Statistical analysis was performed using SPSS Statistic</w:t>
      </w:r>
      <w:r w:rsidR="003E6E6F" w:rsidRPr="00341571">
        <w:rPr>
          <w:rFonts w:ascii="Book Antiqua" w:hAnsi="Book Antiqua" w:cs="Arial"/>
        </w:rPr>
        <w:t>s</w:t>
      </w:r>
      <w:r w:rsidRPr="00341571">
        <w:rPr>
          <w:rFonts w:ascii="Book Antiqua" w:hAnsi="Book Antiqua" w:cs="Arial"/>
        </w:rPr>
        <w:t xml:space="preserve"> Version 19.0 (Armonk NY: IBM Corp)</w:t>
      </w:r>
      <w:r w:rsidR="003E6E6F" w:rsidRPr="00341571">
        <w:rPr>
          <w:rFonts w:ascii="Book Antiqua" w:hAnsi="Book Antiqua" w:cs="Arial"/>
        </w:rPr>
        <w:t xml:space="preserve">. </w:t>
      </w:r>
      <w:r w:rsidR="003E6E6F" w:rsidRPr="00341571">
        <w:rPr>
          <w:rFonts w:ascii="Book Antiqua" w:eastAsia="Arial" w:hAnsi="Book Antiqua" w:cs="Arial"/>
        </w:rPr>
        <w:t xml:space="preserve">Continuous and categorical variables and survival data were analyzed using the </w:t>
      </w:r>
      <w:r w:rsidR="00CC45B2" w:rsidRPr="00341571">
        <w:rPr>
          <w:rFonts w:ascii="Book Antiqua" w:eastAsia="Arial" w:hAnsi="Book Antiqua" w:cs="Arial"/>
        </w:rPr>
        <w:t>S</w:t>
      </w:r>
      <w:r w:rsidR="003E6E6F" w:rsidRPr="00341571">
        <w:rPr>
          <w:rFonts w:ascii="Book Antiqua" w:eastAsia="Arial" w:hAnsi="Book Antiqua" w:cs="Arial"/>
        </w:rPr>
        <w:t xml:space="preserve">tudent’s </w:t>
      </w:r>
      <w:r w:rsidR="003E6E6F" w:rsidRPr="003243B6">
        <w:rPr>
          <w:rFonts w:ascii="Book Antiqua" w:eastAsia="Arial" w:hAnsi="Book Antiqua" w:cs="Arial"/>
          <w:i/>
        </w:rPr>
        <w:t>t-</w:t>
      </w:r>
      <w:r w:rsidR="003E6E6F" w:rsidRPr="00341571">
        <w:rPr>
          <w:rFonts w:ascii="Book Antiqua" w:eastAsia="Arial" w:hAnsi="Book Antiqua" w:cs="Arial"/>
        </w:rPr>
        <w:t xml:space="preserve">test, </w:t>
      </w:r>
      <w:r w:rsidR="003243B6" w:rsidRPr="003243B6">
        <w:rPr>
          <w:rFonts w:ascii="Book Antiqua" w:eastAsia="Arial" w:hAnsi="Book Antiqua" w:cs="Arial"/>
          <w:i/>
        </w:rPr>
        <w:sym w:font="Symbol" w:char="F063"/>
      </w:r>
      <w:r w:rsidR="003243B6" w:rsidRPr="003243B6">
        <w:rPr>
          <w:rFonts w:ascii="Book Antiqua" w:eastAsia="宋体" w:hAnsi="Book Antiqua" w:cs="Arial" w:hint="eastAsia"/>
          <w:vertAlign w:val="superscript"/>
          <w:lang w:eastAsia="zh-CN"/>
        </w:rPr>
        <w:t>2</w:t>
      </w:r>
      <w:r w:rsidR="003E6E6F" w:rsidRPr="00341571">
        <w:rPr>
          <w:rFonts w:ascii="Book Antiqua" w:eastAsia="Arial" w:hAnsi="Book Antiqua" w:cs="Arial"/>
        </w:rPr>
        <w:t xml:space="preserve"> test and Kaplan-Meier analysis respectively, with a statistical significance level of 5% used.</w:t>
      </w:r>
    </w:p>
    <w:p w14:paraId="7786E57C" w14:textId="77777777" w:rsidR="00174455" w:rsidRPr="00341571" w:rsidRDefault="00174455" w:rsidP="00341571">
      <w:pPr>
        <w:spacing w:line="360" w:lineRule="auto"/>
        <w:jc w:val="both"/>
        <w:rPr>
          <w:rFonts w:ascii="Book Antiqua" w:hAnsi="Book Antiqua" w:cs="Arial"/>
          <w:b/>
        </w:rPr>
      </w:pPr>
    </w:p>
    <w:p w14:paraId="161104BE" w14:textId="074EDFB3" w:rsidR="009D7584" w:rsidRPr="003243B6" w:rsidRDefault="003243B6" w:rsidP="00341571">
      <w:pPr>
        <w:spacing w:line="360" w:lineRule="auto"/>
        <w:jc w:val="both"/>
        <w:rPr>
          <w:rFonts w:ascii="Book Antiqua" w:eastAsia="宋体" w:hAnsi="Book Antiqua" w:cs="Arial"/>
          <w:b/>
          <w:lang w:eastAsia="zh-CN"/>
        </w:rPr>
      </w:pPr>
      <w:r w:rsidRPr="00341571">
        <w:rPr>
          <w:rFonts w:ascii="Book Antiqua" w:hAnsi="Book Antiqua" w:cs="Arial"/>
          <w:b/>
        </w:rPr>
        <w:t>RESULTS</w:t>
      </w:r>
    </w:p>
    <w:p w14:paraId="265E989A" w14:textId="77E8987C" w:rsidR="009D7584" w:rsidRPr="003243B6" w:rsidRDefault="000F4FD4" w:rsidP="00341571">
      <w:pPr>
        <w:spacing w:line="360" w:lineRule="auto"/>
        <w:jc w:val="both"/>
        <w:rPr>
          <w:rFonts w:ascii="Book Antiqua" w:eastAsia="宋体" w:hAnsi="Book Antiqua" w:cs="Arial"/>
          <w:b/>
          <w:i/>
          <w:lang w:eastAsia="zh-CN"/>
        </w:rPr>
      </w:pPr>
      <w:r w:rsidRPr="003243B6">
        <w:rPr>
          <w:rFonts w:ascii="Book Antiqua" w:hAnsi="Book Antiqua" w:cs="Arial"/>
          <w:b/>
          <w:i/>
        </w:rPr>
        <w:t xml:space="preserve">Demographics and baseline </w:t>
      </w:r>
      <w:r w:rsidR="007E505A" w:rsidRPr="003243B6">
        <w:rPr>
          <w:rFonts w:ascii="Book Antiqua" w:hAnsi="Book Antiqua" w:cs="Arial"/>
          <w:b/>
          <w:i/>
        </w:rPr>
        <w:t>characteristics</w:t>
      </w:r>
    </w:p>
    <w:p w14:paraId="772FF4F9" w14:textId="7B90B7BF" w:rsidR="00941D4A" w:rsidRPr="00341571" w:rsidRDefault="002F3B77" w:rsidP="00341571">
      <w:pPr>
        <w:spacing w:line="360" w:lineRule="auto"/>
        <w:jc w:val="both"/>
        <w:rPr>
          <w:rFonts w:ascii="Book Antiqua" w:hAnsi="Book Antiqua" w:cs="Arial"/>
        </w:rPr>
      </w:pPr>
      <w:r w:rsidRPr="00341571">
        <w:rPr>
          <w:rFonts w:ascii="Book Antiqua" w:hAnsi="Book Antiqua" w:cs="Arial"/>
        </w:rPr>
        <w:t xml:space="preserve">We studied a total of 271 patients </w:t>
      </w:r>
      <w:r w:rsidR="0074099D" w:rsidRPr="00341571">
        <w:rPr>
          <w:rFonts w:ascii="Book Antiqua" w:hAnsi="Book Antiqua" w:cs="Arial"/>
        </w:rPr>
        <w:t xml:space="preserve">with gastric adenocarcinoma with </w:t>
      </w:r>
      <w:r w:rsidR="00B568F2" w:rsidRPr="00341571">
        <w:rPr>
          <w:rFonts w:ascii="Book Antiqua" w:hAnsi="Book Antiqua"/>
        </w:rPr>
        <w:t>PC</w:t>
      </w:r>
      <w:r w:rsidR="0074099D" w:rsidRPr="00341571">
        <w:rPr>
          <w:rFonts w:ascii="Book Antiqua" w:hAnsi="Book Antiqua" w:cs="Arial"/>
        </w:rPr>
        <w:t xml:space="preserve"> diagnosed at </w:t>
      </w:r>
      <w:r w:rsidR="00941D4A" w:rsidRPr="00341571">
        <w:rPr>
          <w:rFonts w:ascii="Book Antiqua" w:hAnsi="Book Antiqua" w:cs="Arial"/>
        </w:rPr>
        <w:t xml:space="preserve">initial metastatic </w:t>
      </w:r>
      <w:r w:rsidR="0074099D" w:rsidRPr="00341571">
        <w:rPr>
          <w:rFonts w:ascii="Book Antiqua" w:hAnsi="Book Antiqua" w:cs="Arial"/>
        </w:rPr>
        <w:t>presentation</w:t>
      </w:r>
      <w:r w:rsidR="000F4FD4" w:rsidRPr="00341571">
        <w:rPr>
          <w:rFonts w:ascii="Book Antiqua" w:hAnsi="Book Antiqua" w:cs="Arial"/>
        </w:rPr>
        <w:t xml:space="preserve"> with a median follow-up duration of 5.1 mo</w:t>
      </w:r>
      <w:r w:rsidR="00C135E3" w:rsidRPr="00341571">
        <w:rPr>
          <w:rFonts w:ascii="Book Antiqua" w:hAnsi="Book Antiqua" w:cs="Arial"/>
        </w:rPr>
        <w:t xml:space="preserve"> (IQR: 2.2-11.7)</w:t>
      </w:r>
      <w:r w:rsidR="0074099D" w:rsidRPr="00341571">
        <w:rPr>
          <w:rFonts w:ascii="Book Antiqua" w:hAnsi="Book Antiqua" w:cs="Arial"/>
        </w:rPr>
        <w:t xml:space="preserve">. </w:t>
      </w:r>
      <w:r w:rsidR="00443758" w:rsidRPr="00341571">
        <w:rPr>
          <w:rFonts w:ascii="Book Antiqua" w:hAnsi="Book Antiqua" w:cs="Arial"/>
        </w:rPr>
        <w:t xml:space="preserve">Patient characteristics are summarized in </w:t>
      </w:r>
      <w:r w:rsidR="0074487C" w:rsidRPr="00341571">
        <w:rPr>
          <w:rFonts w:ascii="Book Antiqua" w:hAnsi="Book Antiqua" w:cs="Arial"/>
        </w:rPr>
        <w:t>T</w:t>
      </w:r>
      <w:r w:rsidR="00443758" w:rsidRPr="00341571">
        <w:rPr>
          <w:rFonts w:ascii="Book Antiqua" w:hAnsi="Book Antiqua" w:cs="Arial"/>
        </w:rPr>
        <w:t xml:space="preserve">able 1. </w:t>
      </w:r>
      <w:r w:rsidR="0074099D" w:rsidRPr="00341571">
        <w:rPr>
          <w:rFonts w:ascii="Book Antiqua" w:hAnsi="Book Antiqua" w:cs="Arial"/>
        </w:rPr>
        <w:t xml:space="preserve">The </w:t>
      </w:r>
      <w:r w:rsidR="0054406E" w:rsidRPr="00341571">
        <w:rPr>
          <w:rFonts w:ascii="Book Antiqua" w:hAnsi="Book Antiqua" w:cs="Arial"/>
        </w:rPr>
        <w:t xml:space="preserve">median </w:t>
      </w:r>
      <w:r w:rsidR="0074099D" w:rsidRPr="00341571">
        <w:rPr>
          <w:rFonts w:ascii="Book Antiqua" w:hAnsi="Book Antiqua" w:cs="Arial"/>
        </w:rPr>
        <w:t xml:space="preserve">age was </w:t>
      </w:r>
      <w:r w:rsidRPr="00341571">
        <w:rPr>
          <w:rFonts w:ascii="Book Antiqua" w:hAnsi="Book Antiqua" w:cs="Arial"/>
        </w:rPr>
        <w:t>6</w:t>
      </w:r>
      <w:r w:rsidR="0054406E" w:rsidRPr="00341571">
        <w:rPr>
          <w:rFonts w:ascii="Book Antiqua" w:hAnsi="Book Antiqua" w:cs="Arial"/>
        </w:rPr>
        <w:t xml:space="preserve">3.8 </w:t>
      </w:r>
      <w:r w:rsidRPr="00341571">
        <w:rPr>
          <w:rFonts w:ascii="Book Antiqua" w:hAnsi="Book Antiqua" w:cs="Arial"/>
        </w:rPr>
        <w:t>years</w:t>
      </w:r>
      <w:r w:rsidR="0054406E" w:rsidRPr="00341571">
        <w:rPr>
          <w:rFonts w:ascii="Book Antiqua" w:hAnsi="Book Antiqua" w:cs="Arial"/>
        </w:rPr>
        <w:t xml:space="preserve"> </w:t>
      </w:r>
      <w:r w:rsidR="00443758" w:rsidRPr="00341571">
        <w:rPr>
          <w:rFonts w:ascii="Book Antiqua" w:hAnsi="Book Antiqua" w:cs="Arial"/>
        </w:rPr>
        <w:t xml:space="preserve">(range </w:t>
      </w:r>
      <w:r w:rsidR="0054406E" w:rsidRPr="00341571">
        <w:rPr>
          <w:rFonts w:ascii="Book Antiqua" w:hAnsi="Book Antiqua" w:cs="Arial"/>
        </w:rPr>
        <w:t>26.9</w:t>
      </w:r>
      <w:r w:rsidR="0074487C">
        <w:rPr>
          <w:rFonts w:ascii="Book Antiqua" w:eastAsia="宋体" w:hAnsi="Book Antiqua" w:cs="Arial" w:hint="eastAsia"/>
          <w:lang w:eastAsia="zh-CN"/>
        </w:rPr>
        <w:t>-</w:t>
      </w:r>
      <w:r w:rsidR="0054406E" w:rsidRPr="00341571">
        <w:rPr>
          <w:rFonts w:ascii="Book Antiqua" w:hAnsi="Book Antiqua" w:cs="Arial"/>
        </w:rPr>
        <w:t>89.0</w:t>
      </w:r>
      <w:r w:rsidR="00443758" w:rsidRPr="00341571">
        <w:rPr>
          <w:rFonts w:ascii="Book Antiqua" w:hAnsi="Book Antiqua" w:cs="Arial"/>
        </w:rPr>
        <w:t>)</w:t>
      </w:r>
      <w:r w:rsidR="00AC36B6" w:rsidRPr="00341571">
        <w:rPr>
          <w:rFonts w:ascii="Book Antiqua" w:hAnsi="Book Antiqua" w:cs="Arial"/>
        </w:rPr>
        <w:t xml:space="preserve">, </w:t>
      </w:r>
      <w:r w:rsidR="0074099D" w:rsidRPr="00341571">
        <w:rPr>
          <w:rFonts w:ascii="Book Antiqua" w:hAnsi="Book Antiqua" w:cs="Arial"/>
        </w:rPr>
        <w:t xml:space="preserve">with </w:t>
      </w:r>
      <w:r w:rsidR="00AC36B6" w:rsidRPr="00341571">
        <w:rPr>
          <w:rFonts w:ascii="Book Antiqua" w:hAnsi="Book Antiqua" w:cs="Arial"/>
        </w:rPr>
        <w:t xml:space="preserve">relatively equal gender proportions (49.4% male) and </w:t>
      </w:r>
      <w:r w:rsidR="0074099D" w:rsidRPr="00341571">
        <w:rPr>
          <w:rFonts w:ascii="Book Antiqua" w:hAnsi="Book Antiqua" w:cs="Arial"/>
        </w:rPr>
        <w:t xml:space="preserve">a </w:t>
      </w:r>
      <w:r w:rsidR="00AC36B6" w:rsidRPr="00341571">
        <w:rPr>
          <w:rFonts w:ascii="Book Antiqua" w:hAnsi="Book Antiqua" w:cs="Arial"/>
        </w:rPr>
        <w:t>predominant Chinese ethnicity (74.9%).</w:t>
      </w:r>
      <w:r w:rsidRPr="00341571">
        <w:rPr>
          <w:rFonts w:ascii="Book Antiqua" w:hAnsi="Book Antiqua" w:cs="Arial"/>
        </w:rPr>
        <w:t xml:space="preserve"> </w:t>
      </w:r>
      <w:r w:rsidR="000D5783" w:rsidRPr="00341571">
        <w:rPr>
          <w:rFonts w:ascii="Book Antiqua" w:hAnsi="Book Antiqua" w:cs="Arial"/>
        </w:rPr>
        <w:t xml:space="preserve">The majority of patients had good functional and medical conditions at the point of diagnosis, with Eastern Cooperative Oncology Group (ECOG) performance status ratings of 0-1 </w:t>
      </w:r>
      <w:r w:rsidR="00621BA2" w:rsidRPr="00341571">
        <w:rPr>
          <w:rFonts w:ascii="Book Antiqua" w:hAnsi="Book Antiqua" w:cs="Arial"/>
        </w:rPr>
        <w:t xml:space="preserve">in 82.6% </w:t>
      </w:r>
      <w:r w:rsidR="000D5783" w:rsidRPr="00341571">
        <w:rPr>
          <w:rFonts w:ascii="Book Antiqua" w:hAnsi="Book Antiqua" w:cs="Arial"/>
        </w:rPr>
        <w:t>and American Society of Anaesthesiology (ASA) scores of 1-2</w:t>
      </w:r>
      <w:r w:rsidR="00621BA2" w:rsidRPr="00341571">
        <w:rPr>
          <w:rFonts w:ascii="Book Antiqua" w:hAnsi="Book Antiqua" w:cs="Arial"/>
        </w:rPr>
        <w:t xml:space="preserve"> in 86.7%</w:t>
      </w:r>
      <w:r w:rsidR="00443758" w:rsidRPr="00341571">
        <w:rPr>
          <w:rFonts w:ascii="Book Antiqua" w:hAnsi="Book Antiqua" w:cs="Arial"/>
        </w:rPr>
        <w:t>.</w:t>
      </w:r>
    </w:p>
    <w:p w14:paraId="6F2A0845" w14:textId="04D2F3C1" w:rsidR="00174455" w:rsidRPr="00341571" w:rsidRDefault="00941D4A" w:rsidP="0074487C">
      <w:pPr>
        <w:spacing w:line="360" w:lineRule="auto"/>
        <w:ind w:firstLineChars="100" w:firstLine="240"/>
        <w:jc w:val="both"/>
        <w:rPr>
          <w:rFonts w:ascii="Book Antiqua" w:hAnsi="Book Antiqua" w:cs="Arial"/>
        </w:rPr>
      </w:pPr>
      <w:r w:rsidRPr="00341571">
        <w:rPr>
          <w:rFonts w:ascii="Book Antiqua" w:hAnsi="Book Antiqua" w:cs="Arial"/>
        </w:rPr>
        <w:t>The bulk of our patients (</w:t>
      </w:r>
      <w:r w:rsidRPr="0074487C">
        <w:rPr>
          <w:rFonts w:ascii="Book Antiqua" w:hAnsi="Book Antiqua" w:cs="Arial"/>
          <w:i/>
        </w:rPr>
        <w:t>n</w:t>
      </w:r>
      <w:r w:rsidR="0074487C">
        <w:rPr>
          <w:rFonts w:ascii="Book Antiqua" w:eastAsia="宋体" w:hAnsi="Book Antiqua" w:cs="Arial" w:hint="eastAsia"/>
          <w:lang w:eastAsia="zh-CN"/>
        </w:rPr>
        <w:t xml:space="preserve"> </w:t>
      </w:r>
      <w:r w:rsidRPr="00341571">
        <w:rPr>
          <w:rFonts w:ascii="Book Antiqua" w:hAnsi="Book Antiqua" w:cs="Arial"/>
        </w:rPr>
        <w:t>=</w:t>
      </w:r>
      <w:r w:rsidR="0074487C">
        <w:rPr>
          <w:rFonts w:ascii="Book Antiqua" w:eastAsia="宋体" w:hAnsi="Book Antiqua" w:cs="Arial" w:hint="eastAsia"/>
          <w:lang w:eastAsia="zh-CN"/>
        </w:rPr>
        <w:t xml:space="preserve"> </w:t>
      </w:r>
      <w:r w:rsidRPr="00341571">
        <w:rPr>
          <w:rFonts w:ascii="Book Antiqua" w:hAnsi="Book Antiqua" w:cs="Arial"/>
        </w:rPr>
        <w:t xml:space="preserve">258, 95.2%) had peritoneal metastasis diagnosed at initial gastric cancer diagnosis, while the remaining 13 (4.8%) cases of </w:t>
      </w:r>
      <w:r w:rsidR="00B568F2" w:rsidRPr="00341571">
        <w:rPr>
          <w:rFonts w:ascii="Book Antiqua" w:hAnsi="Book Antiqua"/>
        </w:rPr>
        <w:t>PC</w:t>
      </w:r>
      <w:r w:rsidRPr="00341571">
        <w:rPr>
          <w:rFonts w:ascii="Book Antiqua" w:hAnsi="Book Antiqua" w:cs="Arial"/>
        </w:rPr>
        <w:t xml:space="preserve"> were diagnosed as a metastatic recurrence of previously treated gastric cancer. </w:t>
      </w:r>
      <w:r w:rsidR="00097993" w:rsidRPr="00341571">
        <w:rPr>
          <w:rFonts w:ascii="Book Antiqua" w:hAnsi="Book Antiqua" w:cs="Arial"/>
        </w:rPr>
        <w:t xml:space="preserve">In our cohort, </w:t>
      </w:r>
      <w:r w:rsidRPr="00341571">
        <w:rPr>
          <w:rFonts w:ascii="Book Antiqua" w:hAnsi="Book Antiqua" w:cs="Arial"/>
        </w:rPr>
        <w:t xml:space="preserve">217 (80.1%) patients had the peritoneum as the </w:t>
      </w:r>
      <w:r w:rsidRPr="00341571">
        <w:rPr>
          <w:rFonts w:ascii="Book Antiqua" w:hAnsi="Book Antiqua" w:cs="Arial"/>
        </w:rPr>
        <w:lastRenderedPageBreak/>
        <w:t>only site of metastasis at initial presentation, while</w:t>
      </w:r>
      <w:r w:rsidR="004B24FD" w:rsidRPr="00341571">
        <w:rPr>
          <w:rFonts w:ascii="Book Antiqua" w:hAnsi="Book Antiqua" w:cs="Arial"/>
        </w:rPr>
        <w:t xml:space="preserve"> 54 (19.9%) had other concomitant distant site(s) of metastasis. Approximately half of the </w:t>
      </w:r>
      <w:r w:rsidR="00C135E3" w:rsidRPr="00341571">
        <w:rPr>
          <w:rFonts w:ascii="Book Antiqua" w:hAnsi="Book Antiqua" w:cs="Arial"/>
        </w:rPr>
        <w:t xml:space="preserve">diagnosis of </w:t>
      </w:r>
      <w:r w:rsidR="00B568F2" w:rsidRPr="00341571">
        <w:rPr>
          <w:rFonts w:ascii="Book Antiqua" w:hAnsi="Book Antiqua"/>
        </w:rPr>
        <w:t>PC</w:t>
      </w:r>
      <w:r w:rsidR="00C135E3" w:rsidRPr="00341571">
        <w:rPr>
          <w:rFonts w:ascii="Book Antiqua" w:hAnsi="Book Antiqua" w:cs="Arial"/>
        </w:rPr>
        <w:t xml:space="preserve"> was</w:t>
      </w:r>
      <w:r w:rsidR="004B24FD" w:rsidRPr="00341571">
        <w:rPr>
          <w:rFonts w:ascii="Book Antiqua" w:hAnsi="Book Antiqua" w:cs="Arial"/>
        </w:rPr>
        <w:t xml:space="preserve"> </w:t>
      </w:r>
      <w:r w:rsidR="00C135E3" w:rsidRPr="00341571">
        <w:rPr>
          <w:rFonts w:ascii="Book Antiqua" w:hAnsi="Book Antiqua" w:cs="Arial"/>
        </w:rPr>
        <w:t xml:space="preserve">made </w:t>
      </w:r>
      <w:r w:rsidR="004B24FD" w:rsidRPr="00341571">
        <w:rPr>
          <w:rFonts w:ascii="Book Antiqua" w:hAnsi="Book Antiqua" w:cs="Arial"/>
        </w:rPr>
        <w:t>radiologically (</w:t>
      </w:r>
      <w:r w:rsidR="004B24FD" w:rsidRPr="0074487C">
        <w:rPr>
          <w:rFonts w:ascii="Book Antiqua" w:hAnsi="Book Antiqua" w:cs="Arial"/>
          <w:i/>
        </w:rPr>
        <w:t>n</w:t>
      </w:r>
      <w:r w:rsidR="0074487C">
        <w:rPr>
          <w:rFonts w:ascii="Book Antiqua" w:eastAsia="宋体" w:hAnsi="Book Antiqua" w:cs="Arial" w:hint="eastAsia"/>
          <w:lang w:eastAsia="zh-CN"/>
        </w:rPr>
        <w:t xml:space="preserve"> </w:t>
      </w:r>
      <w:r w:rsidR="004B24FD" w:rsidRPr="00341571">
        <w:rPr>
          <w:rFonts w:ascii="Book Antiqua" w:hAnsi="Book Antiqua" w:cs="Arial"/>
        </w:rPr>
        <w:t>=</w:t>
      </w:r>
      <w:r w:rsidR="0074487C">
        <w:rPr>
          <w:rFonts w:ascii="Book Antiqua" w:eastAsia="宋体" w:hAnsi="Book Antiqua" w:cs="Arial" w:hint="eastAsia"/>
          <w:lang w:eastAsia="zh-CN"/>
        </w:rPr>
        <w:t xml:space="preserve"> </w:t>
      </w:r>
      <w:r w:rsidR="004B24FD" w:rsidRPr="00341571">
        <w:rPr>
          <w:rFonts w:ascii="Book Antiqua" w:hAnsi="Book Antiqua" w:cs="Arial"/>
        </w:rPr>
        <w:t>134,</w:t>
      </w:r>
      <w:r w:rsidR="00C135E3" w:rsidRPr="00341571">
        <w:rPr>
          <w:rFonts w:ascii="Book Antiqua" w:hAnsi="Book Antiqua" w:cs="Arial"/>
        </w:rPr>
        <w:t xml:space="preserve"> 49.4%) while the remainder was</w:t>
      </w:r>
      <w:r w:rsidR="004B24FD" w:rsidRPr="00341571">
        <w:rPr>
          <w:rFonts w:ascii="Book Antiqua" w:hAnsi="Book Antiqua" w:cs="Arial"/>
        </w:rPr>
        <w:t xml:space="preserve"> </w:t>
      </w:r>
      <w:r w:rsidR="00C135E3" w:rsidRPr="00341571">
        <w:rPr>
          <w:rFonts w:ascii="Book Antiqua" w:hAnsi="Book Antiqua" w:cs="Arial"/>
        </w:rPr>
        <w:t>made</w:t>
      </w:r>
      <w:r w:rsidR="004B24FD" w:rsidRPr="00341571">
        <w:rPr>
          <w:rFonts w:ascii="Book Antiqua" w:hAnsi="Book Antiqua" w:cs="Arial"/>
        </w:rPr>
        <w:t xml:space="preserve"> intra-operatively.</w:t>
      </w:r>
      <w:r w:rsidR="002B423B" w:rsidRPr="00341571">
        <w:rPr>
          <w:rFonts w:ascii="Book Antiqua" w:hAnsi="Book Antiqua" w:cs="Arial"/>
        </w:rPr>
        <w:t xml:space="preserve"> Other gastric cancer-related characteristics of our cohort are summarized in Table 2.</w:t>
      </w:r>
      <w:r w:rsidR="00420CD7" w:rsidRPr="00341571">
        <w:rPr>
          <w:rFonts w:ascii="Book Antiqua" w:hAnsi="Book Antiqua" w:cs="Arial"/>
        </w:rPr>
        <w:t xml:space="preserve"> Of note, when comparing patients with peritoneal metastasis only to patients with other concomitant distant sites of metastasis, </w:t>
      </w:r>
      <w:r w:rsidR="00443758" w:rsidRPr="00341571">
        <w:rPr>
          <w:rFonts w:ascii="Book Antiqua" w:hAnsi="Book Antiqua" w:cs="Arial"/>
        </w:rPr>
        <w:t>there was</w:t>
      </w:r>
      <w:r w:rsidR="00420CD7" w:rsidRPr="00341571">
        <w:rPr>
          <w:rFonts w:ascii="Book Antiqua" w:hAnsi="Book Antiqua" w:cs="Arial"/>
        </w:rPr>
        <w:t xml:space="preserve"> a higher proportion of females (53.9%</w:t>
      </w:r>
      <w:r w:rsidR="00420CD7" w:rsidRPr="0074487C">
        <w:rPr>
          <w:rFonts w:ascii="Book Antiqua" w:hAnsi="Book Antiqua" w:cs="Arial"/>
          <w:i/>
        </w:rPr>
        <w:t xml:space="preserve"> vs </w:t>
      </w:r>
      <w:r w:rsidR="00420CD7" w:rsidRPr="00341571">
        <w:rPr>
          <w:rFonts w:ascii="Book Antiqua" w:hAnsi="Book Antiqua" w:cs="Arial"/>
        </w:rPr>
        <w:t xml:space="preserve">37.0%, </w:t>
      </w:r>
      <w:r w:rsidR="0074487C" w:rsidRPr="0074487C">
        <w:rPr>
          <w:rFonts w:ascii="Book Antiqua" w:hAnsi="Book Antiqua" w:cs="Arial"/>
          <w:i/>
        </w:rPr>
        <w:t>P</w:t>
      </w:r>
      <w:r w:rsidR="0074487C">
        <w:rPr>
          <w:rFonts w:ascii="Book Antiqua" w:eastAsia="宋体" w:hAnsi="Book Antiqua" w:cs="Arial" w:hint="eastAsia"/>
          <w:lang w:eastAsia="zh-CN"/>
        </w:rPr>
        <w:t xml:space="preserve"> </w:t>
      </w:r>
      <w:r w:rsidR="00420CD7" w:rsidRPr="00341571">
        <w:rPr>
          <w:rFonts w:ascii="Book Antiqua" w:hAnsi="Book Antiqua" w:cs="Arial"/>
        </w:rPr>
        <w:t>=</w:t>
      </w:r>
      <w:r w:rsidR="0074487C">
        <w:rPr>
          <w:rFonts w:ascii="Book Antiqua" w:eastAsia="宋体" w:hAnsi="Book Antiqua" w:cs="Arial" w:hint="eastAsia"/>
          <w:lang w:eastAsia="zh-CN"/>
        </w:rPr>
        <w:t xml:space="preserve"> </w:t>
      </w:r>
      <w:r w:rsidR="00420CD7" w:rsidRPr="00341571">
        <w:rPr>
          <w:rFonts w:ascii="Book Antiqua" w:hAnsi="Book Antiqua" w:cs="Arial"/>
        </w:rPr>
        <w:t xml:space="preserve">0.026) and diffuse histology (57.1% </w:t>
      </w:r>
      <w:r w:rsidR="00420CD7" w:rsidRPr="0074487C">
        <w:rPr>
          <w:rFonts w:ascii="Book Antiqua" w:hAnsi="Book Antiqua" w:cs="Arial"/>
          <w:i/>
        </w:rPr>
        <w:t>vs</w:t>
      </w:r>
      <w:r w:rsidR="00420CD7" w:rsidRPr="00341571">
        <w:rPr>
          <w:rFonts w:ascii="Book Antiqua" w:hAnsi="Book Antiqua" w:cs="Arial"/>
        </w:rPr>
        <w:t xml:space="preserve"> 33.3%, </w:t>
      </w:r>
      <w:r w:rsidR="0074487C" w:rsidRPr="0074487C">
        <w:rPr>
          <w:rFonts w:ascii="Book Antiqua" w:hAnsi="Book Antiqua" w:cs="Arial"/>
          <w:i/>
        </w:rPr>
        <w:t>P</w:t>
      </w:r>
      <w:r w:rsidR="0074487C" w:rsidRPr="00341571">
        <w:rPr>
          <w:rFonts w:ascii="Book Antiqua" w:hAnsi="Book Antiqua" w:cs="Arial"/>
        </w:rPr>
        <w:t xml:space="preserve"> </w:t>
      </w:r>
      <w:r w:rsidR="00420CD7" w:rsidRPr="00341571">
        <w:rPr>
          <w:rFonts w:ascii="Book Antiqua" w:hAnsi="Book Antiqua" w:cs="Arial"/>
        </w:rPr>
        <w:t>=</w:t>
      </w:r>
      <w:r w:rsidR="0074487C">
        <w:rPr>
          <w:rFonts w:ascii="Book Antiqua" w:eastAsia="宋体" w:hAnsi="Book Antiqua" w:cs="Arial" w:hint="eastAsia"/>
          <w:lang w:eastAsia="zh-CN"/>
        </w:rPr>
        <w:t xml:space="preserve"> </w:t>
      </w:r>
      <w:r w:rsidR="00420CD7" w:rsidRPr="00341571">
        <w:rPr>
          <w:rFonts w:ascii="Book Antiqua" w:hAnsi="Book Antiqua" w:cs="Arial"/>
        </w:rPr>
        <w:t xml:space="preserve">0.002), </w:t>
      </w:r>
      <w:r w:rsidR="00443758" w:rsidRPr="00341571">
        <w:rPr>
          <w:rFonts w:ascii="Book Antiqua" w:hAnsi="Book Antiqua" w:cs="Arial"/>
        </w:rPr>
        <w:t xml:space="preserve">and </w:t>
      </w:r>
      <w:r w:rsidR="00420CD7" w:rsidRPr="00341571">
        <w:rPr>
          <w:rFonts w:ascii="Book Antiqua" w:hAnsi="Book Antiqua" w:cs="Arial"/>
        </w:rPr>
        <w:t>a lower proportion of HER2/Neu overexpression (16.4%</w:t>
      </w:r>
      <w:r w:rsidR="00420CD7" w:rsidRPr="0074487C">
        <w:rPr>
          <w:rFonts w:ascii="Book Antiqua" w:hAnsi="Book Antiqua" w:cs="Arial"/>
          <w:i/>
        </w:rPr>
        <w:t xml:space="preserve"> vs</w:t>
      </w:r>
      <w:r w:rsidR="00420CD7" w:rsidRPr="00341571">
        <w:rPr>
          <w:rFonts w:ascii="Book Antiqua" w:hAnsi="Book Antiqua" w:cs="Arial"/>
        </w:rPr>
        <w:t xml:space="preserve"> 33.3%,</w:t>
      </w:r>
      <w:r w:rsidR="0074487C" w:rsidRPr="0074487C">
        <w:rPr>
          <w:rFonts w:ascii="Book Antiqua" w:hAnsi="Book Antiqua" w:cs="Arial"/>
          <w:i/>
        </w:rPr>
        <w:t xml:space="preserve"> P</w:t>
      </w:r>
      <w:r w:rsidR="0074487C" w:rsidRPr="00341571">
        <w:rPr>
          <w:rFonts w:ascii="Book Antiqua" w:hAnsi="Book Antiqua" w:cs="Arial"/>
        </w:rPr>
        <w:t xml:space="preserve"> </w:t>
      </w:r>
      <w:r w:rsidR="00420CD7" w:rsidRPr="00341571">
        <w:rPr>
          <w:rFonts w:ascii="Book Antiqua" w:hAnsi="Book Antiqua" w:cs="Arial"/>
        </w:rPr>
        <w:t>=</w:t>
      </w:r>
      <w:r w:rsidR="0074487C">
        <w:rPr>
          <w:rFonts w:ascii="Book Antiqua" w:eastAsia="宋体" w:hAnsi="Book Antiqua" w:cs="Arial" w:hint="eastAsia"/>
          <w:lang w:eastAsia="zh-CN"/>
        </w:rPr>
        <w:t xml:space="preserve"> </w:t>
      </w:r>
      <w:r w:rsidR="00420CD7" w:rsidRPr="00341571">
        <w:rPr>
          <w:rFonts w:ascii="Book Antiqua" w:hAnsi="Book Antiqua" w:cs="Arial"/>
        </w:rPr>
        <w:t>0.029).</w:t>
      </w:r>
    </w:p>
    <w:p w14:paraId="7DFB83AA" w14:textId="77777777" w:rsidR="000F4FD4" w:rsidRPr="00341571" w:rsidRDefault="000F4FD4" w:rsidP="00341571">
      <w:pPr>
        <w:spacing w:line="360" w:lineRule="auto"/>
        <w:jc w:val="both"/>
        <w:rPr>
          <w:rFonts w:ascii="Book Antiqua" w:hAnsi="Book Antiqua" w:cs="Arial"/>
        </w:rPr>
      </w:pPr>
    </w:p>
    <w:p w14:paraId="78DB32E8" w14:textId="26A706B1" w:rsidR="009D7584" w:rsidRPr="0074487C" w:rsidRDefault="000F4FD4" w:rsidP="00341571">
      <w:pPr>
        <w:spacing w:line="360" w:lineRule="auto"/>
        <w:jc w:val="both"/>
        <w:rPr>
          <w:rFonts w:ascii="Book Antiqua" w:eastAsia="宋体" w:hAnsi="Book Antiqua" w:cs="Arial"/>
          <w:b/>
          <w:i/>
          <w:lang w:eastAsia="zh-CN"/>
        </w:rPr>
      </w:pPr>
      <w:r w:rsidRPr="0074487C">
        <w:rPr>
          <w:rFonts w:ascii="Book Antiqua" w:hAnsi="Book Antiqua" w:cs="Arial"/>
          <w:b/>
          <w:i/>
        </w:rPr>
        <w:t>Palliative systemic chemotherapy</w:t>
      </w:r>
    </w:p>
    <w:p w14:paraId="34F70246" w14:textId="4CAFD10C" w:rsidR="000F4FD4" w:rsidRPr="00341571" w:rsidRDefault="00162AAC" w:rsidP="00341571">
      <w:pPr>
        <w:spacing w:line="360" w:lineRule="auto"/>
        <w:jc w:val="both"/>
        <w:rPr>
          <w:rFonts w:ascii="Book Antiqua" w:hAnsi="Book Antiqua" w:cs="Arial"/>
        </w:rPr>
      </w:pPr>
      <w:r w:rsidRPr="00341571">
        <w:rPr>
          <w:rFonts w:ascii="Book Antiqua" w:hAnsi="Book Antiqua" w:cs="Arial"/>
        </w:rPr>
        <w:t>Palliative systemic chemotherapy was offered as standard of care in all patients with metastatic gastric cancer in our institution in close d</w:t>
      </w:r>
      <w:r w:rsidR="00626CC4" w:rsidRPr="00341571">
        <w:rPr>
          <w:rFonts w:ascii="Book Antiqua" w:hAnsi="Book Antiqua" w:cs="Arial"/>
        </w:rPr>
        <w:t>iscussion with each patient, with 175 (64.6%) patients eventually planned for systemic chemotherapy</w:t>
      </w:r>
      <w:r w:rsidR="00C12657" w:rsidRPr="00341571">
        <w:rPr>
          <w:rFonts w:ascii="Book Antiqua" w:hAnsi="Book Antiqua" w:cs="Arial"/>
        </w:rPr>
        <w:t xml:space="preserve"> following initial metastatic presentation</w:t>
      </w:r>
      <w:r w:rsidR="00626CC4" w:rsidRPr="00341571">
        <w:rPr>
          <w:rFonts w:ascii="Book Antiqua" w:hAnsi="Book Antiqua" w:cs="Arial"/>
        </w:rPr>
        <w:t xml:space="preserve">. </w:t>
      </w:r>
      <w:r w:rsidR="00C12657" w:rsidRPr="00341571">
        <w:rPr>
          <w:rFonts w:ascii="Book Antiqua" w:hAnsi="Book Antiqua" w:cs="Arial"/>
        </w:rPr>
        <w:t xml:space="preserve">The subsequent chemotherapy-related clinical course of these patients is summarized in Figure 1. </w:t>
      </w:r>
      <w:r w:rsidR="00626CC4" w:rsidRPr="00341571">
        <w:rPr>
          <w:rFonts w:ascii="Book Antiqua" w:hAnsi="Book Antiqua" w:cs="Arial"/>
        </w:rPr>
        <w:t xml:space="preserve">Expectedly, the baseline functional and medical status of patients planned for systemic chemotherapy were significantly better than those who opted for best supportive care upfront, with ECOG ratings 0-2 in 98.9% </w:t>
      </w:r>
      <w:r w:rsidR="00626CC4" w:rsidRPr="0074487C">
        <w:rPr>
          <w:rFonts w:ascii="Book Antiqua" w:hAnsi="Book Antiqua" w:cs="Arial"/>
          <w:i/>
        </w:rPr>
        <w:t>vs</w:t>
      </w:r>
      <w:r w:rsidR="00626CC4" w:rsidRPr="00341571">
        <w:rPr>
          <w:rFonts w:ascii="Book Antiqua" w:hAnsi="Book Antiqua" w:cs="Arial"/>
        </w:rPr>
        <w:t xml:space="preserve"> 82.3% (</w:t>
      </w:r>
      <w:r w:rsidR="0074487C" w:rsidRPr="0074487C">
        <w:rPr>
          <w:rFonts w:ascii="Book Antiqua" w:hAnsi="Book Antiqua" w:cs="Arial"/>
          <w:i/>
        </w:rPr>
        <w:t>P</w:t>
      </w:r>
      <w:r w:rsidR="0074487C" w:rsidRPr="00341571">
        <w:rPr>
          <w:rFonts w:ascii="Book Antiqua" w:hAnsi="Book Antiqua" w:cs="Arial"/>
        </w:rPr>
        <w:t xml:space="preserve"> </w:t>
      </w:r>
      <w:r w:rsidR="00626CC4" w:rsidRPr="00341571">
        <w:rPr>
          <w:rFonts w:ascii="Book Antiqua" w:hAnsi="Book Antiqua" w:cs="Arial"/>
        </w:rPr>
        <w:t>&lt;</w:t>
      </w:r>
      <w:r w:rsidR="0074487C">
        <w:rPr>
          <w:rFonts w:ascii="Book Antiqua" w:eastAsia="宋体" w:hAnsi="Book Antiqua" w:cs="Arial" w:hint="eastAsia"/>
          <w:lang w:eastAsia="zh-CN"/>
        </w:rPr>
        <w:t xml:space="preserve"> </w:t>
      </w:r>
      <w:r w:rsidR="00626CC4" w:rsidRPr="00341571">
        <w:rPr>
          <w:rFonts w:ascii="Book Antiqua" w:hAnsi="Book Antiqua" w:cs="Arial"/>
        </w:rPr>
        <w:t xml:space="preserve">0.001) and ASA scores of 1-2 in 92.0% </w:t>
      </w:r>
      <w:r w:rsidR="00626CC4" w:rsidRPr="0074487C">
        <w:rPr>
          <w:rFonts w:ascii="Book Antiqua" w:hAnsi="Book Antiqua" w:cs="Arial"/>
          <w:i/>
        </w:rPr>
        <w:t>vs</w:t>
      </w:r>
      <w:r w:rsidR="00626CC4" w:rsidRPr="00341571">
        <w:rPr>
          <w:rFonts w:ascii="Book Antiqua" w:hAnsi="Book Antiqua" w:cs="Arial"/>
        </w:rPr>
        <w:t xml:space="preserve"> 77.1% (</w:t>
      </w:r>
      <w:r w:rsidR="0074487C" w:rsidRPr="0074487C">
        <w:rPr>
          <w:rFonts w:ascii="Book Antiqua" w:hAnsi="Book Antiqua" w:cs="Arial"/>
          <w:i/>
        </w:rPr>
        <w:t>P</w:t>
      </w:r>
      <w:r w:rsidR="0074487C" w:rsidRPr="00341571">
        <w:rPr>
          <w:rFonts w:ascii="Book Antiqua" w:hAnsi="Book Antiqua" w:cs="Arial"/>
        </w:rPr>
        <w:t xml:space="preserve"> </w:t>
      </w:r>
      <w:r w:rsidR="00626CC4" w:rsidRPr="00341571">
        <w:rPr>
          <w:rFonts w:ascii="Book Antiqua" w:hAnsi="Book Antiqua" w:cs="Arial"/>
        </w:rPr>
        <w:t>=</w:t>
      </w:r>
      <w:r w:rsidR="0074487C">
        <w:rPr>
          <w:rFonts w:ascii="Book Antiqua" w:eastAsia="宋体" w:hAnsi="Book Antiqua" w:cs="Arial" w:hint="eastAsia"/>
          <w:lang w:eastAsia="zh-CN"/>
        </w:rPr>
        <w:t xml:space="preserve"> </w:t>
      </w:r>
      <w:r w:rsidR="00626CC4" w:rsidRPr="00341571">
        <w:rPr>
          <w:rFonts w:ascii="Book Antiqua" w:hAnsi="Book Antiqua" w:cs="Arial"/>
        </w:rPr>
        <w:t>0.001)</w:t>
      </w:r>
      <w:r w:rsidR="00C12657" w:rsidRPr="00341571">
        <w:rPr>
          <w:rFonts w:ascii="Book Antiqua" w:hAnsi="Book Antiqua" w:cs="Arial"/>
        </w:rPr>
        <w:t>. Four patients planned for systemic chemotherapy did not eventually initiate chemotherapy as three passed away prior to chemotherapy initiation due to cancer-related complications while one defaulted further follow-up for chemotherapy initiation.</w:t>
      </w:r>
      <w:r w:rsidR="006513F1" w:rsidRPr="00341571">
        <w:rPr>
          <w:rFonts w:ascii="Book Antiqua" w:hAnsi="Book Antiqua" w:cs="Arial"/>
        </w:rPr>
        <w:t xml:space="preserve"> </w:t>
      </w:r>
    </w:p>
    <w:p w14:paraId="3AE9D516" w14:textId="69E2F771" w:rsidR="007C0F6C" w:rsidRPr="00341571" w:rsidRDefault="007E505A" w:rsidP="0074487C">
      <w:pPr>
        <w:spacing w:line="360" w:lineRule="auto"/>
        <w:ind w:firstLineChars="100" w:firstLine="240"/>
        <w:jc w:val="both"/>
        <w:rPr>
          <w:rFonts w:ascii="Book Antiqua" w:hAnsi="Book Antiqua" w:cs="Arial"/>
        </w:rPr>
      </w:pPr>
      <w:r w:rsidRPr="00341571">
        <w:rPr>
          <w:rFonts w:ascii="Book Antiqua" w:hAnsi="Book Antiqua" w:cs="Arial"/>
        </w:rPr>
        <w:t xml:space="preserve">The most common first-line chemotherapy regimes utilized in our cohort are summarized in Table 3. Notably, </w:t>
      </w:r>
      <w:r w:rsidR="00614EC6" w:rsidRPr="00341571">
        <w:rPr>
          <w:rFonts w:ascii="Book Antiqua" w:hAnsi="Book Antiqua" w:cs="Arial"/>
        </w:rPr>
        <w:t xml:space="preserve">of the 171 patients who eventually initiated chemotherapy, </w:t>
      </w:r>
      <w:r w:rsidRPr="00341571">
        <w:rPr>
          <w:rFonts w:ascii="Book Antiqua" w:hAnsi="Book Antiqua" w:cs="Arial"/>
        </w:rPr>
        <w:t xml:space="preserve">138 (80.7%) patients received </w:t>
      </w:r>
      <w:r w:rsidR="00097993" w:rsidRPr="00341571">
        <w:rPr>
          <w:rFonts w:ascii="Book Antiqua" w:hAnsi="Book Antiqua" w:cs="Arial"/>
        </w:rPr>
        <w:t>two</w:t>
      </w:r>
      <w:r w:rsidRPr="00341571">
        <w:rPr>
          <w:rFonts w:ascii="Book Antiqua" w:hAnsi="Book Antiqua" w:cs="Arial"/>
        </w:rPr>
        <w:t xml:space="preserve"> or </w:t>
      </w:r>
      <w:r w:rsidR="00097993" w:rsidRPr="00341571">
        <w:rPr>
          <w:rFonts w:ascii="Book Antiqua" w:hAnsi="Book Antiqua" w:cs="Arial"/>
        </w:rPr>
        <w:t>three</w:t>
      </w:r>
      <w:r w:rsidRPr="00341571">
        <w:rPr>
          <w:rFonts w:ascii="Book Antiqua" w:hAnsi="Book Antiqua" w:cs="Arial"/>
        </w:rPr>
        <w:t xml:space="preserve">-agent chemotherapy regimes as first-line therapy. </w:t>
      </w:r>
      <w:r w:rsidR="000F4FD4" w:rsidRPr="00341571">
        <w:rPr>
          <w:rFonts w:ascii="Book Antiqua" w:hAnsi="Book Antiqua" w:cs="Arial"/>
        </w:rPr>
        <w:t xml:space="preserve">Our patients underwent a median of </w:t>
      </w:r>
      <w:r w:rsidR="00097993" w:rsidRPr="00341571">
        <w:rPr>
          <w:rFonts w:ascii="Book Antiqua" w:hAnsi="Book Antiqua" w:cs="Arial"/>
        </w:rPr>
        <w:t>one</w:t>
      </w:r>
      <w:r w:rsidR="000F4FD4" w:rsidRPr="00341571">
        <w:rPr>
          <w:rFonts w:ascii="Book Antiqua" w:hAnsi="Book Antiqua" w:cs="Arial"/>
        </w:rPr>
        <w:t xml:space="preserve"> line of chemotherapy (</w:t>
      </w:r>
      <w:r w:rsidR="00F42B6E" w:rsidRPr="00341571">
        <w:rPr>
          <w:rFonts w:ascii="Book Antiqua" w:hAnsi="Book Antiqua" w:cs="Arial"/>
        </w:rPr>
        <w:t>IQR 1-2</w:t>
      </w:r>
      <w:r w:rsidR="000F4FD4" w:rsidRPr="00341571">
        <w:rPr>
          <w:rFonts w:ascii="Book Antiqua" w:hAnsi="Book Antiqua" w:cs="Arial"/>
        </w:rPr>
        <w:t xml:space="preserve">), completing a median of </w:t>
      </w:r>
      <w:r w:rsidR="00097993" w:rsidRPr="00341571">
        <w:rPr>
          <w:rFonts w:ascii="Book Antiqua" w:hAnsi="Book Antiqua" w:cs="Arial"/>
        </w:rPr>
        <w:t>six</w:t>
      </w:r>
      <w:r w:rsidR="000F4FD4" w:rsidRPr="00341571">
        <w:rPr>
          <w:rFonts w:ascii="Book Antiqua" w:hAnsi="Book Antiqua" w:cs="Arial"/>
        </w:rPr>
        <w:t xml:space="preserve"> cycles in total (</w:t>
      </w:r>
      <w:r w:rsidR="00F42B6E" w:rsidRPr="00341571">
        <w:rPr>
          <w:rFonts w:ascii="Book Antiqua" w:hAnsi="Book Antiqua" w:cs="Arial"/>
        </w:rPr>
        <w:t>IQR 3-11</w:t>
      </w:r>
      <w:r w:rsidR="000F4FD4" w:rsidRPr="00341571">
        <w:rPr>
          <w:rFonts w:ascii="Book Antiqua" w:hAnsi="Book Antiqua" w:cs="Arial"/>
        </w:rPr>
        <w:t>).</w:t>
      </w:r>
      <w:r w:rsidR="00DB5243" w:rsidRPr="00341571">
        <w:rPr>
          <w:rFonts w:ascii="Book Antiqua" w:hAnsi="Book Antiqua" w:cs="Arial"/>
        </w:rPr>
        <w:t xml:space="preserve"> </w:t>
      </w:r>
      <w:r w:rsidR="00614EC6" w:rsidRPr="00341571">
        <w:rPr>
          <w:rFonts w:ascii="Book Antiqua" w:hAnsi="Book Antiqua" w:cs="Arial"/>
        </w:rPr>
        <w:t xml:space="preserve">Chemotherapy was disrupted in 114 (66.7%) cases due to unplanned hospitalizations, with a median duration of disruption of </w:t>
      </w:r>
      <w:r w:rsidR="00097993" w:rsidRPr="00341571">
        <w:rPr>
          <w:rFonts w:ascii="Book Antiqua" w:hAnsi="Book Antiqua" w:cs="Arial"/>
        </w:rPr>
        <w:t>two</w:t>
      </w:r>
      <w:r w:rsidR="00614EC6" w:rsidRPr="00341571">
        <w:rPr>
          <w:rFonts w:ascii="Book Antiqua" w:hAnsi="Book Antiqua" w:cs="Arial"/>
        </w:rPr>
        <w:t xml:space="preserve"> </w:t>
      </w:r>
      <w:r w:rsidR="00614EC6" w:rsidRPr="00341571">
        <w:rPr>
          <w:rFonts w:ascii="Book Antiqua" w:hAnsi="Book Antiqua" w:cs="Arial"/>
        </w:rPr>
        <w:lastRenderedPageBreak/>
        <w:t>weeks (IQR 1-2.25)</w:t>
      </w:r>
      <w:r w:rsidR="00461843" w:rsidRPr="00341571">
        <w:rPr>
          <w:rFonts w:ascii="Book Antiqua" w:hAnsi="Book Antiqua" w:cs="Arial"/>
        </w:rPr>
        <w:t xml:space="preserve"> each time</w:t>
      </w:r>
      <w:r w:rsidR="00614EC6" w:rsidRPr="00341571">
        <w:rPr>
          <w:rFonts w:ascii="Book Antiqua" w:hAnsi="Book Antiqua" w:cs="Arial"/>
        </w:rPr>
        <w:t>. Chemotherapy-related toxicity was documented in 81 (47.4%) of cases</w:t>
      </w:r>
      <w:r w:rsidR="00461843" w:rsidRPr="00341571">
        <w:rPr>
          <w:rFonts w:ascii="Book Antiqua" w:hAnsi="Book Antiqua" w:cs="Arial"/>
        </w:rPr>
        <w:t>, most commonly affecting the gastrointestinal (</w:t>
      </w:r>
      <w:r w:rsidR="00461843" w:rsidRPr="0074487C">
        <w:rPr>
          <w:rFonts w:ascii="Book Antiqua" w:hAnsi="Book Antiqua" w:cs="Arial"/>
          <w:i/>
        </w:rPr>
        <w:t>n</w:t>
      </w:r>
      <w:r w:rsidR="0074487C">
        <w:rPr>
          <w:rFonts w:ascii="Book Antiqua" w:eastAsia="宋体" w:hAnsi="Book Antiqua" w:cs="Arial" w:hint="eastAsia"/>
          <w:lang w:eastAsia="zh-CN"/>
        </w:rPr>
        <w:t xml:space="preserve"> </w:t>
      </w:r>
      <w:r w:rsidR="00461843" w:rsidRPr="00341571">
        <w:rPr>
          <w:rFonts w:ascii="Book Antiqua" w:hAnsi="Book Antiqua" w:cs="Arial"/>
        </w:rPr>
        <w:t>=</w:t>
      </w:r>
      <w:r w:rsidR="0074487C">
        <w:rPr>
          <w:rFonts w:ascii="Book Antiqua" w:eastAsia="宋体" w:hAnsi="Book Antiqua" w:cs="Arial" w:hint="eastAsia"/>
          <w:lang w:eastAsia="zh-CN"/>
        </w:rPr>
        <w:t xml:space="preserve"> </w:t>
      </w:r>
      <w:r w:rsidR="00461843" w:rsidRPr="00341571">
        <w:rPr>
          <w:rFonts w:ascii="Book Antiqua" w:hAnsi="Book Antiqua" w:cs="Arial"/>
        </w:rPr>
        <w:t>28, 34.6%), n</w:t>
      </w:r>
      <w:r w:rsidR="00097993" w:rsidRPr="00341571">
        <w:rPr>
          <w:rFonts w:ascii="Book Antiqua" w:hAnsi="Book Antiqua" w:cs="Arial"/>
        </w:rPr>
        <w:t>eurological (</w:t>
      </w:r>
      <w:r w:rsidR="0074487C" w:rsidRPr="0074487C">
        <w:rPr>
          <w:rFonts w:ascii="Book Antiqua" w:hAnsi="Book Antiqua" w:cs="Arial"/>
          <w:i/>
        </w:rPr>
        <w:t>n</w:t>
      </w:r>
      <w:r w:rsidR="0074487C">
        <w:rPr>
          <w:rFonts w:ascii="Book Antiqua" w:eastAsia="宋体" w:hAnsi="Book Antiqua" w:cs="Arial" w:hint="eastAsia"/>
          <w:lang w:eastAsia="zh-CN"/>
        </w:rPr>
        <w:t xml:space="preserve"> </w:t>
      </w:r>
      <w:r w:rsidR="0074487C" w:rsidRPr="00341571">
        <w:rPr>
          <w:rFonts w:ascii="Book Antiqua" w:hAnsi="Book Antiqua" w:cs="Arial"/>
        </w:rPr>
        <w:t>=</w:t>
      </w:r>
      <w:r w:rsidR="0074487C">
        <w:rPr>
          <w:rFonts w:ascii="Book Antiqua" w:eastAsia="宋体" w:hAnsi="Book Antiqua" w:cs="Arial" w:hint="eastAsia"/>
          <w:lang w:eastAsia="zh-CN"/>
        </w:rPr>
        <w:t xml:space="preserve"> </w:t>
      </w:r>
      <w:r w:rsidR="00097993" w:rsidRPr="00341571">
        <w:rPr>
          <w:rFonts w:ascii="Book Antiqua" w:hAnsi="Book Antiqua" w:cs="Arial"/>
        </w:rPr>
        <w:t>23, 28.4%) and h</w:t>
      </w:r>
      <w:r w:rsidR="00461843" w:rsidRPr="00341571">
        <w:rPr>
          <w:rFonts w:ascii="Book Antiqua" w:hAnsi="Book Antiqua" w:cs="Arial"/>
        </w:rPr>
        <w:t>ematological (</w:t>
      </w:r>
      <w:r w:rsidR="0074487C" w:rsidRPr="0074487C">
        <w:rPr>
          <w:rFonts w:ascii="Book Antiqua" w:hAnsi="Book Antiqua" w:cs="Arial"/>
          <w:i/>
        </w:rPr>
        <w:t>n</w:t>
      </w:r>
      <w:r w:rsidR="0074487C">
        <w:rPr>
          <w:rFonts w:ascii="Book Antiqua" w:eastAsia="宋体" w:hAnsi="Book Antiqua" w:cs="Arial" w:hint="eastAsia"/>
          <w:lang w:eastAsia="zh-CN"/>
        </w:rPr>
        <w:t xml:space="preserve"> </w:t>
      </w:r>
      <w:r w:rsidR="0074487C" w:rsidRPr="00341571">
        <w:rPr>
          <w:rFonts w:ascii="Book Antiqua" w:hAnsi="Book Antiqua" w:cs="Arial"/>
        </w:rPr>
        <w:t>=</w:t>
      </w:r>
      <w:r w:rsidR="0074487C">
        <w:rPr>
          <w:rFonts w:ascii="Book Antiqua" w:eastAsia="宋体" w:hAnsi="Book Antiqua" w:cs="Arial" w:hint="eastAsia"/>
          <w:lang w:eastAsia="zh-CN"/>
        </w:rPr>
        <w:t xml:space="preserve"> </w:t>
      </w:r>
      <w:r w:rsidR="00461843" w:rsidRPr="00341571">
        <w:rPr>
          <w:rFonts w:ascii="Book Antiqua" w:hAnsi="Book Antiqua" w:cs="Arial"/>
        </w:rPr>
        <w:t xml:space="preserve">22, 27.2%) systems. </w:t>
      </w:r>
    </w:p>
    <w:p w14:paraId="3979939D" w14:textId="5ED7C122" w:rsidR="00F81C0B" w:rsidRPr="00341571" w:rsidRDefault="007C0F6C" w:rsidP="0074487C">
      <w:pPr>
        <w:spacing w:line="360" w:lineRule="auto"/>
        <w:ind w:firstLineChars="100" w:firstLine="240"/>
        <w:jc w:val="both"/>
        <w:rPr>
          <w:rFonts w:ascii="Book Antiqua" w:hAnsi="Book Antiqua" w:cs="Arial"/>
        </w:rPr>
      </w:pPr>
      <w:r w:rsidRPr="00341571">
        <w:rPr>
          <w:rFonts w:ascii="Book Antiqua" w:hAnsi="Book Antiqua" w:cs="Arial"/>
        </w:rPr>
        <w:t xml:space="preserve">Cessation of systemic chemotherapy occurred in 157 (91.8%) of patients due to a variety of reasons as delineated in Figure 1. </w:t>
      </w:r>
      <w:r w:rsidR="005D6E38" w:rsidRPr="00341571">
        <w:rPr>
          <w:rFonts w:ascii="Book Antiqua" w:hAnsi="Book Antiqua" w:cs="Arial"/>
        </w:rPr>
        <w:t>Of note, s</w:t>
      </w:r>
      <w:r w:rsidRPr="00341571">
        <w:rPr>
          <w:rFonts w:ascii="Book Antiqua" w:hAnsi="Book Antiqua" w:cs="Arial"/>
        </w:rPr>
        <w:t>lightly over a quarter (</w:t>
      </w:r>
      <w:r w:rsidR="0074487C" w:rsidRPr="0074487C">
        <w:rPr>
          <w:rFonts w:ascii="Book Antiqua" w:hAnsi="Book Antiqua" w:cs="Arial"/>
          <w:i/>
        </w:rPr>
        <w:t>n</w:t>
      </w:r>
      <w:r w:rsidR="0074487C">
        <w:rPr>
          <w:rFonts w:ascii="Book Antiqua" w:eastAsia="宋体" w:hAnsi="Book Antiqua" w:cs="Arial" w:hint="eastAsia"/>
          <w:lang w:eastAsia="zh-CN"/>
        </w:rPr>
        <w:t xml:space="preserve"> </w:t>
      </w:r>
      <w:r w:rsidR="0074487C" w:rsidRPr="00341571">
        <w:rPr>
          <w:rFonts w:ascii="Book Antiqua" w:hAnsi="Book Antiqua" w:cs="Arial"/>
        </w:rPr>
        <w:t>=</w:t>
      </w:r>
      <w:r w:rsidR="0074487C">
        <w:rPr>
          <w:rFonts w:ascii="Book Antiqua" w:eastAsia="宋体" w:hAnsi="Book Antiqua" w:cs="Arial" w:hint="eastAsia"/>
          <w:lang w:eastAsia="zh-CN"/>
        </w:rPr>
        <w:t xml:space="preserve"> </w:t>
      </w:r>
      <w:r w:rsidR="005D6E38" w:rsidRPr="00341571">
        <w:rPr>
          <w:rFonts w:ascii="Book Antiqua" w:hAnsi="Book Antiqua" w:cs="Arial"/>
        </w:rPr>
        <w:t>42, 26.8%) of cessations were primarily attributable to peritoneal disease-related complications. Eventually</w:t>
      </w:r>
      <w:r w:rsidR="00461843" w:rsidRPr="00341571">
        <w:rPr>
          <w:rFonts w:ascii="Book Antiqua" w:hAnsi="Book Antiqua" w:cs="Arial"/>
        </w:rPr>
        <w:t>, only 14 (8.2%) patients completed their courses of chemotherapy with subsequent close clinical surveillance.</w:t>
      </w:r>
    </w:p>
    <w:p w14:paraId="529AB7D1" w14:textId="77777777" w:rsidR="00C72DA5" w:rsidRPr="00341571" w:rsidRDefault="00C72DA5" w:rsidP="00341571">
      <w:pPr>
        <w:spacing w:line="360" w:lineRule="auto"/>
        <w:jc w:val="both"/>
        <w:rPr>
          <w:rFonts w:ascii="Book Antiqua" w:hAnsi="Book Antiqua" w:cs="Arial"/>
        </w:rPr>
      </w:pPr>
    </w:p>
    <w:p w14:paraId="77276EA6" w14:textId="16192B5E" w:rsidR="009D7584" w:rsidRPr="0074487C" w:rsidRDefault="00C72DA5" w:rsidP="00341571">
      <w:pPr>
        <w:spacing w:line="360" w:lineRule="auto"/>
        <w:jc w:val="both"/>
        <w:rPr>
          <w:rFonts w:ascii="Book Antiqua" w:eastAsia="宋体" w:hAnsi="Book Antiqua" w:cs="Arial"/>
          <w:b/>
          <w:i/>
          <w:lang w:eastAsia="zh-CN"/>
        </w:rPr>
      </w:pPr>
      <w:r w:rsidRPr="0074487C">
        <w:rPr>
          <w:rFonts w:ascii="Book Antiqua" w:hAnsi="Book Antiqua" w:cs="Arial"/>
          <w:b/>
          <w:i/>
        </w:rPr>
        <w:t>Clinical course and therapeutic interventions</w:t>
      </w:r>
    </w:p>
    <w:p w14:paraId="2E60212A" w14:textId="3BFD6740" w:rsidR="00B63135" w:rsidRPr="00341571" w:rsidRDefault="00C72DA5" w:rsidP="00341571">
      <w:pPr>
        <w:spacing w:line="360" w:lineRule="auto"/>
        <w:jc w:val="both"/>
        <w:rPr>
          <w:rFonts w:ascii="Book Antiqua" w:hAnsi="Book Antiqua" w:cs="Arial"/>
        </w:rPr>
      </w:pPr>
      <w:r w:rsidRPr="00341571">
        <w:rPr>
          <w:rFonts w:ascii="Book Antiqua" w:hAnsi="Book Antiqua" w:cs="Arial"/>
        </w:rPr>
        <w:t>Through the course of follow-up, 201 (74.2%) patients required</w:t>
      </w:r>
      <w:r w:rsidR="000D791D" w:rsidRPr="00341571">
        <w:rPr>
          <w:rFonts w:ascii="Book Antiqua" w:hAnsi="Book Antiqua" w:cs="Arial"/>
        </w:rPr>
        <w:t xml:space="preserve"> unplanned hospitalizations </w:t>
      </w:r>
      <w:r w:rsidR="00124740" w:rsidRPr="00341571">
        <w:rPr>
          <w:rFonts w:ascii="Book Antiqua" w:hAnsi="Book Antiqua" w:cs="Arial"/>
        </w:rPr>
        <w:t xml:space="preserve">(median number of hospitalizations = 2, IQR 1-3) </w:t>
      </w:r>
      <w:r w:rsidR="00B400C2" w:rsidRPr="00341571">
        <w:rPr>
          <w:rFonts w:ascii="Book Antiqua" w:hAnsi="Book Antiqua" w:cs="Arial"/>
        </w:rPr>
        <w:t xml:space="preserve">following initial diagnosis </w:t>
      </w:r>
      <w:r w:rsidR="000D791D" w:rsidRPr="00341571">
        <w:rPr>
          <w:rFonts w:ascii="Book Antiqua" w:hAnsi="Book Antiqua" w:cs="Arial"/>
        </w:rPr>
        <w:t>for various disease and/or treatment-r</w:t>
      </w:r>
      <w:r w:rsidR="00A4056C" w:rsidRPr="00341571">
        <w:rPr>
          <w:rFonts w:ascii="Book Antiqua" w:hAnsi="Book Antiqua" w:cs="Arial"/>
        </w:rPr>
        <w:t>elated complications including symptomatic ascites, sepsis, gastric outlet obstruction and gastrointes</w:t>
      </w:r>
      <w:r w:rsidR="00B400C2" w:rsidRPr="00341571">
        <w:rPr>
          <w:rFonts w:ascii="Book Antiqua" w:hAnsi="Book Antiqua" w:cs="Arial"/>
        </w:rPr>
        <w:t>tinal tract bleeding (Table 4). 242 (89.3%) patients required some form of therapeutic intervention in an outpatient and/or inpatient setting</w:t>
      </w:r>
      <w:r w:rsidR="00B63135" w:rsidRPr="00341571">
        <w:rPr>
          <w:rFonts w:ascii="Book Antiqua" w:hAnsi="Book Antiqua" w:cs="Arial"/>
        </w:rPr>
        <w:t xml:space="preserve"> including surgery, endoscopic stenting, feeding tube insertion and radiotherapy (Table 5).</w:t>
      </w:r>
      <w:r w:rsidR="00267F0D" w:rsidRPr="00341571">
        <w:rPr>
          <w:rFonts w:ascii="Book Antiqua" w:hAnsi="Book Antiqua" w:cs="Arial"/>
        </w:rPr>
        <w:t xml:space="preserve"> Median overall survival of our </w:t>
      </w:r>
      <w:r w:rsidR="000D0AD0" w:rsidRPr="00341571">
        <w:rPr>
          <w:rFonts w:ascii="Book Antiqua" w:hAnsi="Book Antiqua" w:cs="Arial"/>
        </w:rPr>
        <w:t xml:space="preserve">patient </w:t>
      </w:r>
      <w:r w:rsidR="0074487C">
        <w:rPr>
          <w:rFonts w:ascii="Book Antiqua" w:hAnsi="Book Antiqua" w:cs="Arial"/>
        </w:rPr>
        <w:t>cohort was 8.7 mo (95%</w:t>
      </w:r>
      <w:r w:rsidR="00267F0D" w:rsidRPr="00341571">
        <w:rPr>
          <w:rFonts w:ascii="Book Antiqua" w:hAnsi="Book Antiqua" w:cs="Arial"/>
        </w:rPr>
        <w:t>CI</w:t>
      </w:r>
      <w:r w:rsidR="0074487C">
        <w:rPr>
          <w:rFonts w:ascii="Book Antiqua" w:eastAsia="宋体" w:hAnsi="Book Antiqua" w:cs="Arial" w:hint="eastAsia"/>
          <w:lang w:eastAsia="zh-CN"/>
        </w:rPr>
        <w:t>:</w:t>
      </w:r>
      <w:r w:rsidR="00267F0D" w:rsidRPr="00341571">
        <w:rPr>
          <w:rFonts w:ascii="Book Antiqua" w:hAnsi="Book Antiqua" w:cs="Arial"/>
        </w:rPr>
        <w:t xml:space="preserve"> 7.3-10.1) </w:t>
      </w:r>
      <w:r w:rsidR="00C817F1" w:rsidRPr="00341571">
        <w:rPr>
          <w:rFonts w:ascii="Book Antiqua" w:hAnsi="Book Antiqua" w:cs="Arial"/>
        </w:rPr>
        <w:t xml:space="preserve">with a trend towards longer survival amongst patients with peritoneal metastasis only as compared to those with other concomitant distant sites of metastasis (median survival 8.9 </w:t>
      </w:r>
      <w:r w:rsidR="0074487C">
        <w:rPr>
          <w:rFonts w:ascii="Book Antiqua" w:eastAsia="宋体" w:hAnsi="Book Antiqua" w:cs="Arial" w:hint="eastAsia"/>
          <w:lang w:eastAsia="zh-CN"/>
        </w:rPr>
        <w:t xml:space="preserve">mo </w:t>
      </w:r>
      <w:r w:rsidR="00C817F1" w:rsidRPr="0074487C">
        <w:rPr>
          <w:rFonts w:ascii="Book Antiqua" w:hAnsi="Book Antiqua" w:cs="Arial"/>
          <w:i/>
        </w:rPr>
        <w:t>vs</w:t>
      </w:r>
      <w:r w:rsidR="003F6BDE" w:rsidRPr="0074487C">
        <w:rPr>
          <w:rFonts w:ascii="Book Antiqua" w:hAnsi="Book Antiqua" w:cs="Arial"/>
          <w:i/>
        </w:rPr>
        <w:t xml:space="preserve"> </w:t>
      </w:r>
      <w:r w:rsidR="003F6BDE" w:rsidRPr="00341571">
        <w:rPr>
          <w:rFonts w:ascii="Book Antiqua" w:hAnsi="Book Antiqua" w:cs="Arial"/>
        </w:rPr>
        <w:t xml:space="preserve">7.0 mo, </w:t>
      </w:r>
      <w:r w:rsidR="0074487C" w:rsidRPr="0074487C">
        <w:rPr>
          <w:rFonts w:ascii="Book Antiqua" w:hAnsi="Book Antiqua" w:cs="Arial"/>
          <w:i/>
        </w:rPr>
        <w:t>P</w:t>
      </w:r>
      <w:r w:rsidR="0074487C">
        <w:rPr>
          <w:rFonts w:ascii="Book Antiqua" w:eastAsia="宋体" w:hAnsi="Book Antiqua" w:cs="Arial" w:hint="eastAsia"/>
          <w:lang w:eastAsia="zh-CN"/>
        </w:rPr>
        <w:t xml:space="preserve"> </w:t>
      </w:r>
      <w:r w:rsidR="003F6BDE" w:rsidRPr="00341571">
        <w:rPr>
          <w:rFonts w:ascii="Book Antiqua" w:hAnsi="Book Antiqua" w:cs="Arial"/>
        </w:rPr>
        <w:t>=</w:t>
      </w:r>
      <w:r w:rsidR="0074487C">
        <w:rPr>
          <w:rFonts w:ascii="Book Antiqua" w:eastAsia="宋体" w:hAnsi="Book Antiqua" w:cs="Arial" w:hint="eastAsia"/>
          <w:lang w:eastAsia="zh-CN"/>
        </w:rPr>
        <w:t xml:space="preserve"> </w:t>
      </w:r>
      <w:r w:rsidR="003F6BDE" w:rsidRPr="00341571">
        <w:rPr>
          <w:rFonts w:ascii="Book Antiqua" w:hAnsi="Book Antiqua" w:cs="Arial"/>
        </w:rPr>
        <w:t>0.061)</w:t>
      </w:r>
      <w:r w:rsidR="00267F0D" w:rsidRPr="00341571">
        <w:rPr>
          <w:rFonts w:ascii="Book Antiqua" w:hAnsi="Book Antiqua" w:cs="Arial"/>
        </w:rPr>
        <w:t>.</w:t>
      </w:r>
      <w:r w:rsidR="0054406E" w:rsidRPr="00341571">
        <w:rPr>
          <w:rFonts w:ascii="Book Antiqua" w:hAnsi="Book Antiqua" w:cs="Arial"/>
        </w:rPr>
        <w:t xml:space="preserve"> The 171 patients who initiated systemic chemotherapy, when compared to the rest of the patients who received best supportive care upfront, had a significantly better median overall survival of 10.9 </w:t>
      </w:r>
      <w:r w:rsidR="0074487C">
        <w:rPr>
          <w:rFonts w:ascii="Book Antiqua" w:eastAsia="宋体" w:hAnsi="Book Antiqua" w:cs="Arial" w:hint="eastAsia"/>
          <w:lang w:eastAsia="zh-CN"/>
        </w:rPr>
        <w:t xml:space="preserve">mo </w:t>
      </w:r>
      <w:r w:rsidR="0054406E" w:rsidRPr="0074487C">
        <w:rPr>
          <w:rFonts w:ascii="Book Antiqua" w:hAnsi="Book Antiqua" w:cs="Arial"/>
          <w:i/>
        </w:rPr>
        <w:t>v</w:t>
      </w:r>
      <w:r w:rsidR="003F6BDE" w:rsidRPr="0074487C">
        <w:rPr>
          <w:rFonts w:ascii="Book Antiqua" w:hAnsi="Book Antiqua" w:cs="Arial"/>
          <w:i/>
        </w:rPr>
        <w:t>s</w:t>
      </w:r>
      <w:r w:rsidR="003F6BDE" w:rsidRPr="00341571">
        <w:rPr>
          <w:rFonts w:ascii="Book Antiqua" w:hAnsi="Book Antiqua" w:cs="Arial"/>
        </w:rPr>
        <w:t xml:space="preserve"> 1.6 mo (</w:t>
      </w:r>
      <w:r w:rsidR="0074487C" w:rsidRPr="0074487C">
        <w:rPr>
          <w:rFonts w:ascii="Book Antiqua" w:hAnsi="Book Antiqua" w:cs="Arial"/>
          <w:i/>
        </w:rPr>
        <w:t>P</w:t>
      </w:r>
      <w:r w:rsidR="0074487C" w:rsidRPr="00341571">
        <w:rPr>
          <w:rFonts w:ascii="Book Antiqua" w:hAnsi="Book Antiqua" w:cs="Arial"/>
        </w:rPr>
        <w:t xml:space="preserve"> </w:t>
      </w:r>
      <w:r w:rsidR="003F6BDE" w:rsidRPr="00341571">
        <w:rPr>
          <w:rFonts w:ascii="Book Antiqua" w:hAnsi="Book Antiqua" w:cs="Arial"/>
        </w:rPr>
        <w:t>&lt;</w:t>
      </w:r>
      <w:r w:rsidR="0074487C">
        <w:rPr>
          <w:rFonts w:ascii="Book Antiqua" w:eastAsia="宋体" w:hAnsi="Book Antiqua" w:cs="Arial" w:hint="eastAsia"/>
          <w:lang w:eastAsia="zh-CN"/>
        </w:rPr>
        <w:t xml:space="preserve"> </w:t>
      </w:r>
      <w:r w:rsidR="003F6BDE" w:rsidRPr="00341571">
        <w:rPr>
          <w:rFonts w:ascii="Book Antiqua" w:hAnsi="Book Antiqua" w:cs="Arial"/>
        </w:rPr>
        <w:t>0.001) (Figure 2</w:t>
      </w:r>
      <w:r w:rsidR="0054406E" w:rsidRPr="00341571">
        <w:rPr>
          <w:rFonts w:ascii="Book Antiqua" w:hAnsi="Book Antiqua" w:cs="Arial"/>
        </w:rPr>
        <w:t>).</w:t>
      </w:r>
      <w:r w:rsidR="008D031B">
        <w:rPr>
          <w:rFonts w:ascii="Book Antiqua" w:hAnsi="Book Antiqua" w:cs="Arial"/>
        </w:rPr>
        <w:t xml:space="preserve"> </w:t>
      </w:r>
      <w:r w:rsidR="0054406E" w:rsidRPr="00341571">
        <w:rPr>
          <w:rFonts w:ascii="Book Antiqua" w:hAnsi="Book Antiqua" w:cs="Arial"/>
        </w:rPr>
        <w:t>Of these patients who initiated systemic chemotherapy, the ones who experienced any disruptions to chemotherapy due to unplanned hospitalizations had a significantly worse median survival compared to those without chemotherapy disruptions (8.7</w:t>
      </w:r>
      <w:r w:rsidR="00DB1A80" w:rsidRPr="00341571">
        <w:rPr>
          <w:rFonts w:ascii="Book Antiqua" w:hAnsi="Book Antiqua" w:cs="Arial"/>
        </w:rPr>
        <w:t xml:space="preserve"> </w:t>
      </w:r>
      <w:r w:rsidR="0074487C">
        <w:rPr>
          <w:rFonts w:ascii="Book Antiqua" w:eastAsia="宋体" w:hAnsi="Book Antiqua" w:cs="Arial" w:hint="eastAsia"/>
          <w:lang w:eastAsia="zh-CN"/>
        </w:rPr>
        <w:t>mo</w:t>
      </w:r>
      <w:r w:rsidR="0074487C" w:rsidRPr="0074487C">
        <w:rPr>
          <w:rFonts w:ascii="Book Antiqua" w:eastAsia="宋体" w:hAnsi="Book Antiqua" w:cs="Arial" w:hint="eastAsia"/>
          <w:i/>
          <w:lang w:eastAsia="zh-CN"/>
        </w:rPr>
        <w:t xml:space="preserve"> </w:t>
      </w:r>
      <w:r w:rsidR="00DB1A80" w:rsidRPr="0074487C">
        <w:rPr>
          <w:rFonts w:ascii="Book Antiqua" w:hAnsi="Book Antiqua" w:cs="Arial"/>
          <w:i/>
        </w:rPr>
        <w:t>vs</w:t>
      </w:r>
      <w:r w:rsidR="00DB1A80" w:rsidRPr="00341571">
        <w:rPr>
          <w:rFonts w:ascii="Book Antiqua" w:hAnsi="Book Antiqua" w:cs="Arial"/>
        </w:rPr>
        <w:t xml:space="preserve"> 14.6</w:t>
      </w:r>
      <w:r w:rsidR="003F6BDE" w:rsidRPr="00341571">
        <w:rPr>
          <w:rFonts w:ascii="Book Antiqua" w:hAnsi="Book Antiqua" w:cs="Arial"/>
        </w:rPr>
        <w:t xml:space="preserve"> mo, </w:t>
      </w:r>
      <w:r w:rsidR="0074487C" w:rsidRPr="0074487C">
        <w:rPr>
          <w:rFonts w:ascii="Book Antiqua" w:hAnsi="Book Antiqua" w:cs="Arial"/>
          <w:i/>
        </w:rPr>
        <w:t>P</w:t>
      </w:r>
      <w:r w:rsidR="0074487C" w:rsidRPr="00341571">
        <w:rPr>
          <w:rFonts w:ascii="Book Antiqua" w:hAnsi="Book Antiqua" w:cs="Arial"/>
        </w:rPr>
        <w:t xml:space="preserve"> </w:t>
      </w:r>
      <w:r w:rsidR="003F6BDE" w:rsidRPr="00341571">
        <w:rPr>
          <w:rFonts w:ascii="Book Antiqua" w:hAnsi="Book Antiqua" w:cs="Arial"/>
        </w:rPr>
        <w:t>&lt;</w:t>
      </w:r>
      <w:r w:rsidR="0074487C">
        <w:rPr>
          <w:rFonts w:ascii="Book Antiqua" w:eastAsia="宋体" w:hAnsi="Book Antiqua" w:cs="Arial" w:hint="eastAsia"/>
          <w:lang w:eastAsia="zh-CN"/>
        </w:rPr>
        <w:t xml:space="preserve"> </w:t>
      </w:r>
      <w:r w:rsidR="003F6BDE" w:rsidRPr="00341571">
        <w:rPr>
          <w:rFonts w:ascii="Book Antiqua" w:hAnsi="Book Antiqua" w:cs="Arial"/>
        </w:rPr>
        <w:t>0.001) (Figure 3</w:t>
      </w:r>
      <w:r w:rsidR="0054406E" w:rsidRPr="00341571">
        <w:rPr>
          <w:rFonts w:ascii="Book Antiqua" w:hAnsi="Book Antiqua" w:cs="Arial"/>
        </w:rPr>
        <w:t>).</w:t>
      </w:r>
    </w:p>
    <w:p w14:paraId="3A8C3168" w14:textId="77777777" w:rsidR="00174455" w:rsidRPr="00341571" w:rsidRDefault="00174455" w:rsidP="00341571">
      <w:pPr>
        <w:spacing w:line="360" w:lineRule="auto"/>
        <w:jc w:val="both"/>
        <w:rPr>
          <w:rFonts w:ascii="Book Antiqua" w:hAnsi="Book Antiqua" w:cs="Arial"/>
          <w:b/>
        </w:rPr>
      </w:pPr>
    </w:p>
    <w:p w14:paraId="4F2F1A5C" w14:textId="0C2F26BC" w:rsidR="009D7584" w:rsidRPr="0074487C" w:rsidRDefault="0074487C" w:rsidP="00341571">
      <w:pPr>
        <w:spacing w:line="360" w:lineRule="auto"/>
        <w:jc w:val="both"/>
        <w:rPr>
          <w:rFonts w:ascii="Book Antiqua" w:eastAsia="宋体" w:hAnsi="Book Antiqua" w:cs="Arial"/>
          <w:b/>
          <w:lang w:eastAsia="zh-CN"/>
        </w:rPr>
      </w:pPr>
      <w:r w:rsidRPr="00341571">
        <w:rPr>
          <w:rFonts w:ascii="Book Antiqua" w:hAnsi="Book Antiqua" w:cs="Arial"/>
          <w:b/>
        </w:rPr>
        <w:t>DISCUSSION</w:t>
      </w:r>
    </w:p>
    <w:p w14:paraId="211708A8" w14:textId="6589A5E7" w:rsidR="00CB580D" w:rsidRPr="00341571" w:rsidRDefault="005D644D" w:rsidP="00341571">
      <w:pPr>
        <w:spacing w:line="360" w:lineRule="auto"/>
        <w:jc w:val="both"/>
        <w:rPr>
          <w:rFonts w:ascii="Book Antiqua" w:hAnsi="Book Antiqua" w:cs="Arial"/>
        </w:rPr>
      </w:pPr>
      <w:r w:rsidRPr="00341571">
        <w:rPr>
          <w:rFonts w:ascii="Book Antiqua" w:hAnsi="Book Antiqua" w:cs="Arial"/>
        </w:rPr>
        <w:lastRenderedPageBreak/>
        <w:t>Existing literature on gastric cancer has largely evaluated metastatic gastric cancer as a homogeneous, undifferentiated entity, with clinical features, prognostic factors, treatment outcomes and overall survival examined as a single patient group</w:t>
      </w:r>
      <w:r w:rsidR="007433D6" w:rsidRPr="00341571">
        <w:rPr>
          <w:rFonts w:ascii="Book Antiqua" w:hAnsi="Book Antiqua" w:cs="Arial"/>
          <w:vertAlign w:val="superscript"/>
        </w:rPr>
        <w:t>[1-3]</w:t>
      </w:r>
      <w:r w:rsidRPr="00341571">
        <w:rPr>
          <w:rFonts w:ascii="Book Antiqua" w:hAnsi="Book Antiqua" w:cs="Arial"/>
        </w:rPr>
        <w:t>.</w:t>
      </w:r>
      <w:r w:rsidR="00695AC2" w:rsidRPr="00341571">
        <w:rPr>
          <w:rFonts w:ascii="Book Antiqua" w:hAnsi="Book Antiqua" w:cs="Arial"/>
          <w:vertAlign w:val="superscript"/>
        </w:rPr>
        <w:t xml:space="preserve"> </w:t>
      </w:r>
      <w:r w:rsidR="00C43C48" w:rsidRPr="00341571">
        <w:rPr>
          <w:rFonts w:ascii="Book Antiqua" w:hAnsi="Book Antiqua" w:cs="Arial"/>
        </w:rPr>
        <w:t>In a similar vein, treatment for metastatic gastric cancer has also been predominated by palliative systemic chemotherapy and supportive care</w:t>
      </w:r>
      <w:r w:rsidR="007433D6" w:rsidRPr="00341571">
        <w:rPr>
          <w:rFonts w:ascii="Book Antiqua" w:hAnsi="Book Antiqua" w:cs="Arial"/>
          <w:vertAlign w:val="superscript"/>
        </w:rPr>
        <w:t>[20]</w:t>
      </w:r>
      <w:r w:rsidR="00C43C48" w:rsidRPr="00341571">
        <w:rPr>
          <w:rFonts w:ascii="Book Antiqua" w:hAnsi="Book Antiqua" w:cs="Arial"/>
        </w:rPr>
        <w:t>.</w:t>
      </w:r>
      <w:r w:rsidR="00695AC2" w:rsidRPr="00341571">
        <w:rPr>
          <w:rFonts w:ascii="Book Antiqua" w:hAnsi="Book Antiqua" w:cs="Arial"/>
          <w:vertAlign w:val="superscript"/>
        </w:rPr>
        <w:t xml:space="preserve"> </w:t>
      </w:r>
      <w:r w:rsidR="00FA60E0" w:rsidRPr="00341571">
        <w:rPr>
          <w:rFonts w:ascii="Book Antiqua" w:hAnsi="Book Antiqua" w:cs="Arial"/>
        </w:rPr>
        <w:t xml:space="preserve">There has been a growing interest </w:t>
      </w:r>
      <w:r w:rsidR="00C43C48" w:rsidRPr="00341571">
        <w:rPr>
          <w:rFonts w:ascii="Book Antiqua" w:hAnsi="Book Antiqua" w:cs="Arial"/>
        </w:rPr>
        <w:t xml:space="preserve">in the treatment of </w:t>
      </w:r>
      <w:r w:rsidR="00B568F2" w:rsidRPr="00341571">
        <w:rPr>
          <w:rFonts w:ascii="Book Antiqua" w:hAnsi="Book Antiqua"/>
        </w:rPr>
        <w:t>PC</w:t>
      </w:r>
      <w:r w:rsidR="00C43C48" w:rsidRPr="00341571">
        <w:rPr>
          <w:rFonts w:ascii="Book Antiqua" w:hAnsi="Book Antiqua" w:cs="Arial"/>
        </w:rPr>
        <w:t xml:space="preserve"> with the advent of CRS and HIPEC especially in colorectal and </w:t>
      </w:r>
      <w:r w:rsidR="00FA60E0" w:rsidRPr="00341571">
        <w:rPr>
          <w:rFonts w:ascii="Book Antiqua" w:hAnsi="Book Antiqua" w:cs="Arial"/>
        </w:rPr>
        <w:t>appendiceal</w:t>
      </w:r>
      <w:r w:rsidR="00C43C48" w:rsidRPr="00341571">
        <w:rPr>
          <w:rFonts w:ascii="Book Antiqua" w:hAnsi="Book Antiqua" w:cs="Arial"/>
        </w:rPr>
        <w:t xml:space="preserve"> malignancies. The idea of peritoneal metastasis representing loco-regional disease extension as opposed to systemic dissemination in other sites of metastasis has likewise encouraged ventures at examining the benefit of</w:t>
      </w:r>
      <w:r w:rsidR="00AD29AB" w:rsidRPr="00341571">
        <w:rPr>
          <w:rFonts w:ascii="Book Antiqua" w:hAnsi="Book Antiqua" w:cs="Arial"/>
        </w:rPr>
        <w:t xml:space="preserve"> CRS and HIPEC in the treatment of </w:t>
      </w:r>
      <w:r w:rsidR="00B568F2" w:rsidRPr="00341571">
        <w:rPr>
          <w:rFonts w:ascii="Book Antiqua" w:hAnsi="Book Antiqua"/>
        </w:rPr>
        <w:t>PC</w:t>
      </w:r>
      <w:r w:rsidR="00AD29AB" w:rsidRPr="00341571">
        <w:rPr>
          <w:rFonts w:ascii="Book Antiqua" w:hAnsi="Book Antiqua" w:cs="Arial"/>
        </w:rPr>
        <w:t xml:space="preserve"> of other primaries, including gastric cancer</w:t>
      </w:r>
      <w:r w:rsidR="007433D6" w:rsidRPr="00341571">
        <w:rPr>
          <w:rFonts w:ascii="Book Antiqua" w:hAnsi="Book Antiqua" w:cs="Arial"/>
          <w:vertAlign w:val="superscript"/>
        </w:rPr>
        <w:t>[21]</w:t>
      </w:r>
      <w:r w:rsidR="00AD29AB" w:rsidRPr="00341571">
        <w:rPr>
          <w:rFonts w:ascii="Book Antiqua" w:hAnsi="Book Antiqua" w:cs="Arial"/>
        </w:rPr>
        <w:t>.</w:t>
      </w:r>
      <w:r w:rsidR="00695AC2" w:rsidRPr="00341571">
        <w:rPr>
          <w:rFonts w:ascii="Book Antiqua" w:hAnsi="Book Antiqua" w:cs="Arial"/>
          <w:vertAlign w:val="superscript"/>
        </w:rPr>
        <w:t xml:space="preserve"> </w:t>
      </w:r>
      <w:r w:rsidR="00A27C71" w:rsidRPr="00341571">
        <w:rPr>
          <w:rFonts w:ascii="Book Antiqua" w:hAnsi="Book Antiqua" w:cs="Arial"/>
        </w:rPr>
        <w:t xml:space="preserve">Our understanding of the clinical characteristics of </w:t>
      </w:r>
      <w:r w:rsidR="00A86C2E" w:rsidRPr="00341571">
        <w:rPr>
          <w:rFonts w:ascii="Book Antiqua" w:hAnsi="Book Antiqua" w:cs="Arial"/>
        </w:rPr>
        <w:t xml:space="preserve">this subgroup of metastatic gastric cancer patients with </w:t>
      </w:r>
      <w:r w:rsidR="00B568F2" w:rsidRPr="00341571">
        <w:rPr>
          <w:rFonts w:ascii="Book Antiqua" w:hAnsi="Book Antiqua"/>
        </w:rPr>
        <w:t>PC</w:t>
      </w:r>
      <w:r w:rsidR="00A27C71" w:rsidRPr="00341571">
        <w:rPr>
          <w:rFonts w:ascii="Book Antiqua" w:hAnsi="Book Antiqua" w:cs="Arial"/>
        </w:rPr>
        <w:t xml:space="preserve"> and how the</w:t>
      </w:r>
      <w:r w:rsidR="00A86C2E" w:rsidRPr="00341571">
        <w:rPr>
          <w:rFonts w:ascii="Book Antiqua" w:hAnsi="Book Antiqua" w:cs="Arial"/>
        </w:rPr>
        <w:t xml:space="preserve">y fare with the current gold standard of treatment </w:t>
      </w:r>
      <w:r w:rsidR="007433D6">
        <w:rPr>
          <w:rFonts w:ascii="Book Antiqua" w:eastAsia="宋体" w:hAnsi="Book Antiqua" w:cs="Arial" w:hint="eastAsia"/>
          <w:lang w:eastAsia="zh-CN"/>
        </w:rPr>
        <w:t>-</w:t>
      </w:r>
      <w:r w:rsidR="00A86C2E" w:rsidRPr="00341571">
        <w:rPr>
          <w:rFonts w:ascii="Book Antiqua" w:hAnsi="Book Antiqua" w:cs="Arial"/>
        </w:rPr>
        <w:t xml:space="preserve"> palliative systemic chemotherapy </w:t>
      </w:r>
      <w:r w:rsidR="007433D6">
        <w:rPr>
          <w:rFonts w:ascii="Book Antiqua" w:eastAsia="宋体" w:hAnsi="Book Antiqua" w:cs="Arial" w:hint="eastAsia"/>
          <w:lang w:eastAsia="zh-CN"/>
        </w:rPr>
        <w:t>-</w:t>
      </w:r>
      <w:r w:rsidR="00A86C2E" w:rsidRPr="00341571">
        <w:rPr>
          <w:rFonts w:ascii="Book Antiqua" w:hAnsi="Book Antiqua" w:cs="Arial"/>
        </w:rPr>
        <w:t xml:space="preserve"> remains limited, a knowledge gap we sought to address through this study.</w:t>
      </w:r>
    </w:p>
    <w:p w14:paraId="637DC39E" w14:textId="39F0F98F" w:rsidR="00A86C2E" w:rsidRPr="00341571" w:rsidRDefault="00A86C2E" w:rsidP="00CC45B2">
      <w:pPr>
        <w:spacing w:line="360" w:lineRule="auto"/>
        <w:ind w:firstLineChars="100" w:firstLine="240"/>
        <w:jc w:val="both"/>
        <w:rPr>
          <w:rFonts w:ascii="Book Antiqua" w:hAnsi="Book Antiqua" w:cs="Arial"/>
        </w:rPr>
      </w:pPr>
      <w:r w:rsidRPr="00341571">
        <w:rPr>
          <w:rFonts w:ascii="Book Antiqua" w:hAnsi="Book Antiqua" w:cs="Arial"/>
        </w:rPr>
        <w:t xml:space="preserve">Gastric </w:t>
      </w:r>
      <w:r w:rsidR="00B568F2" w:rsidRPr="00341571">
        <w:rPr>
          <w:rFonts w:ascii="Book Antiqua" w:hAnsi="Book Antiqua"/>
        </w:rPr>
        <w:t>PC</w:t>
      </w:r>
      <w:r w:rsidRPr="00341571">
        <w:rPr>
          <w:rFonts w:ascii="Book Antiqua" w:hAnsi="Book Antiqua" w:cs="Arial"/>
        </w:rPr>
        <w:t xml:space="preserve"> was reported by Thomassen </w:t>
      </w:r>
      <w:r w:rsidRPr="007433D6">
        <w:rPr>
          <w:rFonts w:ascii="Book Antiqua" w:hAnsi="Book Antiqua" w:cs="Arial"/>
          <w:i/>
        </w:rPr>
        <w:t>et al</w:t>
      </w:r>
      <w:r w:rsidR="007433D6" w:rsidRPr="00341571">
        <w:rPr>
          <w:rFonts w:ascii="Book Antiqua" w:hAnsi="Book Antiqua" w:cs="Arial"/>
          <w:vertAlign w:val="superscript"/>
        </w:rPr>
        <w:t>[5]</w:t>
      </w:r>
      <w:r w:rsidRPr="00341571">
        <w:rPr>
          <w:rFonts w:ascii="Book Antiqua" w:hAnsi="Book Antiqua" w:cs="Arial"/>
        </w:rPr>
        <w:t xml:space="preserve"> to account for a sizeable 35</w:t>
      </w:r>
      <w:r w:rsidR="00960102" w:rsidRPr="00341571">
        <w:rPr>
          <w:rFonts w:ascii="Book Antiqua" w:hAnsi="Book Antiqua" w:cs="Arial"/>
        </w:rPr>
        <w:t>.0</w:t>
      </w:r>
      <w:r w:rsidRPr="00341571">
        <w:rPr>
          <w:rFonts w:ascii="Book Antiqua" w:hAnsi="Book Antiqua" w:cs="Arial"/>
        </w:rPr>
        <w:t xml:space="preserve">% of metastatic disease at presentation, with </w:t>
      </w:r>
      <w:r w:rsidR="00B568F2" w:rsidRPr="00341571">
        <w:rPr>
          <w:rFonts w:ascii="Book Antiqua" w:hAnsi="Book Antiqua"/>
        </w:rPr>
        <w:t>PC</w:t>
      </w:r>
      <w:r w:rsidRPr="00341571">
        <w:rPr>
          <w:rFonts w:ascii="Book Antiqua" w:hAnsi="Book Antiqua" w:cs="Arial"/>
        </w:rPr>
        <w:t xml:space="preserve"> as the only site of metastasis in 68.6% of cases, comparable to 80.1% of cases in our cohort.</w:t>
      </w:r>
      <w:r w:rsidR="00695AC2" w:rsidRPr="00341571">
        <w:rPr>
          <w:rFonts w:ascii="Book Antiqua" w:hAnsi="Book Antiqua" w:cs="Arial"/>
          <w:vertAlign w:val="superscript"/>
        </w:rPr>
        <w:t xml:space="preserve"> </w:t>
      </w:r>
      <w:r w:rsidR="00391037" w:rsidRPr="00341571">
        <w:rPr>
          <w:rFonts w:ascii="Book Antiqua" w:hAnsi="Book Antiqua" w:cs="Arial"/>
        </w:rPr>
        <w:t>It similarly represents</w:t>
      </w:r>
      <w:r w:rsidRPr="00341571">
        <w:rPr>
          <w:rFonts w:ascii="Book Antiqua" w:hAnsi="Book Antiqua" w:cs="Arial"/>
        </w:rPr>
        <w:t xml:space="preserve"> 36</w:t>
      </w:r>
      <w:r w:rsidR="00960102" w:rsidRPr="00341571">
        <w:rPr>
          <w:rFonts w:ascii="Book Antiqua" w:hAnsi="Book Antiqua" w:cs="Arial"/>
        </w:rPr>
        <w:t>.0</w:t>
      </w:r>
      <w:r w:rsidR="007433D6">
        <w:rPr>
          <w:rFonts w:ascii="Book Antiqua" w:eastAsia="宋体" w:hAnsi="Book Antiqua" w:cs="Arial" w:hint="eastAsia"/>
          <w:lang w:eastAsia="zh-CN"/>
        </w:rPr>
        <w:t>%</w:t>
      </w:r>
      <w:r w:rsidR="00960102" w:rsidRPr="00341571">
        <w:rPr>
          <w:rFonts w:ascii="Book Antiqua" w:hAnsi="Book Antiqua" w:cs="Arial"/>
        </w:rPr>
        <w:t>-45.9</w:t>
      </w:r>
      <w:r w:rsidRPr="00341571">
        <w:rPr>
          <w:rFonts w:ascii="Book Antiqua" w:hAnsi="Book Antiqua" w:cs="Arial"/>
        </w:rPr>
        <w:t>% of metastatic recurrences after previous curative t</w:t>
      </w:r>
      <w:r w:rsidR="00391037" w:rsidRPr="00341571">
        <w:rPr>
          <w:rFonts w:ascii="Book Antiqua" w:hAnsi="Book Antiqua" w:cs="Arial"/>
        </w:rPr>
        <w:t>reatment for gastric cancer</w:t>
      </w:r>
      <w:r w:rsidR="007433D6" w:rsidRPr="00341571">
        <w:rPr>
          <w:rFonts w:ascii="Book Antiqua" w:hAnsi="Book Antiqua" w:cs="Arial"/>
          <w:vertAlign w:val="superscript"/>
        </w:rPr>
        <w:t>[22,23]</w:t>
      </w:r>
      <w:r w:rsidR="00391037" w:rsidRPr="00341571">
        <w:rPr>
          <w:rFonts w:ascii="Book Antiqua" w:hAnsi="Book Antiqua" w:cs="Arial"/>
        </w:rPr>
        <w:t>.</w:t>
      </w:r>
      <w:r w:rsidR="00695AC2" w:rsidRPr="00341571">
        <w:rPr>
          <w:rFonts w:ascii="Book Antiqua" w:hAnsi="Book Antiqua" w:cs="Arial"/>
          <w:vertAlign w:val="superscript"/>
        </w:rPr>
        <w:t xml:space="preserve"> </w:t>
      </w:r>
      <w:r w:rsidR="004E388A" w:rsidRPr="00341571">
        <w:rPr>
          <w:rFonts w:ascii="Book Antiqua" w:hAnsi="Book Antiqua" w:cs="Arial"/>
        </w:rPr>
        <w:t>Several studies have reported c</w:t>
      </w:r>
      <w:r w:rsidR="00B70650" w:rsidRPr="00341571">
        <w:rPr>
          <w:rFonts w:ascii="Book Antiqua" w:hAnsi="Book Antiqua" w:cs="Arial"/>
        </w:rPr>
        <w:t xml:space="preserve">linical characteristics </w:t>
      </w:r>
      <w:r w:rsidR="00E023F8" w:rsidRPr="00341571">
        <w:rPr>
          <w:rFonts w:ascii="Book Antiqua" w:hAnsi="Book Antiqua" w:cs="Arial"/>
        </w:rPr>
        <w:t xml:space="preserve">predictive of peritoneal metastasis at presentation or recurrence </w:t>
      </w:r>
      <w:r w:rsidR="004E388A" w:rsidRPr="00341571">
        <w:rPr>
          <w:rFonts w:ascii="Book Antiqua" w:hAnsi="Book Antiqua" w:cs="Arial"/>
        </w:rPr>
        <w:t>including</w:t>
      </w:r>
      <w:r w:rsidR="00E023F8" w:rsidRPr="00341571">
        <w:rPr>
          <w:rFonts w:ascii="Book Antiqua" w:hAnsi="Book Antiqua" w:cs="Arial"/>
        </w:rPr>
        <w:t xml:space="preserve"> a younger age, female gender, sero</w:t>
      </w:r>
      <w:r w:rsidR="00097993" w:rsidRPr="00341571">
        <w:rPr>
          <w:rFonts w:ascii="Book Antiqua" w:hAnsi="Book Antiqua" w:cs="Arial"/>
        </w:rPr>
        <w:t>sal involvement of primary tumo</w:t>
      </w:r>
      <w:r w:rsidR="00E023F8" w:rsidRPr="00341571">
        <w:rPr>
          <w:rFonts w:ascii="Book Antiqua" w:hAnsi="Book Antiqua" w:cs="Arial"/>
        </w:rPr>
        <w:t>r and a diffuse histology.</w:t>
      </w:r>
      <w:r w:rsidR="004E388A" w:rsidRPr="00341571">
        <w:rPr>
          <w:rFonts w:ascii="Book Antiqua" w:hAnsi="Book Antiqua" w:cs="Arial"/>
        </w:rPr>
        <w:t xml:space="preserve"> We found the female gender, diffuse histology and absence of HER2/Neu overexpression to be associated with </w:t>
      </w:r>
      <w:r w:rsidR="00B568F2" w:rsidRPr="00341571">
        <w:rPr>
          <w:rFonts w:ascii="Book Antiqua" w:hAnsi="Book Antiqua"/>
        </w:rPr>
        <w:t>PC</w:t>
      </w:r>
      <w:r w:rsidR="004E388A" w:rsidRPr="00341571">
        <w:rPr>
          <w:rFonts w:ascii="Book Antiqua" w:hAnsi="Book Antiqua" w:cs="Arial"/>
        </w:rPr>
        <w:t xml:space="preserve"> as the sole site of metastatic disease in gastric cancer</w:t>
      </w:r>
      <w:r w:rsidR="007433D6" w:rsidRPr="00341571">
        <w:rPr>
          <w:rFonts w:ascii="Book Antiqua" w:hAnsi="Book Antiqua" w:cs="Arial"/>
          <w:vertAlign w:val="superscript"/>
        </w:rPr>
        <w:t>[5,23]</w:t>
      </w:r>
      <w:r w:rsidR="0054406E" w:rsidRPr="00341571">
        <w:rPr>
          <w:rFonts w:ascii="Book Antiqua" w:hAnsi="Book Antiqua" w:cs="Arial"/>
        </w:rPr>
        <w:t>.</w:t>
      </w:r>
      <w:r w:rsidR="00695AC2" w:rsidRPr="00341571">
        <w:rPr>
          <w:rFonts w:ascii="Book Antiqua" w:hAnsi="Book Antiqua" w:cs="Arial"/>
          <w:vertAlign w:val="superscript"/>
        </w:rPr>
        <w:t xml:space="preserve"> </w:t>
      </w:r>
    </w:p>
    <w:p w14:paraId="0823DBEB" w14:textId="0EF67DBF" w:rsidR="00A305A7" w:rsidRPr="00341571" w:rsidRDefault="00331782" w:rsidP="007433D6">
      <w:pPr>
        <w:spacing w:line="360" w:lineRule="auto"/>
        <w:ind w:firstLineChars="100" w:firstLine="240"/>
        <w:jc w:val="both"/>
        <w:rPr>
          <w:rFonts w:ascii="Book Antiqua" w:hAnsi="Book Antiqua" w:cs="Arial"/>
        </w:rPr>
      </w:pPr>
      <w:r w:rsidRPr="00341571">
        <w:rPr>
          <w:rFonts w:ascii="Book Antiqua" w:hAnsi="Book Antiqua" w:cs="Arial"/>
        </w:rPr>
        <w:t xml:space="preserve">Palliative systemic chemotherapy has been </w:t>
      </w:r>
      <w:r w:rsidR="005073B1" w:rsidRPr="00341571">
        <w:rPr>
          <w:rFonts w:ascii="Book Antiqua" w:hAnsi="Book Antiqua" w:cs="Arial"/>
        </w:rPr>
        <w:t xml:space="preserve">well </w:t>
      </w:r>
      <w:r w:rsidRPr="00341571">
        <w:rPr>
          <w:rFonts w:ascii="Book Antiqua" w:hAnsi="Book Antiqua" w:cs="Arial"/>
        </w:rPr>
        <w:t xml:space="preserve">established as the current standard of care for patients with metastatic gastric cancer. A recent meta-analysis of 35 trials involving 5726 patients demonstrated that, in terms of overall survival, systemic chemotherapy achieves superior outcomes compared to best supportive care, and that combination chemotherapy is </w:t>
      </w:r>
      <w:r w:rsidRPr="00341571">
        <w:rPr>
          <w:rFonts w:ascii="Book Antiqua" w:hAnsi="Book Antiqua" w:cs="Arial"/>
        </w:rPr>
        <w:lastRenderedPageBreak/>
        <w:t>superior to single-agent chemotherapy with the trade-off of increased incidence of chemotherapy-related toxicity</w:t>
      </w:r>
      <w:r w:rsidR="007433D6" w:rsidRPr="00341571">
        <w:rPr>
          <w:rFonts w:ascii="Book Antiqua" w:hAnsi="Book Antiqua" w:cs="Arial"/>
          <w:vertAlign w:val="superscript"/>
        </w:rPr>
        <w:t>[20]</w:t>
      </w:r>
      <w:r w:rsidRPr="00341571">
        <w:rPr>
          <w:rFonts w:ascii="Book Antiqua" w:hAnsi="Book Antiqua" w:cs="Arial"/>
        </w:rPr>
        <w:t>.</w:t>
      </w:r>
      <w:r w:rsidR="00695AC2" w:rsidRPr="00341571">
        <w:rPr>
          <w:rFonts w:ascii="Book Antiqua" w:hAnsi="Book Antiqua" w:cs="Arial"/>
          <w:vertAlign w:val="superscript"/>
        </w:rPr>
        <w:t xml:space="preserve"> </w:t>
      </w:r>
    </w:p>
    <w:p w14:paraId="44FB7885" w14:textId="5F2DFF76" w:rsidR="007F33E6" w:rsidRPr="00341571" w:rsidRDefault="00DD6649" w:rsidP="007433D6">
      <w:pPr>
        <w:spacing w:line="360" w:lineRule="auto"/>
        <w:ind w:firstLineChars="100" w:firstLine="240"/>
        <w:jc w:val="both"/>
        <w:rPr>
          <w:rFonts w:ascii="Book Antiqua" w:hAnsi="Book Antiqua" w:cs="Arial"/>
        </w:rPr>
      </w:pPr>
      <w:r w:rsidRPr="00341571">
        <w:rPr>
          <w:rFonts w:ascii="Book Antiqua" w:hAnsi="Book Antiqua" w:cs="Arial"/>
        </w:rPr>
        <w:t>Despite the fact that t</w:t>
      </w:r>
      <w:r w:rsidR="005073B1" w:rsidRPr="00341571">
        <w:rPr>
          <w:rFonts w:ascii="Book Antiqua" w:hAnsi="Book Antiqua" w:cs="Arial"/>
        </w:rPr>
        <w:t xml:space="preserve">he </w:t>
      </w:r>
      <w:r w:rsidRPr="00341571">
        <w:rPr>
          <w:rFonts w:ascii="Book Antiqua" w:hAnsi="Book Antiqua" w:cs="Arial"/>
        </w:rPr>
        <w:t xml:space="preserve">subgroup of our </w:t>
      </w:r>
      <w:r w:rsidR="005073B1" w:rsidRPr="00341571">
        <w:rPr>
          <w:rFonts w:ascii="Book Antiqua" w:hAnsi="Book Antiqua" w:cs="Arial"/>
        </w:rPr>
        <w:t>patient cohort</w:t>
      </w:r>
      <w:r w:rsidRPr="00341571">
        <w:rPr>
          <w:rFonts w:ascii="Book Antiqua" w:hAnsi="Book Antiqua" w:cs="Arial"/>
        </w:rPr>
        <w:t xml:space="preserve"> planned for systemic chemotherapy had highly optimal baseline functional and medical statuses (98.9% with ECOG ratings of 0-2 and 92.0% with ASA scores of 1-2) with a large</w:t>
      </w:r>
      <w:r w:rsidR="00097993" w:rsidRPr="00341571">
        <w:rPr>
          <w:rFonts w:ascii="Book Antiqua" w:hAnsi="Book Antiqua" w:cs="Arial"/>
        </w:rPr>
        <w:t xml:space="preserve"> proportion (80.7%) undergoing two</w:t>
      </w:r>
      <w:r w:rsidRPr="00341571">
        <w:rPr>
          <w:rFonts w:ascii="Book Antiqua" w:hAnsi="Book Antiqua" w:cs="Arial"/>
        </w:rPr>
        <w:t xml:space="preserve"> to </w:t>
      </w:r>
      <w:r w:rsidR="00097993" w:rsidRPr="00341571">
        <w:rPr>
          <w:rFonts w:ascii="Book Antiqua" w:hAnsi="Book Antiqua" w:cs="Arial"/>
        </w:rPr>
        <w:t>three</w:t>
      </w:r>
      <w:r w:rsidRPr="00341571">
        <w:rPr>
          <w:rFonts w:ascii="Book Antiqua" w:hAnsi="Book Antiqua" w:cs="Arial"/>
        </w:rPr>
        <w:t>-agent combination chemotherapy regimes upfront</w:t>
      </w:r>
      <w:r w:rsidR="00A138ED" w:rsidRPr="00341571">
        <w:rPr>
          <w:rFonts w:ascii="Book Antiqua" w:hAnsi="Book Antiqua" w:cs="Arial"/>
        </w:rPr>
        <w:t>, only a mere 14 (8.2%) patients eventually completed their chemotherapy regimes with subsequent close clinical surveillance.</w:t>
      </w:r>
      <w:r w:rsidR="00ED3CF6" w:rsidRPr="00341571">
        <w:rPr>
          <w:rFonts w:ascii="Book Antiqua" w:hAnsi="Book Antiqua" w:cs="Arial"/>
        </w:rPr>
        <w:t xml:space="preserve"> This could be attributed to several reasons. </w:t>
      </w:r>
    </w:p>
    <w:p w14:paraId="5080A306" w14:textId="414AF9F1" w:rsidR="004E388A" w:rsidRPr="00341571" w:rsidRDefault="00ED3CF6" w:rsidP="007433D6">
      <w:pPr>
        <w:spacing w:line="360" w:lineRule="auto"/>
        <w:ind w:firstLineChars="100" w:firstLine="240"/>
        <w:jc w:val="both"/>
        <w:rPr>
          <w:rFonts w:ascii="Book Antiqua" w:hAnsi="Book Antiqua" w:cs="Arial"/>
        </w:rPr>
      </w:pPr>
      <w:r w:rsidRPr="00341571">
        <w:rPr>
          <w:rFonts w:ascii="Book Antiqua" w:hAnsi="Book Antiqua" w:cs="Arial"/>
        </w:rPr>
        <w:t xml:space="preserve">Firstly, </w:t>
      </w:r>
      <w:r w:rsidR="00BB6BA4" w:rsidRPr="00341571">
        <w:rPr>
          <w:rFonts w:ascii="Book Antiqua" w:hAnsi="Book Antiqua" w:cs="Arial"/>
        </w:rPr>
        <w:t>a significant proportion of</w:t>
      </w:r>
      <w:r w:rsidRPr="00341571">
        <w:rPr>
          <w:rFonts w:ascii="Book Antiqua" w:hAnsi="Book Antiqua" w:cs="Arial"/>
        </w:rPr>
        <w:t xml:space="preserve"> patients who initiated chemotherapy had clinical evidence</w:t>
      </w:r>
      <w:r w:rsidR="00BB6BA4" w:rsidRPr="00341571">
        <w:rPr>
          <w:rFonts w:ascii="Book Antiqua" w:hAnsi="Book Antiqua" w:cs="Arial"/>
        </w:rPr>
        <w:t xml:space="preserve"> of progressive disease in spite of treatment, and even after a trial of second, third or fourth-line regimes in a handful of patients, 32.2% eventually opted for supportive care in view of treatment futility.</w:t>
      </w:r>
      <w:r w:rsidR="00A91B43" w:rsidRPr="00341571">
        <w:rPr>
          <w:rFonts w:ascii="Book Antiqua" w:hAnsi="Book Antiqua" w:cs="Arial"/>
        </w:rPr>
        <w:t xml:space="preserve"> The poor response of </w:t>
      </w:r>
      <w:r w:rsidR="00B568F2" w:rsidRPr="00341571">
        <w:rPr>
          <w:rFonts w:ascii="Book Antiqua" w:hAnsi="Book Antiqua"/>
        </w:rPr>
        <w:t>PC</w:t>
      </w:r>
      <w:r w:rsidR="00A91B43" w:rsidRPr="00341571">
        <w:rPr>
          <w:rFonts w:ascii="Book Antiqua" w:hAnsi="Book Antiqua" w:cs="Arial"/>
        </w:rPr>
        <w:t xml:space="preserve"> to conventional systemic chemotherapy could in part be accounted for by the poor penetration of peritoneal deposits by chemotherapeutic agents administered systemically</w:t>
      </w:r>
      <w:r w:rsidR="007433D6" w:rsidRPr="00341571">
        <w:rPr>
          <w:rFonts w:ascii="Book Antiqua" w:hAnsi="Book Antiqua" w:cs="Arial"/>
          <w:vertAlign w:val="superscript"/>
        </w:rPr>
        <w:t>[24]</w:t>
      </w:r>
      <w:r w:rsidR="00A91B43" w:rsidRPr="00341571">
        <w:rPr>
          <w:rFonts w:ascii="Book Antiqua" w:hAnsi="Book Antiqua" w:cs="Arial"/>
        </w:rPr>
        <w:t>.</w:t>
      </w:r>
      <w:r w:rsidR="00695AC2" w:rsidRPr="00341571">
        <w:rPr>
          <w:rFonts w:ascii="Book Antiqua" w:hAnsi="Book Antiqua" w:cs="Arial"/>
          <w:vertAlign w:val="superscript"/>
        </w:rPr>
        <w:t xml:space="preserve"> </w:t>
      </w:r>
      <w:r w:rsidR="008D54C0" w:rsidRPr="00341571">
        <w:rPr>
          <w:rFonts w:ascii="Book Antiqua" w:hAnsi="Book Antiqua" w:cs="Arial"/>
        </w:rPr>
        <w:t>This has spurred effort</w:t>
      </w:r>
      <w:r w:rsidR="00DE490F" w:rsidRPr="00341571">
        <w:rPr>
          <w:rFonts w:ascii="Book Antiqua" w:hAnsi="Book Antiqua" w:cs="Arial"/>
        </w:rPr>
        <w:t xml:space="preserve">s at studying the efficacy of a combined bidirectional intravenous and </w:t>
      </w:r>
      <w:r w:rsidR="008D54C0" w:rsidRPr="00341571">
        <w:rPr>
          <w:rFonts w:ascii="Book Antiqua" w:hAnsi="Book Antiqua" w:cs="Arial"/>
        </w:rPr>
        <w:t xml:space="preserve">intraperitoneal route of chemotherapy administration for </w:t>
      </w:r>
      <w:r w:rsidR="00B568F2" w:rsidRPr="00341571">
        <w:rPr>
          <w:rFonts w:ascii="Book Antiqua" w:hAnsi="Book Antiqua"/>
        </w:rPr>
        <w:t>PC</w:t>
      </w:r>
      <w:r w:rsidR="008D54C0" w:rsidRPr="00341571">
        <w:rPr>
          <w:rFonts w:ascii="Book Antiqua" w:hAnsi="Book Antiqua" w:cs="Arial"/>
        </w:rPr>
        <w:t xml:space="preserve">, which has been proven to confer survival benefit in ovarian cancer, and has been tested in several phase 2 trials for gastric </w:t>
      </w:r>
      <w:r w:rsidR="00B568F2" w:rsidRPr="00341571">
        <w:rPr>
          <w:rFonts w:ascii="Book Antiqua" w:hAnsi="Book Antiqua"/>
        </w:rPr>
        <w:t>PC</w:t>
      </w:r>
      <w:r w:rsidR="008D54C0" w:rsidRPr="00341571">
        <w:rPr>
          <w:rFonts w:ascii="Book Antiqua" w:hAnsi="Book Antiqua" w:cs="Arial"/>
        </w:rPr>
        <w:t xml:space="preserve"> with encouraging results</w:t>
      </w:r>
      <w:r w:rsidR="007433D6" w:rsidRPr="00341571">
        <w:rPr>
          <w:rFonts w:ascii="Book Antiqua" w:hAnsi="Book Antiqua" w:cs="Arial"/>
          <w:vertAlign w:val="superscript"/>
        </w:rPr>
        <w:t>[25,26]</w:t>
      </w:r>
      <w:r w:rsidR="008D54C0" w:rsidRPr="00341571">
        <w:rPr>
          <w:rFonts w:ascii="Book Antiqua" w:hAnsi="Book Antiqua" w:cs="Arial"/>
        </w:rPr>
        <w:t>.</w:t>
      </w:r>
      <w:r w:rsidR="00695AC2" w:rsidRPr="00341571">
        <w:rPr>
          <w:rFonts w:ascii="Book Antiqua" w:hAnsi="Book Antiqua" w:cs="Arial"/>
          <w:vertAlign w:val="superscript"/>
        </w:rPr>
        <w:t xml:space="preserve"> </w:t>
      </w:r>
    </w:p>
    <w:p w14:paraId="4E297C7F" w14:textId="4E290224" w:rsidR="005A7827" w:rsidRPr="00341571" w:rsidRDefault="005A7827" w:rsidP="007433D6">
      <w:pPr>
        <w:spacing w:line="360" w:lineRule="auto"/>
        <w:ind w:firstLineChars="100" w:firstLine="240"/>
        <w:jc w:val="both"/>
        <w:rPr>
          <w:rFonts w:ascii="Book Antiqua" w:hAnsi="Book Antiqua" w:cs="Arial"/>
        </w:rPr>
      </w:pPr>
      <w:r w:rsidRPr="00341571">
        <w:rPr>
          <w:rFonts w:ascii="Book Antiqua" w:hAnsi="Book Antiqua" w:cs="Arial"/>
        </w:rPr>
        <w:t xml:space="preserve">Secondly, a large proportion of our cohort (74.2%) required unplanned hospitalizations due to disease and/or treatment-related complications, each of which could significantly accelerate the process of clinical deterioration. </w:t>
      </w:r>
      <w:r w:rsidR="00124740" w:rsidRPr="00341571">
        <w:rPr>
          <w:rFonts w:ascii="Book Antiqua" w:hAnsi="Book Antiqua" w:cs="Arial"/>
        </w:rPr>
        <w:t xml:space="preserve">The median number of hospitalizations each of these patients required was 2, for a variety of complications including those attributable to </w:t>
      </w:r>
      <w:r w:rsidR="00B568F2" w:rsidRPr="00341571">
        <w:rPr>
          <w:rFonts w:ascii="Book Antiqua" w:hAnsi="Book Antiqua"/>
        </w:rPr>
        <w:t>PC</w:t>
      </w:r>
      <w:r w:rsidR="00124740" w:rsidRPr="00341571">
        <w:rPr>
          <w:rFonts w:ascii="Book Antiqua" w:hAnsi="Book Antiqua" w:cs="Arial"/>
        </w:rPr>
        <w:t xml:space="preserve"> including symptomatic ascites, bowel obstruction, obstructive uropathy and obstructive jaundice. </w:t>
      </w:r>
      <w:r w:rsidRPr="00341571">
        <w:rPr>
          <w:rFonts w:ascii="Book Antiqua" w:hAnsi="Book Antiqua" w:cs="Arial"/>
        </w:rPr>
        <w:t xml:space="preserve">Besides resulting in </w:t>
      </w:r>
      <w:r w:rsidR="00641346" w:rsidRPr="00341571">
        <w:rPr>
          <w:rFonts w:ascii="Book Antiqua" w:hAnsi="Book Antiqua" w:cs="Arial"/>
        </w:rPr>
        <w:t xml:space="preserve">unforeseen breaks in systemic chemotherapy occurring in 66.7% of our patients who underwent chemotherapy, these acute clinical events also </w:t>
      </w:r>
      <w:r w:rsidR="005D6E38" w:rsidRPr="00341571">
        <w:rPr>
          <w:rFonts w:ascii="Book Antiqua" w:hAnsi="Book Antiqua" w:cs="Arial"/>
        </w:rPr>
        <w:t xml:space="preserve">directly </w:t>
      </w:r>
      <w:r w:rsidR="00641346" w:rsidRPr="00341571">
        <w:rPr>
          <w:rFonts w:ascii="Book Antiqua" w:hAnsi="Book Antiqua" w:cs="Arial"/>
        </w:rPr>
        <w:t xml:space="preserve">contributed to significant </w:t>
      </w:r>
      <w:r w:rsidR="005D6E38" w:rsidRPr="00341571">
        <w:rPr>
          <w:rFonts w:ascii="Book Antiqua" w:hAnsi="Book Antiqua" w:cs="Arial"/>
        </w:rPr>
        <w:t xml:space="preserve">clinical and </w:t>
      </w:r>
      <w:r w:rsidR="00641346" w:rsidRPr="00341571">
        <w:rPr>
          <w:rFonts w:ascii="Book Antiqua" w:hAnsi="Book Antiqua" w:cs="Arial"/>
        </w:rPr>
        <w:t xml:space="preserve">functional decline necessitating premature cessation of chemotherapy in </w:t>
      </w:r>
      <w:r w:rsidR="005D6E38" w:rsidRPr="00341571">
        <w:rPr>
          <w:rFonts w:ascii="Book Antiqua" w:hAnsi="Book Antiqua" w:cs="Arial"/>
        </w:rPr>
        <w:t>a quarter of cases (Figure 1)</w:t>
      </w:r>
      <w:r w:rsidR="00641346" w:rsidRPr="00341571">
        <w:rPr>
          <w:rFonts w:ascii="Book Antiqua" w:hAnsi="Book Antiqua" w:cs="Arial"/>
        </w:rPr>
        <w:t>.</w:t>
      </w:r>
      <w:r w:rsidR="00A305A7" w:rsidRPr="00341571">
        <w:rPr>
          <w:rFonts w:ascii="Book Antiqua" w:hAnsi="Book Antiqua" w:cs="Arial"/>
        </w:rPr>
        <w:t xml:space="preserve"> </w:t>
      </w:r>
      <w:r w:rsidR="00F40DAC" w:rsidRPr="00341571">
        <w:rPr>
          <w:rFonts w:ascii="Book Antiqua" w:hAnsi="Book Antiqua" w:cs="Arial"/>
        </w:rPr>
        <w:t xml:space="preserve">Considering that a sizeable proportion of patients who </w:t>
      </w:r>
      <w:r w:rsidR="00F40DAC" w:rsidRPr="00341571">
        <w:rPr>
          <w:rFonts w:ascii="Book Antiqua" w:hAnsi="Book Antiqua" w:cs="Arial"/>
        </w:rPr>
        <w:lastRenderedPageBreak/>
        <w:t xml:space="preserve">ceased chemotherapy due to other causes of clinical/functional deterioration were attributable to nosocomial infections contracted during admissions for peritoneal disease-related complications, the inadvertent impact of </w:t>
      </w:r>
      <w:r w:rsidR="00B568F2" w:rsidRPr="00341571">
        <w:rPr>
          <w:rFonts w:ascii="Book Antiqua" w:hAnsi="Book Antiqua"/>
        </w:rPr>
        <w:t>PC</w:t>
      </w:r>
      <w:r w:rsidR="00F40DAC" w:rsidRPr="00341571">
        <w:rPr>
          <w:rFonts w:ascii="Book Antiqua" w:hAnsi="Book Antiqua" w:cs="Arial"/>
        </w:rPr>
        <w:t xml:space="preserve"> on cessation of systemic chemotherapy in these patients may indeed be even greater. </w:t>
      </w:r>
      <w:r w:rsidR="00531784" w:rsidRPr="00341571">
        <w:rPr>
          <w:rFonts w:ascii="Book Antiqua" w:hAnsi="Book Antiqua" w:cs="Arial"/>
        </w:rPr>
        <w:t>The consequent impact on survival outcomes is evident from our finding of a significantly worse overall survival amongst patients on systemic chemotherapy who experienced</w:t>
      </w:r>
      <w:r w:rsidR="003F6BDE" w:rsidRPr="00341571">
        <w:rPr>
          <w:rFonts w:ascii="Book Antiqua" w:hAnsi="Book Antiqua" w:cs="Arial"/>
        </w:rPr>
        <w:t xml:space="preserve"> treatment disruptions (Figure 3</w:t>
      </w:r>
      <w:r w:rsidR="00531784" w:rsidRPr="00341571">
        <w:rPr>
          <w:rFonts w:ascii="Book Antiqua" w:hAnsi="Book Antiqua" w:cs="Arial"/>
        </w:rPr>
        <w:t>).</w:t>
      </w:r>
    </w:p>
    <w:p w14:paraId="4400F113" w14:textId="5B6626D7" w:rsidR="00787D18" w:rsidRPr="00341571" w:rsidRDefault="00787D18" w:rsidP="007433D6">
      <w:pPr>
        <w:spacing w:line="360" w:lineRule="auto"/>
        <w:ind w:firstLineChars="100" w:firstLine="240"/>
        <w:jc w:val="both"/>
        <w:rPr>
          <w:rFonts w:ascii="Book Antiqua" w:hAnsi="Book Antiqua" w:cs="Arial"/>
        </w:rPr>
      </w:pPr>
      <w:r w:rsidRPr="00341571">
        <w:rPr>
          <w:rFonts w:ascii="Book Antiqua" w:hAnsi="Book Antiqua" w:cs="Arial"/>
        </w:rPr>
        <w:t>We report a</w:t>
      </w:r>
      <w:r w:rsidR="00E16DA8" w:rsidRPr="00341571">
        <w:rPr>
          <w:rFonts w:ascii="Book Antiqua" w:hAnsi="Book Antiqua" w:cs="Arial"/>
        </w:rPr>
        <w:t>n</w:t>
      </w:r>
      <w:r w:rsidRPr="00341571">
        <w:rPr>
          <w:rFonts w:ascii="Book Antiqua" w:hAnsi="Book Antiqua" w:cs="Arial"/>
        </w:rPr>
        <w:t xml:space="preserve"> overall survival of 8.7 mo in our cohort, comparable to survival outcomes of 7.5-12.3 mo achieved by patients on systemic </w:t>
      </w:r>
      <w:r w:rsidR="00E16DA8" w:rsidRPr="00341571">
        <w:rPr>
          <w:rFonts w:ascii="Book Antiqua" w:hAnsi="Book Antiqua" w:cs="Arial"/>
        </w:rPr>
        <w:t>chemotherapy in several trials</w:t>
      </w:r>
      <w:r w:rsidR="007433D6" w:rsidRPr="00341571">
        <w:rPr>
          <w:rFonts w:ascii="Book Antiqua" w:hAnsi="Book Antiqua" w:cs="Arial"/>
          <w:vertAlign w:val="superscript"/>
        </w:rPr>
        <w:t>[8-11]</w:t>
      </w:r>
      <w:r w:rsidR="00E16DA8" w:rsidRPr="00341571">
        <w:rPr>
          <w:rFonts w:ascii="Book Antiqua" w:hAnsi="Book Antiqua" w:cs="Arial"/>
        </w:rPr>
        <w:t>.</w:t>
      </w:r>
      <w:r w:rsidR="00695AC2" w:rsidRPr="00341571">
        <w:rPr>
          <w:rFonts w:ascii="Book Antiqua" w:hAnsi="Book Antiqua" w:cs="Arial"/>
          <w:vertAlign w:val="superscript"/>
        </w:rPr>
        <w:t xml:space="preserve"> </w:t>
      </w:r>
      <w:r w:rsidR="00E16DA8" w:rsidRPr="00341571">
        <w:rPr>
          <w:rFonts w:ascii="Book Antiqua" w:hAnsi="Book Antiqua" w:cs="Arial"/>
        </w:rPr>
        <w:t xml:space="preserve">Stratified analysis revealed a trend towards improved survival in patients with isolated peritoneal metastasis, in keeping with findings of Thomassen </w:t>
      </w:r>
      <w:r w:rsidR="007433D6" w:rsidRPr="007433D6">
        <w:rPr>
          <w:rFonts w:ascii="Book Antiqua" w:hAnsi="Book Antiqua" w:cs="Arial"/>
          <w:i/>
        </w:rPr>
        <w:t>et al</w:t>
      </w:r>
      <w:r w:rsidR="007433D6" w:rsidRPr="00341571">
        <w:rPr>
          <w:rFonts w:ascii="Book Antiqua" w:hAnsi="Book Antiqua" w:cs="Arial"/>
          <w:vertAlign w:val="superscript"/>
        </w:rPr>
        <w:t>[5]</w:t>
      </w:r>
      <w:r w:rsidR="00DA64C5">
        <w:rPr>
          <w:rFonts w:ascii="Book Antiqua" w:eastAsia="宋体" w:hAnsi="Book Antiqua" w:cs="Arial" w:hint="eastAsia"/>
          <w:vertAlign w:val="superscript"/>
          <w:lang w:eastAsia="zh-CN"/>
        </w:rPr>
        <w:t xml:space="preserve"> </w:t>
      </w:r>
      <w:r w:rsidR="00E16DA8" w:rsidRPr="00341571">
        <w:rPr>
          <w:rFonts w:ascii="Book Antiqua" w:hAnsi="Book Antiqua" w:cs="Arial"/>
        </w:rPr>
        <w:t>which reported median survival of 4.6 and 3.3 mo in patients with isolated peritoneal metastasis and peritoneal plus other concomitant distant sites of metastasis respectively.</w:t>
      </w:r>
      <w:r w:rsidR="00695AC2" w:rsidRPr="00341571">
        <w:rPr>
          <w:rFonts w:ascii="Book Antiqua" w:hAnsi="Book Antiqua" w:cs="Arial"/>
          <w:vertAlign w:val="superscript"/>
        </w:rPr>
        <w:t xml:space="preserve"> </w:t>
      </w:r>
      <w:r w:rsidR="009F53D1" w:rsidRPr="00341571">
        <w:rPr>
          <w:rFonts w:ascii="Book Antiqua" w:hAnsi="Book Antiqua" w:cs="Arial"/>
        </w:rPr>
        <w:t>This is consistent</w:t>
      </w:r>
      <w:r w:rsidR="00E16DA8" w:rsidRPr="00341571">
        <w:rPr>
          <w:rFonts w:ascii="Book Antiqua" w:hAnsi="Book Antiqua" w:cs="Arial"/>
        </w:rPr>
        <w:t xml:space="preserve"> with </w:t>
      </w:r>
      <w:r w:rsidR="009F53D1" w:rsidRPr="00341571">
        <w:rPr>
          <w:rFonts w:ascii="Book Antiqua" w:hAnsi="Book Antiqua" w:cs="Arial"/>
        </w:rPr>
        <w:t>proposed theories</w:t>
      </w:r>
      <w:r w:rsidR="00E16DA8" w:rsidRPr="00341571">
        <w:rPr>
          <w:rFonts w:ascii="Book Antiqua" w:hAnsi="Book Antiqua" w:cs="Arial"/>
        </w:rPr>
        <w:t xml:space="preserve"> of isolated </w:t>
      </w:r>
      <w:r w:rsidR="00B568F2" w:rsidRPr="00341571">
        <w:rPr>
          <w:rFonts w:ascii="Book Antiqua" w:hAnsi="Book Antiqua"/>
        </w:rPr>
        <w:t>PC</w:t>
      </w:r>
      <w:r w:rsidR="00E16DA8" w:rsidRPr="00341571">
        <w:rPr>
          <w:rFonts w:ascii="Book Antiqua" w:hAnsi="Book Antiqua" w:cs="Arial"/>
        </w:rPr>
        <w:t xml:space="preserve"> as a loco-regional disease extension rather than a true systemic dissemination of metastatic disease,</w:t>
      </w:r>
      <w:r w:rsidR="009B7469" w:rsidRPr="00341571">
        <w:rPr>
          <w:rFonts w:ascii="Book Antiqua" w:hAnsi="Book Antiqua" w:cs="Arial"/>
        </w:rPr>
        <w:t xml:space="preserve"> which further lends support to the </w:t>
      </w:r>
      <w:r w:rsidR="00757A88" w:rsidRPr="00341571">
        <w:rPr>
          <w:rFonts w:ascii="Book Antiqua" w:hAnsi="Book Antiqua" w:cs="Arial"/>
        </w:rPr>
        <w:t xml:space="preserve">investigational use </w:t>
      </w:r>
      <w:r w:rsidR="009B7469" w:rsidRPr="00341571">
        <w:rPr>
          <w:rFonts w:ascii="Book Antiqua" w:hAnsi="Book Antiqua" w:cs="Arial"/>
        </w:rPr>
        <w:t>of aggressive loco-regional treatment with CRS and HIPEC in at least selected cases to maximize survival outcomes.</w:t>
      </w:r>
    </w:p>
    <w:p w14:paraId="689E3E37" w14:textId="1AAFB857" w:rsidR="00174455" w:rsidRPr="00341571" w:rsidRDefault="009B7469" w:rsidP="007433D6">
      <w:pPr>
        <w:spacing w:line="360" w:lineRule="auto"/>
        <w:ind w:firstLineChars="100" w:firstLine="240"/>
        <w:jc w:val="both"/>
        <w:rPr>
          <w:rFonts w:ascii="Book Antiqua" w:hAnsi="Book Antiqua" w:cs="Arial"/>
        </w:rPr>
      </w:pPr>
      <w:r w:rsidRPr="00341571">
        <w:rPr>
          <w:rFonts w:ascii="Book Antiqua" w:hAnsi="Book Antiqua" w:cs="Arial"/>
        </w:rPr>
        <w:t>While we recognize the limitations inherent to the retrospective nature of our study, it is, to the best of our knowledge, the</w:t>
      </w:r>
      <w:r w:rsidR="009E3FBE" w:rsidRPr="00341571">
        <w:rPr>
          <w:rFonts w:ascii="Book Antiqua" w:hAnsi="Book Antiqua" w:cs="Arial"/>
        </w:rPr>
        <w:t xml:space="preserve"> only study after Thomassen </w:t>
      </w:r>
      <w:r w:rsidR="009E3FBE" w:rsidRPr="007433D6">
        <w:rPr>
          <w:rFonts w:ascii="Book Antiqua" w:hAnsi="Book Antiqua" w:cs="Arial"/>
          <w:i/>
        </w:rPr>
        <w:t>et al</w:t>
      </w:r>
      <w:r w:rsidR="007433D6" w:rsidRPr="00341571">
        <w:rPr>
          <w:rFonts w:ascii="Book Antiqua" w:hAnsi="Book Antiqua" w:cs="Arial"/>
          <w:vertAlign w:val="superscript"/>
        </w:rPr>
        <w:t>[5]</w:t>
      </w:r>
      <w:r w:rsidR="009E3FBE" w:rsidRPr="00341571">
        <w:rPr>
          <w:rFonts w:ascii="Book Antiqua" w:hAnsi="Book Antiqua" w:cs="Arial"/>
        </w:rPr>
        <w:t xml:space="preserve"> to examine the demographic and disease characteristics of gastric </w:t>
      </w:r>
      <w:r w:rsidR="00B568F2" w:rsidRPr="00341571">
        <w:rPr>
          <w:rFonts w:ascii="Book Antiqua" w:hAnsi="Book Antiqua"/>
        </w:rPr>
        <w:t>PC</w:t>
      </w:r>
      <w:r w:rsidR="009E3FBE" w:rsidRPr="00341571">
        <w:rPr>
          <w:rFonts w:ascii="Book Antiqua" w:hAnsi="Book Antiqua" w:cs="Arial"/>
        </w:rPr>
        <w:t>, and the</w:t>
      </w:r>
      <w:r w:rsidRPr="00341571">
        <w:rPr>
          <w:rFonts w:ascii="Book Antiqua" w:hAnsi="Book Antiqua" w:cs="Arial"/>
        </w:rPr>
        <w:t xml:space="preserve"> first study to examine the clinical and treatment course of </w:t>
      </w:r>
      <w:r w:rsidR="009E3FBE" w:rsidRPr="00341571">
        <w:rPr>
          <w:rFonts w:ascii="Book Antiqua" w:hAnsi="Book Antiqua" w:cs="Arial"/>
        </w:rPr>
        <w:t xml:space="preserve">these </w:t>
      </w:r>
      <w:r w:rsidRPr="00341571">
        <w:rPr>
          <w:rFonts w:ascii="Book Antiqua" w:hAnsi="Book Antiqua" w:cs="Arial"/>
        </w:rPr>
        <w:t>patients.</w:t>
      </w:r>
      <w:r w:rsidR="00695AC2" w:rsidRPr="00341571">
        <w:rPr>
          <w:rFonts w:ascii="Book Antiqua" w:hAnsi="Book Antiqua" w:cs="Arial"/>
          <w:vertAlign w:val="superscript"/>
        </w:rPr>
        <w:t xml:space="preserve"> </w:t>
      </w:r>
    </w:p>
    <w:p w14:paraId="02AC6DB1" w14:textId="3EE7BA0A" w:rsidR="009B7469" w:rsidRPr="00341571" w:rsidRDefault="009B7469" w:rsidP="007433D6">
      <w:pPr>
        <w:spacing w:line="360" w:lineRule="auto"/>
        <w:ind w:firstLineChars="100" w:firstLine="240"/>
        <w:jc w:val="both"/>
        <w:rPr>
          <w:rFonts w:ascii="Book Antiqua" w:hAnsi="Book Antiqua" w:cs="Arial"/>
        </w:rPr>
      </w:pPr>
      <w:r w:rsidRPr="00341571">
        <w:rPr>
          <w:rFonts w:ascii="Book Antiqua" w:hAnsi="Book Antiqua" w:cs="Arial"/>
        </w:rPr>
        <w:t>Looking ahead, further studies could examine and compare the clinical course and outcomes of gastric cancer patients with different groups of metastatic sites (</w:t>
      </w:r>
      <w:r w:rsidRPr="007433D6">
        <w:rPr>
          <w:rFonts w:ascii="Book Antiqua" w:hAnsi="Book Antiqua" w:cs="Arial"/>
          <w:i/>
        </w:rPr>
        <w:t>e.g.</w:t>
      </w:r>
      <w:r w:rsidR="007433D6">
        <w:rPr>
          <w:rFonts w:ascii="Book Antiqua" w:eastAsia="宋体" w:hAnsi="Book Antiqua" w:cs="Arial" w:hint="eastAsia"/>
          <w:lang w:eastAsia="zh-CN"/>
        </w:rPr>
        <w:t>,</w:t>
      </w:r>
      <w:r w:rsidRPr="00341571">
        <w:rPr>
          <w:rFonts w:ascii="Book Antiqua" w:hAnsi="Book Antiqua" w:cs="Arial"/>
        </w:rPr>
        <w:t xml:space="preserve"> peritoneal metastasis vs isolated liver metastasis </w:t>
      </w:r>
      <w:r w:rsidRPr="00CC45B2">
        <w:rPr>
          <w:rFonts w:ascii="Book Antiqua" w:hAnsi="Book Antiqua" w:cs="Arial"/>
          <w:i/>
        </w:rPr>
        <w:t>vs</w:t>
      </w:r>
      <w:r w:rsidRPr="00341571">
        <w:rPr>
          <w:rFonts w:ascii="Book Antiqua" w:hAnsi="Book Antiqua" w:cs="Arial"/>
        </w:rPr>
        <w:t xml:space="preserve"> other distant sites of metastasis)</w:t>
      </w:r>
      <w:r w:rsidR="009276CE" w:rsidRPr="00341571">
        <w:rPr>
          <w:rFonts w:ascii="Book Antiqua" w:hAnsi="Book Antiqua" w:cs="Arial"/>
        </w:rPr>
        <w:t xml:space="preserve">. Additionally, delving further into gastric </w:t>
      </w:r>
      <w:r w:rsidR="00B568F2" w:rsidRPr="00341571">
        <w:rPr>
          <w:rFonts w:ascii="Book Antiqua" w:hAnsi="Book Antiqua"/>
        </w:rPr>
        <w:t>PC</w:t>
      </w:r>
      <w:r w:rsidR="009276CE" w:rsidRPr="00341571">
        <w:rPr>
          <w:rFonts w:ascii="Book Antiqua" w:hAnsi="Book Antiqua" w:cs="Arial"/>
        </w:rPr>
        <w:t xml:space="preserve">, further work could be put into determining if the extent of peritoneal involvement affects clinical course and outcomes, which could in turn help </w:t>
      </w:r>
      <w:r w:rsidR="009276CE" w:rsidRPr="00341571">
        <w:rPr>
          <w:rFonts w:ascii="Book Antiqua" w:hAnsi="Book Antiqua" w:cs="Arial"/>
        </w:rPr>
        <w:lastRenderedPageBreak/>
        <w:t>better define a patient subgroup which may best benefit from aggressive loco-regional treatment options.</w:t>
      </w:r>
    </w:p>
    <w:p w14:paraId="6C752733" w14:textId="77777777" w:rsidR="00D8596E" w:rsidRPr="00341571" w:rsidRDefault="00D8596E" w:rsidP="00341571">
      <w:pPr>
        <w:spacing w:line="360" w:lineRule="auto"/>
        <w:jc w:val="both"/>
        <w:rPr>
          <w:rFonts w:ascii="Book Antiqua" w:hAnsi="Book Antiqua" w:cs="Arial"/>
          <w:b/>
        </w:rPr>
      </w:pPr>
    </w:p>
    <w:p w14:paraId="39F61E08" w14:textId="604A72CD" w:rsidR="009D7584" w:rsidRPr="00F9137A" w:rsidRDefault="00174455" w:rsidP="00341571">
      <w:pPr>
        <w:spacing w:line="360" w:lineRule="auto"/>
        <w:jc w:val="both"/>
        <w:rPr>
          <w:rFonts w:ascii="Book Antiqua" w:eastAsia="宋体" w:hAnsi="Book Antiqua" w:cs="Arial"/>
          <w:b/>
          <w:i/>
          <w:lang w:eastAsia="zh-CN"/>
        </w:rPr>
      </w:pPr>
      <w:r w:rsidRPr="00F9137A">
        <w:rPr>
          <w:rFonts w:ascii="Book Antiqua" w:hAnsi="Book Antiqua" w:cs="Arial"/>
          <w:b/>
          <w:i/>
        </w:rPr>
        <w:t>Conclusion</w:t>
      </w:r>
    </w:p>
    <w:p w14:paraId="50EA88EE" w14:textId="4DF3DC75" w:rsidR="00174455" w:rsidRPr="00341571" w:rsidRDefault="00C45AB7" w:rsidP="00341571">
      <w:pPr>
        <w:spacing w:line="360" w:lineRule="auto"/>
        <w:jc w:val="both"/>
        <w:rPr>
          <w:rFonts w:ascii="Book Antiqua" w:hAnsi="Book Antiqua" w:cs="Arial"/>
        </w:rPr>
      </w:pPr>
      <w:r w:rsidRPr="00341571">
        <w:rPr>
          <w:rFonts w:ascii="Book Antiqua" w:hAnsi="Book Antiqua" w:cs="Arial"/>
        </w:rPr>
        <w:t xml:space="preserve">Gastric </w:t>
      </w:r>
      <w:r w:rsidR="00B568F2" w:rsidRPr="00341571">
        <w:rPr>
          <w:rFonts w:ascii="Book Antiqua" w:hAnsi="Book Antiqua"/>
        </w:rPr>
        <w:t>PC</w:t>
      </w:r>
      <w:r w:rsidRPr="00341571">
        <w:rPr>
          <w:rFonts w:ascii="Book Antiqua" w:hAnsi="Book Antiqua" w:cs="Arial"/>
        </w:rPr>
        <w:t xml:space="preserve"> carries a grim prognosis with a clinical course fraught with disease-related complications which may attenuate any survival benefit palliative systemic chemotherapy has to offer</w:t>
      </w:r>
      <w:r w:rsidR="00757A88" w:rsidRPr="00341571">
        <w:rPr>
          <w:rFonts w:ascii="Book Antiqua" w:hAnsi="Book Antiqua" w:cs="Arial"/>
        </w:rPr>
        <w:t>.</w:t>
      </w:r>
      <w:r w:rsidR="00757A88" w:rsidRPr="00341571">
        <w:rPr>
          <w:rFonts w:ascii="Book Antiqua" w:hAnsi="Book Antiqua"/>
        </w:rPr>
        <w:t xml:space="preserve"> As such, investigational use of regional therapies is warranted and required validation in patients with isolated PC to maximize their survival outcomes in the long run.</w:t>
      </w:r>
    </w:p>
    <w:p w14:paraId="3B037EBF" w14:textId="77777777" w:rsidR="00FE57BB" w:rsidRPr="00F9137A" w:rsidRDefault="00FE57BB" w:rsidP="00341571">
      <w:pPr>
        <w:spacing w:line="360" w:lineRule="auto"/>
        <w:jc w:val="both"/>
        <w:rPr>
          <w:rFonts w:ascii="Book Antiqua" w:eastAsia="宋体" w:hAnsi="Book Antiqua" w:cs="Arial"/>
          <w:lang w:eastAsia="zh-CN"/>
        </w:rPr>
      </w:pPr>
    </w:p>
    <w:p w14:paraId="342D2A3D" w14:textId="1FD645F5" w:rsidR="00225721" w:rsidRPr="00F9137A" w:rsidRDefault="005219E6" w:rsidP="00341571">
      <w:pPr>
        <w:autoSpaceDE w:val="0"/>
        <w:autoSpaceDN w:val="0"/>
        <w:adjustRightInd w:val="0"/>
        <w:spacing w:line="360" w:lineRule="auto"/>
        <w:jc w:val="both"/>
        <w:rPr>
          <w:rFonts w:ascii="Book Antiqua" w:eastAsia="宋体" w:hAnsi="Book Antiqua"/>
          <w:b/>
          <w:lang w:eastAsia="zh-CN"/>
        </w:rPr>
      </w:pPr>
      <w:r w:rsidRPr="00341571">
        <w:rPr>
          <w:rFonts w:ascii="Book Antiqua" w:hAnsi="Book Antiqua"/>
          <w:b/>
        </w:rPr>
        <w:t>COMMENTS</w:t>
      </w:r>
    </w:p>
    <w:p w14:paraId="5B9D8D04" w14:textId="7A46905F" w:rsidR="00225721" w:rsidRPr="00F9137A" w:rsidRDefault="00225721" w:rsidP="00341571">
      <w:pPr>
        <w:spacing w:line="360" w:lineRule="auto"/>
        <w:jc w:val="both"/>
        <w:rPr>
          <w:rFonts w:ascii="Book Antiqua" w:hAnsi="Book Antiqua"/>
          <w:b/>
          <w:bCs/>
          <w:i/>
        </w:rPr>
      </w:pPr>
      <w:r w:rsidRPr="00F9137A">
        <w:rPr>
          <w:rFonts w:ascii="Book Antiqua" w:hAnsi="Book Antiqua"/>
          <w:b/>
          <w:bCs/>
          <w:i/>
        </w:rPr>
        <w:t>Background</w:t>
      </w:r>
    </w:p>
    <w:p w14:paraId="5509B56E" w14:textId="4C0C41E6" w:rsidR="00225721" w:rsidRDefault="00583EC7" w:rsidP="00341571">
      <w:pPr>
        <w:spacing w:line="360" w:lineRule="auto"/>
        <w:jc w:val="both"/>
        <w:rPr>
          <w:rFonts w:ascii="Book Antiqua" w:eastAsia="宋体" w:hAnsi="Book Antiqua"/>
          <w:lang w:eastAsia="zh-CN"/>
        </w:rPr>
      </w:pPr>
      <w:r w:rsidRPr="00341571">
        <w:rPr>
          <w:rFonts w:ascii="Book Antiqua" w:hAnsi="Book Antiqua"/>
        </w:rPr>
        <w:t>Systemic palliative chemotherapy is the current standard of care for all metastatic gastric cancers, including cases with</w:t>
      </w:r>
      <w:r w:rsidR="00225721" w:rsidRPr="00341571">
        <w:rPr>
          <w:rFonts w:ascii="Book Antiqua" w:hAnsi="Book Antiqua"/>
        </w:rPr>
        <w:t xml:space="preserve"> peritoneal carcinomatosis (PC)</w:t>
      </w:r>
      <w:r w:rsidRPr="00341571">
        <w:rPr>
          <w:rFonts w:ascii="Book Antiqua" w:hAnsi="Book Antiqua"/>
        </w:rPr>
        <w:t>. Gastric PC</w:t>
      </w:r>
      <w:r w:rsidR="00225721" w:rsidRPr="00341571">
        <w:rPr>
          <w:rFonts w:ascii="Book Antiqua" w:hAnsi="Book Antiqua"/>
        </w:rPr>
        <w:t xml:space="preserve"> is known to cause symptoms requiring repeated hospitalizations which may interrupt and terminate planned palliative systemic chemotherapy. There exists a paucity of literature examining the clinical course of patients with gastric PC. </w:t>
      </w:r>
      <w:r w:rsidR="00E93CB4">
        <w:rPr>
          <w:rFonts w:ascii="Book Antiqua" w:eastAsia="宋体" w:hAnsi="Book Antiqua" w:hint="eastAsia"/>
          <w:lang w:eastAsia="zh-CN"/>
        </w:rPr>
        <w:t>The authors</w:t>
      </w:r>
      <w:r w:rsidR="00225721" w:rsidRPr="00341571">
        <w:rPr>
          <w:rFonts w:ascii="Book Antiqua" w:hAnsi="Book Antiqua"/>
        </w:rPr>
        <w:t xml:space="preserve"> aimed to characterize patients with gastric PC and their typical clinical and treatment course with palliative systemic chemotherapy as the current standard of care.</w:t>
      </w:r>
    </w:p>
    <w:p w14:paraId="1F5D5431" w14:textId="77777777" w:rsidR="00B568F2" w:rsidRPr="00B568F2" w:rsidRDefault="00B568F2" w:rsidP="00341571">
      <w:pPr>
        <w:spacing w:line="360" w:lineRule="auto"/>
        <w:jc w:val="both"/>
        <w:rPr>
          <w:rFonts w:ascii="Book Antiqua" w:eastAsia="宋体" w:hAnsi="Book Antiqua"/>
          <w:lang w:eastAsia="zh-CN"/>
        </w:rPr>
      </w:pPr>
    </w:p>
    <w:p w14:paraId="618BC2E6" w14:textId="5A738D8D" w:rsidR="00225721" w:rsidRPr="00B568F2" w:rsidRDefault="00225721" w:rsidP="00341571">
      <w:pPr>
        <w:spacing w:line="360" w:lineRule="auto"/>
        <w:jc w:val="both"/>
        <w:rPr>
          <w:rFonts w:ascii="Book Antiqua" w:hAnsi="Book Antiqua"/>
          <w:b/>
          <w:bCs/>
          <w:i/>
        </w:rPr>
      </w:pPr>
      <w:r w:rsidRPr="00B568F2">
        <w:rPr>
          <w:rFonts w:ascii="Book Antiqua" w:hAnsi="Book Antiqua"/>
          <w:b/>
          <w:bCs/>
          <w:i/>
        </w:rPr>
        <w:t>Research frontiers</w:t>
      </w:r>
    </w:p>
    <w:p w14:paraId="49C0D7FB" w14:textId="7DCB93C8" w:rsidR="00225721" w:rsidRDefault="00FE57BB" w:rsidP="00341571">
      <w:pPr>
        <w:spacing w:line="360" w:lineRule="auto"/>
        <w:jc w:val="both"/>
        <w:rPr>
          <w:rFonts w:ascii="Book Antiqua" w:eastAsia="宋体" w:hAnsi="Book Antiqua"/>
          <w:lang w:eastAsia="zh-CN"/>
        </w:rPr>
      </w:pPr>
      <w:r w:rsidRPr="00341571">
        <w:rPr>
          <w:rFonts w:ascii="Book Antiqua" w:hAnsi="Book Antiqua"/>
        </w:rPr>
        <w:t>While systemic palliative chemotherapy has been established as the standard of care through several randomized controlled trials demonstrating survival benefit, the overall prognosis of metastatic gastric cancer remains poor. Investigational loco-regional treatment options such as intraperitoneal chemotherapy and cytoreductive surgery are currently being studied and validated as alternative treatment of patients with gastric PC.</w:t>
      </w:r>
    </w:p>
    <w:p w14:paraId="0D48ECF9" w14:textId="77777777" w:rsidR="00E93CB4" w:rsidRPr="00E93CB4" w:rsidRDefault="00E93CB4" w:rsidP="00341571">
      <w:pPr>
        <w:spacing w:line="360" w:lineRule="auto"/>
        <w:jc w:val="both"/>
        <w:rPr>
          <w:rFonts w:ascii="Book Antiqua" w:eastAsia="宋体" w:hAnsi="Book Antiqua"/>
          <w:lang w:eastAsia="zh-CN"/>
        </w:rPr>
      </w:pPr>
    </w:p>
    <w:p w14:paraId="062A9DA4" w14:textId="41B7CCD2" w:rsidR="00225721" w:rsidRPr="00E93CB4" w:rsidRDefault="00225721" w:rsidP="00341571">
      <w:pPr>
        <w:spacing w:line="360" w:lineRule="auto"/>
        <w:jc w:val="both"/>
        <w:rPr>
          <w:rFonts w:ascii="Book Antiqua" w:hAnsi="Book Antiqua"/>
          <w:b/>
          <w:bCs/>
          <w:i/>
        </w:rPr>
      </w:pPr>
      <w:r w:rsidRPr="00E93CB4">
        <w:rPr>
          <w:rFonts w:ascii="Book Antiqua" w:hAnsi="Book Antiqua"/>
          <w:b/>
          <w:bCs/>
          <w:i/>
        </w:rPr>
        <w:t>Innovations and breakthroughs</w:t>
      </w:r>
    </w:p>
    <w:p w14:paraId="2BEE4DCF" w14:textId="03F344BD" w:rsidR="00225721" w:rsidRDefault="00FE57BB" w:rsidP="00341571">
      <w:pPr>
        <w:spacing w:line="360" w:lineRule="auto"/>
        <w:jc w:val="both"/>
        <w:rPr>
          <w:rFonts w:ascii="Book Antiqua" w:eastAsia="宋体" w:hAnsi="Book Antiqua" w:cs="Arial"/>
          <w:lang w:eastAsia="zh-CN"/>
        </w:rPr>
      </w:pPr>
      <w:r w:rsidRPr="00341571">
        <w:rPr>
          <w:rFonts w:ascii="Book Antiqua" w:hAnsi="Book Antiqua"/>
        </w:rPr>
        <w:lastRenderedPageBreak/>
        <w:t xml:space="preserve">This is, </w:t>
      </w:r>
      <w:r w:rsidRPr="00341571">
        <w:rPr>
          <w:rFonts w:ascii="Book Antiqua" w:hAnsi="Book Antiqua" w:cs="Arial"/>
        </w:rPr>
        <w:t xml:space="preserve">to the best of our knowledge, the only study after Thomassen </w:t>
      </w:r>
      <w:r w:rsidRPr="00DA64C5">
        <w:rPr>
          <w:rFonts w:ascii="Book Antiqua" w:hAnsi="Book Antiqua" w:cs="Arial"/>
          <w:i/>
        </w:rPr>
        <w:t>et al</w:t>
      </w:r>
      <w:r w:rsidRPr="00341571">
        <w:rPr>
          <w:rFonts w:ascii="Book Antiqua" w:hAnsi="Book Antiqua" w:cs="Arial"/>
        </w:rPr>
        <w:t xml:space="preserve"> to examine the demographic and disease characteristics of gastric PC, and the first study to examine the clinical and treatment course of these patients.</w:t>
      </w:r>
    </w:p>
    <w:p w14:paraId="7B3C0297" w14:textId="77777777" w:rsidR="0029116F" w:rsidRPr="0029116F" w:rsidRDefault="0029116F" w:rsidP="00341571">
      <w:pPr>
        <w:spacing w:line="360" w:lineRule="auto"/>
        <w:jc w:val="both"/>
        <w:rPr>
          <w:rFonts w:ascii="Book Antiqua" w:eastAsia="宋体" w:hAnsi="Book Antiqua"/>
          <w:lang w:eastAsia="zh-CN"/>
        </w:rPr>
      </w:pPr>
    </w:p>
    <w:p w14:paraId="702BBEA3" w14:textId="483C531D" w:rsidR="00225721" w:rsidRPr="0029116F" w:rsidRDefault="00225721" w:rsidP="00341571">
      <w:pPr>
        <w:spacing w:line="360" w:lineRule="auto"/>
        <w:jc w:val="both"/>
        <w:rPr>
          <w:rFonts w:ascii="Book Antiqua" w:hAnsi="Book Antiqua"/>
          <w:b/>
          <w:bCs/>
          <w:i/>
        </w:rPr>
      </w:pPr>
      <w:r w:rsidRPr="0029116F">
        <w:rPr>
          <w:rFonts w:ascii="Book Antiqua" w:hAnsi="Book Antiqua"/>
          <w:b/>
          <w:bCs/>
          <w:i/>
        </w:rPr>
        <w:t>Applications</w:t>
      </w:r>
    </w:p>
    <w:p w14:paraId="593D5525" w14:textId="2E7E261D" w:rsidR="00225721" w:rsidRDefault="0029116F" w:rsidP="00341571">
      <w:pPr>
        <w:spacing w:line="360" w:lineRule="auto"/>
        <w:jc w:val="both"/>
        <w:rPr>
          <w:rFonts w:ascii="Book Antiqua" w:eastAsia="宋体" w:hAnsi="Book Antiqua"/>
          <w:lang w:eastAsia="zh-CN"/>
        </w:rPr>
      </w:pPr>
      <w:r>
        <w:rPr>
          <w:rFonts w:ascii="Book Antiqua" w:eastAsia="宋体" w:hAnsi="Book Antiqua" w:hint="eastAsia"/>
          <w:lang w:eastAsia="zh-CN"/>
        </w:rPr>
        <w:t>The authors</w:t>
      </w:r>
      <w:r w:rsidR="00FE57BB" w:rsidRPr="00341571">
        <w:rPr>
          <w:rFonts w:ascii="Book Antiqua" w:hAnsi="Book Antiqua"/>
        </w:rPr>
        <w:t xml:space="preserve"> demonstrated that patients with gastric PC have a grim prognosis, with frequent disease-related complications requiring unplanned hospitalizations which disrupt and terminate planned palliative systemic chemotherapy. As such, patients with gastric PC may benefit from investigational loco-regional treatment options as an alternative.</w:t>
      </w:r>
    </w:p>
    <w:p w14:paraId="3888EF4B" w14:textId="77777777" w:rsidR="0029116F" w:rsidRPr="0029116F" w:rsidRDefault="0029116F" w:rsidP="00341571">
      <w:pPr>
        <w:spacing w:line="360" w:lineRule="auto"/>
        <w:jc w:val="both"/>
        <w:rPr>
          <w:rFonts w:ascii="Book Antiqua" w:eastAsia="宋体" w:hAnsi="Book Antiqua"/>
          <w:lang w:eastAsia="zh-CN"/>
        </w:rPr>
      </w:pPr>
    </w:p>
    <w:p w14:paraId="3E8BA1A0" w14:textId="64EAA11A" w:rsidR="00234A59" w:rsidRPr="005D21F6" w:rsidRDefault="0029116F" w:rsidP="005D21F6">
      <w:pPr>
        <w:spacing w:line="360" w:lineRule="auto"/>
        <w:jc w:val="both"/>
        <w:rPr>
          <w:rFonts w:ascii="Book Antiqua" w:eastAsia="宋体" w:hAnsi="Book Antiqua" w:cs="Arial"/>
          <w:b/>
          <w:bCs/>
          <w:i/>
          <w:lang w:eastAsia="zh-CN"/>
        </w:rPr>
      </w:pPr>
      <w:r w:rsidRPr="005D21F6">
        <w:rPr>
          <w:rFonts w:ascii="Book Antiqua" w:eastAsia="宋体" w:hAnsi="Book Antiqua" w:cs="Arial"/>
          <w:b/>
          <w:bCs/>
          <w:i/>
          <w:lang w:eastAsia="zh-CN"/>
        </w:rPr>
        <w:t>Peer-review</w:t>
      </w:r>
    </w:p>
    <w:p w14:paraId="3C174CD0" w14:textId="4E6E767E" w:rsidR="0029116F" w:rsidRPr="005D21F6" w:rsidRDefault="005D21F6" w:rsidP="005D21F6">
      <w:pPr>
        <w:spacing w:line="360" w:lineRule="auto"/>
        <w:jc w:val="both"/>
        <w:rPr>
          <w:rFonts w:ascii="Book Antiqua" w:eastAsia="宋体" w:hAnsi="Book Antiqua"/>
          <w:lang w:eastAsia="zh-CN"/>
        </w:rPr>
      </w:pPr>
      <w:r w:rsidRPr="005D21F6">
        <w:rPr>
          <w:rFonts w:ascii="Book Antiqua" w:hAnsi="Book Antiqua"/>
        </w:rPr>
        <w:t>The authors present a retrospective study of a cohort of patients with gastric cancer and peritoneal metastases treated in a single oncology center.</w:t>
      </w:r>
      <w:r w:rsidR="008D031B">
        <w:rPr>
          <w:rFonts w:ascii="Book Antiqua" w:hAnsi="Book Antiqua"/>
        </w:rPr>
        <w:t xml:space="preserve"> </w:t>
      </w:r>
      <w:r w:rsidRPr="005D21F6">
        <w:rPr>
          <w:rFonts w:ascii="Book Antiqua" w:hAnsi="Book Antiqua"/>
        </w:rPr>
        <w:t>The rationale for the study is important as the prognosis remains poor in this group of patients. The study derives a lot of clinical data describing patients’ baseline characteristics and their course during palliative therapy. The results are consistent with those presented in previous studies.</w:t>
      </w:r>
    </w:p>
    <w:p w14:paraId="0FACBCFE" w14:textId="77777777" w:rsidR="005D21F6" w:rsidRPr="005D21F6" w:rsidRDefault="005D21F6" w:rsidP="005D21F6">
      <w:pPr>
        <w:spacing w:line="360" w:lineRule="auto"/>
        <w:jc w:val="both"/>
        <w:rPr>
          <w:rFonts w:ascii="Book Antiqua" w:eastAsia="宋体" w:hAnsi="Book Antiqua" w:cs="Arial"/>
          <w:lang w:eastAsia="zh-CN"/>
        </w:rPr>
      </w:pPr>
    </w:p>
    <w:p w14:paraId="4F40F655" w14:textId="77777777" w:rsidR="005D21F6" w:rsidRDefault="005D21F6">
      <w:pPr>
        <w:rPr>
          <w:rFonts w:ascii="Book Antiqua" w:hAnsi="Book Antiqua" w:cs="Times New Roman"/>
          <w:b/>
        </w:rPr>
      </w:pPr>
      <w:r>
        <w:rPr>
          <w:rFonts w:ascii="Book Antiqua" w:hAnsi="Book Antiqua" w:cs="Times New Roman"/>
          <w:b/>
        </w:rPr>
        <w:br w:type="page"/>
      </w:r>
    </w:p>
    <w:p w14:paraId="0E888AE8" w14:textId="71B1DB8F" w:rsidR="00583504" w:rsidRPr="005D21F6" w:rsidRDefault="005219E6" w:rsidP="005D21F6">
      <w:pPr>
        <w:spacing w:line="360" w:lineRule="auto"/>
        <w:jc w:val="both"/>
        <w:rPr>
          <w:rFonts w:ascii="Book Antiqua" w:hAnsi="Book Antiqua" w:cs="Arial"/>
        </w:rPr>
      </w:pPr>
      <w:r w:rsidRPr="005D21F6">
        <w:rPr>
          <w:rFonts w:ascii="Book Antiqua" w:hAnsi="Book Antiqua" w:cs="Times New Roman"/>
          <w:b/>
        </w:rPr>
        <w:lastRenderedPageBreak/>
        <w:t>REFERENCES</w:t>
      </w:r>
    </w:p>
    <w:p w14:paraId="7615DC20"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 </w:t>
      </w:r>
      <w:r w:rsidRPr="005D21F6">
        <w:rPr>
          <w:rFonts w:ascii="Book Antiqua" w:eastAsia="宋体" w:hAnsi="Book Antiqua" w:cs="宋体"/>
          <w:b/>
          <w:bCs/>
          <w:lang w:eastAsia="zh-CN"/>
        </w:rPr>
        <w:t>Brenner H</w:t>
      </w:r>
      <w:r w:rsidRPr="005D21F6">
        <w:rPr>
          <w:rFonts w:ascii="Book Antiqua" w:eastAsia="宋体" w:hAnsi="Book Antiqua" w:cs="宋体"/>
          <w:lang w:eastAsia="zh-CN"/>
        </w:rPr>
        <w:t xml:space="preserve">, Rothenbacher D, Arndt V. Epidemiology of stomach cancer. </w:t>
      </w:r>
      <w:r w:rsidRPr="005D21F6">
        <w:rPr>
          <w:rFonts w:ascii="Book Antiqua" w:eastAsia="宋体" w:hAnsi="Book Antiqua" w:cs="宋体"/>
          <w:i/>
          <w:iCs/>
          <w:lang w:eastAsia="zh-CN"/>
        </w:rPr>
        <w:t>Methods Mol Biol</w:t>
      </w:r>
      <w:r w:rsidRPr="005D21F6">
        <w:rPr>
          <w:rFonts w:ascii="Book Antiqua" w:eastAsia="宋体" w:hAnsi="Book Antiqua" w:cs="宋体"/>
          <w:lang w:eastAsia="zh-CN"/>
        </w:rPr>
        <w:t xml:space="preserve"> 2009; </w:t>
      </w:r>
      <w:r w:rsidRPr="005D21F6">
        <w:rPr>
          <w:rFonts w:ascii="Book Antiqua" w:eastAsia="宋体" w:hAnsi="Book Antiqua" w:cs="宋体"/>
          <w:b/>
          <w:bCs/>
          <w:lang w:eastAsia="zh-CN"/>
        </w:rPr>
        <w:t>472</w:t>
      </w:r>
      <w:r w:rsidRPr="005D21F6">
        <w:rPr>
          <w:rFonts w:ascii="Book Antiqua" w:eastAsia="宋体" w:hAnsi="Book Antiqua" w:cs="宋体"/>
          <w:lang w:eastAsia="zh-CN"/>
        </w:rPr>
        <w:t>: 467-477 [PMID: 19107449 DOI: 10.1007/978-1-60327-492-0_23]</w:t>
      </w:r>
    </w:p>
    <w:p w14:paraId="3FAAB5BB"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 </w:t>
      </w:r>
      <w:r w:rsidRPr="005D21F6">
        <w:rPr>
          <w:rFonts w:ascii="Book Antiqua" w:eastAsia="宋体" w:hAnsi="Book Antiqua" w:cs="宋体"/>
          <w:b/>
          <w:bCs/>
          <w:lang w:eastAsia="zh-CN"/>
        </w:rPr>
        <w:t>Kamangar F</w:t>
      </w:r>
      <w:r w:rsidRPr="005D21F6">
        <w:rPr>
          <w:rFonts w:ascii="Book Antiqua" w:eastAsia="宋体" w:hAnsi="Book Antiqua" w:cs="宋体"/>
          <w:lang w:eastAsia="zh-CN"/>
        </w:rPr>
        <w:t xml:space="preserve">, Dores GM, Anderson WF. Patterns of cancer incidence, mortality, and prevalence across five continents: defining priorities to reduce cancer disparities in different geographic regions of the world. </w:t>
      </w:r>
      <w:r w:rsidRPr="005D21F6">
        <w:rPr>
          <w:rFonts w:ascii="Book Antiqua" w:eastAsia="宋体" w:hAnsi="Book Antiqua" w:cs="宋体"/>
          <w:i/>
          <w:iCs/>
          <w:lang w:eastAsia="zh-CN"/>
        </w:rPr>
        <w:t>J Clin Oncol</w:t>
      </w:r>
      <w:r w:rsidRPr="005D21F6">
        <w:rPr>
          <w:rFonts w:ascii="Book Antiqua" w:eastAsia="宋体" w:hAnsi="Book Antiqua" w:cs="宋体"/>
          <w:lang w:eastAsia="zh-CN"/>
        </w:rPr>
        <w:t xml:space="preserve"> 2006; </w:t>
      </w:r>
      <w:r w:rsidRPr="005D21F6">
        <w:rPr>
          <w:rFonts w:ascii="Book Antiqua" w:eastAsia="宋体" w:hAnsi="Book Antiqua" w:cs="宋体"/>
          <w:b/>
          <w:bCs/>
          <w:lang w:eastAsia="zh-CN"/>
        </w:rPr>
        <w:t>24</w:t>
      </w:r>
      <w:r w:rsidRPr="005D21F6">
        <w:rPr>
          <w:rFonts w:ascii="Book Antiqua" w:eastAsia="宋体" w:hAnsi="Book Antiqua" w:cs="宋体"/>
          <w:lang w:eastAsia="zh-CN"/>
        </w:rPr>
        <w:t>: 2137-2150 [PMID: 16682732 DOI: 10.1200/JCO.2005.05.2308]</w:t>
      </w:r>
    </w:p>
    <w:p w14:paraId="130A9563" w14:textId="3AD93F7B" w:rsidR="005D21F6" w:rsidRPr="005D21F6" w:rsidRDefault="005D21F6" w:rsidP="005D21F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sidRPr="005D21F6">
        <w:rPr>
          <w:rFonts w:ascii="Book Antiqua" w:eastAsia="宋体" w:hAnsi="Book Antiqua" w:cs="宋体"/>
          <w:lang w:eastAsia="zh-CN"/>
        </w:rPr>
        <w:t xml:space="preserve">Stomach Cancer Estimated Incidence, Mortality and Prevalence Worldwide in 2012. </w:t>
      </w:r>
      <w:r w:rsidR="00454D00">
        <w:rPr>
          <w:rFonts w:ascii="Book Antiqua" w:eastAsia="宋体" w:hAnsi="Book Antiqua" w:cs="宋体"/>
          <w:lang w:eastAsia="zh-CN"/>
        </w:rPr>
        <w:t>[accessed 2016</w:t>
      </w:r>
      <w:r w:rsidRPr="005D21F6">
        <w:rPr>
          <w:rFonts w:ascii="Book Antiqua" w:eastAsia="宋体" w:hAnsi="Book Antiqua" w:cs="宋体"/>
          <w:lang w:eastAsia="zh-CN"/>
        </w:rPr>
        <w:t xml:space="preserve"> De</w:t>
      </w:r>
      <w:r>
        <w:rPr>
          <w:rFonts w:ascii="Book Antiqua" w:eastAsia="宋体" w:hAnsi="Book Antiqua" w:cs="宋体"/>
          <w:lang w:eastAsia="zh-CN"/>
        </w:rPr>
        <w:t>c 1</w:t>
      </w:r>
      <w:r w:rsidR="00454D00">
        <w:rPr>
          <w:rFonts w:ascii="Book Antiqua" w:eastAsia="宋体" w:hAnsi="Book Antiqua" w:cs="宋体"/>
          <w:lang w:eastAsia="zh-CN"/>
        </w:rPr>
        <w:t>]</w:t>
      </w:r>
      <w:r>
        <w:rPr>
          <w:rFonts w:ascii="Book Antiqua" w:eastAsia="宋体" w:hAnsi="Book Antiqua" w:cs="宋体"/>
          <w:lang w:eastAsia="zh-CN"/>
        </w:rPr>
        <w:t>. Available from: URL: http:</w:t>
      </w:r>
      <w:r w:rsidRPr="005D21F6">
        <w:rPr>
          <w:rFonts w:ascii="Book Antiqua" w:eastAsia="宋体" w:hAnsi="Book Antiqua" w:cs="宋体"/>
          <w:lang w:eastAsia="zh-CN"/>
        </w:rPr>
        <w:t>//globocan.iarc.fr/old/FactSheets/cancers/stomach-new.asp</w:t>
      </w:r>
    </w:p>
    <w:p w14:paraId="1811B143" w14:textId="5AF3E3DB" w:rsidR="005D21F6" w:rsidRPr="005D21F6" w:rsidRDefault="005D21F6" w:rsidP="005D21F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r w:rsidRPr="005D21F6">
        <w:rPr>
          <w:rFonts w:ascii="Book Antiqua" w:eastAsia="宋体" w:hAnsi="Book Antiqua" w:cs="宋体"/>
          <w:b/>
          <w:lang w:eastAsia="zh-CN"/>
        </w:rPr>
        <w:t>Lee HP</w:t>
      </w:r>
      <w:r w:rsidRPr="005D21F6">
        <w:rPr>
          <w:rFonts w:ascii="Book Antiqua" w:eastAsia="宋体" w:hAnsi="Book Antiqua" w:cs="宋体"/>
          <w:lang w:eastAsia="zh-CN"/>
        </w:rPr>
        <w:t xml:space="preserve">. Trends in Cancer Incidence in Singapore 2010-2014. Singapore Cancer Registry. </w:t>
      </w:r>
      <w:r w:rsidR="00454D00">
        <w:rPr>
          <w:rFonts w:ascii="Book Antiqua" w:eastAsia="宋体" w:hAnsi="Book Antiqua" w:cs="宋体"/>
          <w:lang w:eastAsia="zh-CN"/>
        </w:rPr>
        <w:t>[published 2015</w:t>
      </w:r>
      <w:r w:rsidRPr="005D21F6">
        <w:rPr>
          <w:rFonts w:ascii="Book Antiqua" w:eastAsia="宋体" w:hAnsi="Book Antiqua" w:cs="宋体"/>
          <w:lang w:eastAsia="zh-CN"/>
        </w:rPr>
        <w:t xml:space="preserve"> May </w:t>
      </w:r>
      <w:r>
        <w:rPr>
          <w:rFonts w:ascii="Book Antiqua" w:eastAsia="宋体" w:hAnsi="Book Antiqua" w:cs="宋体"/>
          <w:lang w:eastAsia="zh-CN"/>
        </w:rPr>
        <w:t>26</w:t>
      </w:r>
      <w:r w:rsidR="00454D00">
        <w:rPr>
          <w:rFonts w:ascii="Book Antiqua" w:eastAsia="宋体" w:hAnsi="Book Antiqua" w:cs="宋体"/>
          <w:lang w:eastAsia="zh-CN"/>
        </w:rPr>
        <w:t>]</w:t>
      </w:r>
      <w:r>
        <w:rPr>
          <w:rFonts w:ascii="Book Antiqua" w:eastAsia="宋体" w:hAnsi="Book Antiqua" w:cs="宋体"/>
          <w:lang w:eastAsia="zh-CN"/>
        </w:rPr>
        <w:t>. Available from: URL: https:</w:t>
      </w:r>
      <w:r w:rsidRPr="005D21F6">
        <w:rPr>
          <w:rFonts w:ascii="Book Antiqua" w:eastAsia="宋体" w:hAnsi="Book Antiqua" w:cs="宋体"/>
          <w:lang w:eastAsia="zh-CN"/>
        </w:rPr>
        <w:t>//www.nrdo.gov.sg/docs/librariesprovider3/default-document-library/cancer-trends-2010-2014_interim-annual-report_final-(public).pdf?sfvrsn=0</w:t>
      </w:r>
    </w:p>
    <w:p w14:paraId="79CA16F3"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5 </w:t>
      </w:r>
      <w:r w:rsidRPr="005D21F6">
        <w:rPr>
          <w:rFonts w:ascii="Book Antiqua" w:eastAsia="宋体" w:hAnsi="Book Antiqua" w:cs="宋体"/>
          <w:b/>
          <w:bCs/>
          <w:lang w:eastAsia="zh-CN"/>
        </w:rPr>
        <w:t>Thomassen I</w:t>
      </w:r>
      <w:r w:rsidRPr="005D21F6">
        <w:rPr>
          <w:rFonts w:ascii="Book Antiqua" w:eastAsia="宋体" w:hAnsi="Book Antiqua" w:cs="宋体"/>
          <w:lang w:eastAsia="zh-CN"/>
        </w:rPr>
        <w:t xml:space="preserve">, van Gestel YR, van Ramshorst B, Luyer MD, Bosscha K, Nienhuijs SW, Lemmens VE, de Hingh IH. Peritoneal carcinomatosis of gastric origin: a population-based study on incidence, survival and risk factors. </w:t>
      </w:r>
      <w:r w:rsidRPr="005D21F6">
        <w:rPr>
          <w:rFonts w:ascii="Book Antiqua" w:eastAsia="宋体" w:hAnsi="Book Antiqua" w:cs="宋体"/>
          <w:i/>
          <w:iCs/>
          <w:lang w:eastAsia="zh-CN"/>
        </w:rPr>
        <w:t>Int J Cancer</w:t>
      </w:r>
      <w:r w:rsidRPr="005D21F6">
        <w:rPr>
          <w:rFonts w:ascii="Book Antiqua" w:eastAsia="宋体" w:hAnsi="Book Antiqua" w:cs="宋体"/>
          <w:lang w:eastAsia="zh-CN"/>
        </w:rPr>
        <w:t xml:space="preserve"> 2014; </w:t>
      </w:r>
      <w:r w:rsidRPr="005D21F6">
        <w:rPr>
          <w:rFonts w:ascii="Book Antiqua" w:eastAsia="宋体" w:hAnsi="Book Antiqua" w:cs="宋体"/>
          <w:b/>
          <w:bCs/>
          <w:lang w:eastAsia="zh-CN"/>
        </w:rPr>
        <w:t>134</w:t>
      </w:r>
      <w:r w:rsidRPr="005D21F6">
        <w:rPr>
          <w:rFonts w:ascii="Book Antiqua" w:eastAsia="宋体" w:hAnsi="Book Antiqua" w:cs="宋体"/>
          <w:lang w:eastAsia="zh-CN"/>
        </w:rPr>
        <w:t>: 622-628 [PMID: 23832847 DOI: 10.1002/ijc.28373]</w:t>
      </w:r>
    </w:p>
    <w:p w14:paraId="58DF70A5"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6 </w:t>
      </w:r>
      <w:r w:rsidRPr="005D21F6">
        <w:rPr>
          <w:rFonts w:ascii="Book Antiqua" w:eastAsia="宋体" w:hAnsi="Book Antiqua" w:cs="宋体"/>
          <w:b/>
          <w:bCs/>
          <w:lang w:eastAsia="zh-CN"/>
        </w:rPr>
        <w:t>Yang D</w:t>
      </w:r>
      <w:r w:rsidRPr="005D21F6">
        <w:rPr>
          <w:rFonts w:ascii="Book Antiqua" w:eastAsia="宋体" w:hAnsi="Book Antiqua" w:cs="宋体"/>
          <w:lang w:eastAsia="zh-CN"/>
        </w:rPr>
        <w:t xml:space="preserve">, Hendifar A, Lenz C, Togawa K, Lenz F, Lurje G, Pohl A, Winder T, Ning Y, Groshen S, Lenz HJ. Survival of metastatic gastric cancer: Significance of age, sex and race/ethnicity. </w:t>
      </w:r>
      <w:r w:rsidRPr="005D21F6">
        <w:rPr>
          <w:rFonts w:ascii="Book Antiqua" w:eastAsia="宋体" w:hAnsi="Book Antiqua" w:cs="宋体"/>
          <w:i/>
          <w:iCs/>
          <w:lang w:eastAsia="zh-CN"/>
        </w:rPr>
        <w:t>J Gastrointest Oncol</w:t>
      </w:r>
      <w:r w:rsidRPr="005D21F6">
        <w:rPr>
          <w:rFonts w:ascii="Book Antiqua" w:eastAsia="宋体" w:hAnsi="Book Antiqua" w:cs="宋体"/>
          <w:lang w:eastAsia="zh-CN"/>
        </w:rPr>
        <w:t xml:space="preserve"> 2011; </w:t>
      </w:r>
      <w:r w:rsidRPr="005D21F6">
        <w:rPr>
          <w:rFonts w:ascii="Book Antiqua" w:eastAsia="宋体" w:hAnsi="Book Antiqua" w:cs="宋体"/>
          <w:b/>
          <w:bCs/>
          <w:lang w:eastAsia="zh-CN"/>
        </w:rPr>
        <w:t>2</w:t>
      </w:r>
      <w:r w:rsidRPr="005D21F6">
        <w:rPr>
          <w:rFonts w:ascii="Book Antiqua" w:eastAsia="宋体" w:hAnsi="Book Antiqua" w:cs="宋体"/>
          <w:lang w:eastAsia="zh-CN"/>
        </w:rPr>
        <w:t>: 77-84 [PMID: 22811834 DOI: 10.3978/j.issn.2078-6891.2010.025]</w:t>
      </w:r>
    </w:p>
    <w:p w14:paraId="0EF15A43"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7 </w:t>
      </w:r>
      <w:r w:rsidRPr="005D21F6">
        <w:rPr>
          <w:rFonts w:ascii="Book Antiqua" w:eastAsia="宋体" w:hAnsi="Book Antiqua" w:cs="宋体"/>
          <w:b/>
          <w:bCs/>
          <w:lang w:eastAsia="zh-CN"/>
        </w:rPr>
        <w:t>Liu X</w:t>
      </w:r>
      <w:r w:rsidRPr="005D21F6">
        <w:rPr>
          <w:rFonts w:ascii="Book Antiqua" w:eastAsia="宋体" w:hAnsi="Book Antiqua" w:cs="宋体"/>
          <w:lang w:eastAsia="zh-CN"/>
        </w:rPr>
        <w:t xml:space="preserve">, Cai H, Sheng W, Wang Y. Long-term results and prognostic factors of gastric cancer patients with microscopic peritoneal carcinomatosis. </w:t>
      </w:r>
      <w:r w:rsidRPr="005D21F6">
        <w:rPr>
          <w:rFonts w:ascii="Book Antiqua" w:eastAsia="宋体" w:hAnsi="Book Antiqua" w:cs="宋体"/>
          <w:i/>
          <w:iCs/>
          <w:lang w:eastAsia="zh-CN"/>
        </w:rPr>
        <w:t>PLoS One</w:t>
      </w:r>
      <w:r w:rsidRPr="005D21F6">
        <w:rPr>
          <w:rFonts w:ascii="Book Antiqua" w:eastAsia="宋体" w:hAnsi="Book Antiqua" w:cs="宋体"/>
          <w:lang w:eastAsia="zh-CN"/>
        </w:rPr>
        <w:t xml:space="preserve"> 2012; </w:t>
      </w:r>
      <w:r w:rsidRPr="005D21F6">
        <w:rPr>
          <w:rFonts w:ascii="Book Antiqua" w:eastAsia="宋体" w:hAnsi="Book Antiqua" w:cs="宋体"/>
          <w:b/>
          <w:bCs/>
          <w:lang w:eastAsia="zh-CN"/>
        </w:rPr>
        <w:t>7</w:t>
      </w:r>
      <w:r w:rsidRPr="005D21F6">
        <w:rPr>
          <w:rFonts w:ascii="Book Antiqua" w:eastAsia="宋体" w:hAnsi="Book Antiqua" w:cs="宋体"/>
          <w:lang w:eastAsia="zh-CN"/>
        </w:rPr>
        <w:t>: e37284 [PMID: 22615966 DOI: 10.1371/journal.pone.0037284]</w:t>
      </w:r>
    </w:p>
    <w:p w14:paraId="5C207A87"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8 </w:t>
      </w:r>
      <w:r w:rsidRPr="005D21F6">
        <w:rPr>
          <w:rFonts w:ascii="Book Antiqua" w:eastAsia="宋体" w:hAnsi="Book Antiqua" w:cs="宋体"/>
          <w:b/>
          <w:bCs/>
          <w:lang w:eastAsia="zh-CN"/>
        </w:rPr>
        <w:t>Murad AM</w:t>
      </w:r>
      <w:r w:rsidRPr="005D21F6">
        <w:rPr>
          <w:rFonts w:ascii="Book Antiqua" w:eastAsia="宋体" w:hAnsi="Book Antiqua" w:cs="宋体"/>
          <w:lang w:eastAsia="zh-CN"/>
        </w:rPr>
        <w:t xml:space="preserve">, Santiago FF, Petroianu A, Rocha PR, Rodrigues MA, Rausch M. Modified therapy with 5-fluorouracil, doxorubicin, and methotrexate in advanced gastric cancer. </w:t>
      </w:r>
      <w:r w:rsidRPr="005D21F6">
        <w:rPr>
          <w:rFonts w:ascii="Book Antiqua" w:eastAsia="宋体" w:hAnsi="Book Antiqua" w:cs="宋体"/>
          <w:i/>
          <w:iCs/>
          <w:lang w:eastAsia="zh-CN"/>
        </w:rPr>
        <w:t>Cancer</w:t>
      </w:r>
      <w:r w:rsidRPr="005D21F6">
        <w:rPr>
          <w:rFonts w:ascii="Book Antiqua" w:eastAsia="宋体" w:hAnsi="Book Antiqua" w:cs="宋体"/>
          <w:lang w:eastAsia="zh-CN"/>
        </w:rPr>
        <w:t xml:space="preserve"> 1993; </w:t>
      </w:r>
      <w:r w:rsidRPr="005D21F6">
        <w:rPr>
          <w:rFonts w:ascii="Book Antiqua" w:eastAsia="宋体" w:hAnsi="Book Antiqua" w:cs="宋体"/>
          <w:b/>
          <w:bCs/>
          <w:lang w:eastAsia="zh-CN"/>
        </w:rPr>
        <w:t>72</w:t>
      </w:r>
      <w:r w:rsidRPr="005D21F6">
        <w:rPr>
          <w:rFonts w:ascii="Book Antiqua" w:eastAsia="宋体" w:hAnsi="Book Antiqua" w:cs="宋体"/>
          <w:lang w:eastAsia="zh-CN"/>
        </w:rPr>
        <w:t>: 37-41 [PMID: 8508427 DOI: 10.1002/1097-0142(19930701)72: 1&lt;37: : AID-CNCR2820720109&gt;3.0.CO; 2-P]</w:t>
      </w:r>
    </w:p>
    <w:p w14:paraId="6509841A"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lastRenderedPageBreak/>
        <w:t xml:space="preserve">9 </w:t>
      </w:r>
      <w:r w:rsidRPr="005D21F6">
        <w:rPr>
          <w:rFonts w:ascii="Book Antiqua" w:eastAsia="宋体" w:hAnsi="Book Antiqua" w:cs="宋体"/>
          <w:b/>
          <w:bCs/>
          <w:lang w:eastAsia="zh-CN"/>
        </w:rPr>
        <w:t>Pyrhönen S</w:t>
      </w:r>
      <w:r w:rsidRPr="005D21F6">
        <w:rPr>
          <w:rFonts w:ascii="Book Antiqua" w:eastAsia="宋体" w:hAnsi="Book Antiqua" w:cs="宋体"/>
          <w:lang w:eastAsia="zh-CN"/>
        </w:rPr>
        <w:t xml:space="preserve">, Kuitunen T, Nyandoto P, Kouri M. Randomised comparison of fluorouracil, epidoxorubicin and methotrexate (FEMTX) plus supportive care with supportive care alone in patients with non-resectable gastric cancer. </w:t>
      </w:r>
      <w:r w:rsidRPr="005D21F6">
        <w:rPr>
          <w:rFonts w:ascii="Book Antiqua" w:eastAsia="宋体" w:hAnsi="Book Antiqua" w:cs="宋体"/>
          <w:i/>
          <w:iCs/>
          <w:lang w:eastAsia="zh-CN"/>
        </w:rPr>
        <w:t>Br J Cancer</w:t>
      </w:r>
      <w:r w:rsidRPr="005D21F6">
        <w:rPr>
          <w:rFonts w:ascii="Book Antiqua" w:eastAsia="宋体" w:hAnsi="Book Antiqua" w:cs="宋体"/>
          <w:lang w:eastAsia="zh-CN"/>
        </w:rPr>
        <w:t xml:space="preserve"> 1995; </w:t>
      </w:r>
      <w:r w:rsidRPr="005D21F6">
        <w:rPr>
          <w:rFonts w:ascii="Book Antiqua" w:eastAsia="宋体" w:hAnsi="Book Antiqua" w:cs="宋体"/>
          <w:b/>
          <w:bCs/>
          <w:lang w:eastAsia="zh-CN"/>
        </w:rPr>
        <w:t>71</w:t>
      </w:r>
      <w:r w:rsidRPr="005D21F6">
        <w:rPr>
          <w:rFonts w:ascii="Book Antiqua" w:eastAsia="宋体" w:hAnsi="Book Antiqua" w:cs="宋体"/>
          <w:lang w:eastAsia="zh-CN"/>
        </w:rPr>
        <w:t>: 587-591 [PMID: 7533517 DOI: 10.1038/bjc.1995.114]</w:t>
      </w:r>
    </w:p>
    <w:p w14:paraId="391DCB56"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10 </w:t>
      </w:r>
      <w:r w:rsidRPr="005D21F6">
        <w:rPr>
          <w:rFonts w:ascii="Book Antiqua" w:eastAsia="宋体" w:hAnsi="Book Antiqua" w:cs="宋体"/>
          <w:b/>
          <w:lang w:eastAsia="zh-CN"/>
        </w:rPr>
        <w:t>Scheithauer W</w:t>
      </w:r>
      <w:r w:rsidRPr="005D21F6">
        <w:rPr>
          <w:rFonts w:ascii="Book Antiqua" w:eastAsia="宋体" w:hAnsi="Book Antiqua" w:cs="宋体"/>
          <w:lang w:eastAsia="zh-CN"/>
        </w:rPr>
        <w:t xml:space="preserve">. Palliative chemotherapy versus supportive care in patients with metastatic gastric cancer: a randomized trial. Second International Conference on Biology, Prevention and Treatment of GI Malignancy, Koln. Germany, 1995: </w:t>
      </w:r>
      <w:r w:rsidRPr="00CC45B2">
        <w:rPr>
          <w:rFonts w:ascii="Book Antiqua" w:eastAsia="宋体" w:hAnsi="Book Antiqua" w:cs="宋体"/>
          <w:b/>
          <w:lang w:eastAsia="zh-CN"/>
        </w:rPr>
        <w:t xml:space="preserve">68 </w:t>
      </w:r>
      <w:r w:rsidRPr="005D21F6">
        <w:rPr>
          <w:rFonts w:ascii="Book Antiqua" w:eastAsia="宋体" w:hAnsi="Book Antiqua" w:cs="宋体"/>
          <w:lang w:eastAsia="zh-CN"/>
        </w:rPr>
        <w:t>(abstract)</w:t>
      </w:r>
    </w:p>
    <w:p w14:paraId="470E7FAD"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11 </w:t>
      </w:r>
      <w:r w:rsidRPr="005D21F6">
        <w:rPr>
          <w:rFonts w:ascii="Book Antiqua" w:eastAsia="宋体" w:hAnsi="Book Antiqua" w:cs="宋体"/>
          <w:b/>
          <w:bCs/>
          <w:lang w:eastAsia="zh-CN"/>
        </w:rPr>
        <w:t>Glimelius B</w:t>
      </w:r>
      <w:r w:rsidRPr="005D21F6">
        <w:rPr>
          <w:rFonts w:ascii="Book Antiqua" w:eastAsia="宋体" w:hAnsi="Book Antiqua" w:cs="宋体"/>
          <w:lang w:eastAsia="zh-CN"/>
        </w:rPr>
        <w:t xml:space="preserve">, Ekström K, Hoffman K, Graf W, Sjödén PO, Haglund U, Svensson C, Enander LK, Linné T, Sellström H, Heuman R. Randomized comparison between chemotherapy plus best supportive care with best supportive care in advanced gastric cancer. </w:t>
      </w:r>
      <w:r w:rsidRPr="005D21F6">
        <w:rPr>
          <w:rFonts w:ascii="Book Antiqua" w:eastAsia="宋体" w:hAnsi="Book Antiqua" w:cs="宋体"/>
          <w:i/>
          <w:iCs/>
          <w:lang w:eastAsia="zh-CN"/>
        </w:rPr>
        <w:t>Ann Oncol</w:t>
      </w:r>
      <w:r w:rsidRPr="005D21F6">
        <w:rPr>
          <w:rFonts w:ascii="Book Antiqua" w:eastAsia="宋体" w:hAnsi="Book Antiqua" w:cs="宋体"/>
          <w:lang w:eastAsia="zh-CN"/>
        </w:rPr>
        <w:t xml:space="preserve"> 1997; </w:t>
      </w:r>
      <w:r w:rsidRPr="005D21F6">
        <w:rPr>
          <w:rFonts w:ascii="Book Antiqua" w:eastAsia="宋体" w:hAnsi="Book Antiqua" w:cs="宋体"/>
          <w:b/>
          <w:bCs/>
          <w:lang w:eastAsia="zh-CN"/>
        </w:rPr>
        <w:t>8</w:t>
      </w:r>
      <w:r w:rsidRPr="005D21F6">
        <w:rPr>
          <w:rFonts w:ascii="Book Antiqua" w:eastAsia="宋体" w:hAnsi="Book Antiqua" w:cs="宋体"/>
          <w:lang w:eastAsia="zh-CN"/>
        </w:rPr>
        <w:t>: 163-168 [PMID: 9093725 DOI: 10.1023/A: 1008243606668]</w:t>
      </w:r>
    </w:p>
    <w:p w14:paraId="1244FD19"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12 </w:t>
      </w:r>
      <w:r w:rsidRPr="005D21F6">
        <w:rPr>
          <w:rFonts w:ascii="Book Antiqua" w:eastAsia="宋体" w:hAnsi="Book Antiqua" w:cs="宋体"/>
          <w:b/>
          <w:bCs/>
          <w:lang w:eastAsia="zh-CN"/>
        </w:rPr>
        <w:t>Sangisetty SL</w:t>
      </w:r>
      <w:r w:rsidRPr="005D21F6">
        <w:rPr>
          <w:rFonts w:ascii="Book Antiqua" w:eastAsia="宋体" w:hAnsi="Book Antiqua" w:cs="宋体"/>
          <w:lang w:eastAsia="zh-CN"/>
        </w:rPr>
        <w:t xml:space="preserve">, Miner TJ. Malignant ascites: A review of prognostic factors, pathophysiology and therapeutic measures. </w:t>
      </w:r>
      <w:r w:rsidRPr="005D21F6">
        <w:rPr>
          <w:rFonts w:ascii="Book Antiqua" w:eastAsia="宋体" w:hAnsi="Book Antiqua" w:cs="宋体"/>
          <w:i/>
          <w:iCs/>
          <w:lang w:eastAsia="zh-CN"/>
        </w:rPr>
        <w:t>World J Gastrointest Surg</w:t>
      </w:r>
      <w:r w:rsidRPr="005D21F6">
        <w:rPr>
          <w:rFonts w:ascii="Book Antiqua" w:eastAsia="宋体" w:hAnsi="Book Antiqua" w:cs="宋体"/>
          <w:lang w:eastAsia="zh-CN"/>
        </w:rPr>
        <w:t xml:space="preserve"> 2012; </w:t>
      </w:r>
      <w:r w:rsidRPr="005D21F6">
        <w:rPr>
          <w:rFonts w:ascii="Book Antiqua" w:eastAsia="宋体" w:hAnsi="Book Antiqua" w:cs="宋体"/>
          <w:b/>
          <w:bCs/>
          <w:lang w:eastAsia="zh-CN"/>
        </w:rPr>
        <w:t>4</w:t>
      </w:r>
      <w:r w:rsidRPr="005D21F6">
        <w:rPr>
          <w:rFonts w:ascii="Book Antiqua" w:eastAsia="宋体" w:hAnsi="Book Antiqua" w:cs="宋体"/>
          <w:lang w:eastAsia="zh-CN"/>
        </w:rPr>
        <w:t>: 87-95 [PMID: 22590662 DOI: 10.4240/wjgs.v4.i4.87]</w:t>
      </w:r>
    </w:p>
    <w:p w14:paraId="7BAE551C"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13 </w:t>
      </w:r>
      <w:r w:rsidRPr="005D21F6">
        <w:rPr>
          <w:rFonts w:ascii="Book Antiqua" w:eastAsia="宋体" w:hAnsi="Book Antiqua" w:cs="宋体"/>
          <w:b/>
          <w:bCs/>
          <w:lang w:eastAsia="zh-CN"/>
        </w:rPr>
        <w:t>Gill RS</w:t>
      </w:r>
      <w:r w:rsidRPr="005D21F6">
        <w:rPr>
          <w:rFonts w:ascii="Book Antiqua" w:eastAsia="宋体" w:hAnsi="Book Antiqua" w:cs="宋体"/>
          <w:lang w:eastAsia="zh-CN"/>
        </w:rPr>
        <w:t xml:space="preserve">, Al-Adra DP, Nagendran J, Campbell S, Shi X, Haase E, Schiller D. Treatment of gastric cancer with peritoneal carcinomatosis by cytoreductive surgery and HIPEC: a systematic review of survival, mortality, and morbidity. </w:t>
      </w:r>
      <w:r w:rsidRPr="005D21F6">
        <w:rPr>
          <w:rFonts w:ascii="Book Antiqua" w:eastAsia="宋体" w:hAnsi="Book Antiqua" w:cs="宋体"/>
          <w:i/>
          <w:iCs/>
          <w:lang w:eastAsia="zh-CN"/>
        </w:rPr>
        <w:t>J Surg Oncol</w:t>
      </w:r>
      <w:r w:rsidRPr="005D21F6">
        <w:rPr>
          <w:rFonts w:ascii="Book Antiqua" w:eastAsia="宋体" w:hAnsi="Book Antiqua" w:cs="宋体"/>
          <w:lang w:eastAsia="zh-CN"/>
        </w:rPr>
        <w:t xml:space="preserve"> 2011; </w:t>
      </w:r>
      <w:r w:rsidRPr="005D21F6">
        <w:rPr>
          <w:rFonts w:ascii="Book Antiqua" w:eastAsia="宋体" w:hAnsi="Book Antiqua" w:cs="宋体"/>
          <w:b/>
          <w:bCs/>
          <w:lang w:eastAsia="zh-CN"/>
        </w:rPr>
        <w:t>104</w:t>
      </w:r>
      <w:r w:rsidRPr="005D21F6">
        <w:rPr>
          <w:rFonts w:ascii="Book Antiqua" w:eastAsia="宋体" w:hAnsi="Book Antiqua" w:cs="宋体"/>
          <w:lang w:eastAsia="zh-CN"/>
        </w:rPr>
        <w:t>: 692-698 [PMID: 21713780 DOI: 10.1002/jso.22017]</w:t>
      </w:r>
    </w:p>
    <w:p w14:paraId="6A0419BE"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14 </w:t>
      </w:r>
      <w:r w:rsidRPr="005D21F6">
        <w:rPr>
          <w:rFonts w:ascii="Book Antiqua" w:eastAsia="宋体" w:hAnsi="Book Antiqua" w:cs="宋体"/>
          <w:b/>
          <w:bCs/>
          <w:lang w:eastAsia="zh-CN"/>
        </w:rPr>
        <w:t>Fujimoto S</w:t>
      </w:r>
      <w:r w:rsidRPr="005D21F6">
        <w:rPr>
          <w:rFonts w:ascii="Book Antiqua" w:eastAsia="宋体" w:hAnsi="Book Antiqua" w:cs="宋体"/>
          <w:lang w:eastAsia="zh-CN"/>
        </w:rPr>
        <w:t xml:space="preserve">, Takahashi M, Mutou T, Kobayashi K, Toyosawa T, Isawa E, Sumida M, Ohkubo H. Improved mortality rate of gastric carcinoma patients with peritoneal carcinomatosis treated with intraperitoneal hyperthermic chemoperfusion combined with surgery. </w:t>
      </w:r>
      <w:r w:rsidRPr="005D21F6">
        <w:rPr>
          <w:rFonts w:ascii="Book Antiqua" w:eastAsia="宋体" w:hAnsi="Book Antiqua" w:cs="宋体"/>
          <w:i/>
          <w:iCs/>
          <w:lang w:eastAsia="zh-CN"/>
        </w:rPr>
        <w:t>Cancer</w:t>
      </w:r>
      <w:r w:rsidRPr="005D21F6">
        <w:rPr>
          <w:rFonts w:ascii="Book Antiqua" w:eastAsia="宋体" w:hAnsi="Book Antiqua" w:cs="宋体"/>
          <w:lang w:eastAsia="zh-CN"/>
        </w:rPr>
        <w:t xml:space="preserve"> 1997; </w:t>
      </w:r>
      <w:r w:rsidRPr="005D21F6">
        <w:rPr>
          <w:rFonts w:ascii="Book Antiqua" w:eastAsia="宋体" w:hAnsi="Book Antiqua" w:cs="宋体"/>
          <w:b/>
          <w:bCs/>
          <w:lang w:eastAsia="zh-CN"/>
        </w:rPr>
        <w:t>79</w:t>
      </w:r>
      <w:r w:rsidRPr="005D21F6">
        <w:rPr>
          <w:rFonts w:ascii="Book Antiqua" w:eastAsia="宋体" w:hAnsi="Book Antiqua" w:cs="宋体"/>
          <w:lang w:eastAsia="zh-CN"/>
        </w:rPr>
        <w:t>: 884-891 [PMID: 9041149 DOI: 10.1002/(SICI)1097-0142(19970301)79: 5&lt;884: : AID-CNCR3&gt;3.0.CO; 2-C]</w:t>
      </w:r>
    </w:p>
    <w:p w14:paraId="3A5C708E"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15 </w:t>
      </w:r>
      <w:r w:rsidRPr="005D21F6">
        <w:rPr>
          <w:rFonts w:ascii="Book Antiqua" w:eastAsia="宋体" w:hAnsi="Book Antiqua" w:cs="宋体"/>
          <w:b/>
          <w:bCs/>
          <w:lang w:eastAsia="zh-CN"/>
        </w:rPr>
        <w:t>Yonemura Y</w:t>
      </w:r>
      <w:r w:rsidRPr="005D21F6">
        <w:rPr>
          <w:rFonts w:ascii="Book Antiqua" w:eastAsia="宋体" w:hAnsi="Book Antiqua" w:cs="宋体"/>
          <w:lang w:eastAsia="zh-CN"/>
        </w:rPr>
        <w:t xml:space="preserve">, Fujimura T, Nishimura G, FallaR T, Katayama K, Tsugawa K, Fushida S, Miyazaki I, Tanaka M, Endou Y, Sasaki T. Effects of intraoperative chemohyperthermia in patients with gastric cancer with peritoneal dissemination. </w:t>
      </w:r>
      <w:r w:rsidRPr="005D21F6">
        <w:rPr>
          <w:rFonts w:ascii="Book Antiqua" w:eastAsia="宋体" w:hAnsi="Book Antiqua" w:cs="宋体"/>
          <w:i/>
          <w:iCs/>
          <w:lang w:eastAsia="zh-CN"/>
        </w:rPr>
        <w:t>Surgery</w:t>
      </w:r>
      <w:r w:rsidRPr="005D21F6">
        <w:rPr>
          <w:rFonts w:ascii="Book Antiqua" w:eastAsia="宋体" w:hAnsi="Book Antiqua" w:cs="宋体"/>
          <w:lang w:eastAsia="zh-CN"/>
        </w:rPr>
        <w:t xml:space="preserve"> 1996; </w:t>
      </w:r>
      <w:r w:rsidRPr="005D21F6">
        <w:rPr>
          <w:rFonts w:ascii="Book Antiqua" w:eastAsia="宋体" w:hAnsi="Book Antiqua" w:cs="宋体"/>
          <w:b/>
          <w:bCs/>
          <w:lang w:eastAsia="zh-CN"/>
        </w:rPr>
        <w:t>119</w:t>
      </w:r>
      <w:r w:rsidRPr="005D21F6">
        <w:rPr>
          <w:rFonts w:ascii="Book Antiqua" w:eastAsia="宋体" w:hAnsi="Book Antiqua" w:cs="宋体"/>
          <w:lang w:eastAsia="zh-CN"/>
        </w:rPr>
        <w:t>: 437-444 [PMID: 8644010 DOI: 10.1016/S0039-6060(96)80145-0]</w:t>
      </w:r>
    </w:p>
    <w:p w14:paraId="0756CBF5" w14:textId="4A3B4A3E"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lastRenderedPageBreak/>
        <w:t xml:space="preserve">16 </w:t>
      </w:r>
      <w:r w:rsidRPr="005D21F6">
        <w:rPr>
          <w:rFonts w:ascii="Book Antiqua" w:eastAsia="宋体" w:hAnsi="Book Antiqua" w:cs="宋体"/>
          <w:b/>
          <w:bCs/>
          <w:lang w:eastAsia="zh-CN"/>
        </w:rPr>
        <w:t>Rossi CR</w:t>
      </w:r>
      <w:r w:rsidRPr="005D21F6">
        <w:rPr>
          <w:rFonts w:ascii="Book Antiqua" w:eastAsia="宋体" w:hAnsi="Book Antiqua" w:cs="宋体"/>
          <w:lang w:eastAsia="zh-CN"/>
        </w:rPr>
        <w:t xml:space="preserve">, Pilati P, Mocellin S, Foletto M, Ori C, Innocente F, Nitti D, Lise M. Hyperthermic intraperitoneal intraoperative chemotherapy for peritoneal carcinomatosis arising from gastric adenocarcinoma. </w:t>
      </w:r>
      <w:r w:rsidRPr="005D21F6">
        <w:rPr>
          <w:rFonts w:ascii="Book Antiqua" w:eastAsia="宋体" w:hAnsi="Book Antiqua" w:cs="宋体"/>
          <w:i/>
          <w:iCs/>
          <w:lang w:eastAsia="zh-CN"/>
        </w:rPr>
        <w:t>Suppl Tumori</w:t>
      </w:r>
      <w:r w:rsidRPr="005D21F6">
        <w:rPr>
          <w:rFonts w:ascii="Book Antiqua" w:eastAsia="宋体" w:hAnsi="Book Antiqua" w:cs="宋体"/>
          <w:lang w:eastAsia="zh-CN"/>
        </w:rPr>
        <w:t xml:space="preserve"> </w:t>
      </w:r>
      <w:r>
        <w:rPr>
          <w:rFonts w:ascii="Book Antiqua" w:eastAsia="宋体" w:hAnsi="Book Antiqua" w:cs="宋体" w:hint="eastAsia"/>
          <w:lang w:eastAsia="zh-CN"/>
        </w:rPr>
        <w:t>2003</w:t>
      </w:r>
      <w:r w:rsidRPr="005D21F6">
        <w:rPr>
          <w:rFonts w:ascii="Book Antiqua" w:eastAsia="宋体" w:hAnsi="Book Antiqua" w:cs="宋体"/>
          <w:lang w:eastAsia="zh-CN"/>
        </w:rPr>
        <w:t xml:space="preserve">; </w:t>
      </w:r>
      <w:r w:rsidRPr="005D21F6">
        <w:rPr>
          <w:rFonts w:ascii="Book Antiqua" w:eastAsia="宋体" w:hAnsi="Book Antiqua" w:cs="宋体"/>
          <w:b/>
          <w:bCs/>
          <w:lang w:eastAsia="zh-CN"/>
        </w:rPr>
        <w:t>2</w:t>
      </w:r>
      <w:r w:rsidRPr="005D21F6">
        <w:rPr>
          <w:rFonts w:ascii="Book Antiqua" w:eastAsia="宋体" w:hAnsi="Book Antiqua" w:cs="宋体"/>
          <w:lang w:eastAsia="zh-CN"/>
        </w:rPr>
        <w:t>: S54-S57 [PMID: 12914393]</w:t>
      </w:r>
    </w:p>
    <w:p w14:paraId="27DB3DB6"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17 </w:t>
      </w:r>
      <w:r w:rsidRPr="005D21F6">
        <w:rPr>
          <w:rFonts w:ascii="Book Antiqua" w:eastAsia="宋体" w:hAnsi="Book Antiqua" w:cs="宋体"/>
          <w:b/>
          <w:bCs/>
          <w:lang w:eastAsia="zh-CN"/>
        </w:rPr>
        <w:t>Glehen O</w:t>
      </w:r>
      <w:r w:rsidRPr="005D21F6">
        <w:rPr>
          <w:rFonts w:ascii="Book Antiqua" w:eastAsia="宋体" w:hAnsi="Book Antiqua" w:cs="宋体"/>
          <w:lang w:eastAsia="zh-CN"/>
        </w:rPr>
        <w:t xml:space="preserve">, Schreiber V, Cotte E, Sayag-Beaujard AC, Osinsky D, Freyer G, François Y, Vignal J, Gilly FN. Cytoreductive surgery and intraperitoneal chemohyperthermia for peritoneal carcinomatosis arising from gastric cancer. </w:t>
      </w:r>
      <w:r w:rsidRPr="005D21F6">
        <w:rPr>
          <w:rFonts w:ascii="Book Antiqua" w:eastAsia="宋体" w:hAnsi="Book Antiqua" w:cs="宋体"/>
          <w:i/>
          <w:iCs/>
          <w:lang w:eastAsia="zh-CN"/>
        </w:rPr>
        <w:t>Arch Surg</w:t>
      </w:r>
      <w:r w:rsidRPr="005D21F6">
        <w:rPr>
          <w:rFonts w:ascii="Book Antiqua" w:eastAsia="宋体" w:hAnsi="Book Antiqua" w:cs="宋体"/>
          <w:lang w:eastAsia="zh-CN"/>
        </w:rPr>
        <w:t xml:space="preserve"> 2004; </w:t>
      </w:r>
      <w:r w:rsidRPr="005D21F6">
        <w:rPr>
          <w:rFonts w:ascii="Book Antiqua" w:eastAsia="宋体" w:hAnsi="Book Antiqua" w:cs="宋体"/>
          <w:b/>
          <w:bCs/>
          <w:lang w:eastAsia="zh-CN"/>
        </w:rPr>
        <w:t>139</w:t>
      </w:r>
      <w:r w:rsidRPr="005D21F6">
        <w:rPr>
          <w:rFonts w:ascii="Book Antiqua" w:eastAsia="宋体" w:hAnsi="Book Antiqua" w:cs="宋体"/>
          <w:lang w:eastAsia="zh-CN"/>
        </w:rPr>
        <w:t>: 20-26 [PMID: 14718269 DOI: 10.1001/archsurg.139.1.20]</w:t>
      </w:r>
    </w:p>
    <w:p w14:paraId="20DB4271"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18 </w:t>
      </w:r>
      <w:r w:rsidRPr="005D21F6">
        <w:rPr>
          <w:rFonts w:ascii="Book Antiqua" w:eastAsia="宋体" w:hAnsi="Book Antiqua" w:cs="宋体"/>
          <w:b/>
          <w:bCs/>
          <w:lang w:eastAsia="zh-CN"/>
        </w:rPr>
        <w:t>Yonemura Y</w:t>
      </w:r>
      <w:r w:rsidRPr="005D21F6">
        <w:rPr>
          <w:rFonts w:ascii="Book Antiqua" w:eastAsia="宋体" w:hAnsi="Book Antiqua" w:cs="宋体"/>
          <w:lang w:eastAsia="zh-CN"/>
        </w:rPr>
        <w:t xml:space="preserve">, Endou Y, Shinbo M, Sasaki T, Hirano M, Mizumoto A, Matsuda T, Takao N, Ichinose M, Mizuno M, Miura M, Ikeda M, Ikeda S, Nakajima G, Yonemura J, Yuuba T, Masuda S, Kimura H, Matsuki N. Safety and efficacy of bidirectional chemotherapy for treatment of patients with peritoneal dissemination from gastric cancer: Selection for cytoreductive surgery. </w:t>
      </w:r>
      <w:r w:rsidRPr="005D21F6">
        <w:rPr>
          <w:rFonts w:ascii="Book Antiqua" w:eastAsia="宋体" w:hAnsi="Book Antiqua" w:cs="宋体"/>
          <w:i/>
          <w:iCs/>
          <w:lang w:eastAsia="zh-CN"/>
        </w:rPr>
        <w:t>J Surg Oncol</w:t>
      </w:r>
      <w:r w:rsidRPr="005D21F6">
        <w:rPr>
          <w:rFonts w:ascii="Book Antiqua" w:eastAsia="宋体" w:hAnsi="Book Antiqua" w:cs="宋体"/>
          <w:lang w:eastAsia="zh-CN"/>
        </w:rPr>
        <w:t xml:space="preserve"> 2009; </w:t>
      </w:r>
      <w:r w:rsidRPr="005D21F6">
        <w:rPr>
          <w:rFonts w:ascii="Book Antiqua" w:eastAsia="宋体" w:hAnsi="Book Antiqua" w:cs="宋体"/>
          <w:b/>
          <w:bCs/>
          <w:lang w:eastAsia="zh-CN"/>
        </w:rPr>
        <w:t>100</w:t>
      </w:r>
      <w:r w:rsidRPr="005D21F6">
        <w:rPr>
          <w:rFonts w:ascii="Book Antiqua" w:eastAsia="宋体" w:hAnsi="Book Antiqua" w:cs="宋体"/>
          <w:lang w:eastAsia="zh-CN"/>
        </w:rPr>
        <w:t>: 311-316 [PMID: 19697437 DOI: 10.1002/jso.21324]</w:t>
      </w:r>
    </w:p>
    <w:p w14:paraId="16909BEE" w14:textId="119AF0EE" w:rsidR="005D21F6" w:rsidRPr="005D21F6" w:rsidRDefault="005D21F6" w:rsidP="005D21F6">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19 </w:t>
      </w:r>
      <w:r w:rsidRPr="005D21F6">
        <w:rPr>
          <w:rFonts w:ascii="Book Antiqua" w:eastAsia="宋体" w:hAnsi="Book Antiqua" w:cs="宋体"/>
          <w:b/>
          <w:lang w:eastAsia="zh-CN"/>
        </w:rPr>
        <w:t>National Comprehensive Cancer Network</w:t>
      </w:r>
      <w:r w:rsidRPr="005D21F6">
        <w:rPr>
          <w:rFonts w:ascii="Book Antiqua" w:eastAsia="宋体" w:hAnsi="Book Antiqua" w:cs="宋体"/>
          <w:lang w:eastAsia="zh-CN"/>
        </w:rPr>
        <w:t xml:space="preserve">. Gastric Cancer Version 3.2015. </w:t>
      </w:r>
      <w:r w:rsidR="00454D00">
        <w:rPr>
          <w:rFonts w:ascii="Book Antiqua" w:eastAsia="宋体" w:hAnsi="Book Antiqua" w:cs="宋体"/>
          <w:lang w:eastAsia="zh-CN"/>
        </w:rPr>
        <w:t>[a</w:t>
      </w:r>
      <w:r w:rsidRPr="005D21F6">
        <w:rPr>
          <w:rFonts w:ascii="Book Antiqua" w:eastAsia="宋体" w:hAnsi="Book Antiqua" w:cs="宋体"/>
          <w:lang w:eastAsia="zh-CN"/>
        </w:rPr>
        <w:t xml:space="preserve">ccessed </w:t>
      </w:r>
      <w:r w:rsidR="00454D00">
        <w:rPr>
          <w:rFonts w:ascii="Book Antiqua" w:eastAsia="宋体" w:hAnsi="Book Antiqua" w:cs="宋体"/>
          <w:lang w:eastAsia="zh-CN"/>
        </w:rPr>
        <w:t>2016 Mar 27]</w:t>
      </w:r>
      <w:r>
        <w:rPr>
          <w:rFonts w:ascii="Book Antiqua" w:eastAsia="宋体" w:hAnsi="Book Antiqua" w:cs="宋体"/>
          <w:lang w:eastAsia="zh-CN"/>
        </w:rPr>
        <w:t>. Available from: URL: http:</w:t>
      </w:r>
      <w:r w:rsidRPr="005D21F6">
        <w:rPr>
          <w:rFonts w:ascii="Book Antiqua" w:eastAsia="宋体" w:hAnsi="Book Antiqua" w:cs="宋体"/>
          <w:lang w:eastAsia="zh-CN"/>
        </w:rPr>
        <w:t>//www.nccn.org/professionals/physician_gls/pdf/gastric.pdf</w:t>
      </w:r>
    </w:p>
    <w:p w14:paraId="44BAB9C0" w14:textId="3ACA1C5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20 </w:t>
      </w:r>
      <w:r w:rsidRPr="005D21F6">
        <w:rPr>
          <w:rFonts w:ascii="Book Antiqua" w:eastAsia="宋体" w:hAnsi="Book Antiqua" w:cs="宋体"/>
          <w:b/>
          <w:bCs/>
          <w:lang w:eastAsia="zh-CN"/>
        </w:rPr>
        <w:t>Wagner AD</w:t>
      </w:r>
      <w:r w:rsidRPr="005D21F6">
        <w:rPr>
          <w:rFonts w:ascii="Book Antiqua" w:eastAsia="宋体" w:hAnsi="Book Antiqua" w:cs="宋体"/>
          <w:lang w:eastAsia="zh-CN"/>
        </w:rPr>
        <w:t xml:space="preserve">, Unverzagt S, Grothe W, Kleber G, Grothey A, Haerting J, Fleig WE. Chemotherapy for advanced gastric cancer. </w:t>
      </w:r>
      <w:r w:rsidRPr="005D21F6">
        <w:rPr>
          <w:rFonts w:ascii="Book Antiqua" w:eastAsia="宋体" w:hAnsi="Book Antiqua" w:cs="宋体"/>
          <w:i/>
          <w:iCs/>
          <w:lang w:eastAsia="zh-CN"/>
        </w:rPr>
        <w:t>Cochrane Database Syst Rev</w:t>
      </w:r>
      <w:r w:rsidRPr="005D21F6">
        <w:rPr>
          <w:rFonts w:ascii="Book Antiqua" w:eastAsia="宋体" w:hAnsi="Book Antiqua" w:cs="宋体"/>
          <w:lang w:eastAsia="zh-CN"/>
        </w:rPr>
        <w:t xml:space="preserve"> 2010; </w:t>
      </w:r>
      <w:r>
        <w:rPr>
          <w:rFonts w:ascii="Book Antiqua" w:eastAsia="宋体" w:hAnsi="Book Antiqua" w:cs="宋体" w:hint="eastAsia"/>
          <w:b/>
          <w:lang w:eastAsia="zh-CN"/>
        </w:rPr>
        <w:t>(3)</w:t>
      </w:r>
      <w:r w:rsidRPr="005D21F6">
        <w:rPr>
          <w:rFonts w:ascii="Book Antiqua" w:eastAsia="宋体" w:hAnsi="Book Antiqua" w:cs="宋体"/>
          <w:lang w:eastAsia="zh-CN"/>
        </w:rPr>
        <w:t>: CD004064 [PMID: 20238327 DOI: 10.1002/14651858.CD004064.pub3]</w:t>
      </w:r>
    </w:p>
    <w:p w14:paraId="4A74CEBF"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21 </w:t>
      </w:r>
      <w:r w:rsidRPr="005D21F6">
        <w:rPr>
          <w:rFonts w:ascii="Book Antiqua" w:eastAsia="宋体" w:hAnsi="Book Antiqua" w:cs="宋体"/>
          <w:b/>
          <w:bCs/>
          <w:lang w:eastAsia="zh-CN"/>
        </w:rPr>
        <w:t>Yan TD</w:t>
      </w:r>
      <w:r w:rsidRPr="005D21F6">
        <w:rPr>
          <w:rFonts w:ascii="Book Antiqua" w:eastAsia="宋体" w:hAnsi="Book Antiqua" w:cs="宋体"/>
          <w:lang w:eastAsia="zh-CN"/>
        </w:rPr>
        <w:t xml:space="preserve">, Black D, Sugarbaker PH, Zhu J, Yonemura Y, Petrou G, Morris DL. A systematic review and meta-analysis of the randomized controlled trials on adjuvant intraperitoneal chemotherapy for resectable gastric cancer. </w:t>
      </w:r>
      <w:r w:rsidRPr="005D21F6">
        <w:rPr>
          <w:rFonts w:ascii="Book Antiqua" w:eastAsia="宋体" w:hAnsi="Book Antiqua" w:cs="宋体"/>
          <w:i/>
          <w:iCs/>
          <w:lang w:eastAsia="zh-CN"/>
        </w:rPr>
        <w:t>Ann Surg Oncol</w:t>
      </w:r>
      <w:r w:rsidRPr="005D21F6">
        <w:rPr>
          <w:rFonts w:ascii="Book Antiqua" w:eastAsia="宋体" w:hAnsi="Book Antiqua" w:cs="宋体"/>
          <w:lang w:eastAsia="zh-CN"/>
        </w:rPr>
        <w:t xml:space="preserve"> 2007; </w:t>
      </w:r>
      <w:r w:rsidRPr="005D21F6">
        <w:rPr>
          <w:rFonts w:ascii="Book Antiqua" w:eastAsia="宋体" w:hAnsi="Book Antiqua" w:cs="宋体"/>
          <w:b/>
          <w:bCs/>
          <w:lang w:eastAsia="zh-CN"/>
        </w:rPr>
        <w:t>14</w:t>
      </w:r>
      <w:r w:rsidRPr="005D21F6">
        <w:rPr>
          <w:rFonts w:ascii="Book Antiqua" w:eastAsia="宋体" w:hAnsi="Book Antiqua" w:cs="宋体"/>
          <w:lang w:eastAsia="zh-CN"/>
        </w:rPr>
        <w:t>: 2702-2713 [PMID: 17653801 DOI: 10.1245/s10434-007-9487-4]</w:t>
      </w:r>
    </w:p>
    <w:p w14:paraId="7E2C409C"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22 </w:t>
      </w:r>
      <w:r w:rsidRPr="005D21F6">
        <w:rPr>
          <w:rFonts w:ascii="Book Antiqua" w:eastAsia="宋体" w:hAnsi="Book Antiqua" w:cs="宋体"/>
          <w:b/>
          <w:bCs/>
          <w:lang w:eastAsia="zh-CN"/>
        </w:rPr>
        <w:t>Roviello F</w:t>
      </w:r>
      <w:r w:rsidRPr="005D21F6">
        <w:rPr>
          <w:rFonts w:ascii="Book Antiqua" w:eastAsia="宋体" w:hAnsi="Book Antiqua" w:cs="宋体"/>
          <w:lang w:eastAsia="zh-CN"/>
        </w:rPr>
        <w:t xml:space="preserve">, Marrelli D, de Manzoni G, Morgagni P, Di Leo A, Saragoni L, De Stefano A. Prospective study of peritoneal recurrence after curative surgery for gastric cancer. </w:t>
      </w:r>
      <w:r w:rsidRPr="005D21F6">
        <w:rPr>
          <w:rFonts w:ascii="Book Antiqua" w:eastAsia="宋体" w:hAnsi="Book Antiqua" w:cs="宋体"/>
          <w:i/>
          <w:iCs/>
          <w:lang w:eastAsia="zh-CN"/>
        </w:rPr>
        <w:t>Br J Surg</w:t>
      </w:r>
      <w:r w:rsidRPr="005D21F6">
        <w:rPr>
          <w:rFonts w:ascii="Book Antiqua" w:eastAsia="宋体" w:hAnsi="Book Antiqua" w:cs="宋体"/>
          <w:lang w:eastAsia="zh-CN"/>
        </w:rPr>
        <w:t xml:space="preserve"> 2003; </w:t>
      </w:r>
      <w:r w:rsidRPr="005D21F6">
        <w:rPr>
          <w:rFonts w:ascii="Book Antiqua" w:eastAsia="宋体" w:hAnsi="Book Antiqua" w:cs="宋体"/>
          <w:b/>
          <w:bCs/>
          <w:lang w:eastAsia="zh-CN"/>
        </w:rPr>
        <w:t>90</w:t>
      </w:r>
      <w:r w:rsidRPr="005D21F6">
        <w:rPr>
          <w:rFonts w:ascii="Book Antiqua" w:eastAsia="宋体" w:hAnsi="Book Antiqua" w:cs="宋体"/>
          <w:lang w:eastAsia="zh-CN"/>
        </w:rPr>
        <w:t>: 1113-1119 [PMID: 12945079 DOI: 10.1002/bjs.4164]</w:t>
      </w:r>
    </w:p>
    <w:p w14:paraId="02B7AEF7"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lastRenderedPageBreak/>
        <w:t xml:space="preserve">23 </w:t>
      </w:r>
      <w:r w:rsidRPr="005D21F6">
        <w:rPr>
          <w:rFonts w:ascii="Book Antiqua" w:eastAsia="宋体" w:hAnsi="Book Antiqua" w:cs="宋体"/>
          <w:b/>
          <w:bCs/>
          <w:lang w:eastAsia="zh-CN"/>
        </w:rPr>
        <w:t>Yoo CH</w:t>
      </w:r>
      <w:r w:rsidRPr="005D21F6">
        <w:rPr>
          <w:rFonts w:ascii="Book Antiqua" w:eastAsia="宋体" w:hAnsi="Book Antiqua" w:cs="宋体"/>
          <w:lang w:eastAsia="zh-CN"/>
        </w:rPr>
        <w:t xml:space="preserve">, Noh SH, Shin DW, Choi SH, Min JS. Recurrence following curative resection for gastric carcinoma. </w:t>
      </w:r>
      <w:r w:rsidRPr="005D21F6">
        <w:rPr>
          <w:rFonts w:ascii="Book Antiqua" w:eastAsia="宋体" w:hAnsi="Book Antiqua" w:cs="宋体"/>
          <w:i/>
          <w:iCs/>
          <w:lang w:eastAsia="zh-CN"/>
        </w:rPr>
        <w:t>Br J Surg</w:t>
      </w:r>
      <w:r w:rsidRPr="005D21F6">
        <w:rPr>
          <w:rFonts w:ascii="Book Antiqua" w:eastAsia="宋体" w:hAnsi="Book Antiqua" w:cs="宋体"/>
          <w:lang w:eastAsia="zh-CN"/>
        </w:rPr>
        <w:t xml:space="preserve"> 2000; </w:t>
      </w:r>
      <w:r w:rsidRPr="005D21F6">
        <w:rPr>
          <w:rFonts w:ascii="Book Antiqua" w:eastAsia="宋体" w:hAnsi="Book Antiqua" w:cs="宋体"/>
          <w:b/>
          <w:bCs/>
          <w:lang w:eastAsia="zh-CN"/>
        </w:rPr>
        <w:t>87</w:t>
      </w:r>
      <w:r w:rsidRPr="005D21F6">
        <w:rPr>
          <w:rFonts w:ascii="Book Antiqua" w:eastAsia="宋体" w:hAnsi="Book Antiqua" w:cs="宋体"/>
          <w:lang w:eastAsia="zh-CN"/>
        </w:rPr>
        <w:t>: 236-242 [PMID: 10671934 DOI: 10.1046/j.1365-2168.2000.01360.x]</w:t>
      </w:r>
    </w:p>
    <w:p w14:paraId="5BBFEACF"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24 </w:t>
      </w:r>
      <w:r w:rsidRPr="005D21F6">
        <w:rPr>
          <w:rFonts w:ascii="Book Antiqua" w:eastAsia="宋体" w:hAnsi="Book Antiqua" w:cs="宋体"/>
          <w:b/>
          <w:bCs/>
          <w:lang w:eastAsia="zh-CN"/>
        </w:rPr>
        <w:t>Schneider JG</w:t>
      </w:r>
      <w:r w:rsidRPr="005D21F6">
        <w:rPr>
          <w:rFonts w:ascii="Book Antiqua" w:eastAsia="宋体" w:hAnsi="Book Antiqua" w:cs="宋体"/>
          <w:lang w:eastAsia="zh-CN"/>
        </w:rPr>
        <w:t xml:space="preserve">. Intraperitoneal chemotherapy. </w:t>
      </w:r>
      <w:r w:rsidRPr="005D21F6">
        <w:rPr>
          <w:rFonts w:ascii="Book Antiqua" w:eastAsia="宋体" w:hAnsi="Book Antiqua" w:cs="宋体"/>
          <w:i/>
          <w:iCs/>
          <w:lang w:eastAsia="zh-CN"/>
        </w:rPr>
        <w:t>Obstet Gynecol Clin North Am</w:t>
      </w:r>
      <w:r w:rsidRPr="005D21F6">
        <w:rPr>
          <w:rFonts w:ascii="Book Antiqua" w:eastAsia="宋体" w:hAnsi="Book Antiqua" w:cs="宋体"/>
          <w:lang w:eastAsia="zh-CN"/>
        </w:rPr>
        <w:t xml:space="preserve"> 1994; </w:t>
      </w:r>
      <w:r w:rsidRPr="005D21F6">
        <w:rPr>
          <w:rFonts w:ascii="Book Antiqua" w:eastAsia="宋体" w:hAnsi="Book Antiqua" w:cs="宋体"/>
          <w:b/>
          <w:bCs/>
          <w:lang w:eastAsia="zh-CN"/>
        </w:rPr>
        <w:t>21</w:t>
      </w:r>
      <w:r w:rsidRPr="005D21F6">
        <w:rPr>
          <w:rFonts w:ascii="Book Antiqua" w:eastAsia="宋体" w:hAnsi="Book Antiqua" w:cs="宋体"/>
          <w:lang w:eastAsia="zh-CN"/>
        </w:rPr>
        <w:t>: 195-212 [PMID: 8015764]</w:t>
      </w:r>
    </w:p>
    <w:p w14:paraId="6C9FE010"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25 </w:t>
      </w:r>
      <w:r w:rsidRPr="005D21F6">
        <w:rPr>
          <w:rFonts w:ascii="Book Antiqua" w:eastAsia="宋体" w:hAnsi="Book Antiqua" w:cs="宋体"/>
          <w:b/>
          <w:bCs/>
          <w:lang w:eastAsia="zh-CN"/>
        </w:rPr>
        <w:t>Yamaguchi H</w:t>
      </w:r>
      <w:r w:rsidRPr="005D21F6">
        <w:rPr>
          <w:rFonts w:ascii="Book Antiqua" w:eastAsia="宋体" w:hAnsi="Book Antiqua" w:cs="宋体"/>
          <w:lang w:eastAsia="zh-CN"/>
        </w:rPr>
        <w:t xml:space="preserve">, Kitayama J, Ishigami H, Emoto S, Yamashita H, Watanabe T. A phase 2 trial of intravenous and intraperitoneal paclitaxel combined with S-1 for treatment of gastric cancer with macroscopic peritoneal metastasis. </w:t>
      </w:r>
      <w:r w:rsidRPr="005D21F6">
        <w:rPr>
          <w:rFonts w:ascii="Book Antiqua" w:eastAsia="宋体" w:hAnsi="Book Antiqua" w:cs="宋体"/>
          <w:i/>
          <w:iCs/>
          <w:lang w:eastAsia="zh-CN"/>
        </w:rPr>
        <w:t>Cancer</w:t>
      </w:r>
      <w:r w:rsidRPr="005D21F6">
        <w:rPr>
          <w:rFonts w:ascii="Book Antiqua" w:eastAsia="宋体" w:hAnsi="Book Antiqua" w:cs="宋体"/>
          <w:lang w:eastAsia="zh-CN"/>
        </w:rPr>
        <w:t xml:space="preserve"> 2013; </w:t>
      </w:r>
      <w:r w:rsidRPr="005D21F6">
        <w:rPr>
          <w:rFonts w:ascii="Book Antiqua" w:eastAsia="宋体" w:hAnsi="Book Antiqua" w:cs="宋体"/>
          <w:b/>
          <w:bCs/>
          <w:lang w:eastAsia="zh-CN"/>
        </w:rPr>
        <w:t>119</w:t>
      </w:r>
      <w:r w:rsidRPr="005D21F6">
        <w:rPr>
          <w:rFonts w:ascii="Book Antiqua" w:eastAsia="宋体" w:hAnsi="Book Antiqua" w:cs="宋体"/>
          <w:lang w:eastAsia="zh-CN"/>
        </w:rPr>
        <w:t>: 3354-3358 [PMID: 23798046 DOI: 10.1002/cncr.28204]</w:t>
      </w:r>
    </w:p>
    <w:p w14:paraId="4C63C6FD" w14:textId="77777777" w:rsidR="005D21F6" w:rsidRPr="005D21F6" w:rsidRDefault="005D21F6" w:rsidP="005D21F6">
      <w:pPr>
        <w:spacing w:line="360" w:lineRule="auto"/>
        <w:jc w:val="both"/>
        <w:rPr>
          <w:rFonts w:ascii="Book Antiqua" w:eastAsia="宋体" w:hAnsi="Book Antiqua" w:cs="宋体"/>
          <w:lang w:eastAsia="zh-CN"/>
        </w:rPr>
      </w:pPr>
      <w:r w:rsidRPr="005D21F6">
        <w:rPr>
          <w:rFonts w:ascii="Book Antiqua" w:eastAsia="宋体" w:hAnsi="Book Antiqua" w:cs="宋体"/>
          <w:lang w:eastAsia="zh-CN"/>
        </w:rPr>
        <w:t xml:space="preserve">26 </w:t>
      </w:r>
      <w:r w:rsidRPr="005D21F6">
        <w:rPr>
          <w:rFonts w:ascii="Book Antiqua" w:eastAsia="宋体" w:hAnsi="Book Antiqua" w:cs="宋体"/>
          <w:b/>
          <w:bCs/>
          <w:lang w:eastAsia="zh-CN"/>
        </w:rPr>
        <w:t>Ishigami H</w:t>
      </w:r>
      <w:r w:rsidRPr="005D21F6">
        <w:rPr>
          <w:rFonts w:ascii="Book Antiqua" w:eastAsia="宋体" w:hAnsi="Book Antiqua" w:cs="宋体"/>
          <w:lang w:eastAsia="zh-CN"/>
        </w:rPr>
        <w:t xml:space="preserve">, Kitayama J, Kaisaki S, Hidemura A, Kato M, Otani K, Kamei T, Soma D, Miyato H, Yamashita H, Nagawa H. Phase II study of weekly intravenous and intraperitoneal paclitaxel combined with S-1 for advanced gastric cancer with peritoneal metastasis. </w:t>
      </w:r>
      <w:r w:rsidRPr="005D21F6">
        <w:rPr>
          <w:rFonts w:ascii="Book Antiqua" w:eastAsia="宋体" w:hAnsi="Book Antiqua" w:cs="宋体"/>
          <w:i/>
          <w:iCs/>
          <w:lang w:eastAsia="zh-CN"/>
        </w:rPr>
        <w:t>Ann Oncol</w:t>
      </w:r>
      <w:r w:rsidRPr="005D21F6">
        <w:rPr>
          <w:rFonts w:ascii="Book Antiqua" w:eastAsia="宋体" w:hAnsi="Book Antiqua" w:cs="宋体"/>
          <w:lang w:eastAsia="zh-CN"/>
        </w:rPr>
        <w:t xml:space="preserve"> 2010; </w:t>
      </w:r>
      <w:r w:rsidRPr="005D21F6">
        <w:rPr>
          <w:rFonts w:ascii="Book Antiqua" w:eastAsia="宋体" w:hAnsi="Book Antiqua" w:cs="宋体"/>
          <w:b/>
          <w:bCs/>
          <w:lang w:eastAsia="zh-CN"/>
        </w:rPr>
        <w:t>21</w:t>
      </w:r>
      <w:r w:rsidRPr="005D21F6">
        <w:rPr>
          <w:rFonts w:ascii="Book Antiqua" w:eastAsia="宋体" w:hAnsi="Book Antiqua" w:cs="宋体"/>
          <w:lang w:eastAsia="zh-CN"/>
        </w:rPr>
        <w:t>: 67-70 [PMID: 19605503 DOI: 10.1093/annonc/mdp260]</w:t>
      </w:r>
    </w:p>
    <w:p w14:paraId="30F64376" w14:textId="77777777" w:rsidR="00C75B26" w:rsidRPr="005D21F6" w:rsidRDefault="00C75B26" w:rsidP="005D21F6">
      <w:pPr>
        <w:spacing w:line="360" w:lineRule="auto"/>
        <w:jc w:val="both"/>
        <w:rPr>
          <w:rFonts w:ascii="Book Antiqua" w:eastAsia="宋体" w:hAnsi="Book Antiqua" w:cs="Arial"/>
          <w:lang w:eastAsia="zh-CN"/>
        </w:rPr>
      </w:pPr>
    </w:p>
    <w:p w14:paraId="3DBF50B2" w14:textId="55393455" w:rsidR="0029116F" w:rsidRPr="005D21F6" w:rsidRDefault="0029116F" w:rsidP="005D21F6">
      <w:pPr>
        <w:spacing w:line="360" w:lineRule="auto"/>
        <w:jc w:val="right"/>
        <w:rPr>
          <w:rFonts w:ascii="Book Antiqua" w:eastAsia="宋体" w:hAnsi="Book Antiqua" w:cs="Arial"/>
          <w:lang w:eastAsia="zh-CN"/>
        </w:rPr>
      </w:pPr>
      <w:r w:rsidRPr="005D21F6">
        <w:rPr>
          <w:rFonts w:ascii="Book Antiqua" w:hAnsi="Book Antiqua"/>
          <w:b/>
        </w:rPr>
        <w:t xml:space="preserve">P-Reviewer: </w:t>
      </w:r>
      <w:r w:rsidRPr="005D21F6">
        <w:rPr>
          <w:rFonts w:ascii="Book Antiqua" w:hAnsi="Book Antiqua"/>
          <w:color w:val="000000"/>
        </w:rPr>
        <w:t>Chrom</w:t>
      </w:r>
      <w:r w:rsidRPr="005D21F6">
        <w:rPr>
          <w:rFonts w:ascii="Book Antiqua" w:eastAsia="宋体" w:hAnsi="Book Antiqua"/>
          <w:color w:val="000000"/>
          <w:lang w:eastAsia="zh-CN"/>
        </w:rPr>
        <w:t xml:space="preserve"> P, </w:t>
      </w:r>
      <w:r w:rsidRPr="005D21F6">
        <w:rPr>
          <w:rFonts w:ascii="Book Antiqua" w:hAnsi="Book Antiqua"/>
          <w:color w:val="000000"/>
        </w:rPr>
        <w:t>Fujita</w:t>
      </w:r>
      <w:r w:rsidRPr="005D21F6">
        <w:rPr>
          <w:rFonts w:ascii="Book Antiqua" w:eastAsia="宋体" w:hAnsi="Book Antiqua"/>
          <w:color w:val="000000"/>
          <w:lang w:eastAsia="zh-CN"/>
        </w:rPr>
        <w:t xml:space="preserve"> T, </w:t>
      </w:r>
      <w:r w:rsidRPr="005D21F6">
        <w:rPr>
          <w:rFonts w:ascii="Book Antiqua" w:hAnsi="Book Antiqua"/>
          <w:color w:val="000000"/>
        </w:rPr>
        <w:t>Ilson</w:t>
      </w:r>
      <w:r w:rsidRPr="005D21F6">
        <w:rPr>
          <w:rFonts w:ascii="Book Antiqua" w:eastAsia="宋体" w:hAnsi="Book Antiqua"/>
          <w:color w:val="000000"/>
          <w:lang w:eastAsia="zh-CN"/>
        </w:rPr>
        <w:t xml:space="preserve"> DH </w:t>
      </w:r>
      <w:r w:rsidRPr="005D21F6">
        <w:rPr>
          <w:rFonts w:ascii="Book Antiqua" w:hAnsi="Book Antiqua"/>
          <w:b/>
        </w:rPr>
        <w:t xml:space="preserve">S-Editor: </w:t>
      </w:r>
      <w:r w:rsidRPr="005D21F6">
        <w:rPr>
          <w:rFonts w:ascii="Book Antiqua" w:hAnsi="Book Antiqua"/>
        </w:rPr>
        <w:t>Ji FF</w:t>
      </w:r>
      <w:r w:rsidRPr="005D21F6">
        <w:rPr>
          <w:rFonts w:ascii="Book Antiqua" w:hAnsi="Book Antiqua"/>
          <w:b/>
        </w:rPr>
        <w:t xml:space="preserve"> L-Editor: E-Editor:</w:t>
      </w:r>
    </w:p>
    <w:p w14:paraId="0BD4FD3F" w14:textId="050407AC" w:rsidR="00C75B26" w:rsidRPr="005D21F6" w:rsidRDefault="00C75B26" w:rsidP="005D21F6">
      <w:pPr>
        <w:spacing w:line="360" w:lineRule="auto"/>
        <w:jc w:val="both"/>
        <w:rPr>
          <w:rFonts w:ascii="Book Antiqua" w:hAnsi="Book Antiqua" w:cs="Arial"/>
        </w:rPr>
      </w:pPr>
      <w:r w:rsidRPr="005D21F6">
        <w:rPr>
          <w:rFonts w:ascii="Book Antiqua" w:hAnsi="Book Antiqua" w:cs="Arial"/>
        </w:rPr>
        <w:br w:type="page"/>
      </w:r>
    </w:p>
    <w:p w14:paraId="1502172C" w14:textId="33C8D6B4" w:rsidR="00C75B26" w:rsidRPr="00341571" w:rsidRDefault="0029116F" w:rsidP="00341571">
      <w:pPr>
        <w:spacing w:line="360" w:lineRule="auto"/>
        <w:jc w:val="both"/>
        <w:rPr>
          <w:rFonts w:ascii="Book Antiqua" w:hAnsi="Book Antiqua" w:cs="Arial"/>
          <w:b/>
        </w:rPr>
      </w:pPr>
      <w:r>
        <w:rPr>
          <w:rFonts w:ascii="Book Antiqua" w:hAnsi="Book Antiqua" w:cs="Arial"/>
          <w:b/>
        </w:rPr>
        <w:lastRenderedPageBreak/>
        <w:t>Table 1</w:t>
      </w:r>
      <w:r w:rsidR="00C75B26" w:rsidRPr="00341571">
        <w:rPr>
          <w:rFonts w:ascii="Book Antiqua" w:hAnsi="Book Antiqua" w:cs="Arial"/>
          <w:b/>
        </w:rPr>
        <w:t xml:space="preserve"> Baseline patient demographics</w:t>
      </w:r>
    </w:p>
    <w:tbl>
      <w:tblPr>
        <w:tblStyle w:val="a3"/>
        <w:tblW w:w="0" w:type="auto"/>
        <w:tblLook w:val="04A0" w:firstRow="1" w:lastRow="0" w:firstColumn="1" w:lastColumn="0" w:noHBand="0" w:noVBand="1"/>
      </w:tblPr>
      <w:tblGrid>
        <w:gridCol w:w="4527"/>
        <w:gridCol w:w="3370"/>
      </w:tblGrid>
      <w:tr w:rsidR="00341571" w:rsidRPr="00341571" w14:paraId="2C7FAEF0" w14:textId="77777777" w:rsidTr="0029116F">
        <w:tc>
          <w:tcPr>
            <w:tcW w:w="4527" w:type="dxa"/>
            <w:shd w:val="clear" w:color="auto" w:fill="auto"/>
            <w:vAlign w:val="center"/>
          </w:tcPr>
          <w:p w14:paraId="0C3FB334"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t>Characteristic</w:t>
            </w:r>
          </w:p>
        </w:tc>
        <w:tc>
          <w:tcPr>
            <w:tcW w:w="3370" w:type="dxa"/>
            <w:shd w:val="clear" w:color="auto" w:fill="auto"/>
            <w:vAlign w:val="center"/>
          </w:tcPr>
          <w:p w14:paraId="02CA788F" w14:textId="4AE5FC68" w:rsidR="00C75B26" w:rsidRPr="00341571" w:rsidRDefault="0029116F" w:rsidP="00341571">
            <w:pPr>
              <w:spacing w:line="360" w:lineRule="auto"/>
              <w:jc w:val="both"/>
              <w:rPr>
                <w:rFonts w:ascii="Book Antiqua" w:hAnsi="Book Antiqua" w:cs="Arial"/>
                <w:b/>
              </w:rPr>
            </w:pPr>
            <w:r w:rsidRPr="0029116F">
              <w:rPr>
                <w:rFonts w:ascii="Book Antiqua" w:eastAsia="宋体" w:hAnsi="Book Antiqua" w:cs="Arial"/>
                <w:b/>
                <w:i/>
                <w:lang w:eastAsia="zh-CN"/>
              </w:rPr>
              <w:t>n</w:t>
            </w:r>
            <w:r w:rsidR="00C75B26" w:rsidRPr="00341571">
              <w:rPr>
                <w:rFonts w:ascii="Book Antiqua" w:hAnsi="Book Antiqua" w:cs="Arial"/>
                <w:b/>
              </w:rPr>
              <w:t xml:space="preserve"> (%)</w:t>
            </w:r>
          </w:p>
        </w:tc>
      </w:tr>
      <w:tr w:rsidR="00341571" w:rsidRPr="00341571" w14:paraId="24169EA4" w14:textId="77777777" w:rsidTr="0029116F">
        <w:tc>
          <w:tcPr>
            <w:tcW w:w="4527" w:type="dxa"/>
            <w:shd w:val="clear" w:color="auto" w:fill="auto"/>
            <w:vAlign w:val="center"/>
          </w:tcPr>
          <w:p w14:paraId="3966EE61" w14:textId="4EC229BF" w:rsidR="00C75B26" w:rsidRPr="00341571" w:rsidRDefault="0062713F" w:rsidP="00341571">
            <w:pPr>
              <w:spacing w:line="360" w:lineRule="auto"/>
              <w:jc w:val="both"/>
              <w:rPr>
                <w:rFonts w:ascii="Book Antiqua" w:hAnsi="Book Antiqua" w:cs="Arial"/>
              </w:rPr>
            </w:pPr>
            <w:r>
              <w:rPr>
                <w:rFonts w:ascii="Book Antiqua" w:hAnsi="Book Antiqua" w:cs="Arial"/>
              </w:rPr>
              <w:t>Median age (range) (yr</w:t>
            </w:r>
            <w:r w:rsidR="00C75B26" w:rsidRPr="00341571">
              <w:rPr>
                <w:rFonts w:ascii="Book Antiqua" w:hAnsi="Book Antiqua" w:cs="Arial"/>
              </w:rPr>
              <w:t>)</w:t>
            </w:r>
          </w:p>
        </w:tc>
        <w:tc>
          <w:tcPr>
            <w:tcW w:w="3370" w:type="dxa"/>
            <w:shd w:val="clear" w:color="auto" w:fill="auto"/>
            <w:vAlign w:val="center"/>
          </w:tcPr>
          <w:p w14:paraId="3CD3CAC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63.8 (26.9-89.0)</w:t>
            </w:r>
          </w:p>
        </w:tc>
      </w:tr>
      <w:tr w:rsidR="00341571" w:rsidRPr="00341571" w14:paraId="201EE48D" w14:textId="77777777" w:rsidTr="0029116F">
        <w:tc>
          <w:tcPr>
            <w:tcW w:w="4527" w:type="dxa"/>
            <w:shd w:val="clear" w:color="auto" w:fill="auto"/>
            <w:vAlign w:val="center"/>
          </w:tcPr>
          <w:p w14:paraId="12D0C07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Ethnicity</w:t>
            </w:r>
          </w:p>
        </w:tc>
        <w:tc>
          <w:tcPr>
            <w:tcW w:w="3370" w:type="dxa"/>
            <w:shd w:val="clear" w:color="auto" w:fill="auto"/>
            <w:vAlign w:val="center"/>
          </w:tcPr>
          <w:p w14:paraId="6D744243" w14:textId="77777777" w:rsidR="00C75B26" w:rsidRPr="00341571" w:rsidRDefault="00C75B26" w:rsidP="00341571">
            <w:pPr>
              <w:spacing w:line="360" w:lineRule="auto"/>
              <w:jc w:val="both"/>
              <w:rPr>
                <w:rFonts w:ascii="Book Antiqua" w:hAnsi="Book Antiqua" w:cs="Arial"/>
              </w:rPr>
            </w:pPr>
          </w:p>
        </w:tc>
      </w:tr>
      <w:tr w:rsidR="00341571" w:rsidRPr="00341571" w14:paraId="749C23BB" w14:textId="77777777" w:rsidTr="0029116F">
        <w:tc>
          <w:tcPr>
            <w:tcW w:w="4527" w:type="dxa"/>
            <w:shd w:val="clear" w:color="auto" w:fill="auto"/>
            <w:vAlign w:val="center"/>
          </w:tcPr>
          <w:p w14:paraId="5C32B16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Chinese</w:t>
            </w:r>
          </w:p>
        </w:tc>
        <w:tc>
          <w:tcPr>
            <w:tcW w:w="3370" w:type="dxa"/>
            <w:shd w:val="clear" w:color="auto" w:fill="auto"/>
            <w:vAlign w:val="center"/>
          </w:tcPr>
          <w:p w14:paraId="1FCC1DB3"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203 (74.9)</w:t>
            </w:r>
          </w:p>
        </w:tc>
      </w:tr>
      <w:tr w:rsidR="00341571" w:rsidRPr="00341571" w14:paraId="5725E7DE" w14:textId="77777777" w:rsidTr="0029116F">
        <w:tc>
          <w:tcPr>
            <w:tcW w:w="4527" w:type="dxa"/>
            <w:shd w:val="clear" w:color="auto" w:fill="auto"/>
            <w:vAlign w:val="center"/>
          </w:tcPr>
          <w:p w14:paraId="2513B69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Indian</w:t>
            </w:r>
          </w:p>
        </w:tc>
        <w:tc>
          <w:tcPr>
            <w:tcW w:w="3370" w:type="dxa"/>
            <w:shd w:val="clear" w:color="auto" w:fill="auto"/>
            <w:vAlign w:val="center"/>
          </w:tcPr>
          <w:p w14:paraId="0051A4A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13 (4.8)</w:t>
            </w:r>
          </w:p>
        </w:tc>
      </w:tr>
      <w:tr w:rsidR="00341571" w:rsidRPr="00341571" w14:paraId="07B8ECB8" w14:textId="77777777" w:rsidTr="0029116F">
        <w:tc>
          <w:tcPr>
            <w:tcW w:w="4527" w:type="dxa"/>
            <w:shd w:val="clear" w:color="auto" w:fill="auto"/>
            <w:vAlign w:val="center"/>
          </w:tcPr>
          <w:p w14:paraId="643D03A5"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Malay</w:t>
            </w:r>
          </w:p>
        </w:tc>
        <w:tc>
          <w:tcPr>
            <w:tcW w:w="3370" w:type="dxa"/>
            <w:shd w:val="clear" w:color="auto" w:fill="auto"/>
            <w:vAlign w:val="center"/>
          </w:tcPr>
          <w:p w14:paraId="13C1AA8F"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20 (7.4)</w:t>
            </w:r>
          </w:p>
        </w:tc>
      </w:tr>
      <w:tr w:rsidR="00341571" w:rsidRPr="00341571" w14:paraId="1644ADE0" w14:textId="77777777" w:rsidTr="0029116F">
        <w:tc>
          <w:tcPr>
            <w:tcW w:w="4527" w:type="dxa"/>
            <w:shd w:val="clear" w:color="auto" w:fill="auto"/>
            <w:vAlign w:val="center"/>
          </w:tcPr>
          <w:p w14:paraId="5C5E0E3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Others</w:t>
            </w:r>
          </w:p>
        </w:tc>
        <w:tc>
          <w:tcPr>
            <w:tcW w:w="3370" w:type="dxa"/>
            <w:shd w:val="clear" w:color="auto" w:fill="auto"/>
            <w:vAlign w:val="center"/>
          </w:tcPr>
          <w:p w14:paraId="1F54E0E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35 (12.9)</w:t>
            </w:r>
          </w:p>
        </w:tc>
      </w:tr>
      <w:tr w:rsidR="00341571" w:rsidRPr="00341571" w14:paraId="4757E10B" w14:textId="77777777" w:rsidTr="0029116F">
        <w:tc>
          <w:tcPr>
            <w:tcW w:w="4527" w:type="dxa"/>
            <w:shd w:val="clear" w:color="auto" w:fill="auto"/>
            <w:vAlign w:val="center"/>
          </w:tcPr>
          <w:p w14:paraId="63CF277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Gender</w:t>
            </w:r>
          </w:p>
        </w:tc>
        <w:tc>
          <w:tcPr>
            <w:tcW w:w="3370" w:type="dxa"/>
            <w:shd w:val="clear" w:color="auto" w:fill="auto"/>
            <w:vAlign w:val="center"/>
          </w:tcPr>
          <w:p w14:paraId="1D28F551" w14:textId="77777777" w:rsidR="00C75B26" w:rsidRPr="00341571" w:rsidRDefault="00C75B26" w:rsidP="00341571">
            <w:pPr>
              <w:spacing w:line="360" w:lineRule="auto"/>
              <w:jc w:val="both"/>
              <w:rPr>
                <w:rFonts w:ascii="Book Antiqua" w:hAnsi="Book Antiqua" w:cs="Arial"/>
              </w:rPr>
            </w:pPr>
          </w:p>
        </w:tc>
      </w:tr>
      <w:tr w:rsidR="00341571" w:rsidRPr="00341571" w14:paraId="355423DA" w14:textId="77777777" w:rsidTr="0029116F">
        <w:tc>
          <w:tcPr>
            <w:tcW w:w="4527" w:type="dxa"/>
            <w:shd w:val="clear" w:color="auto" w:fill="auto"/>
            <w:vAlign w:val="center"/>
          </w:tcPr>
          <w:p w14:paraId="11613AD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Male</w:t>
            </w:r>
          </w:p>
        </w:tc>
        <w:tc>
          <w:tcPr>
            <w:tcW w:w="3370" w:type="dxa"/>
            <w:shd w:val="clear" w:color="auto" w:fill="auto"/>
            <w:vAlign w:val="center"/>
          </w:tcPr>
          <w:p w14:paraId="5A1A12E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134 (49.4)</w:t>
            </w:r>
          </w:p>
        </w:tc>
      </w:tr>
      <w:tr w:rsidR="00341571" w:rsidRPr="00341571" w14:paraId="69B960A5" w14:textId="77777777" w:rsidTr="0029116F">
        <w:tc>
          <w:tcPr>
            <w:tcW w:w="4527" w:type="dxa"/>
            <w:shd w:val="clear" w:color="auto" w:fill="auto"/>
            <w:vAlign w:val="center"/>
          </w:tcPr>
          <w:p w14:paraId="77F0264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Female</w:t>
            </w:r>
          </w:p>
        </w:tc>
        <w:tc>
          <w:tcPr>
            <w:tcW w:w="3370" w:type="dxa"/>
            <w:shd w:val="clear" w:color="auto" w:fill="auto"/>
            <w:vAlign w:val="center"/>
          </w:tcPr>
          <w:p w14:paraId="52FA5C7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137 (50.6)</w:t>
            </w:r>
          </w:p>
        </w:tc>
      </w:tr>
      <w:tr w:rsidR="00341571" w:rsidRPr="00341571" w14:paraId="66205A78" w14:textId="77777777" w:rsidTr="0029116F">
        <w:tc>
          <w:tcPr>
            <w:tcW w:w="4527" w:type="dxa"/>
            <w:shd w:val="clear" w:color="auto" w:fill="auto"/>
            <w:vAlign w:val="center"/>
          </w:tcPr>
          <w:p w14:paraId="07BD94F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ECOG status</w:t>
            </w:r>
          </w:p>
        </w:tc>
        <w:tc>
          <w:tcPr>
            <w:tcW w:w="3370" w:type="dxa"/>
            <w:shd w:val="clear" w:color="auto" w:fill="auto"/>
            <w:vAlign w:val="center"/>
          </w:tcPr>
          <w:p w14:paraId="0F08F80A" w14:textId="77777777" w:rsidR="00C75B26" w:rsidRPr="00341571" w:rsidRDefault="00C75B26" w:rsidP="00341571">
            <w:pPr>
              <w:spacing w:line="360" w:lineRule="auto"/>
              <w:jc w:val="both"/>
              <w:rPr>
                <w:rFonts w:ascii="Book Antiqua" w:hAnsi="Book Antiqua" w:cs="Arial"/>
              </w:rPr>
            </w:pPr>
          </w:p>
        </w:tc>
      </w:tr>
      <w:tr w:rsidR="00341571" w:rsidRPr="00341571" w14:paraId="6BACCCB7" w14:textId="77777777" w:rsidTr="0029116F">
        <w:tc>
          <w:tcPr>
            <w:tcW w:w="4527" w:type="dxa"/>
            <w:shd w:val="clear" w:color="auto" w:fill="auto"/>
            <w:vAlign w:val="center"/>
          </w:tcPr>
          <w:p w14:paraId="023B8856"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0</w:t>
            </w:r>
          </w:p>
        </w:tc>
        <w:tc>
          <w:tcPr>
            <w:tcW w:w="3370" w:type="dxa"/>
            <w:shd w:val="clear" w:color="auto" w:fill="auto"/>
            <w:vAlign w:val="center"/>
          </w:tcPr>
          <w:p w14:paraId="40E9FD7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89 (32.8)</w:t>
            </w:r>
          </w:p>
        </w:tc>
      </w:tr>
      <w:tr w:rsidR="00341571" w:rsidRPr="00341571" w14:paraId="059ED9F4" w14:textId="77777777" w:rsidTr="0029116F">
        <w:tc>
          <w:tcPr>
            <w:tcW w:w="4527" w:type="dxa"/>
            <w:shd w:val="clear" w:color="auto" w:fill="auto"/>
            <w:vAlign w:val="center"/>
          </w:tcPr>
          <w:p w14:paraId="5F36723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w:t>
            </w:r>
          </w:p>
        </w:tc>
        <w:tc>
          <w:tcPr>
            <w:tcW w:w="3370" w:type="dxa"/>
            <w:shd w:val="clear" w:color="auto" w:fill="auto"/>
            <w:vAlign w:val="center"/>
          </w:tcPr>
          <w:p w14:paraId="46C81A1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135 (49.8)</w:t>
            </w:r>
          </w:p>
        </w:tc>
      </w:tr>
      <w:tr w:rsidR="00341571" w:rsidRPr="00341571" w14:paraId="13F57275" w14:textId="77777777" w:rsidTr="0029116F">
        <w:tc>
          <w:tcPr>
            <w:tcW w:w="4527" w:type="dxa"/>
            <w:shd w:val="clear" w:color="auto" w:fill="auto"/>
            <w:vAlign w:val="center"/>
          </w:tcPr>
          <w:p w14:paraId="3A1C0C1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w:t>
            </w:r>
          </w:p>
        </w:tc>
        <w:tc>
          <w:tcPr>
            <w:tcW w:w="3370" w:type="dxa"/>
            <w:shd w:val="clear" w:color="auto" w:fill="auto"/>
            <w:vAlign w:val="center"/>
          </w:tcPr>
          <w:p w14:paraId="61083C1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28 (10.3)</w:t>
            </w:r>
          </w:p>
        </w:tc>
      </w:tr>
      <w:tr w:rsidR="00341571" w:rsidRPr="00341571" w14:paraId="46B3C40F" w14:textId="77777777" w:rsidTr="0029116F">
        <w:tc>
          <w:tcPr>
            <w:tcW w:w="4527" w:type="dxa"/>
            <w:shd w:val="clear" w:color="auto" w:fill="auto"/>
            <w:vAlign w:val="center"/>
          </w:tcPr>
          <w:p w14:paraId="4A34A5E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w:t>
            </w:r>
          </w:p>
        </w:tc>
        <w:tc>
          <w:tcPr>
            <w:tcW w:w="3370" w:type="dxa"/>
            <w:shd w:val="clear" w:color="auto" w:fill="auto"/>
            <w:vAlign w:val="center"/>
          </w:tcPr>
          <w:p w14:paraId="60CD7FF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11 (4.1)</w:t>
            </w:r>
          </w:p>
        </w:tc>
      </w:tr>
      <w:tr w:rsidR="00341571" w:rsidRPr="00341571" w14:paraId="7D31AF9E" w14:textId="77777777" w:rsidTr="0029116F">
        <w:tc>
          <w:tcPr>
            <w:tcW w:w="4527" w:type="dxa"/>
            <w:shd w:val="clear" w:color="auto" w:fill="auto"/>
            <w:vAlign w:val="center"/>
          </w:tcPr>
          <w:p w14:paraId="7975414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4</w:t>
            </w:r>
          </w:p>
        </w:tc>
        <w:tc>
          <w:tcPr>
            <w:tcW w:w="3370" w:type="dxa"/>
            <w:shd w:val="clear" w:color="auto" w:fill="auto"/>
            <w:vAlign w:val="center"/>
          </w:tcPr>
          <w:p w14:paraId="2256F640"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8 (3.0)</w:t>
            </w:r>
          </w:p>
        </w:tc>
      </w:tr>
      <w:tr w:rsidR="00341571" w:rsidRPr="00341571" w14:paraId="0CB769B5" w14:textId="77777777" w:rsidTr="0029116F">
        <w:tc>
          <w:tcPr>
            <w:tcW w:w="4527" w:type="dxa"/>
            <w:shd w:val="clear" w:color="auto" w:fill="auto"/>
            <w:vAlign w:val="center"/>
          </w:tcPr>
          <w:p w14:paraId="762B2D5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ASA score</w:t>
            </w:r>
          </w:p>
        </w:tc>
        <w:tc>
          <w:tcPr>
            <w:tcW w:w="3370" w:type="dxa"/>
            <w:shd w:val="clear" w:color="auto" w:fill="auto"/>
            <w:vAlign w:val="center"/>
          </w:tcPr>
          <w:p w14:paraId="71776700" w14:textId="77777777" w:rsidR="00C75B26" w:rsidRPr="00341571" w:rsidRDefault="00C75B26" w:rsidP="00341571">
            <w:pPr>
              <w:spacing w:line="360" w:lineRule="auto"/>
              <w:jc w:val="both"/>
              <w:rPr>
                <w:rFonts w:ascii="Book Antiqua" w:hAnsi="Book Antiqua" w:cs="Arial"/>
              </w:rPr>
            </w:pPr>
          </w:p>
        </w:tc>
      </w:tr>
      <w:tr w:rsidR="00341571" w:rsidRPr="00341571" w14:paraId="59AF199A" w14:textId="77777777" w:rsidTr="0029116F">
        <w:tc>
          <w:tcPr>
            <w:tcW w:w="4527" w:type="dxa"/>
            <w:shd w:val="clear" w:color="auto" w:fill="auto"/>
            <w:vAlign w:val="center"/>
          </w:tcPr>
          <w:p w14:paraId="735EFE3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w:t>
            </w:r>
          </w:p>
        </w:tc>
        <w:tc>
          <w:tcPr>
            <w:tcW w:w="3370" w:type="dxa"/>
            <w:shd w:val="clear" w:color="auto" w:fill="auto"/>
            <w:vAlign w:val="center"/>
          </w:tcPr>
          <w:p w14:paraId="1E4BB6C3"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107 (39.5)</w:t>
            </w:r>
          </w:p>
        </w:tc>
      </w:tr>
      <w:tr w:rsidR="00341571" w:rsidRPr="00341571" w14:paraId="443AA08C" w14:textId="77777777" w:rsidTr="0029116F">
        <w:tc>
          <w:tcPr>
            <w:tcW w:w="4527" w:type="dxa"/>
            <w:shd w:val="clear" w:color="auto" w:fill="auto"/>
            <w:vAlign w:val="center"/>
          </w:tcPr>
          <w:p w14:paraId="2D75FCB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w:t>
            </w:r>
          </w:p>
        </w:tc>
        <w:tc>
          <w:tcPr>
            <w:tcW w:w="3370" w:type="dxa"/>
            <w:shd w:val="clear" w:color="auto" w:fill="auto"/>
            <w:vAlign w:val="center"/>
          </w:tcPr>
          <w:p w14:paraId="226CD52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128 (47.2)</w:t>
            </w:r>
          </w:p>
        </w:tc>
      </w:tr>
      <w:tr w:rsidR="00341571" w:rsidRPr="00341571" w14:paraId="22EAF9AB" w14:textId="77777777" w:rsidTr="0029116F">
        <w:tc>
          <w:tcPr>
            <w:tcW w:w="4527" w:type="dxa"/>
            <w:shd w:val="clear" w:color="auto" w:fill="auto"/>
            <w:vAlign w:val="center"/>
          </w:tcPr>
          <w:p w14:paraId="182DF11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w:t>
            </w:r>
          </w:p>
        </w:tc>
        <w:tc>
          <w:tcPr>
            <w:tcW w:w="3370" w:type="dxa"/>
            <w:shd w:val="clear" w:color="auto" w:fill="auto"/>
            <w:vAlign w:val="center"/>
          </w:tcPr>
          <w:p w14:paraId="35874EE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36 (13.3)</w:t>
            </w:r>
          </w:p>
        </w:tc>
      </w:tr>
      <w:tr w:rsidR="00341571" w:rsidRPr="00341571" w14:paraId="31186736" w14:textId="77777777" w:rsidTr="0029116F">
        <w:tc>
          <w:tcPr>
            <w:tcW w:w="4527" w:type="dxa"/>
            <w:shd w:val="clear" w:color="auto" w:fill="auto"/>
            <w:vAlign w:val="center"/>
          </w:tcPr>
          <w:p w14:paraId="2B78D15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Comorbidities</w:t>
            </w:r>
          </w:p>
        </w:tc>
        <w:tc>
          <w:tcPr>
            <w:tcW w:w="3370" w:type="dxa"/>
            <w:shd w:val="clear" w:color="auto" w:fill="auto"/>
            <w:vAlign w:val="center"/>
          </w:tcPr>
          <w:p w14:paraId="5504B81F" w14:textId="77777777" w:rsidR="00C75B26" w:rsidRPr="00341571" w:rsidRDefault="00C75B26" w:rsidP="00341571">
            <w:pPr>
              <w:spacing w:line="360" w:lineRule="auto"/>
              <w:jc w:val="both"/>
              <w:rPr>
                <w:rFonts w:ascii="Book Antiqua" w:hAnsi="Book Antiqua" w:cs="Arial"/>
              </w:rPr>
            </w:pPr>
          </w:p>
        </w:tc>
      </w:tr>
      <w:tr w:rsidR="00341571" w:rsidRPr="00341571" w14:paraId="17389AB5" w14:textId="77777777" w:rsidTr="0029116F">
        <w:tc>
          <w:tcPr>
            <w:tcW w:w="4527" w:type="dxa"/>
            <w:shd w:val="clear" w:color="auto" w:fill="auto"/>
            <w:vAlign w:val="center"/>
          </w:tcPr>
          <w:p w14:paraId="103C565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Diabetes mellitus</w:t>
            </w:r>
          </w:p>
        </w:tc>
        <w:tc>
          <w:tcPr>
            <w:tcW w:w="3370" w:type="dxa"/>
            <w:shd w:val="clear" w:color="auto" w:fill="auto"/>
            <w:vAlign w:val="center"/>
          </w:tcPr>
          <w:p w14:paraId="75C810C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56 (20.7)</w:t>
            </w:r>
          </w:p>
        </w:tc>
      </w:tr>
      <w:tr w:rsidR="00341571" w:rsidRPr="00341571" w14:paraId="032E750A" w14:textId="77777777" w:rsidTr="0029116F">
        <w:tc>
          <w:tcPr>
            <w:tcW w:w="4527" w:type="dxa"/>
            <w:shd w:val="clear" w:color="auto" w:fill="auto"/>
            <w:vAlign w:val="center"/>
          </w:tcPr>
          <w:p w14:paraId="7193C155"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Hypertension</w:t>
            </w:r>
          </w:p>
        </w:tc>
        <w:tc>
          <w:tcPr>
            <w:tcW w:w="3370" w:type="dxa"/>
            <w:shd w:val="clear" w:color="auto" w:fill="auto"/>
            <w:vAlign w:val="center"/>
          </w:tcPr>
          <w:p w14:paraId="4C6CC0D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124 (45.8)</w:t>
            </w:r>
          </w:p>
        </w:tc>
      </w:tr>
      <w:tr w:rsidR="00341571" w:rsidRPr="00341571" w14:paraId="62EE00E6" w14:textId="77777777" w:rsidTr="0029116F">
        <w:tc>
          <w:tcPr>
            <w:tcW w:w="4527" w:type="dxa"/>
            <w:shd w:val="clear" w:color="auto" w:fill="auto"/>
            <w:vAlign w:val="center"/>
          </w:tcPr>
          <w:p w14:paraId="284CA2F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Cardiac comorbidities</w:t>
            </w:r>
          </w:p>
        </w:tc>
        <w:tc>
          <w:tcPr>
            <w:tcW w:w="3370" w:type="dxa"/>
            <w:shd w:val="clear" w:color="auto" w:fill="auto"/>
            <w:vAlign w:val="center"/>
          </w:tcPr>
          <w:p w14:paraId="1F14257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43 (15.9)</w:t>
            </w:r>
          </w:p>
        </w:tc>
      </w:tr>
      <w:tr w:rsidR="00341571" w:rsidRPr="00341571" w14:paraId="38B5979A" w14:textId="77777777" w:rsidTr="0029116F">
        <w:tc>
          <w:tcPr>
            <w:tcW w:w="4527" w:type="dxa"/>
            <w:shd w:val="clear" w:color="auto" w:fill="auto"/>
            <w:vAlign w:val="center"/>
          </w:tcPr>
          <w:p w14:paraId="5FA55A0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Respiratory comorbidities</w:t>
            </w:r>
          </w:p>
        </w:tc>
        <w:tc>
          <w:tcPr>
            <w:tcW w:w="3370" w:type="dxa"/>
            <w:shd w:val="clear" w:color="auto" w:fill="auto"/>
            <w:vAlign w:val="center"/>
          </w:tcPr>
          <w:p w14:paraId="657AF27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15 (5.5)</w:t>
            </w:r>
          </w:p>
        </w:tc>
      </w:tr>
      <w:tr w:rsidR="00341571" w:rsidRPr="00341571" w14:paraId="4EC489C0" w14:textId="77777777" w:rsidTr="0029116F">
        <w:tc>
          <w:tcPr>
            <w:tcW w:w="4527" w:type="dxa"/>
            <w:shd w:val="clear" w:color="auto" w:fill="auto"/>
            <w:vAlign w:val="center"/>
          </w:tcPr>
          <w:p w14:paraId="2985C1E5"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Chronic renal impairment</w:t>
            </w:r>
          </w:p>
        </w:tc>
        <w:tc>
          <w:tcPr>
            <w:tcW w:w="3370" w:type="dxa"/>
            <w:shd w:val="clear" w:color="auto" w:fill="auto"/>
            <w:vAlign w:val="center"/>
          </w:tcPr>
          <w:p w14:paraId="0B6C249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10 (3.7)</w:t>
            </w:r>
          </w:p>
        </w:tc>
      </w:tr>
      <w:tr w:rsidR="00341571" w:rsidRPr="00341571" w14:paraId="0A8867B3" w14:textId="77777777" w:rsidTr="0029116F">
        <w:tc>
          <w:tcPr>
            <w:tcW w:w="4527" w:type="dxa"/>
            <w:shd w:val="clear" w:color="auto" w:fill="auto"/>
            <w:vAlign w:val="center"/>
          </w:tcPr>
          <w:p w14:paraId="64E55CDF"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Central nervous system comorbidity</w:t>
            </w:r>
          </w:p>
        </w:tc>
        <w:tc>
          <w:tcPr>
            <w:tcW w:w="3370" w:type="dxa"/>
            <w:shd w:val="clear" w:color="auto" w:fill="auto"/>
            <w:vAlign w:val="center"/>
          </w:tcPr>
          <w:p w14:paraId="4E28B3D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19 (7.0)</w:t>
            </w:r>
          </w:p>
        </w:tc>
      </w:tr>
      <w:tr w:rsidR="00341571" w:rsidRPr="00341571" w14:paraId="50160D6F" w14:textId="77777777" w:rsidTr="0029116F">
        <w:tc>
          <w:tcPr>
            <w:tcW w:w="4527" w:type="dxa"/>
            <w:shd w:val="clear" w:color="auto" w:fill="auto"/>
            <w:vAlign w:val="center"/>
          </w:tcPr>
          <w:p w14:paraId="2DFEE5A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Previous cancer</w:t>
            </w:r>
          </w:p>
        </w:tc>
        <w:tc>
          <w:tcPr>
            <w:tcW w:w="3370" w:type="dxa"/>
            <w:shd w:val="clear" w:color="auto" w:fill="auto"/>
            <w:vAlign w:val="center"/>
          </w:tcPr>
          <w:p w14:paraId="26BD87F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27 (10.0)</w:t>
            </w:r>
          </w:p>
        </w:tc>
      </w:tr>
      <w:tr w:rsidR="00341571" w:rsidRPr="00341571" w14:paraId="634CFA49" w14:textId="77777777" w:rsidTr="0029116F">
        <w:tc>
          <w:tcPr>
            <w:tcW w:w="4527" w:type="dxa"/>
            <w:shd w:val="clear" w:color="auto" w:fill="auto"/>
            <w:vAlign w:val="center"/>
          </w:tcPr>
          <w:p w14:paraId="790E3B1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Cigarette smoking</w:t>
            </w:r>
          </w:p>
        </w:tc>
        <w:tc>
          <w:tcPr>
            <w:tcW w:w="3370" w:type="dxa"/>
            <w:shd w:val="clear" w:color="auto" w:fill="auto"/>
            <w:vAlign w:val="center"/>
          </w:tcPr>
          <w:p w14:paraId="31FD73B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58 (21.4)</w:t>
            </w:r>
          </w:p>
        </w:tc>
      </w:tr>
      <w:tr w:rsidR="0029116F" w:rsidRPr="00341571" w14:paraId="05F4FAB4" w14:textId="77777777" w:rsidTr="0029116F">
        <w:tc>
          <w:tcPr>
            <w:tcW w:w="4527" w:type="dxa"/>
            <w:shd w:val="clear" w:color="auto" w:fill="auto"/>
            <w:vAlign w:val="center"/>
          </w:tcPr>
          <w:p w14:paraId="1B2AB550"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lastRenderedPageBreak/>
              <w:t>Regular alcohol use</w:t>
            </w:r>
          </w:p>
        </w:tc>
        <w:tc>
          <w:tcPr>
            <w:tcW w:w="3370" w:type="dxa"/>
            <w:shd w:val="clear" w:color="auto" w:fill="auto"/>
            <w:vAlign w:val="center"/>
          </w:tcPr>
          <w:p w14:paraId="507A7C0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31 (11.4)</w:t>
            </w:r>
          </w:p>
        </w:tc>
      </w:tr>
    </w:tbl>
    <w:p w14:paraId="22427CEC" w14:textId="77777777" w:rsidR="00C75B26" w:rsidRPr="00341571" w:rsidRDefault="00C75B26" w:rsidP="00341571">
      <w:pPr>
        <w:spacing w:line="360" w:lineRule="auto"/>
        <w:jc w:val="both"/>
        <w:rPr>
          <w:rFonts w:ascii="Book Antiqua" w:hAnsi="Book Antiqua" w:cs="Arial"/>
          <w:b/>
        </w:rPr>
      </w:pPr>
    </w:p>
    <w:p w14:paraId="6BBF1FAE" w14:textId="5103FE8C" w:rsidR="00C75B26" w:rsidRPr="0062713F" w:rsidRDefault="0062713F" w:rsidP="00341571">
      <w:pPr>
        <w:spacing w:line="360" w:lineRule="auto"/>
        <w:jc w:val="both"/>
        <w:rPr>
          <w:rFonts w:ascii="Book Antiqua" w:eastAsia="宋体" w:hAnsi="Book Antiqua" w:cs="Arial"/>
          <w:b/>
          <w:lang w:eastAsia="zh-CN"/>
        </w:rPr>
      </w:pPr>
      <w:r w:rsidRPr="00341571">
        <w:rPr>
          <w:rFonts w:ascii="Book Antiqua" w:hAnsi="Book Antiqua" w:cs="Arial"/>
        </w:rPr>
        <w:t>ECOG</w:t>
      </w:r>
      <w:r>
        <w:rPr>
          <w:rFonts w:ascii="Book Antiqua" w:eastAsia="宋体" w:hAnsi="Book Antiqua" w:cs="Arial" w:hint="eastAsia"/>
          <w:lang w:eastAsia="zh-CN"/>
        </w:rPr>
        <w:t>:</w:t>
      </w:r>
      <w:r w:rsidRPr="00341571">
        <w:rPr>
          <w:rFonts w:ascii="Book Antiqua" w:hAnsi="Book Antiqua" w:cs="Arial"/>
        </w:rPr>
        <w:t xml:space="preserve"> Eastern Cooperative Oncology Group</w:t>
      </w:r>
      <w:r>
        <w:rPr>
          <w:rFonts w:ascii="Book Antiqua" w:eastAsia="宋体" w:hAnsi="Book Antiqua" w:cs="Arial" w:hint="eastAsia"/>
          <w:lang w:eastAsia="zh-CN"/>
        </w:rPr>
        <w:t>; ASA:</w:t>
      </w:r>
      <w:r w:rsidRPr="0062713F">
        <w:rPr>
          <w:rFonts w:ascii="Book Antiqua" w:hAnsi="Book Antiqua" w:cs="Arial"/>
        </w:rPr>
        <w:t xml:space="preserve"> </w:t>
      </w:r>
      <w:r w:rsidRPr="00341571">
        <w:rPr>
          <w:rFonts w:ascii="Book Antiqua" w:hAnsi="Book Antiqua" w:cs="Arial"/>
        </w:rPr>
        <w:t>American Society of Anaesthesiology</w:t>
      </w:r>
      <w:r>
        <w:rPr>
          <w:rFonts w:ascii="Book Antiqua" w:eastAsia="宋体" w:hAnsi="Book Antiqua" w:cs="Arial" w:hint="eastAsia"/>
          <w:lang w:eastAsia="zh-CN"/>
        </w:rPr>
        <w:t>.</w:t>
      </w:r>
    </w:p>
    <w:p w14:paraId="1E2F4E06" w14:textId="77777777" w:rsidR="00C75B26" w:rsidRPr="00341571" w:rsidRDefault="00C75B26" w:rsidP="00341571">
      <w:pPr>
        <w:spacing w:line="360" w:lineRule="auto"/>
        <w:jc w:val="both"/>
        <w:rPr>
          <w:rFonts w:ascii="Book Antiqua" w:hAnsi="Book Antiqua" w:cs="Arial"/>
          <w:b/>
        </w:rPr>
      </w:pPr>
    </w:p>
    <w:p w14:paraId="17D100BE"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br w:type="page"/>
      </w:r>
    </w:p>
    <w:p w14:paraId="48163437" w14:textId="042B119C" w:rsidR="00C75B26" w:rsidRPr="00341571" w:rsidRDefault="00AF572F" w:rsidP="00341571">
      <w:pPr>
        <w:spacing w:line="360" w:lineRule="auto"/>
        <w:jc w:val="both"/>
        <w:rPr>
          <w:rFonts w:ascii="Book Antiqua" w:hAnsi="Book Antiqua" w:cs="Arial"/>
          <w:b/>
        </w:rPr>
      </w:pPr>
      <w:r>
        <w:rPr>
          <w:rFonts w:ascii="Book Antiqua" w:hAnsi="Book Antiqua" w:cs="Arial"/>
          <w:b/>
        </w:rPr>
        <w:lastRenderedPageBreak/>
        <w:t>Table 2</w:t>
      </w:r>
      <w:r w:rsidR="00C75B26" w:rsidRPr="00341571">
        <w:rPr>
          <w:rFonts w:ascii="Book Antiqua" w:hAnsi="Book Antiqua" w:cs="Arial"/>
          <w:b/>
        </w:rPr>
        <w:t xml:space="preserve"> Baseline gastric cancer-related characteristics</w:t>
      </w:r>
    </w:p>
    <w:tbl>
      <w:tblPr>
        <w:tblStyle w:val="a3"/>
        <w:tblW w:w="0" w:type="auto"/>
        <w:tblLook w:val="04A0" w:firstRow="1" w:lastRow="0" w:firstColumn="1" w:lastColumn="0" w:noHBand="0" w:noVBand="1"/>
      </w:tblPr>
      <w:tblGrid>
        <w:gridCol w:w="4994"/>
        <w:gridCol w:w="1667"/>
      </w:tblGrid>
      <w:tr w:rsidR="00341571" w:rsidRPr="00341571" w14:paraId="12945EFD" w14:textId="77777777" w:rsidTr="00AF572F">
        <w:tc>
          <w:tcPr>
            <w:tcW w:w="4994" w:type="dxa"/>
            <w:shd w:val="clear" w:color="auto" w:fill="auto"/>
            <w:vAlign w:val="center"/>
          </w:tcPr>
          <w:p w14:paraId="16DE0EDB" w14:textId="11A2F610"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t>Characteristic (</w:t>
            </w:r>
            <w:r w:rsidRPr="00AF572F">
              <w:rPr>
                <w:rFonts w:ascii="Book Antiqua" w:hAnsi="Book Antiqua" w:cs="Arial"/>
                <w:b/>
                <w:i/>
              </w:rPr>
              <w:t>n</w:t>
            </w:r>
            <w:r w:rsidR="00AF572F">
              <w:rPr>
                <w:rFonts w:ascii="Book Antiqua" w:eastAsia="宋体" w:hAnsi="Book Antiqua" w:cs="Arial" w:hint="eastAsia"/>
                <w:b/>
                <w:lang w:eastAsia="zh-CN"/>
              </w:rPr>
              <w:t xml:space="preserve"> </w:t>
            </w:r>
            <w:r w:rsidRPr="00341571">
              <w:rPr>
                <w:rFonts w:ascii="Book Antiqua" w:hAnsi="Book Antiqua" w:cs="Arial"/>
                <w:b/>
              </w:rPr>
              <w:t>=</w:t>
            </w:r>
            <w:r w:rsidR="00AF572F">
              <w:rPr>
                <w:rFonts w:ascii="Book Antiqua" w:eastAsia="宋体" w:hAnsi="Book Antiqua" w:cs="Arial" w:hint="eastAsia"/>
                <w:b/>
                <w:lang w:eastAsia="zh-CN"/>
              </w:rPr>
              <w:t xml:space="preserve"> </w:t>
            </w:r>
            <w:r w:rsidRPr="00341571">
              <w:rPr>
                <w:rFonts w:ascii="Book Antiqua" w:hAnsi="Book Antiqua" w:cs="Arial"/>
                <w:b/>
              </w:rPr>
              <w:t>271)</w:t>
            </w:r>
          </w:p>
        </w:tc>
        <w:tc>
          <w:tcPr>
            <w:tcW w:w="1667" w:type="dxa"/>
            <w:shd w:val="clear" w:color="auto" w:fill="auto"/>
            <w:vAlign w:val="center"/>
          </w:tcPr>
          <w:p w14:paraId="5FEC981C" w14:textId="730A60B5" w:rsidR="00C75B26" w:rsidRPr="00341571" w:rsidRDefault="00AF572F" w:rsidP="00341571">
            <w:pPr>
              <w:spacing w:line="360" w:lineRule="auto"/>
              <w:jc w:val="both"/>
              <w:rPr>
                <w:rFonts w:ascii="Book Antiqua" w:hAnsi="Book Antiqua" w:cs="Arial"/>
                <w:b/>
              </w:rPr>
            </w:pPr>
            <w:r w:rsidRPr="00AF572F">
              <w:rPr>
                <w:rFonts w:ascii="Book Antiqua" w:hAnsi="Book Antiqua" w:cs="Arial"/>
                <w:b/>
                <w:i/>
              </w:rPr>
              <w:t>n</w:t>
            </w:r>
            <w:r w:rsidR="00C75B26" w:rsidRPr="00341571">
              <w:rPr>
                <w:rFonts w:ascii="Book Antiqua" w:hAnsi="Book Antiqua" w:cs="Arial"/>
                <w:b/>
              </w:rPr>
              <w:t xml:space="preserve"> (%)</w:t>
            </w:r>
          </w:p>
        </w:tc>
      </w:tr>
      <w:tr w:rsidR="00341571" w:rsidRPr="00341571" w14:paraId="5DFEB0A7" w14:textId="77777777" w:rsidTr="00AF572F">
        <w:tc>
          <w:tcPr>
            <w:tcW w:w="4994" w:type="dxa"/>
            <w:shd w:val="clear" w:color="auto" w:fill="auto"/>
            <w:vAlign w:val="center"/>
          </w:tcPr>
          <w:p w14:paraId="610CCA3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Presentation of peritoneal metastases</w:t>
            </w:r>
          </w:p>
        </w:tc>
        <w:tc>
          <w:tcPr>
            <w:tcW w:w="1667" w:type="dxa"/>
            <w:shd w:val="clear" w:color="auto" w:fill="auto"/>
            <w:vAlign w:val="center"/>
          </w:tcPr>
          <w:p w14:paraId="42B612DE" w14:textId="77777777" w:rsidR="00C75B26" w:rsidRPr="00341571" w:rsidRDefault="00C75B26" w:rsidP="00341571">
            <w:pPr>
              <w:spacing w:line="360" w:lineRule="auto"/>
              <w:jc w:val="both"/>
              <w:rPr>
                <w:rFonts w:ascii="Book Antiqua" w:hAnsi="Book Antiqua" w:cs="Arial"/>
              </w:rPr>
            </w:pPr>
          </w:p>
        </w:tc>
      </w:tr>
      <w:tr w:rsidR="00341571" w:rsidRPr="00341571" w14:paraId="424D5425" w14:textId="77777777" w:rsidTr="00AF572F">
        <w:tc>
          <w:tcPr>
            <w:tcW w:w="4994" w:type="dxa"/>
            <w:shd w:val="clear" w:color="auto" w:fill="auto"/>
            <w:vAlign w:val="center"/>
          </w:tcPr>
          <w:p w14:paraId="0ECBE6F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At initial gastric cancer diagnosis</w:t>
            </w:r>
          </w:p>
        </w:tc>
        <w:tc>
          <w:tcPr>
            <w:tcW w:w="1667" w:type="dxa"/>
            <w:shd w:val="clear" w:color="auto" w:fill="auto"/>
            <w:vAlign w:val="center"/>
          </w:tcPr>
          <w:p w14:paraId="3F69361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258 (95.2)</w:t>
            </w:r>
          </w:p>
        </w:tc>
      </w:tr>
      <w:tr w:rsidR="00341571" w:rsidRPr="00341571" w14:paraId="4F5DDD4A" w14:textId="77777777" w:rsidTr="00AF572F">
        <w:tc>
          <w:tcPr>
            <w:tcW w:w="4994" w:type="dxa"/>
            <w:shd w:val="clear" w:color="auto" w:fill="auto"/>
            <w:vAlign w:val="center"/>
          </w:tcPr>
          <w:p w14:paraId="2BA1DAF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Recurrence of treated gastric cancer</w:t>
            </w:r>
          </w:p>
        </w:tc>
        <w:tc>
          <w:tcPr>
            <w:tcW w:w="1667" w:type="dxa"/>
            <w:shd w:val="clear" w:color="auto" w:fill="auto"/>
            <w:vAlign w:val="center"/>
          </w:tcPr>
          <w:p w14:paraId="7B5A398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13 (4.8)</w:t>
            </w:r>
          </w:p>
        </w:tc>
      </w:tr>
      <w:tr w:rsidR="00341571" w:rsidRPr="00341571" w14:paraId="58C2B550" w14:textId="77777777" w:rsidTr="00AF572F">
        <w:tc>
          <w:tcPr>
            <w:tcW w:w="4994" w:type="dxa"/>
            <w:shd w:val="clear" w:color="auto" w:fill="auto"/>
            <w:vAlign w:val="center"/>
          </w:tcPr>
          <w:p w14:paraId="5EFF336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Site of metastases</w:t>
            </w:r>
          </w:p>
        </w:tc>
        <w:tc>
          <w:tcPr>
            <w:tcW w:w="1667" w:type="dxa"/>
            <w:shd w:val="clear" w:color="auto" w:fill="auto"/>
            <w:vAlign w:val="center"/>
          </w:tcPr>
          <w:p w14:paraId="7F64CABD" w14:textId="77777777" w:rsidR="00C75B26" w:rsidRPr="00341571" w:rsidRDefault="00C75B26" w:rsidP="00341571">
            <w:pPr>
              <w:spacing w:line="360" w:lineRule="auto"/>
              <w:jc w:val="both"/>
              <w:rPr>
                <w:rFonts w:ascii="Book Antiqua" w:hAnsi="Book Antiqua" w:cs="Arial"/>
              </w:rPr>
            </w:pPr>
          </w:p>
        </w:tc>
      </w:tr>
      <w:tr w:rsidR="00341571" w:rsidRPr="00341571" w14:paraId="1F7EB707" w14:textId="77777777" w:rsidTr="00AF572F">
        <w:tc>
          <w:tcPr>
            <w:tcW w:w="4994" w:type="dxa"/>
            <w:shd w:val="clear" w:color="auto" w:fill="auto"/>
            <w:vAlign w:val="center"/>
          </w:tcPr>
          <w:p w14:paraId="40B2934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Peritoneal only</w:t>
            </w:r>
          </w:p>
        </w:tc>
        <w:tc>
          <w:tcPr>
            <w:tcW w:w="1667" w:type="dxa"/>
            <w:shd w:val="clear" w:color="auto" w:fill="auto"/>
            <w:vAlign w:val="center"/>
          </w:tcPr>
          <w:p w14:paraId="1DC8129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217 (80.1)</w:t>
            </w:r>
          </w:p>
        </w:tc>
      </w:tr>
      <w:tr w:rsidR="00341571" w:rsidRPr="00341571" w14:paraId="477E05A9" w14:textId="77777777" w:rsidTr="00AF572F">
        <w:tc>
          <w:tcPr>
            <w:tcW w:w="4994" w:type="dxa"/>
            <w:shd w:val="clear" w:color="auto" w:fill="auto"/>
            <w:vAlign w:val="center"/>
          </w:tcPr>
          <w:p w14:paraId="5B403E8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Peritoneal and distant site(s)</w:t>
            </w:r>
          </w:p>
        </w:tc>
        <w:tc>
          <w:tcPr>
            <w:tcW w:w="1667" w:type="dxa"/>
            <w:shd w:val="clear" w:color="auto" w:fill="auto"/>
            <w:vAlign w:val="center"/>
          </w:tcPr>
          <w:p w14:paraId="4AAC1A6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54 (19.9)</w:t>
            </w:r>
          </w:p>
        </w:tc>
      </w:tr>
      <w:tr w:rsidR="00341571" w:rsidRPr="00341571" w14:paraId="30568D3D" w14:textId="77777777" w:rsidTr="00AF572F">
        <w:tc>
          <w:tcPr>
            <w:tcW w:w="4994" w:type="dxa"/>
            <w:shd w:val="clear" w:color="auto" w:fill="auto"/>
            <w:vAlign w:val="center"/>
          </w:tcPr>
          <w:p w14:paraId="48AC043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Primary gastric cancer location</w:t>
            </w:r>
          </w:p>
        </w:tc>
        <w:tc>
          <w:tcPr>
            <w:tcW w:w="1667" w:type="dxa"/>
            <w:shd w:val="clear" w:color="auto" w:fill="auto"/>
            <w:vAlign w:val="center"/>
          </w:tcPr>
          <w:p w14:paraId="0A2B0B20" w14:textId="77777777" w:rsidR="00C75B26" w:rsidRPr="00341571" w:rsidRDefault="00C75B26" w:rsidP="00341571">
            <w:pPr>
              <w:spacing w:line="360" w:lineRule="auto"/>
              <w:jc w:val="both"/>
              <w:rPr>
                <w:rFonts w:ascii="Book Antiqua" w:hAnsi="Book Antiqua" w:cs="Arial"/>
              </w:rPr>
            </w:pPr>
          </w:p>
        </w:tc>
      </w:tr>
      <w:tr w:rsidR="00341571" w:rsidRPr="00341571" w14:paraId="1C074B12" w14:textId="77777777" w:rsidTr="00AF572F">
        <w:tc>
          <w:tcPr>
            <w:tcW w:w="4994" w:type="dxa"/>
            <w:shd w:val="clear" w:color="auto" w:fill="auto"/>
            <w:vAlign w:val="center"/>
          </w:tcPr>
          <w:p w14:paraId="037522FF"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Gastroesophageal junction</w:t>
            </w:r>
          </w:p>
        </w:tc>
        <w:tc>
          <w:tcPr>
            <w:tcW w:w="1667" w:type="dxa"/>
            <w:shd w:val="clear" w:color="auto" w:fill="auto"/>
            <w:vAlign w:val="center"/>
          </w:tcPr>
          <w:p w14:paraId="3FCC4F3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23 (8.5)</w:t>
            </w:r>
          </w:p>
        </w:tc>
      </w:tr>
      <w:tr w:rsidR="00341571" w:rsidRPr="00341571" w14:paraId="049C17FD" w14:textId="77777777" w:rsidTr="00AF572F">
        <w:tc>
          <w:tcPr>
            <w:tcW w:w="4994" w:type="dxa"/>
            <w:shd w:val="clear" w:color="auto" w:fill="auto"/>
            <w:vAlign w:val="center"/>
          </w:tcPr>
          <w:p w14:paraId="5ED7A876"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Proximal gastric</w:t>
            </w:r>
          </w:p>
        </w:tc>
        <w:tc>
          <w:tcPr>
            <w:tcW w:w="1667" w:type="dxa"/>
            <w:shd w:val="clear" w:color="auto" w:fill="auto"/>
            <w:vAlign w:val="center"/>
          </w:tcPr>
          <w:p w14:paraId="1266962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16 (5.9)</w:t>
            </w:r>
          </w:p>
        </w:tc>
      </w:tr>
      <w:tr w:rsidR="00341571" w:rsidRPr="00341571" w14:paraId="3746AF7B" w14:textId="77777777" w:rsidTr="00AF572F">
        <w:tc>
          <w:tcPr>
            <w:tcW w:w="4994" w:type="dxa"/>
            <w:shd w:val="clear" w:color="auto" w:fill="auto"/>
            <w:vAlign w:val="center"/>
          </w:tcPr>
          <w:p w14:paraId="7350FE0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Gastric body</w:t>
            </w:r>
          </w:p>
        </w:tc>
        <w:tc>
          <w:tcPr>
            <w:tcW w:w="1667" w:type="dxa"/>
            <w:shd w:val="clear" w:color="auto" w:fill="auto"/>
            <w:vAlign w:val="center"/>
          </w:tcPr>
          <w:p w14:paraId="052D55F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101 (37.3)</w:t>
            </w:r>
          </w:p>
        </w:tc>
      </w:tr>
      <w:tr w:rsidR="00341571" w:rsidRPr="00341571" w14:paraId="454686D8" w14:textId="77777777" w:rsidTr="00AF572F">
        <w:tc>
          <w:tcPr>
            <w:tcW w:w="4994" w:type="dxa"/>
            <w:shd w:val="clear" w:color="auto" w:fill="auto"/>
            <w:vAlign w:val="center"/>
          </w:tcPr>
          <w:p w14:paraId="2DC6CC9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Distal gastric</w:t>
            </w:r>
          </w:p>
        </w:tc>
        <w:tc>
          <w:tcPr>
            <w:tcW w:w="1667" w:type="dxa"/>
            <w:shd w:val="clear" w:color="auto" w:fill="auto"/>
            <w:vAlign w:val="center"/>
          </w:tcPr>
          <w:p w14:paraId="3EA46F16"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103 (38.0)</w:t>
            </w:r>
          </w:p>
        </w:tc>
      </w:tr>
      <w:tr w:rsidR="00341571" w:rsidRPr="00341571" w14:paraId="3B4195AE" w14:textId="77777777" w:rsidTr="00AF572F">
        <w:tc>
          <w:tcPr>
            <w:tcW w:w="4994" w:type="dxa"/>
            <w:shd w:val="clear" w:color="auto" w:fill="auto"/>
            <w:vAlign w:val="center"/>
          </w:tcPr>
          <w:p w14:paraId="3DAFDCD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Linitis plastica</w:t>
            </w:r>
          </w:p>
        </w:tc>
        <w:tc>
          <w:tcPr>
            <w:tcW w:w="1667" w:type="dxa"/>
            <w:shd w:val="clear" w:color="auto" w:fill="auto"/>
            <w:vAlign w:val="center"/>
          </w:tcPr>
          <w:p w14:paraId="1EB906A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28 (10.3)</w:t>
            </w:r>
          </w:p>
        </w:tc>
      </w:tr>
      <w:tr w:rsidR="00341571" w:rsidRPr="00341571" w14:paraId="1CB341EF" w14:textId="77777777" w:rsidTr="00AF572F">
        <w:tc>
          <w:tcPr>
            <w:tcW w:w="4994" w:type="dxa"/>
            <w:shd w:val="clear" w:color="auto" w:fill="auto"/>
            <w:vAlign w:val="center"/>
          </w:tcPr>
          <w:p w14:paraId="5E17F99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Lauren’s classification</w:t>
            </w:r>
          </w:p>
        </w:tc>
        <w:tc>
          <w:tcPr>
            <w:tcW w:w="1667" w:type="dxa"/>
            <w:shd w:val="clear" w:color="auto" w:fill="auto"/>
            <w:vAlign w:val="center"/>
          </w:tcPr>
          <w:p w14:paraId="58CF1DB3" w14:textId="77777777" w:rsidR="00C75B26" w:rsidRPr="00341571" w:rsidRDefault="00C75B26" w:rsidP="00341571">
            <w:pPr>
              <w:spacing w:line="360" w:lineRule="auto"/>
              <w:jc w:val="both"/>
              <w:rPr>
                <w:rFonts w:ascii="Book Antiqua" w:hAnsi="Book Antiqua" w:cs="Arial"/>
              </w:rPr>
            </w:pPr>
          </w:p>
        </w:tc>
      </w:tr>
      <w:tr w:rsidR="00341571" w:rsidRPr="00341571" w14:paraId="48BB2995" w14:textId="77777777" w:rsidTr="00AF572F">
        <w:tc>
          <w:tcPr>
            <w:tcW w:w="4994" w:type="dxa"/>
            <w:shd w:val="clear" w:color="auto" w:fill="auto"/>
            <w:vAlign w:val="center"/>
          </w:tcPr>
          <w:p w14:paraId="23F52280"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Intestinal</w:t>
            </w:r>
          </w:p>
        </w:tc>
        <w:tc>
          <w:tcPr>
            <w:tcW w:w="1667" w:type="dxa"/>
            <w:shd w:val="clear" w:color="auto" w:fill="auto"/>
            <w:vAlign w:val="center"/>
          </w:tcPr>
          <w:p w14:paraId="0E39569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129 (47.6)</w:t>
            </w:r>
          </w:p>
        </w:tc>
      </w:tr>
      <w:tr w:rsidR="00341571" w:rsidRPr="00341571" w14:paraId="617A83CB" w14:textId="77777777" w:rsidTr="00AF572F">
        <w:tc>
          <w:tcPr>
            <w:tcW w:w="4994" w:type="dxa"/>
            <w:shd w:val="clear" w:color="auto" w:fill="auto"/>
            <w:vAlign w:val="center"/>
          </w:tcPr>
          <w:p w14:paraId="4F370D5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Diffuse</w:t>
            </w:r>
          </w:p>
        </w:tc>
        <w:tc>
          <w:tcPr>
            <w:tcW w:w="1667" w:type="dxa"/>
            <w:shd w:val="clear" w:color="auto" w:fill="auto"/>
            <w:vAlign w:val="center"/>
          </w:tcPr>
          <w:p w14:paraId="0E07EF7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142 (52.4)</w:t>
            </w:r>
          </w:p>
        </w:tc>
      </w:tr>
      <w:tr w:rsidR="00341571" w:rsidRPr="00341571" w14:paraId="4BE10A9D" w14:textId="77777777" w:rsidTr="00AF572F">
        <w:tc>
          <w:tcPr>
            <w:tcW w:w="4994" w:type="dxa"/>
            <w:shd w:val="clear" w:color="auto" w:fill="auto"/>
            <w:vAlign w:val="center"/>
          </w:tcPr>
          <w:p w14:paraId="341EDB3D" w14:textId="067BAD2D" w:rsidR="00C75B26" w:rsidRPr="00341571" w:rsidRDefault="00C75B26" w:rsidP="00341571">
            <w:pPr>
              <w:spacing w:line="360" w:lineRule="auto"/>
              <w:jc w:val="both"/>
              <w:rPr>
                <w:rFonts w:ascii="Book Antiqua" w:hAnsi="Book Antiqua" w:cs="Arial"/>
              </w:rPr>
            </w:pPr>
            <w:r w:rsidRPr="00341571">
              <w:rPr>
                <w:rFonts w:ascii="Book Antiqua" w:hAnsi="Book Antiqua" w:cs="Arial"/>
              </w:rPr>
              <w:t>c-erb-B2 receptor status (</w:t>
            </w:r>
            <w:r w:rsidRPr="00AF572F">
              <w:rPr>
                <w:rFonts w:ascii="Book Antiqua" w:hAnsi="Book Antiqua" w:cs="Arial"/>
                <w:i/>
              </w:rPr>
              <w:t>n</w:t>
            </w:r>
            <w:r w:rsidR="00AF572F">
              <w:rPr>
                <w:rFonts w:ascii="Book Antiqua" w:eastAsia="宋体" w:hAnsi="Book Antiqua" w:cs="Arial" w:hint="eastAsia"/>
                <w:lang w:eastAsia="zh-CN"/>
              </w:rPr>
              <w:t xml:space="preserve"> </w:t>
            </w:r>
            <w:r w:rsidRPr="00341571">
              <w:rPr>
                <w:rFonts w:ascii="Book Antiqua" w:hAnsi="Book Antiqua" w:cs="Arial"/>
              </w:rPr>
              <w:t>=</w:t>
            </w:r>
            <w:r w:rsidR="00AF572F">
              <w:rPr>
                <w:rFonts w:ascii="Book Antiqua" w:eastAsia="宋体" w:hAnsi="Book Antiqua" w:cs="Arial" w:hint="eastAsia"/>
                <w:lang w:eastAsia="zh-CN"/>
              </w:rPr>
              <w:t xml:space="preserve"> </w:t>
            </w:r>
            <w:r w:rsidRPr="00341571">
              <w:rPr>
                <w:rFonts w:ascii="Book Antiqua" w:hAnsi="Book Antiqua" w:cs="Arial"/>
              </w:rPr>
              <w:t>195)</w:t>
            </w:r>
          </w:p>
        </w:tc>
        <w:tc>
          <w:tcPr>
            <w:tcW w:w="1667" w:type="dxa"/>
            <w:shd w:val="clear" w:color="auto" w:fill="auto"/>
            <w:vAlign w:val="center"/>
          </w:tcPr>
          <w:p w14:paraId="1ECD7A7F" w14:textId="77777777" w:rsidR="00C75B26" w:rsidRPr="00341571" w:rsidRDefault="00C75B26" w:rsidP="00341571">
            <w:pPr>
              <w:spacing w:line="360" w:lineRule="auto"/>
              <w:jc w:val="both"/>
              <w:rPr>
                <w:rFonts w:ascii="Book Antiqua" w:hAnsi="Book Antiqua" w:cs="Arial"/>
              </w:rPr>
            </w:pPr>
          </w:p>
        </w:tc>
      </w:tr>
      <w:tr w:rsidR="00341571" w:rsidRPr="00341571" w14:paraId="34AF9F8F" w14:textId="77777777" w:rsidTr="00AF572F">
        <w:tc>
          <w:tcPr>
            <w:tcW w:w="4994" w:type="dxa"/>
            <w:shd w:val="clear" w:color="auto" w:fill="auto"/>
            <w:vAlign w:val="center"/>
          </w:tcPr>
          <w:p w14:paraId="136116E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Positive</w:t>
            </w:r>
          </w:p>
        </w:tc>
        <w:tc>
          <w:tcPr>
            <w:tcW w:w="1667" w:type="dxa"/>
            <w:shd w:val="clear" w:color="auto" w:fill="auto"/>
            <w:vAlign w:val="center"/>
          </w:tcPr>
          <w:p w14:paraId="0EB79A85"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37 (19.0)</w:t>
            </w:r>
          </w:p>
        </w:tc>
      </w:tr>
      <w:tr w:rsidR="00AF572F" w:rsidRPr="00341571" w14:paraId="632FE666" w14:textId="77777777" w:rsidTr="00AF572F">
        <w:tc>
          <w:tcPr>
            <w:tcW w:w="4994" w:type="dxa"/>
            <w:shd w:val="clear" w:color="auto" w:fill="auto"/>
            <w:vAlign w:val="center"/>
          </w:tcPr>
          <w:p w14:paraId="5088F01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Negative</w:t>
            </w:r>
          </w:p>
        </w:tc>
        <w:tc>
          <w:tcPr>
            <w:tcW w:w="1667" w:type="dxa"/>
            <w:shd w:val="clear" w:color="auto" w:fill="auto"/>
            <w:vAlign w:val="center"/>
          </w:tcPr>
          <w:p w14:paraId="3070671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158 (81.0)</w:t>
            </w:r>
          </w:p>
        </w:tc>
      </w:tr>
    </w:tbl>
    <w:p w14:paraId="3FA6B95C" w14:textId="77777777" w:rsidR="00C75B26" w:rsidRPr="00341571" w:rsidRDefault="00C75B26" w:rsidP="00341571">
      <w:pPr>
        <w:spacing w:line="360" w:lineRule="auto"/>
        <w:jc w:val="both"/>
        <w:rPr>
          <w:rFonts w:ascii="Book Antiqua" w:hAnsi="Book Antiqua" w:cs="Arial"/>
          <w:b/>
        </w:rPr>
      </w:pPr>
    </w:p>
    <w:p w14:paraId="7A21E43F" w14:textId="77777777" w:rsidR="00C75B26" w:rsidRPr="00341571" w:rsidRDefault="00C75B26" w:rsidP="00341571">
      <w:pPr>
        <w:spacing w:line="360" w:lineRule="auto"/>
        <w:jc w:val="both"/>
        <w:rPr>
          <w:rFonts w:ascii="Book Antiqua" w:hAnsi="Book Antiqua" w:cs="Arial"/>
          <w:b/>
        </w:rPr>
      </w:pPr>
    </w:p>
    <w:p w14:paraId="013E3F53"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br w:type="page"/>
      </w:r>
    </w:p>
    <w:p w14:paraId="4C0FFF23" w14:textId="7590CA96" w:rsidR="00C75B26" w:rsidRPr="00341571" w:rsidRDefault="00E66973" w:rsidP="00341571">
      <w:pPr>
        <w:spacing w:line="360" w:lineRule="auto"/>
        <w:jc w:val="both"/>
        <w:rPr>
          <w:rFonts w:ascii="Book Antiqua" w:hAnsi="Book Antiqua" w:cs="Arial"/>
          <w:b/>
        </w:rPr>
      </w:pPr>
      <w:r>
        <w:rPr>
          <w:rFonts w:ascii="Book Antiqua" w:hAnsi="Book Antiqua" w:cs="Arial"/>
          <w:b/>
        </w:rPr>
        <w:lastRenderedPageBreak/>
        <w:t>Table 3</w:t>
      </w:r>
      <w:r w:rsidR="00C75B26" w:rsidRPr="00341571">
        <w:rPr>
          <w:rFonts w:ascii="Book Antiqua" w:hAnsi="Book Antiqua" w:cs="Arial"/>
          <w:b/>
        </w:rPr>
        <w:t xml:space="preserve"> First-line chemotherapy regime</w:t>
      </w:r>
    </w:p>
    <w:tbl>
      <w:tblPr>
        <w:tblStyle w:val="a3"/>
        <w:tblW w:w="0" w:type="auto"/>
        <w:tblLook w:val="04A0" w:firstRow="1" w:lastRow="0" w:firstColumn="1" w:lastColumn="0" w:noHBand="0" w:noVBand="1"/>
      </w:tblPr>
      <w:tblGrid>
        <w:gridCol w:w="6771"/>
        <w:gridCol w:w="1745"/>
      </w:tblGrid>
      <w:tr w:rsidR="00341571" w:rsidRPr="00341571" w14:paraId="12469CAF" w14:textId="77777777" w:rsidTr="00E66973">
        <w:tc>
          <w:tcPr>
            <w:tcW w:w="6771" w:type="dxa"/>
            <w:shd w:val="clear" w:color="auto" w:fill="auto"/>
            <w:vAlign w:val="center"/>
          </w:tcPr>
          <w:p w14:paraId="1CBBAD19" w14:textId="229EA584"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t>Chemotherapy regime (</w:t>
            </w:r>
            <w:r w:rsidRPr="00E66973">
              <w:rPr>
                <w:rFonts w:ascii="Book Antiqua" w:hAnsi="Book Antiqua" w:cs="Arial"/>
                <w:b/>
                <w:i/>
              </w:rPr>
              <w:t>n</w:t>
            </w:r>
            <w:r w:rsidR="00E66973">
              <w:rPr>
                <w:rFonts w:ascii="Book Antiqua" w:eastAsia="宋体" w:hAnsi="Book Antiqua" w:cs="Arial" w:hint="eastAsia"/>
                <w:b/>
                <w:lang w:eastAsia="zh-CN"/>
              </w:rPr>
              <w:t xml:space="preserve"> </w:t>
            </w:r>
            <w:r w:rsidRPr="00341571">
              <w:rPr>
                <w:rFonts w:ascii="Book Antiqua" w:hAnsi="Book Antiqua" w:cs="Arial"/>
                <w:b/>
              </w:rPr>
              <w:t>=</w:t>
            </w:r>
            <w:r w:rsidR="00E66973">
              <w:rPr>
                <w:rFonts w:ascii="Book Antiqua" w:eastAsia="宋体" w:hAnsi="Book Antiqua" w:cs="Arial" w:hint="eastAsia"/>
                <w:b/>
                <w:lang w:eastAsia="zh-CN"/>
              </w:rPr>
              <w:t xml:space="preserve"> </w:t>
            </w:r>
            <w:r w:rsidRPr="00341571">
              <w:rPr>
                <w:rFonts w:ascii="Book Antiqua" w:hAnsi="Book Antiqua" w:cs="Arial"/>
                <w:b/>
              </w:rPr>
              <w:t>171)</w:t>
            </w:r>
          </w:p>
        </w:tc>
        <w:tc>
          <w:tcPr>
            <w:tcW w:w="1745" w:type="dxa"/>
            <w:shd w:val="clear" w:color="auto" w:fill="auto"/>
            <w:vAlign w:val="center"/>
          </w:tcPr>
          <w:p w14:paraId="66EC4CAE" w14:textId="25540D16" w:rsidR="00C75B26" w:rsidRPr="00341571" w:rsidRDefault="00E66973" w:rsidP="00341571">
            <w:pPr>
              <w:spacing w:line="360" w:lineRule="auto"/>
              <w:jc w:val="both"/>
              <w:rPr>
                <w:rFonts w:ascii="Book Antiqua" w:hAnsi="Book Antiqua" w:cs="Arial"/>
                <w:b/>
              </w:rPr>
            </w:pPr>
            <w:r w:rsidRPr="00E66973">
              <w:rPr>
                <w:rFonts w:ascii="Book Antiqua" w:hAnsi="Book Antiqua" w:cs="Arial"/>
                <w:b/>
                <w:i/>
              </w:rPr>
              <w:t>n</w:t>
            </w:r>
            <w:r w:rsidR="00C75B26" w:rsidRPr="00341571">
              <w:rPr>
                <w:rFonts w:ascii="Book Antiqua" w:hAnsi="Book Antiqua" w:cs="Arial"/>
                <w:b/>
              </w:rPr>
              <w:t xml:space="preserve"> (%)</w:t>
            </w:r>
          </w:p>
        </w:tc>
      </w:tr>
      <w:tr w:rsidR="00341571" w:rsidRPr="00341571" w14:paraId="4B0EA2FC" w14:textId="77777777" w:rsidTr="00E66973">
        <w:trPr>
          <w:trHeight w:val="1237"/>
        </w:trPr>
        <w:tc>
          <w:tcPr>
            <w:tcW w:w="6771" w:type="dxa"/>
            <w:shd w:val="clear" w:color="auto" w:fill="auto"/>
            <w:vAlign w:val="center"/>
          </w:tcPr>
          <w:p w14:paraId="39F5A783"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 xml:space="preserve">Anthracycline + platinum-based agent + nucleotide analogue </w:t>
            </w:r>
          </w:p>
          <w:p w14:paraId="20282070"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Examples:</w:t>
            </w:r>
          </w:p>
          <w:p w14:paraId="3E7125FB"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epirubicin + cisplatin + 5-fluorouracil</w:t>
            </w:r>
          </w:p>
          <w:p w14:paraId="15CAD7FE"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epirubicin + oxaliplatin + 5-fluorouracil)</w:t>
            </w:r>
          </w:p>
        </w:tc>
        <w:tc>
          <w:tcPr>
            <w:tcW w:w="1745" w:type="dxa"/>
            <w:shd w:val="clear" w:color="auto" w:fill="auto"/>
            <w:vAlign w:val="center"/>
          </w:tcPr>
          <w:p w14:paraId="21CCDB8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13 (7.6)</w:t>
            </w:r>
          </w:p>
        </w:tc>
      </w:tr>
      <w:tr w:rsidR="00341571" w:rsidRPr="00341571" w14:paraId="24FA41F2" w14:textId="77777777" w:rsidTr="00E66973">
        <w:trPr>
          <w:trHeight w:val="838"/>
        </w:trPr>
        <w:tc>
          <w:tcPr>
            <w:tcW w:w="6771" w:type="dxa"/>
            <w:vAlign w:val="center"/>
          </w:tcPr>
          <w:p w14:paraId="0B8F6854"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 xml:space="preserve">Platinum-based agent + nucleotide analogue </w:t>
            </w:r>
          </w:p>
          <w:p w14:paraId="17A21CA2"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Examples:</w:t>
            </w:r>
          </w:p>
          <w:p w14:paraId="41313C95"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cisplatin + 5-fluorouracil</w:t>
            </w:r>
          </w:p>
          <w:p w14:paraId="18EDEFC8"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oxaliplatin + capecitabine</w:t>
            </w:r>
          </w:p>
          <w:p w14:paraId="7B14825A"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cisplatin + S-1</w:t>
            </w:r>
          </w:p>
        </w:tc>
        <w:tc>
          <w:tcPr>
            <w:tcW w:w="1745" w:type="dxa"/>
            <w:vAlign w:val="center"/>
          </w:tcPr>
          <w:p w14:paraId="5CD9A776"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97 (56.7)</w:t>
            </w:r>
          </w:p>
        </w:tc>
      </w:tr>
      <w:tr w:rsidR="00341571" w:rsidRPr="00341571" w14:paraId="258D9DA5" w14:textId="77777777" w:rsidTr="00E66973">
        <w:trPr>
          <w:trHeight w:val="850"/>
        </w:trPr>
        <w:tc>
          <w:tcPr>
            <w:tcW w:w="6771" w:type="dxa"/>
            <w:vAlign w:val="center"/>
          </w:tcPr>
          <w:p w14:paraId="2FC09FDB"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Nucleotide analogue monotherapy</w:t>
            </w:r>
          </w:p>
          <w:p w14:paraId="0BC15E37"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Examples:</w:t>
            </w:r>
          </w:p>
          <w:p w14:paraId="14482CAA"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5-fluorouracil</w:t>
            </w:r>
          </w:p>
          <w:p w14:paraId="2FE63094"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capecitabine</w:t>
            </w:r>
          </w:p>
          <w:p w14:paraId="2CE267CC"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S-1</w:t>
            </w:r>
          </w:p>
        </w:tc>
        <w:tc>
          <w:tcPr>
            <w:tcW w:w="1745" w:type="dxa"/>
            <w:vAlign w:val="center"/>
          </w:tcPr>
          <w:p w14:paraId="04B4C246"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30 (17.5)</w:t>
            </w:r>
          </w:p>
        </w:tc>
      </w:tr>
      <w:tr w:rsidR="00341571" w:rsidRPr="00341571" w14:paraId="34EB5E3E" w14:textId="77777777" w:rsidTr="00E66973">
        <w:trPr>
          <w:trHeight w:val="93"/>
        </w:trPr>
        <w:tc>
          <w:tcPr>
            <w:tcW w:w="6771" w:type="dxa"/>
            <w:vAlign w:val="center"/>
          </w:tcPr>
          <w:p w14:paraId="44E58ED8" w14:textId="77777777" w:rsidR="00C75B26" w:rsidRPr="00534EFD" w:rsidRDefault="00C75B26" w:rsidP="00341571">
            <w:pPr>
              <w:spacing w:line="360" w:lineRule="auto"/>
              <w:jc w:val="both"/>
              <w:rPr>
                <w:rFonts w:ascii="Book Antiqua" w:hAnsi="Book Antiqua" w:cs="Arial"/>
              </w:rPr>
            </w:pPr>
            <w:r w:rsidRPr="00534EFD">
              <w:rPr>
                <w:rFonts w:ascii="Book Antiqua" w:hAnsi="Book Antiqua" w:cs="Arial"/>
              </w:rPr>
              <w:t>FOLFOX (5-fluorouracil + leucovorin + oxaliplatin)</w:t>
            </w:r>
          </w:p>
        </w:tc>
        <w:tc>
          <w:tcPr>
            <w:tcW w:w="1745" w:type="dxa"/>
            <w:vAlign w:val="center"/>
          </w:tcPr>
          <w:p w14:paraId="35A5CE6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24 (14.0)</w:t>
            </w:r>
          </w:p>
        </w:tc>
      </w:tr>
      <w:tr w:rsidR="00E66973" w:rsidRPr="00341571" w14:paraId="02B45D91" w14:textId="77777777" w:rsidTr="00E66973">
        <w:tc>
          <w:tcPr>
            <w:tcW w:w="6771" w:type="dxa"/>
            <w:vAlign w:val="center"/>
          </w:tcPr>
          <w:p w14:paraId="448B45CB" w14:textId="70B5ACD1" w:rsidR="00C75B26" w:rsidRPr="00534EFD" w:rsidRDefault="00C75B26" w:rsidP="00341571">
            <w:pPr>
              <w:spacing w:line="360" w:lineRule="auto"/>
              <w:jc w:val="both"/>
              <w:rPr>
                <w:rFonts w:ascii="Book Antiqua" w:hAnsi="Book Antiqua" w:cs="Arial"/>
              </w:rPr>
            </w:pPr>
            <w:r w:rsidRPr="00534EFD">
              <w:rPr>
                <w:rFonts w:ascii="Book Antiqua" w:hAnsi="Book Antiqua" w:cs="Arial"/>
              </w:rPr>
              <w:t xml:space="preserve">Other regimes </w:t>
            </w:r>
            <w:r w:rsidR="00193C8F" w:rsidRPr="00534EFD">
              <w:rPr>
                <w:rFonts w:ascii="Book Antiqua" w:hAnsi="Book Antiqua" w:cs="Arial"/>
              </w:rPr>
              <w:t>(</w:t>
            </w:r>
            <w:r w:rsidR="00193C8F" w:rsidRPr="00534EFD">
              <w:rPr>
                <w:rFonts w:ascii="Book Antiqua" w:hAnsi="Book Antiqua" w:cs="Arial"/>
                <w:i/>
              </w:rPr>
              <w:t>e.g</w:t>
            </w:r>
            <w:r w:rsidR="00534EFD" w:rsidRPr="00534EFD">
              <w:rPr>
                <w:rFonts w:ascii="Book Antiqua" w:eastAsia="宋体" w:hAnsi="Book Antiqua" w:cs="Arial" w:hint="eastAsia"/>
                <w:i/>
                <w:lang w:eastAsia="zh-CN"/>
              </w:rPr>
              <w:t>.</w:t>
            </w:r>
            <w:r w:rsidR="00534EFD">
              <w:rPr>
                <w:rFonts w:ascii="Book Antiqua" w:eastAsia="宋体" w:hAnsi="Book Antiqua" w:cs="Arial" w:hint="eastAsia"/>
                <w:lang w:eastAsia="zh-CN"/>
              </w:rPr>
              <w:t>,</w:t>
            </w:r>
            <w:r w:rsidR="00193C8F" w:rsidRPr="00534EFD">
              <w:rPr>
                <w:rFonts w:ascii="Book Antiqua" w:hAnsi="Book Antiqua" w:cs="Arial"/>
              </w:rPr>
              <w:t xml:space="preserve"> </w:t>
            </w:r>
            <w:r w:rsidRPr="00534EFD">
              <w:rPr>
                <w:rFonts w:ascii="Book Antiqua" w:hAnsi="Book Antiqua" w:cs="Arial"/>
              </w:rPr>
              <w:t>Docetaxel</w:t>
            </w:r>
            <w:r w:rsidR="00534EFD">
              <w:rPr>
                <w:rFonts w:ascii="Book Antiqua" w:eastAsia="宋体" w:hAnsi="Book Antiqua" w:cs="Arial" w:hint="eastAsia"/>
                <w:lang w:eastAsia="zh-CN"/>
              </w:rPr>
              <w:t xml:space="preserve"> </w:t>
            </w:r>
            <w:r w:rsidRPr="00534EFD">
              <w:rPr>
                <w:rFonts w:ascii="Book Antiqua" w:hAnsi="Book Antiqua" w:cs="Arial"/>
              </w:rPr>
              <w:t>+</w:t>
            </w:r>
            <w:r w:rsidR="00534EFD">
              <w:rPr>
                <w:rFonts w:ascii="Book Antiqua" w:eastAsia="宋体" w:hAnsi="Book Antiqua" w:cs="Arial" w:hint="eastAsia"/>
                <w:lang w:eastAsia="zh-CN"/>
              </w:rPr>
              <w:t xml:space="preserve"> </w:t>
            </w:r>
            <w:r w:rsidRPr="00534EFD">
              <w:rPr>
                <w:rFonts w:ascii="Book Antiqua" w:hAnsi="Book Antiqua" w:cs="Arial"/>
              </w:rPr>
              <w:t>cisplatin</w:t>
            </w:r>
            <w:r w:rsidR="00534EFD">
              <w:rPr>
                <w:rFonts w:ascii="Book Antiqua" w:eastAsia="宋体" w:hAnsi="Book Antiqua" w:cs="Arial" w:hint="eastAsia"/>
                <w:lang w:eastAsia="zh-CN"/>
              </w:rPr>
              <w:t xml:space="preserve"> </w:t>
            </w:r>
            <w:r w:rsidRPr="00534EFD">
              <w:rPr>
                <w:rFonts w:ascii="Book Antiqua" w:hAnsi="Book Antiqua" w:cs="Arial"/>
              </w:rPr>
              <w:t>+</w:t>
            </w:r>
            <w:r w:rsidR="00534EFD">
              <w:rPr>
                <w:rFonts w:ascii="Book Antiqua" w:eastAsia="宋体" w:hAnsi="Book Antiqua" w:cs="Arial" w:hint="eastAsia"/>
                <w:lang w:eastAsia="zh-CN"/>
              </w:rPr>
              <w:t xml:space="preserve"> </w:t>
            </w:r>
            <w:r w:rsidRPr="00534EFD">
              <w:rPr>
                <w:rFonts w:ascii="Book Antiqua" w:hAnsi="Book Antiqua" w:cs="Arial"/>
              </w:rPr>
              <w:t>5FU</w:t>
            </w:r>
            <w:r w:rsidR="00193C8F" w:rsidRPr="00534EFD">
              <w:rPr>
                <w:rFonts w:ascii="Book Antiqua" w:hAnsi="Book Antiqua" w:cs="Arial"/>
              </w:rPr>
              <w:t>)</w:t>
            </w:r>
          </w:p>
        </w:tc>
        <w:tc>
          <w:tcPr>
            <w:tcW w:w="1745" w:type="dxa"/>
            <w:vAlign w:val="center"/>
          </w:tcPr>
          <w:p w14:paraId="2E014B5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7 (4.2)</w:t>
            </w:r>
          </w:p>
        </w:tc>
      </w:tr>
    </w:tbl>
    <w:p w14:paraId="5C763B0C" w14:textId="77777777" w:rsidR="00C75B26" w:rsidRPr="00341571" w:rsidRDefault="00C75B26" w:rsidP="00341571">
      <w:pPr>
        <w:spacing w:line="360" w:lineRule="auto"/>
        <w:jc w:val="both"/>
        <w:rPr>
          <w:rFonts w:ascii="Book Antiqua" w:hAnsi="Book Antiqua" w:cs="Arial"/>
          <w:b/>
        </w:rPr>
      </w:pPr>
    </w:p>
    <w:p w14:paraId="3EC41E1E"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br w:type="page"/>
      </w:r>
    </w:p>
    <w:p w14:paraId="04C43ED1" w14:textId="01B83126" w:rsidR="00C75B26" w:rsidRPr="00341571" w:rsidRDefault="00534EFD" w:rsidP="00341571">
      <w:pPr>
        <w:spacing w:line="360" w:lineRule="auto"/>
        <w:jc w:val="both"/>
        <w:rPr>
          <w:rFonts w:ascii="Book Antiqua" w:hAnsi="Book Antiqua" w:cs="Arial"/>
          <w:b/>
        </w:rPr>
      </w:pPr>
      <w:r>
        <w:rPr>
          <w:rFonts w:ascii="Book Antiqua" w:hAnsi="Book Antiqua" w:cs="Arial"/>
          <w:b/>
        </w:rPr>
        <w:lastRenderedPageBreak/>
        <w:t>Table 4</w:t>
      </w:r>
      <w:r w:rsidR="00C75B26" w:rsidRPr="00341571">
        <w:rPr>
          <w:rFonts w:ascii="Book Antiqua" w:hAnsi="Book Antiqua" w:cs="Arial"/>
          <w:b/>
        </w:rPr>
        <w:t xml:space="preserve"> Reasons requiring unplanned hospitalizations</w:t>
      </w:r>
    </w:p>
    <w:tbl>
      <w:tblPr>
        <w:tblStyle w:val="a3"/>
        <w:tblW w:w="0" w:type="auto"/>
        <w:tblLook w:val="04A0" w:firstRow="1" w:lastRow="0" w:firstColumn="1" w:lastColumn="0" w:noHBand="0" w:noVBand="1"/>
      </w:tblPr>
      <w:tblGrid>
        <w:gridCol w:w="4994"/>
        <w:gridCol w:w="1667"/>
      </w:tblGrid>
      <w:tr w:rsidR="00341571" w:rsidRPr="00341571" w14:paraId="54196DA5" w14:textId="77777777" w:rsidTr="00534EFD">
        <w:tc>
          <w:tcPr>
            <w:tcW w:w="4994" w:type="dxa"/>
            <w:shd w:val="clear" w:color="auto" w:fill="auto"/>
            <w:vAlign w:val="center"/>
          </w:tcPr>
          <w:p w14:paraId="77AA8A33" w14:textId="4217AF52" w:rsidR="00C75B26" w:rsidRPr="00341571" w:rsidRDefault="00193C8F" w:rsidP="00341571">
            <w:pPr>
              <w:spacing w:line="360" w:lineRule="auto"/>
              <w:jc w:val="both"/>
              <w:rPr>
                <w:rFonts w:ascii="Book Antiqua" w:hAnsi="Book Antiqua" w:cs="Arial"/>
                <w:b/>
              </w:rPr>
            </w:pPr>
            <w:r w:rsidRPr="00341571">
              <w:rPr>
                <w:rFonts w:ascii="Book Antiqua" w:hAnsi="Book Antiqua" w:cs="Arial"/>
                <w:b/>
              </w:rPr>
              <w:t>Reason</w:t>
            </w:r>
            <w:r w:rsidR="00C75B26" w:rsidRPr="00341571">
              <w:rPr>
                <w:rFonts w:ascii="Book Antiqua" w:hAnsi="Book Antiqua" w:cs="Arial"/>
                <w:b/>
              </w:rPr>
              <w:t xml:space="preserve"> (</w:t>
            </w:r>
            <w:r w:rsidR="00534EFD" w:rsidRPr="00E66973">
              <w:rPr>
                <w:rFonts w:ascii="Book Antiqua" w:hAnsi="Book Antiqua" w:cs="Arial"/>
                <w:b/>
                <w:i/>
              </w:rPr>
              <w:t>n</w:t>
            </w:r>
            <w:r w:rsidR="00534EFD">
              <w:rPr>
                <w:rFonts w:ascii="Book Antiqua" w:eastAsia="宋体" w:hAnsi="Book Antiqua" w:cs="Arial" w:hint="eastAsia"/>
                <w:b/>
                <w:lang w:eastAsia="zh-CN"/>
              </w:rPr>
              <w:t xml:space="preserve"> </w:t>
            </w:r>
            <w:r w:rsidR="00C75B26" w:rsidRPr="00341571">
              <w:rPr>
                <w:rFonts w:ascii="Book Antiqua" w:hAnsi="Book Antiqua" w:cs="Arial"/>
                <w:b/>
              </w:rPr>
              <w:t>=</w:t>
            </w:r>
            <w:r w:rsidR="00534EFD">
              <w:rPr>
                <w:rFonts w:ascii="Book Antiqua" w:eastAsia="宋体" w:hAnsi="Book Antiqua" w:cs="Arial" w:hint="eastAsia"/>
                <w:b/>
                <w:lang w:eastAsia="zh-CN"/>
              </w:rPr>
              <w:t xml:space="preserve"> </w:t>
            </w:r>
            <w:r w:rsidR="00C75B26" w:rsidRPr="00341571">
              <w:rPr>
                <w:rFonts w:ascii="Book Antiqua" w:hAnsi="Book Antiqua" w:cs="Arial"/>
                <w:b/>
              </w:rPr>
              <w:t>201)</w:t>
            </w:r>
          </w:p>
        </w:tc>
        <w:tc>
          <w:tcPr>
            <w:tcW w:w="1667" w:type="dxa"/>
            <w:shd w:val="clear" w:color="auto" w:fill="auto"/>
            <w:vAlign w:val="center"/>
          </w:tcPr>
          <w:p w14:paraId="6484C228" w14:textId="2299F543" w:rsidR="00C75B26" w:rsidRPr="00341571" w:rsidRDefault="00534EFD" w:rsidP="00341571">
            <w:pPr>
              <w:spacing w:line="360" w:lineRule="auto"/>
              <w:jc w:val="both"/>
              <w:rPr>
                <w:rFonts w:ascii="Book Antiqua" w:hAnsi="Book Antiqua" w:cs="Arial"/>
                <w:b/>
              </w:rPr>
            </w:pPr>
            <w:r w:rsidRPr="00E66973">
              <w:rPr>
                <w:rFonts w:ascii="Book Antiqua" w:hAnsi="Book Antiqua" w:cs="Arial"/>
                <w:b/>
                <w:i/>
              </w:rPr>
              <w:t>n</w:t>
            </w:r>
            <w:r w:rsidR="00C75B26" w:rsidRPr="00341571">
              <w:rPr>
                <w:rFonts w:ascii="Book Antiqua" w:hAnsi="Book Antiqua" w:cs="Arial"/>
                <w:b/>
              </w:rPr>
              <w:t xml:space="preserve"> (%)</w:t>
            </w:r>
          </w:p>
        </w:tc>
      </w:tr>
      <w:tr w:rsidR="00341571" w:rsidRPr="00341571" w14:paraId="4BD51956" w14:textId="77777777" w:rsidTr="00534EFD">
        <w:tc>
          <w:tcPr>
            <w:tcW w:w="4994" w:type="dxa"/>
            <w:shd w:val="clear" w:color="auto" w:fill="auto"/>
            <w:vAlign w:val="center"/>
          </w:tcPr>
          <w:p w14:paraId="6E90291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Symptomatic ascites</w:t>
            </w:r>
          </w:p>
        </w:tc>
        <w:tc>
          <w:tcPr>
            <w:tcW w:w="1667" w:type="dxa"/>
            <w:shd w:val="clear" w:color="auto" w:fill="auto"/>
            <w:vAlign w:val="center"/>
          </w:tcPr>
          <w:p w14:paraId="2B85ECA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64 (31.8)</w:t>
            </w:r>
          </w:p>
        </w:tc>
      </w:tr>
      <w:tr w:rsidR="00341571" w:rsidRPr="00341571" w14:paraId="7961CBF2" w14:textId="77777777" w:rsidTr="00534EFD">
        <w:tc>
          <w:tcPr>
            <w:tcW w:w="4994" w:type="dxa"/>
            <w:shd w:val="clear" w:color="auto" w:fill="auto"/>
            <w:vAlign w:val="center"/>
          </w:tcPr>
          <w:p w14:paraId="4939E17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Sepsis</w:t>
            </w:r>
          </w:p>
        </w:tc>
        <w:tc>
          <w:tcPr>
            <w:tcW w:w="1667" w:type="dxa"/>
            <w:shd w:val="clear" w:color="auto" w:fill="auto"/>
            <w:vAlign w:val="center"/>
          </w:tcPr>
          <w:p w14:paraId="4C8A86C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64 (31.8)</w:t>
            </w:r>
          </w:p>
        </w:tc>
      </w:tr>
      <w:tr w:rsidR="00341571" w:rsidRPr="00341571" w14:paraId="37575223" w14:textId="77777777" w:rsidTr="00534EFD">
        <w:tc>
          <w:tcPr>
            <w:tcW w:w="4994" w:type="dxa"/>
            <w:shd w:val="clear" w:color="auto" w:fill="auto"/>
            <w:vAlign w:val="center"/>
          </w:tcPr>
          <w:p w14:paraId="37D9F794"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Gastric outlet obstruction</w:t>
            </w:r>
          </w:p>
        </w:tc>
        <w:tc>
          <w:tcPr>
            <w:tcW w:w="1667" w:type="dxa"/>
            <w:shd w:val="clear" w:color="auto" w:fill="auto"/>
            <w:vAlign w:val="center"/>
          </w:tcPr>
          <w:p w14:paraId="3FFBBB90"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60 (29.9)</w:t>
            </w:r>
          </w:p>
        </w:tc>
      </w:tr>
      <w:tr w:rsidR="00341571" w:rsidRPr="00341571" w14:paraId="61FB778E" w14:textId="77777777" w:rsidTr="00534EFD">
        <w:tc>
          <w:tcPr>
            <w:tcW w:w="4994" w:type="dxa"/>
            <w:shd w:val="clear" w:color="auto" w:fill="auto"/>
            <w:vAlign w:val="center"/>
          </w:tcPr>
          <w:p w14:paraId="2BF6E5D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Bleeding GIT</w:t>
            </w:r>
          </w:p>
        </w:tc>
        <w:tc>
          <w:tcPr>
            <w:tcW w:w="1667" w:type="dxa"/>
            <w:shd w:val="clear" w:color="auto" w:fill="auto"/>
            <w:vAlign w:val="center"/>
          </w:tcPr>
          <w:p w14:paraId="39DCAD9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60 (29.9)</w:t>
            </w:r>
          </w:p>
        </w:tc>
      </w:tr>
      <w:tr w:rsidR="00341571" w:rsidRPr="00341571" w14:paraId="5B637A59" w14:textId="77777777" w:rsidTr="00534EFD">
        <w:tc>
          <w:tcPr>
            <w:tcW w:w="4994" w:type="dxa"/>
            <w:shd w:val="clear" w:color="auto" w:fill="auto"/>
            <w:vAlign w:val="center"/>
          </w:tcPr>
          <w:p w14:paraId="0726614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Intestinal obstruction</w:t>
            </w:r>
          </w:p>
        </w:tc>
        <w:tc>
          <w:tcPr>
            <w:tcW w:w="1667" w:type="dxa"/>
            <w:shd w:val="clear" w:color="auto" w:fill="auto"/>
            <w:vAlign w:val="center"/>
          </w:tcPr>
          <w:p w14:paraId="666F6AD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59 (29.4)</w:t>
            </w:r>
          </w:p>
        </w:tc>
      </w:tr>
      <w:tr w:rsidR="00341571" w:rsidRPr="00341571" w14:paraId="08CC8ED6" w14:textId="77777777" w:rsidTr="00534EFD">
        <w:tc>
          <w:tcPr>
            <w:tcW w:w="4994" w:type="dxa"/>
            <w:shd w:val="clear" w:color="auto" w:fill="auto"/>
            <w:vAlign w:val="center"/>
          </w:tcPr>
          <w:p w14:paraId="12598EE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Chemotherapy-related toxicity</w:t>
            </w:r>
          </w:p>
        </w:tc>
        <w:tc>
          <w:tcPr>
            <w:tcW w:w="1667" w:type="dxa"/>
            <w:shd w:val="clear" w:color="auto" w:fill="auto"/>
            <w:vAlign w:val="center"/>
          </w:tcPr>
          <w:p w14:paraId="10CC4DA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23 (11.4)</w:t>
            </w:r>
          </w:p>
        </w:tc>
      </w:tr>
      <w:tr w:rsidR="00341571" w:rsidRPr="00341571" w14:paraId="4FA235D5" w14:textId="77777777" w:rsidTr="00534EFD">
        <w:tc>
          <w:tcPr>
            <w:tcW w:w="4994" w:type="dxa"/>
            <w:shd w:val="clear" w:color="auto" w:fill="auto"/>
            <w:vAlign w:val="center"/>
          </w:tcPr>
          <w:p w14:paraId="2A9068E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Obstructive jaundice</w:t>
            </w:r>
          </w:p>
        </w:tc>
        <w:tc>
          <w:tcPr>
            <w:tcW w:w="1667" w:type="dxa"/>
            <w:shd w:val="clear" w:color="auto" w:fill="auto"/>
            <w:vAlign w:val="center"/>
          </w:tcPr>
          <w:p w14:paraId="01164D5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17 (8.5)</w:t>
            </w:r>
          </w:p>
        </w:tc>
      </w:tr>
      <w:tr w:rsidR="00341571" w:rsidRPr="00341571" w14:paraId="42DF27F1" w14:textId="77777777" w:rsidTr="00534EFD">
        <w:tc>
          <w:tcPr>
            <w:tcW w:w="4994" w:type="dxa"/>
            <w:shd w:val="clear" w:color="auto" w:fill="auto"/>
            <w:vAlign w:val="center"/>
          </w:tcPr>
          <w:p w14:paraId="1CF818C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Obstructive uropathy</w:t>
            </w:r>
          </w:p>
        </w:tc>
        <w:tc>
          <w:tcPr>
            <w:tcW w:w="1667" w:type="dxa"/>
            <w:shd w:val="clear" w:color="auto" w:fill="auto"/>
            <w:vAlign w:val="center"/>
          </w:tcPr>
          <w:p w14:paraId="74DC4F6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17 (8.5)</w:t>
            </w:r>
          </w:p>
        </w:tc>
      </w:tr>
      <w:tr w:rsidR="00534EFD" w:rsidRPr="00341571" w14:paraId="3B5932E2" w14:textId="77777777" w:rsidTr="00534EFD">
        <w:tc>
          <w:tcPr>
            <w:tcW w:w="4994" w:type="dxa"/>
            <w:shd w:val="clear" w:color="auto" w:fill="auto"/>
            <w:vAlign w:val="center"/>
          </w:tcPr>
          <w:p w14:paraId="060C166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Tumour perforation</w:t>
            </w:r>
          </w:p>
        </w:tc>
        <w:tc>
          <w:tcPr>
            <w:tcW w:w="1667" w:type="dxa"/>
            <w:shd w:val="clear" w:color="auto" w:fill="auto"/>
            <w:vAlign w:val="center"/>
          </w:tcPr>
          <w:p w14:paraId="18C43CB2"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7 (3.5)</w:t>
            </w:r>
          </w:p>
        </w:tc>
      </w:tr>
    </w:tbl>
    <w:p w14:paraId="6801E71C" w14:textId="77777777" w:rsidR="00C75B26" w:rsidRPr="00341571" w:rsidRDefault="00C75B26" w:rsidP="00341571">
      <w:pPr>
        <w:spacing w:line="360" w:lineRule="auto"/>
        <w:jc w:val="both"/>
        <w:rPr>
          <w:rFonts w:ascii="Book Antiqua" w:hAnsi="Book Antiqua" w:cs="Arial"/>
          <w:b/>
        </w:rPr>
      </w:pPr>
    </w:p>
    <w:p w14:paraId="2C0C034D"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br w:type="page"/>
      </w:r>
    </w:p>
    <w:p w14:paraId="63E76A8D" w14:textId="75F3BEEB" w:rsidR="00C75B26" w:rsidRPr="00341571" w:rsidRDefault="00534EFD" w:rsidP="00341571">
      <w:pPr>
        <w:spacing w:line="360" w:lineRule="auto"/>
        <w:jc w:val="both"/>
        <w:rPr>
          <w:rFonts w:ascii="Book Antiqua" w:hAnsi="Book Antiqua" w:cs="Arial"/>
          <w:b/>
        </w:rPr>
      </w:pPr>
      <w:r>
        <w:rPr>
          <w:rFonts w:ascii="Book Antiqua" w:hAnsi="Book Antiqua" w:cs="Arial"/>
          <w:b/>
        </w:rPr>
        <w:lastRenderedPageBreak/>
        <w:t>Table 5</w:t>
      </w:r>
      <w:r w:rsidR="00C75B26" w:rsidRPr="00341571">
        <w:rPr>
          <w:rFonts w:ascii="Book Antiqua" w:hAnsi="Book Antiqua" w:cs="Arial"/>
          <w:b/>
        </w:rPr>
        <w:t xml:space="preserve"> Therapeutic interventions required</w:t>
      </w:r>
    </w:p>
    <w:tbl>
      <w:tblPr>
        <w:tblStyle w:val="a3"/>
        <w:tblW w:w="8516" w:type="dxa"/>
        <w:tblLook w:val="04A0" w:firstRow="1" w:lastRow="0" w:firstColumn="1" w:lastColumn="0" w:noHBand="0" w:noVBand="1"/>
      </w:tblPr>
      <w:tblGrid>
        <w:gridCol w:w="2868"/>
        <w:gridCol w:w="4013"/>
        <w:gridCol w:w="1635"/>
      </w:tblGrid>
      <w:tr w:rsidR="00341571" w:rsidRPr="00341571" w14:paraId="7662B36F" w14:textId="77777777" w:rsidTr="00534EFD">
        <w:tc>
          <w:tcPr>
            <w:tcW w:w="2868" w:type="dxa"/>
            <w:shd w:val="clear" w:color="auto" w:fill="auto"/>
            <w:vAlign w:val="center"/>
          </w:tcPr>
          <w:p w14:paraId="3FEF8B4C"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t>Treatment category</w:t>
            </w:r>
          </w:p>
        </w:tc>
        <w:tc>
          <w:tcPr>
            <w:tcW w:w="4013" w:type="dxa"/>
            <w:shd w:val="clear" w:color="auto" w:fill="auto"/>
            <w:vAlign w:val="center"/>
          </w:tcPr>
          <w:p w14:paraId="63BFC7E9"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t>Treatment</w:t>
            </w:r>
          </w:p>
        </w:tc>
        <w:tc>
          <w:tcPr>
            <w:tcW w:w="1635" w:type="dxa"/>
            <w:shd w:val="clear" w:color="auto" w:fill="auto"/>
            <w:vAlign w:val="center"/>
          </w:tcPr>
          <w:p w14:paraId="4F6525A9" w14:textId="72D0A0AB" w:rsidR="00C75B26" w:rsidRPr="00341571" w:rsidRDefault="00534EFD" w:rsidP="00341571">
            <w:pPr>
              <w:spacing w:line="360" w:lineRule="auto"/>
              <w:jc w:val="both"/>
              <w:rPr>
                <w:rFonts w:ascii="Book Antiqua" w:hAnsi="Book Antiqua" w:cs="Arial"/>
                <w:b/>
              </w:rPr>
            </w:pPr>
            <w:r w:rsidRPr="00534EFD">
              <w:rPr>
                <w:rFonts w:ascii="Book Antiqua" w:eastAsia="宋体" w:hAnsi="Book Antiqua" w:cs="Arial" w:hint="eastAsia"/>
                <w:b/>
                <w:i/>
                <w:lang w:eastAsia="zh-CN"/>
              </w:rPr>
              <w:t>n</w:t>
            </w:r>
            <w:r w:rsidR="00C75B26" w:rsidRPr="00341571">
              <w:rPr>
                <w:rFonts w:ascii="Book Antiqua" w:hAnsi="Book Antiqua" w:cs="Arial"/>
                <w:b/>
              </w:rPr>
              <w:t xml:space="preserve"> (%)</w:t>
            </w:r>
          </w:p>
        </w:tc>
      </w:tr>
      <w:tr w:rsidR="00341571" w:rsidRPr="00341571" w14:paraId="37FCC947" w14:textId="77777777" w:rsidTr="00534EFD">
        <w:tc>
          <w:tcPr>
            <w:tcW w:w="2868" w:type="dxa"/>
            <w:vMerge w:val="restart"/>
            <w:shd w:val="clear" w:color="auto" w:fill="auto"/>
            <w:vAlign w:val="center"/>
          </w:tcPr>
          <w:p w14:paraId="438AB0DF"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Surgery</w:t>
            </w:r>
          </w:p>
          <w:p w14:paraId="3AB0251E" w14:textId="137CB02C" w:rsidR="00C75B26" w:rsidRPr="00341571" w:rsidRDefault="00534EFD" w:rsidP="00341571">
            <w:pPr>
              <w:spacing w:line="360" w:lineRule="auto"/>
              <w:jc w:val="both"/>
              <w:rPr>
                <w:rFonts w:ascii="Book Antiqua" w:hAnsi="Book Antiqua" w:cs="Arial"/>
              </w:rPr>
            </w:pPr>
            <w:r w:rsidRPr="00534EFD">
              <w:rPr>
                <w:rFonts w:ascii="Book Antiqua" w:hAnsi="Book Antiqua" w:cs="Arial"/>
                <w:i/>
              </w:rPr>
              <w:t>n</w:t>
            </w:r>
            <w:r>
              <w:rPr>
                <w:rFonts w:ascii="Book Antiqua" w:eastAsia="宋体" w:hAnsi="Book Antiqua" w:cs="Arial" w:hint="eastAsia"/>
                <w:lang w:eastAsia="zh-CN"/>
              </w:rPr>
              <w:t xml:space="preserve"> </w:t>
            </w:r>
            <w:r w:rsidRPr="00341571">
              <w:rPr>
                <w:rFonts w:ascii="Book Antiqua" w:hAnsi="Book Antiqua" w:cs="Arial"/>
              </w:rPr>
              <w:t>=</w:t>
            </w:r>
            <w:r>
              <w:rPr>
                <w:rFonts w:ascii="Book Antiqua" w:eastAsia="宋体" w:hAnsi="Book Antiqua" w:cs="Arial" w:hint="eastAsia"/>
                <w:lang w:eastAsia="zh-CN"/>
              </w:rPr>
              <w:t xml:space="preserve"> </w:t>
            </w:r>
            <w:r w:rsidR="00C75B26" w:rsidRPr="00341571">
              <w:rPr>
                <w:rFonts w:ascii="Book Antiqua" w:hAnsi="Book Antiqua" w:cs="Arial"/>
              </w:rPr>
              <w:t>89 (32.8%)</w:t>
            </w:r>
          </w:p>
        </w:tc>
        <w:tc>
          <w:tcPr>
            <w:tcW w:w="4013" w:type="dxa"/>
            <w:shd w:val="clear" w:color="auto" w:fill="auto"/>
            <w:vAlign w:val="center"/>
          </w:tcPr>
          <w:p w14:paraId="128CBC0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Palliative gastrectomy</w:t>
            </w:r>
          </w:p>
        </w:tc>
        <w:tc>
          <w:tcPr>
            <w:tcW w:w="1635" w:type="dxa"/>
            <w:shd w:val="clear" w:color="auto" w:fill="auto"/>
            <w:vAlign w:val="center"/>
          </w:tcPr>
          <w:p w14:paraId="3C162100"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32 (36.0)</w:t>
            </w:r>
          </w:p>
        </w:tc>
      </w:tr>
      <w:tr w:rsidR="00341571" w:rsidRPr="00341571" w14:paraId="4ED7EF83" w14:textId="77777777" w:rsidTr="00534EFD">
        <w:tc>
          <w:tcPr>
            <w:tcW w:w="2868" w:type="dxa"/>
            <w:vMerge/>
            <w:shd w:val="clear" w:color="auto" w:fill="auto"/>
            <w:vAlign w:val="center"/>
          </w:tcPr>
          <w:p w14:paraId="77C27F2F"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7B96187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Surgical bypass</w:t>
            </w:r>
          </w:p>
        </w:tc>
        <w:tc>
          <w:tcPr>
            <w:tcW w:w="1635" w:type="dxa"/>
            <w:shd w:val="clear" w:color="auto" w:fill="auto"/>
            <w:vAlign w:val="center"/>
          </w:tcPr>
          <w:p w14:paraId="4835B11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46 (51.7)</w:t>
            </w:r>
          </w:p>
        </w:tc>
      </w:tr>
      <w:tr w:rsidR="00341571" w:rsidRPr="00341571" w14:paraId="0004A79B" w14:textId="77777777" w:rsidTr="00534EFD">
        <w:tc>
          <w:tcPr>
            <w:tcW w:w="2868" w:type="dxa"/>
            <w:vMerge/>
            <w:shd w:val="clear" w:color="auto" w:fill="auto"/>
            <w:vAlign w:val="center"/>
          </w:tcPr>
          <w:p w14:paraId="4D0C4FDA"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6C60412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Open gastrostomy</w:t>
            </w:r>
          </w:p>
        </w:tc>
        <w:tc>
          <w:tcPr>
            <w:tcW w:w="1635" w:type="dxa"/>
            <w:shd w:val="clear" w:color="auto" w:fill="auto"/>
            <w:vAlign w:val="center"/>
          </w:tcPr>
          <w:p w14:paraId="43B1332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 (2.2)</w:t>
            </w:r>
          </w:p>
        </w:tc>
      </w:tr>
      <w:tr w:rsidR="00341571" w:rsidRPr="00341571" w14:paraId="61642C0B" w14:textId="77777777" w:rsidTr="00534EFD">
        <w:tc>
          <w:tcPr>
            <w:tcW w:w="2868" w:type="dxa"/>
            <w:vMerge/>
            <w:shd w:val="clear" w:color="auto" w:fill="auto"/>
            <w:vAlign w:val="center"/>
          </w:tcPr>
          <w:p w14:paraId="4D9E9483"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57B45010"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Feeding jejunostomy</w:t>
            </w:r>
          </w:p>
        </w:tc>
        <w:tc>
          <w:tcPr>
            <w:tcW w:w="1635" w:type="dxa"/>
            <w:shd w:val="clear" w:color="auto" w:fill="auto"/>
            <w:vAlign w:val="center"/>
          </w:tcPr>
          <w:p w14:paraId="3B7061C9"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5 (5.6)</w:t>
            </w:r>
          </w:p>
        </w:tc>
      </w:tr>
      <w:tr w:rsidR="00341571" w:rsidRPr="00341571" w14:paraId="5A0195F8" w14:textId="77777777" w:rsidTr="00534EFD">
        <w:tc>
          <w:tcPr>
            <w:tcW w:w="2868" w:type="dxa"/>
            <w:vMerge/>
            <w:shd w:val="clear" w:color="auto" w:fill="auto"/>
            <w:vAlign w:val="center"/>
          </w:tcPr>
          <w:p w14:paraId="5AFA7B89"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566212E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Cytoreductive surgery and HIPEC</w:t>
            </w:r>
          </w:p>
        </w:tc>
        <w:tc>
          <w:tcPr>
            <w:tcW w:w="1635" w:type="dxa"/>
            <w:shd w:val="clear" w:color="auto" w:fill="auto"/>
            <w:vAlign w:val="center"/>
          </w:tcPr>
          <w:p w14:paraId="0B7D1E57"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1 (1.1)</w:t>
            </w:r>
          </w:p>
        </w:tc>
      </w:tr>
      <w:tr w:rsidR="00341571" w:rsidRPr="00341571" w14:paraId="2174AC45" w14:textId="77777777" w:rsidTr="00534EFD">
        <w:tc>
          <w:tcPr>
            <w:tcW w:w="2868" w:type="dxa"/>
            <w:vMerge/>
            <w:shd w:val="clear" w:color="auto" w:fill="auto"/>
            <w:vAlign w:val="center"/>
          </w:tcPr>
          <w:p w14:paraId="09E324F0"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6A0CB67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Others</w:t>
            </w:r>
          </w:p>
        </w:tc>
        <w:tc>
          <w:tcPr>
            <w:tcW w:w="1635" w:type="dxa"/>
            <w:shd w:val="clear" w:color="auto" w:fill="auto"/>
            <w:vAlign w:val="center"/>
          </w:tcPr>
          <w:p w14:paraId="04C1FF8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3 (3.3)</w:t>
            </w:r>
          </w:p>
        </w:tc>
      </w:tr>
      <w:tr w:rsidR="00341571" w:rsidRPr="00341571" w14:paraId="5CA56E7D" w14:textId="77777777" w:rsidTr="00534EFD">
        <w:tc>
          <w:tcPr>
            <w:tcW w:w="2868" w:type="dxa"/>
            <w:vMerge w:val="restart"/>
            <w:shd w:val="clear" w:color="auto" w:fill="auto"/>
            <w:vAlign w:val="center"/>
          </w:tcPr>
          <w:p w14:paraId="1525A6B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Endoscopic intervention</w:t>
            </w:r>
          </w:p>
          <w:p w14:paraId="607A4560" w14:textId="050B7C74" w:rsidR="00C75B26" w:rsidRPr="00341571" w:rsidRDefault="00534EFD" w:rsidP="00341571">
            <w:pPr>
              <w:spacing w:line="360" w:lineRule="auto"/>
              <w:jc w:val="both"/>
              <w:rPr>
                <w:rFonts w:ascii="Book Antiqua" w:hAnsi="Book Antiqua" w:cs="Arial"/>
              </w:rPr>
            </w:pPr>
            <w:r w:rsidRPr="00534EFD">
              <w:rPr>
                <w:rFonts w:ascii="Book Antiqua" w:hAnsi="Book Antiqua" w:cs="Arial"/>
                <w:i/>
              </w:rPr>
              <w:t>n</w:t>
            </w:r>
            <w:r>
              <w:rPr>
                <w:rFonts w:ascii="Book Antiqua" w:eastAsia="宋体" w:hAnsi="Book Antiqua" w:cs="Arial" w:hint="eastAsia"/>
                <w:lang w:eastAsia="zh-CN"/>
              </w:rPr>
              <w:t xml:space="preserve"> </w:t>
            </w:r>
            <w:r w:rsidR="00C75B26" w:rsidRPr="00341571">
              <w:rPr>
                <w:rFonts w:ascii="Book Antiqua" w:hAnsi="Book Antiqua" w:cs="Arial"/>
              </w:rPr>
              <w:t>=</w:t>
            </w:r>
            <w:r>
              <w:rPr>
                <w:rFonts w:ascii="Book Antiqua" w:eastAsia="宋体" w:hAnsi="Book Antiqua" w:cs="Arial" w:hint="eastAsia"/>
                <w:lang w:eastAsia="zh-CN"/>
              </w:rPr>
              <w:t xml:space="preserve"> </w:t>
            </w:r>
            <w:r w:rsidR="00C75B26" w:rsidRPr="00341571">
              <w:rPr>
                <w:rFonts w:ascii="Book Antiqua" w:hAnsi="Book Antiqua" w:cs="Arial"/>
              </w:rPr>
              <w:t>57 (21.0%)</w:t>
            </w:r>
          </w:p>
        </w:tc>
        <w:tc>
          <w:tcPr>
            <w:tcW w:w="4013" w:type="dxa"/>
            <w:shd w:val="clear" w:color="auto" w:fill="auto"/>
            <w:vAlign w:val="center"/>
          </w:tcPr>
          <w:p w14:paraId="4DC4595D"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Feeding tube insertion only</w:t>
            </w:r>
          </w:p>
        </w:tc>
        <w:tc>
          <w:tcPr>
            <w:tcW w:w="1635" w:type="dxa"/>
            <w:shd w:val="clear" w:color="auto" w:fill="auto"/>
            <w:vAlign w:val="center"/>
          </w:tcPr>
          <w:p w14:paraId="00A53315"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45 (78.9)</w:t>
            </w:r>
          </w:p>
        </w:tc>
      </w:tr>
      <w:tr w:rsidR="00341571" w:rsidRPr="00341571" w14:paraId="469971DC" w14:textId="77777777" w:rsidTr="00534EFD">
        <w:tc>
          <w:tcPr>
            <w:tcW w:w="2868" w:type="dxa"/>
            <w:vMerge/>
            <w:shd w:val="clear" w:color="auto" w:fill="auto"/>
            <w:vAlign w:val="center"/>
          </w:tcPr>
          <w:p w14:paraId="518CA4A6"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1B95678C"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Stenting only</w:t>
            </w:r>
          </w:p>
        </w:tc>
        <w:tc>
          <w:tcPr>
            <w:tcW w:w="1635" w:type="dxa"/>
            <w:shd w:val="clear" w:color="auto" w:fill="auto"/>
            <w:vAlign w:val="center"/>
          </w:tcPr>
          <w:p w14:paraId="4DB22745"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8 (14.0)</w:t>
            </w:r>
          </w:p>
        </w:tc>
      </w:tr>
      <w:tr w:rsidR="00341571" w:rsidRPr="00341571" w14:paraId="3E992E38" w14:textId="77777777" w:rsidTr="00534EFD">
        <w:tc>
          <w:tcPr>
            <w:tcW w:w="2868" w:type="dxa"/>
            <w:vMerge/>
            <w:shd w:val="clear" w:color="auto" w:fill="auto"/>
            <w:vAlign w:val="center"/>
          </w:tcPr>
          <w:p w14:paraId="07B1DF10"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4DC72FF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Feeding tube insertion and stenting</w:t>
            </w:r>
          </w:p>
        </w:tc>
        <w:tc>
          <w:tcPr>
            <w:tcW w:w="1635" w:type="dxa"/>
            <w:shd w:val="clear" w:color="auto" w:fill="auto"/>
            <w:vAlign w:val="center"/>
          </w:tcPr>
          <w:p w14:paraId="6D89128A"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4 (7.0)</w:t>
            </w:r>
          </w:p>
        </w:tc>
      </w:tr>
      <w:tr w:rsidR="00341571" w:rsidRPr="00341571" w14:paraId="21AB127D" w14:textId="77777777" w:rsidTr="00534EFD">
        <w:tc>
          <w:tcPr>
            <w:tcW w:w="2868" w:type="dxa"/>
            <w:vMerge w:val="restart"/>
            <w:shd w:val="clear" w:color="auto" w:fill="auto"/>
            <w:vAlign w:val="center"/>
          </w:tcPr>
          <w:p w14:paraId="491AFC41"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Radiotherapy</w:t>
            </w:r>
          </w:p>
          <w:p w14:paraId="2B4C13CB" w14:textId="49D4BA99" w:rsidR="00C75B26" w:rsidRPr="00341571" w:rsidRDefault="00534EFD" w:rsidP="00341571">
            <w:pPr>
              <w:spacing w:line="360" w:lineRule="auto"/>
              <w:jc w:val="both"/>
              <w:rPr>
                <w:rFonts w:ascii="Book Antiqua" w:hAnsi="Book Antiqua" w:cs="Arial"/>
              </w:rPr>
            </w:pPr>
            <w:r w:rsidRPr="00534EFD">
              <w:rPr>
                <w:rFonts w:ascii="Book Antiqua" w:hAnsi="Book Antiqua" w:cs="Arial"/>
                <w:i/>
              </w:rPr>
              <w:t>n</w:t>
            </w:r>
            <w:r>
              <w:rPr>
                <w:rFonts w:ascii="Book Antiqua" w:eastAsia="宋体" w:hAnsi="Book Antiqua" w:cs="Arial" w:hint="eastAsia"/>
                <w:lang w:eastAsia="zh-CN"/>
              </w:rPr>
              <w:t xml:space="preserve"> </w:t>
            </w:r>
            <w:r w:rsidRPr="00341571">
              <w:rPr>
                <w:rFonts w:ascii="Book Antiqua" w:hAnsi="Book Antiqua" w:cs="Arial"/>
              </w:rPr>
              <w:t>=</w:t>
            </w:r>
            <w:r>
              <w:rPr>
                <w:rFonts w:ascii="Book Antiqua" w:eastAsia="宋体" w:hAnsi="Book Antiqua" w:cs="Arial" w:hint="eastAsia"/>
                <w:lang w:eastAsia="zh-CN"/>
              </w:rPr>
              <w:t xml:space="preserve"> </w:t>
            </w:r>
            <w:r w:rsidR="00C75B26" w:rsidRPr="00341571">
              <w:rPr>
                <w:rFonts w:ascii="Book Antiqua" w:hAnsi="Book Antiqua" w:cs="Arial"/>
              </w:rPr>
              <w:t>35 (12.9%)</w:t>
            </w:r>
          </w:p>
        </w:tc>
        <w:tc>
          <w:tcPr>
            <w:tcW w:w="4013" w:type="dxa"/>
            <w:shd w:val="clear" w:color="auto" w:fill="auto"/>
            <w:vAlign w:val="center"/>
          </w:tcPr>
          <w:p w14:paraId="20A025D8"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Radiotherapy to gastric tumour</w:t>
            </w:r>
          </w:p>
        </w:tc>
        <w:tc>
          <w:tcPr>
            <w:tcW w:w="1635" w:type="dxa"/>
            <w:shd w:val="clear" w:color="auto" w:fill="auto"/>
            <w:vAlign w:val="center"/>
          </w:tcPr>
          <w:p w14:paraId="3AD893CE"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29 (82.9)</w:t>
            </w:r>
          </w:p>
        </w:tc>
      </w:tr>
      <w:tr w:rsidR="00534EFD" w:rsidRPr="00341571" w14:paraId="6C53B4FE" w14:textId="77777777" w:rsidTr="00534EFD">
        <w:trPr>
          <w:trHeight w:val="93"/>
        </w:trPr>
        <w:tc>
          <w:tcPr>
            <w:tcW w:w="2868" w:type="dxa"/>
            <w:vMerge/>
            <w:shd w:val="clear" w:color="auto" w:fill="auto"/>
            <w:vAlign w:val="center"/>
          </w:tcPr>
          <w:p w14:paraId="3AF11848" w14:textId="77777777" w:rsidR="00C75B26" w:rsidRPr="00341571" w:rsidRDefault="00C75B26" w:rsidP="00341571">
            <w:pPr>
              <w:spacing w:line="360" w:lineRule="auto"/>
              <w:jc w:val="both"/>
              <w:rPr>
                <w:rFonts w:ascii="Book Antiqua" w:hAnsi="Book Antiqua" w:cs="Arial"/>
              </w:rPr>
            </w:pPr>
          </w:p>
        </w:tc>
        <w:tc>
          <w:tcPr>
            <w:tcW w:w="4013" w:type="dxa"/>
            <w:shd w:val="clear" w:color="auto" w:fill="auto"/>
            <w:vAlign w:val="center"/>
          </w:tcPr>
          <w:p w14:paraId="4E3D57F3"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Radiotherapy to other sites</w:t>
            </w:r>
          </w:p>
        </w:tc>
        <w:tc>
          <w:tcPr>
            <w:tcW w:w="1635" w:type="dxa"/>
            <w:shd w:val="clear" w:color="auto" w:fill="auto"/>
            <w:vAlign w:val="center"/>
          </w:tcPr>
          <w:p w14:paraId="2263DE4B" w14:textId="77777777" w:rsidR="00C75B26" w:rsidRPr="00341571" w:rsidRDefault="00C75B26" w:rsidP="00341571">
            <w:pPr>
              <w:spacing w:line="360" w:lineRule="auto"/>
              <w:jc w:val="both"/>
              <w:rPr>
                <w:rFonts w:ascii="Book Antiqua" w:hAnsi="Book Antiqua" w:cs="Arial"/>
              </w:rPr>
            </w:pPr>
            <w:r w:rsidRPr="00341571">
              <w:rPr>
                <w:rFonts w:ascii="Book Antiqua" w:hAnsi="Book Antiqua" w:cs="Arial"/>
              </w:rPr>
              <w:t>6 (17.1)</w:t>
            </w:r>
          </w:p>
        </w:tc>
      </w:tr>
    </w:tbl>
    <w:p w14:paraId="625354A1" w14:textId="77777777" w:rsidR="00C75B26" w:rsidRPr="00341571" w:rsidRDefault="00C75B26" w:rsidP="00341571">
      <w:pPr>
        <w:spacing w:line="360" w:lineRule="auto"/>
        <w:jc w:val="both"/>
        <w:rPr>
          <w:rFonts w:ascii="Book Antiqua" w:hAnsi="Book Antiqua" w:cs="Arial"/>
          <w:b/>
        </w:rPr>
      </w:pPr>
    </w:p>
    <w:p w14:paraId="06A7044A" w14:textId="0EBEB5CD" w:rsidR="00C75B26" w:rsidRPr="00534EFD" w:rsidRDefault="00534EFD" w:rsidP="00341571">
      <w:pPr>
        <w:spacing w:line="360" w:lineRule="auto"/>
        <w:jc w:val="both"/>
        <w:rPr>
          <w:rFonts w:ascii="Book Antiqua" w:eastAsia="宋体" w:hAnsi="Book Antiqua" w:cs="Arial"/>
          <w:lang w:eastAsia="zh-CN"/>
        </w:rPr>
      </w:pPr>
      <w:r w:rsidRPr="00341571">
        <w:rPr>
          <w:rFonts w:ascii="Book Antiqua" w:hAnsi="Book Antiqua" w:cs="Arial"/>
        </w:rPr>
        <w:t>HIPEC</w:t>
      </w:r>
      <w:r>
        <w:rPr>
          <w:rFonts w:ascii="Book Antiqua" w:eastAsia="宋体" w:hAnsi="Book Antiqua" w:cs="Arial" w:hint="eastAsia"/>
          <w:lang w:eastAsia="zh-CN"/>
        </w:rPr>
        <w:t>:</w:t>
      </w:r>
      <w:r w:rsidRPr="00534EFD">
        <w:rPr>
          <w:rFonts w:ascii="Book Antiqua" w:hAnsi="Book Antiqua" w:cs="Arial"/>
        </w:rPr>
        <w:t xml:space="preserve"> </w:t>
      </w:r>
      <w:r w:rsidRPr="00341571">
        <w:rPr>
          <w:rFonts w:ascii="Book Antiqua" w:hAnsi="Book Antiqua" w:cs="Arial"/>
        </w:rPr>
        <w:t>Hyperthermic intraperitoneal chemotherapy</w:t>
      </w:r>
      <w:r>
        <w:rPr>
          <w:rFonts w:ascii="Book Antiqua" w:eastAsia="宋体" w:hAnsi="Book Antiqua" w:cs="Arial" w:hint="eastAsia"/>
          <w:lang w:eastAsia="zh-CN"/>
        </w:rPr>
        <w:t>.</w:t>
      </w:r>
    </w:p>
    <w:p w14:paraId="5C7F06DF"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rPr>
        <w:br w:type="page"/>
      </w:r>
    </w:p>
    <w:p w14:paraId="6F2F6253" w14:textId="14E396D3" w:rsidR="00C75B26" w:rsidRPr="00341571" w:rsidRDefault="00E5109B" w:rsidP="00341571">
      <w:pPr>
        <w:spacing w:line="360" w:lineRule="auto"/>
        <w:jc w:val="both"/>
        <w:rPr>
          <w:rFonts w:ascii="Book Antiqua" w:hAnsi="Book Antiqua" w:cs="Arial"/>
          <w:b/>
        </w:rPr>
      </w:pPr>
      <w:r w:rsidRPr="00341571">
        <w:rPr>
          <w:rFonts w:ascii="Book Antiqua" w:hAnsi="Book Antiqua" w:cs="Arial"/>
          <w:b/>
          <w:noProof/>
          <w:lang w:eastAsia="zh-CN"/>
        </w:rPr>
        <w:lastRenderedPageBreak/>
        <mc:AlternateContent>
          <mc:Choice Requires="wps">
            <w:drawing>
              <wp:anchor distT="0" distB="0" distL="114300" distR="114300" simplePos="0" relativeHeight="251659264" behindDoc="0" locked="0" layoutInCell="1" allowOverlap="1" wp14:anchorId="7909A3E9" wp14:editId="14FD7401">
                <wp:simplePos x="0" y="0"/>
                <wp:positionH relativeFrom="column">
                  <wp:posOffset>-477520</wp:posOffset>
                </wp:positionH>
                <wp:positionV relativeFrom="paragraph">
                  <wp:posOffset>55055</wp:posOffset>
                </wp:positionV>
                <wp:extent cx="4114800" cy="274955"/>
                <wp:effectExtent l="0" t="0" r="0" b="0"/>
                <wp:wrapNone/>
                <wp:docPr id="4" name="TextBox 3"/>
                <wp:cNvGraphicFramePr/>
                <a:graphic xmlns:a="http://schemas.openxmlformats.org/drawingml/2006/main">
                  <a:graphicData uri="http://schemas.microsoft.com/office/word/2010/wordprocessingShape">
                    <wps:wsp>
                      <wps:cNvSpPr txBox="1"/>
                      <wps:spPr>
                        <a:xfrm>
                          <a:off x="0" y="0"/>
                          <a:ext cx="4114800" cy="274955"/>
                        </a:xfrm>
                        <a:prstGeom prst="rect">
                          <a:avLst/>
                        </a:prstGeom>
                        <a:noFill/>
                      </wps:spPr>
                      <wps:txbx>
                        <w:txbxContent>
                          <w:p w14:paraId="1E25B548"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All patients with gastric peritoneal carcinomatosis (n=271)</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Box 3" o:spid="_x0000_s1026" type="#_x0000_t202" style="position:absolute;left:0;text-align:left;margin-left:-37.6pt;margin-top:4.35pt;width:479.75pt;height:29.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" filled="f" stroked="f">
                <v:textbox style="mso-fit-shape-to-text:t">
                  <w:txbxContent>
                    <w:p w14:paraId="1E25B548"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All patients with gastric peritoneal carcinomatosis (n=271)</w:t>
                      </w:r>
                    </w:p>
                  </w:txbxContent>
                </v:textbox>
              </v:shape>
            </w:pict>
          </mc:Fallback>
        </mc:AlternateContent>
      </w:r>
    </w:p>
    <w:p w14:paraId="0A0FC574" w14:textId="77777777" w:rsidR="00DA64C5" w:rsidRDefault="00E5109B" w:rsidP="00DA64C5">
      <w:pPr>
        <w:spacing w:line="360" w:lineRule="auto"/>
        <w:jc w:val="both"/>
        <w:rPr>
          <w:rFonts w:ascii="Book Antiqua" w:eastAsia="宋体" w:hAnsi="Book Antiqua" w:cs="Arial"/>
          <w:b/>
          <w:lang w:eastAsia="zh-CN"/>
        </w:rPr>
      </w:pPr>
      <w:r w:rsidRPr="00341571">
        <w:rPr>
          <w:rFonts w:ascii="Book Antiqua" w:hAnsi="Book Antiqua" w:cs="Arial"/>
          <w:b/>
          <w:noProof/>
          <w:lang w:eastAsia="zh-CN"/>
        </w:rPr>
        <mc:AlternateContent>
          <mc:Choice Requires="wps">
            <w:drawing>
              <wp:anchor distT="0" distB="0" distL="114300" distR="114300" simplePos="0" relativeHeight="251660288" behindDoc="0" locked="0" layoutInCell="1" allowOverlap="1" wp14:anchorId="5BA68EAA" wp14:editId="5E21BA65">
                <wp:simplePos x="0" y="0"/>
                <wp:positionH relativeFrom="column">
                  <wp:posOffset>-478155</wp:posOffset>
                </wp:positionH>
                <wp:positionV relativeFrom="paragraph">
                  <wp:posOffset>712470</wp:posOffset>
                </wp:positionV>
                <wp:extent cx="3819525" cy="274955"/>
                <wp:effectExtent l="0" t="0" r="0" b="0"/>
                <wp:wrapNone/>
                <wp:docPr id="5" name="TextBox 4"/>
                <wp:cNvGraphicFramePr/>
                <a:graphic xmlns:a="http://schemas.openxmlformats.org/drawingml/2006/main">
                  <a:graphicData uri="http://schemas.microsoft.com/office/word/2010/wordprocessingShape">
                    <wps:wsp>
                      <wps:cNvSpPr txBox="1"/>
                      <wps:spPr>
                        <a:xfrm>
                          <a:off x="0" y="0"/>
                          <a:ext cx="3819525" cy="274955"/>
                        </a:xfrm>
                        <a:prstGeom prst="rect">
                          <a:avLst/>
                        </a:prstGeom>
                        <a:noFill/>
                      </wps:spPr>
                      <wps:txbx>
                        <w:txbxContent>
                          <w:p w14:paraId="7F829B79"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Planned for palliative systemic chemotherapy (n=175)</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4" o:spid="_x0000_s1027" type="#_x0000_t202" style="position:absolute;left:0;text-align:left;margin-left:-37.65pt;margin-top:56.1pt;width:447.4pt;height:29.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" filled="f" stroked="f">
                <v:textbox style="mso-fit-shape-to-text:t">
                  <w:txbxContent>
                    <w:p w14:paraId="7F829B79"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Planned for palliative systemic chemotherapy (n=175)</w:t>
                      </w:r>
                    </w:p>
                  </w:txbxContent>
                </v:textbox>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1312" behindDoc="0" locked="0" layoutInCell="1" allowOverlap="1" wp14:anchorId="077ED571" wp14:editId="2F0140DA">
                <wp:simplePos x="0" y="0"/>
                <wp:positionH relativeFrom="column">
                  <wp:posOffset>-478155</wp:posOffset>
                </wp:positionH>
                <wp:positionV relativeFrom="paragraph">
                  <wp:posOffset>1866265</wp:posOffset>
                </wp:positionV>
                <wp:extent cx="3811905" cy="274955"/>
                <wp:effectExtent l="0" t="0" r="0" b="0"/>
                <wp:wrapNone/>
                <wp:docPr id="6" name="TextBox 5"/>
                <wp:cNvGraphicFramePr/>
                <a:graphic xmlns:a="http://schemas.openxmlformats.org/drawingml/2006/main">
                  <a:graphicData uri="http://schemas.microsoft.com/office/word/2010/wordprocessingShape">
                    <wps:wsp>
                      <wps:cNvSpPr txBox="1"/>
                      <wps:spPr>
                        <a:xfrm>
                          <a:off x="0" y="0"/>
                          <a:ext cx="3811905" cy="274955"/>
                        </a:xfrm>
                        <a:prstGeom prst="rect">
                          <a:avLst/>
                        </a:prstGeom>
                        <a:noFill/>
                      </wps:spPr>
                      <wps:txbx>
                        <w:txbxContent>
                          <w:p w14:paraId="42B3EBB7"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Initiated on palliative systemic chemotherapy (n=171)</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5" o:spid="_x0000_s1028" type="#_x0000_t202" style="position:absolute;left:0;text-align:left;margin-left:-37.65pt;margin-top:146.95pt;width:443.4pt;height:29.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" filled="f" stroked="f">
                <v:textbox style="mso-fit-shape-to-text:t">
                  <w:txbxContent>
                    <w:p w14:paraId="42B3EBB7"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Initiated on palliative systemic chemotherapy (n=171)</w:t>
                      </w:r>
                    </w:p>
                  </w:txbxContent>
                </v:textbox>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2336" behindDoc="0" locked="0" layoutInCell="1" allowOverlap="1" wp14:anchorId="4B4E6925" wp14:editId="6CE52D21">
                <wp:simplePos x="0" y="0"/>
                <wp:positionH relativeFrom="column">
                  <wp:posOffset>1076325</wp:posOffset>
                </wp:positionH>
                <wp:positionV relativeFrom="paragraph">
                  <wp:posOffset>231140</wp:posOffset>
                </wp:positionV>
                <wp:extent cx="3397885" cy="274955"/>
                <wp:effectExtent l="0" t="0" r="0" b="0"/>
                <wp:wrapNone/>
                <wp:docPr id="7" name="TextBox 6"/>
                <wp:cNvGraphicFramePr/>
                <a:graphic xmlns:a="http://schemas.openxmlformats.org/drawingml/2006/main">
                  <a:graphicData uri="http://schemas.microsoft.com/office/word/2010/wordprocessingShape">
                    <wps:wsp>
                      <wps:cNvSpPr txBox="1"/>
                      <wps:spPr>
                        <a:xfrm>
                          <a:off x="0" y="0"/>
                          <a:ext cx="3397885" cy="274955"/>
                        </a:xfrm>
                        <a:prstGeom prst="rect">
                          <a:avLst/>
                        </a:prstGeom>
                        <a:noFill/>
                      </wps:spPr>
                      <wps:txbx>
                        <w:txbxContent>
                          <w:p w14:paraId="7A79BCA0"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Planned for best supportive care upfront (n=96)</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6" o:spid="_x0000_s1029" type="#_x0000_t202" style="position:absolute;left:0;text-align:left;margin-left:84.75pt;margin-top:18.2pt;width:395.95pt;height:29.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" filled="f" stroked="f">
                <v:textbox style="mso-fit-shape-to-text:t">
                  <w:txbxContent>
                    <w:p w14:paraId="7A79BCA0"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Planned for best supportive care upfront (n=96)</w:t>
                      </w:r>
                    </w:p>
                  </w:txbxContent>
                </v:textbox>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3360" behindDoc="0" locked="0" layoutInCell="1" allowOverlap="1" wp14:anchorId="09B99CB9" wp14:editId="7AF039C5">
                <wp:simplePos x="0" y="0"/>
                <wp:positionH relativeFrom="column">
                  <wp:posOffset>1076325</wp:posOffset>
                </wp:positionH>
                <wp:positionV relativeFrom="paragraph">
                  <wp:posOffset>1175385</wp:posOffset>
                </wp:positionV>
                <wp:extent cx="4156710" cy="459105"/>
                <wp:effectExtent l="0" t="0" r="0" b="0"/>
                <wp:wrapNone/>
                <wp:docPr id="8" name="TextBox 7"/>
                <wp:cNvGraphicFramePr/>
                <a:graphic xmlns:a="http://schemas.openxmlformats.org/drawingml/2006/main">
                  <a:graphicData uri="http://schemas.microsoft.com/office/word/2010/wordprocessingShape">
                    <wps:wsp>
                      <wps:cNvSpPr txBox="1"/>
                      <wps:spPr>
                        <a:xfrm>
                          <a:off x="0" y="0"/>
                          <a:ext cx="4156710" cy="459105"/>
                        </a:xfrm>
                        <a:prstGeom prst="rect">
                          <a:avLst/>
                        </a:prstGeom>
                        <a:noFill/>
                      </wps:spPr>
                      <wps:txbx>
                        <w:txbxContent>
                          <w:p w14:paraId="3EA95CDB"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Passed away prior to chemotherapy initiation (n=3)</w:t>
                            </w:r>
                          </w:p>
                          <w:p w14:paraId="025C1B86"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Defaulted further follow-up to initiate chemotherapy (n=1)</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7" o:spid="_x0000_s1030" type="#_x0000_t202" style="position:absolute;left:0;text-align:left;margin-left:84.75pt;margin-top:92.55pt;width:473.7pt;height:50.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" filled="f" stroked="f">
                <v:textbox style="mso-fit-shape-to-text:t">
                  <w:txbxContent>
                    <w:p w14:paraId="3EA95CDB"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Passed away prior to chemotherapy initiation (n=3)</w:t>
                      </w:r>
                    </w:p>
                    <w:p w14:paraId="025C1B86"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Defaulted further follow-up to initiate chemotherapy (n=1)</w:t>
                      </w:r>
                    </w:p>
                  </w:txbxContent>
                </v:textbox>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4384" behindDoc="0" locked="0" layoutInCell="1" allowOverlap="1" wp14:anchorId="0A9462EB" wp14:editId="55856E95">
                <wp:simplePos x="0" y="0"/>
                <wp:positionH relativeFrom="column">
                  <wp:posOffset>1076325</wp:posOffset>
                </wp:positionH>
                <wp:positionV relativeFrom="paragraph">
                  <wp:posOffset>2289810</wp:posOffset>
                </wp:positionV>
                <wp:extent cx="4899660" cy="1201420"/>
                <wp:effectExtent l="0" t="0" r="0" b="0"/>
                <wp:wrapNone/>
                <wp:docPr id="1" name="TextBox 8"/>
                <wp:cNvGraphicFramePr/>
                <a:graphic xmlns:a="http://schemas.openxmlformats.org/drawingml/2006/main">
                  <a:graphicData uri="http://schemas.microsoft.com/office/word/2010/wordprocessingShape">
                    <wps:wsp>
                      <wps:cNvSpPr txBox="1"/>
                      <wps:spPr>
                        <a:xfrm>
                          <a:off x="0" y="0"/>
                          <a:ext cx="4899660" cy="1201420"/>
                        </a:xfrm>
                        <a:prstGeom prst="rect">
                          <a:avLst/>
                        </a:prstGeom>
                        <a:noFill/>
                      </wps:spPr>
                      <wps:txbx>
                        <w:txbxContent>
                          <w:p w14:paraId="51A3F9F3"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Cessation of systemic chemotherapy due to the primary reason of:</w:t>
                            </w:r>
                          </w:p>
                          <w:p w14:paraId="1AB8B2C0"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Patient declined continuation of systemic chemotherapy (n=11)</w:t>
                            </w:r>
                          </w:p>
                          <w:p w14:paraId="3AAE3090"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Medical futility in view of progressive disease (n=55)</w:t>
                            </w:r>
                          </w:p>
                          <w:p w14:paraId="4789E2B9"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Peritoneal disease-related complications (n=42)</w:t>
                            </w:r>
                          </w:p>
                          <w:p w14:paraId="0FCBA7F4"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Unacceptable chemotherapy-related toxicities (n=4)</w:t>
                            </w:r>
                          </w:p>
                          <w:p w14:paraId="12F6FFD4"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Other causes of clinical/functional deterioration (n=45)</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8" o:spid="_x0000_s1031" type="#_x0000_t202" style="position:absolute;left:0;text-align:left;margin-left:84.75pt;margin-top:180.3pt;width:548.95pt;height:138.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" filled="f" stroked="f">
                <v:textbox style="mso-fit-shape-to-text:t">
                  <w:txbxContent>
                    <w:p w14:paraId="51A3F9F3"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Cessation of systemic chemotherapy due to the primary reason of:</w:t>
                      </w:r>
                    </w:p>
                    <w:p w14:paraId="1AB8B2C0"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Patient declined continuation of systemic chemotherapy (n=11)</w:t>
                      </w:r>
                    </w:p>
                    <w:p w14:paraId="3AAE3090"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Medical futility in view of progressive disease (n=55)</w:t>
                      </w:r>
                    </w:p>
                    <w:p w14:paraId="4789E2B9"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Peritoneal disease-related complications (n=42)</w:t>
                      </w:r>
                    </w:p>
                    <w:p w14:paraId="0FCBA7F4"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Unacceptable chemotherapy-related toxicities (n=4)</w:t>
                      </w:r>
                    </w:p>
                    <w:p w14:paraId="12F6FFD4" w14:textId="77777777" w:rsidR="0076669C" w:rsidRPr="00E5109B" w:rsidRDefault="0076669C" w:rsidP="0076669C">
                      <w:pPr>
                        <w:pStyle w:val="a8"/>
                        <w:numPr>
                          <w:ilvl w:val="0"/>
                          <w:numId w:val="2"/>
                        </w:numPr>
                        <w:rPr>
                          <w:rFonts w:ascii="Book Antiqua" w:eastAsia="Times New Roman" w:hAnsi="Book Antiqua"/>
                        </w:rPr>
                      </w:pPr>
                      <w:r w:rsidRPr="00E5109B">
                        <w:rPr>
                          <w:rFonts w:ascii="Book Antiqua" w:hAnsi="Book Antiqua" w:cs="Arial"/>
                          <w:color w:val="000000" w:themeColor="text1"/>
                          <w:kern w:val="24"/>
                        </w:rPr>
                        <w:t>Other causes of clinical/functional deterioration (n=45)</w:t>
                      </w:r>
                    </w:p>
                  </w:txbxContent>
                </v:textbox>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5408" behindDoc="0" locked="0" layoutInCell="1" allowOverlap="1" wp14:anchorId="11EFC1B6" wp14:editId="5454D53D">
                <wp:simplePos x="0" y="0"/>
                <wp:positionH relativeFrom="column">
                  <wp:posOffset>-480695</wp:posOffset>
                </wp:positionH>
                <wp:positionV relativeFrom="paragraph">
                  <wp:posOffset>4139565</wp:posOffset>
                </wp:positionV>
                <wp:extent cx="3067050" cy="274955"/>
                <wp:effectExtent l="0" t="0" r="0" b="0"/>
                <wp:wrapNone/>
                <wp:docPr id="2" name="TextBox 9"/>
                <wp:cNvGraphicFramePr/>
                <a:graphic xmlns:a="http://schemas.openxmlformats.org/drawingml/2006/main">
                  <a:graphicData uri="http://schemas.microsoft.com/office/word/2010/wordprocessingShape">
                    <wps:wsp>
                      <wps:cNvSpPr txBox="1"/>
                      <wps:spPr>
                        <a:xfrm>
                          <a:off x="0" y="0"/>
                          <a:ext cx="3067050" cy="274955"/>
                        </a:xfrm>
                        <a:prstGeom prst="rect">
                          <a:avLst/>
                        </a:prstGeom>
                        <a:noFill/>
                      </wps:spPr>
                      <wps:txbx>
                        <w:txbxContent>
                          <w:p w14:paraId="14F7AF0D"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Completed course of chemotherapy (n=14)</w:t>
                            </w: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9" o:spid="_x0000_s1032" type="#_x0000_t202" style="position:absolute;left:0;text-align:left;margin-left:-37.85pt;margin-top:325.95pt;width:360.55pt;height:29.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" filled="f" stroked="f">
                <v:textbox style="mso-fit-shape-to-text:t">
                  <w:txbxContent>
                    <w:p w14:paraId="14F7AF0D" w14:textId="77777777" w:rsidR="0076669C" w:rsidRPr="00E5109B" w:rsidRDefault="0076669C" w:rsidP="0076669C">
                      <w:pPr>
                        <w:pStyle w:val="ab"/>
                        <w:spacing w:before="0" w:beforeAutospacing="0" w:after="0" w:afterAutospacing="0"/>
                        <w:rPr>
                          <w:rFonts w:ascii="Book Antiqua" w:hAnsi="Book Antiqua"/>
                        </w:rPr>
                      </w:pPr>
                      <w:r w:rsidRPr="00E5109B">
                        <w:rPr>
                          <w:rFonts w:ascii="Book Antiqua" w:hAnsi="Book Antiqua" w:cs="Arial"/>
                          <w:color w:val="000000" w:themeColor="text1"/>
                          <w:kern w:val="24"/>
                          <w:lang w:val="en-US"/>
                        </w:rPr>
                        <w:t>Completed course of chemotherapy (n=14)</w:t>
                      </w:r>
                    </w:p>
                  </w:txbxContent>
                </v:textbox>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6432" behindDoc="0" locked="0" layoutInCell="1" allowOverlap="1" wp14:anchorId="0148A9A1" wp14:editId="077FFE8B">
                <wp:simplePos x="0" y="0"/>
                <wp:positionH relativeFrom="column">
                  <wp:posOffset>414655</wp:posOffset>
                </wp:positionH>
                <wp:positionV relativeFrom="paragraph">
                  <wp:posOffset>50800</wp:posOffset>
                </wp:positionV>
                <wp:extent cx="546100" cy="456565"/>
                <wp:effectExtent l="57150" t="19050" r="6350" b="76835"/>
                <wp:wrapNone/>
                <wp:docPr id="12" name="Bent Arrow 11"/>
                <wp:cNvGraphicFramePr/>
                <a:graphic xmlns:a="http://schemas.openxmlformats.org/drawingml/2006/main">
                  <a:graphicData uri="http://schemas.microsoft.com/office/word/2010/wordprocessingShape">
                    <wps:wsp>
                      <wps:cNvSpPr/>
                      <wps:spPr>
                        <a:xfrm flipV="1">
                          <a:off x="0" y="0"/>
                          <a:ext cx="546100" cy="456565"/>
                        </a:xfrm>
                        <a:prstGeom prst="bentArrow">
                          <a:avLst>
                            <a:gd name="adj1" fmla="val 9395"/>
                            <a:gd name="adj2" fmla="val 20418"/>
                            <a:gd name="adj3" fmla="val 25705"/>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Bent Arrow 11" o:spid="_x0000_s1026" style="position:absolute;margin-left:32.65pt;margin-top:4pt;width:43pt;height:35.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" path="m,456565l,271521c,161204,89430,71774,199747,71774r228993,l428740,,546100,93221,428740,186443r,-71774l199747,114669v-86628,,-156853,70225,-156853,156853l42894,456565,,456565xe" fillcolor="black [3213]" stroked="f">
                <v:shadow on="t" color="black" opacity="22937f" origin=",.5" offset="0,.63889mm"/>
                <v:path arrowok="t" o:connecttype="custom" o:connectlocs="0,456565;0,271521;199747,71774;428740,71774;428740,0;546100,93221;428740,186443;428740,114669;199747,114669;42894,271522;42894,456565;0,456565" o:connectangles="0,0,0,0,0,0,0,0,0,0,0,0"/>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7456" behindDoc="0" locked="0" layoutInCell="1" allowOverlap="1" wp14:anchorId="2EF5138A" wp14:editId="46F3869D">
                <wp:simplePos x="0" y="0"/>
                <wp:positionH relativeFrom="column">
                  <wp:posOffset>337185</wp:posOffset>
                </wp:positionH>
                <wp:positionV relativeFrom="paragraph">
                  <wp:posOffset>56515</wp:posOffset>
                </wp:positionV>
                <wp:extent cx="191135" cy="668020"/>
                <wp:effectExtent l="57150" t="19050" r="37465" b="74930"/>
                <wp:wrapNone/>
                <wp:docPr id="3" name="Down Arrow 12"/>
                <wp:cNvGraphicFramePr/>
                <a:graphic xmlns:a="http://schemas.openxmlformats.org/drawingml/2006/main">
                  <a:graphicData uri="http://schemas.microsoft.com/office/word/2010/wordprocessingShape">
                    <wps:wsp>
                      <wps:cNvSpPr/>
                      <wps:spPr>
                        <a:xfrm>
                          <a:off x="0" y="0"/>
                          <a:ext cx="191135" cy="668020"/>
                        </a:xfrm>
                        <a:prstGeom prst="downArrow">
                          <a:avLst>
                            <a:gd name="adj1" fmla="val 20964"/>
                            <a:gd name="adj2" fmla="val 60482"/>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6.55pt;margin-top:4.45pt;width:15.05pt;height:5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" adj="17862,8536" fillcolor="black [3213]" stroked="f">
                <v:shadow on="t" color="black" opacity="22937f" origin=",.5" offset="0,.63889mm"/>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8480" behindDoc="0" locked="0" layoutInCell="1" allowOverlap="1" wp14:anchorId="69BAC530" wp14:editId="3A14B1BE">
                <wp:simplePos x="0" y="0"/>
                <wp:positionH relativeFrom="column">
                  <wp:posOffset>414655</wp:posOffset>
                </wp:positionH>
                <wp:positionV relativeFrom="paragraph">
                  <wp:posOffset>1213485</wp:posOffset>
                </wp:positionV>
                <wp:extent cx="546100" cy="456565"/>
                <wp:effectExtent l="57150" t="19050" r="6350" b="76835"/>
                <wp:wrapNone/>
                <wp:docPr id="15" name="Bent Arrow 14"/>
                <wp:cNvGraphicFramePr/>
                <a:graphic xmlns:a="http://schemas.openxmlformats.org/drawingml/2006/main">
                  <a:graphicData uri="http://schemas.microsoft.com/office/word/2010/wordprocessingShape">
                    <wps:wsp>
                      <wps:cNvSpPr/>
                      <wps:spPr>
                        <a:xfrm flipV="1">
                          <a:off x="0" y="0"/>
                          <a:ext cx="546100" cy="456565"/>
                        </a:xfrm>
                        <a:prstGeom prst="bentArrow">
                          <a:avLst>
                            <a:gd name="adj1" fmla="val 9395"/>
                            <a:gd name="adj2" fmla="val 20418"/>
                            <a:gd name="adj3" fmla="val 25705"/>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Bent Arrow 14" o:spid="_x0000_s1026" style="position:absolute;margin-left:32.65pt;margin-top:95.55pt;width:43pt;height:35.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" path="m,456565l,271521c,161204,89430,71774,199747,71774r228993,l428740,,546100,93221,428740,186443r,-71774l199747,114669v-86628,,-156853,70225,-156853,156853l42894,456565,,456565xe" fillcolor="black [3213]" stroked="f">
                <v:shadow on="t" color="black" opacity="22937f" origin=",.5" offset="0,.63889mm"/>
                <v:path arrowok="t" o:connecttype="custom" o:connectlocs="0,456565;0,271521;199747,71774;428740,71774;428740,0;546100,93221;428740,186443;428740,114669;199747,114669;42894,271522;42894,456565;0,456565" o:connectangles="0,0,0,0,0,0,0,0,0,0,0,0"/>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69504" behindDoc="0" locked="0" layoutInCell="1" allowOverlap="1" wp14:anchorId="51E849FC" wp14:editId="4D90763C">
                <wp:simplePos x="0" y="0"/>
                <wp:positionH relativeFrom="column">
                  <wp:posOffset>327660</wp:posOffset>
                </wp:positionH>
                <wp:positionV relativeFrom="paragraph">
                  <wp:posOffset>1082040</wp:posOffset>
                </wp:positionV>
                <wp:extent cx="209550" cy="784225"/>
                <wp:effectExtent l="57150" t="19050" r="0" b="73025"/>
                <wp:wrapNone/>
                <wp:docPr id="16" name="Down Arrow 15"/>
                <wp:cNvGraphicFramePr/>
                <a:graphic xmlns:a="http://schemas.openxmlformats.org/drawingml/2006/main">
                  <a:graphicData uri="http://schemas.microsoft.com/office/word/2010/wordprocessingShape">
                    <wps:wsp>
                      <wps:cNvSpPr/>
                      <wps:spPr>
                        <a:xfrm>
                          <a:off x="0" y="0"/>
                          <a:ext cx="209550" cy="784225"/>
                        </a:xfrm>
                        <a:prstGeom prst="downArrow">
                          <a:avLst>
                            <a:gd name="adj1" fmla="val 20964"/>
                            <a:gd name="adj2" fmla="val 60482"/>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15" o:spid="_x0000_s1026" type="#_x0000_t67" style="position:absolute;margin-left:25.8pt;margin-top:85.2pt;width:16.5pt;height: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" adj="18109,8536" fillcolor="black [3213]" stroked="f">
                <v:shadow on="t" color="black" opacity="22937f" origin=",.5" offset="0,.63889mm"/>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70528" behindDoc="0" locked="0" layoutInCell="1" allowOverlap="1" wp14:anchorId="438627F9" wp14:editId="7E1382DE">
                <wp:simplePos x="0" y="0"/>
                <wp:positionH relativeFrom="column">
                  <wp:posOffset>414655</wp:posOffset>
                </wp:positionH>
                <wp:positionV relativeFrom="paragraph">
                  <wp:posOffset>2818765</wp:posOffset>
                </wp:positionV>
                <wp:extent cx="546100" cy="456565"/>
                <wp:effectExtent l="57150" t="19050" r="6350" b="76835"/>
                <wp:wrapNone/>
                <wp:docPr id="21" name="Bent Arrow 20"/>
                <wp:cNvGraphicFramePr/>
                <a:graphic xmlns:a="http://schemas.openxmlformats.org/drawingml/2006/main">
                  <a:graphicData uri="http://schemas.microsoft.com/office/word/2010/wordprocessingShape">
                    <wps:wsp>
                      <wps:cNvSpPr/>
                      <wps:spPr>
                        <a:xfrm flipV="1">
                          <a:off x="0" y="0"/>
                          <a:ext cx="546100" cy="456565"/>
                        </a:xfrm>
                        <a:prstGeom prst="bentArrow">
                          <a:avLst>
                            <a:gd name="adj1" fmla="val 9395"/>
                            <a:gd name="adj2" fmla="val 20418"/>
                            <a:gd name="adj3" fmla="val 25705"/>
                            <a:gd name="adj4" fmla="val 4375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Bent Arrow 20" o:spid="_x0000_s1026" style="position:absolute;margin-left:32.65pt;margin-top:221.95pt;width:43pt;height:35.9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100,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" path="m,456565l,271521c,161204,89430,71774,199747,71774r228993,l428740,,546100,93221,428740,186443r,-71774l199747,114669v-86628,,-156853,70225,-156853,156853l42894,456565,,456565xe" fillcolor="black [3213]" stroked="f">
                <v:shadow on="t" color="black" opacity="22937f" origin=",.5" offset="0,.63889mm"/>
                <v:path arrowok="t" o:connecttype="custom" o:connectlocs="0,456565;0,271521;199747,71774;428740,71774;428740,0;546100,93221;428740,186443;428740,114669;199747,114669;42894,271522;42894,456565;0,456565" o:connectangles="0,0,0,0,0,0,0,0,0,0,0,0"/>
              </v:shape>
            </w:pict>
          </mc:Fallback>
        </mc:AlternateContent>
      </w:r>
      <w:r w:rsidRPr="00341571">
        <w:rPr>
          <w:rFonts w:ascii="Book Antiqua" w:hAnsi="Book Antiqua" w:cs="Arial"/>
          <w:b/>
          <w:noProof/>
          <w:lang w:eastAsia="zh-CN"/>
        </w:rPr>
        <mc:AlternateContent>
          <mc:Choice Requires="wps">
            <w:drawing>
              <wp:anchor distT="0" distB="0" distL="114300" distR="114300" simplePos="0" relativeHeight="251671552" behindDoc="0" locked="0" layoutInCell="1" allowOverlap="1" wp14:anchorId="181FE59A" wp14:editId="5A58070E">
                <wp:simplePos x="0" y="0"/>
                <wp:positionH relativeFrom="column">
                  <wp:posOffset>337185</wp:posOffset>
                </wp:positionH>
                <wp:positionV relativeFrom="paragraph">
                  <wp:posOffset>2236280</wp:posOffset>
                </wp:positionV>
                <wp:extent cx="191135" cy="1903730"/>
                <wp:effectExtent l="57150" t="19050" r="56515" b="77470"/>
                <wp:wrapNone/>
                <wp:docPr id="22" name="Down Arrow 21"/>
                <wp:cNvGraphicFramePr/>
                <a:graphic xmlns:a="http://schemas.openxmlformats.org/drawingml/2006/main">
                  <a:graphicData uri="http://schemas.microsoft.com/office/word/2010/wordprocessingShape">
                    <wps:wsp>
                      <wps:cNvSpPr/>
                      <wps:spPr>
                        <a:xfrm>
                          <a:off x="0" y="0"/>
                          <a:ext cx="191135" cy="1903730"/>
                        </a:xfrm>
                        <a:prstGeom prst="downArrow">
                          <a:avLst>
                            <a:gd name="adj1" fmla="val 20964"/>
                            <a:gd name="adj2" fmla="val 60482"/>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Down Arrow 21" o:spid="_x0000_s1026" type="#_x0000_t67" style="position:absolute;margin-left:26.55pt;margin-top:176.1pt;width:15.05pt;height:14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" adj="20288,8536" fillcolor="black [3213]" stroked="f">
                <v:shadow on="t" color="black" opacity="22937f" origin=",.5" offset="0,.63889mm"/>
              </v:shape>
            </w:pict>
          </mc:Fallback>
        </mc:AlternateContent>
      </w:r>
    </w:p>
    <w:p w14:paraId="704820FC" w14:textId="77777777" w:rsidR="00DA64C5" w:rsidRDefault="00DA64C5" w:rsidP="00DA64C5">
      <w:pPr>
        <w:spacing w:line="360" w:lineRule="auto"/>
        <w:jc w:val="both"/>
        <w:rPr>
          <w:rFonts w:ascii="Book Antiqua" w:eastAsia="宋体" w:hAnsi="Book Antiqua" w:cs="Arial"/>
          <w:b/>
          <w:lang w:eastAsia="zh-CN"/>
        </w:rPr>
      </w:pPr>
    </w:p>
    <w:p w14:paraId="1A2651C5" w14:textId="77777777" w:rsidR="00DA64C5" w:rsidRDefault="00DA64C5" w:rsidP="00DA64C5">
      <w:pPr>
        <w:spacing w:line="360" w:lineRule="auto"/>
        <w:jc w:val="both"/>
        <w:rPr>
          <w:rFonts w:ascii="Book Antiqua" w:eastAsia="宋体" w:hAnsi="Book Antiqua" w:cs="Arial"/>
          <w:b/>
          <w:lang w:eastAsia="zh-CN"/>
        </w:rPr>
      </w:pPr>
    </w:p>
    <w:p w14:paraId="4B1BAD89" w14:textId="77777777" w:rsidR="00DA64C5" w:rsidRDefault="00DA64C5" w:rsidP="00DA64C5">
      <w:pPr>
        <w:spacing w:line="360" w:lineRule="auto"/>
        <w:jc w:val="both"/>
        <w:rPr>
          <w:rFonts w:ascii="Book Antiqua" w:eastAsia="宋体" w:hAnsi="Book Antiqua" w:cs="Arial"/>
          <w:b/>
          <w:lang w:eastAsia="zh-CN"/>
        </w:rPr>
      </w:pPr>
    </w:p>
    <w:p w14:paraId="7FDD38BB" w14:textId="77777777" w:rsidR="00DA64C5" w:rsidRDefault="00DA64C5" w:rsidP="00DA64C5">
      <w:pPr>
        <w:spacing w:line="360" w:lineRule="auto"/>
        <w:jc w:val="both"/>
        <w:rPr>
          <w:rFonts w:ascii="Book Antiqua" w:eastAsia="宋体" w:hAnsi="Book Antiqua" w:cs="Arial"/>
          <w:b/>
          <w:lang w:eastAsia="zh-CN"/>
        </w:rPr>
      </w:pPr>
    </w:p>
    <w:p w14:paraId="64D66793" w14:textId="77777777" w:rsidR="00DA64C5" w:rsidRDefault="00DA64C5" w:rsidP="00DA64C5">
      <w:pPr>
        <w:spacing w:line="360" w:lineRule="auto"/>
        <w:jc w:val="both"/>
        <w:rPr>
          <w:rFonts w:ascii="Book Antiqua" w:eastAsia="宋体" w:hAnsi="Book Antiqua" w:cs="Arial"/>
          <w:b/>
          <w:lang w:eastAsia="zh-CN"/>
        </w:rPr>
      </w:pPr>
    </w:p>
    <w:p w14:paraId="1050662B" w14:textId="77777777" w:rsidR="00DA64C5" w:rsidRDefault="00DA64C5" w:rsidP="00DA64C5">
      <w:pPr>
        <w:spacing w:line="360" w:lineRule="auto"/>
        <w:jc w:val="both"/>
        <w:rPr>
          <w:rFonts w:ascii="Book Antiqua" w:eastAsia="宋体" w:hAnsi="Book Antiqua" w:cs="Arial"/>
          <w:b/>
          <w:lang w:eastAsia="zh-CN"/>
        </w:rPr>
      </w:pPr>
    </w:p>
    <w:p w14:paraId="776C4B72" w14:textId="77777777" w:rsidR="00DA64C5" w:rsidRDefault="00DA64C5" w:rsidP="00DA64C5">
      <w:pPr>
        <w:spacing w:line="360" w:lineRule="auto"/>
        <w:jc w:val="both"/>
        <w:rPr>
          <w:rFonts w:ascii="Book Antiqua" w:eastAsia="宋体" w:hAnsi="Book Antiqua" w:cs="Arial"/>
          <w:b/>
          <w:lang w:eastAsia="zh-CN"/>
        </w:rPr>
      </w:pPr>
    </w:p>
    <w:p w14:paraId="10974DBA" w14:textId="77777777" w:rsidR="00DA64C5" w:rsidRDefault="00DA64C5" w:rsidP="00DA64C5">
      <w:pPr>
        <w:spacing w:line="360" w:lineRule="auto"/>
        <w:jc w:val="both"/>
        <w:rPr>
          <w:rFonts w:ascii="Book Antiqua" w:eastAsia="宋体" w:hAnsi="Book Antiqua" w:cs="Arial"/>
          <w:b/>
          <w:lang w:eastAsia="zh-CN"/>
        </w:rPr>
      </w:pPr>
    </w:p>
    <w:p w14:paraId="178D8F0C" w14:textId="77777777" w:rsidR="00DA64C5" w:rsidRDefault="00DA64C5" w:rsidP="00DA64C5">
      <w:pPr>
        <w:spacing w:line="360" w:lineRule="auto"/>
        <w:jc w:val="both"/>
        <w:rPr>
          <w:rFonts w:ascii="Book Antiqua" w:eastAsia="宋体" w:hAnsi="Book Antiqua" w:cs="Arial"/>
          <w:b/>
          <w:lang w:eastAsia="zh-CN"/>
        </w:rPr>
      </w:pPr>
    </w:p>
    <w:p w14:paraId="2CB574DC" w14:textId="77777777" w:rsidR="00DA64C5" w:rsidRDefault="00DA64C5" w:rsidP="00DA64C5">
      <w:pPr>
        <w:spacing w:line="360" w:lineRule="auto"/>
        <w:jc w:val="both"/>
        <w:rPr>
          <w:rFonts w:ascii="Book Antiqua" w:eastAsia="宋体" w:hAnsi="Book Antiqua" w:cs="Arial"/>
          <w:b/>
          <w:lang w:eastAsia="zh-CN"/>
        </w:rPr>
      </w:pPr>
    </w:p>
    <w:p w14:paraId="4850E9EC" w14:textId="77777777" w:rsidR="00DA64C5" w:rsidRDefault="00DA64C5" w:rsidP="00DA64C5">
      <w:pPr>
        <w:spacing w:line="360" w:lineRule="auto"/>
        <w:jc w:val="both"/>
        <w:rPr>
          <w:rFonts w:ascii="Book Antiqua" w:eastAsia="宋体" w:hAnsi="Book Antiqua" w:cs="Arial"/>
          <w:b/>
          <w:lang w:eastAsia="zh-CN"/>
        </w:rPr>
      </w:pPr>
    </w:p>
    <w:p w14:paraId="632ADFF1" w14:textId="77777777" w:rsidR="00DA64C5" w:rsidRDefault="00DA64C5" w:rsidP="00DA64C5">
      <w:pPr>
        <w:spacing w:line="360" w:lineRule="auto"/>
        <w:jc w:val="both"/>
        <w:rPr>
          <w:rFonts w:ascii="Book Antiqua" w:eastAsia="宋体" w:hAnsi="Book Antiqua" w:cs="Arial"/>
          <w:b/>
          <w:lang w:eastAsia="zh-CN"/>
        </w:rPr>
      </w:pPr>
    </w:p>
    <w:p w14:paraId="7EDE1F40" w14:textId="77777777" w:rsidR="00DA64C5" w:rsidRDefault="00DA64C5" w:rsidP="00DA64C5">
      <w:pPr>
        <w:spacing w:line="360" w:lineRule="auto"/>
        <w:jc w:val="both"/>
        <w:rPr>
          <w:rFonts w:ascii="Book Antiqua" w:eastAsia="宋体" w:hAnsi="Book Antiqua" w:cs="Arial"/>
          <w:b/>
          <w:lang w:eastAsia="zh-CN"/>
        </w:rPr>
      </w:pPr>
    </w:p>
    <w:p w14:paraId="2A61E060" w14:textId="77777777" w:rsidR="00DA64C5" w:rsidRDefault="00DA64C5" w:rsidP="00DA64C5">
      <w:pPr>
        <w:spacing w:line="360" w:lineRule="auto"/>
        <w:jc w:val="both"/>
        <w:rPr>
          <w:rFonts w:ascii="Book Antiqua" w:eastAsia="宋体" w:hAnsi="Book Antiqua" w:cs="Arial"/>
          <w:b/>
          <w:lang w:eastAsia="zh-CN"/>
        </w:rPr>
      </w:pPr>
    </w:p>
    <w:p w14:paraId="07E97BC0" w14:textId="77777777" w:rsidR="00DA64C5" w:rsidRDefault="00DA64C5" w:rsidP="00DA64C5">
      <w:pPr>
        <w:spacing w:line="360" w:lineRule="auto"/>
        <w:jc w:val="both"/>
        <w:rPr>
          <w:rFonts w:ascii="Book Antiqua" w:eastAsia="宋体" w:hAnsi="Book Antiqua" w:cs="Arial"/>
          <w:b/>
          <w:lang w:eastAsia="zh-CN"/>
        </w:rPr>
      </w:pPr>
    </w:p>
    <w:p w14:paraId="233D230F" w14:textId="77777777" w:rsidR="00DA64C5" w:rsidRDefault="00DA64C5" w:rsidP="00DA64C5">
      <w:pPr>
        <w:spacing w:line="360" w:lineRule="auto"/>
        <w:jc w:val="both"/>
        <w:rPr>
          <w:rFonts w:ascii="Book Antiqua" w:eastAsia="宋体" w:hAnsi="Book Antiqua" w:cs="Arial"/>
          <w:b/>
          <w:lang w:eastAsia="zh-CN"/>
        </w:rPr>
      </w:pPr>
    </w:p>
    <w:p w14:paraId="55442E2A" w14:textId="1A169B14" w:rsidR="00DA64C5" w:rsidRPr="00DA64C5" w:rsidRDefault="00DA64C5" w:rsidP="00DA64C5">
      <w:pPr>
        <w:spacing w:line="360" w:lineRule="auto"/>
        <w:jc w:val="both"/>
        <w:rPr>
          <w:rFonts w:ascii="Book Antiqua" w:hAnsi="Book Antiqua" w:cs="Arial"/>
          <w:b/>
        </w:rPr>
      </w:pPr>
      <w:r w:rsidRPr="00341571">
        <w:rPr>
          <w:rFonts w:ascii="Book Antiqua" w:hAnsi="Book Antiqua" w:cs="Arial"/>
          <w:b/>
        </w:rPr>
        <w:t>Figure 1 Chemotherapy-related clinical course</w:t>
      </w:r>
      <w:r>
        <w:rPr>
          <w:rFonts w:ascii="Book Antiqua" w:eastAsia="宋体" w:hAnsi="Book Antiqua" w:cs="Arial" w:hint="eastAsia"/>
          <w:b/>
          <w:lang w:eastAsia="zh-CN"/>
        </w:rPr>
        <w:t>.</w:t>
      </w:r>
    </w:p>
    <w:p w14:paraId="33ABE4D7" w14:textId="77777777" w:rsidR="00DA64C5" w:rsidRDefault="00DA64C5" w:rsidP="00341571">
      <w:pPr>
        <w:spacing w:line="360" w:lineRule="auto"/>
        <w:jc w:val="both"/>
        <w:rPr>
          <w:rFonts w:ascii="Book Antiqua" w:eastAsia="宋体" w:hAnsi="Book Antiqua" w:cs="Arial"/>
          <w:b/>
          <w:lang w:eastAsia="zh-CN"/>
        </w:rPr>
      </w:pPr>
    </w:p>
    <w:p w14:paraId="1CFEC525" w14:textId="77777777" w:rsidR="00C75B26" w:rsidRPr="00341571" w:rsidRDefault="00C75B26" w:rsidP="00341571">
      <w:pPr>
        <w:spacing w:line="360" w:lineRule="auto"/>
        <w:jc w:val="both"/>
        <w:rPr>
          <w:rFonts w:ascii="Book Antiqua" w:hAnsi="Book Antiqua" w:cs="Arial"/>
          <w:b/>
        </w:rPr>
      </w:pPr>
      <w:r w:rsidRPr="00341571">
        <w:rPr>
          <w:rFonts w:ascii="Book Antiqua" w:hAnsi="Book Antiqua" w:cs="Arial"/>
          <w:b/>
          <w:noProof/>
          <w:lang w:eastAsia="zh-CN"/>
        </w:rPr>
        <w:lastRenderedPageBreak/>
        <w:drawing>
          <wp:inline distT="0" distB="0" distL="0" distR="0" wp14:anchorId="3467F9CB" wp14:editId="60119144">
            <wp:extent cx="5270500" cy="5220335"/>
            <wp:effectExtent l="0" t="0" r="1270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a:blip r:embed="rId7">
                      <a:extLst>
                        <a:ext uri="{28A0092B-C50C-407E-A947-70E740481C1C}">
                          <a14:useLocalDpi xmlns:a14="http://schemas.microsoft.com/office/drawing/2010/main" val="0"/>
                        </a:ext>
                      </a:extLst>
                    </a:blip>
                    <a:stretch>
                      <a:fillRect/>
                    </a:stretch>
                  </pic:blipFill>
                  <pic:spPr>
                    <a:xfrm>
                      <a:off x="0" y="0"/>
                      <a:ext cx="5270500" cy="5220335"/>
                    </a:xfrm>
                    <a:prstGeom prst="rect">
                      <a:avLst/>
                    </a:prstGeom>
                  </pic:spPr>
                </pic:pic>
              </a:graphicData>
            </a:graphic>
          </wp:inline>
        </w:drawing>
      </w:r>
    </w:p>
    <w:p w14:paraId="4B576F97" w14:textId="77777777" w:rsidR="00DA64C5" w:rsidRPr="00DA64C5" w:rsidRDefault="00DA64C5" w:rsidP="00DA64C5">
      <w:pPr>
        <w:spacing w:line="360" w:lineRule="auto"/>
        <w:jc w:val="both"/>
        <w:rPr>
          <w:rFonts w:ascii="Book Antiqua" w:eastAsia="宋体" w:hAnsi="Book Antiqua" w:cs="Arial"/>
          <w:b/>
          <w:lang w:eastAsia="zh-CN"/>
        </w:rPr>
      </w:pPr>
      <w:r w:rsidRPr="00341571">
        <w:rPr>
          <w:rFonts w:ascii="Book Antiqua" w:hAnsi="Book Antiqua" w:cs="Arial"/>
          <w:b/>
        </w:rPr>
        <w:t xml:space="preserve">Figure 2 Overall survival of patients initiated on palliative systemic chemotherapy </w:t>
      </w:r>
      <w:r w:rsidRPr="00DA64C5">
        <w:rPr>
          <w:rFonts w:ascii="Book Antiqua" w:hAnsi="Book Antiqua" w:cs="Arial"/>
          <w:b/>
          <w:i/>
        </w:rPr>
        <w:t>vs</w:t>
      </w:r>
      <w:r w:rsidRPr="00341571">
        <w:rPr>
          <w:rFonts w:ascii="Book Antiqua" w:hAnsi="Book Antiqua" w:cs="Arial"/>
          <w:b/>
        </w:rPr>
        <w:t xml:space="preserve"> patients who received best supportive care upfront</w:t>
      </w:r>
      <w:r>
        <w:rPr>
          <w:rFonts w:ascii="Book Antiqua" w:eastAsia="宋体" w:hAnsi="Book Antiqua" w:cs="Arial" w:hint="eastAsia"/>
          <w:b/>
          <w:lang w:eastAsia="zh-CN"/>
        </w:rPr>
        <w:t>.</w:t>
      </w:r>
    </w:p>
    <w:p w14:paraId="67BCCA35" w14:textId="156102BB" w:rsidR="00531784" w:rsidRDefault="00C75B26" w:rsidP="00341571">
      <w:pPr>
        <w:spacing w:line="360" w:lineRule="auto"/>
        <w:jc w:val="both"/>
        <w:rPr>
          <w:rFonts w:ascii="Book Antiqua" w:eastAsia="宋体" w:hAnsi="Book Antiqua" w:cs="Arial"/>
          <w:b/>
          <w:lang w:eastAsia="zh-CN"/>
        </w:rPr>
      </w:pPr>
      <w:r w:rsidRPr="00341571">
        <w:rPr>
          <w:rFonts w:ascii="Book Antiqua" w:hAnsi="Book Antiqua" w:cs="Arial"/>
          <w:b/>
          <w:noProof/>
          <w:lang w:eastAsia="zh-CN"/>
        </w:rPr>
        <w:lastRenderedPageBreak/>
        <w:drawing>
          <wp:inline distT="0" distB="0" distL="0" distR="0" wp14:anchorId="256B11FB" wp14:editId="7EAFC4CE">
            <wp:extent cx="5270500" cy="520954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8">
                      <a:extLst>
                        <a:ext uri="{28A0092B-C50C-407E-A947-70E740481C1C}">
                          <a14:useLocalDpi xmlns:a14="http://schemas.microsoft.com/office/drawing/2010/main" val="0"/>
                        </a:ext>
                      </a:extLst>
                    </a:blip>
                    <a:stretch>
                      <a:fillRect/>
                    </a:stretch>
                  </pic:blipFill>
                  <pic:spPr>
                    <a:xfrm>
                      <a:off x="0" y="0"/>
                      <a:ext cx="5270500" cy="5209540"/>
                    </a:xfrm>
                    <a:prstGeom prst="rect">
                      <a:avLst/>
                    </a:prstGeom>
                  </pic:spPr>
                </pic:pic>
              </a:graphicData>
            </a:graphic>
          </wp:inline>
        </w:drawing>
      </w:r>
    </w:p>
    <w:p w14:paraId="229210DA" w14:textId="77777777" w:rsidR="00DA64C5" w:rsidRDefault="00DA64C5" w:rsidP="00341571">
      <w:pPr>
        <w:spacing w:line="360" w:lineRule="auto"/>
        <w:jc w:val="both"/>
        <w:rPr>
          <w:rFonts w:ascii="Book Antiqua" w:eastAsia="宋体" w:hAnsi="Book Antiqua" w:cs="Arial"/>
          <w:b/>
          <w:lang w:eastAsia="zh-CN"/>
        </w:rPr>
      </w:pPr>
    </w:p>
    <w:p w14:paraId="2580DB34" w14:textId="77777777" w:rsidR="00DA64C5" w:rsidRPr="00DA64C5" w:rsidRDefault="00DA64C5" w:rsidP="00DA64C5">
      <w:pPr>
        <w:spacing w:line="360" w:lineRule="auto"/>
        <w:jc w:val="both"/>
        <w:rPr>
          <w:rFonts w:ascii="Book Antiqua" w:eastAsia="宋体" w:hAnsi="Book Antiqua" w:cs="Arial"/>
          <w:b/>
          <w:lang w:eastAsia="zh-CN"/>
        </w:rPr>
      </w:pPr>
      <w:r w:rsidRPr="00341571">
        <w:rPr>
          <w:rFonts w:ascii="Book Antiqua" w:hAnsi="Book Antiqua" w:cs="Arial"/>
          <w:b/>
        </w:rPr>
        <w:t>Figure 3 Overall survival of patients initiated on palliative systemic chemotherapy who had treatment disruptions</w:t>
      </w:r>
      <w:r w:rsidRPr="00DA64C5">
        <w:rPr>
          <w:rFonts w:ascii="Book Antiqua" w:hAnsi="Book Antiqua" w:cs="Arial"/>
          <w:b/>
          <w:i/>
        </w:rPr>
        <w:t xml:space="preserve"> vs</w:t>
      </w:r>
      <w:r w:rsidRPr="00341571">
        <w:rPr>
          <w:rFonts w:ascii="Book Antiqua" w:hAnsi="Book Antiqua" w:cs="Arial"/>
          <w:b/>
        </w:rPr>
        <w:t xml:space="preserve"> without treatment disruptions</w:t>
      </w:r>
      <w:r>
        <w:rPr>
          <w:rFonts w:ascii="Book Antiqua" w:eastAsia="宋体" w:hAnsi="Book Antiqua" w:cs="Arial" w:hint="eastAsia"/>
          <w:b/>
          <w:lang w:eastAsia="zh-CN"/>
        </w:rPr>
        <w:t>.</w:t>
      </w:r>
    </w:p>
    <w:p w14:paraId="589D4C31" w14:textId="77777777" w:rsidR="00DA64C5" w:rsidRPr="00DA64C5" w:rsidRDefault="00DA64C5" w:rsidP="00341571">
      <w:pPr>
        <w:spacing w:line="360" w:lineRule="auto"/>
        <w:jc w:val="both"/>
        <w:rPr>
          <w:rFonts w:ascii="Book Antiqua" w:eastAsia="宋体" w:hAnsi="Book Antiqua" w:cs="Arial"/>
          <w:b/>
          <w:lang w:eastAsia="zh-CN"/>
        </w:rPr>
      </w:pPr>
    </w:p>
    <w:sectPr w:rsidR="00DA64C5" w:rsidRPr="00DA64C5" w:rsidSect="00B719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C7E"/>
    <w:multiLevelType w:val="hybridMultilevel"/>
    <w:tmpl w:val="17DE0BC6"/>
    <w:lvl w:ilvl="0" w:tplc="F64081E0">
      <w:start w:val="1"/>
      <w:numFmt w:val="bullet"/>
      <w:lvlText w:val="-"/>
      <w:lvlJc w:val="left"/>
      <w:pPr>
        <w:tabs>
          <w:tab w:val="num" w:pos="720"/>
        </w:tabs>
        <w:ind w:left="720" w:hanging="360"/>
      </w:pPr>
      <w:rPr>
        <w:rFonts w:ascii="Times New Roman" w:hAnsi="Times New Roman" w:hint="default"/>
      </w:rPr>
    </w:lvl>
    <w:lvl w:ilvl="1" w:tplc="DD1AACBE" w:tentative="1">
      <w:start w:val="1"/>
      <w:numFmt w:val="bullet"/>
      <w:lvlText w:val="-"/>
      <w:lvlJc w:val="left"/>
      <w:pPr>
        <w:tabs>
          <w:tab w:val="num" w:pos="1440"/>
        </w:tabs>
        <w:ind w:left="1440" w:hanging="360"/>
      </w:pPr>
      <w:rPr>
        <w:rFonts w:ascii="Times New Roman" w:hAnsi="Times New Roman" w:hint="default"/>
      </w:rPr>
    </w:lvl>
    <w:lvl w:ilvl="2" w:tplc="9C40DACC" w:tentative="1">
      <w:start w:val="1"/>
      <w:numFmt w:val="bullet"/>
      <w:lvlText w:val="-"/>
      <w:lvlJc w:val="left"/>
      <w:pPr>
        <w:tabs>
          <w:tab w:val="num" w:pos="2160"/>
        </w:tabs>
        <w:ind w:left="2160" w:hanging="360"/>
      </w:pPr>
      <w:rPr>
        <w:rFonts w:ascii="Times New Roman" w:hAnsi="Times New Roman" w:hint="default"/>
      </w:rPr>
    </w:lvl>
    <w:lvl w:ilvl="3" w:tplc="5AC2457A" w:tentative="1">
      <w:start w:val="1"/>
      <w:numFmt w:val="bullet"/>
      <w:lvlText w:val="-"/>
      <w:lvlJc w:val="left"/>
      <w:pPr>
        <w:tabs>
          <w:tab w:val="num" w:pos="2880"/>
        </w:tabs>
        <w:ind w:left="2880" w:hanging="360"/>
      </w:pPr>
      <w:rPr>
        <w:rFonts w:ascii="Times New Roman" w:hAnsi="Times New Roman" w:hint="default"/>
      </w:rPr>
    </w:lvl>
    <w:lvl w:ilvl="4" w:tplc="E22072D0" w:tentative="1">
      <w:start w:val="1"/>
      <w:numFmt w:val="bullet"/>
      <w:lvlText w:val="-"/>
      <w:lvlJc w:val="left"/>
      <w:pPr>
        <w:tabs>
          <w:tab w:val="num" w:pos="3600"/>
        </w:tabs>
        <w:ind w:left="3600" w:hanging="360"/>
      </w:pPr>
      <w:rPr>
        <w:rFonts w:ascii="Times New Roman" w:hAnsi="Times New Roman" w:hint="default"/>
      </w:rPr>
    </w:lvl>
    <w:lvl w:ilvl="5" w:tplc="367A5910" w:tentative="1">
      <w:start w:val="1"/>
      <w:numFmt w:val="bullet"/>
      <w:lvlText w:val="-"/>
      <w:lvlJc w:val="left"/>
      <w:pPr>
        <w:tabs>
          <w:tab w:val="num" w:pos="4320"/>
        </w:tabs>
        <w:ind w:left="4320" w:hanging="360"/>
      </w:pPr>
      <w:rPr>
        <w:rFonts w:ascii="Times New Roman" w:hAnsi="Times New Roman" w:hint="default"/>
      </w:rPr>
    </w:lvl>
    <w:lvl w:ilvl="6" w:tplc="4C42F02C" w:tentative="1">
      <w:start w:val="1"/>
      <w:numFmt w:val="bullet"/>
      <w:lvlText w:val="-"/>
      <w:lvlJc w:val="left"/>
      <w:pPr>
        <w:tabs>
          <w:tab w:val="num" w:pos="5040"/>
        </w:tabs>
        <w:ind w:left="5040" w:hanging="360"/>
      </w:pPr>
      <w:rPr>
        <w:rFonts w:ascii="Times New Roman" w:hAnsi="Times New Roman" w:hint="default"/>
      </w:rPr>
    </w:lvl>
    <w:lvl w:ilvl="7" w:tplc="6EC2746E" w:tentative="1">
      <w:start w:val="1"/>
      <w:numFmt w:val="bullet"/>
      <w:lvlText w:val="-"/>
      <w:lvlJc w:val="left"/>
      <w:pPr>
        <w:tabs>
          <w:tab w:val="num" w:pos="5760"/>
        </w:tabs>
        <w:ind w:left="5760" w:hanging="360"/>
      </w:pPr>
      <w:rPr>
        <w:rFonts w:ascii="Times New Roman" w:hAnsi="Times New Roman" w:hint="default"/>
      </w:rPr>
    </w:lvl>
    <w:lvl w:ilvl="8" w:tplc="3D6A7B5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6573E51"/>
    <w:multiLevelType w:val="hybridMultilevel"/>
    <w:tmpl w:val="3230A5C0"/>
    <w:lvl w:ilvl="0" w:tplc="33A25158">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55"/>
    <w:rsid w:val="00036BB4"/>
    <w:rsid w:val="000467B8"/>
    <w:rsid w:val="00097993"/>
    <w:rsid w:val="000D0AD0"/>
    <w:rsid w:val="000D5783"/>
    <w:rsid w:val="000D791D"/>
    <w:rsid w:val="000F4FD4"/>
    <w:rsid w:val="00100B78"/>
    <w:rsid w:val="00124740"/>
    <w:rsid w:val="0015728A"/>
    <w:rsid w:val="00162AAC"/>
    <w:rsid w:val="00174455"/>
    <w:rsid w:val="00193C8F"/>
    <w:rsid w:val="001B467B"/>
    <w:rsid w:val="001C4253"/>
    <w:rsid w:val="00201577"/>
    <w:rsid w:val="00225721"/>
    <w:rsid w:val="00234A59"/>
    <w:rsid w:val="0024022F"/>
    <w:rsid w:val="00267F0D"/>
    <w:rsid w:val="0029116F"/>
    <w:rsid w:val="00292B77"/>
    <w:rsid w:val="002B0454"/>
    <w:rsid w:val="002B423B"/>
    <w:rsid w:val="002C048B"/>
    <w:rsid w:val="002C6ADE"/>
    <w:rsid w:val="002F369C"/>
    <w:rsid w:val="002F3B77"/>
    <w:rsid w:val="00304D72"/>
    <w:rsid w:val="00316A9B"/>
    <w:rsid w:val="00316C04"/>
    <w:rsid w:val="003243B6"/>
    <w:rsid w:val="00331782"/>
    <w:rsid w:val="00341571"/>
    <w:rsid w:val="00391037"/>
    <w:rsid w:val="003A373B"/>
    <w:rsid w:val="003E6E6F"/>
    <w:rsid w:val="003F6BDE"/>
    <w:rsid w:val="00420CD7"/>
    <w:rsid w:val="00432A3C"/>
    <w:rsid w:val="00443758"/>
    <w:rsid w:val="00454D00"/>
    <w:rsid w:val="00455869"/>
    <w:rsid w:val="00461843"/>
    <w:rsid w:val="004B24FD"/>
    <w:rsid w:val="004E388A"/>
    <w:rsid w:val="004F43B6"/>
    <w:rsid w:val="005073B1"/>
    <w:rsid w:val="00507DC0"/>
    <w:rsid w:val="005219E6"/>
    <w:rsid w:val="00531784"/>
    <w:rsid w:val="00534EFD"/>
    <w:rsid w:val="0054406E"/>
    <w:rsid w:val="00551386"/>
    <w:rsid w:val="00583504"/>
    <w:rsid w:val="00583EC7"/>
    <w:rsid w:val="005A5CAD"/>
    <w:rsid w:val="005A7827"/>
    <w:rsid w:val="005C2702"/>
    <w:rsid w:val="005C2B66"/>
    <w:rsid w:val="005D21F6"/>
    <w:rsid w:val="005D644D"/>
    <w:rsid w:val="005D6E38"/>
    <w:rsid w:val="005D7E79"/>
    <w:rsid w:val="005E04C2"/>
    <w:rsid w:val="005E57E0"/>
    <w:rsid w:val="00614EC6"/>
    <w:rsid w:val="00621BA2"/>
    <w:rsid w:val="0062492A"/>
    <w:rsid w:val="00625CB8"/>
    <w:rsid w:val="00626CC4"/>
    <w:rsid w:val="0062713F"/>
    <w:rsid w:val="00641346"/>
    <w:rsid w:val="006513F1"/>
    <w:rsid w:val="00695AC2"/>
    <w:rsid w:val="006E6F55"/>
    <w:rsid w:val="00712011"/>
    <w:rsid w:val="0074099D"/>
    <w:rsid w:val="007433D6"/>
    <w:rsid w:val="0074487C"/>
    <w:rsid w:val="00757A88"/>
    <w:rsid w:val="007661DF"/>
    <w:rsid w:val="0076669C"/>
    <w:rsid w:val="00767AF4"/>
    <w:rsid w:val="007829BC"/>
    <w:rsid w:val="00787D18"/>
    <w:rsid w:val="007A4D87"/>
    <w:rsid w:val="007C0F6C"/>
    <w:rsid w:val="007E505A"/>
    <w:rsid w:val="007F33E6"/>
    <w:rsid w:val="007F370D"/>
    <w:rsid w:val="007F787C"/>
    <w:rsid w:val="0081780C"/>
    <w:rsid w:val="0084710A"/>
    <w:rsid w:val="008714AD"/>
    <w:rsid w:val="00875431"/>
    <w:rsid w:val="008878EC"/>
    <w:rsid w:val="008B45D6"/>
    <w:rsid w:val="008C3260"/>
    <w:rsid w:val="008D031B"/>
    <w:rsid w:val="008D54C0"/>
    <w:rsid w:val="00911614"/>
    <w:rsid w:val="009276CE"/>
    <w:rsid w:val="00941D4A"/>
    <w:rsid w:val="0094403D"/>
    <w:rsid w:val="00960102"/>
    <w:rsid w:val="009B3C5E"/>
    <w:rsid w:val="009B7469"/>
    <w:rsid w:val="009D7584"/>
    <w:rsid w:val="009E3FBE"/>
    <w:rsid w:val="009F53D1"/>
    <w:rsid w:val="00A01FBC"/>
    <w:rsid w:val="00A138ED"/>
    <w:rsid w:val="00A27C71"/>
    <w:rsid w:val="00A305A7"/>
    <w:rsid w:val="00A4056C"/>
    <w:rsid w:val="00A44354"/>
    <w:rsid w:val="00A60AEA"/>
    <w:rsid w:val="00A60EF2"/>
    <w:rsid w:val="00A7280A"/>
    <w:rsid w:val="00A86C2E"/>
    <w:rsid w:val="00A91B43"/>
    <w:rsid w:val="00AA2E46"/>
    <w:rsid w:val="00AB61E8"/>
    <w:rsid w:val="00AC36B6"/>
    <w:rsid w:val="00AD29AB"/>
    <w:rsid w:val="00AE6FE5"/>
    <w:rsid w:val="00AF40D7"/>
    <w:rsid w:val="00AF572F"/>
    <w:rsid w:val="00AF57E1"/>
    <w:rsid w:val="00B04A48"/>
    <w:rsid w:val="00B400C2"/>
    <w:rsid w:val="00B4796B"/>
    <w:rsid w:val="00B568F2"/>
    <w:rsid w:val="00B612D3"/>
    <w:rsid w:val="00B63135"/>
    <w:rsid w:val="00B70650"/>
    <w:rsid w:val="00B71981"/>
    <w:rsid w:val="00B81525"/>
    <w:rsid w:val="00BB6BA4"/>
    <w:rsid w:val="00BD50A6"/>
    <w:rsid w:val="00BE43E4"/>
    <w:rsid w:val="00BE4936"/>
    <w:rsid w:val="00BF6134"/>
    <w:rsid w:val="00C12657"/>
    <w:rsid w:val="00C135E3"/>
    <w:rsid w:val="00C1486D"/>
    <w:rsid w:val="00C33C92"/>
    <w:rsid w:val="00C43C48"/>
    <w:rsid w:val="00C45AB7"/>
    <w:rsid w:val="00C52208"/>
    <w:rsid w:val="00C72DA5"/>
    <w:rsid w:val="00C75B26"/>
    <w:rsid w:val="00C817F1"/>
    <w:rsid w:val="00C9257E"/>
    <w:rsid w:val="00C969FA"/>
    <w:rsid w:val="00CB580D"/>
    <w:rsid w:val="00CC45B2"/>
    <w:rsid w:val="00CC6830"/>
    <w:rsid w:val="00CD7A83"/>
    <w:rsid w:val="00CF37A7"/>
    <w:rsid w:val="00D01A3C"/>
    <w:rsid w:val="00D303FC"/>
    <w:rsid w:val="00D51234"/>
    <w:rsid w:val="00D8596E"/>
    <w:rsid w:val="00D92683"/>
    <w:rsid w:val="00DA64C5"/>
    <w:rsid w:val="00DB1A80"/>
    <w:rsid w:val="00DB5243"/>
    <w:rsid w:val="00DC3D4A"/>
    <w:rsid w:val="00DC4D2E"/>
    <w:rsid w:val="00DD2631"/>
    <w:rsid w:val="00DD4D70"/>
    <w:rsid w:val="00DD6649"/>
    <w:rsid w:val="00DE490F"/>
    <w:rsid w:val="00DF3B3A"/>
    <w:rsid w:val="00E023F8"/>
    <w:rsid w:val="00E049BA"/>
    <w:rsid w:val="00E16DA8"/>
    <w:rsid w:val="00E218C0"/>
    <w:rsid w:val="00E23580"/>
    <w:rsid w:val="00E27A13"/>
    <w:rsid w:val="00E34618"/>
    <w:rsid w:val="00E5109B"/>
    <w:rsid w:val="00E56391"/>
    <w:rsid w:val="00E66973"/>
    <w:rsid w:val="00E730BA"/>
    <w:rsid w:val="00E93CB4"/>
    <w:rsid w:val="00ED073C"/>
    <w:rsid w:val="00ED3CF6"/>
    <w:rsid w:val="00EF11CC"/>
    <w:rsid w:val="00F31403"/>
    <w:rsid w:val="00F40DAC"/>
    <w:rsid w:val="00F42B6E"/>
    <w:rsid w:val="00F81C0B"/>
    <w:rsid w:val="00F9137A"/>
    <w:rsid w:val="00FA60E0"/>
    <w:rsid w:val="00FE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CC0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04D72"/>
    <w:rPr>
      <w:rFonts w:ascii="Lucida Grande" w:hAnsi="Lucida Grande" w:cs="Lucida Grande"/>
      <w:sz w:val="18"/>
      <w:szCs w:val="18"/>
    </w:rPr>
  </w:style>
  <w:style w:type="character" w:customStyle="1" w:styleId="Char">
    <w:name w:val="批注框文本 Char"/>
    <w:basedOn w:val="a0"/>
    <w:link w:val="a4"/>
    <w:uiPriority w:val="99"/>
    <w:semiHidden/>
    <w:rsid w:val="00304D72"/>
    <w:rPr>
      <w:rFonts w:ascii="Lucida Grande" w:hAnsi="Lucida Grande" w:cs="Lucida Grande"/>
      <w:sz w:val="18"/>
      <w:szCs w:val="18"/>
    </w:rPr>
  </w:style>
  <w:style w:type="character" w:styleId="a5">
    <w:name w:val="annotation reference"/>
    <w:basedOn w:val="a0"/>
    <w:uiPriority w:val="99"/>
    <w:semiHidden/>
    <w:unhideWhenUsed/>
    <w:rsid w:val="00443758"/>
    <w:rPr>
      <w:sz w:val="16"/>
      <w:szCs w:val="16"/>
    </w:rPr>
  </w:style>
  <w:style w:type="paragraph" w:styleId="a6">
    <w:name w:val="annotation text"/>
    <w:basedOn w:val="a"/>
    <w:link w:val="Char0"/>
    <w:uiPriority w:val="99"/>
    <w:unhideWhenUsed/>
    <w:rsid w:val="00443758"/>
    <w:rPr>
      <w:sz w:val="20"/>
      <w:szCs w:val="20"/>
    </w:rPr>
  </w:style>
  <w:style w:type="character" w:customStyle="1" w:styleId="Char0">
    <w:name w:val="批注文字 Char"/>
    <w:basedOn w:val="a0"/>
    <w:link w:val="a6"/>
    <w:uiPriority w:val="99"/>
    <w:rsid w:val="00443758"/>
    <w:rPr>
      <w:sz w:val="20"/>
      <w:szCs w:val="20"/>
    </w:rPr>
  </w:style>
  <w:style w:type="paragraph" w:styleId="a7">
    <w:name w:val="annotation subject"/>
    <w:basedOn w:val="a6"/>
    <w:next w:val="a6"/>
    <w:link w:val="Char1"/>
    <w:uiPriority w:val="99"/>
    <w:semiHidden/>
    <w:unhideWhenUsed/>
    <w:rsid w:val="00443758"/>
    <w:rPr>
      <w:b/>
      <w:bCs/>
    </w:rPr>
  </w:style>
  <w:style w:type="character" w:customStyle="1" w:styleId="Char1">
    <w:name w:val="批注主题 Char"/>
    <w:basedOn w:val="Char0"/>
    <w:link w:val="a7"/>
    <w:uiPriority w:val="99"/>
    <w:semiHidden/>
    <w:rsid w:val="00443758"/>
    <w:rPr>
      <w:b/>
      <w:bCs/>
      <w:sz w:val="20"/>
      <w:szCs w:val="20"/>
    </w:rPr>
  </w:style>
  <w:style w:type="paragraph" w:styleId="a8">
    <w:name w:val="List Paragraph"/>
    <w:basedOn w:val="a"/>
    <w:uiPriority w:val="34"/>
    <w:qFormat/>
    <w:rsid w:val="009E3FBE"/>
    <w:pPr>
      <w:ind w:left="720"/>
      <w:contextualSpacing/>
    </w:pPr>
  </w:style>
  <w:style w:type="character" w:customStyle="1" w:styleId="apple-converted-space">
    <w:name w:val="apple-converted-space"/>
    <w:basedOn w:val="a0"/>
    <w:rsid w:val="00E23580"/>
  </w:style>
  <w:style w:type="character" w:styleId="a9">
    <w:name w:val="Hyperlink"/>
    <w:basedOn w:val="a0"/>
    <w:uiPriority w:val="99"/>
    <w:unhideWhenUsed/>
    <w:rsid w:val="005219E6"/>
    <w:rPr>
      <w:color w:val="0000FF" w:themeColor="hyperlink"/>
      <w:u w:val="single"/>
    </w:rPr>
  </w:style>
  <w:style w:type="paragraph" w:styleId="aa">
    <w:name w:val="Revision"/>
    <w:hidden/>
    <w:uiPriority w:val="99"/>
    <w:semiHidden/>
    <w:rsid w:val="00FE57BB"/>
  </w:style>
  <w:style w:type="paragraph" w:styleId="ab">
    <w:name w:val="Normal (Web)"/>
    <w:basedOn w:val="a"/>
    <w:uiPriority w:val="99"/>
    <w:semiHidden/>
    <w:unhideWhenUsed/>
    <w:rsid w:val="0076669C"/>
    <w:pPr>
      <w:spacing w:before="100" w:beforeAutospacing="1" w:after="100" w:afterAutospacing="1"/>
    </w:pPr>
    <w:rPr>
      <w:rFonts w:ascii="Times New Roman" w:hAnsi="Times New Roman" w:cs="Times New Roman"/>
      <w:lang w:val="en-SG" w:eastAsia="zh-CN"/>
    </w:rPr>
  </w:style>
  <w:style w:type="character" w:styleId="ac">
    <w:name w:val="Emphasis"/>
    <w:qFormat/>
    <w:rsid w:val="00454D00"/>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304D72"/>
    <w:rPr>
      <w:rFonts w:ascii="Lucida Grande" w:hAnsi="Lucida Grande" w:cs="Lucida Grande"/>
      <w:sz w:val="18"/>
      <w:szCs w:val="18"/>
    </w:rPr>
  </w:style>
  <w:style w:type="character" w:customStyle="1" w:styleId="Char">
    <w:name w:val="批注框文本 Char"/>
    <w:basedOn w:val="a0"/>
    <w:link w:val="a4"/>
    <w:uiPriority w:val="99"/>
    <w:semiHidden/>
    <w:rsid w:val="00304D72"/>
    <w:rPr>
      <w:rFonts w:ascii="Lucida Grande" w:hAnsi="Lucida Grande" w:cs="Lucida Grande"/>
      <w:sz w:val="18"/>
      <w:szCs w:val="18"/>
    </w:rPr>
  </w:style>
  <w:style w:type="character" w:styleId="a5">
    <w:name w:val="annotation reference"/>
    <w:basedOn w:val="a0"/>
    <w:uiPriority w:val="99"/>
    <w:semiHidden/>
    <w:unhideWhenUsed/>
    <w:rsid w:val="00443758"/>
    <w:rPr>
      <w:sz w:val="16"/>
      <w:szCs w:val="16"/>
    </w:rPr>
  </w:style>
  <w:style w:type="paragraph" w:styleId="a6">
    <w:name w:val="annotation text"/>
    <w:basedOn w:val="a"/>
    <w:link w:val="Char0"/>
    <w:uiPriority w:val="99"/>
    <w:unhideWhenUsed/>
    <w:rsid w:val="00443758"/>
    <w:rPr>
      <w:sz w:val="20"/>
      <w:szCs w:val="20"/>
    </w:rPr>
  </w:style>
  <w:style w:type="character" w:customStyle="1" w:styleId="Char0">
    <w:name w:val="批注文字 Char"/>
    <w:basedOn w:val="a0"/>
    <w:link w:val="a6"/>
    <w:uiPriority w:val="99"/>
    <w:rsid w:val="00443758"/>
    <w:rPr>
      <w:sz w:val="20"/>
      <w:szCs w:val="20"/>
    </w:rPr>
  </w:style>
  <w:style w:type="paragraph" w:styleId="a7">
    <w:name w:val="annotation subject"/>
    <w:basedOn w:val="a6"/>
    <w:next w:val="a6"/>
    <w:link w:val="Char1"/>
    <w:uiPriority w:val="99"/>
    <w:semiHidden/>
    <w:unhideWhenUsed/>
    <w:rsid w:val="00443758"/>
    <w:rPr>
      <w:b/>
      <w:bCs/>
    </w:rPr>
  </w:style>
  <w:style w:type="character" w:customStyle="1" w:styleId="Char1">
    <w:name w:val="批注主题 Char"/>
    <w:basedOn w:val="Char0"/>
    <w:link w:val="a7"/>
    <w:uiPriority w:val="99"/>
    <w:semiHidden/>
    <w:rsid w:val="00443758"/>
    <w:rPr>
      <w:b/>
      <w:bCs/>
      <w:sz w:val="20"/>
      <w:szCs w:val="20"/>
    </w:rPr>
  </w:style>
  <w:style w:type="paragraph" w:styleId="a8">
    <w:name w:val="List Paragraph"/>
    <w:basedOn w:val="a"/>
    <w:uiPriority w:val="34"/>
    <w:qFormat/>
    <w:rsid w:val="009E3FBE"/>
    <w:pPr>
      <w:ind w:left="720"/>
      <w:contextualSpacing/>
    </w:pPr>
  </w:style>
  <w:style w:type="character" w:customStyle="1" w:styleId="apple-converted-space">
    <w:name w:val="apple-converted-space"/>
    <w:basedOn w:val="a0"/>
    <w:rsid w:val="00E23580"/>
  </w:style>
  <w:style w:type="character" w:styleId="a9">
    <w:name w:val="Hyperlink"/>
    <w:basedOn w:val="a0"/>
    <w:uiPriority w:val="99"/>
    <w:unhideWhenUsed/>
    <w:rsid w:val="005219E6"/>
    <w:rPr>
      <w:color w:val="0000FF" w:themeColor="hyperlink"/>
      <w:u w:val="single"/>
    </w:rPr>
  </w:style>
  <w:style w:type="paragraph" w:styleId="aa">
    <w:name w:val="Revision"/>
    <w:hidden/>
    <w:uiPriority w:val="99"/>
    <w:semiHidden/>
    <w:rsid w:val="00FE57BB"/>
  </w:style>
  <w:style w:type="paragraph" w:styleId="ab">
    <w:name w:val="Normal (Web)"/>
    <w:basedOn w:val="a"/>
    <w:uiPriority w:val="99"/>
    <w:semiHidden/>
    <w:unhideWhenUsed/>
    <w:rsid w:val="0076669C"/>
    <w:pPr>
      <w:spacing w:before="100" w:beforeAutospacing="1" w:after="100" w:afterAutospacing="1"/>
    </w:pPr>
    <w:rPr>
      <w:rFonts w:ascii="Times New Roman" w:hAnsi="Times New Roman" w:cs="Times New Roman"/>
      <w:lang w:val="en-SG" w:eastAsia="zh-CN"/>
    </w:rPr>
  </w:style>
  <w:style w:type="character" w:styleId="ac">
    <w:name w:val="Emphasis"/>
    <w:qFormat/>
    <w:rsid w:val="00454D0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3059">
      <w:bodyDiv w:val="1"/>
      <w:marLeft w:val="0"/>
      <w:marRight w:val="0"/>
      <w:marTop w:val="0"/>
      <w:marBottom w:val="0"/>
      <w:divBdr>
        <w:top w:val="none" w:sz="0" w:space="0" w:color="auto"/>
        <w:left w:val="none" w:sz="0" w:space="0" w:color="auto"/>
        <w:bottom w:val="none" w:sz="0" w:space="0" w:color="auto"/>
        <w:right w:val="none" w:sz="0" w:space="0" w:color="auto"/>
      </w:divBdr>
    </w:div>
    <w:div w:id="533543015">
      <w:bodyDiv w:val="1"/>
      <w:marLeft w:val="0"/>
      <w:marRight w:val="0"/>
      <w:marTop w:val="0"/>
      <w:marBottom w:val="0"/>
      <w:divBdr>
        <w:top w:val="none" w:sz="0" w:space="0" w:color="auto"/>
        <w:left w:val="none" w:sz="0" w:space="0" w:color="auto"/>
        <w:bottom w:val="none" w:sz="0" w:space="0" w:color="auto"/>
        <w:right w:val="none" w:sz="0" w:space="0" w:color="auto"/>
      </w:divBdr>
    </w:div>
    <w:div w:id="783958048">
      <w:bodyDiv w:val="1"/>
      <w:marLeft w:val="0"/>
      <w:marRight w:val="0"/>
      <w:marTop w:val="0"/>
      <w:marBottom w:val="0"/>
      <w:divBdr>
        <w:top w:val="none" w:sz="0" w:space="0" w:color="auto"/>
        <w:left w:val="none" w:sz="0" w:space="0" w:color="auto"/>
        <w:bottom w:val="none" w:sz="0" w:space="0" w:color="auto"/>
        <w:right w:val="none" w:sz="0" w:space="0" w:color="auto"/>
      </w:divBdr>
      <w:divsChild>
        <w:div w:id="1628856731">
          <w:marLeft w:val="0"/>
          <w:marRight w:val="0"/>
          <w:marTop w:val="0"/>
          <w:marBottom w:val="0"/>
          <w:divBdr>
            <w:top w:val="none" w:sz="0" w:space="0" w:color="auto"/>
            <w:left w:val="none" w:sz="0" w:space="0" w:color="auto"/>
            <w:bottom w:val="none" w:sz="0" w:space="0" w:color="auto"/>
            <w:right w:val="none" w:sz="0" w:space="0" w:color="auto"/>
          </w:divBdr>
          <w:divsChild>
            <w:div w:id="151485498">
              <w:marLeft w:val="0"/>
              <w:marRight w:val="0"/>
              <w:marTop w:val="0"/>
              <w:marBottom w:val="0"/>
              <w:divBdr>
                <w:top w:val="none" w:sz="0" w:space="0" w:color="auto"/>
                <w:left w:val="none" w:sz="0" w:space="0" w:color="auto"/>
                <w:bottom w:val="none" w:sz="0" w:space="0" w:color="auto"/>
                <w:right w:val="none" w:sz="0" w:space="0" w:color="auto"/>
              </w:divBdr>
            </w:div>
            <w:div w:id="1480265204">
              <w:marLeft w:val="0"/>
              <w:marRight w:val="0"/>
              <w:marTop w:val="0"/>
              <w:marBottom w:val="0"/>
              <w:divBdr>
                <w:top w:val="none" w:sz="0" w:space="0" w:color="auto"/>
                <w:left w:val="none" w:sz="0" w:space="0" w:color="auto"/>
                <w:bottom w:val="none" w:sz="0" w:space="0" w:color="auto"/>
                <w:right w:val="none" w:sz="0" w:space="0" w:color="auto"/>
              </w:divBdr>
            </w:div>
            <w:div w:id="1730609977">
              <w:marLeft w:val="0"/>
              <w:marRight w:val="0"/>
              <w:marTop w:val="0"/>
              <w:marBottom w:val="0"/>
              <w:divBdr>
                <w:top w:val="none" w:sz="0" w:space="0" w:color="auto"/>
                <w:left w:val="none" w:sz="0" w:space="0" w:color="auto"/>
                <w:bottom w:val="none" w:sz="0" w:space="0" w:color="auto"/>
                <w:right w:val="none" w:sz="0" w:space="0" w:color="auto"/>
              </w:divBdr>
            </w:div>
            <w:div w:id="823666799">
              <w:marLeft w:val="0"/>
              <w:marRight w:val="0"/>
              <w:marTop w:val="0"/>
              <w:marBottom w:val="0"/>
              <w:divBdr>
                <w:top w:val="none" w:sz="0" w:space="0" w:color="auto"/>
                <w:left w:val="none" w:sz="0" w:space="0" w:color="auto"/>
                <w:bottom w:val="none" w:sz="0" w:space="0" w:color="auto"/>
                <w:right w:val="none" w:sz="0" w:space="0" w:color="auto"/>
              </w:divBdr>
            </w:div>
            <w:div w:id="858468617">
              <w:marLeft w:val="0"/>
              <w:marRight w:val="0"/>
              <w:marTop w:val="0"/>
              <w:marBottom w:val="0"/>
              <w:divBdr>
                <w:top w:val="none" w:sz="0" w:space="0" w:color="auto"/>
                <w:left w:val="none" w:sz="0" w:space="0" w:color="auto"/>
                <w:bottom w:val="none" w:sz="0" w:space="0" w:color="auto"/>
                <w:right w:val="none" w:sz="0" w:space="0" w:color="auto"/>
              </w:divBdr>
            </w:div>
            <w:div w:id="713583803">
              <w:marLeft w:val="0"/>
              <w:marRight w:val="0"/>
              <w:marTop w:val="0"/>
              <w:marBottom w:val="0"/>
              <w:divBdr>
                <w:top w:val="none" w:sz="0" w:space="0" w:color="auto"/>
                <w:left w:val="none" w:sz="0" w:space="0" w:color="auto"/>
                <w:bottom w:val="none" w:sz="0" w:space="0" w:color="auto"/>
                <w:right w:val="none" w:sz="0" w:space="0" w:color="auto"/>
              </w:divBdr>
            </w:div>
            <w:div w:id="1552035121">
              <w:marLeft w:val="0"/>
              <w:marRight w:val="0"/>
              <w:marTop w:val="0"/>
              <w:marBottom w:val="0"/>
              <w:divBdr>
                <w:top w:val="none" w:sz="0" w:space="0" w:color="auto"/>
                <w:left w:val="none" w:sz="0" w:space="0" w:color="auto"/>
                <w:bottom w:val="none" w:sz="0" w:space="0" w:color="auto"/>
                <w:right w:val="none" w:sz="0" w:space="0" w:color="auto"/>
              </w:divBdr>
            </w:div>
            <w:div w:id="1275017677">
              <w:marLeft w:val="0"/>
              <w:marRight w:val="0"/>
              <w:marTop w:val="0"/>
              <w:marBottom w:val="0"/>
              <w:divBdr>
                <w:top w:val="none" w:sz="0" w:space="0" w:color="auto"/>
                <w:left w:val="none" w:sz="0" w:space="0" w:color="auto"/>
                <w:bottom w:val="none" w:sz="0" w:space="0" w:color="auto"/>
                <w:right w:val="none" w:sz="0" w:space="0" w:color="auto"/>
              </w:divBdr>
            </w:div>
            <w:div w:id="2146467342">
              <w:marLeft w:val="0"/>
              <w:marRight w:val="0"/>
              <w:marTop w:val="0"/>
              <w:marBottom w:val="0"/>
              <w:divBdr>
                <w:top w:val="none" w:sz="0" w:space="0" w:color="auto"/>
                <w:left w:val="none" w:sz="0" w:space="0" w:color="auto"/>
                <w:bottom w:val="none" w:sz="0" w:space="0" w:color="auto"/>
                <w:right w:val="none" w:sz="0" w:space="0" w:color="auto"/>
              </w:divBdr>
            </w:div>
            <w:div w:id="351732849">
              <w:marLeft w:val="0"/>
              <w:marRight w:val="0"/>
              <w:marTop w:val="0"/>
              <w:marBottom w:val="0"/>
              <w:divBdr>
                <w:top w:val="none" w:sz="0" w:space="0" w:color="auto"/>
                <w:left w:val="none" w:sz="0" w:space="0" w:color="auto"/>
                <w:bottom w:val="none" w:sz="0" w:space="0" w:color="auto"/>
                <w:right w:val="none" w:sz="0" w:space="0" w:color="auto"/>
              </w:divBdr>
            </w:div>
            <w:div w:id="1609115682">
              <w:marLeft w:val="0"/>
              <w:marRight w:val="0"/>
              <w:marTop w:val="0"/>
              <w:marBottom w:val="0"/>
              <w:divBdr>
                <w:top w:val="none" w:sz="0" w:space="0" w:color="auto"/>
                <w:left w:val="none" w:sz="0" w:space="0" w:color="auto"/>
                <w:bottom w:val="none" w:sz="0" w:space="0" w:color="auto"/>
                <w:right w:val="none" w:sz="0" w:space="0" w:color="auto"/>
              </w:divBdr>
            </w:div>
            <w:div w:id="862281259">
              <w:marLeft w:val="0"/>
              <w:marRight w:val="0"/>
              <w:marTop w:val="0"/>
              <w:marBottom w:val="0"/>
              <w:divBdr>
                <w:top w:val="none" w:sz="0" w:space="0" w:color="auto"/>
                <w:left w:val="none" w:sz="0" w:space="0" w:color="auto"/>
                <w:bottom w:val="none" w:sz="0" w:space="0" w:color="auto"/>
                <w:right w:val="none" w:sz="0" w:space="0" w:color="auto"/>
              </w:divBdr>
            </w:div>
            <w:div w:id="775709770">
              <w:marLeft w:val="0"/>
              <w:marRight w:val="0"/>
              <w:marTop w:val="0"/>
              <w:marBottom w:val="0"/>
              <w:divBdr>
                <w:top w:val="none" w:sz="0" w:space="0" w:color="auto"/>
                <w:left w:val="none" w:sz="0" w:space="0" w:color="auto"/>
                <w:bottom w:val="none" w:sz="0" w:space="0" w:color="auto"/>
                <w:right w:val="none" w:sz="0" w:space="0" w:color="auto"/>
              </w:divBdr>
            </w:div>
            <w:div w:id="262953904">
              <w:marLeft w:val="0"/>
              <w:marRight w:val="0"/>
              <w:marTop w:val="0"/>
              <w:marBottom w:val="0"/>
              <w:divBdr>
                <w:top w:val="none" w:sz="0" w:space="0" w:color="auto"/>
                <w:left w:val="none" w:sz="0" w:space="0" w:color="auto"/>
                <w:bottom w:val="none" w:sz="0" w:space="0" w:color="auto"/>
                <w:right w:val="none" w:sz="0" w:space="0" w:color="auto"/>
              </w:divBdr>
            </w:div>
            <w:div w:id="173813427">
              <w:marLeft w:val="0"/>
              <w:marRight w:val="0"/>
              <w:marTop w:val="0"/>
              <w:marBottom w:val="0"/>
              <w:divBdr>
                <w:top w:val="none" w:sz="0" w:space="0" w:color="auto"/>
                <w:left w:val="none" w:sz="0" w:space="0" w:color="auto"/>
                <w:bottom w:val="none" w:sz="0" w:space="0" w:color="auto"/>
                <w:right w:val="none" w:sz="0" w:space="0" w:color="auto"/>
              </w:divBdr>
            </w:div>
            <w:div w:id="739443032">
              <w:marLeft w:val="0"/>
              <w:marRight w:val="0"/>
              <w:marTop w:val="0"/>
              <w:marBottom w:val="0"/>
              <w:divBdr>
                <w:top w:val="none" w:sz="0" w:space="0" w:color="auto"/>
                <w:left w:val="none" w:sz="0" w:space="0" w:color="auto"/>
                <w:bottom w:val="none" w:sz="0" w:space="0" w:color="auto"/>
                <w:right w:val="none" w:sz="0" w:space="0" w:color="auto"/>
              </w:divBdr>
            </w:div>
            <w:div w:id="570389798">
              <w:marLeft w:val="0"/>
              <w:marRight w:val="0"/>
              <w:marTop w:val="0"/>
              <w:marBottom w:val="0"/>
              <w:divBdr>
                <w:top w:val="none" w:sz="0" w:space="0" w:color="auto"/>
                <w:left w:val="none" w:sz="0" w:space="0" w:color="auto"/>
                <w:bottom w:val="none" w:sz="0" w:space="0" w:color="auto"/>
                <w:right w:val="none" w:sz="0" w:space="0" w:color="auto"/>
              </w:divBdr>
            </w:div>
            <w:div w:id="1462070093">
              <w:marLeft w:val="0"/>
              <w:marRight w:val="0"/>
              <w:marTop w:val="0"/>
              <w:marBottom w:val="0"/>
              <w:divBdr>
                <w:top w:val="none" w:sz="0" w:space="0" w:color="auto"/>
                <w:left w:val="none" w:sz="0" w:space="0" w:color="auto"/>
                <w:bottom w:val="none" w:sz="0" w:space="0" w:color="auto"/>
                <w:right w:val="none" w:sz="0" w:space="0" w:color="auto"/>
              </w:divBdr>
            </w:div>
            <w:div w:id="230048852">
              <w:marLeft w:val="0"/>
              <w:marRight w:val="0"/>
              <w:marTop w:val="0"/>
              <w:marBottom w:val="0"/>
              <w:divBdr>
                <w:top w:val="none" w:sz="0" w:space="0" w:color="auto"/>
                <w:left w:val="none" w:sz="0" w:space="0" w:color="auto"/>
                <w:bottom w:val="none" w:sz="0" w:space="0" w:color="auto"/>
                <w:right w:val="none" w:sz="0" w:space="0" w:color="auto"/>
              </w:divBdr>
            </w:div>
            <w:div w:id="1782845508">
              <w:marLeft w:val="0"/>
              <w:marRight w:val="0"/>
              <w:marTop w:val="0"/>
              <w:marBottom w:val="0"/>
              <w:divBdr>
                <w:top w:val="none" w:sz="0" w:space="0" w:color="auto"/>
                <w:left w:val="none" w:sz="0" w:space="0" w:color="auto"/>
                <w:bottom w:val="none" w:sz="0" w:space="0" w:color="auto"/>
                <w:right w:val="none" w:sz="0" w:space="0" w:color="auto"/>
              </w:divBdr>
            </w:div>
            <w:div w:id="383918030">
              <w:marLeft w:val="0"/>
              <w:marRight w:val="0"/>
              <w:marTop w:val="0"/>
              <w:marBottom w:val="0"/>
              <w:divBdr>
                <w:top w:val="none" w:sz="0" w:space="0" w:color="auto"/>
                <w:left w:val="none" w:sz="0" w:space="0" w:color="auto"/>
                <w:bottom w:val="none" w:sz="0" w:space="0" w:color="auto"/>
                <w:right w:val="none" w:sz="0" w:space="0" w:color="auto"/>
              </w:divBdr>
            </w:div>
            <w:div w:id="683704131">
              <w:marLeft w:val="0"/>
              <w:marRight w:val="0"/>
              <w:marTop w:val="0"/>
              <w:marBottom w:val="0"/>
              <w:divBdr>
                <w:top w:val="none" w:sz="0" w:space="0" w:color="auto"/>
                <w:left w:val="none" w:sz="0" w:space="0" w:color="auto"/>
                <w:bottom w:val="none" w:sz="0" w:space="0" w:color="auto"/>
                <w:right w:val="none" w:sz="0" w:space="0" w:color="auto"/>
              </w:divBdr>
            </w:div>
            <w:div w:id="1364552399">
              <w:marLeft w:val="0"/>
              <w:marRight w:val="0"/>
              <w:marTop w:val="0"/>
              <w:marBottom w:val="0"/>
              <w:divBdr>
                <w:top w:val="none" w:sz="0" w:space="0" w:color="auto"/>
                <w:left w:val="none" w:sz="0" w:space="0" w:color="auto"/>
                <w:bottom w:val="none" w:sz="0" w:space="0" w:color="auto"/>
                <w:right w:val="none" w:sz="0" w:space="0" w:color="auto"/>
              </w:divBdr>
            </w:div>
            <w:div w:id="561986021">
              <w:marLeft w:val="0"/>
              <w:marRight w:val="0"/>
              <w:marTop w:val="0"/>
              <w:marBottom w:val="0"/>
              <w:divBdr>
                <w:top w:val="none" w:sz="0" w:space="0" w:color="auto"/>
                <w:left w:val="none" w:sz="0" w:space="0" w:color="auto"/>
                <w:bottom w:val="none" w:sz="0" w:space="0" w:color="auto"/>
                <w:right w:val="none" w:sz="0" w:space="0" w:color="auto"/>
              </w:divBdr>
            </w:div>
            <w:div w:id="685716533">
              <w:marLeft w:val="0"/>
              <w:marRight w:val="0"/>
              <w:marTop w:val="0"/>
              <w:marBottom w:val="0"/>
              <w:divBdr>
                <w:top w:val="none" w:sz="0" w:space="0" w:color="auto"/>
                <w:left w:val="none" w:sz="0" w:space="0" w:color="auto"/>
                <w:bottom w:val="none" w:sz="0" w:space="0" w:color="auto"/>
                <w:right w:val="none" w:sz="0" w:space="0" w:color="auto"/>
              </w:divBdr>
            </w:div>
            <w:div w:id="19824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3">
      <w:bodyDiv w:val="1"/>
      <w:marLeft w:val="0"/>
      <w:marRight w:val="0"/>
      <w:marTop w:val="0"/>
      <w:marBottom w:val="0"/>
      <w:divBdr>
        <w:top w:val="none" w:sz="0" w:space="0" w:color="auto"/>
        <w:left w:val="none" w:sz="0" w:space="0" w:color="auto"/>
        <w:bottom w:val="none" w:sz="0" w:space="0" w:color="auto"/>
        <w:right w:val="none" w:sz="0" w:space="0" w:color="auto"/>
      </w:divBdr>
    </w:div>
    <w:div w:id="2121677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F8C4-1085-4A88-82A2-CC3630B8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MINDEF</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Hwee Leong Tan</dc:creator>
  <cp:lastModifiedBy>Windows 用户</cp:lastModifiedBy>
  <cp:revision>3</cp:revision>
  <dcterms:created xsi:type="dcterms:W3CDTF">2017-01-03T00:40:00Z</dcterms:created>
  <dcterms:modified xsi:type="dcterms:W3CDTF">2017-01-03T06:40:00Z</dcterms:modified>
</cp:coreProperties>
</file>