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8BE" w:rsidRPr="00981036" w:rsidRDefault="006928BE" w:rsidP="008F2E0D">
      <w:pPr>
        <w:spacing w:line="360" w:lineRule="auto"/>
        <w:rPr>
          <w:rFonts w:ascii="Book Antiqua" w:hAnsi="Book Antiqua" w:cs="Tahoma"/>
          <w:b/>
          <w:sz w:val="24"/>
          <w:szCs w:val="24"/>
        </w:rPr>
      </w:pPr>
      <w:r w:rsidRPr="00981036">
        <w:rPr>
          <w:rFonts w:ascii="Book Antiqua" w:hAnsi="Book Antiqua" w:cs="Tahoma"/>
          <w:b/>
          <w:sz w:val="24"/>
          <w:szCs w:val="24"/>
        </w:rPr>
        <w:t>Name of journal: World Journal of Gastroenterology</w:t>
      </w:r>
    </w:p>
    <w:p w:rsidR="006928BE" w:rsidRPr="00981036" w:rsidRDefault="006928BE" w:rsidP="008F2E0D">
      <w:pPr>
        <w:spacing w:line="360" w:lineRule="auto"/>
        <w:rPr>
          <w:rFonts w:ascii="Book Antiqua" w:eastAsia="Times New Roman" w:hAnsi="Book Antiqua" w:cs="Tahoma"/>
          <w:b/>
          <w:sz w:val="24"/>
          <w:szCs w:val="24"/>
          <w:lang w:eastAsia="zh-CN"/>
        </w:rPr>
      </w:pPr>
      <w:r w:rsidRPr="00981036">
        <w:rPr>
          <w:rFonts w:ascii="Book Antiqua" w:hAnsi="Book Antiqua" w:cs="Tahoma"/>
          <w:b/>
          <w:sz w:val="24"/>
          <w:szCs w:val="24"/>
        </w:rPr>
        <w:t>ESPS Manuscript NO:</w:t>
      </w:r>
      <w:r w:rsidRPr="00981036">
        <w:rPr>
          <w:rFonts w:ascii="Book Antiqua" w:hAnsi="Book Antiqua" w:cs="Tahoma"/>
          <w:b/>
          <w:sz w:val="24"/>
          <w:szCs w:val="24"/>
          <w:lang w:eastAsia="zh-CN"/>
        </w:rPr>
        <w:t xml:space="preserve"> </w:t>
      </w:r>
      <w:r w:rsidRPr="00981036">
        <w:rPr>
          <w:rFonts w:ascii="Book Antiqua" w:eastAsia="Times New Roman" w:hAnsi="Book Antiqua" w:cs="Tahoma"/>
          <w:b/>
          <w:sz w:val="24"/>
          <w:szCs w:val="24"/>
          <w:lang w:eastAsia="zh-CN"/>
        </w:rPr>
        <w:t>10152</w:t>
      </w:r>
    </w:p>
    <w:p w:rsidR="006928BE" w:rsidRPr="00981036" w:rsidRDefault="006928BE" w:rsidP="008F2E0D">
      <w:pPr>
        <w:wordWrap/>
        <w:spacing w:line="360" w:lineRule="auto"/>
        <w:rPr>
          <w:rFonts w:ascii="Book Antiqua" w:hAnsi="Book Antiqua" w:cs="Tahoma"/>
          <w:b/>
          <w:sz w:val="24"/>
          <w:szCs w:val="24"/>
          <w:lang w:eastAsia="zh-CN"/>
        </w:rPr>
      </w:pPr>
      <w:r w:rsidRPr="00981036">
        <w:rPr>
          <w:rFonts w:ascii="Book Antiqua" w:hAnsi="Book Antiqua" w:cs="Tahoma"/>
          <w:b/>
          <w:sz w:val="24"/>
          <w:szCs w:val="24"/>
        </w:rPr>
        <w:t>Columns:</w:t>
      </w:r>
      <w:r w:rsidRPr="00981036">
        <w:rPr>
          <w:rFonts w:ascii="Book Antiqua" w:hAnsi="Book Antiqua"/>
          <w:sz w:val="24"/>
          <w:szCs w:val="24"/>
        </w:rPr>
        <w:t xml:space="preserve"> </w:t>
      </w:r>
      <w:r w:rsidRPr="00981036">
        <w:rPr>
          <w:rFonts w:ascii="Book Antiqua" w:hAnsi="Book Antiqua" w:cs="Tahoma"/>
          <w:b/>
          <w:sz w:val="24"/>
          <w:szCs w:val="24"/>
        </w:rPr>
        <w:t>OBSERVATIONAL STUDY</w:t>
      </w: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r w:rsidRPr="00981036">
        <w:rPr>
          <w:rFonts w:ascii="Book Antiqua" w:hAnsi="Book Antiqua"/>
          <w:b/>
          <w:sz w:val="24"/>
          <w:szCs w:val="24"/>
        </w:rPr>
        <w:t>Clinical, endoscopic characteristics of drug-induced esophagitis</w:t>
      </w:r>
    </w:p>
    <w:p w:rsidR="006928BE" w:rsidRPr="00981036" w:rsidRDefault="006928BE" w:rsidP="008F2E0D">
      <w:pPr>
        <w:pStyle w:val="ab"/>
        <w:spacing w:before="0" w:beforeAutospacing="0" w:after="0" w:afterAutospacing="0" w:line="360" w:lineRule="auto"/>
        <w:jc w:val="both"/>
        <w:rPr>
          <w:rFonts w:ascii="Book Antiqua" w:eastAsia="宋体" w:hAnsi="Book Antiqua"/>
          <w:b/>
        </w:rPr>
      </w:pPr>
    </w:p>
    <w:p w:rsidR="006928BE" w:rsidRPr="00981036" w:rsidRDefault="006928BE" w:rsidP="008F2E0D">
      <w:pPr>
        <w:pStyle w:val="ab"/>
        <w:spacing w:before="0" w:beforeAutospacing="0" w:after="0" w:afterAutospacing="0" w:line="360" w:lineRule="auto"/>
        <w:jc w:val="both"/>
        <w:rPr>
          <w:rFonts w:ascii="Book Antiqua" w:eastAsia="Batang" w:hAnsi="Book Antiqua"/>
        </w:rPr>
      </w:pPr>
      <w:r w:rsidRPr="00981036">
        <w:rPr>
          <w:rFonts w:ascii="Book Antiqua" w:eastAsia="宋体" w:hAnsi="Book Antiqua"/>
        </w:rPr>
        <w:t xml:space="preserve">Kim SH </w:t>
      </w:r>
      <w:r w:rsidRPr="00981036">
        <w:rPr>
          <w:rFonts w:ascii="Book Antiqua" w:eastAsia="宋体" w:hAnsi="Book Antiqua"/>
          <w:i/>
        </w:rPr>
        <w:t>et al</w:t>
      </w:r>
      <w:r w:rsidRPr="00981036">
        <w:rPr>
          <w:rFonts w:ascii="Book Antiqua" w:eastAsia="宋体" w:hAnsi="Book Antiqua"/>
        </w:rPr>
        <w:t>. F</w:t>
      </w:r>
      <w:r w:rsidRPr="00981036">
        <w:rPr>
          <w:rFonts w:ascii="Book Antiqua" w:eastAsia="Batang" w:hAnsi="Book Antiqua"/>
        </w:rPr>
        <w:t>eatures of drug-induced esophagitis</w:t>
      </w:r>
    </w:p>
    <w:p w:rsidR="006928BE" w:rsidRPr="00981036" w:rsidRDefault="006928BE" w:rsidP="008F2E0D">
      <w:pPr>
        <w:pStyle w:val="ab"/>
        <w:spacing w:before="0" w:beforeAutospacing="0" w:after="0" w:afterAutospacing="0" w:line="360" w:lineRule="auto"/>
        <w:jc w:val="both"/>
        <w:rPr>
          <w:rFonts w:ascii="Book Antiqua" w:eastAsia="宋体" w:hAnsi="Book Antiqua"/>
          <w:b/>
        </w:rPr>
      </w:pPr>
    </w:p>
    <w:p w:rsidR="006928BE" w:rsidRPr="00981036" w:rsidRDefault="006928BE" w:rsidP="008F2E0D">
      <w:pPr>
        <w:wordWrap/>
        <w:spacing w:line="360" w:lineRule="auto"/>
        <w:rPr>
          <w:rFonts w:ascii="Book Antiqua" w:hAnsi="Book Antiqua"/>
          <w:sz w:val="24"/>
          <w:szCs w:val="24"/>
          <w:vertAlign w:val="superscript"/>
        </w:rPr>
      </w:pPr>
      <w:r w:rsidRPr="00981036">
        <w:rPr>
          <w:rFonts w:ascii="Book Antiqua" w:hAnsi="Book Antiqua"/>
          <w:sz w:val="24"/>
          <w:szCs w:val="24"/>
        </w:rPr>
        <w:t>Su Hwan Kim, Ji Bong Jeong, Ji Won Kim, Seong-Joon Koh, Byeong Gwan Kim, Kook Lae Lee, Mee Soo Chang,</w:t>
      </w:r>
      <w:r w:rsidRPr="00981036">
        <w:rPr>
          <w:rFonts w:ascii="Book Antiqua" w:hAnsi="Book Antiqua"/>
          <w:sz w:val="24"/>
          <w:szCs w:val="24"/>
          <w:vertAlign w:val="superscript"/>
        </w:rPr>
        <w:t xml:space="preserve"> </w:t>
      </w:r>
      <w:r w:rsidRPr="00981036">
        <w:rPr>
          <w:rFonts w:ascii="Book Antiqua" w:hAnsi="Book Antiqua"/>
          <w:sz w:val="24"/>
          <w:szCs w:val="24"/>
        </w:rPr>
        <w:t>Jong Pil Im, Hyoun Woo Kang, Cheol Min Shin</w:t>
      </w:r>
    </w:p>
    <w:p w:rsidR="006928BE" w:rsidRPr="00981036" w:rsidRDefault="00106C3D" w:rsidP="008F2E0D">
      <w:pPr>
        <w:wordWrap/>
        <w:spacing w:line="360" w:lineRule="auto"/>
        <w:rPr>
          <w:rFonts w:ascii="Book Antiqua" w:hAnsi="Book Antiqua"/>
          <w:sz w:val="24"/>
          <w:szCs w:val="24"/>
          <w:vertAlign w:val="superscript"/>
        </w:rPr>
      </w:pPr>
      <w:r>
        <w:rPr>
          <w:noProof/>
          <w:lang w:eastAsia="zh-CN"/>
        </w:rPr>
        <mc:AlternateContent>
          <mc:Choice Requires="wps">
            <w:drawing>
              <wp:anchor distT="4294967294" distB="4294967294" distL="114300" distR="114300" simplePos="0" relativeHeight="251658240" behindDoc="0" locked="0" layoutInCell="1" allowOverlap="1">
                <wp:simplePos x="0" y="0"/>
                <wp:positionH relativeFrom="column">
                  <wp:posOffset>-28575</wp:posOffset>
                </wp:positionH>
                <wp:positionV relativeFrom="paragraph">
                  <wp:posOffset>88899</wp:posOffset>
                </wp:positionV>
                <wp:extent cx="5196840" cy="0"/>
                <wp:effectExtent l="0" t="19050" r="3810" b="1905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pt" to="406.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baFAIAACkEAAAOAAAAZHJzL2Uyb0RvYy54bWysU8GO2jAQvVfqP1i+QxI20B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" strokecolor="gray" strokeweight="3pt"/>
            </w:pict>
          </mc:Fallback>
        </mc:AlternateContent>
      </w:r>
    </w:p>
    <w:p w:rsidR="006928BE" w:rsidRPr="00981036" w:rsidRDefault="006928BE" w:rsidP="008F2E0D">
      <w:pPr>
        <w:wordWrap/>
        <w:spacing w:line="360" w:lineRule="auto"/>
        <w:rPr>
          <w:rFonts w:ascii="Book Antiqua" w:hAnsi="Book Antiqua"/>
          <w:sz w:val="24"/>
          <w:szCs w:val="24"/>
          <w:lang w:eastAsia="zh-CN"/>
        </w:rPr>
      </w:pPr>
      <w:r w:rsidRPr="00981036">
        <w:rPr>
          <w:rFonts w:ascii="Book Antiqua" w:hAnsi="Book Antiqua"/>
          <w:b/>
          <w:sz w:val="24"/>
          <w:szCs w:val="24"/>
        </w:rPr>
        <w:t xml:space="preserve">Su Hwan Kim, Ji Bong Jeong, Ji Won Kim, Seong-Joon Koh, Byeong Gwan Kim, Kook Lae Lee, </w:t>
      </w:r>
      <w:r w:rsidRPr="00981036">
        <w:rPr>
          <w:rFonts w:ascii="Book Antiqua" w:hAnsi="Book Antiqua"/>
          <w:sz w:val="24"/>
          <w:szCs w:val="24"/>
        </w:rPr>
        <w:t>Department of Internal Medicine, Seoul National University Boramae Hospital, Seoul National University College of Medicine, 156-707 Seoul, South Korea</w:t>
      </w:r>
    </w:p>
    <w:p w:rsidR="006928BE" w:rsidRPr="00981036" w:rsidRDefault="006928BE" w:rsidP="008F2E0D">
      <w:pPr>
        <w:wordWrap/>
        <w:spacing w:line="360" w:lineRule="auto"/>
        <w:rPr>
          <w:rFonts w:ascii="Book Antiqua" w:hAnsi="Book Antiqua"/>
          <w:sz w:val="24"/>
          <w:szCs w:val="24"/>
          <w:lang w:eastAsia="zh-CN"/>
        </w:rPr>
      </w:pPr>
    </w:p>
    <w:p w:rsidR="006928BE" w:rsidRPr="00981036" w:rsidRDefault="006928BE" w:rsidP="008F2E0D">
      <w:pPr>
        <w:wordWrap/>
        <w:spacing w:line="360" w:lineRule="auto"/>
        <w:rPr>
          <w:rFonts w:ascii="Book Antiqua" w:hAnsi="Book Antiqua"/>
          <w:sz w:val="24"/>
          <w:szCs w:val="24"/>
          <w:lang w:eastAsia="zh-CN"/>
        </w:rPr>
      </w:pPr>
      <w:r w:rsidRPr="00981036">
        <w:rPr>
          <w:rFonts w:ascii="Book Antiqua" w:hAnsi="Book Antiqua"/>
          <w:b/>
          <w:sz w:val="24"/>
          <w:szCs w:val="24"/>
        </w:rPr>
        <w:t>Mee Soo Chang</w:t>
      </w:r>
      <w:r w:rsidRPr="00981036">
        <w:rPr>
          <w:rFonts w:ascii="Book Antiqua" w:hAnsi="Book Antiqua"/>
          <w:sz w:val="24"/>
          <w:szCs w:val="24"/>
        </w:rPr>
        <w:t>, Department of Pathology, Seoul National University Boramae Hospital, Seoul National University College of Medicine, 156-707</w:t>
      </w:r>
      <w:r w:rsidRPr="00981036">
        <w:rPr>
          <w:rFonts w:ascii="Book Antiqua" w:hAnsi="Book Antiqua"/>
          <w:sz w:val="24"/>
          <w:szCs w:val="24"/>
          <w:lang w:eastAsia="zh-CN"/>
        </w:rPr>
        <w:t xml:space="preserve"> </w:t>
      </w:r>
      <w:r w:rsidRPr="00981036">
        <w:rPr>
          <w:rFonts w:ascii="Book Antiqua" w:hAnsi="Book Antiqua"/>
          <w:sz w:val="24"/>
          <w:szCs w:val="24"/>
        </w:rPr>
        <w:t>Seoul, South Korea</w:t>
      </w:r>
    </w:p>
    <w:p w:rsidR="006928BE" w:rsidRPr="00981036" w:rsidRDefault="006928BE" w:rsidP="008F2E0D">
      <w:pPr>
        <w:wordWrap/>
        <w:spacing w:line="360" w:lineRule="auto"/>
        <w:rPr>
          <w:rFonts w:ascii="Book Antiqua" w:hAnsi="Book Antiqua"/>
          <w:sz w:val="24"/>
          <w:szCs w:val="24"/>
          <w:lang w:eastAsia="zh-CN"/>
        </w:rPr>
      </w:pPr>
    </w:p>
    <w:p w:rsidR="006928BE" w:rsidRPr="00981036" w:rsidRDefault="006928BE" w:rsidP="008F2E0D">
      <w:pPr>
        <w:wordWrap/>
        <w:spacing w:line="360" w:lineRule="auto"/>
        <w:rPr>
          <w:rFonts w:ascii="Book Antiqua" w:hAnsi="Book Antiqua"/>
          <w:sz w:val="24"/>
          <w:szCs w:val="24"/>
          <w:lang w:eastAsia="zh-CN"/>
        </w:rPr>
      </w:pPr>
      <w:r w:rsidRPr="00981036">
        <w:rPr>
          <w:rFonts w:ascii="Book Antiqua" w:hAnsi="Book Antiqua"/>
          <w:b/>
          <w:sz w:val="24"/>
          <w:szCs w:val="24"/>
        </w:rPr>
        <w:t>Jong Pil Im,</w:t>
      </w:r>
      <w:r w:rsidRPr="00981036">
        <w:rPr>
          <w:rFonts w:ascii="Book Antiqua" w:hAnsi="Book Antiqua"/>
          <w:sz w:val="24"/>
          <w:szCs w:val="24"/>
        </w:rPr>
        <w:t xml:space="preserve"> Department of Internal Medicine and Liver Research Institute, Seoul National University College of Medicine, 110-744</w:t>
      </w:r>
      <w:r w:rsidRPr="00981036">
        <w:rPr>
          <w:rFonts w:ascii="Book Antiqua" w:hAnsi="Book Antiqua"/>
          <w:sz w:val="24"/>
          <w:szCs w:val="24"/>
          <w:lang w:eastAsia="zh-CN"/>
        </w:rPr>
        <w:t xml:space="preserve"> </w:t>
      </w:r>
      <w:r w:rsidRPr="00981036">
        <w:rPr>
          <w:rFonts w:ascii="Book Antiqua" w:hAnsi="Book Antiqua"/>
          <w:sz w:val="24"/>
          <w:szCs w:val="24"/>
        </w:rPr>
        <w:t>Seoul, South Korea</w:t>
      </w:r>
    </w:p>
    <w:p w:rsidR="006928BE" w:rsidRPr="00981036" w:rsidRDefault="006928BE" w:rsidP="008F2E0D">
      <w:pPr>
        <w:wordWrap/>
        <w:spacing w:line="360" w:lineRule="auto"/>
        <w:rPr>
          <w:rFonts w:ascii="Book Antiqua" w:hAnsi="Book Antiqua"/>
          <w:sz w:val="24"/>
          <w:szCs w:val="24"/>
          <w:lang w:eastAsia="zh-CN"/>
        </w:rPr>
      </w:pPr>
    </w:p>
    <w:p w:rsidR="006928BE" w:rsidRPr="00981036" w:rsidRDefault="006928BE" w:rsidP="008F2E0D">
      <w:pPr>
        <w:wordWrap/>
        <w:spacing w:line="360" w:lineRule="auto"/>
        <w:rPr>
          <w:rFonts w:ascii="Book Antiqua" w:hAnsi="Book Antiqua"/>
          <w:sz w:val="24"/>
          <w:szCs w:val="24"/>
          <w:lang w:eastAsia="zh-CN"/>
        </w:rPr>
      </w:pPr>
      <w:r w:rsidRPr="00981036">
        <w:rPr>
          <w:rFonts w:ascii="Book Antiqua" w:hAnsi="Book Antiqua"/>
          <w:b/>
          <w:sz w:val="24"/>
          <w:szCs w:val="24"/>
        </w:rPr>
        <w:t>Hyoun Woo Kang</w:t>
      </w:r>
      <w:r w:rsidRPr="00981036">
        <w:rPr>
          <w:rFonts w:ascii="Book Antiqua" w:hAnsi="Book Antiqua"/>
          <w:sz w:val="24"/>
          <w:szCs w:val="24"/>
        </w:rPr>
        <w:t>, Department of Internal Medicine, Dongguk University Ilsan Hospital, Goyang, 410-773</w:t>
      </w:r>
      <w:r w:rsidRPr="00981036">
        <w:rPr>
          <w:rFonts w:ascii="Book Antiqua" w:hAnsi="Book Antiqua"/>
          <w:sz w:val="24"/>
          <w:szCs w:val="24"/>
          <w:lang w:eastAsia="zh-CN"/>
        </w:rPr>
        <w:t xml:space="preserve"> </w:t>
      </w:r>
      <w:r w:rsidRPr="00981036">
        <w:rPr>
          <w:rFonts w:ascii="Book Antiqua" w:hAnsi="Book Antiqua"/>
          <w:sz w:val="24"/>
          <w:szCs w:val="24"/>
        </w:rPr>
        <w:t>Gyeonggi-do, South Korea</w:t>
      </w:r>
    </w:p>
    <w:p w:rsidR="006928BE" w:rsidRPr="00981036" w:rsidRDefault="006928BE" w:rsidP="008F2E0D">
      <w:pPr>
        <w:wordWrap/>
        <w:spacing w:line="360" w:lineRule="auto"/>
        <w:rPr>
          <w:rFonts w:ascii="Book Antiqua" w:hAnsi="Book Antiqua"/>
          <w:sz w:val="24"/>
          <w:szCs w:val="24"/>
          <w:lang w:eastAsia="zh-CN"/>
        </w:rPr>
      </w:pPr>
    </w:p>
    <w:p w:rsidR="006928BE" w:rsidRPr="00981036" w:rsidRDefault="006928BE" w:rsidP="008F2E0D">
      <w:pPr>
        <w:wordWrap/>
        <w:spacing w:line="360" w:lineRule="auto"/>
        <w:rPr>
          <w:rFonts w:ascii="Book Antiqua" w:hAnsi="Book Antiqua"/>
          <w:sz w:val="24"/>
          <w:szCs w:val="24"/>
        </w:rPr>
      </w:pPr>
      <w:r w:rsidRPr="00981036">
        <w:rPr>
          <w:rFonts w:ascii="Book Antiqua" w:hAnsi="Book Antiqua"/>
          <w:b/>
          <w:sz w:val="24"/>
          <w:szCs w:val="24"/>
        </w:rPr>
        <w:t>Cheol Min Shin</w:t>
      </w:r>
      <w:r w:rsidRPr="00981036">
        <w:rPr>
          <w:rFonts w:ascii="Book Antiqua" w:hAnsi="Book Antiqua"/>
          <w:sz w:val="24"/>
          <w:szCs w:val="24"/>
        </w:rPr>
        <w:t>, Department of Internal Medicine, Seoul National University Bundang Hospital, Seongnam, 463-707</w:t>
      </w:r>
      <w:r w:rsidRPr="00981036">
        <w:rPr>
          <w:rFonts w:ascii="Book Antiqua" w:hAnsi="Book Antiqua"/>
          <w:sz w:val="24"/>
          <w:szCs w:val="24"/>
          <w:lang w:eastAsia="zh-CN"/>
        </w:rPr>
        <w:t xml:space="preserve"> </w:t>
      </w:r>
      <w:r w:rsidRPr="00981036">
        <w:rPr>
          <w:rFonts w:ascii="Book Antiqua" w:hAnsi="Book Antiqua"/>
          <w:sz w:val="24"/>
          <w:szCs w:val="24"/>
        </w:rPr>
        <w:t>Gyeonggi-do, South Korea</w:t>
      </w:r>
    </w:p>
    <w:p w:rsidR="006928BE" w:rsidRPr="00981036" w:rsidRDefault="006928BE" w:rsidP="008F2E0D">
      <w:pPr>
        <w:wordWrap/>
        <w:spacing w:line="360" w:lineRule="auto"/>
        <w:rPr>
          <w:rFonts w:ascii="Book Antiqua" w:hAnsi="Book Antiqua"/>
          <w:sz w:val="24"/>
          <w:szCs w:val="24"/>
          <w:vertAlign w:val="superscript"/>
        </w:rPr>
      </w:pPr>
    </w:p>
    <w:p w:rsidR="006928BE" w:rsidRPr="00981036" w:rsidRDefault="006928BE" w:rsidP="008F2E0D">
      <w:pPr>
        <w:pStyle w:val="ab"/>
        <w:spacing w:before="0" w:beforeAutospacing="0" w:after="0" w:afterAutospacing="0" w:line="360" w:lineRule="auto"/>
        <w:jc w:val="both"/>
        <w:rPr>
          <w:rFonts w:ascii="Book Antiqua" w:eastAsia="Batang" w:hAnsi="Book Antiqua"/>
          <w:bCs/>
        </w:rPr>
      </w:pPr>
      <w:r w:rsidRPr="00981036">
        <w:rPr>
          <w:rFonts w:ascii="Book Antiqua" w:hAnsi="Book Antiqua"/>
          <w:b/>
        </w:rPr>
        <w:t xml:space="preserve">Author contributions: </w:t>
      </w:r>
      <w:r w:rsidRPr="00981036">
        <w:rPr>
          <w:rFonts w:ascii="Book Antiqua" w:eastAsia="Batang" w:hAnsi="Book Antiqua"/>
          <w:bCs/>
        </w:rPr>
        <w:t xml:space="preserve">Kim SH and Jeong JB contributed equally to this work; Kim SH and Jeong JB performed the data analysis and wrote the paper; Kim JW designed this study and supervised the entire research; Koh SJ, Kim BG, Lee KL revised the manuscript for intellectual content; Chang MS performed histopathologic analysis; </w:t>
      </w:r>
      <w:r w:rsidRPr="00981036">
        <w:rPr>
          <w:rFonts w:ascii="Book Antiqua" w:eastAsia="Batang" w:hAnsi="Book Antiqua"/>
          <w:bCs/>
        </w:rPr>
        <w:lastRenderedPageBreak/>
        <w:t>Kim SH, Jeong JB, Im JP, Kang HW and Shin CM obtained the data; All authors reviewed and approved the final version of the manuscript.</w:t>
      </w:r>
    </w:p>
    <w:p w:rsidR="006928BE" w:rsidRPr="00981036" w:rsidRDefault="006928BE" w:rsidP="008F2E0D">
      <w:pPr>
        <w:pStyle w:val="ab"/>
        <w:spacing w:before="0" w:beforeAutospacing="0" w:after="0" w:afterAutospacing="0" w:line="360" w:lineRule="auto"/>
        <w:jc w:val="both"/>
        <w:rPr>
          <w:rFonts w:ascii="Book Antiqua" w:eastAsia="Batang" w:hAnsi="Book Antiqua"/>
          <w:bCs/>
        </w:rPr>
      </w:pPr>
    </w:p>
    <w:p w:rsidR="006928BE" w:rsidRPr="00981036" w:rsidRDefault="006928BE" w:rsidP="008F2E0D">
      <w:pPr>
        <w:wordWrap/>
        <w:adjustRightInd w:val="0"/>
        <w:snapToGrid w:val="0"/>
        <w:spacing w:line="360" w:lineRule="auto"/>
        <w:ind w:left="1"/>
        <w:rPr>
          <w:rFonts w:ascii="Book Antiqua" w:hAnsi="Book Antiqua"/>
          <w:sz w:val="24"/>
          <w:szCs w:val="24"/>
        </w:rPr>
      </w:pPr>
      <w:r w:rsidRPr="00981036">
        <w:rPr>
          <w:rFonts w:ascii="Book Antiqua" w:hAnsi="Book Antiqua"/>
          <w:b/>
          <w:sz w:val="24"/>
          <w:szCs w:val="24"/>
        </w:rPr>
        <w:t>Correspondence to:</w:t>
      </w:r>
      <w:r w:rsidRPr="00981036">
        <w:rPr>
          <w:rFonts w:ascii="Book Antiqua" w:eastAsia="Times New Roman" w:hAnsi="Book Antiqua"/>
          <w:b/>
          <w:sz w:val="24"/>
          <w:szCs w:val="24"/>
          <w:lang w:eastAsia="zh-CN"/>
        </w:rPr>
        <w:t xml:space="preserve"> </w:t>
      </w:r>
      <w:r w:rsidRPr="00981036">
        <w:rPr>
          <w:rFonts w:ascii="Book Antiqua" w:hAnsi="Book Antiqua"/>
          <w:b/>
          <w:sz w:val="24"/>
          <w:szCs w:val="24"/>
        </w:rPr>
        <w:t>Ji Won Kim, MD, PhD, Associate Professor,</w:t>
      </w:r>
      <w:r w:rsidRPr="00981036">
        <w:rPr>
          <w:rFonts w:ascii="Book Antiqua" w:hAnsi="Book Antiqua"/>
          <w:sz w:val="24"/>
          <w:szCs w:val="24"/>
        </w:rPr>
        <w:t xml:space="preserve"> Department of Internal Medicine, Seoul National University Boramae Hospital, Seoul National University College of Medicine, 5 Gil 20, Boramae-Road, Dongjak-Gu, 156-707</w:t>
      </w:r>
      <w:r w:rsidRPr="00981036">
        <w:rPr>
          <w:rFonts w:ascii="Book Antiqua" w:hAnsi="Book Antiqua"/>
          <w:sz w:val="24"/>
          <w:szCs w:val="24"/>
          <w:lang w:eastAsia="zh-CN"/>
        </w:rPr>
        <w:t xml:space="preserve"> </w:t>
      </w:r>
      <w:r w:rsidRPr="00981036">
        <w:rPr>
          <w:rFonts w:ascii="Book Antiqua" w:hAnsi="Book Antiqua"/>
          <w:sz w:val="24"/>
          <w:szCs w:val="24"/>
        </w:rPr>
        <w:t>Seoul, South Korea. kjwjor@snu.ac.kr</w:t>
      </w:r>
    </w:p>
    <w:p w:rsidR="006928BE" w:rsidRPr="00981036" w:rsidRDefault="006928BE" w:rsidP="008F2E0D">
      <w:pPr>
        <w:wordWrap/>
        <w:spacing w:line="360" w:lineRule="auto"/>
        <w:rPr>
          <w:rFonts w:ascii="Book Antiqua" w:hAnsi="Book Antiqua"/>
          <w:sz w:val="24"/>
          <w:szCs w:val="24"/>
        </w:rPr>
      </w:pPr>
      <w:r w:rsidRPr="00981036">
        <w:rPr>
          <w:rFonts w:ascii="Book Antiqua" w:hAnsi="Book Antiqua"/>
          <w:b/>
          <w:sz w:val="24"/>
          <w:szCs w:val="24"/>
        </w:rPr>
        <w:t>Telephone:</w:t>
      </w:r>
      <w:r w:rsidRPr="00981036">
        <w:rPr>
          <w:rFonts w:ascii="Book Antiqua" w:hAnsi="Book Antiqua"/>
          <w:sz w:val="24"/>
          <w:szCs w:val="24"/>
          <w:lang w:val="pt-BR"/>
        </w:rPr>
        <w:t xml:space="preserve"> +82-2-870-2221  </w:t>
      </w:r>
      <w:r w:rsidRPr="00981036">
        <w:rPr>
          <w:rFonts w:ascii="Book Antiqua" w:hAnsi="Book Antiqua"/>
          <w:sz w:val="24"/>
          <w:szCs w:val="24"/>
        </w:rPr>
        <w:t xml:space="preserve">  </w:t>
      </w:r>
      <w:r w:rsidRPr="00981036">
        <w:rPr>
          <w:rFonts w:ascii="Book Antiqua" w:hAnsi="Book Antiqua"/>
          <w:b/>
          <w:sz w:val="24"/>
          <w:szCs w:val="24"/>
        </w:rPr>
        <w:t>Fax:</w:t>
      </w:r>
      <w:r w:rsidRPr="00981036">
        <w:rPr>
          <w:rFonts w:ascii="Book Antiqua" w:hAnsi="Book Antiqua"/>
          <w:sz w:val="24"/>
          <w:szCs w:val="24"/>
        </w:rPr>
        <w:t xml:space="preserve"> </w:t>
      </w:r>
      <w:r w:rsidRPr="00981036">
        <w:rPr>
          <w:rFonts w:ascii="Book Antiqua" w:hAnsi="Book Antiqua"/>
          <w:sz w:val="24"/>
          <w:szCs w:val="24"/>
          <w:lang w:val="pt-BR"/>
        </w:rPr>
        <w:t>+82-2-870-3863</w:t>
      </w: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spacing w:line="360" w:lineRule="auto"/>
        <w:rPr>
          <w:rFonts w:ascii="Book Antiqua" w:hAnsi="Book Antiqua"/>
          <w:color w:val="000000"/>
          <w:sz w:val="24"/>
          <w:szCs w:val="24"/>
          <w:lang w:eastAsia="zh-CN"/>
        </w:rPr>
      </w:pPr>
      <w:bookmarkStart w:id="0" w:name="OLE_LINK4"/>
      <w:bookmarkStart w:id="1" w:name="OLE_LINK5"/>
      <w:bookmarkStart w:id="2" w:name="OLE_LINK12"/>
      <w:bookmarkStart w:id="3" w:name="OLE_LINK212"/>
      <w:r w:rsidRPr="00981036">
        <w:rPr>
          <w:rFonts w:ascii="Book Antiqua" w:hAnsi="Book Antiqua"/>
          <w:b/>
          <w:color w:val="000000"/>
          <w:sz w:val="24"/>
          <w:szCs w:val="24"/>
        </w:rPr>
        <w:t xml:space="preserve">Received: </w:t>
      </w:r>
      <w:r w:rsidRPr="00981036">
        <w:rPr>
          <w:rFonts w:ascii="Book Antiqua" w:hAnsi="Book Antiqua"/>
          <w:color w:val="000000"/>
          <w:sz w:val="24"/>
          <w:szCs w:val="24"/>
          <w:lang w:eastAsia="zh-CN"/>
        </w:rPr>
        <w:t>March</w:t>
      </w:r>
      <w:r>
        <w:rPr>
          <w:rFonts w:ascii="Book Antiqua" w:hAnsi="Book Antiqua"/>
          <w:color w:val="000000"/>
          <w:sz w:val="24"/>
          <w:szCs w:val="24"/>
          <w:lang w:eastAsia="zh-CN"/>
        </w:rPr>
        <w:t xml:space="preserve"> </w:t>
      </w:r>
      <w:r w:rsidRPr="00981036">
        <w:rPr>
          <w:rFonts w:ascii="Book Antiqua" w:hAnsi="Book Antiqua"/>
          <w:color w:val="000000"/>
          <w:sz w:val="24"/>
          <w:szCs w:val="24"/>
          <w:lang w:eastAsia="zh-CN"/>
        </w:rPr>
        <w:t>16, 2014</w:t>
      </w:r>
      <w:r w:rsidRPr="00981036">
        <w:rPr>
          <w:rFonts w:ascii="Book Antiqua" w:hAnsi="Book Antiqua"/>
          <w:color w:val="000000"/>
          <w:sz w:val="24"/>
          <w:szCs w:val="24"/>
          <w:lang w:eastAsia="zh-CN"/>
        </w:rPr>
        <w:tab/>
      </w:r>
      <w:r w:rsidRPr="00981036">
        <w:rPr>
          <w:rFonts w:ascii="Book Antiqua" w:hAnsi="Book Antiqua"/>
          <w:color w:val="000000"/>
          <w:sz w:val="24"/>
          <w:szCs w:val="24"/>
          <w:lang w:eastAsia="zh-CN"/>
        </w:rPr>
        <w:tab/>
      </w:r>
      <w:r w:rsidRPr="00981036">
        <w:rPr>
          <w:rFonts w:ascii="Book Antiqua" w:hAnsi="Book Antiqua"/>
          <w:b/>
          <w:color w:val="000000"/>
          <w:sz w:val="24"/>
          <w:szCs w:val="24"/>
        </w:rPr>
        <w:t>Revised:</w:t>
      </w:r>
      <w:r>
        <w:rPr>
          <w:rFonts w:ascii="Book Antiqua" w:hAnsi="Book Antiqua"/>
          <w:b/>
          <w:color w:val="000000"/>
          <w:sz w:val="24"/>
          <w:szCs w:val="24"/>
          <w:lang w:eastAsia="zh-CN"/>
        </w:rPr>
        <w:t xml:space="preserve"> </w:t>
      </w:r>
      <w:r w:rsidRPr="00030F67">
        <w:rPr>
          <w:rFonts w:ascii="Book Antiqua" w:hAnsi="Book Antiqua"/>
          <w:color w:val="000000"/>
          <w:sz w:val="24"/>
          <w:szCs w:val="24"/>
          <w:lang w:eastAsia="zh-CN"/>
        </w:rPr>
        <w:t>April 30, 2014</w:t>
      </w:r>
      <w:r w:rsidRPr="00030F67">
        <w:rPr>
          <w:rFonts w:ascii="Book Antiqua" w:hAnsi="Book Antiqua"/>
          <w:color w:val="000000"/>
          <w:sz w:val="24"/>
          <w:szCs w:val="24"/>
        </w:rPr>
        <w:t xml:space="preserve"> </w:t>
      </w:r>
      <w:r w:rsidRPr="00981036">
        <w:rPr>
          <w:rFonts w:ascii="Book Antiqua" w:hAnsi="Book Antiqua"/>
          <w:color w:val="000000"/>
          <w:sz w:val="24"/>
          <w:szCs w:val="24"/>
          <w:lang w:eastAsia="zh-CN"/>
        </w:rPr>
        <w:t xml:space="preserve"> </w:t>
      </w:r>
    </w:p>
    <w:p w:rsidR="00AC0B8B" w:rsidRDefault="006928BE" w:rsidP="00AC0B8B">
      <w:pPr>
        <w:rPr>
          <w:rFonts w:ascii="Book Antiqua" w:hAnsi="Book Antiqua" w:hint="eastAsia"/>
          <w:sz w:val="24"/>
          <w:szCs w:val="24"/>
        </w:rPr>
      </w:pPr>
      <w:r w:rsidRPr="00981036">
        <w:rPr>
          <w:rFonts w:ascii="Book Antiqua" w:hAnsi="Book Antiqua"/>
          <w:b/>
          <w:color w:val="000000"/>
          <w:sz w:val="24"/>
          <w:szCs w:val="24"/>
        </w:rPr>
        <w:t>Accepted:</w:t>
      </w:r>
      <w:r w:rsidR="00AC0B8B" w:rsidRPr="00AC0B8B">
        <w:rPr>
          <w:rFonts w:ascii="Book Antiqua" w:hAnsi="Book Antiqua"/>
          <w:sz w:val="24"/>
          <w:szCs w:val="24"/>
        </w:rPr>
        <w:t xml:space="preserve"> </w:t>
      </w:r>
      <w:r w:rsidR="00AC0B8B" w:rsidRPr="00E425FF">
        <w:rPr>
          <w:rFonts w:ascii="Book Antiqua" w:hAnsi="Book Antiqua"/>
          <w:sz w:val="24"/>
          <w:szCs w:val="24"/>
        </w:rPr>
        <w:t>May 25, 2014</w:t>
      </w:r>
    </w:p>
    <w:p w:rsidR="006928BE" w:rsidRPr="00981036" w:rsidRDefault="006928BE" w:rsidP="008F2E0D">
      <w:pPr>
        <w:spacing w:line="360" w:lineRule="auto"/>
        <w:rPr>
          <w:rFonts w:ascii="Book Antiqua" w:hAnsi="Book Antiqua"/>
          <w:sz w:val="24"/>
          <w:szCs w:val="24"/>
        </w:rPr>
      </w:pPr>
      <w:bookmarkStart w:id="4" w:name="_GoBack"/>
      <w:bookmarkEnd w:id="4"/>
      <w:r w:rsidRPr="00981036">
        <w:rPr>
          <w:rFonts w:ascii="Book Antiqua" w:hAnsi="Book Antiqua"/>
          <w:b/>
          <w:color w:val="000000"/>
          <w:sz w:val="24"/>
          <w:szCs w:val="24"/>
        </w:rPr>
        <w:t xml:space="preserve"> </w:t>
      </w:r>
    </w:p>
    <w:p w:rsidR="006928BE" w:rsidRPr="00981036" w:rsidRDefault="006928BE" w:rsidP="008F2E0D">
      <w:pPr>
        <w:spacing w:line="360" w:lineRule="auto"/>
        <w:rPr>
          <w:rFonts w:ascii="Book Antiqua" w:hAnsi="Book Antiqua"/>
          <w:b/>
          <w:color w:val="000000"/>
          <w:sz w:val="24"/>
          <w:szCs w:val="24"/>
        </w:rPr>
      </w:pPr>
    </w:p>
    <w:p w:rsidR="006928BE" w:rsidRPr="00981036" w:rsidRDefault="006928BE" w:rsidP="008F2E0D">
      <w:pPr>
        <w:spacing w:line="360" w:lineRule="auto"/>
        <w:rPr>
          <w:rFonts w:ascii="Book Antiqua" w:hAnsi="Book Antiqua"/>
          <w:b/>
          <w:color w:val="000000"/>
          <w:sz w:val="24"/>
          <w:szCs w:val="24"/>
        </w:rPr>
      </w:pPr>
      <w:r w:rsidRPr="00981036">
        <w:rPr>
          <w:rFonts w:ascii="Book Antiqua" w:hAnsi="Book Antiqua"/>
          <w:b/>
          <w:color w:val="000000"/>
          <w:sz w:val="24"/>
          <w:szCs w:val="24"/>
        </w:rPr>
        <w:t xml:space="preserve">Published online: </w:t>
      </w:r>
      <w:bookmarkEnd w:id="0"/>
      <w:bookmarkEnd w:id="1"/>
      <w:bookmarkEnd w:id="2"/>
      <w:bookmarkEnd w:id="3"/>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r w:rsidRPr="00981036">
        <w:rPr>
          <w:rFonts w:ascii="Book Antiqua" w:hAnsi="Book Antiqua"/>
          <w:b/>
          <w:sz w:val="24"/>
          <w:szCs w:val="24"/>
        </w:rPr>
        <w:t>Abstract</w:t>
      </w:r>
    </w:p>
    <w:p w:rsidR="006928BE" w:rsidRDefault="006928BE" w:rsidP="008F2E0D">
      <w:pPr>
        <w:wordWrap/>
        <w:spacing w:line="360" w:lineRule="auto"/>
        <w:rPr>
          <w:rFonts w:ascii="Book Antiqua" w:hAnsi="Book Antiqua"/>
          <w:sz w:val="24"/>
          <w:szCs w:val="24"/>
        </w:rPr>
      </w:pPr>
      <w:r w:rsidRPr="00981036">
        <w:rPr>
          <w:rFonts w:ascii="Book Antiqua" w:hAnsi="Book Antiqua"/>
          <w:b/>
          <w:sz w:val="24"/>
          <w:szCs w:val="24"/>
        </w:rPr>
        <w:t>AIM</w:t>
      </w:r>
      <w:r w:rsidRPr="00981036">
        <w:rPr>
          <w:rFonts w:ascii="Book Antiqua" w:hAnsi="Book Antiqua"/>
          <w:sz w:val="24"/>
          <w:szCs w:val="24"/>
        </w:rPr>
        <w:t>: To investigate clinical, endoscopic and pathologic characteristics of drug-induced esophagitis.</w:t>
      </w:r>
    </w:p>
    <w:p w:rsidR="006928BE" w:rsidRPr="00981036" w:rsidRDefault="006928BE" w:rsidP="008F2E0D">
      <w:pPr>
        <w:wordWrap/>
        <w:spacing w:line="360" w:lineRule="auto"/>
        <w:rPr>
          <w:rFonts w:ascii="Book Antiqua" w:hAnsi="Book Antiqua"/>
          <w:sz w:val="24"/>
          <w:szCs w:val="24"/>
        </w:rPr>
      </w:pPr>
    </w:p>
    <w:p w:rsidR="006928BE" w:rsidRDefault="006928BE" w:rsidP="008F2E0D">
      <w:pPr>
        <w:wordWrap/>
        <w:spacing w:line="360" w:lineRule="auto"/>
        <w:rPr>
          <w:rFonts w:ascii="Book Antiqua" w:hAnsi="Book Antiqua"/>
          <w:sz w:val="24"/>
          <w:szCs w:val="24"/>
        </w:rPr>
      </w:pPr>
      <w:r w:rsidRPr="00981036">
        <w:rPr>
          <w:rFonts w:ascii="Book Antiqua" w:hAnsi="Book Antiqua"/>
          <w:b/>
          <w:sz w:val="24"/>
          <w:szCs w:val="24"/>
        </w:rPr>
        <w:t>METHODS</w:t>
      </w:r>
      <w:r w:rsidRPr="00981036">
        <w:rPr>
          <w:rFonts w:ascii="Book Antiqua" w:hAnsi="Book Antiqua"/>
          <w:sz w:val="24"/>
          <w:szCs w:val="24"/>
        </w:rPr>
        <w:t>: Data of patients diagnosed with drug-induced esophagitis from April 2002 to May 2013 was reviewed. Patients diagnosed with malignancy, viral or fungal esophagitis were excluded. Clinical, endoscopic and pathological characteristics of patients diagnosed with drug-induced esophagitis were analyzed.</w:t>
      </w:r>
    </w:p>
    <w:p w:rsidR="006928BE" w:rsidRPr="00981036" w:rsidRDefault="006928BE" w:rsidP="008F2E0D">
      <w:pPr>
        <w:wordWrap/>
        <w:spacing w:line="360" w:lineRule="auto"/>
        <w:rPr>
          <w:rFonts w:ascii="Book Antiqua" w:hAnsi="Book Antiqua"/>
          <w:sz w:val="24"/>
          <w:szCs w:val="24"/>
        </w:rPr>
      </w:pPr>
    </w:p>
    <w:p w:rsidR="006928BE" w:rsidRDefault="006928BE" w:rsidP="008F2E0D">
      <w:pPr>
        <w:wordWrap/>
        <w:spacing w:line="360" w:lineRule="auto"/>
        <w:rPr>
          <w:rFonts w:ascii="Book Antiqua" w:hAnsi="Book Antiqua"/>
          <w:sz w:val="24"/>
          <w:szCs w:val="24"/>
        </w:rPr>
      </w:pPr>
      <w:r w:rsidRPr="00981036">
        <w:rPr>
          <w:rFonts w:ascii="Book Antiqua" w:hAnsi="Book Antiqua"/>
          <w:b/>
          <w:sz w:val="24"/>
          <w:szCs w:val="24"/>
        </w:rPr>
        <w:t>RESULTS</w:t>
      </w:r>
      <w:r w:rsidRPr="00981036">
        <w:rPr>
          <w:rFonts w:ascii="Book Antiqua" w:hAnsi="Book Antiqua"/>
          <w:sz w:val="24"/>
          <w:szCs w:val="24"/>
        </w:rPr>
        <w:t>: Seventy eight patients were diagnosed with drug-induced esophagitis. Mean age was 43.9 ± 18.9 years and male was 35.9%. Common symptoms were chest pain (71.8%), odynophagia (38.5%), and dysphagia (29.5%). Endoscopic location was in the middle third of esophagus in 78.2%. Endoscopic findings were ulcer (82.1%), erosion (17.9%), ulcer with bleeding (24.4%), coating with drug material (5.1%) impacted pill fragments (3.8%) and stricture (2.6%). Kissing ulcers were observed in 43.6%. Main causative agents were antibiotics and nonsteroidal anti-inflammatory drugs. All the patients were treated with proton pump inhibitor (PPI) or sucralfate, and causative drugs were discontinued. Nineteen patients with drug-induced esophagitis were followed up with endoscopy and revealed normal findings, scars or healing ulcers.</w:t>
      </w: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lang w:eastAsia="zh-CN"/>
        </w:rPr>
      </w:pPr>
      <w:r w:rsidRPr="00981036">
        <w:rPr>
          <w:rFonts w:ascii="Book Antiqua" w:hAnsi="Book Antiqua"/>
          <w:b/>
          <w:sz w:val="24"/>
          <w:szCs w:val="24"/>
        </w:rPr>
        <w:t>CONCLUSION</w:t>
      </w:r>
      <w:r w:rsidRPr="00981036">
        <w:rPr>
          <w:rFonts w:ascii="Book Antiqua" w:hAnsi="Book Antiqua"/>
          <w:sz w:val="24"/>
          <w:szCs w:val="24"/>
        </w:rPr>
        <w:t>: Drug-induced esophagitis mainly presented as chest pain, odynophagia, dysphagia and was successfully treated with PPI and discontinuation of causative drug. Kissing ulcers were observed in 43.6%.</w:t>
      </w:r>
      <w:r w:rsidRPr="00981036">
        <w:rPr>
          <w:rFonts w:ascii="Book Antiqua" w:hAnsi="Book Antiqua"/>
          <w:b/>
          <w:sz w:val="24"/>
          <w:szCs w:val="24"/>
        </w:rPr>
        <w:t xml:space="preserve"> </w:t>
      </w:r>
    </w:p>
    <w:p w:rsidR="006928BE" w:rsidRPr="00981036" w:rsidRDefault="006928BE" w:rsidP="008F2E0D">
      <w:pPr>
        <w:wordWrap/>
        <w:spacing w:line="360" w:lineRule="auto"/>
        <w:rPr>
          <w:rFonts w:ascii="Book Antiqua" w:hAnsi="Book Antiqua"/>
          <w:b/>
          <w:sz w:val="24"/>
          <w:szCs w:val="24"/>
          <w:lang w:eastAsia="zh-CN"/>
        </w:rPr>
      </w:pPr>
    </w:p>
    <w:p w:rsidR="006928BE" w:rsidRPr="00981036" w:rsidRDefault="006928BE" w:rsidP="008F2E0D">
      <w:pPr>
        <w:spacing w:line="360" w:lineRule="auto"/>
        <w:rPr>
          <w:rFonts w:ascii="Book Antiqua" w:hAnsi="Book Antiqua"/>
          <w:sz w:val="24"/>
          <w:szCs w:val="24"/>
          <w:lang w:eastAsia="zh-CN"/>
        </w:rPr>
      </w:pPr>
      <w:r w:rsidRPr="00981036">
        <w:rPr>
          <w:rFonts w:ascii="Book Antiqua" w:hAnsi="Book Antiqua"/>
          <w:sz w:val="24"/>
          <w:szCs w:val="24"/>
        </w:rPr>
        <w:t xml:space="preserve">© 2014 Baishideng Publishing Group </w:t>
      </w:r>
      <w:r>
        <w:rPr>
          <w:rFonts w:ascii="Book Antiqua" w:hAnsi="Book Antiqua"/>
          <w:sz w:val="24"/>
          <w:szCs w:val="24"/>
        </w:rPr>
        <w:t>Inc</w:t>
      </w:r>
      <w:r w:rsidRPr="00981036">
        <w:rPr>
          <w:rFonts w:ascii="Book Antiqua" w:hAnsi="Book Antiqua"/>
          <w:sz w:val="24"/>
          <w:szCs w:val="24"/>
        </w:rPr>
        <w:t>. All rights reserved.</w:t>
      </w:r>
    </w:p>
    <w:p w:rsidR="006928BE" w:rsidRPr="00981036" w:rsidRDefault="006928BE" w:rsidP="008F2E0D">
      <w:pPr>
        <w:wordWrap/>
        <w:spacing w:line="360" w:lineRule="auto"/>
        <w:rPr>
          <w:rFonts w:ascii="Book Antiqua" w:hAnsi="Book Antiqua"/>
          <w:sz w:val="24"/>
          <w:szCs w:val="24"/>
          <w:lang w:eastAsia="zh-CN"/>
        </w:rPr>
      </w:pPr>
    </w:p>
    <w:p w:rsidR="006928BE" w:rsidRPr="00981036" w:rsidRDefault="006928BE" w:rsidP="008F2E0D">
      <w:pPr>
        <w:wordWrap/>
        <w:spacing w:line="360" w:lineRule="auto"/>
        <w:rPr>
          <w:rFonts w:ascii="Book Antiqua" w:hAnsi="Book Antiqua"/>
          <w:sz w:val="24"/>
          <w:szCs w:val="24"/>
          <w:lang w:eastAsia="zh-CN"/>
        </w:rPr>
      </w:pPr>
      <w:r w:rsidRPr="00981036">
        <w:rPr>
          <w:rFonts w:ascii="Book Antiqua" w:hAnsi="Book Antiqua"/>
          <w:b/>
          <w:sz w:val="24"/>
          <w:szCs w:val="24"/>
        </w:rPr>
        <w:t xml:space="preserve">Key </w:t>
      </w:r>
      <w:r w:rsidRPr="00981036">
        <w:rPr>
          <w:rFonts w:ascii="Book Antiqua" w:hAnsi="Book Antiqua"/>
          <w:b/>
          <w:sz w:val="24"/>
          <w:szCs w:val="24"/>
          <w:lang w:eastAsia="zh-CN"/>
        </w:rPr>
        <w:t>w</w:t>
      </w:r>
      <w:r w:rsidRPr="00981036">
        <w:rPr>
          <w:rFonts w:ascii="Book Antiqua" w:hAnsi="Book Antiqua"/>
          <w:b/>
          <w:sz w:val="24"/>
          <w:szCs w:val="24"/>
        </w:rPr>
        <w:t>ords</w:t>
      </w:r>
      <w:r w:rsidRPr="00981036">
        <w:rPr>
          <w:rFonts w:ascii="Book Antiqua" w:hAnsi="Book Antiqua"/>
          <w:sz w:val="24"/>
          <w:szCs w:val="24"/>
        </w:rPr>
        <w:t xml:space="preserve">: </w:t>
      </w:r>
      <w:r w:rsidRPr="00981036">
        <w:rPr>
          <w:rFonts w:ascii="Book Antiqua" w:hAnsi="Book Antiqua"/>
          <w:sz w:val="24"/>
          <w:szCs w:val="24"/>
          <w:lang w:eastAsia="zh-CN"/>
        </w:rPr>
        <w:t>D</w:t>
      </w:r>
      <w:r w:rsidRPr="00981036">
        <w:rPr>
          <w:rFonts w:ascii="Book Antiqua" w:hAnsi="Book Antiqua"/>
          <w:sz w:val="24"/>
          <w:szCs w:val="24"/>
        </w:rPr>
        <w:t xml:space="preserve">rug; </w:t>
      </w:r>
      <w:r w:rsidRPr="00981036">
        <w:rPr>
          <w:rFonts w:ascii="Book Antiqua" w:hAnsi="Book Antiqua"/>
          <w:sz w:val="24"/>
          <w:szCs w:val="24"/>
          <w:lang w:eastAsia="zh-CN"/>
        </w:rPr>
        <w:t>E</w:t>
      </w:r>
      <w:r w:rsidRPr="00981036">
        <w:rPr>
          <w:rFonts w:ascii="Book Antiqua" w:hAnsi="Book Antiqua"/>
          <w:sz w:val="24"/>
          <w:szCs w:val="24"/>
        </w:rPr>
        <w:t xml:space="preserve">sophagitis; </w:t>
      </w:r>
      <w:r w:rsidRPr="00981036">
        <w:rPr>
          <w:rFonts w:ascii="Book Antiqua" w:hAnsi="Book Antiqua"/>
          <w:sz w:val="24"/>
          <w:szCs w:val="24"/>
          <w:lang w:eastAsia="zh-CN"/>
        </w:rPr>
        <w:t>E</w:t>
      </w:r>
      <w:r w:rsidRPr="00981036">
        <w:rPr>
          <w:rFonts w:ascii="Book Antiqua" w:hAnsi="Book Antiqua"/>
          <w:sz w:val="24"/>
          <w:szCs w:val="24"/>
        </w:rPr>
        <w:t xml:space="preserve">ndoscopy; </w:t>
      </w:r>
      <w:r w:rsidRPr="00981036">
        <w:rPr>
          <w:rFonts w:ascii="Book Antiqua" w:hAnsi="Book Antiqua"/>
          <w:sz w:val="24"/>
          <w:szCs w:val="24"/>
          <w:lang w:eastAsia="zh-CN"/>
        </w:rPr>
        <w:t>P</w:t>
      </w:r>
      <w:r w:rsidRPr="00981036">
        <w:rPr>
          <w:rFonts w:ascii="Book Antiqua" w:hAnsi="Book Antiqua"/>
          <w:sz w:val="24"/>
          <w:szCs w:val="24"/>
        </w:rPr>
        <w:t xml:space="preserve">athology; </w:t>
      </w:r>
      <w:r w:rsidRPr="00981036">
        <w:rPr>
          <w:rFonts w:ascii="Book Antiqua" w:hAnsi="Book Antiqua"/>
          <w:sz w:val="24"/>
          <w:szCs w:val="24"/>
          <w:lang w:eastAsia="zh-CN"/>
        </w:rPr>
        <w:t>S</w:t>
      </w:r>
      <w:r w:rsidRPr="00981036">
        <w:rPr>
          <w:rFonts w:ascii="Book Antiqua" w:hAnsi="Book Antiqua"/>
          <w:sz w:val="24"/>
          <w:szCs w:val="24"/>
        </w:rPr>
        <w:t xml:space="preserve">ymptoms; </w:t>
      </w:r>
      <w:r w:rsidRPr="00981036">
        <w:rPr>
          <w:rFonts w:ascii="Book Antiqua" w:hAnsi="Book Antiqua"/>
          <w:sz w:val="24"/>
          <w:szCs w:val="24"/>
          <w:lang w:eastAsia="zh-CN"/>
        </w:rPr>
        <w:t>K</w:t>
      </w:r>
      <w:r w:rsidRPr="00981036">
        <w:rPr>
          <w:rFonts w:ascii="Book Antiqua" w:hAnsi="Book Antiqua"/>
          <w:sz w:val="24"/>
          <w:szCs w:val="24"/>
        </w:rPr>
        <w:t>issing ulcers</w:t>
      </w:r>
    </w:p>
    <w:p w:rsidR="006928BE" w:rsidRPr="00981036" w:rsidRDefault="006928BE" w:rsidP="008F2E0D">
      <w:pPr>
        <w:wordWrap/>
        <w:spacing w:line="360" w:lineRule="auto"/>
        <w:rPr>
          <w:rFonts w:ascii="Book Antiqua" w:hAnsi="Book Antiqua"/>
          <w:sz w:val="24"/>
          <w:szCs w:val="24"/>
          <w:lang w:eastAsia="zh-CN"/>
        </w:rPr>
      </w:pPr>
    </w:p>
    <w:p w:rsidR="006928BE" w:rsidRPr="00981036" w:rsidRDefault="006928BE" w:rsidP="008F2E0D">
      <w:pPr>
        <w:spacing w:line="360" w:lineRule="auto"/>
        <w:rPr>
          <w:rFonts w:ascii="Book Antiqua" w:hAnsi="Book Antiqua"/>
          <w:sz w:val="24"/>
          <w:szCs w:val="24"/>
          <w:lang w:eastAsia="zh-CN"/>
        </w:rPr>
      </w:pPr>
      <w:r w:rsidRPr="00981036">
        <w:rPr>
          <w:rFonts w:ascii="Book Antiqua" w:eastAsia="Malgun Gothic" w:hAnsi="Book Antiqua"/>
          <w:b/>
          <w:sz w:val="24"/>
          <w:szCs w:val="24"/>
        </w:rPr>
        <w:t xml:space="preserve">Core tip: </w:t>
      </w:r>
      <w:r w:rsidRPr="00981036">
        <w:rPr>
          <w:rFonts w:ascii="Book Antiqua" w:hAnsi="Book Antiqua"/>
          <w:sz w:val="24"/>
          <w:szCs w:val="24"/>
        </w:rPr>
        <w:t>This study showed the clinical characteristics of drug-</w:t>
      </w:r>
      <w:r w:rsidRPr="00981036">
        <w:rPr>
          <w:rFonts w:ascii="Book Antiqua" w:hAnsi="Book Antiqua"/>
          <w:sz w:val="24"/>
          <w:szCs w:val="24"/>
        </w:rPr>
        <w:lastRenderedPageBreak/>
        <w:t>induced esophagitis, such as main symptoms, common endoscopic findings and main causative agents. A unique finding in this study was that kissing ulcers were observed in 43.6% of drug-induced esophagitis, which is higher rate than in the previous reports. This might be helpful in diagnosing this rare disease. To our knowledge, the present study is the first study comparing the histopathologic features between drug-induced esophagitis group and reflux esophagitis group.</w:t>
      </w:r>
    </w:p>
    <w:p w:rsidR="006928BE" w:rsidRPr="00981036" w:rsidRDefault="006928BE" w:rsidP="008F2E0D">
      <w:pPr>
        <w:spacing w:line="360" w:lineRule="auto"/>
        <w:rPr>
          <w:rFonts w:ascii="Book Antiqua" w:hAnsi="Book Antiqua"/>
          <w:sz w:val="24"/>
          <w:szCs w:val="24"/>
          <w:lang w:eastAsia="zh-CN"/>
        </w:rPr>
      </w:pPr>
    </w:p>
    <w:p w:rsidR="006928BE" w:rsidRPr="00981036" w:rsidRDefault="006928BE" w:rsidP="008F2E0D">
      <w:pPr>
        <w:wordWrap/>
        <w:spacing w:line="360" w:lineRule="auto"/>
        <w:rPr>
          <w:rFonts w:ascii="Book Antiqua" w:hAnsi="Book Antiqua"/>
          <w:sz w:val="24"/>
          <w:szCs w:val="24"/>
        </w:rPr>
      </w:pPr>
      <w:r w:rsidRPr="00981036">
        <w:rPr>
          <w:rFonts w:ascii="Book Antiqua" w:hAnsi="Book Antiqua"/>
          <w:sz w:val="24"/>
          <w:szCs w:val="24"/>
        </w:rPr>
        <w:t>Kim SH, Jeong JB, Kim JW, Koh SJ, Kim BG, Lee KL, Chang MS,</w:t>
      </w:r>
      <w:r w:rsidRPr="00981036">
        <w:rPr>
          <w:rFonts w:ascii="Book Antiqua" w:hAnsi="Book Antiqua"/>
          <w:sz w:val="24"/>
          <w:szCs w:val="24"/>
          <w:vertAlign w:val="superscript"/>
        </w:rPr>
        <w:t xml:space="preserve"> </w:t>
      </w:r>
      <w:r w:rsidRPr="00981036">
        <w:rPr>
          <w:rFonts w:ascii="Book Antiqua" w:hAnsi="Book Antiqua"/>
          <w:sz w:val="24"/>
          <w:szCs w:val="24"/>
        </w:rPr>
        <w:t>Im JP, Kang HW, Shin CM. Clinical, endoscopic characteristics of drug-induced esophagitis</w:t>
      </w:r>
      <w:r>
        <w:rPr>
          <w:rFonts w:ascii="Book Antiqua" w:hAnsi="Book Antiqua"/>
          <w:sz w:val="24"/>
          <w:szCs w:val="24"/>
          <w:lang w:eastAsia="zh-CN"/>
        </w:rPr>
        <w:t xml:space="preserve">. </w:t>
      </w:r>
      <w:r w:rsidRPr="00981036">
        <w:rPr>
          <w:rFonts w:ascii="Book Antiqua" w:hAnsi="Book Antiqua"/>
          <w:i/>
          <w:sz w:val="24"/>
          <w:szCs w:val="24"/>
        </w:rPr>
        <w:t>World J Gastroenterol</w:t>
      </w:r>
      <w:r w:rsidRPr="00981036">
        <w:rPr>
          <w:rFonts w:ascii="Book Antiqua" w:hAnsi="Book Antiqua"/>
          <w:sz w:val="24"/>
          <w:szCs w:val="24"/>
        </w:rPr>
        <w:t xml:space="preserve"> 2014;</w:t>
      </w:r>
      <w:r>
        <w:rPr>
          <w:rFonts w:ascii="Book Antiqua" w:hAnsi="Book Antiqua"/>
          <w:sz w:val="24"/>
          <w:szCs w:val="24"/>
        </w:rPr>
        <w:t xml:space="preserve"> In press</w:t>
      </w:r>
    </w:p>
    <w:p w:rsidR="006928BE" w:rsidRPr="00981036" w:rsidRDefault="006928BE" w:rsidP="008F2E0D">
      <w:pPr>
        <w:pStyle w:val="ab"/>
        <w:spacing w:before="0" w:beforeAutospacing="0" w:after="0" w:afterAutospacing="0" w:line="360" w:lineRule="auto"/>
        <w:jc w:val="both"/>
        <w:rPr>
          <w:rFonts w:ascii="Book Antiqua" w:eastAsia="Batang" w:hAnsi="Book Antiqua"/>
          <w:b/>
          <w:bCs/>
        </w:rPr>
      </w:pPr>
      <w:r w:rsidRPr="00981036">
        <w:rPr>
          <w:rFonts w:ascii="Book Antiqua" w:eastAsia="Batang" w:hAnsi="Book Antiqua"/>
          <w:bCs/>
        </w:rPr>
        <w:br w:type="page"/>
      </w:r>
    </w:p>
    <w:p w:rsidR="006928BE" w:rsidRPr="00981036" w:rsidRDefault="006928BE" w:rsidP="008F2E0D">
      <w:pPr>
        <w:wordWrap/>
        <w:spacing w:line="360" w:lineRule="auto"/>
        <w:rPr>
          <w:rFonts w:ascii="Book Antiqua" w:hAnsi="Book Antiqua"/>
          <w:b/>
          <w:sz w:val="24"/>
          <w:szCs w:val="24"/>
        </w:rPr>
      </w:pPr>
      <w:r w:rsidRPr="00981036">
        <w:rPr>
          <w:rFonts w:ascii="Book Antiqua" w:hAnsi="Book Antiqua"/>
          <w:b/>
          <w:sz w:val="24"/>
          <w:szCs w:val="24"/>
        </w:rPr>
        <w:t>INTRODUCTION</w:t>
      </w:r>
    </w:p>
    <w:p w:rsidR="006928BE" w:rsidRPr="00981036" w:rsidRDefault="006928BE" w:rsidP="008F2E0D">
      <w:pPr>
        <w:wordWrap/>
        <w:spacing w:line="360" w:lineRule="auto"/>
        <w:rPr>
          <w:rFonts w:ascii="Book Antiqua" w:hAnsi="Book Antiqua"/>
          <w:sz w:val="24"/>
          <w:szCs w:val="24"/>
        </w:rPr>
      </w:pPr>
      <w:r w:rsidRPr="00981036">
        <w:rPr>
          <w:rFonts w:ascii="Book Antiqua" w:hAnsi="Book Antiqua"/>
          <w:sz w:val="24"/>
          <w:szCs w:val="24"/>
        </w:rPr>
        <w:t>To date, hundreds of drugs have been reported to cause drug-induced esophagitis. However, many clinicians do not recognize this as a cause of chest pain or odynophagia. The majority of the patients usually report self-limited symptoms, so the likelihood of this diagnosis is often underestimated</w:t>
      </w:r>
      <w:r w:rsidRPr="00981036">
        <w:rPr>
          <w:rFonts w:ascii="Book Antiqua" w:hAnsi="Book Antiqua"/>
          <w:noProof/>
          <w:sz w:val="24"/>
          <w:szCs w:val="24"/>
          <w:vertAlign w:val="superscript"/>
        </w:rPr>
        <w:t>[1]</w:t>
      </w:r>
      <w:r w:rsidRPr="00981036">
        <w:rPr>
          <w:rFonts w:ascii="Book Antiqua" w:hAnsi="Book Antiqua"/>
          <w:sz w:val="24"/>
          <w:szCs w:val="24"/>
        </w:rPr>
        <w:t>. However, the unawareness of drug-induced esophagitis can lead to persistent exposures to causative drugs, thus severe complications</w:t>
      </w:r>
      <w:r w:rsidRPr="00981036">
        <w:rPr>
          <w:rFonts w:ascii="Book Antiqua" w:hAnsi="Book Antiqua"/>
          <w:noProof/>
          <w:sz w:val="24"/>
          <w:szCs w:val="24"/>
          <w:vertAlign w:val="superscript"/>
        </w:rPr>
        <w:t>[2-4]</w:t>
      </w:r>
      <w:r w:rsidRPr="00981036">
        <w:rPr>
          <w:rFonts w:ascii="Book Antiqua" w:hAnsi="Book Antiqua"/>
          <w:sz w:val="24"/>
          <w:szCs w:val="24"/>
        </w:rPr>
        <w:t>. Patients who are not initially and accurately diagnosed with drug-induced esophagitis may suffer from unnecessary work up or extensive diagnostic evaluation for chest symptoms. To avoid these undesirable situations, there is a need to improve the awareness of this disease. Nonetheless, most of the studies on drug-induced esophagitis are case reports or reviews of case reports, which have limitations in understanding this disease. The purpose of this study was to investigate the clinical and endoscopic characteristics of drug-induced esophagitis.</w:t>
      </w:r>
    </w:p>
    <w:p w:rsidR="006928BE" w:rsidRPr="00981036" w:rsidRDefault="006928BE" w:rsidP="008F2E0D">
      <w:pPr>
        <w:wordWrap/>
        <w:spacing w:line="360" w:lineRule="auto"/>
        <w:ind w:firstLineChars="200" w:firstLine="482"/>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r w:rsidRPr="00981036">
        <w:rPr>
          <w:rFonts w:ascii="Book Antiqua" w:hAnsi="Book Antiqua"/>
          <w:b/>
          <w:sz w:val="24"/>
          <w:szCs w:val="24"/>
        </w:rPr>
        <w:t>MATERIALS AND METHODS</w:t>
      </w:r>
    </w:p>
    <w:p w:rsidR="006928BE" w:rsidRPr="00030F67" w:rsidRDefault="006928BE" w:rsidP="008F2E0D">
      <w:pPr>
        <w:wordWrap/>
        <w:spacing w:line="360" w:lineRule="auto"/>
        <w:rPr>
          <w:rFonts w:ascii="Book Antiqua" w:hAnsi="Book Antiqua"/>
          <w:b/>
          <w:i/>
          <w:sz w:val="24"/>
          <w:szCs w:val="24"/>
        </w:rPr>
      </w:pPr>
      <w:r w:rsidRPr="00030F67">
        <w:rPr>
          <w:rFonts w:ascii="Book Antiqua" w:hAnsi="Book Antiqua"/>
          <w:b/>
          <w:i/>
          <w:sz w:val="24"/>
          <w:szCs w:val="24"/>
        </w:rPr>
        <w:t>Study population</w:t>
      </w:r>
    </w:p>
    <w:p w:rsidR="006928BE" w:rsidRPr="00981036" w:rsidRDefault="006928BE" w:rsidP="008F2E0D">
      <w:pPr>
        <w:wordWrap/>
        <w:spacing w:line="360" w:lineRule="auto"/>
        <w:rPr>
          <w:rFonts w:ascii="Book Antiqua" w:hAnsi="Book Antiqua"/>
          <w:sz w:val="24"/>
          <w:szCs w:val="24"/>
          <w:lang w:eastAsia="zh-CN"/>
        </w:rPr>
      </w:pPr>
      <w:r w:rsidRPr="00981036">
        <w:rPr>
          <w:rFonts w:ascii="Book Antiqua" w:hAnsi="Book Antiqua"/>
          <w:sz w:val="24"/>
          <w:szCs w:val="24"/>
        </w:rPr>
        <w:t>The data of 78 patients diagnosed with drug-induced esophagitis between April 2002 and May 2013 was reviewed and analyzed from 4 university hospitals. Patients with a definite history of taking medicines and with acute esophageal symptoms (odynophagia, dysphagia and chest pain) of less than two weeks were included in the drug-induced esophagitis group. Demographic features, clinical history, endoscopic findings and histopathologic features were obtained by reviewing electronic medical records at each hospital. Patients with malignancy, viral or fungal esophagitis, esophageal varix, and corrosive esophageal injury were excluded. Patients with esophageal reflux symptoms that were persistent for greater than two weeks were also excluded. To compare histopathology with drug-induced esophagitis group, 19 patients with endoscopic evidence of reflux esophagitis (grade A to D according to the Los Angeles classification) and gastrointestinal symptoms were selected and included in the reflux esophagitis group</w:t>
      </w:r>
      <w:r w:rsidRPr="00981036">
        <w:rPr>
          <w:rFonts w:ascii="Book Antiqua" w:hAnsi="Book Antiqua"/>
          <w:noProof/>
          <w:sz w:val="24"/>
          <w:szCs w:val="24"/>
          <w:vertAlign w:val="superscript"/>
        </w:rPr>
        <w:t>[5]</w:t>
      </w:r>
      <w:r w:rsidRPr="00981036">
        <w:rPr>
          <w:rFonts w:ascii="Book Antiqua" w:hAnsi="Book Antiqua"/>
          <w:sz w:val="24"/>
          <w:szCs w:val="24"/>
        </w:rPr>
        <w:t xml:space="preserve">. This study was </w:t>
      </w:r>
      <w:r w:rsidRPr="00981036">
        <w:rPr>
          <w:rFonts w:ascii="Book Antiqua" w:hAnsi="Book Antiqua"/>
          <w:sz w:val="24"/>
          <w:szCs w:val="24"/>
        </w:rPr>
        <w:lastRenderedPageBreak/>
        <w:t>approved by the Institutional Review Board of Seoul National University Boramae Hospital and performed in accordance with the ethical guidelines of the Declaration of Helsinki.</w:t>
      </w:r>
    </w:p>
    <w:p w:rsidR="006928BE" w:rsidRPr="00981036" w:rsidRDefault="006928BE" w:rsidP="008F2E0D">
      <w:pPr>
        <w:wordWrap/>
        <w:spacing w:line="360" w:lineRule="auto"/>
        <w:ind w:firstLineChars="200" w:firstLine="480"/>
        <w:rPr>
          <w:rFonts w:ascii="Book Antiqua" w:hAnsi="Book Antiqua"/>
          <w:sz w:val="24"/>
          <w:szCs w:val="24"/>
          <w:lang w:eastAsia="zh-CN"/>
        </w:rPr>
      </w:pPr>
    </w:p>
    <w:p w:rsidR="006928BE" w:rsidRPr="00030F67" w:rsidRDefault="006928BE" w:rsidP="008F2E0D">
      <w:pPr>
        <w:wordWrap/>
        <w:spacing w:line="360" w:lineRule="auto"/>
        <w:rPr>
          <w:rFonts w:ascii="Book Antiqua" w:hAnsi="Book Antiqua"/>
          <w:b/>
          <w:i/>
          <w:sz w:val="24"/>
          <w:szCs w:val="24"/>
        </w:rPr>
      </w:pPr>
      <w:r w:rsidRPr="00030F67">
        <w:rPr>
          <w:rFonts w:ascii="Book Antiqua" w:hAnsi="Book Antiqua"/>
          <w:b/>
          <w:i/>
          <w:sz w:val="24"/>
          <w:szCs w:val="24"/>
        </w:rPr>
        <w:t xml:space="preserve">Statistical </w:t>
      </w:r>
      <w:r w:rsidRPr="00030F67">
        <w:rPr>
          <w:rFonts w:ascii="Book Antiqua" w:hAnsi="Book Antiqua"/>
          <w:b/>
          <w:i/>
          <w:sz w:val="24"/>
          <w:szCs w:val="24"/>
          <w:lang w:eastAsia="zh-CN"/>
        </w:rPr>
        <w:t>a</w:t>
      </w:r>
      <w:r w:rsidRPr="00030F67">
        <w:rPr>
          <w:rFonts w:ascii="Book Antiqua" w:hAnsi="Book Antiqua"/>
          <w:b/>
          <w:i/>
          <w:sz w:val="24"/>
          <w:szCs w:val="24"/>
        </w:rPr>
        <w:t>nalysis</w:t>
      </w:r>
    </w:p>
    <w:p w:rsidR="006928BE" w:rsidRPr="00981036" w:rsidRDefault="006928BE" w:rsidP="008F2E0D">
      <w:pPr>
        <w:wordWrap/>
        <w:spacing w:line="360" w:lineRule="auto"/>
        <w:rPr>
          <w:rFonts w:ascii="Book Antiqua" w:hAnsi="Book Antiqua"/>
          <w:sz w:val="24"/>
          <w:szCs w:val="24"/>
        </w:rPr>
      </w:pPr>
      <w:r w:rsidRPr="00981036">
        <w:rPr>
          <w:rFonts w:ascii="Book Antiqua" w:hAnsi="Book Antiqua"/>
          <w:sz w:val="24"/>
          <w:szCs w:val="24"/>
        </w:rPr>
        <w:t xml:space="preserve">SPSS version 18.0 software (IBM, Chicago, Illinois, USA) was used for statistical analysis. Continuous data were tested for the normality assumption using the Kolmogorov-Smirnov test. Normally distributed variables were described using the mean and standard deviation (SD). Descriptive data were shown as mean </w:t>
      </w:r>
      <w:r w:rsidRPr="00981036">
        <w:rPr>
          <w:rFonts w:ascii="Book Antiqua" w:eastAsia="Malgun Gothic" w:hAnsi="Book Antiqua"/>
          <w:kern w:val="0"/>
          <w:sz w:val="24"/>
          <w:szCs w:val="24"/>
        </w:rPr>
        <w:t>± SD, number of patients and percentage. Categorical variables were analyzed between groups using the</w:t>
      </w:r>
      <w:r w:rsidRPr="00981036">
        <w:rPr>
          <w:rFonts w:ascii="Book Antiqua" w:hAnsi="Book Antiqua"/>
          <w:sz w:val="24"/>
          <w:szCs w:val="24"/>
        </w:rPr>
        <w:t xml:space="preserve"> Chi-square test. All results were considered statistically significant when</w:t>
      </w:r>
      <w:r>
        <w:rPr>
          <w:rFonts w:ascii="Book Antiqua" w:hAnsi="Book Antiqua"/>
          <w:sz w:val="24"/>
          <w:szCs w:val="24"/>
          <w:lang w:eastAsia="zh-CN"/>
        </w:rPr>
        <w:t xml:space="preserve"> </w:t>
      </w:r>
      <w:r w:rsidRPr="00981036">
        <w:rPr>
          <w:rFonts w:ascii="Book Antiqua" w:hAnsi="Book Antiqua"/>
          <w:i/>
          <w:sz w:val="24"/>
          <w:szCs w:val="24"/>
          <w:lang w:eastAsia="zh-CN"/>
        </w:rPr>
        <w:t xml:space="preserve">P </w:t>
      </w:r>
      <w:r w:rsidRPr="00981036">
        <w:rPr>
          <w:rFonts w:ascii="Book Antiqua" w:hAnsi="Book Antiqua"/>
          <w:sz w:val="24"/>
          <w:szCs w:val="24"/>
        </w:rPr>
        <w:t>values were less than 0.05 (two-tailed).</w:t>
      </w:r>
    </w:p>
    <w:p w:rsidR="006928BE" w:rsidRPr="00981036" w:rsidRDefault="006928BE" w:rsidP="008F2E0D">
      <w:pPr>
        <w:wordWrap/>
        <w:spacing w:line="360" w:lineRule="auto"/>
        <w:ind w:firstLineChars="200" w:firstLine="482"/>
        <w:rPr>
          <w:rFonts w:ascii="Book Antiqua" w:hAnsi="Book Antiqua"/>
          <w:b/>
          <w:sz w:val="24"/>
          <w:szCs w:val="24"/>
          <w:lang w:eastAsia="zh-CN"/>
        </w:rPr>
      </w:pPr>
    </w:p>
    <w:p w:rsidR="006928BE" w:rsidRPr="00981036" w:rsidRDefault="006928BE" w:rsidP="008F2E0D">
      <w:pPr>
        <w:wordWrap/>
        <w:spacing w:line="360" w:lineRule="auto"/>
        <w:rPr>
          <w:rFonts w:ascii="Book Antiqua" w:hAnsi="Book Antiqua"/>
          <w:b/>
          <w:sz w:val="24"/>
          <w:szCs w:val="24"/>
        </w:rPr>
      </w:pPr>
      <w:r w:rsidRPr="00981036">
        <w:rPr>
          <w:rFonts w:ascii="Book Antiqua" w:hAnsi="Book Antiqua"/>
          <w:b/>
          <w:sz w:val="24"/>
          <w:szCs w:val="24"/>
        </w:rPr>
        <w:t>RESULTS</w:t>
      </w:r>
    </w:p>
    <w:p w:rsidR="006928BE" w:rsidRPr="00030F67" w:rsidRDefault="006928BE" w:rsidP="008F2E0D">
      <w:pPr>
        <w:wordWrap/>
        <w:spacing w:line="360" w:lineRule="auto"/>
        <w:rPr>
          <w:rFonts w:ascii="Book Antiqua" w:hAnsi="Book Antiqua"/>
          <w:b/>
          <w:i/>
          <w:sz w:val="24"/>
          <w:szCs w:val="24"/>
        </w:rPr>
      </w:pPr>
      <w:r w:rsidRPr="00030F67">
        <w:rPr>
          <w:rFonts w:ascii="Book Antiqua" w:hAnsi="Book Antiqua"/>
          <w:b/>
          <w:i/>
          <w:sz w:val="24"/>
          <w:szCs w:val="24"/>
        </w:rPr>
        <w:t xml:space="preserve">Demographic findings and </w:t>
      </w:r>
      <w:r w:rsidRPr="00030F67">
        <w:rPr>
          <w:rFonts w:ascii="Book Antiqua" w:hAnsi="Book Antiqua"/>
          <w:b/>
          <w:i/>
          <w:sz w:val="24"/>
          <w:szCs w:val="24"/>
          <w:lang w:eastAsia="zh-CN"/>
        </w:rPr>
        <w:t>c</w:t>
      </w:r>
      <w:r w:rsidRPr="00030F67">
        <w:rPr>
          <w:rFonts w:ascii="Book Antiqua" w:hAnsi="Book Antiqua"/>
          <w:b/>
          <w:i/>
          <w:sz w:val="24"/>
          <w:szCs w:val="24"/>
        </w:rPr>
        <w:t>linical symptoms</w:t>
      </w:r>
    </w:p>
    <w:p w:rsidR="006928BE" w:rsidRPr="00981036" w:rsidRDefault="006928BE" w:rsidP="008F2E0D">
      <w:pPr>
        <w:wordWrap/>
        <w:spacing w:line="360" w:lineRule="auto"/>
        <w:rPr>
          <w:rFonts w:ascii="Book Antiqua" w:hAnsi="Book Antiqua"/>
          <w:sz w:val="24"/>
          <w:szCs w:val="24"/>
        </w:rPr>
      </w:pPr>
      <w:r w:rsidRPr="00981036">
        <w:rPr>
          <w:rFonts w:ascii="Book Antiqua" w:hAnsi="Book Antiqua"/>
          <w:sz w:val="24"/>
          <w:szCs w:val="24"/>
        </w:rPr>
        <w:t>Among 78 patients with drug-induced esophagitis, 35.9% (</w:t>
      </w:r>
      <w:r w:rsidRPr="00030F67">
        <w:rPr>
          <w:rFonts w:ascii="Book Antiqua" w:hAnsi="Book Antiqua"/>
          <w:i/>
          <w:sz w:val="24"/>
          <w:szCs w:val="24"/>
        </w:rPr>
        <w:t>n</w:t>
      </w:r>
      <w:r w:rsidRPr="00981036">
        <w:rPr>
          <w:rFonts w:ascii="Book Antiqua" w:hAnsi="Book Antiqua"/>
          <w:sz w:val="24"/>
          <w:szCs w:val="24"/>
        </w:rPr>
        <w:t>=28) were males and 64.1% (</w:t>
      </w:r>
      <w:r w:rsidRPr="00030F67">
        <w:rPr>
          <w:rFonts w:ascii="Book Antiqua" w:hAnsi="Book Antiqua"/>
          <w:i/>
          <w:sz w:val="24"/>
          <w:szCs w:val="24"/>
        </w:rPr>
        <w:t>n</w:t>
      </w:r>
      <w:r w:rsidRPr="00981036">
        <w:rPr>
          <w:rFonts w:ascii="Book Antiqua" w:hAnsi="Book Antiqua"/>
          <w:sz w:val="24"/>
          <w:szCs w:val="24"/>
        </w:rPr>
        <w:t>=50) were females. Mean age was 43.9 ± 18.9 years (mean ± SD, range 16</w:t>
      </w:r>
      <w:r>
        <w:rPr>
          <w:rFonts w:ascii="Book Antiqua" w:hAnsi="Book Antiqua"/>
          <w:sz w:val="24"/>
          <w:szCs w:val="24"/>
          <w:lang w:eastAsia="zh-CN"/>
        </w:rPr>
        <w:t>-</w:t>
      </w:r>
      <w:r w:rsidRPr="00981036">
        <w:rPr>
          <w:rFonts w:ascii="Book Antiqua" w:hAnsi="Book Antiqua"/>
          <w:sz w:val="24"/>
          <w:szCs w:val="24"/>
        </w:rPr>
        <w:t xml:space="preserve">84). </w:t>
      </w:r>
    </w:p>
    <w:p w:rsidR="006928BE" w:rsidRPr="00981036" w:rsidRDefault="006928BE" w:rsidP="008F2E0D">
      <w:pPr>
        <w:wordWrap/>
        <w:spacing w:line="360" w:lineRule="auto"/>
        <w:ind w:firstLineChars="200" w:firstLine="480"/>
        <w:rPr>
          <w:rFonts w:ascii="Book Antiqua" w:hAnsi="Book Antiqua"/>
          <w:sz w:val="24"/>
          <w:szCs w:val="24"/>
        </w:rPr>
      </w:pPr>
      <w:r w:rsidRPr="00981036">
        <w:rPr>
          <w:rFonts w:ascii="Book Antiqua" w:hAnsi="Book Antiqua"/>
          <w:sz w:val="24"/>
          <w:szCs w:val="24"/>
        </w:rPr>
        <w:t>Common symptoms were chest pain (</w:t>
      </w:r>
      <w:r w:rsidRPr="00030F67">
        <w:rPr>
          <w:rFonts w:ascii="Book Antiqua" w:hAnsi="Book Antiqua"/>
          <w:i/>
          <w:sz w:val="24"/>
          <w:szCs w:val="24"/>
        </w:rPr>
        <w:t>n</w:t>
      </w:r>
      <w:r w:rsidRPr="00981036">
        <w:rPr>
          <w:rFonts w:ascii="Book Antiqua" w:hAnsi="Book Antiqua"/>
          <w:sz w:val="24"/>
          <w:szCs w:val="24"/>
        </w:rPr>
        <w:t>=56, 71.8%) odynophagia (</w:t>
      </w:r>
      <w:r w:rsidRPr="00030F67">
        <w:rPr>
          <w:rFonts w:ascii="Book Antiqua" w:hAnsi="Book Antiqua"/>
          <w:i/>
          <w:sz w:val="24"/>
          <w:szCs w:val="24"/>
        </w:rPr>
        <w:t>n</w:t>
      </w:r>
      <w:r w:rsidRPr="00981036">
        <w:rPr>
          <w:rFonts w:ascii="Book Antiqua" w:hAnsi="Book Antiqua"/>
          <w:sz w:val="24"/>
          <w:szCs w:val="24"/>
        </w:rPr>
        <w:t>=30, 38.5%), dysphagia (</w:t>
      </w:r>
      <w:r w:rsidRPr="00030F67">
        <w:rPr>
          <w:rFonts w:ascii="Book Antiqua" w:hAnsi="Book Antiqua"/>
          <w:i/>
          <w:sz w:val="24"/>
          <w:szCs w:val="24"/>
        </w:rPr>
        <w:t>n</w:t>
      </w:r>
      <w:r w:rsidRPr="00981036">
        <w:rPr>
          <w:rFonts w:ascii="Book Antiqua" w:hAnsi="Book Antiqua"/>
          <w:sz w:val="24"/>
          <w:szCs w:val="24"/>
        </w:rPr>
        <w:t>=23, 29.5%), and vomiting (</w:t>
      </w:r>
      <w:r w:rsidRPr="00655B40">
        <w:rPr>
          <w:rFonts w:ascii="Book Antiqua" w:hAnsi="Book Antiqua"/>
          <w:i/>
          <w:sz w:val="24"/>
          <w:szCs w:val="24"/>
        </w:rPr>
        <w:t>n</w:t>
      </w:r>
      <w:r w:rsidRPr="00981036">
        <w:rPr>
          <w:rFonts w:ascii="Book Antiqua" w:hAnsi="Book Antiqua"/>
          <w:sz w:val="24"/>
          <w:szCs w:val="24"/>
        </w:rPr>
        <w:t>=6, 7.7%). Two patients had melena (</w:t>
      </w:r>
      <w:r w:rsidRPr="008859FB">
        <w:rPr>
          <w:rFonts w:ascii="Book Antiqua" w:hAnsi="Book Antiqua"/>
          <w:i/>
          <w:sz w:val="24"/>
          <w:szCs w:val="24"/>
        </w:rPr>
        <w:t>n</w:t>
      </w:r>
      <w:r w:rsidRPr="00981036">
        <w:rPr>
          <w:rFonts w:ascii="Book Antiqua" w:hAnsi="Book Antiqua"/>
          <w:sz w:val="24"/>
          <w:szCs w:val="24"/>
        </w:rPr>
        <w:t>=2, 2.6%) due to esophageal bleeding</w:t>
      </w:r>
      <w:r w:rsidRPr="00030F67">
        <w:rPr>
          <w:rFonts w:ascii="Book Antiqua" w:hAnsi="Book Antiqua"/>
          <w:sz w:val="24"/>
          <w:szCs w:val="24"/>
          <w:lang w:eastAsia="zh-CN"/>
        </w:rPr>
        <w:t xml:space="preserve"> </w:t>
      </w:r>
      <w:r w:rsidRPr="00030F67">
        <w:rPr>
          <w:rFonts w:ascii="Book Antiqua" w:hAnsi="Book Antiqua"/>
          <w:sz w:val="24"/>
          <w:szCs w:val="24"/>
        </w:rPr>
        <w:t>(Table 1)</w:t>
      </w:r>
      <w:r w:rsidRPr="00030F67">
        <w:rPr>
          <w:rFonts w:ascii="Book Antiqua" w:hAnsi="Book Antiqua"/>
          <w:sz w:val="24"/>
          <w:szCs w:val="24"/>
          <w:lang w:eastAsia="zh-CN"/>
        </w:rPr>
        <w:t>.</w:t>
      </w:r>
      <w:r w:rsidRPr="00030F67">
        <w:rPr>
          <w:rFonts w:ascii="Book Antiqua" w:hAnsi="Book Antiqua"/>
          <w:sz w:val="24"/>
          <w:szCs w:val="24"/>
        </w:rPr>
        <w:t xml:space="preserve"> </w:t>
      </w:r>
    </w:p>
    <w:p w:rsidR="006928BE" w:rsidRPr="00981036" w:rsidRDefault="006928BE" w:rsidP="008F2E0D">
      <w:pPr>
        <w:wordWrap/>
        <w:spacing w:line="360" w:lineRule="auto"/>
        <w:ind w:firstLineChars="200" w:firstLine="482"/>
        <w:rPr>
          <w:rFonts w:ascii="Book Antiqua" w:hAnsi="Book Antiqua"/>
          <w:b/>
          <w:sz w:val="24"/>
          <w:szCs w:val="24"/>
          <w:lang w:eastAsia="zh-CN"/>
        </w:rPr>
      </w:pPr>
    </w:p>
    <w:p w:rsidR="006928BE" w:rsidRPr="00030F67" w:rsidRDefault="006928BE" w:rsidP="008F2E0D">
      <w:pPr>
        <w:wordWrap/>
        <w:spacing w:line="360" w:lineRule="auto"/>
        <w:rPr>
          <w:rFonts w:ascii="Book Antiqua" w:hAnsi="Book Antiqua"/>
          <w:i/>
          <w:sz w:val="24"/>
          <w:szCs w:val="24"/>
        </w:rPr>
      </w:pPr>
      <w:r w:rsidRPr="00030F67">
        <w:rPr>
          <w:rFonts w:ascii="Book Antiqua" w:hAnsi="Book Antiqua"/>
          <w:b/>
          <w:i/>
          <w:sz w:val="24"/>
          <w:szCs w:val="24"/>
        </w:rPr>
        <w:t>Endoscopic findings</w:t>
      </w:r>
    </w:p>
    <w:p w:rsidR="006928BE" w:rsidRPr="00981036" w:rsidRDefault="006928BE" w:rsidP="008F2E0D">
      <w:pPr>
        <w:wordWrap/>
        <w:spacing w:line="360" w:lineRule="auto"/>
        <w:rPr>
          <w:rFonts w:ascii="Book Antiqua" w:hAnsi="Book Antiqua"/>
          <w:sz w:val="24"/>
          <w:szCs w:val="24"/>
          <w:lang w:eastAsia="zh-CN"/>
        </w:rPr>
      </w:pPr>
      <w:r w:rsidRPr="00981036">
        <w:rPr>
          <w:rFonts w:ascii="Book Antiqua" w:hAnsi="Book Antiqua"/>
          <w:sz w:val="24"/>
          <w:szCs w:val="24"/>
        </w:rPr>
        <w:t>78.2% (61/78) of the endoscopic location of drug-induced esophagitis was in the middle third of the esophagus. Endoscopic findings in the esophagus were ulcers (</w:t>
      </w:r>
      <w:r w:rsidRPr="00030F67">
        <w:rPr>
          <w:rFonts w:ascii="Book Antiqua" w:hAnsi="Book Antiqua"/>
          <w:i/>
          <w:sz w:val="24"/>
          <w:szCs w:val="24"/>
        </w:rPr>
        <w:t>n</w:t>
      </w:r>
      <w:r w:rsidRPr="00981036">
        <w:rPr>
          <w:rFonts w:ascii="Book Antiqua" w:hAnsi="Book Antiqua"/>
          <w:sz w:val="24"/>
          <w:szCs w:val="24"/>
        </w:rPr>
        <w:t xml:space="preserve"> =64, 82.1%), erosions (</w:t>
      </w:r>
      <w:r w:rsidRPr="00030F67">
        <w:rPr>
          <w:rFonts w:ascii="Book Antiqua" w:hAnsi="Book Antiqua"/>
          <w:i/>
          <w:sz w:val="24"/>
          <w:szCs w:val="24"/>
        </w:rPr>
        <w:t>n</w:t>
      </w:r>
      <w:r w:rsidRPr="00981036">
        <w:rPr>
          <w:rFonts w:ascii="Book Antiqua" w:hAnsi="Book Antiqua"/>
          <w:sz w:val="24"/>
          <w:szCs w:val="24"/>
        </w:rPr>
        <w:t>=14, 17.9%), ulcer with bleeding (</w:t>
      </w:r>
      <w:r w:rsidRPr="00030F67">
        <w:rPr>
          <w:rFonts w:ascii="Book Antiqua" w:hAnsi="Book Antiqua"/>
          <w:i/>
          <w:sz w:val="24"/>
          <w:szCs w:val="24"/>
        </w:rPr>
        <w:t>n</w:t>
      </w:r>
      <w:r w:rsidRPr="00981036">
        <w:rPr>
          <w:rFonts w:ascii="Book Antiqua" w:hAnsi="Book Antiqua"/>
          <w:sz w:val="24"/>
          <w:szCs w:val="24"/>
        </w:rPr>
        <w:t xml:space="preserve"> =19, 24.4%), coating with drug material (</w:t>
      </w:r>
      <w:r w:rsidRPr="00030F67">
        <w:rPr>
          <w:rFonts w:ascii="Book Antiqua" w:hAnsi="Book Antiqua"/>
          <w:i/>
          <w:sz w:val="24"/>
          <w:szCs w:val="24"/>
        </w:rPr>
        <w:t>n</w:t>
      </w:r>
      <w:r w:rsidRPr="00981036">
        <w:rPr>
          <w:rFonts w:ascii="Book Antiqua" w:hAnsi="Book Antiqua"/>
          <w:sz w:val="24"/>
          <w:szCs w:val="24"/>
        </w:rPr>
        <w:t>=4, 5.1%), impacted pill fragments (</w:t>
      </w:r>
      <w:r w:rsidRPr="00030F67">
        <w:rPr>
          <w:rFonts w:ascii="Book Antiqua" w:hAnsi="Book Antiqua"/>
          <w:i/>
          <w:sz w:val="24"/>
          <w:szCs w:val="24"/>
        </w:rPr>
        <w:t>n</w:t>
      </w:r>
      <w:r w:rsidRPr="00981036">
        <w:rPr>
          <w:rFonts w:ascii="Book Antiqua" w:hAnsi="Book Antiqua"/>
          <w:sz w:val="24"/>
          <w:szCs w:val="24"/>
        </w:rPr>
        <w:t xml:space="preserve"> =3, 3.8%) and stricture (</w:t>
      </w:r>
      <w:r w:rsidRPr="00030F67">
        <w:rPr>
          <w:rFonts w:ascii="Book Antiqua" w:hAnsi="Book Antiqua"/>
          <w:i/>
          <w:sz w:val="24"/>
          <w:szCs w:val="24"/>
        </w:rPr>
        <w:t>n</w:t>
      </w:r>
      <w:r w:rsidRPr="00981036">
        <w:rPr>
          <w:rFonts w:ascii="Book Antiqua" w:hAnsi="Book Antiqua"/>
          <w:sz w:val="24"/>
          <w:szCs w:val="24"/>
        </w:rPr>
        <w:t>=2, 2.6%). Thirty-four cases (43.6%) showed kissing ulcers (ulcers facing each other)</w:t>
      </w:r>
      <w:r w:rsidRPr="00981036">
        <w:rPr>
          <w:rFonts w:ascii="Book Antiqua" w:hAnsi="Book Antiqua"/>
          <w:sz w:val="24"/>
          <w:szCs w:val="24"/>
          <w:lang w:eastAsia="zh-CN"/>
        </w:rPr>
        <w:t xml:space="preserve"> </w:t>
      </w:r>
      <w:r w:rsidRPr="00981036">
        <w:rPr>
          <w:rFonts w:ascii="Book Antiqua" w:hAnsi="Book Antiqua"/>
          <w:sz w:val="24"/>
          <w:szCs w:val="24"/>
        </w:rPr>
        <w:t>(Table 2</w:t>
      </w:r>
      <w:r>
        <w:rPr>
          <w:rFonts w:ascii="Book Antiqua" w:hAnsi="Book Antiqua"/>
          <w:sz w:val="24"/>
          <w:szCs w:val="24"/>
        </w:rPr>
        <w:t xml:space="preserve">, </w:t>
      </w:r>
      <w:r w:rsidRPr="00981036">
        <w:rPr>
          <w:rFonts w:ascii="Book Antiqua" w:hAnsi="Book Antiqua"/>
          <w:sz w:val="24"/>
          <w:szCs w:val="24"/>
        </w:rPr>
        <w:t>Figure 1)</w:t>
      </w:r>
      <w:r w:rsidRPr="00981036">
        <w:rPr>
          <w:rFonts w:ascii="Book Antiqua" w:hAnsi="Book Antiqua"/>
          <w:sz w:val="24"/>
          <w:szCs w:val="24"/>
          <w:lang w:eastAsia="zh-CN"/>
        </w:rPr>
        <w:t>.</w:t>
      </w:r>
    </w:p>
    <w:p w:rsidR="006928BE" w:rsidRPr="00981036" w:rsidRDefault="006928BE" w:rsidP="008F2E0D">
      <w:pPr>
        <w:wordWrap/>
        <w:spacing w:line="360" w:lineRule="auto"/>
        <w:ind w:firstLineChars="200" w:firstLine="482"/>
        <w:rPr>
          <w:rFonts w:ascii="Book Antiqua" w:hAnsi="Book Antiqua"/>
          <w:b/>
          <w:sz w:val="24"/>
          <w:szCs w:val="24"/>
          <w:lang w:eastAsia="zh-CN"/>
        </w:rPr>
      </w:pPr>
    </w:p>
    <w:p w:rsidR="006928BE" w:rsidRPr="00030F67" w:rsidRDefault="006928BE" w:rsidP="008F2E0D">
      <w:pPr>
        <w:wordWrap/>
        <w:spacing w:line="360" w:lineRule="auto"/>
        <w:rPr>
          <w:rFonts w:ascii="Book Antiqua" w:hAnsi="Book Antiqua"/>
          <w:b/>
          <w:i/>
          <w:sz w:val="24"/>
          <w:szCs w:val="24"/>
        </w:rPr>
      </w:pPr>
      <w:r w:rsidRPr="00030F67">
        <w:rPr>
          <w:rFonts w:ascii="Book Antiqua" w:hAnsi="Book Antiqua"/>
          <w:b/>
          <w:i/>
          <w:sz w:val="24"/>
          <w:szCs w:val="24"/>
        </w:rPr>
        <w:t>Causative agents</w:t>
      </w:r>
    </w:p>
    <w:p w:rsidR="006928BE" w:rsidRPr="00981036" w:rsidRDefault="006928BE" w:rsidP="008F2E0D">
      <w:pPr>
        <w:wordWrap/>
        <w:spacing w:line="360" w:lineRule="auto"/>
        <w:rPr>
          <w:rFonts w:ascii="Book Antiqua" w:hAnsi="Book Antiqua"/>
          <w:sz w:val="24"/>
          <w:szCs w:val="24"/>
          <w:lang w:eastAsia="zh-CN"/>
        </w:rPr>
      </w:pPr>
      <w:r w:rsidRPr="00981036">
        <w:rPr>
          <w:rFonts w:ascii="Book Antiqua" w:hAnsi="Book Antiqua"/>
          <w:sz w:val="24"/>
          <w:szCs w:val="24"/>
        </w:rPr>
        <w:t xml:space="preserve">Causative agents were antibiotics (doxycycline, amoxicillin, ciprofloxacin, </w:t>
      </w:r>
      <w:r w:rsidRPr="00981036">
        <w:rPr>
          <w:rFonts w:ascii="Book Antiqua" w:hAnsi="Book Antiqua"/>
          <w:sz w:val="24"/>
          <w:szCs w:val="24"/>
        </w:rPr>
        <w:lastRenderedPageBreak/>
        <w:t>metronidazole, sultamicillin tosylate, rifaximin) in 28 patients (35.9%),</w:t>
      </w:r>
      <w:r>
        <w:rPr>
          <w:rFonts w:ascii="Book Antiqua" w:hAnsi="Book Antiqua"/>
          <w:kern w:val="0"/>
          <w:sz w:val="24"/>
          <w:szCs w:val="24"/>
          <w:lang w:eastAsia="zh-CN"/>
        </w:rPr>
        <w:t xml:space="preserve"> </w:t>
      </w:r>
      <w:r w:rsidRPr="00981036">
        <w:rPr>
          <w:rFonts w:ascii="Book Antiqua" w:eastAsia="Malgun Gothic" w:hAnsi="Book Antiqua"/>
          <w:kern w:val="0"/>
          <w:sz w:val="24"/>
          <w:szCs w:val="24"/>
        </w:rPr>
        <w:t>nonsteroidal anti-inflammatory drug</w:t>
      </w:r>
      <w:r>
        <w:rPr>
          <w:rFonts w:ascii="Book Antiqua" w:hAnsi="Book Antiqua"/>
          <w:kern w:val="0"/>
          <w:sz w:val="24"/>
          <w:szCs w:val="24"/>
          <w:lang w:eastAsia="zh-CN"/>
        </w:rPr>
        <w:t xml:space="preserve"> (</w:t>
      </w:r>
      <w:r>
        <w:rPr>
          <w:rFonts w:ascii="Book Antiqua" w:hAnsi="Book Antiqua"/>
          <w:sz w:val="24"/>
          <w:szCs w:val="24"/>
        </w:rPr>
        <w:t>a</w:t>
      </w:r>
      <w:r w:rsidRPr="00981036">
        <w:rPr>
          <w:rFonts w:ascii="Book Antiqua" w:hAnsi="Book Antiqua"/>
          <w:sz w:val="24"/>
          <w:szCs w:val="24"/>
        </w:rPr>
        <w:t>s</w:t>
      </w:r>
      <w:r>
        <w:rPr>
          <w:rFonts w:ascii="Book Antiqua" w:hAnsi="Book Antiqua"/>
          <w:sz w:val="24"/>
          <w:szCs w:val="24"/>
          <w:lang w:eastAsia="zh-CN"/>
        </w:rPr>
        <w:t>)</w:t>
      </w:r>
      <w:r w:rsidRPr="00981036">
        <w:rPr>
          <w:rFonts w:ascii="Book Antiqua" w:hAnsi="Book Antiqua"/>
          <w:sz w:val="24"/>
          <w:szCs w:val="24"/>
        </w:rPr>
        <w:t>(aspirin, aceclofenac) in 27 patients (34.6%), anti-hypertensive drugs (amlodipine, ramipril) in 9 patients (11.5%), acetaminophen in 7 patients (9.0%), oral hypoglycemic agents (glimepiride) in 4 patients (5.1%), bisphosphonates (alendronate, ibandronate) in 4 patients (5.1%), ascorbic acid in 2 patients (2.6%), warfarin in 2 patients (2.6%) and other drugs (tiropramide, pinaverium bromide, mosapride, esomeprazole) in 4 patients</w:t>
      </w:r>
      <w:r w:rsidRPr="00030F67">
        <w:rPr>
          <w:rFonts w:ascii="Book Antiqua" w:hAnsi="Book Antiqua"/>
          <w:sz w:val="24"/>
          <w:szCs w:val="24"/>
          <w:lang w:eastAsia="zh-CN"/>
        </w:rPr>
        <w:t xml:space="preserve"> </w:t>
      </w:r>
      <w:r w:rsidRPr="00030F67">
        <w:rPr>
          <w:rFonts w:ascii="Book Antiqua" w:hAnsi="Book Antiqua"/>
          <w:sz w:val="24"/>
          <w:szCs w:val="24"/>
        </w:rPr>
        <w:t>(Table 3)</w:t>
      </w:r>
      <w:r w:rsidRPr="00030F67">
        <w:rPr>
          <w:rFonts w:ascii="Book Antiqua" w:hAnsi="Book Antiqua"/>
          <w:sz w:val="24"/>
          <w:szCs w:val="24"/>
          <w:lang w:eastAsia="zh-CN"/>
        </w:rPr>
        <w:t>.</w:t>
      </w:r>
      <w:r w:rsidRPr="00981036">
        <w:rPr>
          <w:rFonts w:ascii="Book Antiqua" w:hAnsi="Book Antiqua"/>
          <w:sz w:val="24"/>
          <w:szCs w:val="24"/>
          <w:lang w:eastAsia="zh-CN"/>
        </w:rPr>
        <w:t xml:space="preserve"> </w:t>
      </w:r>
      <w:r w:rsidRPr="00981036">
        <w:rPr>
          <w:rFonts w:ascii="Book Antiqua" w:hAnsi="Book Antiqua"/>
          <w:sz w:val="24"/>
          <w:szCs w:val="24"/>
        </w:rPr>
        <w:t>The proportion of antibiotics as a cause of drug-induced esophagitis was higher among the younger group (&lt;45</w:t>
      </w:r>
      <w:r w:rsidRPr="00981036">
        <w:rPr>
          <w:rFonts w:ascii="Book Antiqua" w:hAnsi="Book Antiqua"/>
          <w:sz w:val="24"/>
          <w:szCs w:val="24"/>
          <w:lang w:eastAsia="zh-CN"/>
        </w:rPr>
        <w:t xml:space="preserve"> </w:t>
      </w:r>
      <w:r w:rsidRPr="00981036">
        <w:rPr>
          <w:rFonts w:ascii="Book Antiqua" w:hAnsi="Book Antiqua"/>
          <w:sz w:val="24"/>
          <w:szCs w:val="24"/>
        </w:rPr>
        <w:t>yr) than in the elderly group (≥45</w:t>
      </w:r>
      <w:r w:rsidRPr="00981036">
        <w:rPr>
          <w:rFonts w:ascii="Book Antiqua" w:hAnsi="Book Antiqua"/>
          <w:sz w:val="24"/>
          <w:szCs w:val="24"/>
          <w:lang w:eastAsia="zh-CN"/>
        </w:rPr>
        <w:t xml:space="preserve"> </w:t>
      </w:r>
      <w:r w:rsidRPr="00981036">
        <w:rPr>
          <w:rFonts w:ascii="Book Antiqua" w:hAnsi="Book Antiqua"/>
          <w:sz w:val="24"/>
          <w:szCs w:val="24"/>
        </w:rPr>
        <w:t xml:space="preserve">yr, 47.6% </w:t>
      </w:r>
      <w:r w:rsidRPr="00030F67">
        <w:rPr>
          <w:rFonts w:ascii="Book Antiqua" w:hAnsi="Book Antiqua"/>
          <w:i/>
          <w:sz w:val="24"/>
          <w:szCs w:val="24"/>
          <w:lang w:eastAsia="zh-CN"/>
        </w:rPr>
        <w:t>vs</w:t>
      </w:r>
      <w:r w:rsidRPr="00981036">
        <w:rPr>
          <w:rFonts w:ascii="Book Antiqua" w:hAnsi="Book Antiqua"/>
          <w:sz w:val="24"/>
          <w:szCs w:val="24"/>
        </w:rPr>
        <w:t xml:space="preserve"> 22.2%, </w:t>
      </w:r>
      <w:r w:rsidRPr="00981036">
        <w:rPr>
          <w:rFonts w:ascii="Book Antiqua" w:hAnsi="Book Antiqua"/>
          <w:i/>
          <w:sz w:val="24"/>
          <w:szCs w:val="24"/>
          <w:lang w:eastAsia="zh-CN"/>
        </w:rPr>
        <w:t>P</w:t>
      </w:r>
      <w:r w:rsidRPr="00981036">
        <w:rPr>
          <w:rFonts w:ascii="Book Antiqua" w:hAnsi="Book Antiqua"/>
          <w:sz w:val="24"/>
          <w:szCs w:val="24"/>
        </w:rPr>
        <w:t xml:space="preserve">=0.02, Chi square test). The proportion of NSAID as a cause of drug-induced esophagitis showed no significant differences between the two age groups (28.6% </w:t>
      </w:r>
      <w:r w:rsidRPr="00030F67">
        <w:rPr>
          <w:rFonts w:ascii="Book Antiqua" w:hAnsi="Book Antiqua"/>
          <w:i/>
          <w:sz w:val="24"/>
          <w:szCs w:val="24"/>
          <w:lang w:eastAsia="zh-CN"/>
        </w:rPr>
        <w:t>vs</w:t>
      </w:r>
      <w:r w:rsidRPr="00981036">
        <w:rPr>
          <w:rFonts w:ascii="Book Antiqua" w:hAnsi="Book Antiqua"/>
          <w:sz w:val="24"/>
          <w:szCs w:val="24"/>
        </w:rPr>
        <w:t xml:space="preserve"> 41.7%, </w:t>
      </w:r>
      <w:r w:rsidRPr="00981036">
        <w:rPr>
          <w:rFonts w:ascii="Book Antiqua" w:hAnsi="Book Antiqua"/>
          <w:i/>
          <w:sz w:val="24"/>
          <w:szCs w:val="24"/>
          <w:lang w:eastAsia="zh-CN"/>
        </w:rPr>
        <w:t>P</w:t>
      </w:r>
      <w:r w:rsidRPr="00981036">
        <w:rPr>
          <w:rFonts w:ascii="Book Antiqua" w:hAnsi="Book Antiqua"/>
          <w:sz w:val="24"/>
          <w:szCs w:val="24"/>
        </w:rPr>
        <w:t>=0.226, Chi square test) (Table</w:t>
      </w:r>
      <w:r w:rsidRPr="00981036">
        <w:rPr>
          <w:rFonts w:ascii="Book Antiqua" w:hAnsi="Book Antiqua"/>
          <w:sz w:val="24"/>
          <w:szCs w:val="24"/>
          <w:lang w:eastAsia="zh-CN"/>
        </w:rPr>
        <w:t xml:space="preserve"> </w:t>
      </w:r>
      <w:r w:rsidRPr="00981036">
        <w:rPr>
          <w:rFonts w:ascii="Book Antiqua" w:hAnsi="Book Antiqua"/>
          <w:sz w:val="24"/>
          <w:szCs w:val="24"/>
        </w:rPr>
        <w:t>4)</w:t>
      </w:r>
      <w:r w:rsidRPr="00981036">
        <w:rPr>
          <w:rFonts w:ascii="Book Antiqua" w:hAnsi="Book Antiqua"/>
          <w:sz w:val="24"/>
          <w:szCs w:val="24"/>
          <w:lang w:eastAsia="zh-CN"/>
        </w:rPr>
        <w:t>.</w:t>
      </w:r>
    </w:p>
    <w:p w:rsidR="006928BE" w:rsidRPr="00981036" w:rsidRDefault="006928BE" w:rsidP="008F2E0D">
      <w:pPr>
        <w:wordWrap/>
        <w:spacing w:line="360" w:lineRule="auto"/>
        <w:ind w:firstLineChars="200" w:firstLine="480"/>
        <w:rPr>
          <w:rFonts w:ascii="Book Antiqua" w:hAnsi="Book Antiqua"/>
          <w:sz w:val="24"/>
          <w:szCs w:val="24"/>
          <w:lang w:eastAsia="zh-CN"/>
        </w:rPr>
      </w:pPr>
    </w:p>
    <w:p w:rsidR="006928BE" w:rsidRPr="00030F67" w:rsidRDefault="006928BE" w:rsidP="008F2E0D">
      <w:pPr>
        <w:wordWrap/>
        <w:spacing w:line="360" w:lineRule="auto"/>
        <w:rPr>
          <w:rFonts w:ascii="Book Antiqua" w:hAnsi="Book Antiqua"/>
          <w:i/>
          <w:sz w:val="24"/>
          <w:szCs w:val="24"/>
        </w:rPr>
      </w:pPr>
      <w:r w:rsidRPr="00030F67">
        <w:rPr>
          <w:rFonts w:ascii="Book Antiqua" w:hAnsi="Book Antiqua"/>
          <w:b/>
          <w:i/>
          <w:sz w:val="24"/>
          <w:szCs w:val="24"/>
        </w:rPr>
        <w:t>Pathologic findings</w:t>
      </w:r>
    </w:p>
    <w:p w:rsidR="006928BE" w:rsidRPr="00981036" w:rsidRDefault="006928BE" w:rsidP="008F2E0D">
      <w:pPr>
        <w:wordWrap/>
        <w:spacing w:line="360" w:lineRule="auto"/>
        <w:rPr>
          <w:rFonts w:ascii="Book Antiqua" w:hAnsi="Book Antiqua"/>
          <w:sz w:val="24"/>
          <w:szCs w:val="24"/>
          <w:lang w:eastAsia="zh-CN"/>
        </w:rPr>
      </w:pPr>
      <w:r w:rsidRPr="00981036">
        <w:rPr>
          <w:rFonts w:ascii="Book Antiqua" w:hAnsi="Book Antiqua"/>
          <w:sz w:val="24"/>
          <w:szCs w:val="24"/>
        </w:rPr>
        <w:t>In 17 cases (21.8%), endoscopic biopsy was performed to evaluate the pathologic finding of the esophageal lesion. Pathologic findings were evaluated between the drug-induced esophagitis group and reflux esophagitis (RE) group. There were no significant differences in basal cell hyperplasia (</w:t>
      </w:r>
      <w:r w:rsidRPr="00981036">
        <w:rPr>
          <w:rFonts w:ascii="Book Antiqua" w:hAnsi="Book Antiqua"/>
          <w:i/>
          <w:sz w:val="24"/>
          <w:szCs w:val="24"/>
          <w:lang w:eastAsia="zh-CN"/>
        </w:rPr>
        <w:t>P</w:t>
      </w:r>
      <w:r>
        <w:rPr>
          <w:rFonts w:ascii="Book Antiqua" w:hAnsi="Book Antiqua"/>
          <w:i/>
          <w:sz w:val="24"/>
          <w:szCs w:val="24"/>
          <w:lang w:eastAsia="zh-CN"/>
        </w:rPr>
        <w:t xml:space="preserve"> </w:t>
      </w:r>
      <w:r w:rsidRPr="00981036">
        <w:rPr>
          <w:rFonts w:ascii="Book Antiqua" w:hAnsi="Book Antiqua"/>
          <w:sz w:val="24"/>
          <w:szCs w:val="24"/>
        </w:rPr>
        <w:t>=</w:t>
      </w:r>
      <w:r>
        <w:rPr>
          <w:rFonts w:ascii="Book Antiqua" w:hAnsi="Book Antiqua"/>
          <w:sz w:val="24"/>
          <w:szCs w:val="24"/>
          <w:lang w:eastAsia="zh-CN"/>
        </w:rPr>
        <w:t xml:space="preserve"> </w:t>
      </w:r>
      <w:r w:rsidRPr="00981036">
        <w:rPr>
          <w:rFonts w:ascii="Book Antiqua" w:hAnsi="Book Antiqua"/>
          <w:sz w:val="24"/>
          <w:szCs w:val="24"/>
        </w:rPr>
        <w:t>0.559), papillary elongation (</w:t>
      </w:r>
      <w:r>
        <w:rPr>
          <w:rFonts w:ascii="Book Antiqua" w:hAnsi="Book Antiqua"/>
          <w:i/>
          <w:sz w:val="24"/>
          <w:szCs w:val="24"/>
          <w:lang w:eastAsia="zh-CN"/>
        </w:rPr>
        <w:t xml:space="preserve">P </w:t>
      </w:r>
      <w:r w:rsidRPr="00981036">
        <w:rPr>
          <w:rFonts w:ascii="Book Antiqua" w:hAnsi="Book Antiqua"/>
          <w:sz w:val="24"/>
          <w:szCs w:val="24"/>
        </w:rPr>
        <w:t>=</w:t>
      </w:r>
      <w:r>
        <w:rPr>
          <w:rFonts w:ascii="Book Antiqua" w:hAnsi="Book Antiqua"/>
          <w:sz w:val="24"/>
          <w:szCs w:val="24"/>
          <w:lang w:eastAsia="zh-CN"/>
        </w:rPr>
        <w:t xml:space="preserve"> </w:t>
      </w:r>
      <w:r w:rsidRPr="00981036">
        <w:rPr>
          <w:rFonts w:ascii="Book Antiqua" w:hAnsi="Book Antiqua"/>
          <w:sz w:val="24"/>
          <w:szCs w:val="24"/>
        </w:rPr>
        <w:t>0.086), dilated intercellular spaces (</w:t>
      </w:r>
      <w:r w:rsidRPr="00981036">
        <w:rPr>
          <w:rFonts w:ascii="Book Antiqua" w:hAnsi="Book Antiqua"/>
          <w:i/>
          <w:sz w:val="24"/>
          <w:szCs w:val="24"/>
          <w:lang w:eastAsia="zh-CN"/>
        </w:rPr>
        <w:t>P</w:t>
      </w:r>
      <w:r>
        <w:rPr>
          <w:rFonts w:ascii="Book Antiqua" w:hAnsi="Book Antiqua"/>
          <w:i/>
          <w:sz w:val="24"/>
          <w:szCs w:val="24"/>
          <w:lang w:eastAsia="zh-CN"/>
        </w:rPr>
        <w:t xml:space="preserve"> </w:t>
      </w:r>
      <w:r w:rsidRPr="00981036">
        <w:rPr>
          <w:rFonts w:ascii="Book Antiqua" w:hAnsi="Book Antiqua"/>
          <w:sz w:val="24"/>
          <w:szCs w:val="24"/>
        </w:rPr>
        <w:t>=</w:t>
      </w:r>
      <w:r>
        <w:rPr>
          <w:rFonts w:ascii="Book Antiqua" w:hAnsi="Book Antiqua"/>
          <w:sz w:val="24"/>
          <w:szCs w:val="24"/>
          <w:lang w:eastAsia="zh-CN"/>
        </w:rPr>
        <w:t xml:space="preserve"> </w:t>
      </w:r>
      <w:r w:rsidRPr="00981036">
        <w:rPr>
          <w:rFonts w:ascii="Book Antiqua" w:hAnsi="Book Antiqua"/>
          <w:sz w:val="24"/>
          <w:szCs w:val="24"/>
        </w:rPr>
        <w:t>0.175), and cell vacuolization (</w:t>
      </w:r>
      <w:r w:rsidRPr="00981036">
        <w:rPr>
          <w:rFonts w:ascii="Book Antiqua" w:hAnsi="Book Antiqua"/>
          <w:i/>
          <w:sz w:val="24"/>
          <w:szCs w:val="24"/>
          <w:lang w:eastAsia="zh-CN"/>
        </w:rPr>
        <w:t>P</w:t>
      </w:r>
      <w:r>
        <w:rPr>
          <w:rFonts w:ascii="Book Antiqua" w:hAnsi="Book Antiqua"/>
          <w:i/>
          <w:sz w:val="24"/>
          <w:szCs w:val="24"/>
          <w:lang w:eastAsia="zh-CN"/>
        </w:rPr>
        <w:t xml:space="preserve"> </w:t>
      </w:r>
      <w:r w:rsidRPr="00981036">
        <w:rPr>
          <w:rFonts w:ascii="Book Antiqua" w:hAnsi="Book Antiqua"/>
          <w:sz w:val="24"/>
          <w:szCs w:val="24"/>
        </w:rPr>
        <w:t>=</w:t>
      </w:r>
      <w:r>
        <w:rPr>
          <w:rFonts w:ascii="Book Antiqua" w:hAnsi="Book Antiqua"/>
          <w:sz w:val="24"/>
          <w:szCs w:val="24"/>
          <w:lang w:eastAsia="zh-CN"/>
        </w:rPr>
        <w:t xml:space="preserve"> </w:t>
      </w:r>
      <w:r w:rsidRPr="00981036">
        <w:rPr>
          <w:rFonts w:ascii="Book Antiqua" w:hAnsi="Book Antiqua"/>
          <w:sz w:val="24"/>
          <w:szCs w:val="24"/>
        </w:rPr>
        <w:t>0.074) between the two groups</w:t>
      </w:r>
      <w:r w:rsidRPr="00981036">
        <w:rPr>
          <w:rFonts w:ascii="Book Antiqua" w:hAnsi="Book Antiqua"/>
          <w:sz w:val="24"/>
          <w:szCs w:val="24"/>
          <w:lang w:eastAsia="zh-CN"/>
        </w:rPr>
        <w:t xml:space="preserve"> </w:t>
      </w:r>
      <w:r w:rsidRPr="00030F67">
        <w:rPr>
          <w:rFonts w:ascii="Book Antiqua" w:hAnsi="Book Antiqua"/>
          <w:sz w:val="24"/>
          <w:szCs w:val="24"/>
        </w:rPr>
        <w:t>(Table 5)</w:t>
      </w:r>
      <w:r w:rsidRPr="00981036">
        <w:rPr>
          <w:rFonts w:ascii="Book Antiqua" w:hAnsi="Book Antiqua"/>
          <w:sz w:val="24"/>
          <w:szCs w:val="24"/>
          <w:lang w:eastAsia="zh-CN"/>
        </w:rPr>
        <w:t>.</w:t>
      </w:r>
    </w:p>
    <w:p w:rsidR="006928BE" w:rsidRPr="00981036" w:rsidRDefault="006928BE" w:rsidP="008F2E0D">
      <w:pPr>
        <w:wordWrap/>
        <w:spacing w:line="360" w:lineRule="auto"/>
        <w:ind w:firstLineChars="200" w:firstLine="482"/>
        <w:rPr>
          <w:rFonts w:ascii="Book Antiqua" w:hAnsi="Book Antiqua"/>
          <w:b/>
          <w:sz w:val="24"/>
          <w:szCs w:val="24"/>
          <w:lang w:eastAsia="zh-CN"/>
        </w:rPr>
      </w:pPr>
    </w:p>
    <w:p w:rsidR="006928BE" w:rsidRPr="00030F67" w:rsidRDefault="006928BE" w:rsidP="008F2E0D">
      <w:pPr>
        <w:wordWrap/>
        <w:spacing w:line="360" w:lineRule="auto"/>
        <w:rPr>
          <w:rFonts w:ascii="Book Antiqua" w:hAnsi="Book Antiqua"/>
          <w:i/>
          <w:sz w:val="24"/>
          <w:szCs w:val="24"/>
        </w:rPr>
      </w:pPr>
      <w:r w:rsidRPr="00030F67">
        <w:rPr>
          <w:rFonts w:ascii="Book Antiqua" w:hAnsi="Book Antiqua"/>
          <w:b/>
          <w:i/>
          <w:sz w:val="24"/>
          <w:szCs w:val="24"/>
        </w:rPr>
        <w:t>Treatment and follow up</w:t>
      </w:r>
    </w:p>
    <w:p w:rsidR="006928BE" w:rsidRPr="00981036" w:rsidRDefault="006928BE" w:rsidP="008F2E0D">
      <w:pPr>
        <w:wordWrap/>
        <w:spacing w:line="360" w:lineRule="auto"/>
        <w:rPr>
          <w:rFonts w:ascii="Book Antiqua" w:hAnsi="Book Antiqua"/>
          <w:sz w:val="24"/>
          <w:szCs w:val="24"/>
        </w:rPr>
      </w:pPr>
      <w:r w:rsidRPr="00981036">
        <w:rPr>
          <w:rFonts w:ascii="Book Antiqua" w:hAnsi="Book Antiqua"/>
          <w:sz w:val="24"/>
          <w:szCs w:val="24"/>
        </w:rPr>
        <w:t>All of the patients were treated with proton pump inhibitor (PPI) or sucralfate where causative drugs were discontinued. Nineteen patients (24.4%) with drug-induced esophagitis followed up with endoscopy after 2 days - 2 months where they revealed normal findings or well-healed scars in the esophagus in all but two patients who still had healing ulcers. The remaining 59 patients (75.6%) had no symptoms during follow up and did not undergo follow up endoscopy or were lost during follow up.</w:t>
      </w:r>
    </w:p>
    <w:p w:rsidR="006928BE" w:rsidRPr="00981036" w:rsidRDefault="006928BE" w:rsidP="008F2E0D">
      <w:pPr>
        <w:wordWrap/>
        <w:spacing w:line="360" w:lineRule="auto"/>
        <w:ind w:firstLineChars="200" w:firstLine="482"/>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r w:rsidRPr="00981036">
        <w:rPr>
          <w:rFonts w:ascii="Book Antiqua" w:hAnsi="Book Antiqua"/>
          <w:b/>
          <w:sz w:val="24"/>
          <w:szCs w:val="24"/>
        </w:rPr>
        <w:t>DISCUSSION</w:t>
      </w:r>
    </w:p>
    <w:p w:rsidR="006928BE" w:rsidRPr="00981036" w:rsidRDefault="006928BE" w:rsidP="008F2E0D">
      <w:pPr>
        <w:wordWrap/>
        <w:spacing w:line="360" w:lineRule="auto"/>
        <w:rPr>
          <w:rFonts w:ascii="Book Antiqua" w:hAnsi="Book Antiqua"/>
          <w:sz w:val="24"/>
          <w:szCs w:val="24"/>
          <w:u w:val="single"/>
        </w:rPr>
      </w:pPr>
      <w:r w:rsidRPr="00981036">
        <w:rPr>
          <w:rFonts w:ascii="Book Antiqua" w:hAnsi="Book Antiqua"/>
          <w:sz w:val="24"/>
          <w:szCs w:val="24"/>
        </w:rPr>
        <w:t xml:space="preserve">If impacted pill fragments are present in the esophagus during the endoscopic </w:t>
      </w:r>
      <w:r w:rsidRPr="00981036">
        <w:rPr>
          <w:rFonts w:ascii="Book Antiqua" w:hAnsi="Book Antiqua"/>
          <w:sz w:val="24"/>
          <w:szCs w:val="24"/>
        </w:rPr>
        <w:lastRenderedPageBreak/>
        <w:t>examination of a symptomatic patient, a clear diagnosis can be made. However, impacted pill fragments are rarely found. Some pathologic findings including brown-black crystals for iron, basophilic crystals for Kayexalate and mitotic arrest for taxol, colchicines are known to aid in diagnosing drug-induced esophagitis. Other than these reported rare cases, diagnosing drug-induced esophagitis is based on the clinical history and endoscopic findings. Many cases reports on drug-induced esophagitis were identified. However, other than case reports, there were very few studies addressing the characteristics of drug-induced esophagitis</w:t>
      </w:r>
      <w:r w:rsidRPr="00981036">
        <w:rPr>
          <w:rFonts w:ascii="Book Antiqua" w:hAnsi="Book Antiqua"/>
          <w:noProof/>
          <w:sz w:val="24"/>
          <w:szCs w:val="24"/>
          <w:vertAlign w:val="superscript"/>
        </w:rPr>
        <w:t>[6,7]</w:t>
      </w:r>
      <w:r w:rsidRPr="00981036">
        <w:rPr>
          <w:rFonts w:ascii="Book Antiqua" w:hAnsi="Book Antiqua"/>
          <w:sz w:val="24"/>
          <w:szCs w:val="24"/>
        </w:rPr>
        <w:t xml:space="preserve">. Higuchi </w:t>
      </w:r>
      <w:r w:rsidRPr="00981036">
        <w:rPr>
          <w:rFonts w:ascii="Book Antiqua" w:hAnsi="Book Antiqua"/>
          <w:i/>
          <w:sz w:val="24"/>
          <w:szCs w:val="24"/>
        </w:rPr>
        <w:t>et al</w:t>
      </w:r>
      <w:r>
        <w:rPr>
          <w:rFonts w:ascii="Book Antiqua" w:hAnsi="Book Antiqua"/>
          <w:i/>
          <w:sz w:val="24"/>
          <w:szCs w:val="24"/>
          <w:lang w:eastAsia="zh-CN"/>
        </w:rPr>
        <w:t xml:space="preserve"> </w:t>
      </w:r>
      <w:r w:rsidRPr="00981036">
        <w:rPr>
          <w:rFonts w:ascii="Book Antiqua" w:hAnsi="Book Antiqua"/>
          <w:sz w:val="24"/>
          <w:szCs w:val="24"/>
        </w:rPr>
        <w:t xml:space="preserve"> reported that the etiologies of esophageal ulcers included RE in 65.9%, drug-induced esophagitis in 22.7% and the others (viral, fungal </w:t>
      </w:r>
      <w:r w:rsidRPr="00030F67">
        <w:rPr>
          <w:rFonts w:ascii="Book Antiqua" w:hAnsi="Book Antiqua"/>
          <w:i/>
          <w:sz w:val="24"/>
          <w:szCs w:val="24"/>
        </w:rPr>
        <w:t>etc.</w:t>
      </w:r>
      <w:r w:rsidRPr="00981036">
        <w:rPr>
          <w:rFonts w:ascii="Book Antiqua" w:hAnsi="Book Antiqua"/>
          <w:sz w:val="24"/>
          <w:szCs w:val="24"/>
        </w:rPr>
        <w:t>) in 11.4%</w:t>
      </w:r>
      <w:r w:rsidRPr="00981036">
        <w:rPr>
          <w:rFonts w:ascii="Book Antiqua" w:hAnsi="Book Antiqua"/>
          <w:noProof/>
          <w:sz w:val="24"/>
          <w:szCs w:val="24"/>
          <w:vertAlign w:val="superscript"/>
        </w:rPr>
        <w:t>[8]</w:t>
      </w:r>
      <w:r w:rsidRPr="00981036">
        <w:rPr>
          <w:rFonts w:ascii="Book Antiqua" w:hAnsi="Book Antiqua"/>
          <w:noProof/>
          <w:sz w:val="24"/>
          <w:szCs w:val="24"/>
          <w:lang w:eastAsia="zh-CN"/>
        </w:rPr>
        <w:t>.</w:t>
      </w:r>
      <w:r w:rsidRPr="00981036">
        <w:rPr>
          <w:rFonts w:ascii="Book Antiqua" w:hAnsi="Book Antiqua"/>
          <w:sz w:val="24"/>
          <w:szCs w:val="24"/>
        </w:rPr>
        <w:t xml:space="preserve"> When esophageal ulcers are encountered during endoscopy, reflux esophagitis or drug-induced esophagitis should first be considered, given there is no clinical suspicion of other diseases (</w:t>
      </w:r>
      <w:r w:rsidRPr="00030F67">
        <w:rPr>
          <w:rFonts w:ascii="Book Antiqua" w:hAnsi="Book Antiqua"/>
          <w:i/>
          <w:sz w:val="24"/>
          <w:szCs w:val="24"/>
        </w:rPr>
        <w:t>i.e.</w:t>
      </w:r>
      <w:r w:rsidRPr="00981036">
        <w:rPr>
          <w:rFonts w:ascii="Book Antiqua" w:hAnsi="Book Antiqua"/>
          <w:sz w:val="24"/>
          <w:szCs w:val="24"/>
        </w:rPr>
        <w:t xml:space="preserve"> viral/fungal esophagitis, Levin tube injury, Crohn’s disease, or radiation injury). Higuchi </w:t>
      </w:r>
      <w:r w:rsidRPr="00981036">
        <w:rPr>
          <w:rFonts w:ascii="Book Antiqua" w:hAnsi="Book Antiqua"/>
          <w:i/>
          <w:sz w:val="24"/>
          <w:szCs w:val="24"/>
        </w:rPr>
        <w:t>et al</w:t>
      </w:r>
      <w:r w:rsidRPr="00981036">
        <w:rPr>
          <w:rFonts w:ascii="Book Antiqua" w:hAnsi="Book Antiqua"/>
          <w:noProof/>
          <w:sz w:val="24"/>
          <w:szCs w:val="24"/>
          <w:vertAlign w:val="superscript"/>
        </w:rPr>
        <w:t>[8]</w:t>
      </w:r>
      <w:r>
        <w:rPr>
          <w:rFonts w:ascii="Book Antiqua" w:hAnsi="Book Antiqua"/>
          <w:i/>
          <w:sz w:val="24"/>
          <w:szCs w:val="24"/>
          <w:lang w:eastAsia="zh-CN"/>
        </w:rPr>
        <w:t xml:space="preserve"> </w:t>
      </w:r>
      <w:r w:rsidRPr="00981036">
        <w:rPr>
          <w:rFonts w:ascii="Book Antiqua" w:hAnsi="Book Antiqua"/>
          <w:sz w:val="24"/>
          <w:szCs w:val="24"/>
        </w:rPr>
        <w:t>also reported that 91.4% of RE-induced esophageal ulcers were located in the lower esophagus and 80% of drug-induced esophageal ulcers were located in the middle portion of the esophagus. Other studies also found that lesions of drug-induced esophagitis were frequently located in the middle third of esophagus</w:t>
      </w:r>
      <w:r w:rsidRPr="00981036">
        <w:rPr>
          <w:rFonts w:ascii="Book Antiqua" w:hAnsi="Book Antiqua"/>
          <w:noProof/>
          <w:sz w:val="24"/>
          <w:szCs w:val="24"/>
          <w:vertAlign w:val="superscript"/>
        </w:rPr>
        <w:t>[6,7]</w:t>
      </w:r>
      <w:r w:rsidRPr="00981036">
        <w:rPr>
          <w:rFonts w:ascii="Book Antiqua" w:hAnsi="Book Antiqua"/>
          <w:sz w:val="24"/>
          <w:szCs w:val="24"/>
        </w:rPr>
        <w:t>. Because the middle third of esophagus is subject to compression by the aortic arch or enlarged left atrium, drug-induced esophagitis is commonly located in the mid-esophagus</w:t>
      </w:r>
      <w:r w:rsidRPr="00981036">
        <w:rPr>
          <w:rFonts w:ascii="Book Antiqua" w:hAnsi="Book Antiqua"/>
          <w:noProof/>
          <w:sz w:val="24"/>
          <w:szCs w:val="24"/>
          <w:vertAlign w:val="superscript"/>
        </w:rPr>
        <w:t>[9]</w:t>
      </w:r>
      <w:r w:rsidRPr="00981036">
        <w:rPr>
          <w:rFonts w:ascii="Book Antiqua" w:hAnsi="Book Antiqua"/>
          <w:sz w:val="24"/>
          <w:szCs w:val="24"/>
        </w:rPr>
        <w:t>.</w:t>
      </w:r>
      <w:r>
        <w:rPr>
          <w:rFonts w:ascii="Book Antiqua" w:hAnsi="Book Antiqua"/>
          <w:sz w:val="24"/>
          <w:szCs w:val="24"/>
          <w:lang w:eastAsia="zh-CN"/>
        </w:rPr>
        <w:t xml:space="preserve"> </w:t>
      </w:r>
      <w:r w:rsidRPr="00981036">
        <w:rPr>
          <w:rFonts w:ascii="Book Antiqua" w:hAnsi="Book Antiqua"/>
          <w:sz w:val="24"/>
          <w:szCs w:val="24"/>
        </w:rPr>
        <w:t xml:space="preserve">Therefore, with the location of esophageal ulcers, RE can be differentiated from drug-induced ulcers in many cases. It is well-known that typical reflux esophagitis patients often have persistent reflux symptoms and patients with drug-induced esophagitis, in general, have abrupt-onset chest symptoms. </w:t>
      </w:r>
      <w:r w:rsidRPr="00981036">
        <w:rPr>
          <w:rFonts w:ascii="Book Antiqua" w:eastAsia="Malgun Gothic" w:hAnsi="Book Antiqua"/>
          <w:sz w:val="24"/>
          <w:szCs w:val="24"/>
        </w:rPr>
        <w:t>According to Kikendall, the typical drug-induced esophagitis patient presents with the sudden onset of odynophagia, dysphagia or retrosternal pain</w:t>
      </w:r>
      <w:r w:rsidRPr="00981036">
        <w:rPr>
          <w:rFonts w:ascii="Book Antiqua" w:eastAsia="Malgun Gothic" w:hAnsi="Book Antiqua"/>
          <w:noProof/>
          <w:sz w:val="24"/>
          <w:szCs w:val="24"/>
          <w:vertAlign w:val="superscript"/>
        </w:rPr>
        <w:t>[10]</w:t>
      </w:r>
      <w:r w:rsidRPr="00981036">
        <w:rPr>
          <w:rFonts w:ascii="Book Antiqua" w:eastAsia="Malgun Gothic" w:hAnsi="Book Antiqua"/>
          <w:sz w:val="24"/>
          <w:szCs w:val="24"/>
        </w:rPr>
        <w:t xml:space="preserve">. Based on this report, </w:t>
      </w:r>
      <w:r w:rsidRPr="00981036">
        <w:rPr>
          <w:rFonts w:ascii="Book Antiqua" w:hAnsi="Book Antiqua"/>
          <w:sz w:val="24"/>
          <w:szCs w:val="24"/>
          <w:lang w:eastAsia="zh-CN"/>
        </w:rPr>
        <w:t xml:space="preserve">the </w:t>
      </w:r>
      <w:r w:rsidRPr="00981036">
        <w:rPr>
          <w:rFonts w:ascii="Book Antiqua" w:eastAsia="Malgun Gothic" w:hAnsi="Book Antiqua"/>
          <w:sz w:val="24"/>
          <w:szCs w:val="24"/>
        </w:rPr>
        <w:t xml:space="preserve">study </w:t>
      </w:r>
      <w:r w:rsidRPr="00981036">
        <w:rPr>
          <w:rFonts w:ascii="Book Antiqua" w:hAnsi="Book Antiqua"/>
          <w:sz w:val="24"/>
          <w:szCs w:val="24"/>
          <w:lang w:eastAsia="zh-CN"/>
        </w:rPr>
        <w:t xml:space="preserve">of </w:t>
      </w:r>
      <w:r w:rsidRPr="00981036">
        <w:rPr>
          <w:rFonts w:ascii="Book Antiqua" w:eastAsia="Malgun Gothic" w:hAnsi="Book Antiqua"/>
          <w:sz w:val="24"/>
          <w:szCs w:val="24"/>
        </w:rPr>
        <w:t xml:space="preserve">Abid </w:t>
      </w:r>
      <w:r w:rsidRPr="00981036">
        <w:rPr>
          <w:rFonts w:ascii="Book Antiqua" w:eastAsia="Malgun Gothic" w:hAnsi="Book Antiqua"/>
          <w:i/>
          <w:sz w:val="24"/>
          <w:szCs w:val="24"/>
        </w:rPr>
        <w:t>et al</w:t>
      </w:r>
      <w:r w:rsidRPr="00981036">
        <w:rPr>
          <w:rFonts w:ascii="Book Antiqua" w:eastAsia="Malgun Gothic" w:hAnsi="Book Antiqua"/>
          <w:noProof/>
          <w:sz w:val="24"/>
          <w:szCs w:val="24"/>
          <w:vertAlign w:val="superscript"/>
        </w:rPr>
        <w:t>[6]</w:t>
      </w:r>
      <w:r w:rsidRPr="00981036">
        <w:rPr>
          <w:rFonts w:ascii="Book Antiqua" w:hAnsi="Book Antiqua"/>
          <w:sz w:val="24"/>
          <w:szCs w:val="24"/>
          <w:lang w:eastAsia="zh-CN"/>
        </w:rPr>
        <w:t xml:space="preserve"> </w:t>
      </w:r>
      <w:r w:rsidRPr="00981036">
        <w:rPr>
          <w:rFonts w:ascii="Book Antiqua" w:eastAsia="Malgun Gothic" w:hAnsi="Book Antiqua"/>
          <w:sz w:val="24"/>
          <w:szCs w:val="24"/>
        </w:rPr>
        <w:t xml:space="preserve">was performed with patients who experienced acute onset of esophageal symptoms of less than 3 d’ duration. </w:t>
      </w:r>
      <w:r w:rsidRPr="00981036">
        <w:rPr>
          <w:rFonts w:ascii="Book Antiqua" w:hAnsi="Book Antiqua"/>
          <w:sz w:val="24"/>
          <w:szCs w:val="24"/>
        </w:rPr>
        <w:t>According to Boyce, symptoms of drug-induced esophagitis can develop within hours to 10 d after medication</w:t>
      </w:r>
      <w:r w:rsidRPr="00981036">
        <w:rPr>
          <w:rFonts w:ascii="Book Antiqua" w:hAnsi="Book Antiqua"/>
          <w:noProof/>
          <w:sz w:val="24"/>
          <w:szCs w:val="24"/>
          <w:vertAlign w:val="superscript"/>
        </w:rPr>
        <w:t>[11]</w:t>
      </w:r>
      <w:r w:rsidRPr="00981036">
        <w:rPr>
          <w:rFonts w:ascii="Book Antiqua" w:hAnsi="Book Antiqua"/>
          <w:sz w:val="24"/>
          <w:szCs w:val="24"/>
        </w:rPr>
        <w:t xml:space="preserve">. </w:t>
      </w:r>
      <w:r w:rsidRPr="00981036">
        <w:rPr>
          <w:rFonts w:ascii="Book Antiqua" w:eastAsia="Malgun Gothic" w:hAnsi="Book Antiqua"/>
          <w:sz w:val="24"/>
          <w:szCs w:val="24"/>
        </w:rPr>
        <w:t>After being lodged in the esophagus, injurious pills release noxious contents damaging esophageal wall</w:t>
      </w:r>
      <w:r w:rsidRPr="00981036">
        <w:rPr>
          <w:rFonts w:ascii="Book Antiqua" w:eastAsia="Malgun Gothic" w:hAnsi="Book Antiqua"/>
          <w:noProof/>
          <w:sz w:val="24"/>
          <w:szCs w:val="24"/>
          <w:vertAlign w:val="superscript"/>
        </w:rPr>
        <w:t>[10]</w:t>
      </w:r>
      <w:r w:rsidRPr="00981036">
        <w:rPr>
          <w:rFonts w:ascii="Book Antiqua" w:eastAsia="Malgun Gothic" w:hAnsi="Book Antiqua"/>
          <w:sz w:val="24"/>
          <w:szCs w:val="24"/>
        </w:rPr>
        <w:t xml:space="preserve">. Thus, it is postulated that this </w:t>
      </w:r>
      <w:r w:rsidRPr="00981036">
        <w:rPr>
          <w:rFonts w:ascii="Book Antiqua" w:eastAsia="Malgun Gothic" w:hAnsi="Book Antiqua"/>
          <w:sz w:val="24"/>
          <w:szCs w:val="24"/>
        </w:rPr>
        <w:lastRenderedPageBreak/>
        <w:t xml:space="preserve">damage of esophageal wall </w:t>
      </w:r>
      <w:r w:rsidRPr="00981036">
        <w:rPr>
          <w:rFonts w:ascii="Book Antiqua" w:hAnsi="Book Antiqua"/>
          <w:sz w:val="24"/>
          <w:szCs w:val="24"/>
        </w:rPr>
        <w:t>gives rise to the abrupt-onset symptoms of drug-induced esophagitis.</w:t>
      </w:r>
      <w:r>
        <w:rPr>
          <w:rFonts w:ascii="Book Antiqua" w:hAnsi="Book Antiqua"/>
          <w:sz w:val="24"/>
          <w:szCs w:val="24"/>
          <w:lang w:eastAsia="zh-CN"/>
        </w:rPr>
        <w:t xml:space="preserve"> </w:t>
      </w:r>
      <w:r w:rsidRPr="00981036">
        <w:rPr>
          <w:rFonts w:ascii="Book Antiqua" w:hAnsi="Book Antiqua"/>
          <w:sz w:val="24"/>
          <w:szCs w:val="24"/>
        </w:rPr>
        <w:t>Patients with drug-induced esophagitis often have a history of medication in the recumbent position or before going to sleep with no or little water</w:t>
      </w:r>
      <w:r w:rsidRPr="00981036">
        <w:rPr>
          <w:rFonts w:ascii="Book Antiqua" w:hAnsi="Book Antiqua"/>
          <w:noProof/>
          <w:sz w:val="24"/>
          <w:szCs w:val="24"/>
          <w:vertAlign w:val="superscript"/>
        </w:rPr>
        <w:t>[10,12]</w:t>
      </w:r>
      <w:r w:rsidRPr="00981036">
        <w:rPr>
          <w:rFonts w:ascii="Book Antiqua" w:hAnsi="Book Antiqua"/>
          <w:sz w:val="24"/>
          <w:szCs w:val="24"/>
        </w:rPr>
        <w:t>. In our study, patients with a definite history of taking medicines and with acute esophageal symptoms of less than two weeks were included.</w:t>
      </w:r>
    </w:p>
    <w:p w:rsidR="006928BE" w:rsidRPr="00981036" w:rsidRDefault="006928BE" w:rsidP="008F2E0D">
      <w:pPr>
        <w:wordWrap/>
        <w:spacing w:line="360" w:lineRule="auto"/>
        <w:ind w:firstLineChars="200" w:firstLine="480"/>
        <w:rPr>
          <w:rFonts w:ascii="Book Antiqua" w:hAnsi="Book Antiqua"/>
          <w:b/>
          <w:sz w:val="24"/>
          <w:szCs w:val="24"/>
        </w:rPr>
      </w:pPr>
      <w:r w:rsidRPr="00981036">
        <w:rPr>
          <w:rFonts w:ascii="Book Antiqua" w:hAnsi="Book Antiqua"/>
          <w:sz w:val="24"/>
          <w:szCs w:val="24"/>
        </w:rPr>
        <w:t>As eosinophilic infiltration is frequently found in the distal esophagus of reflux esophagitis, mid to proximal esophagus is recommended for tissue biopsy of eosinophilic esophagitis</w:t>
      </w:r>
      <w:r w:rsidRPr="00981036">
        <w:rPr>
          <w:rFonts w:ascii="Book Antiqua" w:hAnsi="Book Antiqua"/>
          <w:noProof/>
          <w:sz w:val="24"/>
          <w:szCs w:val="24"/>
          <w:vertAlign w:val="superscript"/>
        </w:rPr>
        <w:t>[13]</w:t>
      </w:r>
      <w:r w:rsidRPr="00981036">
        <w:rPr>
          <w:rFonts w:ascii="Book Antiqua" w:hAnsi="Book Antiqua"/>
          <w:sz w:val="24"/>
          <w:szCs w:val="24"/>
        </w:rPr>
        <w:t>. The location of the lesions in eosinophilic esophagitis is similar to drug-induced esophagitis and eosinophilic infiltration is also commonly found in drug-induced esophageal lesions</w:t>
      </w:r>
      <w:r w:rsidRPr="00981036">
        <w:rPr>
          <w:rFonts w:ascii="Book Antiqua" w:hAnsi="Book Antiqua"/>
          <w:noProof/>
          <w:sz w:val="24"/>
          <w:szCs w:val="24"/>
          <w:vertAlign w:val="superscript"/>
        </w:rPr>
        <w:t>[14]</w:t>
      </w:r>
      <w:r w:rsidRPr="00981036">
        <w:rPr>
          <w:rFonts w:ascii="Book Antiqua" w:hAnsi="Book Antiqua"/>
          <w:sz w:val="24"/>
          <w:szCs w:val="24"/>
        </w:rPr>
        <w:t>. Therefore, differential diagnosis between eosinophilic esophagitis and drug-induced esophagitis can be unclear. Though most patients with eosinophilic esophagitis have abnormal endoscopic findings, endoscopic changes alone are known to be inadequate for the diagnosis of eosinophilic esophagitis</w:t>
      </w:r>
      <w:r w:rsidRPr="00981036">
        <w:rPr>
          <w:rFonts w:ascii="Book Antiqua" w:hAnsi="Book Antiqua"/>
          <w:noProof/>
          <w:sz w:val="24"/>
          <w:szCs w:val="24"/>
          <w:vertAlign w:val="superscript"/>
        </w:rPr>
        <w:t>[15]</w:t>
      </w:r>
      <w:r w:rsidRPr="00981036">
        <w:rPr>
          <w:rFonts w:ascii="Book Antiqua" w:hAnsi="Book Antiqua"/>
          <w:sz w:val="24"/>
          <w:szCs w:val="24"/>
        </w:rPr>
        <w:t>. The differentiation between eosinophilic esophagitis and drug-induced esophagitis need to be a clinicopathologic diagnosis, which requires clinical findings and pathologic criteria for a diagnosis</w:t>
      </w:r>
      <w:r w:rsidRPr="00981036">
        <w:rPr>
          <w:rFonts w:ascii="Book Antiqua" w:hAnsi="Book Antiqua"/>
          <w:noProof/>
          <w:sz w:val="24"/>
          <w:szCs w:val="24"/>
          <w:vertAlign w:val="superscript"/>
        </w:rPr>
        <w:t>[16]</w:t>
      </w:r>
      <w:r w:rsidRPr="00981036">
        <w:rPr>
          <w:rFonts w:ascii="Book Antiqua" w:hAnsi="Book Antiqua"/>
          <w:sz w:val="24"/>
          <w:szCs w:val="24"/>
        </w:rPr>
        <w:t>. In differentiating the diagnosis of eosinophilic esophagitis and reflux esophagitis, endoscopic findings and clinical response to medication of reflux esophagitis can be useful</w:t>
      </w:r>
      <w:r w:rsidRPr="00981036">
        <w:rPr>
          <w:rFonts w:ascii="Book Antiqua" w:hAnsi="Book Antiqua"/>
          <w:noProof/>
          <w:sz w:val="24"/>
          <w:szCs w:val="24"/>
          <w:vertAlign w:val="superscript"/>
        </w:rPr>
        <w:t>[14]</w:t>
      </w:r>
      <w:r w:rsidRPr="00981036">
        <w:rPr>
          <w:rFonts w:ascii="Book Antiqua" w:hAnsi="Book Antiqua"/>
          <w:sz w:val="24"/>
          <w:szCs w:val="24"/>
        </w:rPr>
        <w:t>. There are some studies on histological parameters for the differential diagnosis of eosinophilic esophagitis and reflux esophagitis</w:t>
      </w:r>
      <w:r w:rsidRPr="00981036">
        <w:rPr>
          <w:rFonts w:ascii="Book Antiqua" w:hAnsi="Book Antiqua"/>
          <w:noProof/>
          <w:sz w:val="24"/>
          <w:szCs w:val="24"/>
          <w:vertAlign w:val="superscript"/>
        </w:rPr>
        <w:t>[14,17]</w:t>
      </w:r>
      <w:r w:rsidRPr="00981036">
        <w:rPr>
          <w:rFonts w:ascii="Book Antiqua" w:hAnsi="Book Antiqua"/>
          <w:sz w:val="24"/>
          <w:szCs w:val="24"/>
        </w:rPr>
        <w:t>. Our study attempted to find pathologic clues that can differentiate drug-induced esophagitis from reflux esophagitis, however, there were no significant differences of basal cell hyperplasia (</w:t>
      </w:r>
      <w:r w:rsidRPr="00981036">
        <w:rPr>
          <w:rFonts w:ascii="Book Antiqua" w:hAnsi="Book Antiqua"/>
          <w:i/>
          <w:sz w:val="24"/>
          <w:szCs w:val="24"/>
          <w:lang w:eastAsia="zh-CN"/>
        </w:rPr>
        <w:t>P</w:t>
      </w:r>
      <w:r>
        <w:rPr>
          <w:rFonts w:ascii="Book Antiqua" w:hAnsi="Book Antiqua"/>
          <w:i/>
          <w:sz w:val="24"/>
          <w:szCs w:val="24"/>
          <w:lang w:eastAsia="zh-CN"/>
        </w:rPr>
        <w:t xml:space="preserve"> </w:t>
      </w:r>
      <w:r w:rsidRPr="00981036">
        <w:rPr>
          <w:rFonts w:ascii="Book Antiqua" w:hAnsi="Book Antiqua"/>
          <w:sz w:val="24"/>
          <w:szCs w:val="24"/>
        </w:rPr>
        <w:t>=</w:t>
      </w:r>
      <w:r>
        <w:rPr>
          <w:rFonts w:ascii="Book Antiqua" w:hAnsi="Book Antiqua"/>
          <w:sz w:val="24"/>
          <w:szCs w:val="24"/>
          <w:lang w:eastAsia="zh-CN"/>
        </w:rPr>
        <w:t xml:space="preserve"> </w:t>
      </w:r>
      <w:r w:rsidRPr="00981036">
        <w:rPr>
          <w:rFonts w:ascii="Book Antiqua" w:hAnsi="Book Antiqua"/>
          <w:sz w:val="24"/>
          <w:szCs w:val="24"/>
        </w:rPr>
        <w:t>0.559), papillary elongation (</w:t>
      </w:r>
      <w:r w:rsidRPr="00981036">
        <w:rPr>
          <w:rFonts w:ascii="Book Antiqua" w:hAnsi="Book Antiqua"/>
          <w:i/>
          <w:sz w:val="24"/>
          <w:szCs w:val="24"/>
          <w:lang w:eastAsia="zh-CN"/>
        </w:rPr>
        <w:t>P</w:t>
      </w:r>
      <w:r>
        <w:rPr>
          <w:rFonts w:ascii="Book Antiqua" w:hAnsi="Book Antiqua"/>
          <w:i/>
          <w:sz w:val="24"/>
          <w:szCs w:val="24"/>
          <w:lang w:eastAsia="zh-CN"/>
        </w:rPr>
        <w:t xml:space="preserve"> </w:t>
      </w:r>
      <w:r w:rsidRPr="00981036">
        <w:rPr>
          <w:rFonts w:ascii="Book Antiqua" w:hAnsi="Book Antiqua"/>
          <w:sz w:val="24"/>
          <w:szCs w:val="24"/>
        </w:rPr>
        <w:t>=</w:t>
      </w:r>
      <w:r>
        <w:rPr>
          <w:rFonts w:ascii="Book Antiqua" w:hAnsi="Book Antiqua"/>
          <w:sz w:val="24"/>
          <w:szCs w:val="24"/>
          <w:lang w:eastAsia="zh-CN"/>
        </w:rPr>
        <w:t xml:space="preserve"> </w:t>
      </w:r>
      <w:r w:rsidRPr="00981036">
        <w:rPr>
          <w:rFonts w:ascii="Book Antiqua" w:hAnsi="Book Antiqua"/>
          <w:sz w:val="24"/>
          <w:szCs w:val="24"/>
        </w:rPr>
        <w:t>0.086), dilated intercellular spaces (</w:t>
      </w:r>
      <w:r w:rsidRPr="00981036">
        <w:rPr>
          <w:rFonts w:ascii="Book Antiqua" w:hAnsi="Book Antiqua"/>
          <w:i/>
          <w:sz w:val="24"/>
          <w:szCs w:val="24"/>
          <w:lang w:eastAsia="zh-CN"/>
        </w:rPr>
        <w:t>P</w:t>
      </w:r>
      <w:r>
        <w:rPr>
          <w:rFonts w:ascii="Book Antiqua" w:hAnsi="Book Antiqua"/>
          <w:i/>
          <w:sz w:val="24"/>
          <w:szCs w:val="24"/>
          <w:lang w:eastAsia="zh-CN"/>
        </w:rPr>
        <w:t xml:space="preserve"> </w:t>
      </w:r>
      <w:r w:rsidRPr="00981036">
        <w:rPr>
          <w:rFonts w:ascii="Book Antiqua" w:hAnsi="Book Antiqua"/>
          <w:sz w:val="24"/>
          <w:szCs w:val="24"/>
        </w:rPr>
        <w:t>=</w:t>
      </w:r>
      <w:r>
        <w:rPr>
          <w:rFonts w:ascii="Book Antiqua" w:hAnsi="Book Antiqua"/>
          <w:sz w:val="24"/>
          <w:szCs w:val="24"/>
          <w:lang w:eastAsia="zh-CN"/>
        </w:rPr>
        <w:t xml:space="preserve"> </w:t>
      </w:r>
      <w:r w:rsidRPr="00981036">
        <w:rPr>
          <w:rFonts w:ascii="Book Antiqua" w:hAnsi="Book Antiqua"/>
          <w:sz w:val="24"/>
          <w:szCs w:val="24"/>
        </w:rPr>
        <w:t>0.175) and cell vacuolization (</w:t>
      </w:r>
      <w:r w:rsidRPr="00981036">
        <w:rPr>
          <w:rFonts w:ascii="Book Antiqua" w:hAnsi="Book Antiqua"/>
          <w:i/>
          <w:sz w:val="24"/>
          <w:szCs w:val="24"/>
          <w:lang w:eastAsia="zh-CN"/>
        </w:rPr>
        <w:t>P</w:t>
      </w:r>
      <w:r>
        <w:rPr>
          <w:rFonts w:ascii="Book Antiqua" w:hAnsi="Book Antiqua"/>
          <w:i/>
          <w:sz w:val="24"/>
          <w:szCs w:val="24"/>
          <w:lang w:eastAsia="zh-CN"/>
        </w:rPr>
        <w:t xml:space="preserve"> </w:t>
      </w:r>
      <w:r w:rsidRPr="00981036">
        <w:rPr>
          <w:rFonts w:ascii="Book Antiqua" w:hAnsi="Book Antiqua"/>
          <w:sz w:val="24"/>
          <w:szCs w:val="24"/>
        </w:rPr>
        <w:t>=</w:t>
      </w:r>
      <w:r>
        <w:rPr>
          <w:rFonts w:ascii="Book Antiqua" w:hAnsi="Book Antiqua"/>
          <w:sz w:val="24"/>
          <w:szCs w:val="24"/>
          <w:lang w:eastAsia="zh-CN"/>
        </w:rPr>
        <w:t xml:space="preserve"> </w:t>
      </w:r>
      <w:r w:rsidRPr="00981036">
        <w:rPr>
          <w:rFonts w:ascii="Book Antiqua" w:hAnsi="Book Antiqua"/>
          <w:sz w:val="24"/>
          <w:szCs w:val="24"/>
        </w:rPr>
        <w:t>0.074) between the two groups. To our knowledge, the present study is the first study comparing the histopathologic features between drug-induced esophagitis group and reflux esophagitis group.</w:t>
      </w:r>
    </w:p>
    <w:p w:rsidR="006928BE" w:rsidRPr="00981036" w:rsidRDefault="006928BE" w:rsidP="008F2E0D">
      <w:pPr>
        <w:wordWrap/>
        <w:spacing w:line="360" w:lineRule="auto"/>
        <w:ind w:firstLineChars="200" w:firstLine="480"/>
        <w:rPr>
          <w:rFonts w:ascii="Book Antiqua" w:hAnsi="Book Antiqua"/>
          <w:sz w:val="24"/>
          <w:szCs w:val="24"/>
        </w:rPr>
      </w:pPr>
      <w:r w:rsidRPr="00981036">
        <w:rPr>
          <w:rFonts w:ascii="Book Antiqua" w:hAnsi="Book Antiqua"/>
          <w:sz w:val="24"/>
          <w:szCs w:val="24"/>
        </w:rPr>
        <w:t xml:space="preserve">There are reports that drug-induced esophagitis is predominantly found among elderly patients as they are more likely to spend time in the recumbent position, consume more medications including alendronate or NSAIDs, have more esophageal motility problem or cardiac enlargement with mid-esophagus </w:t>
      </w:r>
      <w:r w:rsidRPr="00981036">
        <w:rPr>
          <w:rFonts w:ascii="Book Antiqua" w:hAnsi="Book Antiqua"/>
          <w:sz w:val="24"/>
          <w:szCs w:val="24"/>
        </w:rPr>
        <w:lastRenderedPageBreak/>
        <w:t>compression, and are less aware of the drug instructions</w:t>
      </w:r>
      <w:r w:rsidRPr="00981036">
        <w:rPr>
          <w:rFonts w:ascii="Book Antiqua" w:hAnsi="Book Antiqua"/>
          <w:noProof/>
          <w:sz w:val="24"/>
          <w:szCs w:val="24"/>
          <w:vertAlign w:val="superscript"/>
        </w:rPr>
        <w:t>[11]</w:t>
      </w:r>
      <w:r w:rsidRPr="00981036">
        <w:rPr>
          <w:rFonts w:ascii="Book Antiqua" w:hAnsi="Book Antiqua"/>
          <w:sz w:val="24"/>
          <w:szCs w:val="24"/>
        </w:rPr>
        <w:t>. A study showed that the esophageal transit time was significantly longer in elderly subjects than the younger subjects</w:t>
      </w:r>
      <w:r w:rsidRPr="00981036">
        <w:rPr>
          <w:rFonts w:ascii="Book Antiqua" w:hAnsi="Book Antiqua"/>
          <w:noProof/>
          <w:sz w:val="24"/>
          <w:szCs w:val="24"/>
          <w:vertAlign w:val="superscript"/>
        </w:rPr>
        <w:t>[18]</w:t>
      </w:r>
      <w:r w:rsidRPr="00981036">
        <w:rPr>
          <w:rFonts w:ascii="Book Antiqua" w:hAnsi="Book Antiqua"/>
          <w:sz w:val="24"/>
          <w:szCs w:val="24"/>
        </w:rPr>
        <w:t xml:space="preserve">. </w:t>
      </w:r>
      <w:r w:rsidRPr="00981036">
        <w:rPr>
          <w:rFonts w:ascii="Book Antiqua" w:eastAsia="Batang" w:hAnsi="Book Antiqua" w:cs="Batang"/>
          <w:sz w:val="24"/>
          <w:szCs w:val="24"/>
        </w:rPr>
        <w:t>However in our study, the proportion of antibiotics was higher in younger group than in elderly group. According to literature, antibiotics was the commonest or second commonest cause of drug-induced esophagitis</w:t>
      </w:r>
      <w:r w:rsidRPr="00981036">
        <w:rPr>
          <w:rFonts w:ascii="Book Antiqua" w:eastAsia="Batang" w:hAnsi="Book Antiqua" w:cs="Batang"/>
          <w:noProof/>
          <w:sz w:val="24"/>
          <w:szCs w:val="24"/>
          <w:vertAlign w:val="superscript"/>
        </w:rPr>
        <w:t>[6,9]</w:t>
      </w:r>
      <w:r w:rsidRPr="00981036">
        <w:rPr>
          <w:rFonts w:ascii="Book Antiqua" w:eastAsia="Batang" w:hAnsi="Book Antiqua" w:cs="Batang"/>
          <w:sz w:val="24"/>
          <w:szCs w:val="24"/>
        </w:rPr>
        <w:t>. In our study, antibiotics was the commonest causative drug. In contrast to NSAIDs, anti-hypertensive drugs and bisphosphonates, which are frequently prescribed for elderly patients, antibiotics are commonly prescribed in young patients to treat acne, urinary tract infections or pelvic inflammatory disease</w:t>
      </w:r>
      <w:r w:rsidRPr="00981036">
        <w:rPr>
          <w:rFonts w:ascii="Book Antiqua" w:eastAsia="Batang" w:hAnsi="Book Antiqua" w:cs="Batang"/>
          <w:noProof/>
          <w:sz w:val="24"/>
          <w:szCs w:val="24"/>
          <w:vertAlign w:val="superscript"/>
        </w:rPr>
        <w:t>[11]</w:t>
      </w:r>
      <w:r w:rsidRPr="00981036">
        <w:rPr>
          <w:rFonts w:ascii="Book Antiqua" w:eastAsia="Batang" w:hAnsi="Book Antiqua" w:cs="Batang"/>
          <w:sz w:val="24"/>
          <w:szCs w:val="24"/>
        </w:rPr>
        <w:t>. Our study showed that the predominant causative drugs were different between age groups.</w:t>
      </w:r>
      <w:r w:rsidRPr="00981036" w:rsidDel="00655B40">
        <w:rPr>
          <w:rFonts w:ascii="Book Antiqua" w:eastAsia="Batang" w:hAnsi="Book Antiqua" w:cs="Batang"/>
          <w:sz w:val="24"/>
          <w:szCs w:val="24"/>
        </w:rPr>
        <w:t xml:space="preserve"> </w:t>
      </w:r>
      <w:r w:rsidRPr="00981036">
        <w:rPr>
          <w:rFonts w:ascii="Book Antiqua" w:hAnsi="Book Antiqua"/>
          <w:sz w:val="24"/>
          <w:szCs w:val="24"/>
        </w:rPr>
        <w:t>Previous reports showed that drug-induced esophagitis was more prevalent among women than among men</w:t>
      </w:r>
      <w:r w:rsidRPr="00981036">
        <w:rPr>
          <w:rFonts w:ascii="Book Antiqua" w:hAnsi="Book Antiqua"/>
          <w:noProof/>
          <w:sz w:val="24"/>
          <w:szCs w:val="24"/>
          <w:vertAlign w:val="superscript"/>
        </w:rPr>
        <w:t>[1,6]</w:t>
      </w:r>
      <w:r w:rsidRPr="00981036">
        <w:rPr>
          <w:rFonts w:ascii="Book Antiqua" w:hAnsi="Book Antiqua"/>
          <w:sz w:val="24"/>
          <w:szCs w:val="24"/>
        </w:rPr>
        <w:t xml:space="preserve">. In this study, 64.1% were females, which was consistent with previous reports. </w:t>
      </w:r>
    </w:p>
    <w:p w:rsidR="006928BE" w:rsidRPr="00981036" w:rsidRDefault="006928BE" w:rsidP="008F2E0D">
      <w:pPr>
        <w:wordWrap/>
        <w:spacing w:line="360" w:lineRule="auto"/>
        <w:ind w:firstLineChars="200" w:firstLine="480"/>
        <w:rPr>
          <w:rFonts w:ascii="Book Antiqua" w:hAnsi="Book Antiqua"/>
          <w:sz w:val="24"/>
          <w:szCs w:val="24"/>
        </w:rPr>
      </w:pPr>
      <w:r w:rsidRPr="00981036">
        <w:rPr>
          <w:rFonts w:ascii="Book Antiqua" w:hAnsi="Book Antiqua"/>
          <w:sz w:val="24"/>
          <w:szCs w:val="24"/>
        </w:rPr>
        <w:t xml:space="preserve">Our study showed that common symptoms were chest pain, odynophagia and dysphagia. Many of these patients reported multiple symptoms such as odynophagia with concurrent chest pain. Zografos </w:t>
      </w:r>
      <w:r w:rsidRPr="00981036">
        <w:rPr>
          <w:rFonts w:ascii="Book Antiqua" w:hAnsi="Book Antiqua"/>
          <w:i/>
          <w:sz w:val="24"/>
          <w:szCs w:val="24"/>
        </w:rPr>
        <w:t>et al</w:t>
      </w:r>
      <w:r w:rsidRPr="00981036">
        <w:rPr>
          <w:rFonts w:ascii="Book Antiqua" w:hAnsi="Book Antiqua"/>
          <w:noProof/>
          <w:sz w:val="24"/>
          <w:szCs w:val="24"/>
          <w:vertAlign w:val="superscript"/>
        </w:rPr>
        <w:t>[1]</w:t>
      </w:r>
      <w:r w:rsidRPr="00981036">
        <w:rPr>
          <w:rFonts w:ascii="Book Antiqua" w:hAnsi="Book Antiqua"/>
          <w:i/>
          <w:sz w:val="24"/>
          <w:szCs w:val="24"/>
          <w:lang w:eastAsia="zh-CN"/>
        </w:rPr>
        <w:t xml:space="preserve"> </w:t>
      </w:r>
      <w:r w:rsidRPr="00981036">
        <w:rPr>
          <w:rFonts w:ascii="Book Antiqua" w:hAnsi="Book Antiqua"/>
          <w:sz w:val="24"/>
          <w:szCs w:val="24"/>
        </w:rPr>
        <w:t>showed that the main symptoms caused by drug-induced esophagitis were chest pain (60%), odynophagia (50%), and dysphagia (40%). 78.2% of endoscopic location of drug-induced esophagitis was found in the middle third of esophagus, which was consistent with previous studies</w:t>
      </w:r>
      <w:r w:rsidRPr="00981036">
        <w:rPr>
          <w:rFonts w:ascii="Book Antiqua" w:hAnsi="Book Antiqua"/>
          <w:noProof/>
          <w:sz w:val="24"/>
          <w:szCs w:val="24"/>
          <w:vertAlign w:val="superscript"/>
        </w:rPr>
        <w:t>[6,8]</w:t>
      </w:r>
      <w:r w:rsidRPr="00981036">
        <w:rPr>
          <w:rFonts w:ascii="Book Antiqua" w:hAnsi="Book Antiqua"/>
          <w:sz w:val="24"/>
          <w:szCs w:val="24"/>
        </w:rPr>
        <w:t>. In thirty four cases (43.6%), there were kissing ulcers (ulcers facing each other). Kissing ulcers were also reported in esophageal injury other than drug-induced esophagitis</w:t>
      </w:r>
      <w:r w:rsidRPr="00981036">
        <w:rPr>
          <w:rFonts w:ascii="Book Antiqua" w:hAnsi="Book Antiqua"/>
          <w:noProof/>
          <w:sz w:val="24"/>
          <w:szCs w:val="24"/>
          <w:vertAlign w:val="superscript"/>
        </w:rPr>
        <w:t>[19]</w:t>
      </w:r>
      <w:r w:rsidRPr="00981036">
        <w:rPr>
          <w:rFonts w:ascii="Book Antiqua" w:hAnsi="Book Antiqua"/>
          <w:sz w:val="24"/>
          <w:szCs w:val="24"/>
        </w:rPr>
        <w:t>. Therefore, kissing ulcers solely cannot confirm drug-induced esophagitis. However, we showed that kissing ulcers were frequently observed in drug-induced esophagitis with more frequency than the previously reported studies</w:t>
      </w:r>
      <w:r w:rsidRPr="00981036">
        <w:rPr>
          <w:rFonts w:ascii="Book Antiqua" w:hAnsi="Book Antiqua"/>
          <w:noProof/>
          <w:sz w:val="24"/>
          <w:szCs w:val="24"/>
          <w:vertAlign w:val="superscript"/>
        </w:rPr>
        <w:t>[6]</w:t>
      </w:r>
      <w:r w:rsidRPr="00981036">
        <w:rPr>
          <w:rFonts w:ascii="Book Antiqua" w:hAnsi="Book Antiqua"/>
          <w:sz w:val="24"/>
          <w:szCs w:val="24"/>
        </w:rPr>
        <w:t>. Because patients with longer esophageal symptoms were included in our study, the duration of esophageal exposure to causative agents may be longer. This may have contributed to the formation of kissing ulcers.</w:t>
      </w:r>
      <w:r w:rsidRPr="00981036" w:rsidDel="00655B40">
        <w:rPr>
          <w:rFonts w:ascii="Book Antiqua" w:hAnsi="Book Antiqua"/>
          <w:sz w:val="24"/>
          <w:szCs w:val="24"/>
        </w:rPr>
        <w:t xml:space="preserve"> </w:t>
      </w:r>
      <w:r w:rsidRPr="00981036">
        <w:rPr>
          <w:rFonts w:ascii="Book Antiqua" w:hAnsi="Book Antiqua"/>
          <w:sz w:val="24"/>
          <w:szCs w:val="24"/>
        </w:rPr>
        <w:t>A clinical study on drug-induced esophagitis showed that kissing ulcers occupied 7.6%, which is lower than in our study</w:t>
      </w:r>
      <w:r w:rsidRPr="00981036">
        <w:rPr>
          <w:rFonts w:ascii="Book Antiqua" w:hAnsi="Book Antiqua"/>
          <w:noProof/>
          <w:sz w:val="24"/>
          <w:szCs w:val="24"/>
          <w:vertAlign w:val="superscript"/>
        </w:rPr>
        <w:t>[6]</w:t>
      </w:r>
      <w:r w:rsidRPr="00981036">
        <w:rPr>
          <w:rFonts w:ascii="Book Antiqua" w:hAnsi="Book Antiqua"/>
          <w:sz w:val="24"/>
          <w:szCs w:val="24"/>
        </w:rPr>
        <w:t>. In Higuchi</w:t>
      </w:r>
      <w:r w:rsidRPr="00981036">
        <w:rPr>
          <w:rFonts w:ascii="Book Antiqua" w:hAnsi="Book Antiqua"/>
          <w:i/>
          <w:sz w:val="24"/>
          <w:szCs w:val="24"/>
        </w:rPr>
        <w:t>’</w:t>
      </w:r>
      <w:r w:rsidRPr="00981036">
        <w:rPr>
          <w:rFonts w:ascii="Book Antiqua" w:hAnsi="Book Antiqua"/>
          <w:sz w:val="24"/>
          <w:szCs w:val="24"/>
        </w:rPr>
        <w:t>s study, active bleeding was noted in 45% of drug-induced esophageal ulcers, which is higher than 24.4% in our study</w:t>
      </w:r>
      <w:r w:rsidRPr="00981036">
        <w:rPr>
          <w:rFonts w:ascii="Book Antiqua" w:hAnsi="Book Antiqua"/>
          <w:noProof/>
          <w:sz w:val="24"/>
          <w:szCs w:val="24"/>
          <w:vertAlign w:val="superscript"/>
        </w:rPr>
        <w:t>[8]</w:t>
      </w:r>
      <w:r w:rsidRPr="00981036">
        <w:rPr>
          <w:rFonts w:ascii="Book Antiqua" w:hAnsi="Book Antiqua"/>
          <w:sz w:val="24"/>
          <w:szCs w:val="24"/>
        </w:rPr>
        <w:t xml:space="preserve">. This </w:t>
      </w:r>
      <w:r w:rsidRPr="00981036">
        <w:rPr>
          <w:rFonts w:ascii="Book Antiqua" w:hAnsi="Book Antiqua"/>
          <w:sz w:val="24"/>
          <w:szCs w:val="24"/>
        </w:rPr>
        <w:lastRenderedPageBreak/>
        <w:t xml:space="preserve">difference can be explained by the difference in the proportion of patients taking NSAIDs (65% </w:t>
      </w:r>
      <w:r w:rsidRPr="00981036">
        <w:rPr>
          <w:rFonts w:ascii="Book Antiqua" w:hAnsi="Book Antiqua"/>
          <w:i/>
          <w:sz w:val="24"/>
          <w:szCs w:val="24"/>
        </w:rPr>
        <w:t>vs</w:t>
      </w:r>
      <w:r w:rsidRPr="00981036">
        <w:rPr>
          <w:rFonts w:ascii="Book Antiqua" w:hAnsi="Book Antiqua"/>
          <w:sz w:val="24"/>
          <w:szCs w:val="24"/>
        </w:rPr>
        <w:t xml:space="preserve"> 34.6%). To note, </w:t>
      </w:r>
      <w:r>
        <w:rPr>
          <w:rFonts w:ascii="Book Antiqua" w:hAnsi="Book Antiqua"/>
          <w:sz w:val="24"/>
          <w:szCs w:val="24"/>
          <w:lang w:eastAsia="zh-CN"/>
        </w:rPr>
        <w:t xml:space="preserve">the </w:t>
      </w:r>
      <w:r w:rsidRPr="00981036">
        <w:rPr>
          <w:rFonts w:ascii="Book Antiqua" w:hAnsi="Book Antiqua"/>
          <w:sz w:val="24"/>
          <w:szCs w:val="24"/>
        </w:rPr>
        <w:t>study</w:t>
      </w:r>
      <w:r>
        <w:rPr>
          <w:rFonts w:ascii="Book Antiqua" w:hAnsi="Book Antiqua"/>
          <w:sz w:val="24"/>
          <w:szCs w:val="24"/>
          <w:lang w:eastAsia="zh-CN"/>
        </w:rPr>
        <w:t xml:space="preserve"> of </w:t>
      </w:r>
      <w:r w:rsidRPr="00981036">
        <w:rPr>
          <w:rFonts w:ascii="Book Antiqua" w:hAnsi="Book Antiqua"/>
          <w:sz w:val="24"/>
          <w:szCs w:val="24"/>
        </w:rPr>
        <w:t xml:space="preserve">Higuchi </w:t>
      </w:r>
      <w:r w:rsidRPr="00981036">
        <w:rPr>
          <w:rFonts w:ascii="Book Antiqua" w:hAnsi="Book Antiqua"/>
          <w:i/>
          <w:sz w:val="24"/>
          <w:szCs w:val="24"/>
        </w:rPr>
        <w:t>et al</w:t>
      </w:r>
      <w:r w:rsidRPr="00981036">
        <w:rPr>
          <w:rFonts w:ascii="Book Antiqua" w:hAnsi="Book Antiqua"/>
          <w:noProof/>
          <w:sz w:val="24"/>
          <w:szCs w:val="24"/>
          <w:vertAlign w:val="superscript"/>
        </w:rPr>
        <w:t>[8]</w:t>
      </w:r>
      <w:r>
        <w:rPr>
          <w:rFonts w:ascii="Book Antiqua" w:hAnsi="Book Antiqua"/>
          <w:i/>
          <w:sz w:val="24"/>
          <w:szCs w:val="24"/>
          <w:lang w:eastAsia="zh-CN"/>
        </w:rPr>
        <w:t xml:space="preserve"> </w:t>
      </w:r>
      <w:r w:rsidRPr="00981036">
        <w:rPr>
          <w:rFonts w:ascii="Book Antiqua" w:hAnsi="Book Antiqua"/>
          <w:sz w:val="24"/>
          <w:szCs w:val="24"/>
        </w:rPr>
        <w:t>included only esophageal ulcers, whereas our study included shallow esophageal erosions as well as esophageal ulcers. From these results, drug-induced esophagitis should also be considered as a cause of upper gastrointestinal bleeding. Two cases with esophageal stricture were also identified where they both had dysphagia symptoms and were associated with NSAID use. It has been reported that NSAIDs were associated with an increased risk of reflux esophagitis and esophageal strictures</w:t>
      </w:r>
      <w:r w:rsidRPr="00981036">
        <w:rPr>
          <w:rFonts w:ascii="Book Antiqua" w:hAnsi="Book Antiqua"/>
          <w:noProof/>
          <w:sz w:val="24"/>
          <w:szCs w:val="24"/>
          <w:vertAlign w:val="superscript"/>
        </w:rPr>
        <w:t>[20]</w:t>
      </w:r>
      <w:r w:rsidRPr="00981036">
        <w:rPr>
          <w:rFonts w:ascii="Book Antiqua" w:hAnsi="Book Antiqua"/>
          <w:sz w:val="24"/>
          <w:szCs w:val="24"/>
        </w:rPr>
        <w:t>. In patients with reflux esophagitis, one should be careful in prescribing NSAID. It was reported that pill fragment impaction was associated with esophageal stricture</w:t>
      </w:r>
      <w:r w:rsidRPr="00981036">
        <w:rPr>
          <w:rFonts w:ascii="Book Antiqua" w:hAnsi="Book Antiqua"/>
          <w:noProof/>
          <w:sz w:val="24"/>
          <w:szCs w:val="24"/>
          <w:vertAlign w:val="superscript"/>
        </w:rPr>
        <w:t>[21]</w:t>
      </w:r>
      <w:r w:rsidRPr="00981036">
        <w:rPr>
          <w:rFonts w:ascii="Book Antiqua" w:hAnsi="Book Antiqua"/>
          <w:sz w:val="24"/>
          <w:szCs w:val="24"/>
        </w:rPr>
        <w:t>. Here, we had three cases of impacted pill fragments with no definite esophageal stricture.</w:t>
      </w:r>
    </w:p>
    <w:p w:rsidR="006928BE" w:rsidRPr="00981036" w:rsidRDefault="006928BE" w:rsidP="008F2E0D">
      <w:pPr>
        <w:wordWrap/>
        <w:spacing w:line="360" w:lineRule="auto"/>
        <w:ind w:firstLineChars="200" w:firstLine="480"/>
        <w:rPr>
          <w:rFonts w:ascii="Book Antiqua" w:hAnsi="Book Antiqua"/>
          <w:sz w:val="24"/>
          <w:szCs w:val="24"/>
        </w:rPr>
      </w:pPr>
      <w:r w:rsidRPr="00981036">
        <w:rPr>
          <w:rFonts w:ascii="Book Antiqua" w:hAnsi="Book Antiqua"/>
          <w:sz w:val="24"/>
          <w:szCs w:val="24"/>
        </w:rPr>
        <w:t>For patients with drug-induced esophagitis, oral sucralfate and proton pump inhibitor (PPI) are frequently administered and the offending drugs are discontinued</w:t>
      </w:r>
      <w:r w:rsidRPr="00981036">
        <w:rPr>
          <w:rFonts w:ascii="Book Antiqua" w:hAnsi="Book Antiqua"/>
          <w:noProof/>
          <w:sz w:val="24"/>
          <w:szCs w:val="24"/>
          <w:vertAlign w:val="superscript"/>
        </w:rPr>
        <w:t>[6]</w:t>
      </w:r>
      <w:r w:rsidRPr="00981036">
        <w:rPr>
          <w:rFonts w:ascii="Book Antiqua" w:hAnsi="Book Antiqua"/>
          <w:sz w:val="24"/>
          <w:szCs w:val="24"/>
        </w:rPr>
        <w:t>. In our study, 19 patients (24.4%) with drug-induced esophagitis were treated with oral sucralfate, PPI and quitting drugs. These patients were then, followed up with endoscopy after 2 d - 2 mo where most of them revealed normal findings or well-healed scars in the esophagus, and only two patients still had healing ulcers. Once there is quitting of the offending drug, oral sucralfate and PPI are thought to be sufficient for the treatment of drug-induced esophagitis. Intramural esophageal hematoma with drug-induced esophagitis was also reported to have a favorable outcome after a conservative treatment</w:t>
      </w:r>
      <w:r w:rsidRPr="00981036">
        <w:rPr>
          <w:rFonts w:ascii="Book Antiqua" w:hAnsi="Book Antiqua"/>
          <w:noProof/>
          <w:sz w:val="24"/>
          <w:szCs w:val="24"/>
          <w:vertAlign w:val="superscript"/>
        </w:rPr>
        <w:t>[22]</w:t>
      </w:r>
      <w:r w:rsidRPr="00981036">
        <w:rPr>
          <w:rFonts w:ascii="Book Antiqua" w:hAnsi="Book Antiqua"/>
          <w:sz w:val="24"/>
          <w:szCs w:val="24"/>
        </w:rPr>
        <w:t>. In contrast, it has also been reported that endoscopic intervention was necessary to treat complications of drug-induced esophagitis</w:t>
      </w:r>
      <w:r w:rsidRPr="00981036">
        <w:rPr>
          <w:rFonts w:ascii="Book Antiqua" w:hAnsi="Book Antiqua"/>
          <w:noProof/>
          <w:sz w:val="24"/>
          <w:szCs w:val="24"/>
          <w:vertAlign w:val="superscript"/>
        </w:rPr>
        <w:t>[23]</w:t>
      </w:r>
      <w:r w:rsidRPr="00981036">
        <w:rPr>
          <w:rFonts w:ascii="Book Antiqua" w:hAnsi="Book Antiqua"/>
          <w:sz w:val="24"/>
          <w:szCs w:val="24"/>
        </w:rPr>
        <w:t>.</w:t>
      </w:r>
    </w:p>
    <w:p w:rsidR="006928BE" w:rsidRPr="00981036" w:rsidRDefault="006928BE" w:rsidP="008F2E0D">
      <w:pPr>
        <w:wordWrap/>
        <w:spacing w:line="360" w:lineRule="auto"/>
        <w:ind w:firstLineChars="200" w:firstLine="480"/>
        <w:rPr>
          <w:rFonts w:ascii="Book Antiqua" w:hAnsi="Book Antiqua"/>
          <w:sz w:val="24"/>
          <w:szCs w:val="24"/>
        </w:rPr>
      </w:pPr>
      <w:r w:rsidRPr="00981036">
        <w:rPr>
          <w:rFonts w:ascii="Book Antiqua" w:hAnsi="Book Antiqua"/>
          <w:sz w:val="24"/>
          <w:szCs w:val="24"/>
        </w:rPr>
        <w:t>If a medication history and chronology of acute esophageal symptoms strongly suggest, diagnosing drug-induced esophagitis is not so difficult even without endoscopic examination</w:t>
      </w:r>
      <w:r w:rsidRPr="00981036">
        <w:rPr>
          <w:rFonts w:ascii="Book Antiqua" w:hAnsi="Book Antiqua"/>
          <w:noProof/>
          <w:sz w:val="24"/>
          <w:szCs w:val="24"/>
          <w:vertAlign w:val="superscript"/>
        </w:rPr>
        <w:t>[11]</w:t>
      </w:r>
      <w:r w:rsidRPr="00981036">
        <w:rPr>
          <w:rFonts w:ascii="Book Antiqua" w:hAnsi="Book Antiqua"/>
          <w:sz w:val="24"/>
          <w:szCs w:val="24"/>
        </w:rPr>
        <w:t>. However, the diagnosis of drug-induced esophagitis can be more easily confirmed with the appropriate endoscopic findings. Additionally, helpful findings such as pill fragments or residue can be observed at the sites of injury making the diagnosis clear</w:t>
      </w:r>
      <w:r w:rsidRPr="00981036">
        <w:rPr>
          <w:rFonts w:ascii="Book Antiqua" w:hAnsi="Book Antiqua"/>
          <w:noProof/>
          <w:sz w:val="24"/>
          <w:szCs w:val="24"/>
          <w:vertAlign w:val="superscript"/>
        </w:rPr>
        <w:t>[24]</w:t>
      </w:r>
      <w:r w:rsidRPr="00981036">
        <w:rPr>
          <w:rFonts w:ascii="Book Antiqua" w:hAnsi="Book Antiqua"/>
          <w:sz w:val="24"/>
          <w:szCs w:val="24"/>
        </w:rPr>
        <w:t xml:space="preserve">. Malignancy, viral or fungal esophagitis can also be ruled out using an endoscopic exam. </w:t>
      </w:r>
    </w:p>
    <w:p w:rsidR="006928BE" w:rsidRPr="00981036" w:rsidRDefault="006928BE" w:rsidP="008F2E0D">
      <w:pPr>
        <w:wordWrap/>
        <w:spacing w:line="360" w:lineRule="auto"/>
        <w:ind w:firstLineChars="200" w:firstLine="480"/>
        <w:rPr>
          <w:rFonts w:ascii="Book Antiqua" w:hAnsi="Book Antiqua"/>
          <w:sz w:val="24"/>
          <w:szCs w:val="24"/>
        </w:rPr>
      </w:pPr>
      <w:r w:rsidRPr="00981036">
        <w:rPr>
          <w:rFonts w:ascii="Book Antiqua" w:hAnsi="Book Antiqua"/>
          <w:sz w:val="24"/>
          <w:szCs w:val="24"/>
        </w:rPr>
        <w:lastRenderedPageBreak/>
        <w:t>This study is a retrospective observational study, and lacks a control group. Therefore, it is difficult to measure the significance of the descriptive results of this study. However, from the results of our study with 78 subjects, the clinical characteristics such as main symptoms, common endoscopic findings (ulcers in the middle third of esophagus) and main causative agents could be identified. A unique finding in this study was that kissing ulcers were observed in 43.6% of the patients diagnosed with drug-induced esophagitis, which might be helpful in diagnosing this rare disease.</w:t>
      </w:r>
    </w:p>
    <w:p w:rsidR="006928BE" w:rsidRPr="00981036" w:rsidRDefault="006928BE" w:rsidP="008F2E0D">
      <w:pPr>
        <w:wordWrap/>
        <w:spacing w:line="360" w:lineRule="auto"/>
        <w:ind w:firstLineChars="200" w:firstLine="480"/>
        <w:rPr>
          <w:rFonts w:ascii="Book Antiqua" w:hAnsi="Book Antiqua"/>
          <w:sz w:val="24"/>
          <w:szCs w:val="24"/>
        </w:rPr>
      </w:pPr>
      <w:r w:rsidRPr="00981036">
        <w:rPr>
          <w:rFonts w:ascii="Book Antiqua" w:hAnsi="Book Antiqua"/>
          <w:sz w:val="24"/>
          <w:szCs w:val="24"/>
        </w:rPr>
        <w:t>In conclusion, drug-induced esophagitis mainly presented as chest pain, odynophagia, dysphagia and was successfully treated with PPI and the discontinuation of causative drug. Kissing ulcers were observed in 43.6% of the patients diagnosed with drug-induced esophagitis.</w:t>
      </w:r>
      <w:r w:rsidRPr="00981036">
        <w:rPr>
          <w:rFonts w:ascii="Book Antiqua" w:hAnsi="Book Antiqua"/>
          <w:b/>
          <w:sz w:val="24"/>
          <w:szCs w:val="24"/>
        </w:rPr>
        <w:t xml:space="preserve"> </w:t>
      </w:r>
      <w:r w:rsidRPr="00981036">
        <w:rPr>
          <w:rFonts w:ascii="Book Antiqua" w:hAnsi="Book Antiqua"/>
          <w:sz w:val="24"/>
          <w:szCs w:val="24"/>
        </w:rPr>
        <w:t>It is important to be mindful of the possibility of drug-induced esophagitis in patients with acute esophageal symptoms, and with accurate diagnosis, patients will be able to avoid unnecessary work up or fatal complications.</w:t>
      </w:r>
    </w:p>
    <w:p w:rsidR="006928BE" w:rsidRPr="00981036" w:rsidRDefault="006928BE" w:rsidP="008F2E0D">
      <w:pPr>
        <w:wordWrap/>
        <w:spacing w:line="360" w:lineRule="auto"/>
        <w:rPr>
          <w:rFonts w:ascii="Book Antiqua" w:hAnsi="Book Antiqua"/>
          <w:b/>
          <w:sz w:val="24"/>
          <w:szCs w:val="24"/>
        </w:rPr>
      </w:pPr>
    </w:p>
    <w:p w:rsidR="006928BE" w:rsidRPr="00981036" w:rsidRDefault="006928BE" w:rsidP="008F2E0D">
      <w:pPr>
        <w:wordWrap/>
        <w:spacing w:line="360" w:lineRule="auto"/>
        <w:rPr>
          <w:rFonts w:ascii="Book Antiqua" w:hAnsi="Book Antiqua"/>
          <w:b/>
          <w:sz w:val="24"/>
          <w:szCs w:val="24"/>
        </w:rPr>
      </w:pPr>
      <w:r w:rsidRPr="00981036">
        <w:rPr>
          <w:rFonts w:ascii="Book Antiqua" w:hAnsi="Book Antiqua"/>
          <w:b/>
          <w:sz w:val="24"/>
          <w:szCs w:val="24"/>
        </w:rPr>
        <w:t>COMMENTS</w:t>
      </w:r>
    </w:p>
    <w:p w:rsidR="006928BE" w:rsidRPr="00030F67" w:rsidRDefault="006928BE" w:rsidP="008F2E0D">
      <w:pPr>
        <w:wordWrap/>
        <w:spacing w:line="360" w:lineRule="auto"/>
        <w:rPr>
          <w:rFonts w:ascii="Book Antiqua" w:hAnsi="Book Antiqua"/>
          <w:b/>
          <w:i/>
          <w:sz w:val="24"/>
          <w:szCs w:val="24"/>
        </w:rPr>
      </w:pPr>
      <w:r w:rsidRPr="00030F67">
        <w:rPr>
          <w:rFonts w:ascii="Book Antiqua" w:hAnsi="Book Antiqua"/>
          <w:b/>
          <w:i/>
          <w:sz w:val="24"/>
          <w:szCs w:val="24"/>
        </w:rPr>
        <w:t>Background</w:t>
      </w:r>
    </w:p>
    <w:p w:rsidR="006928BE" w:rsidRDefault="006928BE" w:rsidP="008F2E0D">
      <w:pPr>
        <w:wordWrap/>
        <w:spacing w:line="360" w:lineRule="auto"/>
        <w:rPr>
          <w:rFonts w:ascii="Book Antiqua" w:hAnsi="Book Antiqua"/>
          <w:sz w:val="24"/>
          <w:szCs w:val="24"/>
        </w:rPr>
      </w:pPr>
      <w:r w:rsidRPr="00981036">
        <w:rPr>
          <w:rFonts w:ascii="Book Antiqua" w:hAnsi="Book Antiqua"/>
          <w:sz w:val="24"/>
          <w:szCs w:val="24"/>
        </w:rPr>
        <w:t>Drug-induced esophagitis is a rare disease and the likelihood of this diagnosis is often underestimated. The unawareness of drug-induced esophagitis can lead to severe complications or unnecessary work up.</w:t>
      </w:r>
    </w:p>
    <w:p w:rsidR="006928BE" w:rsidRPr="00981036" w:rsidRDefault="006928BE" w:rsidP="008F2E0D">
      <w:pPr>
        <w:wordWrap/>
        <w:spacing w:line="360" w:lineRule="auto"/>
        <w:rPr>
          <w:rFonts w:ascii="Book Antiqua" w:hAnsi="Book Antiqua"/>
          <w:sz w:val="24"/>
          <w:szCs w:val="24"/>
        </w:rPr>
      </w:pPr>
    </w:p>
    <w:p w:rsidR="006928BE" w:rsidRPr="00030F67" w:rsidRDefault="006928BE" w:rsidP="008F2E0D">
      <w:pPr>
        <w:wordWrap/>
        <w:spacing w:line="360" w:lineRule="auto"/>
        <w:rPr>
          <w:rFonts w:ascii="Book Antiqua" w:hAnsi="Book Antiqua"/>
          <w:b/>
          <w:i/>
          <w:sz w:val="24"/>
          <w:szCs w:val="24"/>
        </w:rPr>
      </w:pPr>
      <w:r w:rsidRPr="00030F67">
        <w:rPr>
          <w:rFonts w:ascii="Book Antiqua" w:hAnsi="Book Antiqua"/>
          <w:b/>
          <w:i/>
          <w:sz w:val="24"/>
          <w:szCs w:val="24"/>
        </w:rPr>
        <w:t>Research frontiers</w:t>
      </w:r>
    </w:p>
    <w:p w:rsidR="006928BE" w:rsidRDefault="006928BE" w:rsidP="008F2E0D">
      <w:pPr>
        <w:wordWrap/>
        <w:spacing w:line="360" w:lineRule="auto"/>
        <w:rPr>
          <w:rFonts w:ascii="Book Antiqua" w:hAnsi="Book Antiqua"/>
          <w:sz w:val="24"/>
          <w:szCs w:val="24"/>
        </w:rPr>
      </w:pPr>
      <w:r w:rsidRPr="00981036">
        <w:rPr>
          <w:rFonts w:ascii="Book Antiqua" w:hAnsi="Book Antiqua"/>
          <w:sz w:val="24"/>
          <w:szCs w:val="24"/>
        </w:rPr>
        <w:t>Most studies on drug-induced esophagitis are case reports or reviews of case reports, and large-scale studies are rare. In this study, the authors investigated the clinical and endoscopic characteristics of drug-induced esophagitis in a multi-center setting.</w:t>
      </w:r>
    </w:p>
    <w:p w:rsidR="006928BE" w:rsidRPr="00981036" w:rsidRDefault="006928BE" w:rsidP="008F2E0D">
      <w:pPr>
        <w:wordWrap/>
        <w:spacing w:line="360" w:lineRule="auto"/>
        <w:rPr>
          <w:rFonts w:ascii="Book Antiqua" w:hAnsi="Book Antiqua"/>
          <w:sz w:val="24"/>
          <w:szCs w:val="24"/>
        </w:rPr>
      </w:pPr>
    </w:p>
    <w:p w:rsidR="006928BE" w:rsidRPr="00030F67" w:rsidRDefault="006928BE" w:rsidP="008F2E0D">
      <w:pPr>
        <w:wordWrap/>
        <w:spacing w:line="360" w:lineRule="auto"/>
        <w:rPr>
          <w:rFonts w:ascii="Book Antiqua" w:hAnsi="Book Antiqua"/>
          <w:b/>
          <w:i/>
          <w:sz w:val="24"/>
          <w:szCs w:val="24"/>
        </w:rPr>
      </w:pPr>
      <w:r w:rsidRPr="00030F67">
        <w:rPr>
          <w:rFonts w:ascii="Book Antiqua" w:hAnsi="Book Antiqua"/>
          <w:b/>
          <w:i/>
          <w:sz w:val="24"/>
          <w:szCs w:val="24"/>
        </w:rPr>
        <w:t>Innovations and breakthroughs</w:t>
      </w:r>
    </w:p>
    <w:p w:rsidR="006928BE" w:rsidRDefault="006928BE" w:rsidP="008F2E0D">
      <w:pPr>
        <w:spacing w:line="360" w:lineRule="auto"/>
        <w:rPr>
          <w:rFonts w:ascii="Book Antiqua" w:hAnsi="Book Antiqua"/>
          <w:sz w:val="24"/>
          <w:szCs w:val="24"/>
        </w:rPr>
      </w:pPr>
      <w:r w:rsidRPr="00981036">
        <w:rPr>
          <w:rFonts w:ascii="Book Antiqua" w:hAnsi="Book Antiqua"/>
          <w:sz w:val="24"/>
          <w:szCs w:val="24"/>
        </w:rPr>
        <w:t xml:space="preserve">A unique finding was that kissing ulcers were observed in 43.6% of the patients diagnosed with drug-induced esophagitis, which might aid in diagnosing this rare disease. This study is also the first study comparing the histopathologic features </w:t>
      </w:r>
      <w:r w:rsidRPr="00981036">
        <w:rPr>
          <w:rFonts w:ascii="Book Antiqua" w:hAnsi="Book Antiqua"/>
          <w:sz w:val="24"/>
          <w:szCs w:val="24"/>
        </w:rPr>
        <w:lastRenderedPageBreak/>
        <w:t>between drug-induced esophagitis group and reflux esophagitis group.</w:t>
      </w:r>
    </w:p>
    <w:p w:rsidR="006928BE" w:rsidRPr="00981036" w:rsidRDefault="006928BE" w:rsidP="008F2E0D">
      <w:pPr>
        <w:spacing w:line="360" w:lineRule="auto"/>
        <w:rPr>
          <w:rFonts w:ascii="Book Antiqua" w:hAnsi="Book Antiqua"/>
          <w:sz w:val="24"/>
          <w:szCs w:val="24"/>
        </w:rPr>
      </w:pPr>
    </w:p>
    <w:p w:rsidR="006928BE" w:rsidRPr="00030F67" w:rsidRDefault="006928BE" w:rsidP="008F2E0D">
      <w:pPr>
        <w:wordWrap/>
        <w:spacing w:line="360" w:lineRule="auto"/>
        <w:rPr>
          <w:rFonts w:ascii="Book Antiqua" w:hAnsi="Book Antiqua"/>
          <w:b/>
          <w:i/>
          <w:sz w:val="24"/>
          <w:szCs w:val="24"/>
        </w:rPr>
      </w:pPr>
      <w:r w:rsidRPr="00030F67">
        <w:rPr>
          <w:rFonts w:ascii="Book Antiqua" w:hAnsi="Book Antiqua"/>
          <w:b/>
          <w:i/>
          <w:sz w:val="24"/>
          <w:szCs w:val="24"/>
        </w:rPr>
        <w:t>Applications</w:t>
      </w:r>
    </w:p>
    <w:p w:rsidR="006928BE" w:rsidRDefault="006928BE" w:rsidP="008F2E0D">
      <w:pPr>
        <w:wordWrap/>
        <w:spacing w:line="360" w:lineRule="auto"/>
        <w:rPr>
          <w:rFonts w:ascii="Book Antiqua" w:hAnsi="Book Antiqua"/>
          <w:sz w:val="24"/>
          <w:szCs w:val="24"/>
        </w:rPr>
      </w:pPr>
      <w:r w:rsidRPr="00981036">
        <w:rPr>
          <w:rFonts w:ascii="Book Antiqua" w:hAnsi="Book Antiqua"/>
          <w:sz w:val="24"/>
          <w:szCs w:val="24"/>
        </w:rPr>
        <w:t>Clinical characteristics such as symptoms, common endoscopic findings and main causative agents were identified. Main symptoms were chest pain, odynophagia, and dysphagia. Common endoscopic findings were ulcers in the middle third of esophagus and kissing ulcers were frequently observed. These findings could be helpful in the diagnosis of drug-induced esophagitis.</w:t>
      </w:r>
    </w:p>
    <w:p w:rsidR="006928BE" w:rsidRPr="00981036" w:rsidRDefault="006928BE" w:rsidP="008F2E0D">
      <w:pPr>
        <w:wordWrap/>
        <w:spacing w:line="360" w:lineRule="auto"/>
        <w:rPr>
          <w:rFonts w:ascii="Book Antiqua" w:hAnsi="Book Antiqua"/>
          <w:sz w:val="24"/>
          <w:szCs w:val="24"/>
        </w:rPr>
      </w:pPr>
    </w:p>
    <w:p w:rsidR="006928BE" w:rsidRPr="00071CF7" w:rsidRDefault="006928BE" w:rsidP="008F2E0D">
      <w:pPr>
        <w:wordWrap/>
        <w:spacing w:line="360" w:lineRule="auto"/>
        <w:rPr>
          <w:rFonts w:ascii="Book Antiqua" w:hAnsi="Book Antiqua"/>
          <w:b/>
          <w:i/>
          <w:sz w:val="24"/>
          <w:szCs w:val="24"/>
        </w:rPr>
      </w:pPr>
      <w:r w:rsidRPr="00071CF7">
        <w:rPr>
          <w:rFonts w:ascii="Book Antiqua" w:hAnsi="Book Antiqua"/>
          <w:b/>
          <w:i/>
          <w:sz w:val="24"/>
          <w:szCs w:val="24"/>
        </w:rPr>
        <w:t>Terminology</w:t>
      </w:r>
    </w:p>
    <w:p w:rsidR="006928BE" w:rsidRDefault="006928BE" w:rsidP="008F2E0D">
      <w:pPr>
        <w:wordWrap/>
        <w:spacing w:line="360" w:lineRule="auto"/>
        <w:rPr>
          <w:rFonts w:ascii="Book Antiqua" w:hAnsi="Book Antiqua"/>
          <w:sz w:val="24"/>
          <w:szCs w:val="24"/>
        </w:rPr>
      </w:pPr>
      <w:r w:rsidRPr="00981036">
        <w:rPr>
          <w:rFonts w:ascii="Book Antiqua" w:hAnsi="Book Antiqua"/>
          <w:sz w:val="24"/>
          <w:szCs w:val="24"/>
        </w:rPr>
        <w:t xml:space="preserve">Drug-induced esophagitis is a clinical problem by esophageal damage associated with the ingestion of certain drugs. Kissing ulcers are ulcers facing each other, which is a common finding in drug-induced esophagitis though it is not pathognomonic. NSAIDs (nonsteroidal anti-inflammatory drugs) are drugs, including aspirin and ibuprofen, used for reducing inflammation and pain in various diseases. Proton pump inhibitors (PPIs) are drugs which irreversibly inhibit proton pump function and are the most potent gastric acid-suppressing agents in clinical use. </w:t>
      </w:r>
    </w:p>
    <w:p w:rsidR="006928BE" w:rsidRPr="00981036" w:rsidRDefault="006928BE" w:rsidP="008F2E0D">
      <w:pPr>
        <w:wordWrap/>
        <w:spacing w:line="360" w:lineRule="auto"/>
        <w:rPr>
          <w:rFonts w:ascii="Book Antiqua" w:hAnsi="Book Antiqua"/>
          <w:sz w:val="24"/>
          <w:szCs w:val="24"/>
        </w:rPr>
      </w:pPr>
    </w:p>
    <w:p w:rsidR="006928BE" w:rsidRPr="00071CF7" w:rsidRDefault="006928BE" w:rsidP="008F2E0D">
      <w:pPr>
        <w:wordWrap/>
        <w:spacing w:line="360" w:lineRule="auto"/>
        <w:rPr>
          <w:rFonts w:ascii="Book Antiqua" w:hAnsi="Book Antiqua"/>
          <w:b/>
          <w:i/>
          <w:sz w:val="24"/>
          <w:szCs w:val="24"/>
        </w:rPr>
      </w:pPr>
      <w:r w:rsidRPr="00071CF7">
        <w:rPr>
          <w:rFonts w:ascii="Book Antiqua" w:hAnsi="Book Antiqua"/>
          <w:b/>
          <w:i/>
          <w:sz w:val="24"/>
          <w:szCs w:val="24"/>
        </w:rPr>
        <w:t>Peer review</w:t>
      </w:r>
    </w:p>
    <w:p w:rsidR="006928BE" w:rsidRDefault="006928BE" w:rsidP="008F2E0D">
      <w:pPr>
        <w:wordWrap/>
        <w:spacing w:line="360" w:lineRule="auto"/>
        <w:rPr>
          <w:rFonts w:ascii="Book Antiqua" w:hAnsi="Book Antiqua"/>
          <w:sz w:val="24"/>
          <w:szCs w:val="24"/>
          <w:lang w:eastAsia="zh-CN"/>
        </w:rPr>
      </w:pPr>
      <w:r w:rsidRPr="00981036">
        <w:rPr>
          <w:rFonts w:ascii="Book Antiqua" w:hAnsi="Book Antiqua"/>
          <w:sz w:val="24"/>
          <w:szCs w:val="24"/>
        </w:rPr>
        <w:t xml:space="preserve">This is a very interesting observational study on the clinical, endoscopic and pathologic characteristics of drug-induced esophagitis. From the results of this study, practitioners can identify the features of drug-induced esophagitis and also get help in diagnosing patients with drug-induced esophagitis. </w:t>
      </w:r>
    </w:p>
    <w:p w:rsidR="006928BE" w:rsidRPr="00981036" w:rsidRDefault="006928BE" w:rsidP="008F2E0D">
      <w:pPr>
        <w:wordWrap/>
        <w:spacing w:line="360" w:lineRule="auto"/>
        <w:rPr>
          <w:rFonts w:ascii="Book Antiqua" w:hAnsi="Book Antiqua"/>
          <w:sz w:val="24"/>
          <w:szCs w:val="24"/>
          <w:lang w:eastAsia="zh-CN"/>
        </w:rPr>
      </w:pPr>
    </w:p>
    <w:p w:rsidR="006928BE" w:rsidRPr="00981036" w:rsidRDefault="006928BE" w:rsidP="008F2E0D">
      <w:pPr>
        <w:wordWrap/>
        <w:spacing w:line="360" w:lineRule="auto"/>
        <w:rPr>
          <w:rFonts w:ascii="Book Antiqua" w:hAnsi="Book Antiqua"/>
          <w:b/>
          <w:sz w:val="24"/>
          <w:szCs w:val="24"/>
        </w:rPr>
      </w:pPr>
      <w:r w:rsidRPr="00981036">
        <w:rPr>
          <w:rFonts w:ascii="Book Antiqua" w:hAnsi="Book Antiqua"/>
          <w:b/>
          <w:sz w:val="24"/>
          <w:szCs w:val="24"/>
        </w:rPr>
        <w:t>REFERENCES</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bookmarkStart w:id="5" w:name="OLE_LINK277"/>
      <w:bookmarkStart w:id="6" w:name="OLE_LINK278"/>
      <w:bookmarkStart w:id="7" w:name="OLE_LINK279"/>
      <w:bookmarkStart w:id="8" w:name="OLE_LINK290"/>
      <w:bookmarkStart w:id="9" w:name="OLE_LINK301"/>
      <w:bookmarkStart w:id="10" w:name="OLE_LINK312"/>
      <w:bookmarkStart w:id="11" w:name="OLE_LINK315"/>
      <w:bookmarkStart w:id="12" w:name="OLE_LINK316"/>
      <w:bookmarkStart w:id="13" w:name="OLE_LINK317"/>
      <w:bookmarkStart w:id="14" w:name="OLE_LINK318"/>
      <w:bookmarkStart w:id="15" w:name="OLE_LINK326"/>
      <w:bookmarkStart w:id="16" w:name="OLE_LINK335"/>
      <w:bookmarkStart w:id="17" w:name="OLE_LINK339"/>
      <w:bookmarkStart w:id="18" w:name="OLE_LINK348"/>
      <w:bookmarkStart w:id="19" w:name="OLE_LINK378"/>
      <w:r w:rsidRPr="00981036">
        <w:rPr>
          <w:rFonts w:ascii="Book Antiqua" w:hAnsi="Book Antiqua" w:cs="宋体"/>
          <w:kern w:val="0"/>
          <w:sz w:val="24"/>
          <w:szCs w:val="24"/>
          <w:lang w:eastAsia="zh-CN"/>
        </w:rPr>
        <w:t xml:space="preserve">1 </w:t>
      </w:r>
      <w:r w:rsidRPr="00981036">
        <w:rPr>
          <w:rFonts w:ascii="Book Antiqua" w:hAnsi="Book Antiqua" w:cs="宋体"/>
          <w:b/>
          <w:bCs/>
          <w:kern w:val="0"/>
          <w:sz w:val="24"/>
          <w:szCs w:val="24"/>
          <w:lang w:eastAsia="zh-CN"/>
        </w:rPr>
        <w:t>Zografos GN</w:t>
      </w:r>
      <w:r w:rsidRPr="00981036">
        <w:rPr>
          <w:rFonts w:ascii="Book Antiqua" w:hAnsi="Book Antiqua" w:cs="宋体"/>
          <w:kern w:val="0"/>
          <w:sz w:val="24"/>
          <w:szCs w:val="24"/>
          <w:lang w:eastAsia="zh-CN"/>
        </w:rPr>
        <w:t xml:space="preserve">, Georgiadou D, Thomas D, Kaltsas G, Digalakis M. Drug-induced esophagitis. </w:t>
      </w:r>
      <w:r w:rsidRPr="00981036">
        <w:rPr>
          <w:rFonts w:ascii="Book Antiqua" w:hAnsi="Book Antiqua" w:cs="宋体"/>
          <w:i/>
          <w:iCs/>
          <w:kern w:val="0"/>
          <w:sz w:val="24"/>
          <w:szCs w:val="24"/>
          <w:lang w:eastAsia="zh-CN"/>
        </w:rPr>
        <w:t>Dis Esophagus</w:t>
      </w:r>
      <w:r w:rsidRPr="00981036">
        <w:rPr>
          <w:rFonts w:ascii="Book Antiqua" w:hAnsi="Book Antiqua" w:cs="宋体"/>
          <w:kern w:val="0"/>
          <w:sz w:val="24"/>
          <w:szCs w:val="24"/>
          <w:lang w:eastAsia="zh-CN"/>
        </w:rPr>
        <w:t xml:space="preserve"> 2009; </w:t>
      </w:r>
      <w:r w:rsidRPr="00981036">
        <w:rPr>
          <w:rFonts w:ascii="Book Antiqua" w:hAnsi="Book Antiqua" w:cs="宋体"/>
          <w:b/>
          <w:bCs/>
          <w:kern w:val="0"/>
          <w:sz w:val="24"/>
          <w:szCs w:val="24"/>
          <w:lang w:eastAsia="zh-CN"/>
        </w:rPr>
        <w:t>22</w:t>
      </w:r>
      <w:r w:rsidRPr="00981036">
        <w:rPr>
          <w:rFonts w:ascii="Book Antiqua" w:hAnsi="Book Antiqua" w:cs="宋体"/>
          <w:kern w:val="0"/>
          <w:sz w:val="24"/>
          <w:szCs w:val="24"/>
          <w:lang w:eastAsia="zh-CN"/>
        </w:rPr>
        <w:t>: 633-637 [PMID: 19392845 DOI: 10.1111/j.1442-2050.2009.00972.x]</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2 </w:t>
      </w:r>
      <w:r w:rsidRPr="00981036">
        <w:rPr>
          <w:rFonts w:ascii="Book Antiqua" w:hAnsi="Book Antiqua" w:cs="宋体"/>
          <w:b/>
          <w:bCs/>
          <w:kern w:val="0"/>
          <w:sz w:val="24"/>
          <w:szCs w:val="24"/>
          <w:lang w:eastAsia="zh-CN"/>
        </w:rPr>
        <w:t>Cummin AR</w:t>
      </w:r>
      <w:r w:rsidRPr="00981036">
        <w:rPr>
          <w:rFonts w:ascii="Book Antiqua" w:hAnsi="Book Antiqua" w:cs="宋体"/>
          <w:kern w:val="0"/>
          <w:sz w:val="24"/>
          <w:szCs w:val="24"/>
          <w:lang w:eastAsia="zh-CN"/>
        </w:rPr>
        <w:t xml:space="preserve">, Hangartner JR. Oesophago-atrial fistula: a side effect of tetracycline? </w:t>
      </w:r>
      <w:r w:rsidRPr="00981036">
        <w:rPr>
          <w:rFonts w:ascii="Book Antiqua" w:hAnsi="Book Antiqua" w:cs="宋体"/>
          <w:i/>
          <w:iCs/>
          <w:kern w:val="0"/>
          <w:sz w:val="24"/>
          <w:szCs w:val="24"/>
          <w:lang w:eastAsia="zh-CN"/>
        </w:rPr>
        <w:t>J R Soc Med</w:t>
      </w:r>
      <w:r w:rsidRPr="00981036">
        <w:rPr>
          <w:rFonts w:ascii="Book Antiqua" w:hAnsi="Book Antiqua" w:cs="宋体"/>
          <w:kern w:val="0"/>
          <w:sz w:val="24"/>
          <w:szCs w:val="24"/>
          <w:lang w:eastAsia="zh-CN"/>
        </w:rPr>
        <w:t xml:space="preserve"> 1990; </w:t>
      </w:r>
      <w:r w:rsidRPr="00981036">
        <w:rPr>
          <w:rFonts w:ascii="Book Antiqua" w:hAnsi="Book Antiqua" w:cs="宋体"/>
          <w:b/>
          <w:bCs/>
          <w:kern w:val="0"/>
          <w:sz w:val="24"/>
          <w:szCs w:val="24"/>
          <w:lang w:eastAsia="zh-CN"/>
        </w:rPr>
        <w:t>83</w:t>
      </w:r>
      <w:r w:rsidRPr="00981036">
        <w:rPr>
          <w:rFonts w:ascii="Book Antiqua" w:hAnsi="Book Antiqua" w:cs="宋体"/>
          <w:kern w:val="0"/>
          <w:sz w:val="24"/>
          <w:szCs w:val="24"/>
          <w:lang w:eastAsia="zh-CN"/>
        </w:rPr>
        <w:t>: 745-746 [PMID: 2250278]</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lastRenderedPageBreak/>
        <w:t xml:space="preserve">3 </w:t>
      </w:r>
      <w:r w:rsidRPr="00981036">
        <w:rPr>
          <w:rFonts w:ascii="Book Antiqua" w:hAnsi="Book Antiqua" w:cs="宋体"/>
          <w:b/>
          <w:bCs/>
          <w:kern w:val="0"/>
          <w:sz w:val="24"/>
          <w:szCs w:val="24"/>
          <w:lang w:eastAsia="zh-CN"/>
        </w:rPr>
        <w:t>Henry JG</w:t>
      </w:r>
      <w:r w:rsidRPr="00981036">
        <w:rPr>
          <w:rFonts w:ascii="Book Antiqua" w:hAnsi="Book Antiqua" w:cs="宋体"/>
          <w:kern w:val="0"/>
          <w:sz w:val="24"/>
          <w:szCs w:val="24"/>
          <w:lang w:eastAsia="zh-CN"/>
        </w:rPr>
        <w:t xml:space="preserve">, Shinner JJ, Martino JH, Cimino LE. Fatal esophageal and bronchial artery ulceration caused by solid potassium chloride. </w:t>
      </w:r>
      <w:r w:rsidRPr="00981036">
        <w:rPr>
          <w:rFonts w:ascii="Book Antiqua" w:hAnsi="Book Antiqua" w:cs="宋体"/>
          <w:i/>
          <w:iCs/>
          <w:kern w:val="0"/>
          <w:sz w:val="24"/>
          <w:szCs w:val="24"/>
          <w:lang w:eastAsia="zh-CN"/>
        </w:rPr>
        <w:t>Pediatr Cardiol</w:t>
      </w:r>
      <w:r w:rsidRPr="00981036">
        <w:rPr>
          <w:rFonts w:ascii="Book Antiqua" w:hAnsi="Book Antiqua" w:cs="宋体"/>
          <w:kern w:val="0"/>
          <w:sz w:val="24"/>
          <w:szCs w:val="24"/>
          <w:lang w:eastAsia="zh-CN"/>
        </w:rPr>
        <w:t xml:space="preserve"> </w:t>
      </w:r>
      <w:r>
        <w:rPr>
          <w:rFonts w:ascii="Book Antiqua" w:hAnsi="Book Antiqua" w:cs="宋体"/>
          <w:kern w:val="0"/>
          <w:sz w:val="24"/>
          <w:szCs w:val="24"/>
          <w:lang w:eastAsia="zh-CN"/>
        </w:rPr>
        <w:t>1983</w:t>
      </w:r>
      <w:r w:rsidRPr="00981036">
        <w:rPr>
          <w:rFonts w:ascii="Book Antiqua" w:hAnsi="Book Antiqua" w:cs="宋体"/>
          <w:kern w:val="0"/>
          <w:sz w:val="24"/>
          <w:szCs w:val="24"/>
          <w:lang w:eastAsia="zh-CN"/>
        </w:rPr>
        <w:t xml:space="preserve">; </w:t>
      </w:r>
      <w:r w:rsidRPr="00981036">
        <w:rPr>
          <w:rFonts w:ascii="Book Antiqua" w:hAnsi="Book Antiqua" w:cs="宋体"/>
          <w:b/>
          <w:bCs/>
          <w:kern w:val="0"/>
          <w:sz w:val="24"/>
          <w:szCs w:val="24"/>
          <w:lang w:eastAsia="zh-CN"/>
        </w:rPr>
        <w:t>4</w:t>
      </w:r>
      <w:r w:rsidRPr="00981036">
        <w:rPr>
          <w:rFonts w:ascii="Book Antiqua" w:hAnsi="Book Antiqua" w:cs="宋体"/>
          <w:kern w:val="0"/>
          <w:sz w:val="24"/>
          <w:szCs w:val="24"/>
          <w:lang w:eastAsia="zh-CN"/>
        </w:rPr>
        <w:t>: 251-252 [PMID: 6647113]</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4 </w:t>
      </w:r>
      <w:r w:rsidRPr="00981036">
        <w:rPr>
          <w:rFonts w:ascii="Book Antiqua" w:hAnsi="Book Antiqua" w:cs="宋体"/>
          <w:b/>
          <w:bCs/>
          <w:kern w:val="0"/>
          <w:sz w:val="24"/>
          <w:szCs w:val="24"/>
          <w:lang w:eastAsia="zh-CN"/>
        </w:rPr>
        <w:t>Yamaoka K</w:t>
      </w:r>
      <w:r w:rsidRPr="00981036">
        <w:rPr>
          <w:rFonts w:ascii="Book Antiqua" w:hAnsi="Book Antiqua" w:cs="宋体"/>
          <w:kern w:val="0"/>
          <w:sz w:val="24"/>
          <w:szCs w:val="24"/>
          <w:lang w:eastAsia="zh-CN"/>
        </w:rPr>
        <w:t xml:space="preserve">, Takenawa H, Tajiri K, Yamane M, Kadowaki K, Marumo F, Sato C. A case of esophageal perforation due to a pill-induced ulcer successfully treated with conservative measures. </w:t>
      </w:r>
      <w:r w:rsidRPr="00981036">
        <w:rPr>
          <w:rFonts w:ascii="Book Antiqua" w:hAnsi="Book Antiqua" w:cs="宋体"/>
          <w:i/>
          <w:iCs/>
          <w:kern w:val="0"/>
          <w:sz w:val="24"/>
          <w:szCs w:val="24"/>
          <w:lang w:eastAsia="zh-CN"/>
        </w:rPr>
        <w:t>Am J Gastroenterol</w:t>
      </w:r>
      <w:r w:rsidRPr="00981036">
        <w:rPr>
          <w:rFonts w:ascii="Book Antiqua" w:hAnsi="Book Antiqua" w:cs="宋体"/>
          <w:kern w:val="0"/>
          <w:sz w:val="24"/>
          <w:szCs w:val="24"/>
          <w:lang w:eastAsia="zh-CN"/>
        </w:rPr>
        <w:t xml:space="preserve"> 1996; </w:t>
      </w:r>
      <w:r w:rsidRPr="00981036">
        <w:rPr>
          <w:rFonts w:ascii="Book Antiqua" w:hAnsi="Book Antiqua" w:cs="宋体"/>
          <w:b/>
          <w:bCs/>
          <w:kern w:val="0"/>
          <w:sz w:val="24"/>
          <w:szCs w:val="24"/>
          <w:lang w:eastAsia="zh-CN"/>
        </w:rPr>
        <w:t>91</w:t>
      </w:r>
      <w:r w:rsidRPr="00981036">
        <w:rPr>
          <w:rFonts w:ascii="Book Antiqua" w:hAnsi="Book Antiqua" w:cs="宋体"/>
          <w:kern w:val="0"/>
          <w:sz w:val="24"/>
          <w:szCs w:val="24"/>
          <w:lang w:eastAsia="zh-CN"/>
        </w:rPr>
        <w:t>: 1044-1045 [PMID: 8633552]</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5 </w:t>
      </w:r>
      <w:r w:rsidRPr="00981036">
        <w:rPr>
          <w:rFonts w:ascii="Book Antiqua" w:hAnsi="Book Antiqua" w:cs="宋体"/>
          <w:b/>
          <w:bCs/>
          <w:kern w:val="0"/>
          <w:sz w:val="24"/>
          <w:szCs w:val="24"/>
          <w:lang w:eastAsia="zh-CN"/>
        </w:rPr>
        <w:t>Armstrong D</w:t>
      </w:r>
      <w:r w:rsidRPr="00981036">
        <w:rPr>
          <w:rFonts w:ascii="Book Antiqua" w:hAnsi="Book Antiqua" w:cs="宋体"/>
          <w:kern w:val="0"/>
          <w:sz w:val="24"/>
          <w:szCs w:val="24"/>
          <w:lang w:eastAsia="zh-CN"/>
        </w:rPr>
        <w:t xml:space="preserve">, Bennett JR, Blum AL, Dent J, De Dombal FT, Galmiche JP, Lundell L, Margulies M, Richter JE, Spechler SJ, Tytgat GN, Wallin L. The endoscopic assessment of esophagitis: a progress report on observer agreement. </w:t>
      </w:r>
      <w:r w:rsidRPr="00981036">
        <w:rPr>
          <w:rFonts w:ascii="Book Antiqua" w:hAnsi="Book Antiqua" w:cs="宋体"/>
          <w:i/>
          <w:iCs/>
          <w:kern w:val="0"/>
          <w:sz w:val="24"/>
          <w:szCs w:val="24"/>
          <w:lang w:eastAsia="zh-CN"/>
        </w:rPr>
        <w:t>Gastroenterology</w:t>
      </w:r>
      <w:r w:rsidRPr="00981036">
        <w:rPr>
          <w:rFonts w:ascii="Book Antiqua" w:hAnsi="Book Antiqua" w:cs="宋体"/>
          <w:kern w:val="0"/>
          <w:sz w:val="24"/>
          <w:szCs w:val="24"/>
          <w:lang w:eastAsia="zh-CN"/>
        </w:rPr>
        <w:t xml:space="preserve"> 1996; </w:t>
      </w:r>
      <w:r w:rsidRPr="00981036">
        <w:rPr>
          <w:rFonts w:ascii="Book Antiqua" w:hAnsi="Book Antiqua" w:cs="宋体"/>
          <w:b/>
          <w:bCs/>
          <w:kern w:val="0"/>
          <w:sz w:val="24"/>
          <w:szCs w:val="24"/>
          <w:lang w:eastAsia="zh-CN"/>
        </w:rPr>
        <w:t>111</w:t>
      </w:r>
      <w:r w:rsidRPr="00981036">
        <w:rPr>
          <w:rFonts w:ascii="Book Antiqua" w:hAnsi="Book Antiqua" w:cs="宋体"/>
          <w:kern w:val="0"/>
          <w:sz w:val="24"/>
          <w:szCs w:val="24"/>
          <w:lang w:eastAsia="zh-CN"/>
        </w:rPr>
        <w:t>: 85-92 [PMID: 8698230]</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6 </w:t>
      </w:r>
      <w:r w:rsidRPr="00981036">
        <w:rPr>
          <w:rFonts w:ascii="Book Antiqua" w:hAnsi="Book Antiqua" w:cs="宋体"/>
          <w:b/>
          <w:bCs/>
          <w:kern w:val="0"/>
          <w:sz w:val="24"/>
          <w:szCs w:val="24"/>
          <w:lang w:eastAsia="zh-CN"/>
        </w:rPr>
        <w:t>Abid S</w:t>
      </w:r>
      <w:r w:rsidRPr="00981036">
        <w:rPr>
          <w:rFonts w:ascii="Book Antiqua" w:hAnsi="Book Antiqua" w:cs="宋体"/>
          <w:kern w:val="0"/>
          <w:sz w:val="24"/>
          <w:szCs w:val="24"/>
          <w:lang w:eastAsia="zh-CN"/>
        </w:rPr>
        <w:t xml:space="preserve">, Mumtaz K, Jafri W, Hamid S, Abbas Z, Shah HA, Khan AH. Pill-induced esophageal injury: endoscopic features and clinical outcomes. </w:t>
      </w:r>
      <w:r w:rsidRPr="00981036">
        <w:rPr>
          <w:rFonts w:ascii="Book Antiqua" w:hAnsi="Book Antiqua" w:cs="宋体"/>
          <w:i/>
          <w:iCs/>
          <w:kern w:val="0"/>
          <w:sz w:val="24"/>
          <w:szCs w:val="24"/>
          <w:lang w:eastAsia="zh-CN"/>
        </w:rPr>
        <w:t>Endoscopy</w:t>
      </w:r>
      <w:r w:rsidRPr="00981036">
        <w:rPr>
          <w:rFonts w:ascii="Book Antiqua" w:hAnsi="Book Antiqua" w:cs="宋体"/>
          <w:kern w:val="0"/>
          <w:sz w:val="24"/>
          <w:szCs w:val="24"/>
          <w:lang w:eastAsia="zh-CN"/>
        </w:rPr>
        <w:t xml:space="preserve"> 2005; </w:t>
      </w:r>
      <w:r w:rsidRPr="00981036">
        <w:rPr>
          <w:rFonts w:ascii="Book Antiqua" w:hAnsi="Book Antiqua" w:cs="宋体"/>
          <w:b/>
          <w:bCs/>
          <w:kern w:val="0"/>
          <w:sz w:val="24"/>
          <w:szCs w:val="24"/>
          <w:lang w:eastAsia="zh-CN"/>
        </w:rPr>
        <w:t>37</w:t>
      </w:r>
      <w:r w:rsidRPr="00981036">
        <w:rPr>
          <w:rFonts w:ascii="Book Antiqua" w:hAnsi="Book Antiqua" w:cs="宋体"/>
          <w:kern w:val="0"/>
          <w:sz w:val="24"/>
          <w:szCs w:val="24"/>
          <w:lang w:eastAsia="zh-CN"/>
        </w:rPr>
        <w:t>: 740-744 [PMID: 16032493 DOI: 10.1055/s-2005-870129]</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7 </w:t>
      </w:r>
      <w:r w:rsidRPr="00981036">
        <w:rPr>
          <w:rFonts w:ascii="Book Antiqua" w:hAnsi="Book Antiqua" w:cs="宋体"/>
          <w:b/>
          <w:bCs/>
          <w:kern w:val="0"/>
          <w:sz w:val="24"/>
          <w:szCs w:val="24"/>
          <w:lang w:eastAsia="zh-CN"/>
        </w:rPr>
        <w:t>McCord GS</w:t>
      </w:r>
      <w:r w:rsidRPr="00981036">
        <w:rPr>
          <w:rFonts w:ascii="Book Antiqua" w:hAnsi="Book Antiqua" w:cs="宋体"/>
          <w:kern w:val="0"/>
          <w:sz w:val="24"/>
          <w:szCs w:val="24"/>
          <w:lang w:eastAsia="zh-CN"/>
        </w:rPr>
        <w:t xml:space="preserve">, Clouse RE. Pill-induced esophageal strictures: clinical features and risk factors for development. </w:t>
      </w:r>
      <w:r w:rsidRPr="00981036">
        <w:rPr>
          <w:rFonts w:ascii="Book Antiqua" w:hAnsi="Book Antiqua" w:cs="宋体"/>
          <w:i/>
          <w:iCs/>
          <w:kern w:val="0"/>
          <w:sz w:val="24"/>
          <w:szCs w:val="24"/>
          <w:lang w:eastAsia="zh-CN"/>
        </w:rPr>
        <w:t>Am J Med</w:t>
      </w:r>
      <w:r w:rsidRPr="00981036">
        <w:rPr>
          <w:rFonts w:ascii="Book Antiqua" w:hAnsi="Book Antiqua" w:cs="宋体"/>
          <w:kern w:val="0"/>
          <w:sz w:val="24"/>
          <w:szCs w:val="24"/>
          <w:lang w:eastAsia="zh-CN"/>
        </w:rPr>
        <w:t xml:space="preserve"> 1990; </w:t>
      </w:r>
      <w:r w:rsidRPr="00981036">
        <w:rPr>
          <w:rFonts w:ascii="Book Antiqua" w:hAnsi="Book Antiqua" w:cs="宋体"/>
          <w:b/>
          <w:bCs/>
          <w:kern w:val="0"/>
          <w:sz w:val="24"/>
          <w:szCs w:val="24"/>
          <w:lang w:eastAsia="zh-CN"/>
        </w:rPr>
        <w:t>88</w:t>
      </w:r>
      <w:r w:rsidRPr="00981036">
        <w:rPr>
          <w:rFonts w:ascii="Book Antiqua" w:hAnsi="Book Antiqua" w:cs="宋体"/>
          <w:kern w:val="0"/>
          <w:sz w:val="24"/>
          <w:szCs w:val="24"/>
          <w:lang w:eastAsia="zh-CN"/>
        </w:rPr>
        <w:t>: 512-518 [PMID: 2186626]</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8 </w:t>
      </w:r>
      <w:r w:rsidRPr="00981036">
        <w:rPr>
          <w:rFonts w:ascii="Book Antiqua" w:hAnsi="Book Antiqua" w:cs="宋体"/>
          <w:b/>
          <w:bCs/>
          <w:kern w:val="0"/>
          <w:sz w:val="24"/>
          <w:szCs w:val="24"/>
          <w:lang w:eastAsia="zh-CN"/>
        </w:rPr>
        <w:t>Higuchi D</w:t>
      </w:r>
      <w:r w:rsidRPr="00981036">
        <w:rPr>
          <w:rFonts w:ascii="Book Antiqua" w:hAnsi="Book Antiqua" w:cs="宋体"/>
          <w:kern w:val="0"/>
          <w:sz w:val="24"/>
          <w:szCs w:val="24"/>
          <w:lang w:eastAsia="zh-CN"/>
        </w:rPr>
        <w:t xml:space="preserve">, Sugawa C, Shah SH, Tokioka S, Lucas CE. Etiology, treatment, and outcome of esophageal ulcers: a 10-year experience in an urban emergency hospital. </w:t>
      </w:r>
      <w:r w:rsidRPr="00981036">
        <w:rPr>
          <w:rFonts w:ascii="Book Antiqua" w:hAnsi="Book Antiqua" w:cs="宋体"/>
          <w:i/>
          <w:iCs/>
          <w:kern w:val="0"/>
          <w:sz w:val="24"/>
          <w:szCs w:val="24"/>
          <w:lang w:eastAsia="zh-CN"/>
        </w:rPr>
        <w:t>J Gastrointest Surg</w:t>
      </w:r>
      <w:r w:rsidRPr="00981036">
        <w:rPr>
          <w:rFonts w:ascii="Book Antiqua" w:hAnsi="Book Antiqua" w:cs="宋体"/>
          <w:kern w:val="0"/>
          <w:sz w:val="24"/>
          <w:szCs w:val="24"/>
          <w:lang w:eastAsia="zh-CN"/>
        </w:rPr>
        <w:t xml:space="preserve"> 2003; </w:t>
      </w:r>
      <w:r w:rsidRPr="00981036">
        <w:rPr>
          <w:rFonts w:ascii="Book Antiqua" w:hAnsi="Book Antiqua" w:cs="宋体"/>
          <w:b/>
          <w:bCs/>
          <w:kern w:val="0"/>
          <w:sz w:val="24"/>
          <w:szCs w:val="24"/>
          <w:lang w:eastAsia="zh-CN"/>
        </w:rPr>
        <w:t>7</w:t>
      </w:r>
      <w:r w:rsidRPr="00981036">
        <w:rPr>
          <w:rFonts w:ascii="Book Antiqua" w:hAnsi="Book Antiqua" w:cs="宋体"/>
          <w:kern w:val="0"/>
          <w:sz w:val="24"/>
          <w:szCs w:val="24"/>
          <w:lang w:eastAsia="zh-CN"/>
        </w:rPr>
        <w:t>: 836-842 [PMID: 14592655]</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9 </w:t>
      </w:r>
      <w:r w:rsidRPr="00981036">
        <w:rPr>
          <w:rFonts w:ascii="Book Antiqua" w:hAnsi="Book Antiqua" w:cs="宋体"/>
          <w:b/>
          <w:bCs/>
          <w:kern w:val="0"/>
          <w:sz w:val="24"/>
          <w:szCs w:val="24"/>
          <w:lang w:eastAsia="zh-CN"/>
        </w:rPr>
        <w:t>Jaspersen D</w:t>
      </w:r>
      <w:r w:rsidRPr="00981036">
        <w:rPr>
          <w:rFonts w:ascii="Book Antiqua" w:hAnsi="Book Antiqua" w:cs="宋体"/>
          <w:kern w:val="0"/>
          <w:sz w:val="24"/>
          <w:szCs w:val="24"/>
          <w:lang w:eastAsia="zh-CN"/>
        </w:rPr>
        <w:t xml:space="preserve">. Drug-induced oesophageal disorders: pathogenesis, incidence, prevention and management. </w:t>
      </w:r>
      <w:r w:rsidRPr="00981036">
        <w:rPr>
          <w:rFonts w:ascii="Book Antiqua" w:hAnsi="Book Antiqua" w:cs="宋体"/>
          <w:i/>
          <w:iCs/>
          <w:kern w:val="0"/>
          <w:sz w:val="24"/>
          <w:szCs w:val="24"/>
          <w:lang w:eastAsia="zh-CN"/>
        </w:rPr>
        <w:t>Drug Saf</w:t>
      </w:r>
      <w:r w:rsidRPr="00981036">
        <w:rPr>
          <w:rFonts w:ascii="Book Antiqua" w:hAnsi="Book Antiqua" w:cs="宋体"/>
          <w:kern w:val="0"/>
          <w:sz w:val="24"/>
          <w:szCs w:val="24"/>
          <w:lang w:eastAsia="zh-CN"/>
        </w:rPr>
        <w:t xml:space="preserve"> 2000; </w:t>
      </w:r>
      <w:r w:rsidRPr="00981036">
        <w:rPr>
          <w:rFonts w:ascii="Book Antiqua" w:hAnsi="Book Antiqua" w:cs="宋体"/>
          <w:b/>
          <w:bCs/>
          <w:kern w:val="0"/>
          <w:sz w:val="24"/>
          <w:szCs w:val="24"/>
          <w:lang w:eastAsia="zh-CN"/>
        </w:rPr>
        <w:t>22</w:t>
      </w:r>
      <w:r w:rsidRPr="00981036">
        <w:rPr>
          <w:rFonts w:ascii="Book Antiqua" w:hAnsi="Book Antiqua" w:cs="宋体"/>
          <w:kern w:val="0"/>
          <w:sz w:val="24"/>
          <w:szCs w:val="24"/>
          <w:lang w:eastAsia="zh-CN"/>
        </w:rPr>
        <w:t>: 237-249 [PMID: 10738847]</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10 </w:t>
      </w:r>
      <w:r w:rsidRPr="00981036">
        <w:rPr>
          <w:rFonts w:ascii="Book Antiqua" w:hAnsi="Book Antiqua" w:cs="宋体"/>
          <w:b/>
          <w:bCs/>
          <w:kern w:val="0"/>
          <w:sz w:val="24"/>
          <w:szCs w:val="24"/>
          <w:lang w:eastAsia="zh-CN"/>
        </w:rPr>
        <w:t>Kikendall JW</w:t>
      </w:r>
      <w:r w:rsidRPr="00981036">
        <w:rPr>
          <w:rFonts w:ascii="Book Antiqua" w:hAnsi="Book Antiqua" w:cs="宋体"/>
          <w:kern w:val="0"/>
          <w:sz w:val="24"/>
          <w:szCs w:val="24"/>
          <w:lang w:eastAsia="zh-CN"/>
        </w:rPr>
        <w:t xml:space="preserve">. Pill esophagitis. </w:t>
      </w:r>
      <w:r w:rsidRPr="00981036">
        <w:rPr>
          <w:rFonts w:ascii="Book Antiqua" w:hAnsi="Book Antiqua" w:cs="宋体"/>
          <w:i/>
          <w:iCs/>
          <w:kern w:val="0"/>
          <w:sz w:val="24"/>
          <w:szCs w:val="24"/>
          <w:lang w:eastAsia="zh-CN"/>
        </w:rPr>
        <w:t>J Clin Gastroenterol</w:t>
      </w:r>
      <w:r w:rsidRPr="00981036">
        <w:rPr>
          <w:rFonts w:ascii="Book Antiqua" w:hAnsi="Book Antiqua" w:cs="宋体"/>
          <w:kern w:val="0"/>
          <w:sz w:val="24"/>
          <w:szCs w:val="24"/>
          <w:lang w:eastAsia="zh-CN"/>
        </w:rPr>
        <w:t xml:space="preserve"> 1999; </w:t>
      </w:r>
      <w:r w:rsidRPr="00981036">
        <w:rPr>
          <w:rFonts w:ascii="Book Antiqua" w:hAnsi="Book Antiqua" w:cs="宋体"/>
          <w:b/>
          <w:bCs/>
          <w:kern w:val="0"/>
          <w:sz w:val="24"/>
          <w:szCs w:val="24"/>
          <w:lang w:eastAsia="zh-CN"/>
        </w:rPr>
        <w:t>28</w:t>
      </w:r>
      <w:r w:rsidRPr="00981036">
        <w:rPr>
          <w:rFonts w:ascii="Book Antiqua" w:hAnsi="Book Antiqua" w:cs="宋体"/>
          <w:kern w:val="0"/>
          <w:sz w:val="24"/>
          <w:szCs w:val="24"/>
          <w:lang w:eastAsia="zh-CN"/>
        </w:rPr>
        <w:t>: 298-305 [PMID: 10372925]</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11 </w:t>
      </w:r>
      <w:r w:rsidRPr="00981036">
        <w:rPr>
          <w:rFonts w:ascii="Book Antiqua" w:hAnsi="Book Antiqua" w:cs="宋体"/>
          <w:b/>
          <w:bCs/>
          <w:kern w:val="0"/>
          <w:sz w:val="24"/>
          <w:szCs w:val="24"/>
          <w:lang w:eastAsia="zh-CN"/>
        </w:rPr>
        <w:t>Boyce HW</w:t>
      </w:r>
      <w:r w:rsidRPr="00981036">
        <w:rPr>
          <w:rFonts w:ascii="Book Antiqua" w:hAnsi="Book Antiqua" w:cs="宋体"/>
          <w:kern w:val="0"/>
          <w:sz w:val="24"/>
          <w:szCs w:val="24"/>
          <w:lang w:eastAsia="zh-CN"/>
        </w:rPr>
        <w:t xml:space="preserve">. Drug-induced esophageal damage: diseases of medical progress. </w:t>
      </w:r>
      <w:r w:rsidRPr="00981036">
        <w:rPr>
          <w:rFonts w:ascii="Book Antiqua" w:hAnsi="Book Antiqua" w:cs="宋体"/>
          <w:i/>
          <w:iCs/>
          <w:kern w:val="0"/>
          <w:sz w:val="24"/>
          <w:szCs w:val="24"/>
          <w:lang w:eastAsia="zh-CN"/>
        </w:rPr>
        <w:t>Gastrointest Endosc</w:t>
      </w:r>
      <w:r w:rsidRPr="00981036">
        <w:rPr>
          <w:rFonts w:ascii="Book Antiqua" w:hAnsi="Book Antiqua" w:cs="宋体"/>
          <w:kern w:val="0"/>
          <w:sz w:val="24"/>
          <w:szCs w:val="24"/>
          <w:lang w:eastAsia="zh-CN"/>
        </w:rPr>
        <w:t xml:space="preserve"> 1998; </w:t>
      </w:r>
      <w:r w:rsidRPr="00981036">
        <w:rPr>
          <w:rFonts w:ascii="Book Antiqua" w:hAnsi="Book Antiqua" w:cs="宋体"/>
          <w:b/>
          <w:bCs/>
          <w:kern w:val="0"/>
          <w:sz w:val="24"/>
          <w:szCs w:val="24"/>
          <w:lang w:eastAsia="zh-CN"/>
        </w:rPr>
        <w:t>47</w:t>
      </w:r>
      <w:r w:rsidRPr="00981036">
        <w:rPr>
          <w:rFonts w:ascii="Book Antiqua" w:hAnsi="Book Antiqua" w:cs="宋体"/>
          <w:kern w:val="0"/>
          <w:sz w:val="24"/>
          <w:szCs w:val="24"/>
          <w:lang w:eastAsia="zh-CN"/>
        </w:rPr>
        <w:t>: 547-550 [PMID: 9647388]</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12 </w:t>
      </w:r>
      <w:r w:rsidRPr="00981036">
        <w:rPr>
          <w:rFonts w:ascii="Book Antiqua" w:hAnsi="Book Antiqua" w:cs="宋体"/>
          <w:b/>
          <w:bCs/>
          <w:kern w:val="0"/>
          <w:sz w:val="24"/>
          <w:szCs w:val="24"/>
          <w:lang w:eastAsia="zh-CN"/>
        </w:rPr>
        <w:t>Kikendall JW</w:t>
      </w:r>
      <w:r w:rsidRPr="00981036">
        <w:rPr>
          <w:rFonts w:ascii="Book Antiqua" w:hAnsi="Book Antiqua" w:cs="宋体"/>
          <w:kern w:val="0"/>
          <w:sz w:val="24"/>
          <w:szCs w:val="24"/>
          <w:lang w:eastAsia="zh-CN"/>
        </w:rPr>
        <w:t xml:space="preserve">, Friedman AC, Oyewole MA, Fleischer D, Johnson LF. Pill-induced esophageal injury. Case reports and review of the medical literature. </w:t>
      </w:r>
      <w:r w:rsidRPr="00981036">
        <w:rPr>
          <w:rFonts w:ascii="Book Antiqua" w:hAnsi="Book Antiqua" w:cs="宋体"/>
          <w:i/>
          <w:iCs/>
          <w:kern w:val="0"/>
          <w:sz w:val="24"/>
          <w:szCs w:val="24"/>
          <w:lang w:eastAsia="zh-CN"/>
        </w:rPr>
        <w:t>Dig Dis Sci</w:t>
      </w:r>
      <w:r w:rsidRPr="00981036">
        <w:rPr>
          <w:rFonts w:ascii="Book Antiqua" w:hAnsi="Book Antiqua" w:cs="宋体"/>
          <w:kern w:val="0"/>
          <w:sz w:val="24"/>
          <w:szCs w:val="24"/>
          <w:lang w:eastAsia="zh-CN"/>
        </w:rPr>
        <w:t xml:space="preserve"> 1983; </w:t>
      </w:r>
      <w:r w:rsidRPr="00981036">
        <w:rPr>
          <w:rFonts w:ascii="Book Antiqua" w:hAnsi="Book Antiqua" w:cs="宋体"/>
          <w:b/>
          <w:bCs/>
          <w:kern w:val="0"/>
          <w:sz w:val="24"/>
          <w:szCs w:val="24"/>
          <w:lang w:eastAsia="zh-CN"/>
        </w:rPr>
        <w:t>28</w:t>
      </w:r>
      <w:r w:rsidRPr="00981036">
        <w:rPr>
          <w:rFonts w:ascii="Book Antiqua" w:hAnsi="Book Antiqua" w:cs="宋体"/>
          <w:kern w:val="0"/>
          <w:sz w:val="24"/>
          <w:szCs w:val="24"/>
          <w:lang w:eastAsia="zh-CN"/>
        </w:rPr>
        <w:t>: 174-182 [PMID: 6825537]</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655B40">
        <w:rPr>
          <w:rFonts w:ascii="Book Antiqua" w:hAnsi="Book Antiqua" w:cs="宋体"/>
          <w:kern w:val="0"/>
          <w:sz w:val="24"/>
          <w:szCs w:val="24"/>
          <w:lang w:val="es-ES" w:eastAsia="zh-CN"/>
        </w:rPr>
        <w:t xml:space="preserve">13 </w:t>
      </w:r>
      <w:r w:rsidRPr="00655B40">
        <w:rPr>
          <w:rFonts w:ascii="Book Antiqua" w:hAnsi="Book Antiqua" w:cs="宋体"/>
          <w:b/>
          <w:bCs/>
          <w:kern w:val="0"/>
          <w:sz w:val="24"/>
          <w:szCs w:val="24"/>
          <w:lang w:val="es-ES" w:eastAsia="zh-CN"/>
        </w:rPr>
        <w:t>Prasad GA</w:t>
      </w:r>
      <w:r w:rsidRPr="00655B40">
        <w:rPr>
          <w:rFonts w:ascii="Book Antiqua" w:hAnsi="Book Antiqua" w:cs="宋体"/>
          <w:kern w:val="0"/>
          <w:sz w:val="24"/>
          <w:szCs w:val="24"/>
          <w:lang w:val="es-ES" w:eastAsia="zh-CN"/>
        </w:rPr>
        <w:t xml:space="preserve">, Talley NJ, Romero Y, Arora AS, Kryzer LA, Smyrk TC, Alexander JA. </w:t>
      </w:r>
      <w:r w:rsidRPr="00981036">
        <w:rPr>
          <w:rFonts w:ascii="Book Antiqua" w:hAnsi="Book Antiqua" w:cs="宋体"/>
          <w:kern w:val="0"/>
          <w:sz w:val="24"/>
          <w:szCs w:val="24"/>
          <w:lang w:eastAsia="zh-CN"/>
        </w:rPr>
        <w:t xml:space="preserve">Prevalence and predictive factors of eosinophilic esophagitis in patients presenting </w:t>
      </w:r>
      <w:r w:rsidRPr="00981036">
        <w:rPr>
          <w:rFonts w:ascii="Book Antiqua" w:hAnsi="Book Antiqua" w:cs="宋体"/>
          <w:kern w:val="0"/>
          <w:sz w:val="24"/>
          <w:szCs w:val="24"/>
          <w:lang w:eastAsia="zh-CN"/>
        </w:rPr>
        <w:lastRenderedPageBreak/>
        <w:t xml:space="preserve">with dysphagia: a prospective study. </w:t>
      </w:r>
      <w:r w:rsidRPr="00981036">
        <w:rPr>
          <w:rFonts w:ascii="Book Antiqua" w:hAnsi="Book Antiqua" w:cs="宋体"/>
          <w:i/>
          <w:iCs/>
          <w:kern w:val="0"/>
          <w:sz w:val="24"/>
          <w:szCs w:val="24"/>
          <w:lang w:eastAsia="zh-CN"/>
        </w:rPr>
        <w:t>Am J Gastroenterol</w:t>
      </w:r>
      <w:r w:rsidRPr="00981036">
        <w:rPr>
          <w:rFonts w:ascii="Book Antiqua" w:hAnsi="Book Antiqua" w:cs="宋体"/>
          <w:kern w:val="0"/>
          <w:sz w:val="24"/>
          <w:szCs w:val="24"/>
          <w:lang w:eastAsia="zh-CN"/>
        </w:rPr>
        <w:t xml:space="preserve"> 2007; </w:t>
      </w:r>
      <w:r w:rsidRPr="00981036">
        <w:rPr>
          <w:rFonts w:ascii="Book Antiqua" w:hAnsi="Book Antiqua" w:cs="宋体"/>
          <w:b/>
          <w:bCs/>
          <w:kern w:val="0"/>
          <w:sz w:val="24"/>
          <w:szCs w:val="24"/>
          <w:lang w:eastAsia="zh-CN"/>
        </w:rPr>
        <w:t>102</w:t>
      </w:r>
      <w:r w:rsidRPr="00981036">
        <w:rPr>
          <w:rFonts w:ascii="Book Antiqua" w:hAnsi="Book Antiqua" w:cs="宋体"/>
          <w:kern w:val="0"/>
          <w:sz w:val="24"/>
          <w:szCs w:val="24"/>
          <w:lang w:eastAsia="zh-CN"/>
        </w:rPr>
        <w:t>: 2627-2632 [PMID: 17764492 DOI: 10.1111/j.1572-0241.2007.01512.x]</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14 </w:t>
      </w:r>
      <w:r w:rsidRPr="00981036">
        <w:rPr>
          <w:rFonts w:ascii="Book Antiqua" w:hAnsi="Book Antiqua" w:cs="宋体"/>
          <w:b/>
          <w:bCs/>
          <w:kern w:val="0"/>
          <w:sz w:val="24"/>
          <w:szCs w:val="24"/>
          <w:lang w:eastAsia="zh-CN"/>
        </w:rPr>
        <w:t>Mueller S</w:t>
      </w:r>
      <w:r w:rsidRPr="00981036">
        <w:rPr>
          <w:rFonts w:ascii="Book Antiqua" w:hAnsi="Book Antiqua" w:cs="宋体"/>
          <w:kern w:val="0"/>
          <w:sz w:val="24"/>
          <w:szCs w:val="24"/>
          <w:lang w:eastAsia="zh-CN"/>
        </w:rPr>
        <w:t xml:space="preserve">, Aigner T, Neureiter D, Stolte M. Eosinophil infiltration and degranulation in oesophageal mucosa from adult patients with eosinophilic oesophagitis: a retrospective and comparative study on pathological biopsy. </w:t>
      </w:r>
      <w:r w:rsidRPr="00981036">
        <w:rPr>
          <w:rFonts w:ascii="Book Antiqua" w:hAnsi="Book Antiqua" w:cs="宋体"/>
          <w:i/>
          <w:iCs/>
          <w:kern w:val="0"/>
          <w:sz w:val="24"/>
          <w:szCs w:val="24"/>
          <w:lang w:eastAsia="zh-CN"/>
        </w:rPr>
        <w:t>J Clin Pathol</w:t>
      </w:r>
      <w:r w:rsidRPr="00981036">
        <w:rPr>
          <w:rFonts w:ascii="Book Antiqua" w:hAnsi="Book Antiqua" w:cs="宋体"/>
          <w:kern w:val="0"/>
          <w:sz w:val="24"/>
          <w:szCs w:val="24"/>
          <w:lang w:eastAsia="zh-CN"/>
        </w:rPr>
        <w:t xml:space="preserve"> 2006; </w:t>
      </w:r>
      <w:r w:rsidRPr="00981036">
        <w:rPr>
          <w:rFonts w:ascii="Book Antiqua" w:hAnsi="Book Antiqua" w:cs="宋体"/>
          <w:b/>
          <w:bCs/>
          <w:kern w:val="0"/>
          <w:sz w:val="24"/>
          <w:szCs w:val="24"/>
          <w:lang w:eastAsia="zh-CN"/>
        </w:rPr>
        <w:t>59</w:t>
      </w:r>
      <w:r w:rsidRPr="00981036">
        <w:rPr>
          <w:rFonts w:ascii="Book Antiqua" w:hAnsi="Book Antiqua" w:cs="宋体"/>
          <w:kern w:val="0"/>
          <w:sz w:val="24"/>
          <w:szCs w:val="24"/>
          <w:lang w:eastAsia="zh-CN"/>
        </w:rPr>
        <w:t>: 1175-1180 [PMID: 16556666 DOI: 10.1136/jcp.2005.031922]</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15 </w:t>
      </w:r>
      <w:r w:rsidRPr="00981036">
        <w:rPr>
          <w:rFonts w:ascii="Book Antiqua" w:hAnsi="Book Antiqua" w:cs="宋体"/>
          <w:b/>
          <w:bCs/>
          <w:kern w:val="0"/>
          <w:sz w:val="24"/>
          <w:szCs w:val="24"/>
          <w:lang w:eastAsia="zh-CN"/>
        </w:rPr>
        <w:t>Liacouras CA</w:t>
      </w:r>
      <w:r w:rsidRPr="00981036">
        <w:rPr>
          <w:rFonts w:ascii="Book Antiqua" w:hAnsi="Book Antiqua" w:cs="宋体"/>
          <w:kern w:val="0"/>
          <w:sz w:val="24"/>
          <w:szCs w:val="24"/>
          <w:lang w:eastAsia="zh-CN"/>
        </w:rPr>
        <w:t xml:space="preserve">, Furuta GT, Hirano I, Atkins D, Attwood SE, Bonis PA, Burks AW, Chehade M, Collins MH, Dellon ES, Dohil R, Falk GW, Gonsalves N, Gupta SK, Katzka DA, Lucendo AJ, Markowitz JE, Noel RJ, Odze RD, Putnam PE, Richter JE, Romero Y, Ruchelli E, Sampson HA, Schoepfer A, Shaheen NJ, Sicherer SH, Spechler S, Spergel JM, Straumann A, Wershil BK, Rothenberg ME, Aceves SS. Eosinophilic esophagitis: updated consensus recommendations for children and adults. </w:t>
      </w:r>
      <w:r w:rsidRPr="00981036">
        <w:rPr>
          <w:rFonts w:ascii="Book Antiqua" w:hAnsi="Book Antiqua" w:cs="宋体"/>
          <w:i/>
          <w:iCs/>
          <w:kern w:val="0"/>
          <w:sz w:val="24"/>
          <w:szCs w:val="24"/>
          <w:lang w:eastAsia="zh-CN"/>
        </w:rPr>
        <w:t>J Allergy Clin Immunol</w:t>
      </w:r>
      <w:r w:rsidRPr="00981036">
        <w:rPr>
          <w:rFonts w:ascii="Book Antiqua" w:hAnsi="Book Antiqua" w:cs="宋体"/>
          <w:kern w:val="0"/>
          <w:sz w:val="24"/>
          <w:szCs w:val="24"/>
          <w:lang w:eastAsia="zh-CN"/>
        </w:rPr>
        <w:t xml:space="preserve"> 2011; </w:t>
      </w:r>
      <w:r w:rsidRPr="00981036">
        <w:rPr>
          <w:rFonts w:ascii="Book Antiqua" w:hAnsi="Book Antiqua" w:cs="宋体"/>
          <w:b/>
          <w:bCs/>
          <w:kern w:val="0"/>
          <w:sz w:val="24"/>
          <w:szCs w:val="24"/>
          <w:lang w:eastAsia="zh-CN"/>
        </w:rPr>
        <w:t>128</w:t>
      </w:r>
      <w:r w:rsidRPr="00981036">
        <w:rPr>
          <w:rFonts w:ascii="Book Antiqua" w:hAnsi="Book Antiqua" w:cs="宋体"/>
          <w:kern w:val="0"/>
          <w:sz w:val="24"/>
          <w:szCs w:val="24"/>
          <w:lang w:eastAsia="zh-CN"/>
        </w:rPr>
        <w:t>: 3-20.e6; quiz 21-2 [PMID: 21477849 DOI: 10.1016/j.jaci.2011.02.040]</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16 </w:t>
      </w:r>
      <w:r w:rsidRPr="00981036">
        <w:rPr>
          <w:rFonts w:ascii="Book Antiqua" w:hAnsi="Book Antiqua" w:cs="宋体"/>
          <w:b/>
          <w:bCs/>
          <w:kern w:val="0"/>
          <w:sz w:val="24"/>
          <w:szCs w:val="24"/>
          <w:lang w:eastAsia="zh-CN"/>
        </w:rPr>
        <w:t>Read AJ</w:t>
      </w:r>
      <w:r w:rsidRPr="00981036">
        <w:rPr>
          <w:rFonts w:ascii="Book Antiqua" w:hAnsi="Book Antiqua" w:cs="宋体"/>
          <w:kern w:val="0"/>
          <w:sz w:val="24"/>
          <w:szCs w:val="24"/>
          <w:lang w:eastAsia="zh-CN"/>
        </w:rPr>
        <w:t xml:space="preserve">, Pandolfino JE. Biomechanics of esophageal function in eosinophilic esophagitis. </w:t>
      </w:r>
      <w:r w:rsidRPr="00981036">
        <w:rPr>
          <w:rFonts w:ascii="Book Antiqua" w:hAnsi="Book Antiqua" w:cs="宋体"/>
          <w:i/>
          <w:iCs/>
          <w:kern w:val="0"/>
          <w:sz w:val="24"/>
          <w:szCs w:val="24"/>
          <w:lang w:eastAsia="zh-CN"/>
        </w:rPr>
        <w:t>J Neurogastroenterol Motil</w:t>
      </w:r>
      <w:r w:rsidRPr="00981036">
        <w:rPr>
          <w:rFonts w:ascii="Book Antiqua" w:hAnsi="Book Antiqua" w:cs="宋体"/>
          <w:kern w:val="0"/>
          <w:sz w:val="24"/>
          <w:szCs w:val="24"/>
          <w:lang w:eastAsia="zh-CN"/>
        </w:rPr>
        <w:t xml:space="preserve"> 2012; </w:t>
      </w:r>
      <w:r w:rsidRPr="00981036">
        <w:rPr>
          <w:rFonts w:ascii="Book Antiqua" w:hAnsi="Book Antiqua" w:cs="宋体"/>
          <w:b/>
          <w:bCs/>
          <w:kern w:val="0"/>
          <w:sz w:val="24"/>
          <w:szCs w:val="24"/>
          <w:lang w:eastAsia="zh-CN"/>
        </w:rPr>
        <w:t>18</w:t>
      </w:r>
      <w:r w:rsidRPr="00981036">
        <w:rPr>
          <w:rFonts w:ascii="Book Antiqua" w:hAnsi="Book Antiqua" w:cs="宋体"/>
          <w:kern w:val="0"/>
          <w:sz w:val="24"/>
          <w:szCs w:val="24"/>
          <w:lang w:eastAsia="zh-CN"/>
        </w:rPr>
        <w:t>: 357-364 [PMID: 23105995 DOI: 10.5056/jnm.2012.18.4.357]</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17 </w:t>
      </w:r>
      <w:r w:rsidRPr="00981036">
        <w:rPr>
          <w:rFonts w:ascii="Book Antiqua" w:hAnsi="Book Antiqua" w:cs="宋体"/>
          <w:b/>
          <w:bCs/>
          <w:kern w:val="0"/>
          <w:sz w:val="24"/>
          <w:szCs w:val="24"/>
          <w:lang w:eastAsia="zh-CN"/>
        </w:rPr>
        <w:t>Mueller S</w:t>
      </w:r>
      <w:r w:rsidRPr="00981036">
        <w:rPr>
          <w:rFonts w:ascii="Book Antiqua" w:hAnsi="Book Antiqua" w:cs="宋体"/>
          <w:kern w:val="0"/>
          <w:sz w:val="24"/>
          <w:szCs w:val="24"/>
          <w:lang w:eastAsia="zh-CN"/>
        </w:rPr>
        <w:t xml:space="preserve">, Neureiter D, Aigner T, Stolte M. Comparison of histological parameters for the diagnosis of eosinophilic oesophagitis versus gastro-oesophageal reflux disease on oesophageal biopsy material. </w:t>
      </w:r>
      <w:r w:rsidRPr="00981036">
        <w:rPr>
          <w:rFonts w:ascii="Book Antiqua" w:hAnsi="Book Antiqua" w:cs="宋体"/>
          <w:i/>
          <w:iCs/>
          <w:kern w:val="0"/>
          <w:sz w:val="24"/>
          <w:szCs w:val="24"/>
          <w:lang w:eastAsia="zh-CN"/>
        </w:rPr>
        <w:t>Histopathology</w:t>
      </w:r>
      <w:r w:rsidRPr="00981036">
        <w:rPr>
          <w:rFonts w:ascii="Book Antiqua" w:hAnsi="Book Antiqua" w:cs="宋体"/>
          <w:kern w:val="0"/>
          <w:sz w:val="24"/>
          <w:szCs w:val="24"/>
          <w:lang w:eastAsia="zh-CN"/>
        </w:rPr>
        <w:t xml:space="preserve"> 2008; </w:t>
      </w:r>
      <w:r w:rsidRPr="00981036">
        <w:rPr>
          <w:rFonts w:ascii="Book Antiqua" w:hAnsi="Book Antiqua" w:cs="宋体"/>
          <w:b/>
          <w:bCs/>
          <w:kern w:val="0"/>
          <w:sz w:val="24"/>
          <w:szCs w:val="24"/>
          <w:lang w:eastAsia="zh-CN"/>
        </w:rPr>
        <w:t>53</w:t>
      </w:r>
      <w:r w:rsidRPr="00981036">
        <w:rPr>
          <w:rFonts w:ascii="Book Antiqua" w:hAnsi="Book Antiqua" w:cs="宋体"/>
          <w:kern w:val="0"/>
          <w:sz w:val="24"/>
          <w:szCs w:val="24"/>
          <w:lang w:eastAsia="zh-CN"/>
        </w:rPr>
        <w:t>: 676-684 [PMID: 19076684 DOI: 10.1111/j.1365-2559.2008.03187.x]</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18 </w:t>
      </w:r>
      <w:r w:rsidRPr="00981036">
        <w:rPr>
          <w:rFonts w:ascii="Book Antiqua" w:hAnsi="Book Antiqua" w:cs="宋体"/>
          <w:b/>
          <w:bCs/>
          <w:kern w:val="0"/>
          <w:sz w:val="24"/>
          <w:szCs w:val="24"/>
          <w:lang w:eastAsia="zh-CN"/>
        </w:rPr>
        <w:t>Hey H</w:t>
      </w:r>
      <w:r w:rsidRPr="00981036">
        <w:rPr>
          <w:rFonts w:ascii="Book Antiqua" w:hAnsi="Book Antiqua" w:cs="宋体"/>
          <w:kern w:val="0"/>
          <w:sz w:val="24"/>
          <w:szCs w:val="24"/>
          <w:lang w:eastAsia="zh-CN"/>
        </w:rPr>
        <w:t xml:space="preserve">, Jørgensen F, Sørensen K, Hasselbalch H, Wamberg T. Oesophageal transit of six commonly used tablets and capsules. </w:t>
      </w:r>
      <w:r w:rsidRPr="00981036">
        <w:rPr>
          <w:rFonts w:ascii="Book Antiqua" w:hAnsi="Book Antiqua" w:cs="宋体"/>
          <w:i/>
          <w:iCs/>
          <w:kern w:val="0"/>
          <w:sz w:val="24"/>
          <w:szCs w:val="24"/>
          <w:lang w:eastAsia="zh-CN"/>
        </w:rPr>
        <w:t>Br Med J (Clin Res Ed)</w:t>
      </w:r>
      <w:r w:rsidRPr="00981036">
        <w:rPr>
          <w:rFonts w:ascii="Book Antiqua" w:hAnsi="Book Antiqua" w:cs="宋体"/>
          <w:kern w:val="0"/>
          <w:sz w:val="24"/>
          <w:szCs w:val="24"/>
          <w:lang w:eastAsia="zh-CN"/>
        </w:rPr>
        <w:t xml:space="preserve"> 1982; </w:t>
      </w:r>
      <w:r w:rsidRPr="00981036">
        <w:rPr>
          <w:rFonts w:ascii="Book Antiqua" w:hAnsi="Book Antiqua" w:cs="宋体"/>
          <w:b/>
          <w:bCs/>
          <w:kern w:val="0"/>
          <w:sz w:val="24"/>
          <w:szCs w:val="24"/>
          <w:lang w:eastAsia="zh-CN"/>
        </w:rPr>
        <w:t>285</w:t>
      </w:r>
      <w:r w:rsidRPr="00981036">
        <w:rPr>
          <w:rFonts w:ascii="Book Antiqua" w:hAnsi="Book Antiqua" w:cs="宋体"/>
          <w:kern w:val="0"/>
          <w:sz w:val="24"/>
          <w:szCs w:val="24"/>
          <w:lang w:eastAsia="zh-CN"/>
        </w:rPr>
        <w:t>: 1717-1719 [PMID: 6816343]</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19 </w:t>
      </w:r>
      <w:r w:rsidRPr="00981036">
        <w:rPr>
          <w:rFonts w:ascii="Book Antiqua" w:hAnsi="Book Antiqua" w:cs="宋体"/>
          <w:b/>
          <w:kern w:val="0"/>
          <w:sz w:val="24"/>
          <w:szCs w:val="24"/>
          <w:lang w:eastAsia="zh-CN"/>
        </w:rPr>
        <w:t>Kim GB</w:t>
      </w:r>
      <w:r w:rsidRPr="00981036">
        <w:rPr>
          <w:rFonts w:ascii="Book Antiqua" w:hAnsi="Book Antiqua" w:cs="宋体"/>
          <w:kern w:val="0"/>
          <w:sz w:val="24"/>
          <w:szCs w:val="24"/>
          <w:lang w:eastAsia="zh-CN"/>
        </w:rPr>
        <w:t xml:space="preserve">, Jeong JJ, Park S, Ko JE, Ko SH, Kang HM, Lee GS. A large symmetrical esophageal ulcer caused by thermal and compressive injury from a solid foodstuff known as 'Song-Pyen'. </w:t>
      </w:r>
      <w:r w:rsidRPr="00981036">
        <w:rPr>
          <w:rFonts w:ascii="Book Antiqua" w:hAnsi="Book Antiqua" w:cs="宋体"/>
          <w:i/>
          <w:kern w:val="0"/>
          <w:sz w:val="24"/>
          <w:szCs w:val="24"/>
          <w:lang w:eastAsia="zh-CN"/>
        </w:rPr>
        <w:t>Korean J Med</w:t>
      </w:r>
      <w:r w:rsidRPr="00981036">
        <w:rPr>
          <w:rFonts w:ascii="Book Antiqua" w:hAnsi="Book Antiqua" w:cs="宋体"/>
          <w:kern w:val="0"/>
          <w:sz w:val="24"/>
          <w:szCs w:val="24"/>
          <w:lang w:eastAsia="zh-CN"/>
        </w:rPr>
        <w:t xml:space="preserve"> 2012; </w:t>
      </w:r>
      <w:r w:rsidRPr="00981036">
        <w:rPr>
          <w:rFonts w:ascii="Book Antiqua" w:hAnsi="Book Antiqua" w:cs="宋体"/>
          <w:b/>
          <w:kern w:val="0"/>
          <w:sz w:val="24"/>
          <w:szCs w:val="24"/>
          <w:lang w:eastAsia="zh-CN"/>
        </w:rPr>
        <w:t>82</w:t>
      </w:r>
      <w:r w:rsidRPr="00981036">
        <w:rPr>
          <w:rFonts w:ascii="Book Antiqua" w:hAnsi="Book Antiqua" w:cs="宋体"/>
          <w:kern w:val="0"/>
          <w:sz w:val="24"/>
          <w:szCs w:val="24"/>
          <w:lang w:eastAsia="zh-CN"/>
        </w:rPr>
        <w:t>: 589-593</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20 </w:t>
      </w:r>
      <w:r w:rsidRPr="00981036">
        <w:rPr>
          <w:rFonts w:ascii="Book Antiqua" w:hAnsi="Book Antiqua" w:cs="宋体"/>
          <w:b/>
          <w:bCs/>
          <w:kern w:val="0"/>
          <w:sz w:val="24"/>
          <w:szCs w:val="24"/>
          <w:lang w:eastAsia="zh-CN"/>
        </w:rPr>
        <w:t>El-Serag HB</w:t>
      </w:r>
      <w:r w:rsidRPr="00981036">
        <w:rPr>
          <w:rFonts w:ascii="Book Antiqua" w:hAnsi="Book Antiqua" w:cs="宋体"/>
          <w:kern w:val="0"/>
          <w:sz w:val="24"/>
          <w:szCs w:val="24"/>
          <w:lang w:eastAsia="zh-CN"/>
        </w:rPr>
        <w:t xml:space="preserve">, Sonnenberg A. Association of esophagitis and esophageal strictures with diseases treated with nonsteroidal anti-inflammatory drugs. </w:t>
      </w:r>
      <w:r w:rsidRPr="00981036">
        <w:rPr>
          <w:rFonts w:ascii="Book Antiqua" w:hAnsi="Book Antiqua" w:cs="宋体"/>
          <w:i/>
          <w:iCs/>
          <w:kern w:val="0"/>
          <w:sz w:val="24"/>
          <w:szCs w:val="24"/>
          <w:lang w:eastAsia="zh-CN"/>
        </w:rPr>
        <w:t>Am J Gastroenterol</w:t>
      </w:r>
      <w:r w:rsidRPr="00981036">
        <w:rPr>
          <w:rFonts w:ascii="Book Antiqua" w:hAnsi="Book Antiqua" w:cs="宋体"/>
          <w:kern w:val="0"/>
          <w:sz w:val="24"/>
          <w:szCs w:val="24"/>
          <w:lang w:eastAsia="zh-CN"/>
        </w:rPr>
        <w:t xml:space="preserve"> 1997; </w:t>
      </w:r>
      <w:r w:rsidRPr="00981036">
        <w:rPr>
          <w:rFonts w:ascii="Book Antiqua" w:hAnsi="Book Antiqua" w:cs="宋体"/>
          <w:b/>
          <w:bCs/>
          <w:kern w:val="0"/>
          <w:sz w:val="24"/>
          <w:szCs w:val="24"/>
          <w:lang w:eastAsia="zh-CN"/>
        </w:rPr>
        <w:t>92</w:t>
      </w:r>
      <w:r w:rsidRPr="00981036">
        <w:rPr>
          <w:rFonts w:ascii="Book Antiqua" w:hAnsi="Book Antiqua" w:cs="宋体"/>
          <w:kern w:val="0"/>
          <w:sz w:val="24"/>
          <w:szCs w:val="24"/>
          <w:lang w:eastAsia="zh-CN"/>
        </w:rPr>
        <w:t>: 52-56 [PMID: 8995937]</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lastRenderedPageBreak/>
        <w:t xml:space="preserve">21 </w:t>
      </w:r>
      <w:r w:rsidRPr="00981036">
        <w:rPr>
          <w:rFonts w:ascii="Book Antiqua" w:hAnsi="Book Antiqua" w:cs="宋体"/>
          <w:b/>
          <w:bCs/>
          <w:kern w:val="0"/>
          <w:sz w:val="24"/>
          <w:szCs w:val="24"/>
          <w:lang w:eastAsia="zh-CN"/>
        </w:rPr>
        <w:t>Kirsch M</w:t>
      </w:r>
      <w:r w:rsidRPr="00981036">
        <w:rPr>
          <w:rFonts w:ascii="Book Antiqua" w:hAnsi="Book Antiqua" w:cs="宋体"/>
          <w:kern w:val="0"/>
          <w:sz w:val="24"/>
          <w:szCs w:val="24"/>
          <w:lang w:eastAsia="zh-CN"/>
        </w:rPr>
        <w:t xml:space="preserve">. Pill-induced esophageal obstruction: discovery of a peptic stricture. </w:t>
      </w:r>
      <w:r w:rsidRPr="00981036">
        <w:rPr>
          <w:rFonts w:ascii="Book Antiqua" w:hAnsi="Book Antiqua" w:cs="宋体"/>
          <w:i/>
          <w:iCs/>
          <w:kern w:val="0"/>
          <w:sz w:val="24"/>
          <w:szCs w:val="24"/>
          <w:lang w:eastAsia="zh-CN"/>
        </w:rPr>
        <w:t>South Med J</w:t>
      </w:r>
      <w:r w:rsidRPr="00981036">
        <w:rPr>
          <w:rFonts w:ascii="Book Antiqua" w:hAnsi="Book Antiqua" w:cs="宋体"/>
          <w:kern w:val="0"/>
          <w:sz w:val="24"/>
          <w:szCs w:val="24"/>
          <w:lang w:eastAsia="zh-CN"/>
        </w:rPr>
        <w:t xml:space="preserve"> 1997; </w:t>
      </w:r>
      <w:r w:rsidRPr="00981036">
        <w:rPr>
          <w:rFonts w:ascii="Book Antiqua" w:hAnsi="Book Antiqua" w:cs="宋体"/>
          <w:b/>
          <w:bCs/>
          <w:kern w:val="0"/>
          <w:sz w:val="24"/>
          <w:szCs w:val="24"/>
          <w:lang w:eastAsia="zh-CN"/>
        </w:rPr>
        <w:t>90</w:t>
      </w:r>
      <w:r w:rsidRPr="00981036">
        <w:rPr>
          <w:rFonts w:ascii="Book Antiqua" w:hAnsi="Book Antiqua" w:cs="宋体"/>
          <w:kern w:val="0"/>
          <w:sz w:val="24"/>
          <w:szCs w:val="24"/>
          <w:lang w:eastAsia="zh-CN"/>
        </w:rPr>
        <w:t>: 861-862 [PMID: 9258321]</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22 </w:t>
      </w:r>
      <w:r w:rsidRPr="00981036">
        <w:rPr>
          <w:rFonts w:ascii="Book Antiqua" w:hAnsi="Book Antiqua" w:cs="宋体"/>
          <w:b/>
          <w:bCs/>
          <w:kern w:val="0"/>
          <w:sz w:val="24"/>
          <w:szCs w:val="24"/>
          <w:lang w:eastAsia="zh-CN"/>
        </w:rPr>
        <w:t>Lin IT</w:t>
      </w:r>
      <w:r w:rsidRPr="00981036">
        <w:rPr>
          <w:rFonts w:ascii="Book Antiqua" w:hAnsi="Book Antiqua" w:cs="宋体"/>
          <w:kern w:val="0"/>
          <w:sz w:val="24"/>
          <w:szCs w:val="24"/>
          <w:lang w:eastAsia="zh-CN"/>
        </w:rPr>
        <w:t xml:space="preserve">, Bair MJ, Chen HL, Wu CH. Pill-related esophageal intramural hematoma and dissection. </w:t>
      </w:r>
      <w:r w:rsidRPr="00981036">
        <w:rPr>
          <w:rFonts w:ascii="Book Antiqua" w:hAnsi="Book Antiqua" w:cs="宋体"/>
          <w:i/>
          <w:iCs/>
          <w:kern w:val="0"/>
          <w:sz w:val="24"/>
          <w:szCs w:val="24"/>
          <w:lang w:eastAsia="zh-CN"/>
        </w:rPr>
        <w:t>Gastrointest Endosc</w:t>
      </w:r>
      <w:r w:rsidRPr="00981036">
        <w:rPr>
          <w:rFonts w:ascii="Book Antiqua" w:hAnsi="Book Antiqua" w:cs="宋体"/>
          <w:kern w:val="0"/>
          <w:sz w:val="24"/>
          <w:szCs w:val="24"/>
          <w:lang w:eastAsia="zh-CN"/>
        </w:rPr>
        <w:t xml:space="preserve"> 2010; </w:t>
      </w:r>
      <w:r w:rsidRPr="00981036">
        <w:rPr>
          <w:rFonts w:ascii="Book Antiqua" w:hAnsi="Book Antiqua" w:cs="宋体"/>
          <w:b/>
          <w:bCs/>
          <w:kern w:val="0"/>
          <w:sz w:val="24"/>
          <w:szCs w:val="24"/>
          <w:lang w:eastAsia="zh-CN"/>
        </w:rPr>
        <w:t>72</w:t>
      </w:r>
      <w:r w:rsidRPr="00981036">
        <w:rPr>
          <w:rFonts w:ascii="Book Antiqua" w:hAnsi="Book Antiqua" w:cs="宋体"/>
          <w:kern w:val="0"/>
          <w:sz w:val="24"/>
          <w:szCs w:val="24"/>
          <w:lang w:eastAsia="zh-CN"/>
        </w:rPr>
        <w:t>: 432-43; discussion 433 [PMID: 20538270 DOI: 10.1016/j.gie.2010.02.010]</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23 </w:t>
      </w:r>
      <w:r w:rsidRPr="00981036">
        <w:rPr>
          <w:rFonts w:ascii="Book Antiqua" w:hAnsi="Book Antiqua" w:cs="宋体"/>
          <w:b/>
          <w:bCs/>
          <w:kern w:val="0"/>
          <w:sz w:val="24"/>
          <w:szCs w:val="24"/>
          <w:lang w:eastAsia="zh-CN"/>
        </w:rPr>
        <w:t>Park HW</w:t>
      </w:r>
      <w:r w:rsidRPr="00981036">
        <w:rPr>
          <w:rFonts w:ascii="Book Antiqua" w:hAnsi="Book Antiqua" w:cs="宋体"/>
          <w:kern w:val="0"/>
          <w:sz w:val="24"/>
          <w:szCs w:val="24"/>
          <w:lang w:eastAsia="zh-CN"/>
        </w:rPr>
        <w:t xml:space="preserve">, Kim SJ, Park JW, Shin WG, Kim KH, Jang MK, Lee JH, Kim HY, Kim HS. Pill-related esophageal intramural dissection treated by an endoscopic procedure. </w:t>
      </w:r>
      <w:r w:rsidRPr="00981036">
        <w:rPr>
          <w:rFonts w:ascii="Book Antiqua" w:hAnsi="Book Antiqua" w:cs="宋体"/>
          <w:i/>
          <w:iCs/>
          <w:kern w:val="0"/>
          <w:sz w:val="24"/>
          <w:szCs w:val="24"/>
          <w:lang w:eastAsia="zh-CN"/>
        </w:rPr>
        <w:t>Gastrointest Endosc</w:t>
      </w:r>
      <w:r w:rsidRPr="00981036">
        <w:rPr>
          <w:rFonts w:ascii="Book Antiqua" w:hAnsi="Book Antiqua" w:cs="宋体"/>
          <w:kern w:val="0"/>
          <w:sz w:val="24"/>
          <w:szCs w:val="24"/>
          <w:lang w:eastAsia="zh-CN"/>
        </w:rPr>
        <w:t xml:space="preserve"> 2011; </w:t>
      </w:r>
      <w:r w:rsidRPr="00981036">
        <w:rPr>
          <w:rFonts w:ascii="Book Antiqua" w:hAnsi="Book Antiqua" w:cs="宋体"/>
          <w:b/>
          <w:bCs/>
          <w:kern w:val="0"/>
          <w:sz w:val="24"/>
          <w:szCs w:val="24"/>
          <w:lang w:eastAsia="zh-CN"/>
        </w:rPr>
        <w:t>74</w:t>
      </w:r>
      <w:r w:rsidRPr="00981036">
        <w:rPr>
          <w:rFonts w:ascii="Book Antiqua" w:hAnsi="Book Antiqua" w:cs="宋体"/>
          <w:kern w:val="0"/>
          <w:sz w:val="24"/>
          <w:szCs w:val="24"/>
          <w:lang w:eastAsia="zh-CN"/>
        </w:rPr>
        <w:t>: 1422-1424 [PMID: 22136787 DOI: 10.1016/j.gie.2010.12.010]</w:t>
      </w:r>
    </w:p>
    <w:p w:rsidR="006928BE" w:rsidRPr="00981036" w:rsidRDefault="006928BE" w:rsidP="008F2E0D">
      <w:pPr>
        <w:widowControl/>
        <w:wordWrap/>
        <w:autoSpaceDE/>
        <w:autoSpaceDN/>
        <w:spacing w:line="360" w:lineRule="auto"/>
        <w:rPr>
          <w:rFonts w:ascii="Book Antiqua" w:hAnsi="Book Antiqua" w:cs="宋体"/>
          <w:kern w:val="0"/>
          <w:sz w:val="24"/>
          <w:szCs w:val="24"/>
          <w:lang w:eastAsia="zh-CN"/>
        </w:rPr>
      </w:pPr>
      <w:r w:rsidRPr="00981036">
        <w:rPr>
          <w:rFonts w:ascii="Book Antiqua" w:hAnsi="Book Antiqua" w:cs="宋体"/>
          <w:kern w:val="0"/>
          <w:sz w:val="24"/>
          <w:szCs w:val="24"/>
          <w:lang w:eastAsia="zh-CN"/>
        </w:rPr>
        <w:t xml:space="preserve">24 </w:t>
      </w:r>
      <w:r w:rsidRPr="00981036">
        <w:rPr>
          <w:rFonts w:ascii="Book Antiqua" w:hAnsi="Book Antiqua" w:cs="宋体"/>
          <w:b/>
          <w:bCs/>
          <w:kern w:val="0"/>
          <w:sz w:val="24"/>
          <w:szCs w:val="24"/>
          <w:lang w:eastAsia="zh-CN"/>
        </w:rPr>
        <w:t>Chen Z</w:t>
      </w:r>
      <w:r w:rsidRPr="00981036">
        <w:rPr>
          <w:rFonts w:ascii="Book Antiqua" w:hAnsi="Book Antiqua" w:cs="宋体"/>
          <w:kern w:val="0"/>
          <w:sz w:val="24"/>
          <w:szCs w:val="24"/>
          <w:lang w:eastAsia="zh-CN"/>
        </w:rPr>
        <w:t xml:space="preserve">, Scudiere JR, Montgomery E. Medication-induced upper gastrointestinal tract injury. </w:t>
      </w:r>
      <w:r w:rsidRPr="00981036">
        <w:rPr>
          <w:rFonts w:ascii="Book Antiqua" w:hAnsi="Book Antiqua" w:cs="宋体"/>
          <w:i/>
          <w:iCs/>
          <w:kern w:val="0"/>
          <w:sz w:val="24"/>
          <w:szCs w:val="24"/>
          <w:lang w:eastAsia="zh-CN"/>
        </w:rPr>
        <w:t>J Clin Pathol</w:t>
      </w:r>
      <w:r w:rsidRPr="00981036">
        <w:rPr>
          <w:rFonts w:ascii="Book Antiqua" w:hAnsi="Book Antiqua" w:cs="宋体"/>
          <w:kern w:val="0"/>
          <w:sz w:val="24"/>
          <w:szCs w:val="24"/>
          <w:lang w:eastAsia="zh-CN"/>
        </w:rPr>
        <w:t xml:space="preserve"> 2009; </w:t>
      </w:r>
      <w:r w:rsidRPr="00981036">
        <w:rPr>
          <w:rFonts w:ascii="Book Antiqua" w:hAnsi="Book Antiqua" w:cs="宋体"/>
          <w:b/>
          <w:bCs/>
          <w:kern w:val="0"/>
          <w:sz w:val="24"/>
          <w:szCs w:val="24"/>
          <w:lang w:eastAsia="zh-CN"/>
        </w:rPr>
        <w:t>62</w:t>
      </w:r>
      <w:r w:rsidRPr="00981036">
        <w:rPr>
          <w:rFonts w:ascii="Book Antiqua" w:hAnsi="Book Antiqua" w:cs="宋体"/>
          <w:kern w:val="0"/>
          <w:sz w:val="24"/>
          <w:szCs w:val="24"/>
          <w:lang w:eastAsia="zh-CN"/>
        </w:rPr>
        <w:t>: 113-119 [PMID: 18952693 DOI: 10.1136/jcp.2008.058263]</w:t>
      </w:r>
    </w:p>
    <w:p w:rsidR="006928BE" w:rsidRPr="00655B40" w:rsidRDefault="006928BE" w:rsidP="00FB5EFB">
      <w:pPr>
        <w:pStyle w:val="ad"/>
        <w:wordWrap w:val="0"/>
        <w:spacing w:line="360" w:lineRule="auto"/>
        <w:ind w:left="360" w:right="120" w:firstLineChars="0" w:firstLine="0"/>
        <w:jc w:val="right"/>
        <w:rPr>
          <w:rFonts w:ascii="Book Antiqua" w:hAnsi="Book Antiqua" w:cs="Times New Roman"/>
          <w:szCs w:val="24"/>
          <w:lang w:val="en-US"/>
        </w:rPr>
      </w:pPr>
      <w:r w:rsidRPr="00655B40">
        <w:rPr>
          <w:rStyle w:val="ac"/>
          <w:rFonts w:ascii="Book Antiqua" w:hAnsi="Book Antiqua" w:cs="Arial"/>
          <w:color w:val="000000"/>
          <w:szCs w:val="24"/>
          <w:lang w:val="en-US"/>
        </w:rPr>
        <w:t>P-Reviewers</w:t>
      </w:r>
      <w:r w:rsidRPr="00655B40">
        <w:rPr>
          <w:rStyle w:val="ac"/>
          <w:rFonts w:ascii="Book Antiqua" w:hAnsi="Book Antiqua" w:cs="Arial"/>
          <w:color w:val="000000"/>
          <w:szCs w:val="24"/>
          <w:lang w:val="en-US" w:eastAsia="zh-CN"/>
        </w:rPr>
        <w:t>:</w:t>
      </w:r>
      <w:r w:rsidRPr="00655B40">
        <w:rPr>
          <w:rFonts w:ascii="Book Antiqua" w:hAnsi="Book Antiqua"/>
          <w:bCs/>
          <w:color w:val="000000"/>
          <w:szCs w:val="24"/>
          <w:lang w:val="en-US"/>
        </w:rPr>
        <w:t xml:space="preserve"> </w:t>
      </w:r>
      <w:r w:rsidRPr="00B81CE5">
        <w:rPr>
          <w:rFonts w:ascii="Book Antiqua" w:hAnsi="Book Antiqua"/>
          <w:bCs/>
          <w:color w:val="000000"/>
          <w:szCs w:val="24"/>
          <w:lang w:val="en-US"/>
        </w:rPr>
        <w:t>Hashimoto</w:t>
      </w:r>
      <w:r>
        <w:rPr>
          <w:rFonts w:ascii="Book Antiqua" w:hAnsi="Book Antiqua"/>
          <w:bCs/>
          <w:color w:val="000000"/>
          <w:szCs w:val="24"/>
          <w:lang w:val="en-US"/>
        </w:rPr>
        <w:t xml:space="preserve"> N</w:t>
      </w:r>
      <w:r w:rsidRPr="00655B40">
        <w:rPr>
          <w:rFonts w:ascii="Book Antiqua" w:hAnsi="Book Antiqua"/>
          <w:bCs/>
          <w:color w:val="000000"/>
          <w:szCs w:val="24"/>
          <w:lang w:val="en-US" w:eastAsia="zh-CN"/>
        </w:rPr>
        <w:t xml:space="preserve"> </w:t>
      </w:r>
      <w:r w:rsidRPr="00655B40">
        <w:rPr>
          <w:rFonts w:ascii="Book Antiqua" w:hAnsi="Book Antiqua"/>
          <w:bCs/>
          <w:color w:val="000000"/>
          <w:szCs w:val="24"/>
          <w:lang w:val="en-US"/>
        </w:rPr>
        <w:t xml:space="preserve"> </w:t>
      </w:r>
      <w:r w:rsidRPr="00655B40">
        <w:rPr>
          <w:rFonts w:ascii="Book Antiqua" w:hAnsi="Book Antiqua"/>
          <w:b/>
          <w:bCs/>
          <w:color w:val="000000"/>
          <w:szCs w:val="24"/>
          <w:lang w:val="en-US"/>
        </w:rPr>
        <w:t>S-Editor</w:t>
      </w:r>
      <w:r w:rsidRPr="00655B40">
        <w:rPr>
          <w:rFonts w:ascii="Book Antiqua" w:hAnsi="Book Antiqua"/>
          <w:b/>
          <w:bCs/>
          <w:color w:val="000000"/>
          <w:szCs w:val="24"/>
          <w:lang w:val="en-US" w:eastAsia="zh-CN"/>
        </w:rPr>
        <w:t>:</w:t>
      </w:r>
      <w:r w:rsidRPr="00655B40">
        <w:rPr>
          <w:rFonts w:ascii="Book Antiqua" w:hAnsi="Book Antiqua"/>
          <w:bCs/>
          <w:color w:val="000000"/>
          <w:szCs w:val="24"/>
          <w:lang w:val="en-US"/>
        </w:rPr>
        <w:t xml:space="preserve"> </w:t>
      </w:r>
      <w:r w:rsidRPr="00655B40">
        <w:rPr>
          <w:rFonts w:ascii="Book Antiqua" w:hAnsi="Book Antiqua"/>
          <w:bCs/>
          <w:color w:val="000000"/>
          <w:szCs w:val="24"/>
          <w:lang w:val="en-US" w:eastAsia="zh-CN"/>
        </w:rPr>
        <w:t>Ding Y</w:t>
      </w:r>
      <w:r w:rsidRPr="00655B40">
        <w:rPr>
          <w:rFonts w:ascii="Book Antiqua" w:hAnsi="Book Antiqua"/>
          <w:b/>
          <w:bCs/>
          <w:color w:val="000000"/>
          <w:szCs w:val="24"/>
          <w:lang w:val="en-US"/>
        </w:rPr>
        <w:t xml:space="preserve">   L-Editor</w:t>
      </w:r>
      <w:r w:rsidRPr="00655B40">
        <w:rPr>
          <w:rFonts w:ascii="Book Antiqua" w:hAnsi="Book Antiqua"/>
          <w:b/>
          <w:bCs/>
          <w:color w:val="000000"/>
          <w:szCs w:val="24"/>
          <w:lang w:val="en-US" w:eastAsia="zh-CN"/>
        </w:rPr>
        <w:t>:</w:t>
      </w:r>
      <w:r w:rsidRPr="00655B40">
        <w:rPr>
          <w:rFonts w:ascii="Book Antiqua" w:hAnsi="Book Antiqua"/>
          <w:b/>
          <w:bCs/>
          <w:color w:val="000000"/>
          <w:szCs w:val="24"/>
          <w:lang w:val="en-US"/>
        </w:rPr>
        <w:t xml:space="preserve">   E-Editor</w:t>
      </w:r>
      <w:r w:rsidRPr="00655B40">
        <w:rPr>
          <w:rFonts w:ascii="Book Antiqua" w:hAnsi="Book Antiqua"/>
          <w:b/>
          <w:bCs/>
          <w:color w:val="000000"/>
          <w:szCs w:val="24"/>
          <w:lang w:val="en-US" w:eastAsia="zh-CN"/>
        </w:rPr>
        <w: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655B40">
        <w:rPr>
          <w:rFonts w:ascii="Book Antiqua" w:hAnsi="Book Antiqua" w:cs="Times New Roman"/>
          <w:szCs w:val="24"/>
          <w:lang w:val="en-US"/>
        </w:rPr>
        <w:fldChar w:fldCharType="begin"/>
      </w:r>
      <w:r w:rsidRPr="00655B40">
        <w:rPr>
          <w:rFonts w:ascii="Book Antiqua" w:hAnsi="Book Antiqua" w:cs="Times New Roman"/>
          <w:szCs w:val="24"/>
          <w:lang w:val="en-US"/>
        </w:rPr>
        <w:instrText xml:space="preserve"> ADDIN </w:instrText>
      </w:r>
      <w:r w:rsidRPr="00655B40">
        <w:rPr>
          <w:rFonts w:ascii="Book Antiqua" w:hAnsi="Book Antiqua" w:cs="Times New Roman"/>
          <w:szCs w:val="24"/>
          <w:lang w:val="en-US"/>
        </w:rPr>
        <w:fldChar w:fldCharType="end"/>
      </w:r>
    </w:p>
    <w:p w:rsidR="006928BE" w:rsidRPr="00981036" w:rsidRDefault="006928BE" w:rsidP="008F2E0D">
      <w:pPr>
        <w:spacing w:line="360" w:lineRule="auto"/>
        <w:rPr>
          <w:rFonts w:ascii="Book Antiqua" w:hAnsi="Book Antiqua"/>
          <w:sz w:val="24"/>
          <w:szCs w:val="24"/>
        </w:rPr>
      </w:pPr>
      <w:r w:rsidRPr="00981036">
        <w:rPr>
          <w:rFonts w:ascii="Book Antiqua" w:hAnsi="Book Antiqua"/>
          <w:sz w:val="24"/>
          <w:szCs w:val="24"/>
        </w:rPr>
        <w:br w:type="page"/>
      </w:r>
    </w:p>
    <w:tbl>
      <w:tblPr>
        <w:tblW w:w="8282" w:type="dxa"/>
        <w:tblInd w:w="84" w:type="dxa"/>
        <w:tblCellMar>
          <w:left w:w="99" w:type="dxa"/>
          <w:right w:w="99" w:type="dxa"/>
        </w:tblCellMar>
        <w:tblLook w:val="00A0" w:firstRow="1" w:lastRow="0" w:firstColumn="1" w:lastColumn="0" w:noHBand="0" w:noVBand="0"/>
      </w:tblPr>
      <w:tblGrid>
        <w:gridCol w:w="204"/>
        <w:gridCol w:w="3174"/>
        <w:gridCol w:w="2343"/>
        <w:gridCol w:w="2153"/>
        <w:gridCol w:w="204"/>
        <w:gridCol w:w="204"/>
      </w:tblGrid>
      <w:tr w:rsidR="006928BE" w:rsidRPr="005D5BA6" w:rsidTr="00030F67">
        <w:trPr>
          <w:trHeight w:val="330"/>
        </w:trPr>
        <w:tc>
          <w:tcPr>
            <w:tcW w:w="8282" w:type="dxa"/>
            <w:gridSpan w:val="6"/>
            <w:tcBorders>
              <w:top w:val="nil"/>
              <w:left w:val="nil"/>
              <w:bottom w:val="nil"/>
              <w:right w:val="nil"/>
            </w:tcBorders>
            <w:noWrap/>
            <w:vAlign w:val="center"/>
          </w:tcPr>
          <w:p w:rsidR="006928BE" w:rsidRPr="00CE6BCD" w:rsidRDefault="006928BE" w:rsidP="008F2E0D">
            <w:pPr>
              <w:widowControl/>
              <w:wordWrap/>
              <w:autoSpaceDE/>
              <w:autoSpaceDN/>
              <w:spacing w:line="360" w:lineRule="auto"/>
              <w:rPr>
                <w:rFonts w:ascii="Book Antiqua" w:eastAsia="Malgun Gothic" w:hAnsi="Book Antiqua"/>
                <w:b/>
                <w:kern w:val="0"/>
                <w:sz w:val="24"/>
                <w:szCs w:val="24"/>
              </w:rPr>
            </w:pPr>
            <w:r w:rsidRPr="00CE6BCD">
              <w:rPr>
                <w:rFonts w:ascii="Book Antiqua" w:eastAsia="Malgun Gothic" w:hAnsi="Book Antiqua"/>
                <w:b/>
                <w:kern w:val="0"/>
                <w:sz w:val="24"/>
                <w:szCs w:val="24"/>
              </w:rPr>
              <w:t>Table 1</w:t>
            </w:r>
            <w:r w:rsidRPr="005D5BA6">
              <w:rPr>
                <w:rFonts w:ascii="Book Antiqua" w:hAnsi="Book Antiqua"/>
                <w:b/>
                <w:kern w:val="0"/>
                <w:sz w:val="24"/>
                <w:szCs w:val="24"/>
                <w:lang w:eastAsia="zh-CN"/>
              </w:rPr>
              <w:t xml:space="preserve">  </w:t>
            </w:r>
            <w:r w:rsidRPr="00CE6BCD">
              <w:rPr>
                <w:rFonts w:ascii="Book Antiqua" w:eastAsia="Malgun Gothic" w:hAnsi="Book Antiqua"/>
                <w:b/>
                <w:kern w:val="0"/>
                <w:sz w:val="24"/>
                <w:szCs w:val="24"/>
              </w:rPr>
              <w:t>Demographic features and clinical symptoms of patients diagnosed with drug-induced esophagitis</w:t>
            </w:r>
            <w:r w:rsidRPr="005D5BA6">
              <w:rPr>
                <w:rFonts w:ascii="Book Antiqua" w:hAnsi="Book Antiqua"/>
                <w:i/>
                <w:kern w:val="0"/>
                <w:sz w:val="24"/>
                <w:szCs w:val="24"/>
                <w:lang w:eastAsia="zh-CN"/>
              </w:rPr>
              <w:t xml:space="preserve"> </w:t>
            </w:r>
            <w:r w:rsidRPr="00FB5EFB">
              <w:rPr>
                <w:rFonts w:ascii="Book Antiqua" w:hAnsi="Book Antiqua"/>
                <w:b/>
                <w:i/>
                <w:kern w:val="0"/>
                <w:sz w:val="24"/>
                <w:szCs w:val="24"/>
                <w:lang w:eastAsia="zh-CN"/>
              </w:rPr>
              <w:t>n</w:t>
            </w:r>
            <w:r w:rsidRPr="00FB5EFB">
              <w:rPr>
                <w:rFonts w:ascii="Book Antiqua" w:eastAsia="Malgun Gothic" w:hAnsi="Book Antiqua"/>
                <w:b/>
                <w:kern w:val="0"/>
                <w:sz w:val="24"/>
                <w:szCs w:val="24"/>
              </w:rPr>
              <w:t xml:space="preserve"> (%)</w:t>
            </w: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7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343"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153"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74" w:type="dxa"/>
            <w:tcBorders>
              <w:top w:val="single" w:sz="4" w:space="0" w:color="auto"/>
              <w:left w:val="nil"/>
              <w:bottom w:val="single" w:sz="4" w:space="0" w:color="auto"/>
              <w:right w:val="nil"/>
            </w:tcBorders>
            <w:noWrap/>
            <w:vAlign w:val="center"/>
          </w:tcPr>
          <w:p w:rsidR="006928BE" w:rsidRPr="00CE6BCD" w:rsidRDefault="006928BE" w:rsidP="008F2E0D">
            <w:pPr>
              <w:widowControl/>
              <w:wordWrap/>
              <w:autoSpaceDE/>
              <w:autoSpaceDN/>
              <w:spacing w:line="360" w:lineRule="auto"/>
              <w:rPr>
                <w:rFonts w:ascii="Book Antiqua" w:eastAsia="Malgun Gothic" w:hAnsi="Book Antiqua"/>
                <w:b/>
                <w:kern w:val="0"/>
                <w:sz w:val="24"/>
                <w:szCs w:val="24"/>
              </w:rPr>
            </w:pPr>
            <w:r w:rsidRPr="00CE6BCD">
              <w:rPr>
                <w:rFonts w:ascii="Book Antiqua" w:eastAsia="Malgun Gothic" w:hAnsi="Book Antiqua"/>
                <w:b/>
                <w:kern w:val="0"/>
                <w:sz w:val="24"/>
                <w:szCs w:val="24"/>
              </w:rPr>
              <w:t xml:space="preserve">Age(yr) </w:t>
            </w:r>
          </w:p>
        </w:tc>
        <w:tc>
          <w:tcPr>
            <w:tcW w:w="2343" w:type="dxa"/>
            <w:tcBorders>
              <w:top w:val="single" w:sz="4" w:space="0" w:color="auto"/>
              <w:left w:val="nil"/>
              <w:bottom w:val="single" w:sz="4" w:space="0" w:color="auto"/>
              <w:right w:val="nil"/>
            </w:tcBorders>
            <w:noWrap/>
            <w:vAlign w:val="center"/>
          </w:tcPr>
          <w:p w:rsidR="006928BE" w:rsidRPr="00CE6BCD" w:rsidRDefault="006928BE" w:rsidP="008F2E0D">
            <w:pPr>
              <w:widowControl/>
              <w:wordWrap/>
              <w:autoSpaceDE/>
              <w:autoSpaceDN/>
              <w:spacing w:line="360" w:lineRule="auto"/>
              <w:rPr>
                <w:rFonts w:ascii="Book Antiqua" w:eastAsia="Malgun Gothic" w:hAnsi="Book Antiqua"/>
                <w:b/>
                <w:kern w:val="0"/>
                <w:sz w:val="24"/>
                <w:szCs w:val="24"/>
              </w:rPr>
            </w:pPr>
            <w:r w:rsidRPr="00CE6BCD">
              <w:rPr>
                <w:rFonts w:ascii="Book Antiqua" w:eastAsia="Malgun Gothic" w:hAnsi="Book Antiqua"/>
                <w:b/>
                <w:kern w:val="0"/>
                <w:sz w:val="24"/>
                <w:szCs w:val="24"/>
              </w:rPr>
              <w:t>mean ± SD</w:t>
            </w:r>
          </w:p>
        </w:tc>
        <w:tc>
          <w:tcPr>
            <w:tcW w:w="2153" w:type="dxa"/>
            <w:tcBorders>
              <w:top w:val="single" w:sz="4" w:space="0" w:color="auto"/>
              <w:left w:val="nil"/>
              <w:bottom w:val="single" w:sz="4" w:space="0" w:color="auto"/>
              <w:right w:val="nil"/>
            </w:tcBorders>
            <w:noWrap/>
            <w:vAlign w:val="center"/>
          </w:tcPr>
          <w:p w:rsidR="006928BE" w:rsidRPr="00CE6BCD" w:rsidRDefault="006928BE" w:rsidP="008F2E0D">
            <w:pPr>
              <w:widowControl/>
              <w:wordWrap/>
              <w:autoSpaceDE/>
              <w:autoSpaceDN/>
              <w:spacing w:line="360" w:lineRule="auto"/>
              <w:rPr>
                <w:rFonts w:ascii="Book Antiqua" w:eastAsia="Malgun Gothic" w:hAnsi="Book Antiqua"/>
                <w:b/>
                <w:kern w:val="0"/>
                <w:sz w:val="24"/>
                <w:szCs w:val="24"/>
              </w:rPr>
            </w:pPr>
            <w:r w:rsidRPr="00CE6BCD">
              <w:rPr>
                <w:rFonts w:ascii="Book Antiqua" w:eastAsia="Malgun Gothic" w:hAnsi="Book Antiqua"/>
                <w:b/>
                <w:kern w:val="0"/>
                <w:sz w:val="24"/>
                <w:szCs w:val="24"/>
              </w:rPr>
              <w:t>43.9 ± 18.9</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74"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Sex</w:t>
            </w:r>
          </w:p>
        </w:tc>
        <w:tc>
          <w:tcPr>
            <w:tcW w:w="2343"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M</w:t>
            </w:r>
            <w:r w:rsidRPr="00981036">
              <w:rPr>
                <w:rFonts w:ascii="Book Antiqua" w:eastAsia="Malgun Gothic" w:hAnsi="Book Antiqua"/>
                <w:kern w:val="0"/>
                <w:sz w:val="24"/>
                <w:szCs w:val="24"/>
              </w:rPr>
              <w:t>ale/female</w:t>
            </w:r>
          </w:p>
        </w:tc>
        <w:tc>
          <w:tcPr>
            <w:tcW w:w="2153"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28/50</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7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Symptom</w:t>
            </w:r>
          </w:p>
        </w:tc>
        <w:tc>
          <w:tcPr>
            <w:tcW w:w="2343"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C</w:t>
            </w:r>
            <w:r w:rsidRPr="00981036">
              <w:rPr>
                <w:rFonts w:ascii="Book Antiqua" w:eastAsia="Malgun Gothic" w:hAnsi="Book Antiqua"/>
                <w:kern w:val="0"/>
                <w:sz w:val="24"/>
                <w:szCs w:val="24"/>
              </w:rPr>
              <w:t>hest pain</w:t>
            </w:r>
          </w:p>
        </w:tc>
        <w:tc>
          <w:tcPr>
            <w:tcW w:w="2153"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56 (71.8)</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7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343"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O</w:t>
            </w:r>
            <w:r w:rsidRPr="00981036">
              <w:rPr>
                <w:rFonts w:ascii="Book Antiqua" w:eastAsia="Malgun Gothic" w:hAnsi="Book Antiqua"/>
                <w:kern w:val="0"/>
                <w:sz w:val="24"/>
                <w:szCs w:val="24"/>
              </w:rPr>
              <w:t>dynophagia</w:t>
            </w:r>
          </w:p>
        </w:tc>
        <w:tc>
          <w:tcPr>
            <w:tcW w:w="2153"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30 (38.5)</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7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343"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D</w:t>
            </w:r>
            <w:r w:rsidRPr="00981036">
              <w:rPr>
                <w:rFonts w:ascii="Book Antiqua" w:eastAsia="Malgun Gothic" w:hAnsi="Book Antiqua"/>
                <w:kern w:val="0"/>
                <w:sz w:val="24"/>
                <w:szCs w:val="24"/>
              </w:rPr>
              <w:t>ysphagia</w:t>
            </w:r>
          </w:p>
        </w:tc>
        <w:tc>
          <w:tcPr>
            <w:tcW w:w="2153"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23 (29.5)</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7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343"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V</w:t>
            </w:r>
            <w:r w:rsidRPr="00981036">
              <w:rPr>
                <w:rFonts w:ascii="Book Antiqua" w:eastAsia="Malgun Gothic" w:hAnsi="Book Antiqua"/>
                <w:kern w:val="0"/>
                <w:sz w:val="24"/>
                <w:szCs w:val="24"/>
              </w:rPr>
              <w:t>omiting</w:t>
            </w:r>
          </w:p>
        </w:tc>
        <w:tc>
          <w:tcPr>
            <w:tcW w:w="2153"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6 (7.7)</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74"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hint="eastAsia"/>
                <w:kern w:val="0"/>
                <w:sz w:val="24"/>
                <w:szCs w:val="24"/>
              </w:rPr>
              <w:t xml:space="preserve">　</w:t>
            </w:r>
          </w:p>
        </w:tc>
        <w:tc>
          <w:tcPr>
            <w:tcW w:w="2343"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M</w:t>
            </w:r>
            <w:r w:rsidRPr="00981036">
              <w:rPr>
                <w:rFonts w:ascii="Book Antiqua" w:eastAsia="Malgun Gothic" w:hAnsi="Book Antiqua"/>
                <w:kern w:val="0"/>
                <w:sz w:val="24"/>
                <w:szCs w:val="24"/>
              </w:rPr>
              <w:t>elena</w:t>
            </w:r>
          </w:p>
        </w:tc>
        <w:tc>
          <w:tcPr>
            <w:tcW w:w="2153"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2 (2.6)</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7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343"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153"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5517" w:type="dxa"/>
            <w:gridSpan w:val="2"/>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153"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bl>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Default="006928BE" w:rsidP="008F2E0D">
      <w:pPr>
        <w:widowControl/>
        <w:wordWrap/>
        <w:autoSpaceDE/>
        <w:autoSpaceDN/>
        <w:spacing w:after="200" w:line="276" w:lineRule="auto"/>
        <w:rPr>
          <w:rFonts w:ascii="Book Antiqua" w:hAnsi="Book Antiqua"/>
          <w:sz w:val="24"/>
          <w:szCs w:val="24"/>
        </w:rPr>
      </w:pPr>
      <w:r>
        <w:rPr>
          <w:rFonts w:ascii="Book Antiqua" w:hAnsi="Book Antiqua"/>
          <w:sz w:val="24"/>
          <w:szCs w:val="24"/>
        </w:rPr>
        <w:br w:type="page"/>
      </w:r>
    </w:p>
    <w:p w:rsidR="006928BE" w:rsidRPr="00981036" w:rsidRDefault="006928BE" w:rsidP="008F2E0D">
      <w:pPr>
        <w:wordWrap/>
        <w:spacing w:line="360" w:lineRule="auto"/>
        <w:rPr>
          <w:rFonts w:ascii="Book Antiqua" w:hAnsi="Book Antiqua"/>
          <w:sz w:val="24"/>
          <w:szCs w:val="24"/>
        </w:rPr>
      </w:pPr>
    </w:p>
    <w:tbl>
      <w:tblPr>
        <w:tblW w:w="7260" w:type="dxa"/>
        <w:tblInd w:w="84" w:type="dxa"/>
        <w:tblCellMar>
          <w:left w:w="99" w:type="dxa"/>
          <w:right w:w="99" w:type="dxa"/>
        </w:tblCellMar>
        <w:tblLook w:val="00A0" w:firstRow="1" w:lastRow="0" w:firstColumn="1" w:lastColumn="0" w:noHBand="0" w:noVBand="0"/>
      </w:tblPr>
      <w:tblGrid>
        <w:gridCol w:w="204"/>
        <w:gridCol w:w="1878"/>
        <w:gridCol w:w="2189"/>
        <w:gridCol w:w="2980"/>
        <w:gridCol w:w="204"/>
        <w:gridCol w:w="204"/>
      </w:tblGrid>
      <w:tr w:rsidR="006928BE" w:rsidRPr="005D5BA6" w:rsidTr="00030F67">
        <w:trPr>
          <w:trHeight w:val="330"/>
        </w:trPr>
        <w:tc>
          <w:tcPr>
            <w:tcW w:w="7260" w:type="dxa"/>
            <w:gridSpan w:val="6"/>
            <w:tcBorders>
              <w:top w:val="nil"/>
              <w:left w:val="nil"/>
              <w:bottom w:val="nil"/>
              <w:right w:val="nil"/>
            </w:tcBorders>
            <w:noWrap/>
            <w:vAlign w:val="center"/>
          </w:tcPr>
          <w:p w:rsidR="006928BE" w:rsidRPr="00CE6BCD" w:rsidRDefault="006928BE" w:rsidP="008F2E0D">
            <w:pPr>
              <w:widowControl/>
              <w:wordWrap/>
              <w:autoSpaceDE/>
              <w:autoSpaceDN/>
              <w:spacing w:line="360" w:lineRule="auto"/>
              <w:rPr>
                <w:rFonts w:ascii="Book Antiqua" w:eastAsia="Malgun Gothic" w:hAnsi="Book Antiqua"/>
                <w:b/>
                <w:kern w:val="0"/>
                <w:sz w:val="24"/>
                <w:szCs w:val="24"/>
              </w:rPr>
            </w:pPr>
            <w:r w:rsidRPr="00CE6BCD">
              <w:rPr>
                <w:rFonts w:ascii="Book Antiqua" w:eastAsia="Malgun Gothic" w:hAnsi="Book Antiqua"/>
                <w:b/>
                <w:kern w:val="0"/>
                <w:sz w:val="24"/>
                <w:szCs w:val="24"/>
              </w:rPr>
              <w:t>Table 2</w:t>
            </w:r>
            <w:r w:rsidRPr="005D5BA6">
              <w:rPr>
                <w:rFonts w:ascii="Book Antiqua" w:hAnsi="Book Antiqua"/>
                <w:b/>
                <w:kern w:val="0"/>
                <w:sz w:val="24"/>
                <w:szCs w:val="24"/>
                <w:lang w:eastAsia="zh-CN"/>
              </w:rPr>
              <w:t xml:space="preserve">  </w:t>
            </w:r>
            <w:r w:rsidRPr="00CE6BCD">
              <w:rPr>
                <w:rFonts w:ascii="Book Antiqua" w:eastAsia="Malgun Gothic" w:hAnsi="Book Antiqua"/>
                <w:b/>
                <w:kern w:val="0"/>
                <w:sz w:val="24"/>
                <w:szCs w:val="24"/>
              </w:rPr>
              <w:t>Endoscopic features of patients diagnosed with drug-induced esophagitis</w:t>
            </w:r>
          </w:p>
        </w:tc>
      </w:tr>
      <w:tr w:rsidR="006928BE" w:rsidRPr="005D5BA6" w:rsidTr="00030F67">
        <w:trPr>
          <w:trHeight w:val="330"/>
        </w:trPr>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7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189"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9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78" w:type="dxa"/>
            <w:tcBorders>
              <w:top w:val="single" w:sz="4" w:space="0" w:color="auto"/>
              <w:left w:val="nil"/>
              <w:bottom w:val="single" w:sz="4" w:space="0" w:color="auto"/>
              <w:right w:val="nil"/>
            </w:tcBorders>
            <w:noWrap/>
            <w:vAlign w:val="center"/>
          </w:tcPr>
          <w:p w:rsidR="006928BE" w:rsidRPr="00CE6BCD" w:rsidRDefault="006928BE" w:rsidP="008F2E0D">
            <w:pPr>
              <w:widowControl/>
              <w:wordWrap/>
              <w:autoSpaceDE/>
              <w:autoSpaceDN/>
              <w:spacing w:line="360" w:lineRule="auto"/>
              <w:rPr>
                <w:rFonts w:ascii="Book Antiqua" w:eastAsia="Malgun Gothic" w:hAnsi="Book Antiqua"/>
                <w:b/>
                <w:kern w:val="0"/>
                <w:sz w:val="24"/>
                <w:szCs w:val="24"/>
              </w:rPr>
            </w:pPr>
            <w:r w:rsidRPr="00CE6BCD">
              <w:rPr>
                <w:rFonts w:ascii="Book Antiqua" w:eastAsia="Malgun Gothic" w:hAnsi="Book Antiqua"/>
                <w:b/>
                <w:kern w:val="0"/>
                <w:sz w:val="24"/>
                <w:szCs w:val="24"/>
              </w:rPr>
              <w:t>Feature</w:t>
            </w:r>
          </w:p>
        </w:tc>
        <w:tc>
          <w:tcPr>
            <w:tcW w:w="2189" w:type="dxa"/>
            <w:tcBorders>
              <w:top w:val="single" w:sz="4" w:space="0" w:color="auto"/>
              <w:left w:val="nil"/>
              <w:bottom w:val="single" w:sz="4" w:space="0" w:color="auto"/>
              <w:right w:val="nil"/>
            </w:tcBorders>
            <w:noWrap/>
            <w:vAlign w:val="center"/>
          </w:tcPr>
          <w:p w:rsidR="006928BE" w:rsidRPr="00CE6BCD" w:rsidRDefault="006928BE" w:rsidP="008F2E0D">
            <w:pPr>
              <w:widowControl/>
              <w:wordWrap/>
              <w:autoSpaceDE/>
              <w:autoSpaceDN/>
              <w:spacing w:line="360" w:lineRule="auto"/>
              <w:rPr>
                <w:rFonts w:ascii="Book Antiqua" w:eastAsia="Malgun Gothic" w:hAnsi="Book Antiqua"/>
                <w:b/>
                <w:kern w:val="0"/>
                <w:sz w:val="24"/>
                <w:szCs w:val="24"/>
              </w:rPr>
            </w:pPr>
            <w:r w:rsidRPr="00CE6BCD">
              <w:rPr>
                <w:rFonts w:ascii="Book Antiqua" w:eastAsia="Malgun Gothic" w:hAnsi="Book Antiqua" w:hint="eastAsia"/>
                <w:b/>
                <w:kern w:val="0"/>
                <w:sz w:val="24"/>
                <w:szCs w:val="24"/>
              </w:rPr>
              <w:t xml:space="preserve">　</w:t>
            </w:r>
          </w:p>
        </w:tc>
        <w:tc>
          <w:tcPr>
            <w:tcW w:w="2980" w:type="dxa"/>
            <w:tcBorders>
              <w:top w:val="single" w:sz="4" w:space="0" w:color="auto"/>
              <w:left w:val="nil"/>
              <w:bottom w:val="single" w:sz="4" w:space="0" w:color="auto"/>
              <w:right w:val="nil"/>
            </w:tcBorders>
            <w:noWrap/>
            <w:vAlign w:val="center"/>
          </w:tcPr>
          <w:p w:rsidR="006928BE" w:rsidRPr="00CE6BCD" w:rsidRDefault="006928BE" w:rsidP="008F2E0D">
            <w:pPr>
              <w:widowControl/>
              <w:wordWrap/>
              <w:autoSpaceDE/>
              <w:autoSpaceDN/>
              <w:spacing w:line="360" w:lineRule="auto"/>
              <w:rPr>
                <w:rFonts w:ascii="Book Antiqua" w:eastAsia="Malgun Gothic" w:hAnsi="Book Antiqua"/>
                <w:b/>
                <w:kern w:val="0"/>
                <w:sz w:val="24"/>
                <w:szCs w:val="24"/>
              </w:rPr>
            </w:pPr>
            <w:r w:rsidRPr="00FB5EFB">
              <w:rPr>
                <w:rFonts w:ascii="Book Antiqua" w:eastAsia="Malgun Gothic" w:hAnsi="Book Antiqua"/>
                <w:b/>
                <w:i/>
                <w:kern w:val="0"/>
                <w:sz w:val="24"/>
                <w:szCs w:val="24"/>
              </w:rPr>
              <w:t>n</w:t>
            </w:r>
            <w:r>
              <w:rPr>
                <w:rFonts w:ascii="Book Antiqua" w:eastAsia="Malgun Gothic" w:hAnsi="Book Antiqua"/>
                <w:b/>
                <w:kern w:val="0"/>
                <w:sz w:val="24"/>
                <w:szCs w:val="24"/>
              </w:rPr>
              <w:t xml:space="preserve"> </w:t>
            </w:r>
            <w:r w:rsidRPr="00CE6BCD">
              <w:rPr>
                <w:rFonts w:ascii="Book Antiqua" w:eastAsia="Malgun Gothic" w:hAnsi="Book Antiqua"/>
                <w:b/>
                <w:kern w:val="0"/>
                <w:sz w:val="24"/>
                <w:szCs w:val="24"/>
              </w:rPr>
              <w:t>(%)</w:t>
            </w: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7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L</w:t>
            </w:r>
            <w:r w:rsidRPr="00981036">
              <w:rPr>
                <w:rFonts w:ascii="Book Antiqua" w:eastAsia="Malgun Gothic" w:hAnsi="Book Antiqua"/>
                <w:kern w:val="0"/>
                <w:sz w:val="24"/>
                <w:szCs w:val="24"/>
              </w:rPr>
              <w:t>ocation</w:t>
            </w:r>
          </w:p>
        </w:tc>
        <w:tc>
          <w:tcPr>
            <w:tcW w:w="2189"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P</w:t>
            </w:r>
            <w:r w:rsidRPr="00981036">
              <w:rPr>
                <w:rFonts w:ascii="Book Antiqua" w:eastAsia="Malgun Gothic" w:hAnsi="Book Antiqua"/>
                <w:kern w:val="0"/>
                <w:sz w:val="24"/>
                <w:szCs w:val="24"/>
              </w:rPr>
              <w:t>roximal</w:t>
            </w:r>
          </w:p>
        </w:tc>
        <w:tc>
          <w:tcPr>
            <w:tcW w:w="29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3 (3.8)</w:t>
            </w: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7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189"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M</w:t>
            </w:r>
            <w:r w:rsidRPr="00981036">
              <w:rPr>
                <w:rFonts w:ascii="Book Antiqua" w:eastAsia="Malgun Gothic" w:hAnsi="Book Antiqua"/>
                <w:kern w:val="0"/>
                <w:sz w:val="24"/>
                <w:szCs w:val="24"/>
              </w:rPr>
              <w:t>iddle</w:t>
            </w:r>
          </w:p>
        </w:tc>
        <w:tc>
          <w:tcPr>
            <w:tcW w:w="29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61 (78.2)</w:t>
            </w: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7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189"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D</w:t>
            </w:r>
            <w:r w:rsidRPr="00981036">
              <w:rPr>
                <w:rFonts w:ascii="Book Antiqua" w:eastAsia="Malgun Gothic" w:hAnsi="Book Antiqua"/>
                <w:kern w:val="0"/>
                <w:sz w:val="24"/>
                <w:szCs w:val="24"/>
              </w:rPr>
              <w:t>istal</w:t>
            </w:r>
          </w:p>
        </w:tc>
        <w:tc>
          <w:tcPr>
            <w:tcW w:w="29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14 (17.9)</w:t>
            </w: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78" w:type="dxa"/>
            <w:tcBorders>
              <w:top w:val="single" w:sz="4" w:space="0" w:color="auto"/>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E</w:t>
            </w:r>
            <w:r w:rsidRPr="00981036">
              <w:rPr>
                <w:rFonts w:ascii="Book Antiqua" w:eastAsia="Malgun Gothic" w:hAnsi="Book Antiqua"/>
                <w:kern w:val="0"/>
                <w:sz w:val="24"/>
                <w:szCs w:val="24"/>
              </w:rPr>
              <w:t>ndoscopic</w:t>
            </w:r>
          </w:p>
        </w:tc>
        <w:tc>
          <w:tcPr>
            <w:tcW w:w="2189" w:type="dxa"/>
            <w:tcBorders>
              <w:top w:val="single" w:sz="4" w:space="0" w:color="auto"/>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U</w:t>
            </w:r>
            <w:r w:rsidRPr="00981036">
              <w:rPr>
                <w:rFonts w:ascii="Book Antiqua" w:eastAsia="Malgun Gothic" w:hAnsi="Book Antiqua"/>
                <w:kern w:val="0"/>
                <w:sz w:val="24"/>
                <w:szCs w:val="24"/>
              </w:rPr>
              <w:t>lcers</w:t>
            </w:r>
          </w:p>
        </w:tc>
        <w:tc>
          <w:tcPr>
            <w:tcW w:w="2980" w:type="dxa"/>
            <w:tcBorders>
              <w:top w:val="single" w:sz="4" w:space="0" w:color="auto"/>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64 (82.1)</w:t>
            </w: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7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findings</w:t>
            </w:r>
          </w:p>
        </w:tc>
        <w:tc>
          <w:tcPr>
            <w:tcW w:w="2189"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B</w:t>
            </w:r>
            <w:r w:rsidRPr="00981036">
              <w:rPr>
                <w:rFonts w:ascii="Book Antiqua" w:eastAsia="Malgun Gothic" w:hAnsi="Book Antiqua"/>
                <w:kern w:val="0"/>
                <w:sz w:val="24"/>
                <w:szCs w:val="24"/>
              </w:rPr>
              <w:t>leeding</w:t>
            </w:r>
          </w:p>
        </w:tc>
        <w:tc>
          <w:tcPr>
            <w:tcW w:w="29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19 (24.4)</w:t>
            </w: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7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189"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E</w:t>
            </w:r>
            <w:r w:rsidRPr="00981036">
              <w:rPr>
                <w:rFonts w:ascii="Book Antiqua" w:eastAsia="Malgun Gothic" w:hAnsi="Book Antiqua"/>
                <w:kern w:val="0"/>
                <w:sz w:val="24"/>
                <w:szCs w:val="24"/>
              </w:rPr>
              <w:t>rosions</w:t>
            </w:r>
          </w:p>
        </w:tc>
        <w:tc>
          <w:tcPr>
            <w:tcW w:w="29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14 (17.9)</w:t>
            </w: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7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189"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C</w:t>
            </w:r>
            <w:r w:rsidRPr="00981036">
              <w:rPr>
                <w:rFonts w:ascii="Book Antiqua" w:eastAsia="Malgun Gothic" w:hAnsi="Book Antiqua"/>
                <w:kern w:val="0"/>
                <w:sz w:val="24"/>
                <w:szCs w:val="24"/>
              </w:rPr>
              <w:t>oating</w:t>
            </w:r>
          </w:p>
        </w:tc>
        <w:tc>
          <w:tcPr>
            <w:tcW w:w="29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4 (5.1)</w:t>
            </w: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7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189"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P</w:t>
            </w:r>
            <w:r w:rsidRPr="00981036">
              <w:rPr>
                <w:rFonts w:ascii="Book Antiqua" w:eastAsia="Malgun Gothic" w:hAnsi="Book Antiqua"/>
                <w:kern w:val="0"/>
                <w:sz w:val="24"/>
                <w:szCs w:val="24"/>
              </w:rPr>
              <w:t>ill</w:t>
            </w:r>
          </w:p>
        </w:tc>
        <w:tc>
          <w:tcPr>
            <w:tcW w:w="29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3 (3.8)</w:t>
            </w: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7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189"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S</w:t>
            </w:r>
            <w:r w:rsidRPr="00981036">
              <w:rPr>
                <w:rFonts w:ascii="Book Antiqua" w:eastAsia="Malgun Gothic" w:hAnsi="Book Antiqua"/>
                <w:kern w:val="0"/>
                <w:sz w:val="24"/>
                <w:szCs w:val="24"/>
              </w:rPr>
              <w:t>tricture</w:t>
            </w:r>
          </w:p>
        </w:tc>
        <w:tc>
          <w:tcPr>
            <w:tcW w:w="29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2 (2.6)</w:t>
            </w: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78"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hint="eastAsia"/>
                <w:kern w:val="0"/>
                <w:sz w:val="24"/>
                <w:szCs w:val="24"/>
              </w:rPr>
              <w:t xml:space="preserve">　</w:t>
            </w:r>
          </w:p>
        </w:tc>
        <w:tc>
          <w:tcPr>
            <w:tcW w:w="2189"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K</w:t>
            </w:r>
            <w:r w:rsidRPr="00981036">
              <w:rPr>
                <w:rFonts w:ascii="Book Antiqua" w:eastAsia="Malgun Gothic" w:hAnsi="Book Antiqua"/>
                <w:kern w:val="0"/>
                <w:sz w:val="24"/>
                <w:szCs w:val="24"/>
              </w:rPr>
              <w:t>issing ulcers</w:t>
            </w:r>
          </w:p>
        </w:tc>
        <w:tc>
          <w:tcPr>
            <w:tcW w:w="2980"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34 (43.6)</w:t>
            </w: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7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189"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9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7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bl>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tbl>
      <w:tblPr>
        <w:tblW w:w="8007" w:type="dxa"/>
        <w:tblInd w:w="84" w:type="dxa"/>
        <w:tblCellMar>
          <w:left w:w="99" w:type="dxa"/>
          <w:right w:w="99" w:type="dxa"/>
        </w:tblCellMar>
        <w:tblLook w:val="00A0" w:firstRow="1" w:lastRow="0" w:firstColumn="1" w:lastColumn="0" w:noHBand="0" w:noVBand="0"/>
      </w:tblPr>
      <w:tblGrid>
        <w:gridCol w:w="204"/>
        <w:gridCol w:w="3165"/>
        <w:gridCol w:w="3150"/>
        <w:gridCol w:w="204"/>
        <w:gridCol w:w="204"/>
        <w:gridCol w:w="1080"/>
      </w:tblGrid>
      <w:tr w:rsidR="006928BE" w:rsidRPr="005D5BA6" w:rsidTr="00030F67">
        <w:trPr>
          <w:trHeight w:val="330"/>
        </w:trPr>
        <w:tc>
          <w:tcPr>
            <w:tcW w:w="6927" w:type="dxa"/>
            <w:gridSpan w:val="5"/>
            <w:tcBorders>
              <w:top w:val="nil"/>
              <w:left w:val="nil"/>
              <w:bottom w:val="nil"/>
              <w:right w:val="nil"/>
            </w:tcBorders>
            <w:noWrap/>
            <w:vAlign w:val="center"/>
          </w:tcPr>
          <w:p w:rsidR="006928BE" w:rsidRPr="00CE6BCD" w:rsidRDefault="006928BE" w:rsidP="008F2E0D">
            <w:pPr>
              <w:widowControl/>
              <w:wordWrap/>
              <w:autoSpaceDE/>
              <w:autoSpaceDN/>
              <w:spacing w:line="360" w:lineRule="auto"/>
              <w:rPr>
                <w:rFonts w:ascii="Book Antiqua" w:eastAsia="Malgun Gothic" w:hAnsi="Book Antiqua"/>
                <w:b/>
                <w:kern w:val="0"/>
                <w:sz w:val="24"/>
                <w:szCs w:val="24"/>
              </w:rPr>
            </w:pPr>
            <w:r w:rsidRPr="00CE6BCD">
              <w:rPr>
                <w:rFonts w:ascii="Book Antiqua" w:eastAsia="Malgun Gothic" w:hAnsi="Book Antiqua"/>
                <w:b/>
                <w:kern w:val="0"/>
                <w:sz w:val="24"/>
                <w:szCs w:val="24"/>
              </w:rPr>
              <w:t>Table 3</w:t>
            </w:r>
            <w:r w:rsidRPr="005D5BA6">
              <w:rPr>
                <w:rFonts w:ascii="Book Antiqua" w:hAnsi="Book Antiqua"/>
                <w:b/>
                <w:kern w:val="0"/>
                <w:sz w:val="24"/>
                <w:szCs w:val="24"/>
                <w:lang w:eastAsia="zh-CN"/>
              </w:rPr>
              <w:t xml:space="preserve">  </w:t>
            </w:r>
            <w:r w:rsidRPr="00CE6BCD">
              <w:rPr>
                <w:rFonts w:ascii="Book Antiqua" w:eastAsia="Malgun Gothic" w:hAnsi="Book Antiqua"/>
                <w:b/>
                <w:kern w:val="0"/>
                <w:sz w:val="24"/>
                <w:szCs w:val="24"/>
              </w:rPr>
              <w:t xml:space="preserve">Causative drugs of patients diagnosed with drug-induced esophagitis </w:t>
            </w: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65"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5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65" w:type="dxa"/>
            <w:tcBorders>
              <w:top w:val="single" w:sz="4" w:space="0" w:color="auto"/>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Drug</w:t>
            </w:r>
          </w:p>
        </w:tc>
        <w:tc>
          <w:tcPr>
            <w:tcW w:w="3150" w:type="dxa"/>
            <w:tcBorders>
              <w:top w:val="single" w:sz="4" w:space="0" w:color="auto"/>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FB5EFB">
              <w:rPr>
                <w:rFonts w:ascii="Book Antiqua" w:eastAsia="Malgun Gothic" w:hAnsi="Book Antiqua"/>
                <w:i/>
                <w:kern w:val="0"/>
                <w:sz w:val="24"/>
                <w:szCs w:val="24"/>
              </w:rPr>
              <w:t>n</w:t>
            </w:r>
            <w:r w:rsidRPr="00981036">
              <w:rPr>
                <w:rFonts w:ascii="Book Antiqua" w:eastAsia="Malgun Gothic" w:hAnsi="Book Antiqua"/>
                <w:kern w:val="0"/>
                <w:sz w:val="24"/>
                <w:szCs w:val="24"/>
              </w:rPr>
              <w:t xml:space="preserve"> (%)</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65"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A</w:t>
            </w:r>
            <w:r w:rsidRPr="00981036">
              <w:rPr>
                <w:rFonts w:ascii="Book Antiqua" w:eastAsia="Malgun Gothic" w:hAnsi="Book Antiqua"/>
                <w:kern w:val="0"/>
                <w:sz w:val="24"/>
                <w:szCs w:val="24"/>
              </w:rPr>
              <w:t>ntibiotics</w:t>
            </w:r>
          </w:p>
        </w:tc>
        <w:tc>
          <w:tcPr>
            <w:tcW w:w="315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28 (35.9)</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65"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 xml:space="preserve">NSAID   </w:t>
            </w:r>
          </w:p>
        </w:tc>
        <w:tc>
          <w:tcPr>
            <w:tcW w:w="315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27 (34.6)</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65"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A</w:t>
            </w:r>
            <w:r w:rsidRPr="00981036">
              <w:rPr>
                <w:rFonts w:ascii="Book Antiqua" w:eastAsia="Malgun Gothic" w:hAnsi="Book Antiqua"/>
                <w:kern w:val="0"/>
                <w:sz w:val="24"/>
                <w:szCs w:val="24"/>
              </w:rPr>
              <w:t>nti-hypertensive</w:t>
            </w:r>
          </w:p>
        </w:tc>
        <w:tc>
          <w:tcPr>
            <w:tcW w:w="315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9 (11.5)</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65"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A</w:t>
            </w:r>
            <w:r w:rsidRPr="00981036">
              <w:rPr>
                <w:rFonts w:ascii="Book Antiqua" w:eastAsia="Malgun Gothic" w:hAnsi="Book Antiqua"/>
                <w:kern w:val="0"/>
                <w:sz w:val="24"/>
                <w:szCs w:val="24"/>
              </w:rPr>
              <w:t>cetaminophen</w:t>
            </w:r>
          </w:p>
        </w:tc>
        <w:tc>
          <w:tcPr>
            <w:tcW w:w="315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7 (9.0)</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65"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O</w:t>
            </w:r>
            <w:r w:rsidRPr="00981036">
              <w:rPr>
                <w:rFonts w:ascii="Book Antiqua" w:eastAsia="Malgun Gothic" w:hAnsi="Book Antiqua"/>
                <w:kern w:val="0"/>
                <w:sz w:val="24"/>
                <w:szCs w:val="24"/>
              </w:rPr>
              <w:t>ral hypoglycemic</w:t>
            </w:r>
          </w:p>
        </w:tc>
        <w:tc>
          <w:tcPr>
            <w:tcW w:w="315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4 (5.1)</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65"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B</w:t>
            </w:r>
            <w:r w:rsidRPr="00981036">
              <w:rPr>
                <w:rFonts w:ascii="Book Antiqua" w:eastAsia="Malgun Gothic" w:hAnsi="Book Antiqua"/>
                <w:kern w:val="0"/>
                <w:sz w:val="24"/>
                <w:szCs w:val="24"/>
              </w:rPr>
              <w:t>isphosphonate</w:t>
            </w:r>
          </w:p>
        </w:tc>
        <w:tc>
          <w:tcPr>
            <w:tcW w:w="315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4 (5.1)</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65"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A</w:t>
            </w:r>
            <w:r w:rsidRPr="00981036">
              <w:rPr>
                <w:rFonts w:ascii="Book Antiqua" w:eastAsia="Malgun Gothic" w:hAnsi="Book Antiqua"/>
                <w:kern w:val="0"/>
                <w:sz w:val="24"/>
                <w:szCs w:val="24"/>
              </w:rPr>
              <w:t>scorbic acid</w:t>
            </w:r>
          </w:p>
        </w:tc>
        <w:tc>
          <w:tcPr>
            <w:tcW w:w="315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2 (2.6)</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65"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W</w:t>
            </w:r>
            <w:r w:rsidRPr="00981036">
              <w:rPr>
                <w:rFonts w:ascii="Book Antiqua" w:eastAsia="Malgun Gothic" w:hAnsi="Book Antiqua"/>
                <w:kern w:val="0"/>
                <w:sz w:val="24"/>
                <w:szCs w:val="24"/>
              </w:rPr>
              <w:t>arfarin</w:t>
            </w:r>
          </w:p>
        </w:tc>
        <w:tc>
          <w:tcPr>
            <w:tcW w:w="315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2 (2.6)</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65"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O</w:t>
            </w:r>
            <w:r w:rsidRPr="00981036">
              <w:rPr>
                <w:rFonts w:ascii="Book Antiqua" w:eastAsia="Malgun Gothic" w:hAnsi="Book Antiqua"/>
                <w:kern w:val="0"/>
                <w:sz w:val="24"/>
                <w:szCs w:val="24"/>
              </w:rPr>
              <w:t>ther drugs</w:t>
            </w:r>
          </w:p>
        </w:tc>
        <w:tc>
          <w:tcPr>
            <w:tcW w:w="3150"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4 (5.1)</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65"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5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6519" w:type="dxa"/>
            <w:gridSpan w:val="3"/>
            <w:tcBorders>
              <w:top w:val="nil"/>
              <w:left w:val="nil"/>
              <w:bottom w:val="nil"/>
              <w:right w:val="nil"/>
            </w:tcBorders>
            <w:noWrap/>
            <w:vAlign w:val="center"/>
          </w:tcPr>
          <w:p w:rsidR="006928BE" w:rsidRPr="005D5BA6" w:rsidRDefault="006928BE" w:rsidP="008F2E0D">
            <w:pPr>
              <w:widowControl/>
              <w:wordWrap/>
              <w:autoSpaceDE/>
              <w:autoSpaceDN/>
              <w:spacing w:line="360" w:lineRule="auto"/>
              <w:rPr>
                <w:rFonts w:ascii="Book Antiqua" w:hAnsi="Book Antiqua"/>
                <w:kern w:val="0"/>
                <w:sz w:val="24"/>
                <w:szCs w:val="24"/>
                <w:lang w:eastAsia="zh-CN"/>
              </w:rPr>
            </w:pPr>
            <w:r w:rsidRPr="00981036">
              <w:rPr>
                <w:rFonts w:ascii="Book Antiqua" w:eastAsia="Malgun Gothic" w:hAnsi="Book Antiqua"/>
                <w:kern w:val="0"/>
                <w:sz w:val="24"/>
                <w:szCs w:val="24"/>
              </w:rPr>
              <w:t>NSAID</w:t>
            </w:r>
            <w:r w:rsidRPr="005D5BA6">
              <w:rPr>
                <w:rFonts w:ascii="Book Antiqua" w:hAnsi="Book Antiqua"/>
                <w:kern w:val="0"/>
                <w:sz w:val="24"/>
                <w:szCs w:val="24"/>
                <w:lang w:eastAsia="zh-CN"/>
              </w:rPr>
              <w:t xml:space="preserve">: </w:t>
            </w:r>
            <w:r w:rsidRPr="00981036">
              <w:rPr>
                <w:rFonts w:ascii="Book Antiqua" w:eastAsia="Malgun Gothic" w:hAnsi="Book Antiqua"/>
                <w:kern w:val="0"/>
                <w:sz w:val="24"/>
                <w:szCs w:val="24"/>
              </w:rPr>
              <w:t>nonsteroidal anti-inflammatory drug</w:t>
            </w:r>
            <w:r w:rsidRPr="005D5BA6">
              <w:rPr>
                <w:rFonts w:ascii="Book Antiqua" w:hAnsi="Book Antiqua"/>
                <w:kern w:val="0"/>
                <w:sz w:val="24"/>
                <w:szCs w:val="24"/>
                <w:lang w:eastAsia="zh-CN"/>
              </w:rPr>
              <w:t>.</w:t>
            </w:r>
          </w:p>
        </w:tc>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bl>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Default="006928BE" w:rsidP="008F2E0D">
      <w:pPr>
        <w:widowControl/>
        <w:wordWrap/>
        <w:autoSpaceDE/>
        <w:autoSpaceDN/>
        <w:spacing w:after="200" w:line="276" w:lineRule="auto"/>
        <w:rPr>
          <w:rFonts w:ascii="Book Antiqua" w:hAnsi="Book Antiqua"/>
          <w:sz w:val="24"/>
          <w:szCs w:val="24"/>
        </w:rPr>
      </w:pPr>
      <w:r>
        <w:rPr>
          <w:rFonts w:ascii="Book Antiqua" w:hAnsi="Book Antiqua"/>
          <w:sz w:val="24"/>
          <w:szCs w:val="24"/>
        </w:rPr>
        <w:br w:type="page"/>
      </w:r>
    </w:p>
    <w:p w:rsidR="006928BE" w:rsidRPr="00981036" w:rsidRDefault="006928BE" w:rsidP="008F2E0D">
      <w:pPr>
        <w:wordWrap/>
        <w:spacing w:line="360" w:lineRule="auto"/>
        <w:rPr>
          <w:rFonts w:ascii="Book Antiqua" w:hAnsi="Book Antiqua"/>
          <w:sz w:val="24"/>
          <w:szCs w:val="24"/>
        </w:rPr>
      </w:pPr>
    </w:p>
    <w:tbl>
      <w:tblPr>
        <w:tblW w:w="7360" w:type="dxa"/>
        <w:tblInd w:w="84" w:type="dxa"/>
        <w:tblCellMar>
          <w:left w:w="99" w:type="dxa"/>
          <w:right w:w="99" w:type="dxa"/>
        </w:tblCellMar>
        <w:tblLook w:val="00A0" w:firstRow="1" w:lastRow="0" w:firstColumn="1" w:lastColumn="0" w:noHBand="0" w:noVBand="0"/>
      </w:tblPr>
      <w:tblGrid>
        <w:gridCol w:w="204"/>
        <w:gridCol w:w="1051"/>
        <w:gridCol w:w="1888"/>
        <w:gridCol w:w="1806"/>
        <w:gridCol w:w="438"/>
        <w:gridCol w:w="1114"/>
        <w:gridCol w:w="1080"/>
      </w:tblGrid>
      <w:tr w:rsidR="006928BE" w:rsidRPr="005D5BA6" w:rsidTr="00030F67">
        <w:trPr>
          <w:trHeight w:val="330"/>
        </w:trPr>
        <w:tc>
          <w:tcPr>
            <w:tcW w:w="6280" w:type="dxa"/>
            <w:gridSpan w:val="6"/>
            <w:tcBorders>
              <w:top w:val="nil"/>
              <w:left w:val="nil"/>
              <w:bottom w:val="nil"/>
              <w:right w:val="nil"/>
            </w:tcBorders>
            <w:noWrap/>
            <w:vAlign w:val="center"/>
          </w:tcPr>
          <w:p w:rsidR="006928BE" w:rsidRPr="00CE6BCD" w:rsidRDefault="006928BE" w:rsidP="008F2E0D">
            <w:pPr>
              <w:widowControl/>
              <w:wordWrap/>
              <w:autoSpaceDE/>
              <w:autoSpaceDN/>
              <w:spacing w:line="360" w:lineRule="auto"/>
              <w:rPr>
                <w:rFonts w:ascii="Book Antiqua" w:eastAsia="Malgun Gothic" w:hAnsi="Book Antiqua"/>
                <w:b/>
                <w:kern w:val="0"/>
                <w:sz w:val="24"/>
                <w:szCs w:val="24"/>
              </w:rPr>
            </w:pPr>
            <w:r w:rsidRPr="00CE6BCD">
              <w:rPr>
                <w:rFonts w:ascii="Book Antiqua" w:eastAsia="Malgun Gothic" w:hAnsi="Book Antiqua"/>
                <w:b/>
                <w:kern w:val="0"/>
                <w:sz w:val="24"/>
                <w:szCs w:val="24"/>
              </w:rPr>
              <w:t>Table 4</w:t>
            </w:r>
            <w:r w:rsidRPr="005D5BA6">
              <w:rPr>
                <w:rFonts w:ascii="Book Antiqua" w:hAnsi="Book Antiqua"/>
                <w:b/>
                <w:kern w:val="0"/>
                <w:sz w:val="24"/>
                <w:szCs w:val="24"/>
                <w:lang w:eastAsia="zh-CN"/>
              </w:rPr>
              <w:t xml:space="preserve">  </w:t>
            </w:r>
            <w:r w:rsidRPr="00CE6BCD">
              <w:rPr>
                <w:rFonts w:ascii="Book Antiqua" w:eastAsia="Malgun Gothic" w:hAnsi="Book Antiqua"/>
                <w:b/>
                <w:kern w:val="0"/>
                <w:sz w:val="24"/>
                <w:szCs w:val="24"/>
              </w:rPr>
              <w:t>Proportion of antibiotics and NSAIDs between both age groups</w:t>
            </w: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5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8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06"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6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51" w:type="dxa"/>
            <w:tcBorders>
              <w:top w:val="single" w:sz="4" w:space="0" w:color="auto"/>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Age</w:t>
            </w:r>
          </w:p>
        </w:tc>
        <w:tc>
          <w:tcPr>
            <w:tcW w:w="1888" w:type="dxa"/>
            <w:tcBorders>
              <w:top w:val="single" w:sz="4" w:space="0" w:color="auto"/>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Antibiotics (+)</w:t>
            </w:r>
          </w:p>
        </w:tc>
        <w:tc>
          <w:tcPr>
            <w:tcW w:w="1806" w:type="dxa"/>
            <w:tcBorders>
              <w:top w:val="single" w:sz="4" w:space="0" w:color="auto"/>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Antibiotics (-)</w:t>
            </w:r>
          </w:p>
        </w:tc>
        <w:tc>
          <w:tcPr>
            <w:tcW w:w="364" w:type="dxa"/>
            <w:tcBorders>
              <w:top w:val="single" w:sz="4" w:space="0" w:color="auto"/>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hint="eastAsia"/>
                <w:kern w:val="0"/>
                <w:sz w:val="24"/>
                <w:szCs w:val="24"/>
              </w:rPr>
              <w:t xml:space="preserve">　</w:t>
            </w: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51" w:type="dxa"/>
            <w:tcBorders>
              <w:top w:val="single" w:sz="4" w:space="0" w:color="auto"/>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&lt; 45 yr</w:t>
            </w:r>
          </w:p>
        </w:tc>
        <w:tc>
          <w:tcPr>
            <w:tcW w:w="1888" w:type="dxa"/>
            <w:tcBorders>
              <w:top w:val="single" w:sz="4" w:space="0" w:color="auto"/>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20</w:t>
            </w:r>
          </w:p>
        </w:tc>
        <w:tc>
          <w:tcPr>
            <w:tcW w:w="1806" w:type="dxa"/>
            <w:tcBorders>
              <w:top w:val="single" w:sz="4" w:space="0" w:color="auto"/>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22</w:t>
            </w:r>
          </w:p>
        </w:tc>
        <w:tc>
          <w:tcPr>
            <w:tcW w:w="364" w:type="dxa"/>
            <w:tcBorders>
              <w:top w:val="single" w:sz="4" w:space="0" w:color="auto"/>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42</w:t>
            </w: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5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 45 yr</w:t>
            </w:r>
          </w:p>
        </w:tc>
        <w:tc>
          <w:tcPr>
            <w:tcW w:w="188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8</w:t>
            </w:r>
          </w:p>
        </w:tc>
        <w:tc>
          <w:tcPr>
            <w:tcW w:w="1806"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28</w:t>
            </w:r>
          </w:p>
        </w:tc>
        <w:tc>
          <w:tcPr>
            <w:tcW w:w="36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36</w:t>
            </w: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51" w:type="dxa"/>
            <w:tcBorders>
              <w:top w:val="single" w:sz="4" w:space="0" w:color="auto"/>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hint="eastAsia"/>
                <w:kern w:val="0"/>
                <w:sz w:val="24"/>
                <w:szCs w:val="24"/>
              </w:rPr>
              <w:t xml:space="preserve">　</w:t>
            </w:r>
          </w:p>
        </w:tc>
        <w:tc>
          <w:tcPr>
            <w:tcW w:w="1888" w:type="dxa"/>
            <w:tcBorders>
              <w:top w:val="single" w:sz="4" w:space="0" w:color="auto"/>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28</w:t>
            </w:r>
          </w:p>
        </w:tc>
        <w:tc>
          <w:tcPr>
            <w:tcW w:w="1806" w:type="dxa"/>
            <w:tcBorders>
              <w:top w:val="single" w:sz="4" w:space="0" w:color="auto"/>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50</w:t>
            </w:r>
          </w:p>
        </w:tc>
        <w:tc>
          <w:tcPr>
            <w:tcW w:w="364" w:type="dxa"/>
            <w:tcBorders>
              <w:top w:val="single" w:sz="4" w:space="0" w:color="auto"/>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78</w:t>
            </w: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i/>
                <w:iCs/>
                <w:kern w:val="0"/>
                <w:sz w:val="24"/>
                <w:szCs w:val="24"/>
                <w:lang w:eastAsia="zh-CN"/>
              </w:rPr>
              <w:t>P</w:t>
            </w:r>
            <w:r w:rsidRPr="00981036">
              <w:rPr>
                <w:rFonts w:ascii="Book Antiqua" w:eastAsia="Malgun Gothic" w:hAnsi="Book Antiqua"/>
                <w:kern w:val="0"/>
                <w:sz w:val="24"/>
                <w:szCs w:val="24"/>
              </w:rPr>
              <w:t>=0.020</w:t>
            </w: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5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8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06"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6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5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8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06"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6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5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8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06"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6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51" w:type="dxa"/>
            <w:tcBorders>
              <w:top w:val="single" w:sz="4" w:space="0" w:color="auto"/>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Age</w:t>
            </w:r>
          </w:p>
        </w:tc>
        <w:tc>
          <w:tcPr>
            <w:tcW w:w="1888" w:type="dxa"/>
            <w:tcBorders>
              <w:top w:val="single" w:sz="4" w:space="0" w:color="auto"/>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NSAID</w:t>
            </w:r>
            <w:r w:rsidRPr="005D5BA6">
              <w:rPr>
                <w:rFonts w:ascii="Book Antiqua" w:hAnsi="Book Antiqua"/>
                <w:kern w:val="0"/>
                <w:sz w:val="24"/>
                <w:szCs w:val="24"/>
                <w:lang w:eastAsia="zh-CN"/>
              </w:rPr>
              <w:t xml:space="preserve"> </w:t>
            </w:r>
            <w:r w:rsidRPr="00981036">
              <w:rPr>
                <w:rFonts w:ascii="Book Antiqua" w:eastAsia="Malgun Gothic" w:hAnsi="Book Antiqua"/>
                <w:kern w:val="0"/>
                <w:sz w:val="24"/>
                <w:szCs w:val="24"/>
              </w:rPr>
              <w:t>(+)</w:t>
            </w:r>
          </w:p>
        </w:tc>
        <w:tc>
          <w:tcPr>
            <w:tcW w:w="1806" w:type="dxa"/>
            <w:tcBorders>
              <w:top w:val="single" w:sz="4" w:space="0" w:color="auto"/>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NSAID (-)</w:t>
            </w:r>
          </w:p>
        </w:tc>
        <w:tc>
          <w:tcPr>
            <w:tcW w:w="364" w:type="dxa"/>
            <w:tcBorders>
              <w:top w:val="single" w:sz="4" w:space="0" w:color="auto"/>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hint="eastAsia"/>
                <w:kern w:val="0"/>
                <w:sz w:val="24"/>
                <w:szCs w:val="24"/>
              </w:rPr>
              <w:t xml:space="preserve">　</w:t>
            </w: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51" w:type="dxa"/>
            <w:tcBorders>
              <w:top w:val="single" w:sz="4" w:space="0" w:color="auto"/>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&lt; 45 yr</w:t>
            </w:r>
          </w:p>
        </w:tc>
        <w:tc>
          <w:tcPr>
            <w:tcW w:w="188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12</w:t>
            </w:r>
          </w:p>
        </w:tc>
        <w:tc>
          <w:tcPr>
            <w:tcW w:w="1806"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30</w:t>
            </w:r>
          </w:p>
        </w:tc>
        <w:tc>
          <w:tcPr>
            <w:tcW w:w="36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42</w:t>
            </w: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51"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 45 yr</w:t>
            </w:r>
          </w:p>
        </w:tc>
        <w:tc>
          <w:tcPr>
            <w:tcW w:w="1888"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15</w:t>
            </w:r>
          </w:p>
        </w:tc>
        <w:tc>
          <w:tcPr>
            <w:tcW w:w="1806"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21</w:t>
            </w:r>
          </w:p>
        </w:tc>
        <w:tc>
          <w:tcPr>
            <w:tcW w:w="364"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36</w:t>
            </w: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51"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hint="eastAsia"/>
                <w:kern w:val="0"/>
                <w:sz w:val="24"/>
                <w:szCs w:val="24"/>
              </w:rPr>
              <w:t xml:space="preserve">　</w:t>
            </w:r>
          </w:p>
        </w:tc>
        <w:tc>
          <w:tcPr>
            <w:tcW w:w="1888"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27</w:t>
            </w:r>
          </w:p>
        </w:tc>
        <w:tc>
          <w:tcPr>
            <w:tcW w:w="1806"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51</w:t>
            </w:r>
          </w:p>
        </w:tc>
        <w:tc>
          <w:tcPr>
            <w:tcW w:w="364"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78</w:t>
            </w: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i/>
                <w:iCs/>
                <w:kern w:val="0"/>
                <w:sz w:val="24"/>
                <w:szCs w:val="24"/>
                <w:lang w:eastAsia="zh-CN"/>
              </w:rPr>
              <w:t>P</w:t>
            </w:r>
            <w:r w:rsidRPr="00981036">
              <w:rPr>
                <w:rFonts w:ascii="Book Antiqua" w:eastAsia="Malgun Gothic" w:hAnsi="Book Antiqua"/>
                <w:kern w:val="0"/>
                <w:sz w:val="24"/>
                <w:szCs w:val="24"/>
              </w:rPr>
              <w:t>=0.226</w:t>
            </w: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5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8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06"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6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51"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88"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806"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6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57"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5109" w:type="dxa"/>
            <w:gridSpan w:val="4"/>
            <w:tcBorders>
              <w:top w:val="nil"/>
              <w:left w:val="nil"/>
              <w:bottom w:val="nil"/>
              <w:right w:val="nil"/>
            </w:tcBorders>
            <w:noWrap/>
            <w:vAlign w:val="center"/>
          </w:tcPr>
          <w:p w:rsidR="006928BE" w:rsidRPr="005D5BA6" w:rsidRDefault="006928BE" w:rsidP="008F2E0D">
            <w:pPr>
              <w:widowControl/>
              <w:wordWrap/>
              <w:autoSpaceDE/>
              <w:autoSpaceDN/>
              <w:spacing w:line="360" w:lineRule="auto"/>
              <w:rPr>
                <w:rFonts w:ascii="Book Antiqua" w:hAnsi="Book Antiqua"/>
                <w:kern w:val="0"/>
                <w:sz w:val="24"/>
                <w:szCs w:val="24"/>
                <w:lang w:eastAsia="zh-CN"/>
              </w:rPr>
            </w:pPr>
            <w:r w:rsidRPr="00981036">
              <w:rPr>
                <w:rFonts w:ascii="Book Antiqua" w:eastAsia="Malgun Gothic" w:hAnsi="Book Antiqua"/>
                <w:kern w:val="0"/>
                <w:sz w:val="24"/>
                <w:szCs w:val="24"/>
              </w:rPr>
              <w:t>NSAID</w:t>
            </w:r>
            <w:r w:rsidRPr="005D5BA6">
              <w:rPr>
                <w:rFonts w:ascii="Book Antiqua" w:hAnsi="Book Antiqua"/>
                <w:kern w:val="0"/>
                <w:sz w:val="24"/>
                <w:szCs w:val="24"/>
                <w:lang w:eastAsia="zh-CN"/>
              </w:rPr>
              <w:t xml:space="preserve">: </w:t>
            </w:r>
            <w:r w:rsidRPr="00981036">
              <w:rPr>
                <w:rFonts w:ascii="Book Antiqua" w:eastAsia="Malgun Gothic" w:hAnsi="Book Antiqua"/>
                <w:kern w:val="0"/>
                <w:sz w:val="24"/>
                <w:szCs w:val="24"/>
              </w:rPr>
              <w:t>nonsteroidal anti-inflammatory drug</w:t>
            </w:r>
            <w:r w:rsidRPr="005D5BA6">
              <w:rPr>
                <w:rFonts w:ascii="Book Antiqua" w:hAnsi="Book Antiqua"/>
                <w:kern w:val="0"/>
                <w:sz w:val="24"/>
                <w:szCs w:val="24"/>
                <w:lang w:eastAsia="zh-CN"/>
              </w:rPr>
              <w:t>.</w:t>
            </w:r>
          </w:p>
        </w:tc>
        <w:tc>
          <w:tcPr>
            <w:tcW w:w="111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1080"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bl>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Default="006928BE" w:rsidP="008F2E0D">
      <w:pPr>
        <w:widowControl/>
        <w:wordWrap/>
        <w:autoSpaceDE/>
        <w:autoSpaceDN/>
        <w:spacing w:after="200" w:line="276" w:lineRule="auto"/>
        <w:rPr>
          <w:rFonts w:ascii="Book Antiqua" w:hAnsi="Book Antiqua"/>
          <w:sz w:val="24"/>
          <w:szCs w:val="24"/>
        </w:rPr>
      </w:pPr>
      <w:r>
        <w:rPr>
          <w:rFonts w:ascii="Book Antiqua" w:hAnsi="Book Antiqua"/>
          <w:sz w:val="24"/>
          <w:szCs w:val="24"/>
        </w:rPr>
        <w:br w:type="page"/>
      </w:r>
    </w:p>
    <w:p w:rsidR="006928BE" w:rsidRPr="00981036" w:rsidRDefault="006928BE" w:rsidP="008F2E0D">
      <w:pPr>
        <w:wordWrap/>
        <w:spacing w:line="360" w:lineRule="auto"/>
        <w:rPr>
          <w:rFonts w:ascii="Book Antiqua" w:hAnsi="Book Antiqua"/>
          <w:sz w:val="24"/>
          <w:szCs w:val="24"/>
        </w:rPr>
      </w:pPr>
    </w:p>
    <w:tbl>
      <w:tblPr>
        <w:tblW w:w="8755" w:type="dxa"/>
        <w:tblInd w:w="84" w:type="dxa"/>
        <w:tblCellMar>
          <w:left w:w="99" w:type="dxa"/>
          <w:right w:w="99" w:type="dxa"/>
        </w:tblCellMar>
        <w:tblLook w:val="00A0" w:firstRow="1" w:lastRow="0" w:firstColumn="1" w:lastColumn="0" w:noHBand="0" w:noVBand="0"/>
      </w:tblPr>
      <w:tblGrid>
        <w:gridCol w:w="204"/>
        <w:gridCol w:w="3115"/>
        <w:gridCol w:w="2222"/>
        <w:gridCol w:w="2222"/>
        <w:gridCol w:w="992"/>
      </w:tblGrid>
      <w:tr w:rsidR="006928BE" w:rsidRPr="005D5BA6" w:rsidTr="00030F67">
        <w:trPr>
          <w:trHeight w:val="330"/>
        </w:trPr>
        <w:tc>
          <w:tcPr>
            <w:tcW w:w="8755" w:type="dxa"/>
            <w:gridSpan w:val="5"/>
            <w:tcBorders>
              <w:top w:val="nil"/>
              <w:left w:val="nil"/>
              <w:bottom w:val="nil"/>
              <w:right w:val="nil"/>
            </w:tcBorders>
            <w:noWrap/>
            <w:vAlign w:val="center"/>
          </w:tcPr>
          <w:p w:rsidR="006928BE" w:rsidRPr="00CE6BCD" w:rsidRDefault="006928BE" w:rsidP="008F2E0D">
            <w:pPr>
              <w:widowControl/>
              <w:wordWrap/>
              <w:autoSpaceDE/>
              <w:autoSpaceDN/>
              <w:spacing w:line="360" w:lineRule="auto"/>
              <w:rPr>
                <w:rFonts w:ascii="Book Antiqua" w:eastAsia="Malgun Gothic" w:hAnsi="Book Antiqua"/>
                <w:b/>
                <w:kern w:val="0"/>
                <w:sz w:val="24"/>
                <w:szCs w:val="24"/>
              </w:rPr>
            </w:pPr>
            <w:r w:rsidRPr="00CE6BCD">
              <w:rPr>
                <w:rFonts w:ascii="Book Antiqua" w:eastAsia="Malgun Gothic" w:hAnsi="Book Antiqua"/>
                <w:b/>
                <w:kern w:val="0"/>
                <w:sz w:val="24"/>
                <w:szCs w:val="24"/>
              </w:rPr>
              <w:t>Table 5</w:t>
            </w:r>
            <w:r w:rsidRPr="005D5BA6">
              <w:rPr>
                <w:rFonts w:ascii="Book Antiqua" w:hAnsi="Book Antiqua"/>
                <w:b/>
                <w:kern w:val="0"/>
                <w:sz w:val="24"/>
                <w:szCs w:val="24"/>
                <w:lang w:eastAsia="zh-CN"/>
              </w:rPr>
              <w:t xml:space="preserve">  </w:t>
            </w:r>
            <w:r w:rsidRPr="00CE6BCD">
              <w:rPr>
                <w:rFonts w:ascii="Book Antiqua" w:eastAsia="Malgun Gothic" w:hAnsi="Book Antiqua"/>
                <w:b/>
                <w:kern w:val="0"/>
                <w:sz w:val="24"/>
                <w:szCs w:val="24"/>
              </w:rPr>
              <w:t>Pathological findings of drug-induced esophagitis group and reflux esophagitis group</w:t>
            </w:r>
            <w:r>
              <w:rPr>
                <w:rFonts w:ascii="Book Antiqua" w:eastAsia="Malgun Gothic" w:hAnsi="Book Antiqua"/>
                <w:b/>
                <w:kern w:val="0"/>
                <w:sz w:val="24"/>
                <w:szCs w:val="24"/>
              </w:rPr>
              <w:t xml:space="preserve"> </w:t>
            </w:r>
            <w:r w:rsidRPr="00FB5EFB">
              <w:rPr>
                <w:rFonts w:ascii="Book Antiqua" w:eastAsia="Malgun Gothic" w:hAnsi="Book Antiqua"/>
                <w:b/>
                <w:i/>
                <w:kern w:val="0"/>
                <w:sz w:val="24"/>
                <w:szCs w:val="24"/>
              </w:rPr>
              <w:t>n</w:t>
            </w:r>
            <w:r w:rsidRPr="00FB5EFB">
              <w:rPr>
                <w:rFonts w:ascii="Book Antiqua" w:eastAsia="Malgun Gothic" w:hAnsi="Book Antiqua"/>
                <w:b/>
                <w:kern w:val="0"/>
                <w:sz w:val="24"/>
                <w:szCs w:val="24"/>
              </w:rPr>
              <w:t xml:space="preserve"> (%)</w:t>
            </w:r>
          </w:p>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15" w:type="dxa"/>
            <w:tcBorders>
              <w:top w:val="single" w:sz="4" w:space="0" w:color="000000"/>
              <w:left w:val="nil"/>
              <w:bottom w:val="nil"/>
              <w:right w:val="nil"/>
            </w:tcBorders>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hint="eastAsia"/>
                <w:kern w:val="0"/>
                <w:sz w:val="24"/>
                <w:szCs w:val="24"/>
              </w:rPr>
              <w:t xml:space="preserve">　</w:t>
            </w:r>
          </w:p>
        </w:tc>
        <w:tc>
          <w:tcPr>
            <w:tcW w:w="2222" w:type="dxa"/>
            <w:tcBorders>
              <w:top w:val="single" w:sz="4" w:space="0" w:color="000000"/>
              <w:left w:val="nil"/>
              <w:bottom w:val="nil"/>
              <w:right w:val="nil"/>
            </w:tcBorders>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D</w:t>
            </w:r>
            <w:r w:rsidRPr="00981036">
              <w:rPr>
                <w:rFonts w:ascii="Book Antiqua" w:eastAsia="Malgun Gothic" w:hAnsi="Book Antiqua"/>
                <w:kern w:val="0"/>
                <w:sz w:val="24"/>
                <w:szCs w:val="24"/>
              </w:rPr>
              <w:t>rug-induced esophagitis</w:t>
            </w:r>
          </w:p>
        </w:tc>
        <w:tc>
          <w:tcPr>
            <w:tcW w:w="2222" w:type="dxa"/>
            <w:tcBorders>
              <w:top w:val="single" w:sz="4" w:space="0" w:color="000000"/>
              <w:left w:val="nil"/>
              <w:bottom w:val="nil"/>
              <w:right w:val="nil"/>
            </w:tcBorders>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5D5BA6">
              <w:rPr>
                <w:rFonts w:ascii="Book Antiqua" w:hAnsi="Book Antiqua"/>
                <w:kern w:val="0"/>
                <w:sz w:val="24"/>
                <w:szCs w:val="24"/>
                <w:lang w:eastAsia="zh-CN"/>
              </w:rPr>
              <w:t>R</w:t>
            </w:r>
            <w:r w:rsidRPr="00981036">
              <w:rPr>
                <w:rFonts w:ascii="Book Antiqua" w:eastAsia="Malgun Gothic" w:hAnsi="Book Antiqua"/>
                <w:kern w:val="0"/>
                <w:sz w:val="24"/>
                <w:szCs w:val="24"/>
              </w:rPr>
              <w:t>eflux esophagitis</w:t>
            </w:r>
          </w:p>
        </w:tc>
        <w:tc>
          <w:tcPr>
            <w:tcW w:w="992" w:type="dxa"/>
            <w:tcBorders>
              <w:top w:val="single" w:sz="4" w:space="0" w:color="000000"/>
              <w:left w:val="nil"/>
              <w:bottom w:val="nil"/>
              <w:right w:val="nil"/>
            </w:tcBorders>
            <w:vAlign w:val="center"/>
          </w:tcPr>
          <w:p w:rsidR="006928BE" w:rsidRPr="00981036" w:rsidRDefault="006928BE" w:rsidP="008F2E0D">
            <w:pPr>
              <w:widowControl/>
              <w:wordWrap/>
              <w:autoSpaceDE/>
              <w:autoSpaceDN/>
              <w:spacing w:line="360" w:lineRule="auto"/>
              <w:rPr>
                <w:rFonts w:ascii="Book Antiqua" w:eastAsia="Malgun Gothic" w:hAnsi="Book Antiqua"/>
                <w:i/>
                <w:iCs/>
                <w:kern w:val="0"/>
                <w:sz w:val="24"/>
                <w:szCs w:val="24"/>
              </w:rPr>
            </w:pPr>
            <w:r w:rsidRPr="005D5BA6">
              <w:rPr>
                <w:rFonts w:ascii="Book Antiqua" w:hAnsi="Book Antiqua"/>
                <w:i/>
                <w:iCs/>
                <w:kern w:val="0"/>
                <w:sz w:val="24"/>
                <w:szCs w:val="24"/>
                <w:lang w:eastAsia="zh-CN"/>
              </w:rPr>
              <w:t xml:space="preserve"> P </w:t>
            </w:r>
            <w:r w:rsidRPr="00981036">
              <w:rPr>
                <w:rFonts w:ascii="Book Antiqua" w:eastAsia="Malgun Gothic" w:hAnsi="Book Antiqua"/>
                <w:kern w:val="0"/>
                <w:sz w:val="24"/>
                <w:szCs w:val="24"/>
              </w:rPr>
              <w:t>value</w:t>
            </w: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15" w:type="dxa"/>
            <w:tcBorders>
              <w:top w:val="nil"/>
              <w:left w:val="nil"/>
              <w:bottom w:val="single" w:sz="4" w:space="0" w:color="000000"/>
              <w:right w:val="nil"/>
            </w:tcBorders>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hint="eastAsia"/>
                <w:kern w:val="0"/>
                <w:sz w:val="24"/>
                <w:szCs w:val="24"/>
              </w:rPr>
              <w:t xml:space="preserve">　</w:t>
            </w:r>
          </w:p>
        </w:tc>
        <w:tc>
          <w:tcPr>
            <w:tcW w:w="2222" w:type="dxa"/>
            <w:tcBorders>
              <w:top w:val="nil"/>
              <w:left w:val="nil"/>
              <w:bottom w:val="single" w:sz="4" w:space="0" w:color="000000"/>
              <w:right w:val="nil"/>
            </w:tcBorders>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w:t>
            </w:r>
            <w:r w:rsidRPr="00CE6BCD">
              <w:rPr>
                <w:rFonts w:ascii="Book Antiqua" w:eastAsia="Malgun Gothic" w:hAnsi="Book Antiqua"/>
                <w:i/>
                <w:kern w:val="0"/>
                <w:sz w:val="24"/>
                <w:szCs w:val="24"/>
              </w:rPr>
              <w:t>n</w:t>
            </w:r>
            <w:r w:rsidRPr="00981036">
              <w:rPr>
                <w:rFonts w:ascii="Book Antiqua" w:eastAsia="Malgun Gothic" w:hAnsi="Book Antiqua"/>
                <w:kern w:val="0"/>
                <w:sz w:val="24"/>
                <w:szCs w:val="24"/>
              </w:rPr>
              <w:t xml:space="preserve">=17) </w:t>
            </w:r>
          </w:p>
        </w:tc>
        <w:tc>
          <w:tcPr>
            <w:tcW w:w="2222" w:type="dxa"/>
            <w:tcBorders>
              <w:top w:val="nil"/>
              <w:left w:val="nil"/>
              <w:bottom w:val="single" w:sz="4" w:space="0" w:color="000000"/>
              <w:right w:val="nil"/>
            </w:tcBorders>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w:t>
            </w:r>
            <w:r w:rsidRPr="00CE6BCD">
              <w:rPr>
                <w:rFonts w:ascii="Book Antiqua" w:eastAsia="Malgun Gothic" w:hAnsi="Book Antiqua"/>
                <w:i/>
                <w:kern w:val="0"/>
                <w:sz w:val="24"/>
                <w:szCs w:val="24"/>
              </w:rPr>
              <w:t>n</w:t>
            </w:r>
            <w:r w:rsidRPr="00981036">
              <w:rPr>
                <w:rFonts w:ascii="Book Antiqua" w:eastAsia="Malgun Gothic" w:hAnsi="Book Antiqua"/>
                <w:kern w:val="0"/>
                <w:sz w:val="24"/>
                <w:szCs w:val="24"/>
              </w:rPr>
              <w:t>=19)</w:t>
            </w:r>
          </w:p>
        </w:tc>
        <w:tc>
          <w:tcPr>
            <w:tcW w:w="992" w:type="dxa"/>
            <w:tcBorders>
              <w:top w:val="nil"/>
              <w:left w:val="nil"/>
              <w:bottom w:val="single" w:sz="4" w:space="0" w:color="000000"/>
              <w:right w:val="nil"/>
            </w:tcBorders>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hint="eastAsia"/>
                <w:kern w:val="0"/>
                <w:sz w:val="24"/>
                <w:szCs w:val="24"/>
              </w:rPr>
              <w:t xml:space="preserve">　</w:t>
            </w: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15" w:type="dxa"/>
            <w:tcBorders>
              <w:top w:val="nil"/>
              <w:left w:val="nil"/>
              <w:bottom w:val="nil"/>
              <w:right w:val="nil"/>
            </w:tcBorders>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Basal cell hyperplasia</w:t>
            </w:r>
          </w:p>
        </w:tc>
        <w:tc>
          <w:tcPr>
            <w:tcW w:w="2222" w:type="dxa"/>
            <w:tcBorders>
              <w:top w:val="nil"/>
              <w:left w:val="nil"/>
              <w:bottom w:val="nil"/>
              <w:right w:val="nil"/>
            </w:tcBorders>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6 (35.3)</w:t>
            </w:r>
          </w:p>
        </w:tc>
        <w:tc>
          <w:tcPr>
            <w:tcW w:w="2222" w:type="dxa"/>
            <w:tcBorders>
              <w:top w:val="nil"/>
              <w:left w:val="nil"/>
              <w:bottom w:val="nil"/>
              <w:right w:val="nil"/>
            </w:tcBorders>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5 (26.3)</w:t>
            </w:r>
          </w:p>
        </w:tc>
        <w:tc>
          <w:tcPr>
            <w:tcW w:w="992" w:type="dxa"/>
            <w:tcBorders>
              <w:top w:val="nil"/>
              <w:left w:val="nil"/>
              <w:bottom w:val="nil"/>
              <w:right w:val="nil"/>
            </w:tcBorders>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0.559</w:t>
            </w: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15" w:type="dxa"/>
            <w:tcBorders>
              <w:top w:val="nil"/>
              <w:left w:val="nil"/>
              <w:bottom w:val="nil"/>
              <w:right w:val="nil"/>
            </w:tcBorders>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Papillary elongation</w:t>
            </w:r>
          </w:p>
        </w:tc>
        <w:tc>
          <w:tcPr>
            <w:tcW w:w="2222"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5 (29.4)</w:t>
            </w:r>
          </w:p>
        </w:tc>
        <w:tc>
          <w:tcPr>
            <w:tcW w:w="2222"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11 (57.9)</w:t>
            </w:r>
          </w:p>
        </w:tc>
        <w:tc>
          <w:tcPr>
            <w:tcW w:w="992" w:type="dxa"/>
            <w:tcBorders>
              <w:top w:val="nil"/>
              <w:left w:val="nil"/>
              <w:bottom w:val="nil"/>
              <w:right w:val="nil"/>
            </w:tcBorders>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0.086</w:t>
            </w: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15"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Dilated intercellular spaces</w:t>
            </w:r>
          </w:p>
        </w:tc>
        <w:tc>
          <w:tcPr>
            <w:tcW w:w="2222"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11 (64.7)</w:t>
            </w:r>
          </w:p>
        </w:tc>
        <w:tc>
          <w:tcPr>
            <w:tcW w:w="2222"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8 (42.1)</w:t>
            </w:r>
          </w:p>
        </w:tc>
        <w:tc>
          <w:tcPr>
            <w:tcW w:w="992"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0.175</w:t>
            </w:r>
          </w:p>
        </w:tc>
      </w:tr>
      <w:tr w:rsidR="006928BE" w:rsidRPr="005D5BA6" w:rsidTr="00030F67">
        <w:trPr>
          <w:trHeight w:val="330"/>
        </w:trPr>
        <w:tc>
          <w:tcPr>
            <w:tcW w:w="204" w:type="dxa"/>
            <w:tcBorders>
              <w:top w:val="nil"/>
              <w:left w:val="nil"/>
              <w:bottom w:val="nil"/>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p>
        </w:tc>
        <w:tc>
          <w:tcPr>
            <w:tcW w:w="3115"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Cell vacuolization</w:t>
            </w:r>
          </w:p>
        </w:tc>
        <w:tc>
          <w:tcPr>
            <w:tcW w:w="2222"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13 (76.5)</w:t>
            </w:r>
          </w:p>
        </w:tc>
        <w:tc>
          <w:tcPr>
            <w:tcW w:w="2222"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9 (47.4)</w:t>
            </w:r>
          </w:p>
        </w:tc>
        <w:tc>
          <w:tcPr>
            <w:tcW w:w="992" w:type="dxa"/>
            <w:tcBorders>
              <w:top w:val="nil"/>
              <w:left w:val="nil"/>
              <w:bottom w:val="single" w:sz="4" w:space="0" w:color="auto"/>
              <w:right w:val="nil"/>
            </w:tcBorders>
            <w:noWrap/>
            <w:vAlign w:val="center"/>
          </w:tcPr>
          <w:p w:rsidR="006928BE" w:rsidRPr="00981036" w:rsidRDefault="006928BE" w:rsidP="008F2E0D">
            <w:pPr>
              <w:widowControl/>
              <w:wordWrap/>
              <w:autoSpaceDE/>
              <w:autoSpaceDN/>
              <w:spacing w:line="360" w:lineRule="auto"/>
              <w:rPr>
                <w:rFonts w:ascii="Book Antiqua" w:eastAsia="Malgun Gothic" w:hAnsi="Book Antiqua"/>
                <w:kern w:val="0"/>
                <w:sz w:val="24"/>
                <w:szCs w:val="24"/>
              </w:rPr>
            </w:pPr>
            <w:r w:rsidRPr="00981036">
              <w:rPr>
                <w:rFonts w:ascii="Book Antiqua" w:eastAsia="Malgun Gothic" w:hAnsi="Book Antiqua"/>
                <w:kern w:val="0"/>
                <w:sz w:val="24"/>
                <w:szCs w:val="24"/>
              </w:rPr>
              <w:t>0.074</w:t>
            </w:r>
          </w:p>
        </w:tc>
      </w:tr>
    </w:tbl>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wordWrap/>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Default="006928BE" w:rsidP="008F2E0D">
      <w:pPr>
        <w:spacing w:line="360" w:lineRule="auto"/>
        <w:rPr>
          <w:rFonts w:ascii="Book Antiqua" w:hAnsi="Book Antiqua"/>
          <w:sz w:val="24"/>
          <w:szCs w:val="24"/>
          <w:lang w:eastAsia="zh-CN"/>
        </w:rPr>
      </w:pPr>
    </w:p>
    <w:p w:rsidR="006928BE" w:rsidRDefault="006928BE" w:rsidP="008F2E0D">
      <w:pPr>
        <w:spacing w:line="360" w:lineRule="auto"/>
        <w:rPr>
          <w:rFonts w:ascii="Book Antiqua" w:hAnsi="Book Antiqua"/>
          <w:sz w:val="24"/>
          <w:szCs w:val="24"/>
          <w:lang w:eastAsia="zh-CN"/>
        </w:rPr>
      </w:pPr>
    </w:p>
    <w:p w:rsidR="006928BE" w:rsidRDefault="006928BE" w:rsidP="008F2E0D">
      <w:pPr>
        <w:spacing w:line="360" w:lineRule="auto"/>
        <w:rPr>
          <w:rFonts w:ascii="Book Antiqua" w:hAnsi="Book Antiqua"/>
          <w:sz w:val="24"/>
          <w:szCs w:val="24"/>
          <w:lang w:eastAsia="zh-CN"/>
        </w:rPr>
      </w:pPr>
    </w:p>
    <w:p w:rsidR="006928BE" w:rsidRDefault="006928BE" w:rsidP="008F2E0D">
      <w:pPr>
        <w:spacing w:line="360" w:lineRule="auto"/>
        <w:rPr>
          <w:rFonts w:ascii="Book Antiqua" w:hAnsi="Book Antiqua"/>
          <w:sz w:val="24"/>
          <w:szCs w:val="24"/>
          <w:lang w:eastAsia="zh-CN"/>
        </w:rPr>
      </w:pPr>
    </w:p>
    <w:p w:rsidR="006928BE" w:rsidRPr="00981036" w:rsidRDefault="006928BE" w:rsidP="008F2E0D">
      <w:pPr>
        <w:wordWrap/>
        <w:spacing w:line="360" w:lineRule="auto"/>
        <w:rPr>
          <w:rFonts w:ascii="Book Antiqua" w:hAnsi="Book Antiqua"/>
          <w:bCs/>
          <w:sz w:val="24"/>
          <w:szCs w:val="24"/>
          <w:lang w:eastAsia="zh-CN"/>
        </w:rPr>
      </w:pPr>
      <w:r w:rsidRPr="005C759F">
        <w:rPr>
          <w:rFonts w:ascii="Book Antiqua" w:hAnsi="Book Antiqua"/>
          <w:b/>
          <w:bCs/>
          <w:sz w:val="24"/>
          <w:szCs w:val="24"/>
        </w:rPr>
        <w:t>Fig</w:t>
      </w:r>
      <w:r w:rsidRPr="005C759F">
        <w:rPr>
          <w:rFonts w:ascii="Book Antiqua" w:hAnsi="Book Antiqua"/>
          <w:b/>
          <w:bCs/>
          <w:sz w:val="24"/>
          <w:szCs w:val="24"/>
          <w:lang w:eastAsia="zh-CN"/>
        </w:rPr>
        <w:t xml:space="preserve">ure </w:t>
      </w:r>
      <w:r w:rsidRPr="005C759F">
        <w:rPr>
          <w:rFonts w:ascii="Book Antiqua" w:hAnsi="Book Antiqua"/>
          <w:b/>
          <w:bCs/>
          <w:sz w:val="24"/>
          <w:szCs w:val="24"/>
        </w:rPr>
        <w:t>1</w:t>
      </w:r>
      <w:r w:rsidRPr="005C759F">
        <w:rPr>
          <w:rFonts w:ascii="Book Antiqua" w:hAnsi="Book Antiqua"/>
          <w:b/>
          <w:bCs/>
          <w:sz w:val="24"/>
          <w:szCs w:val="24"/>
          <w:lang w:eastAsia="zh-CN"/>
        </w:rPr>
        <w:t xml:space="preserve">  </w:t>
      </w:r>
      <w:r w:rsidRPr="005C759F">
        <w:rPr>
          <w:rFonts w:ascii="Book Antiqua" w:hAnsi="Book Antiqua"/>
          <w:b/>
          <w:bCs/>
          <w:sz w:val="24"/>
          <w:szCs w:val="24"/>
        </w:rPr>
        <w:t>Endoscopic findings of drug-induced esophagitis.</w:t>
      </w:r>
      <w:r>
        <w:rPr>
          <w:rFonts w:ascii="Book Antiqua" w:hAnsi="Book Antiqua"/>
          <w:bCs/>
          <w:sz w:val="24"/>
          <w:szCs w:val="24"/>
          <w:lang w:eastAsia="zh-CN"/>
        </w:rPr>
        <w:t xml:space="preserve"> </w:t>
      </w:r>
      <w:r w:rsidRPr="00981036">
        <w:rPr>
          <w:rFonts w:ascii="Book Antiqua" w:hAnsi="Book Antiqua"/>
          <w:bCs/>
          <w:sz w:val="24"/>
          <w:szCs w:val="24"/>
        </w:rPr>
        <w:t>A</w:t>
      </w:r>
      <w:r>
        <w:rPr>
          <w:rFonts w:ascii="Book Antiqua" w:hAnsi="Book Antiqua"/>
          <w:bCs/>
          <w:sz w:val="24"/>
          <w:szCs w:val="24"/>
          <w:lang w:eastAsia="zh-CN"/>
        </w:rPr>
        <w:t xml:space="preserve">: </w:t>
      </w:r>
      <w:r w:rsidRPr="00981036">
        <w:rPr>
          <w:rFonts w:ascii="Book Antiqua" w:hAnsi="Book Antiqua"/>
          <w:bCs/>
          <w:sz w:val="24"/>
          <w:szCs w:val="24"/>
        </w:rPr>
        <w:t>Typical kissing ulcers in the middle third of esophagus</w:t>
      </w:r>
      <w:r>
        <w:rPr>
          <w:rFonts w:ascii="Book Antiqua" w:hAnsi="Book Antiqua"/>
          <w:bCs/>
          <w:sz w:val="24"/>
          <w:szCs w:val="24"/>
          <w:lang w:eastAsia="zh-CN"/>
        </w:rPr>
        <w:t xml:space="preserve">; </w:t>
      </w:r>
      <w:r w:rsidRPr="00981036">
        <w:rPr>
          <w:rFonts w:ascii="Book Antiqua" w:hAnsi="Book Antiqua"/>
          <w:bCs/>
          <w:sz w:val="24"/>
          <w:szCs w:val="24"/>
        </w:rPr>
        <w:t>B</w:t>
      </w:r>
      <w:r>
        <w:rPr>
          <w:rFonts w:ascii="Book Antiqua" w:hAnsi="Book Antiqua"/>
          <w:bCs/>
          <w:sz w:val="24"/>
          <w:szCs w:val="24"/>
          <w:lang w:eastAsia="zh-CN"/>
        </w:rPr>
        <w:t xml:space="preserve">: </w:t>
      </w:r>
      <w:r w:rsidRPr="00981036">
        <w:rPr>
          <w:rFonts w:ascii="Book Antiqua" w:hAnsi="Book Antiqua"/>
          <w:bCs/>
          <w:sz w:val="24"/>
          <w:szCs w:val="24"/>
        </w:rPr>
        <w:t>Another typical kissing ulcers</w:t>
      </w:r>
      <w:r>
        <w:rPr>
          <w:rFonts w:ascii="Book Antiqua" w:hAnsi="Book Antiqua"/>
          <w:bCs/>
          <w:sz w:val="24"/>
          <w:szCs w:val="24"/>
          <w:lang w:eastAsia="zh-CN"/>
        </w:rPr>
        <w:t xml:space="preserve">; </w:t>
      </w:r>
      <w:r w:rsidRPr="00981036">
        <w:rPr>
          <w:rFonts w:ascii="Book Antiqua" w:hAnsi="Book Antiqua"/>
          <w:bCs/>
          <w:sz w:val="24"/>
          <w:szCs w:val="24"/>
        </w:rPr>
        <w:t>C</w:t>
      </w:r>
      <w:r>
        <w:rPr>
          <w:rFonts w:ascii="Book Antiqua" w:hAnsi="Book Antiqua"/>
          <w:bCs/>
          <w:sz w:val="24"/>
          <w:szCs w:val="24"/>
          <w:lang w:eastAsia="zh-CN"/>
        </w:rPr>
        <w:t xml:space="preserve">: </w:t>
      </w:r>
      <w:r w:rsidRPr="00981036">
        <w:rPr>
          <w:rFonts w:ascii="Book Antiqua" w:hAnsi="Book Antiqua"/>
          <w:bCs/>
          <w:sz w:val="24"/>
          <w:szCs w:val="24"/>
        </w:rPr>
        <w:t>Kissing ulcers with spontaneous bleeding</w:t>
      </w:r>
      <w:r>
        <w:rPr>
          <w:rFonts w:ascii="Book Antiqua" w:hAnsi="Book Antiqua"/>
          <w:bCs/>
          <w:sz w:val="24"/>
          <w:szCs w:val="24"/>
          <w:lang w:eastAsia="zh-CN"/>
        </w:rPr>
        <w:t xml:space="preserve">; </w:t>
      </w:r>
      <w:r w:rsidRPr="00981036">
        <w:rPr>
          <w:rFonts w:ascii="Book Antiqua" w:hAnsi="Book Antiqua"/>
          <w:bCs/>
          <w:sz w:val="24"/>
          <w:szCs w:val="24"/>
        </w:rPr>
        <w:t>D</w:t>
      </w:r>
      <w:r>
        <w:rPr>
          <w:rFonts w:ascii="Book Antiqua" w:hAnsi="Book Antiqua"/>
          <w:bCs/>
          <w:sz w:val="24"/>
          <w:szCs w:val="24"/>
          <w:lang w:eastAsia="zh-CN"/>
        </w:rPr>
        <w:t xml:space="preserve">: </w:t>
      </w:r>
      <w:r w:rsidRPr="00981036">
        <w:rPr>
          <w:rFonts w:ascii="Book Antiqua" w:hAnsi="Book Antiqua"/>
          <w:bCs/>
          <w:sz w:val="24"/>
          <w:szCs w:val="24"/>
        </w:rPr>
        <w:t>Coating with drug material</w:t>
      </w:r>
      <w:r>
        <w:rPr>
          <w:rFonts w:ascii="Book Antiqua" w:hAnsi="Book Antiqua"/>
          <w:bCs/>
          <w:sz w:val="24"/>
          <w:szCs w:val="24"/>
          <w:lang w:eastAsia="zh-CN"/>
        </w:rPr>
        <w:t>.</w:t>
      </w:r>
    </w:p>
    <w:p w:rsidR="006928BE" w:rsidRDefault="006928BE" w:rsidP="008F2E0D">
      <w:pPr>
        <w:spacing w:line="360" w:lineRule="auto"/>
        <w:rPr>
          <w:rFonts w:ascii="Book Antiqua" w:hAnsi="Book Antiqua"/>
          <w:sz w:val="24"/>
          <w:szCs w:val="24"/>
          <w:lang w:eastAsia="zh-CN"/>
        </w:rPr>
      </w:pPr>
    </w:p>
    <w:p w:rsidR="006928BE" w:rsidRPr="00981036" w:rsidRDefault="006928BE" w:rsidP="008F2E0D">
      <w:pPr>
        <w:spacing w:line="360" w:lineRule="auto"/>
        <w:rPr>
          <w:rFonts w:ascii="Book Antiqua" w:hAnsi="Book Antiqua"/>
          <w:sz w:val="24"/>
          <w:szCs w:val="24"/>
          <w:lang w:eastAsia="zh-CN"/>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106C3D" w:rsidP="008F2E0D">
      <w:pPr>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4704080" cy="4094480"/>
            <wp:effectExtent l="0" t="0" r="1270" b="127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4080" cy="4094480"/>
                    </a:xfrm>
                    <a:prstGeom prst="rect">
                      <a:avLst/>
                    </a:prstGeom>
                    <a:noFill/>
                    <a:ln>
                      <a:noFill/>
                    </a:ln>
                  </pic:spPr>
                </pic:pic>
              </a:graphicData>
            </a:graphic>
          </wp:inline>
        </w:drawing>
      </w:r>
    </w:p>
    <w:p w:rsidR="006928BE" w:rsidRPr="00981036" w:rsidRDefault="006928BE" w:rsidP="008F2E0D">
      <w:pPr>
        <w:spacing w:line="360" w:lineRule="auto"/>
        <w:rPr>
          <w:rFonts w:ascii="Book Antiqua" w:hAnsi="Book Antiqua"/>
          <w:sz w:val="24"/>
          <w:szCs w:val="24"/>
        </w:rPr>
      </w:pPr>
      <w:r w:rsidRPr="00981036">
        <w:rPr>
          <w:rFonts w:ascii="Book Antiqua" w:hAnsi="Book Antiqua"/>
          <w:sz w:val="24"/>
          <w:szCs w:val="24"/>
        </w:rPr>
        <w:t>Figure 1A</w:t>
      </w: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106C3D" w:rsidP="008F2E0D">
      <w:pPr>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4704080" cy="4094480"/>
            <wp:effectExtent l="0" t="0" r="1270" b="127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4080" cy="4094480"/>
                    </a:xfrm>
                    <a:prstGeom prst="rect">
                      <a:avLst/>
                    </a:prstGeom>
                    <a:noFill/>
                    <a:ln>
                      <a:noFill/>
                    </a:ln>
                  </pic:spPr>
                </pic:pic>
              </a:graphicData>
            </a:graphic>
          </wp:inline>
        </w:drawing>
      </w:r>
    </w:p>
    <w:p w:rsidR="006928BE" w:rsidRPr="00981036" w:rsidRDefault="006928BE" w:rsidP="008F2E0D">
      <w:pPr>
        <w:spacing w:line="360" w:lineRule="auto"/>
        <w:rPr>
          <w:rFonts w:ascii="Book Antiqua" w:hAnsi="Book Antiqua"/>
          <w:sz w:val="24"/>
          <w:szCs w:val="24"/>
        </w:rPr>
      </w:pPr>
      <w:r w:rsidRPr="00981036">
        <w:rPr>
          <w:rFonts w:ascii="Book Antiqua" w:hAnsi="Book Antiqua"/>
          <w:sz w:val="24"/>
          <w:szCs w:val="24"/>
        </w:rPr>
        <w:t>Figure 1B</w:t>
      </w: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106C3D" w:rsidP="008F2E0D">
      <w:pPr>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4621530" cy="4036695"/>
            <wp:effectExtent l="0" t="0" r="7620" b="190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1530" cy="4036695"/>
                    </a:xfrm>
                    <a:prstGeom prst="rect">
                      <a:avLst/>
                    </a:prstGeom>
                    <a:noFill/>
                    <a:ln>
                      <a:noFill/>
                    </a:ln>
                  </pic:spPr>
                </pic:pic>
              </a:graphicData>
            </a:graphic>
          </wp:inline>
        </w:drawing>
      </w:r>
    </w:p>
    <w:p w:rsidR="006928BE" w:rsidRPr="00981036" w:rsidRDefault="006928BE" w:rsidP="008F2E0D">
      <w:pPr>
        <w:spacing w:line="360" w:lineRule="auto"/>
        <w:rPr>
          <w:rFonts w:ascii="Book Antiqua" w:hAnsi="Book Antiqua"/>
          <w:sz w:val="24"/>
          <w:szCs w:val="24"/>
        </w:rPr>
      </w:pPr>
      <w:r w:rsidRPr="00981036">
        <w:rPr>
          <w:rFonts w:ascii="Book Antiqua" w:hAnsi="Book Antiqua"/>
          <w:sz w:val="24"/>
          <w:szCs w:val="24"/>
        </w:rPr>
        <w:t>Figure 1C</w:t>
      </w: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106C3D" w:rsidP="008F2E0D">
      <w:pPr>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4555490" cy="3978910"/>
            <wp:effectExtent l="0" t="0" r="0" b="254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5490" cy="3978910"/>
                    </a:xfrm>
                    <a:prstGeom prst="rect">
                      <a:avLst/>
                    </a:prstGeom>
                    <a:noFill/>
                    <a:ln>
                      <a:noFill/>
                    </a:ln>
                  </pic:spPr>
                </pic:pic>
              </a:graphicData>
            </a:graphic>
          </wp:inline>
        </w:drawing>
      </w:r>
    </w:p>
    <w:p w:rsidR="006928BE" w:rsidRPr="00981036" w:rsidRDefault="006928BE" w:rsidP="008F2E0D">
      <w:pPr>
        <w:spacing w:line="360" w:lineRule="auto"/>
        <w:rPr>
          <w:rFonts w:ascii="Book Antiqua" w:hAnsi="Book Antiqua"/>
          <w:sz w:val="24"/>
          <w:szCs w:val="24"/>
        </w:rPr>
      </w:pPr>
      <w:r w:rsidRPr="00981036">
        <w:rPr>
          <w:rFonts w:ascii="Book Antiqua" w:hAnsi="Book Antiqua"/>
          <w:sz w:val="24"/>
          <w:szCs w:val="24"/>
        </w:rPr>
        <w:t>Figure 1D</w:t>
      </w: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p w:rsidR="006928BE" w:rsidRPr="00981036" w:rsidRDefault="006928BE" w:rsidP="008F2E0D">
      <w:pPr>
        <w:spacing w:line="360" w:lineRule="auto"/>
        <w:rPr>
          <w:rFonts w:ascii="Book Antiqua" w:hAnsi="Book Antiqua"/>
          <w:sz w:val="24"/>
          <w:szCs w:val="24"/>
        </w:rPr>
      </w:pPr>
    </w:p>
    <w:sectPr w:rsidR="006928BE" w:rsidRPr="00981036" w:rsidSect="00030F67">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1BF" w:rsidRDefault="004931BF" w:rsidP="00852BD2">
      <w:r>
        <w:separator/>
      </w:r>
    </w:p>
  </w:endnote>
  <w:endnote w:type="continuationSeparator" w:id="0">
    <w:p w:rsidR="004931BF" w:rsidRDefault="004931BF" w:rsidP="0085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1BF" w:rsidRDefault="004931BF" w:rsidP="00852BD2">
      <w:r>
        <w:separator/>
      </w:r>
    </w:p>
  </w:footnote>
  <w:footnote w:type="continuationSeparator" w:id="0">
    <w:p w:rsidR="004931BF" w:rsidRDefault="004931BF" w:rsidP="00852B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800"/>
  <w:displayHorizontalDrawingGridEvery w:val="0"/>
  <w:displayVerticalDrawingGridEvery w:val="2"/>
  <w:noPunctuationKerning/>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C6CE5"/>
    <w:rsid w:val="00020EA2"/>
    <w:rsid w:val="00030F67"/>
    <w:rsid w:val="00033315"/>
    <w:rsid w:val="00071CF7"/>
    <w:rsid w:val="000B3EBF"/>
    <w:rsid w:val="00106C3D"/>
    <w:rsid w:val="00127BE5"/>
    <w:rsid w:val="00177474"/>
    <w:rsid w:val="002A3AB5"/>
    <w:rsid w:val="003738A4"/>
    <w:rsid w:val="003E7D81"/>
    <w:rsid w:val="003F1C59"/>
    <w:rsid w:val="004931BF"/>
    <w:rsid w:val="00496517"/>
    <w:rsid w:val="005779B3"/>
    <w:rsid w:val="00577F27"/>
    <w:rsid w:val="005923CA"/>
    <w:rsid w:val="005C759F"/>
    <w:rsid w:val="005D5BA6"/>
    <w:rsid w:val="005D7218"/>
    <w:rsid w:val="00655B40"/>
    <w:rsid w:val="006928BE"/>
    <w:rsid w:val="007124F4"/>
    <w:rsid w:val="00732C17"/>
    <w:rsid w:val="007C6CE5"/>
    <w:rsid w:val="008019AC"/>
    <w:rsid w:val="00852BD2"/>
    <w:rsid w:val="008859FB"/>
    <w:rsid w:val="008F2E0D"/>
    <w:rsid w:val="00981036"/>
    <w:rsid w:val="009F7BCD"/>
    <w:rsid w:val="00AC0B8B"/>
    <w:rsid w:val="00AE019B"/>
    <w:rsid w:val="00B03277"/>
    <w:rsid w:val="00B81CE5"/>
    <w:rsid w:val="00C94614"/>
    <w:rsid w:val="00CE6BCD"/>
    <w:rsid w:val="00D27F8A"/>
    <w:rsid w:val="00E76F62"/>
    <w:rsid w:val="00EB0C9B"/>
    <w:rsid w:val="00EC31F0"/>
    <w:rsid w:val="00FB5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宋体" w:hAnsi="Malgun Gothic"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CE5"/>
    <w:pPr>
      <w:widowControl w:val="0"/>
      <w:wordWrap w:val="0"/>
      <w:autoSpaceDE w:val="0"/>
      <w:autoSpaceDN w:val="0"/>
      <w:jc w:val="both"/>
    </w:pPr>
    <w:rPr>
      <w:sz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C6CE5"/>
    <w:pPr>
      <w:tabs>
        <w:tab w:val="center" w:pos="4513"/>
        <w:tab w:val="right" w:pos="9026"/>
      </w:tabs>
      <w:snapToGrid w:val="0"/>
    </w:pPr>
  </w:style>
  <w:style w:type="character" w:customStyle="1" w:styleId="Char">
    <w:name w:val="页眉 Char"/>
    <w:basedOn w:val="a0"/>
    <w:link w:val="a3"/>
    <w:uiPriority w:val="99"/>
    <w:locked/>
    <w:rsid w:val="007C6CE5"/>
    <w:rPr>
      <w:rFonts w:cs="Times New Roman"/>
    </w:rPr>
  </w:style>
  <w:style w:type="paragraph" w:styleId="a4">
    <w:name w:val="footer"/>
    <w:basedOn w:val="a"/>
    <w:link w:val="Char0"/>
    <w:uiPriority w:val="99"/>
    <w:rsid w:val="007C6CE5"/>
    <w:pPr>
      <w:tabs>
        <w:tab w:val="center" w:pos="4513"/>
        <w:tab w:val="right" w:pos="9026"/>
      </w:tabs>
      <w:snapToGrid w:val="0"/>
    </w:pPr>
  </w:style>
  <w:style w:type="character" w:customStyle="1" w:styleId="Char0">
    <w:name w:val="页脚 Char"/>
    <w:basedOn w:val="a0"/>
    <w:link w:val="a4"/>
    <w:uiPriority w:val="99"/>
    <w:locked/>
    <w:rsid w:val="007C6CE5"/>
    <w:rPr>
      <w:rFonts w:cs="Times New Roman"/>
    </w:rPr>
  </w:style>
  <w:style w:type="character" w:styleId="a5">
    <w:name w:val="Hyperlink"/>
    <w:basedOn w:val="a0"/>
    <w:uiPriority w:val="99"/>
    <w:rsid w:val="007C6CE5"/>
    <w:rPr>
      <w:rFonts w:cs="Times New Roman"/>
      <w:color w:val="0000FF"/>
      <w:u w:val="single"/>
    </w:rPr>
  </w:style>
  <w:style w:type="paragraph" w:styleId="a6">
    <w:name w:val="Revision"/>
    <w:hidden/>
    <w:uiPriority w:val="99"/>
    <w:semiHidden/>
    <w:rsid w:val="007C6CE5"/>
    <w:rPr>
      <w:sz w:val="20"/>
      <w:lang w:eastAsia="ko-KR"/>
    </w:rPr>
  </w:style>
  <w:style w:type="paragraph" w:styleId="a7">
    <w:name w:val="Balloon Text"/>
    <w:basedOn w:val="a"/>
    <w:link w:val="Char1"/>
    <w:uiPriority w:val="99"/>
    <w:semiHidden/>
    <w:rsid w:val="007C6CE5"/>
    <w:rPr>
      <w:sz w:val="18"/>
      <w:szCs w:val="18"/>
    </w:rPr>
  </w:style>
  <w:style w:type="character" w:customStyle="1" w:styleId="Char1">
    <w:name w:val="批注框文本 Char"/>
    <w:basedOn w:val="a0"/>
    <w:link w:val="a7"/>
    <w:uiPriority w:val="99"/>
    <w:semiHidden/>
    <w:locked/>
    <w:rsid w:val="007C6CE5"/>
    <w:rPr>
      <w:rFonts w:ascii="Malgun Gothic" w:eastAsia="宋体" w:hAnsi="Malgun Gothic" w:cs="Times New Roman"/>
      <w:sz w:val="18"/>
      <w:szCs w:val="18"/>
    </w:rPr>
  </w:style>
  <w:style w:type="character" w:styleId="a8">
    <w:name w:val="annotation reference"/>
    <w:basedOn w:val="a0"/>
    <w:uiPriority w:val="99"/>
    <w:semiHidden/>
    <w:rsid w:val="007C6CE5"/>
    <w:rPr>
      <w:rFonts w:cs="Times New Roman"/>
      <w:sz w:val="18"/>
      <w:szCs w:val="18"/>
    </w:rPr>
  </w:style>
  <w:style w:type="paragraph" w:styleId="a9">
    <w:name w:val="annotation text"/>
    <w:basedOn w:val="a"/>
    <w:link w:val="Char2"/>
    <w:uiPriority w:val="99"/>
    <w:semiHidden/>
    <w:rsid w:val="007C6CE5"/>
    <w:pPr>
      <w:jc w:val="left"/>
    </w:pPr>
  </w:style>
  <w:style w:type="character" w:customStyle="1" w:styleId="Char2">
    <w:name w:val="批注文字 Char"/>
    <w:basedOn w:val="a0"/>
    <w:link w:val="a9"/>
    <w:uiPriority w:val="99"/>
    <w:semiHidden/>
    <w:locked/>
    <w:rsid w:val="007C6CE5"/>
    <w:rPr>
      <w:rFonts w:cs="Times New Roman"/>
    </w:rPr>
  </w:style>
  <w:style w:type="paragraph" w:styleId="aa">
    <w:name w:val="annotation subject"/>
    <w:basedOn w:val="a9"/>
    <w:next w:val="a9"/>
    <w:link w:val="Char3"/>
    <w:uiPriority w:val="99"/>
    <w:semiHidden/>
    <w:rsid w:val="007C6CE5"/>
    <w:rPr>
      <w:b/>
      <w:bCs/>
    </w:rPr>
  </w:style>
  <w:style w:type="character" w:customStyle="1" w:styleId="Char3">
    <w:name w:val="批注主题 Char"/>
    <w:basedOn w:val="Char2"/>
    <w:link w:val="aa"/>
    <w:uiPriority w:val="99"/>
    <w:semiHidden/>
    <w:locked/>
    <w:rsid w:val="007C6CE5"/>
    <w:rPr>
      <w:rFonts w:cs="Times New Roman"/>
      <w:b/>
      <w:bCs/>
    </w:rPr>
  </w:style>
  <w:style w:type="paragraph" w:customStyle="1" w:styleId="EndNoteBibliographyTitle">
    <w:name w:val="EndNote Bibliography Title"/>
    <w:basedOn w:val="a"/>
    <w:link w:val="EndNoteBibliographyTitleChar"/>
    <w:uiPriority w:val="99"/>
    <w:rsid w:val="007C6CE5"/>
    <w:pPr>
      <w:jc w:val="center"/>
    </w:pPr>
    <w:rPr>
      <w:rFonts w:eastAsia="Malgun Gothic"/>
      <w:noProof/>
    </w:rPr>
  </w:style>
  <w:style w:type="character" w:customStyle="1" w:styleId="EndNoteBibliographyTitleChar">
    <w:name w:val="EndNote Bibliography Title Char"/>
    <w:basedOn w:val="a0"/>
    <w:link w:val="EndNoteBibliographyTitle"/>
    <w:uiPriority w:val="99"/>
    <w:locked/>
    <w:rsid w:val="007C6CE5"/>
    <w:rPr>
      <w:rFonts w:ascii="Malgun Gothic" w:eastAsia="Malgun Gothic" w:hAnsi="Malgun Gothic" w:cs="Times New Roman"/>
      <w:noProof/>
    </w:rPr>
  </w:style>
  <w:style w:type="paragraph" w:customStyle="1" w:styleId="EndNoteBibliography">
    <w:name w:val="EndNote Bibliography"/>
    <w:basedOn w:val="a"/>
    <w:link w:val="EndNoteBibliographyChar"/>
    <w:uiPriority w:val="99"/>
    <w:rsid w:val="007C6CE5"/>
    <w:rPr>
      <w:rFonts w:eastAsia="Malgun Gothic"/>
      <w:noProof/>
    </w:rPr>
  </w:style>
  <w:style w:type="character" w:customStyle="1" w:styleId="EndNoteBibliographyChar">
    <w:name w:val="EndNote Bibliography Char"/>
    <w:basedOn w:val="a0"/>
    <w:link w:val="EndNoteBibliography"/>
    <w:uiPriority w:val="99"/>
    <w:locked/>
    <w:rsid w:val="007C6CE5"/>
    <w:rPr>
      <w:rFonts w:ascii="Malgun Gothic" w:eastAsia="Malgun Gothic" w:hAnsi="Malgun Gothic" w:cs="Times New Roman"/>
      <w:noProof/>
    </w:rPr>
  </w:style>
  <w:style w:type="paragraph" w:styleId="ab">
    <w:name w:val="Normal (Web)"/>
    <w:basedOn w:val="a"/>
    <w:link w:val="Char4"/>
    <w:uiPriority w:val="99"/>
    <w:rsid w:val="007C6CE5"/>
    <w:pPr>
      <w:widowControl/>
      <w:wordWrap/>
      <w:autoSpaceDE/>
      <w:autoSpaceDN/>
      <w:spacing w:before="100" w:beforeAutospacing="1" w:after="100" w:afterAutospacing="1"/>
      <w:jc w:val="left"/>
    </w:pPr>
    <w:rPr>
      <w:rFonts w:ascii="Gulim" w:eastAsia="Gulim" w:hAnsi="Gulim"/>
      <w:kern w:val="0"/>
      <w:sz w:val="24"/>
      <w:szCs w:val="24"/>
      <w:lang w:eastAsia="zh-CN"/>
    </w:rPr>
  </w:style>
  <w:style w:type="character" w:customStyle="1" w:styleId="Char4">
    <w:name w:val="普通(网站) Char"/>
    <w:link w:val="ab"/>
    <w:uiPriority w:val="99"/>
    <w:locked/>
    <w:rsid w:val="007C6CE5"/>
    <w:rPr>
      <w:rFonts w:ascii="Gulim" w:eastAsia="Gulim" w:hAnsi="Gulim"/>
      <w:kern w:val="0"/>
      <w:sz w:val="24"/>
    </w:rPr>
  </w:style>
  <w:style w:type="paragraph" w:customStyle="1" w:styleId="p0">
    <w:name w:val="p0"/>
    <w:basedOn w:val="a"/>
    <w:uiPriority w:val="99"/>
    <w:rsid w:val="007124F4"/>
    <w:pPr>
      <w:widowControl/>
      <w:wordWrap/>
      <w:autoSpaceDE/>
      <w:autoSpaceDN/>
      <w:spacing w:line="240" w:lineRule="atLeast"/>
      <w:jc w:val="left"/>
    </w:pPr>
    <w:rPr>
      <w:rFonts w:ascii="Century" w:hAnsi="Century" w:cs="宋体"/>
      <w:kern w:val="0"/>
      <w:sz w:val="21"/>
      <w:szCs w:val="21"/>
      <w:lang w:eastAsia="zh-CN"/>
    </w:rPr>
  </w:style>
  <w:style w:type="character" w:styleId="ac">
    <w:name w:val="Strong"/>
    <w:basedOn w:val="a0"/>
    <w:uiPriority w:val="99"/>
    <w:qFormat/>
    <w:rsid w:val="00D27F8A"/>
    <w:rPr>
      <w:rFonts w:cs="Times New Roman"/>
      <w:b/>
    </w:rPr>
  </w:style>
  <w:style w:type="paragraph" w:styleId="ad">
    <w:name w:val="List Paragraph"/>
    <w:basedOn w:val="a"/>
    <w:uiPriority w:val="99"/>
    <w:qFormat/>
    <w:rsid w:val="00D27F8A"/>
    <w:pPr>
      <w:widowControl/>
      <w:suppressAutoHyphens/>
      <w:wordWrap/>
      <w:autoSpaceDE/>
      <w:autoSpaceDN/>
      <w:ind w:firstLineChars="200" w:firstLine="420"/>
      <w:jc w:val="left"/>
    </w:pPr>
    <w:rPr>
      <w:rFonts w:ascii="Times New Roman" w:hAnsi="Times New Roman"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宋体" w:hAnsi="Malgun Gothic"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CE5"/>
    <w:pPr>
      <w:widowControl w:val="0"/>
      <w:wordWrap w:val="0"/>
      <w:autoSpaceDE w:val="0"/>
      <w:autoSpaceDN w:val="0"/>
      <w:jc w:val="both"/>
    </w:pPr>
    <w:rPr>
      <w:sz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C6CE5"/>
    <w:pPr>
      <w:tabs>
        <w:tab w:val="center" w:pos="4513"/>
        <w:tab w:val="right" w:pos="9026"/>
      </w:tabs>
      <w:snapToGrid w:val="0"/>
    </w:pPr>
  </w:style>
  <w:style w:type="character" w:customStyle="1" w:styleId="Char">
    <w:name w:val="页眉 Char"/>
    <w:basedOn w:val="a0"/>
    <w:link w:val="a3"/>
    <w:uiPriority w:val="99"/>
    <w:locked/>
    <w:rsid w:val="007C6CE5"/>
    <w:rPr>
      <w:rFonts w:cs="Times New Roman"/>
    </w:rPr>
  </w:style>
  <w:style w:type="paragraph" w:styleId="a4">
    <w:name w:val="footer"/>
    <w:basedOn w:val="a"/>
    <w:link w:val="Char0"/>
    <w:uiPriority w:val="99"/>
    <w:rsid w:val="007C6CE5"/>
    <w:pPr>
      <w:tabs>
        <w:tab w:val="center" w:pos="4513"/>
        <w:tab w:val="right" w:pos="9026"/>
      </w:tabs>
      <w:snapToGrid w:val="0"/>
    </w:pPr>
  </w:style>
  <w:style w:type="character" w:customStyle="1" w:styleId="Char0">
    <w:name w:val="页脚 Char"/>
    <w:basedOn w:val="a0"/>
    <w:link w:val="a4"/>
    <w:uiPriority w:val="99"/>
    <w:locked/>
    <w:rsid w:val="007C6CE5"/>
    <w:rPr>
      <w:rFonts w:cs="Times New Roman"/>
    </w:rPr>
  </w:style>
  <w:style w:type="character" w:styleId="a5">
    <w:name w:val="Hyperlink"/>
    <w:basedOn w:val="a0"/>
    <w:uiPriority w:val="99"/>
    <w:rsid w:val="007C6CE5"/>
    <w:rPr>
      <w:rFonts w:cs="Times New Roman"/>
      <w:color w:val="0000FF"/>
      <w:u w:val="single"/>
    </w:rPr>
  </w:style>
  <w:style w:type="paragraph" w:styleId="a6">
    <w:name w:val="Revision"/>
    <w:hidden/>
    <w:uiPriority w:val="99"/>
    <w:semiHidden/>
    <w:rsid w:val="007C6CE5"/>
    <w:rPr>
      <w:sz w:val="20"/>
      <w:lang w:eastAsia="ko-KR"/>
    </w:rPr>
  </w:style>
  <w:style w:type="paragraph" w:styleId="a7">
    <w:name w:val="Balloon Text"/>
    <w:basedOn w:val="a"/>
    <w:link w:val="Char1"/>
    <w:uiPriority w:val="99"/>
    <w:semiHidden/>
    <w:rsid w:val="007C6CE5"/>
    <w:rPr>
      <w:sz w:val="18"/>
      <w:szCs w:val="18"/>
    </w:rPr>
  </w:style>
  <w:style w:type="character" w:customStyle="1" w:styleId="Char1">
    <w:name w:val="批注框文本 Char"/>
    <w:basedOn w:val="a0"/>
    <w:link w:val="a7"/>
    <w:uiPriority w:val="99"/>
    <w:semiHidden/>
    <w:locked/>
    <w:rsid w:val="007C6CE5"/>
    <w:rPr>
      <w:rFonts w:ascii="Malgun Gothic" w:eastAsia="宋体" w:hAnsi="Malgun Gothic" w:cs="Times New Roman"/>
      <w:sz w:val="18"/>
      <w:szCs w:val="18"/>
    </w:rPr>
  </w:style>
  <w:style w:type="character" w:styleId="a8">
    <w:name w:val="annotation reference"/>
    <w:basedOn w:val="a0"/>
    <w:uiPriority w:val="99"/>
    <w:semiHidden/>
    <w:rsid w:val="007C6CE5"/>
    <w:rPr>
      <w:rFonts w:cs="Times New Roman"/>
      <w:sz w:val="18"/>
      <w:szCs w:val="18"/>
    </w:rPr>
  </w:style>
  <w:style w:type="paragraph" w:styleId="a9">
    <w:name w:val="annotation text"/>
    <w:basedOn w:val="a"/>
    <w:link w:val="Char2"/>
    <w:uiPriority w:val="99"/>
    <w:semiHidden/>
    <w:rsid w:val="007C6CE5"/>
    <w:pPr>
      <w:jc w:val="left"/>
    </w:pPr>
  </w:style>
  <w:style w:type="character" w:customStyle="1" w:styleId="Char2">
    <w:name w:val="批注文字 Char"/>
    <w:basedOn w:val="a0"/>
    <w:link w:val="a9"/>
    <w:uiPriority w:val="99"/>
    <w:semiHidden/>
    <w:locked/>
    <w:rsid w:val="007C6CE5"/>
    <w:rPr>
      <w:rFonts w:cs="Times New Roman"/>
    </w:rPr>
  </w:style>
  <w:style w:type="paragraph" w:styleId="aa">
    <w:name w:val="annotation subject"/>
    <w:basedOn w:val="a9"/>
    <w:next w:val="a9"/>
    <w:link w:val="Char3"/>
    <w:uiPriority w:val="99"/>
    <w:semiHidden/>
    <w:rsid w:val="007C6CE5"/>
    <w:rPr>
      <w:b/>
      <w:bCs/>
    </w:rPr>
  </w:style>
  <w:style w:type="character" w:customStyle="1" w:styleId="Char3">
    <w:name w:val="批注主题 Char"/>
    <w:basedOn w:val="Char2"/>
    <w:link w:val="aa"/>
    <w:uiPriority w:val="99"/>
    <w:semiHidden/>
    <w:locked/>
    <w:rsid w:val="007C6CE5"/>
    <w:rPr>
      <w:rFonts w:cs="Times New Roman"/>
      <w:b/>
      <w:bCs/>
    </w:rPr>
  </w:style>
  <w:style w:type="paragraph" w:customStyle="1" w:styleId="EndNoteBibliographyTitle">
    <w:name w:val="EndNote Bibliography Title"/>
    <w:basedOn w:val="a"/>
    <w:link w:val="EndNoteBibliographyTitleChar"/>
    <w:uiPriority w:val="99"/>
    <w:rsid w:val="007C6CE5"/>
    <w:pPr>
      <w:jc w:val="center"/>
    </w:pPr>
    <w:rPr>
      <w:rFonts w:eastAsia="Malgun Gothic"/>
      <w:noProof/>
    </w:rPr>
  </w:style>
  <w:style w:type="character" w:customStyle="1" w:styleId="EndNoteBibliographyTitleChar">
    <w:name w:val="EndNote Bibliography Title Char"/>
    <w:basedOn w:val="a0"/>
    <w:link w:val="EndNoteBibliographyTitle"/>
    <w:uiPriority w:val="99"/>
    <w:locked/>
    <w:rsid w:val="007C6CE5"/>
    <w:rPr>
      <w:rFonts w:ascii="Malgun Gothic" w:eastAsia="Malgun Gothic" w:hAnsi="Malgun Gothic" w:cs="Times New Roman"/>
      <w:noProof/>
    </w:rPr>
  </w:style>
  <w:style w:type="paragraph" w:customStyle="1" w:styleId="EndNoteBibliography">
    <w:name w:val="EndNote Bibliography"/>
    <w:basedOn w:val="a"/>
    <w:link w:val="EndNoteBibliographyChar"/>
    <w:uiPriority w:val="99"/>
    <w:rsid w:val="007C6CE5"/>
    <w:rPr>
      <w:rFonts w:eastAsia="Malgun Gothic"/>
      <w:noProof/>
    </w:rPr>
  </w:style>
  <w:style w:type="character" w:customStyle="1" w:styleId="EndNoteBibliographyChar">
    <w:name w:val="EndNote Bibliography Char"/>
    <w:basedOn w:val="a0"/>
    <w:link w:val="EndNoteBibliography"/>
    <w:uiPriority w:val="99"/>
    <w:locked/>
    <w:rsid w:val="007C6CE5"/>
    <w:rPr>
      <w:rFonts w:ascii="Malgun Gothic" w:eastAsia="Malgun Gothic" w:hAnsi="Malgun Gothic" w:cs="Times New Roman"/>
      <w:noProof/>
    </w:rPr>
  </w:style>
  <w:style w:type="paragraph" w:styleId="ab">
    <w:name w:val="Normal (Web)"/>
    <w:basedOn w:val="a"/>
    <w:link w:val="Char4"/>
    <w:uiPriority w:val="99"/>
    <w:rsid w:val="007C6CE5"/>
    <w:pPr>
      <w:widowControl/>
      <w:wordWrap/>
      <w:autoSpaceDE/>
      <w:autoSpaceDN/>
      <w:spacing w:before="100" w:beforeAutospacing="1" w:after="100" w:afterAutospacing="1"/>
      <w:jc w:val="left"/>
    </w:pPr>
    <w:rPr>
      <w:rFonts w:ascii="Gulim" w:eastAsia="Gulim" w:hAnsi="Gulim"/>
      <w:kern w:val="0"/>
      <w:sz w:val="24"/>
      <w:szCs w:val="24"/>
      <w:lang w:eastAsia="zh-CN"/>
    </w:rPr>
  </w:style>
  <w:style w:type="character" w:customStyle="1" w:styleId="Char4">
    <w:name w:val="普通(网站) Char"/>
    <w:link w:val="ab"/>
    <w:uiPriority w:val="99"/>
    <w:locked/>
    <w:rsid w:val="007C6CE5"/>
    <w:rPr>
      <w:rFonts w:ascii="Gulim" w:eastAsia="Gulim" w:hAnsi="Gulim"/>
      <w:kern w:val="0"/>
      <w:sz w:val="24"/>
    </w:rPr>
  </w:style>
  <w:style w:type="paragraph" w:customStyle="1" w:styleId="p0">
    <w:name w:val="p0"/>
    <w:basedOn w:val="a"/>
    <w:uiPriority w:val="99"/>
    <w:rsid w:val="007124F4"/>
    <w:pPr>
      <w:widowControl/>
      <w:wordWrap/>
      <w:autoSpaceDE/>
      <w:autoSpaceDN/>
      <w:spacing w:line="240" w:lineRule="atLeast"/>
      <w:jc w:val="left"/>
    </w:pPr>
    <w:rPr>
      <w:rFonts w:ascii="Century" w:hAnsi="Century" w:cs="宋体"/>
      <w:kern w:val="0"/>
      <w:sz w:val="21"/>
      <w:szCs w:val="21"/>
      <w:lang w:eastAsia="zh-CN"/>
    </w:rPr>
  </w:style>
  <w:style w:type="character" w:styleId="ac">
    <w:name w:val="Strong"/>
    <w:basedOn w:val="a0"/>
    <w:uiPriority w:val="99"/>
    <w:qFormat/>
    <w:rsid w:val="00D27F8A"/>
    <w:rPr>
      <w:rFonts w:cs="Times New Roman"/>
      <w:b/>
    </w:rPr>
  </w:style>
  <w:style w:type="paragraph" w:styleId="ad">
    <w:name w:val="List Paragraph"/>
    <w:basedOn w:val="a"/>
    <w:uiPriority w:val="99"/>
    <w:qFormat/>
    <w:rsid w:val="00D27F8A"/>
    <w:pPr>
      <w:widowControl/>
      <w:suppressAutoHyphens/>
      <w:wordWrap/>
      <w:autoSpaceDE/>
      <w:autoSpaceDN/>
      <w:ind w:firstLineChars="200" w:firstLine="420"/>
      <w:jc w:val="left"/>
    </w:pPr>
    <w:rPr>
      <w:rFonts w:ascii="Times New Roman"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23513">
      <w:marLeft w:val="0"/>
      <w:marRight w:val="0"/>
      <w:marTop w:val="0"/>
      <w:marBottom w:val="0"/>
      <w:divBdr>
        <w:top w:val="none" w:sz="0" w:space="0" w:color="auto"/>
        <w:left w:val="none" w:sz="0" w:space="0" w:color="auto"/>
        <w:bottom w:val="none" w:sz="0" w:space="0" w:color="auto"/>
        <w:right w:val="none" w:sz="0" w:space="0" w:color="auto"/>
      </w:divBdr>
      <w:divsChild>
        <w:div w:id="710423501">
          <w:marLeft w:val="0"/>
          <w:marRight w:val="0"/>
          <w:marTop w:val="0"/>
          <w:marBottom w:val="0"/>
          <w:divBdr>
            <w:top w:val="none" w:sz="0" w:space="0" w:color="auto"/>
            <w:left w:val="none" w:sz="0" w:space="0" w:color="auto"/>
            <w:bottom w:val="none" w:sz="0" w:space="0" w:color="auto"/>
            <w:right w:val="none" w:sz="0" w:space="0" w:color="auto"/>
          </w:divBdr>
          <w:divsChild>
            <w:div w:id="710423496">
              <w:marLeft w:val="0"/>
              <w:marRight w:val="0"/>
              <w:marTop w:val="0"/>
              <w:marBottom w:val="0"/>
              <w:divBdr>
                <w:top w:val="none" w:sz="0" w:space="0" w:color="auto"/>
                <w:left w:val="none" w:sz="0" w:space="0" w:color="auto"/>
                <w:bottom w:val="none" w:sz="0" w:space="0" w:color="auto"/>
                <w:right w:val="none" w:sz="0" w:space="0" w:color="auto"/>
              </w:divBdr>
            </w:div>
            <w:div w:id="710423497">
              <w:marLeft w:val="0"/>
              <w:marRight w:val="0"/>
              <w:marTop w:val="0"/>
              <w:marBottom w:val="0"/>
              <w:divBdr>
                <w:top w:val="none" w:sz="0" w:space="0" w:color="auto"/>
                <w:left w:val="none" w:sz="0" w:space="0" w:color="auto"/>
                <w:bottom w:val="none" w:sz="0" w:space="0" w:color="auto"/>
                <w:right w:val="none" w:sz="0" w:space="0" w:color="auto"/>
              </w:divBdr>
            </w:div>
            <w:div w:id="710423498">
              <w:marLeft w:val="0"/>
              <w:marRight w:val="0"/>
              <w:marTop w:val="0"/>
              <w:marBottom w:val="0"/>
              <w:divBdr>
                <w:top w:val="none" w:sz="0" w:space="0" w:color="auto"/>
                <w:left w:val="none" w:sz="0" w:space="0" w:color="auto"/>
                <w:bottom w:val="none" w:sz="0" w:space="0" w:color="auto"/>
                <w:right w:val="none" w:sz="0" w:space="0" w:color="auto"/>
              </w:divBdr>
            </w:div>
            <w:div w:id="710423499">
              <w:marLeft w:val="0"/>
              <w:marRight w:val="0"/>
              <w:marTop w:val="0"/>
              <w:marBottom w:val="0"/>
              <w:divBdr>
                <w:top w:val="none" w:sz="0" w:space="0" w:color="auto"/>
                <w:left w:val="none" w:sz="0" w:space="0" w:color="auto"/>
                <w:bottom w:val="none" w:sz="0" w:space="0" w:color="auto"/>
                <w:right w:val="none" w:sz="0" w:space="0" w:color="auto"/>
              </w:divBdr>
            </w:div>
            <w:div w:id="710423500">
              <w:marLeft w:val="0"/>
              <w:marRight w:val="0"/>
              <w:marTop w:val="0"/>
              <w:marBottom w:val="0"/>
              <w:divBdr>
                <w:top w:val="none" w:sz="0" w:space="0" w:color="auto"/>
                <w:left w:val="none" w:sz="0" w:space="0" w:color="auto"/>
                <w:bottom w:val="none" w:sz="0" w:space="0" w:color="auto"/>
                <w:right w:val="none" w:sz="0" w:space="0" w:color="auto"/>
              </w:divBdr>
            </w:div>
            <w:div w:id="710423502">
              <w:marLeft w:val="0"/>
              <w:marRight w:val="0"/>
              <w:marTop w:val="0"/>
              <w:marBottom w:val="0"/>
              <w:divBdr>
                <w:top w:val="none" w:sz="0" w:space="0" w:color="auto"/>
                <w:left w:val="none" w:sz="0" w:space="0" w:color="auto"/>
                <w:bottom w:val="none" w:sz="0" w:space="0" w:color="auto"/>
                <w:right w:val="none" w:sz="0" w:space="0" w:color="auto"/>
              </w:divBdr>
            </w:div>
            <w:div w:id="710423503">
              <w:marLeft w:val="0"/>
              <w:marRight w:val="0"/>
              <w:marTop w:val="0"/>
              <w:marBottom w:val="0"/>
              <w:divBdr>
                <w:top w:val="none" w:sz="0" w:space="0" w:color="auto"/>
                <w:left w:val="none" w:sz="0" w:space="0" w:color="auto"/>
                <w:bottom w:val="none" w:sz="0" w:space="0" w:color="auto"/>
                <w:right w:val="none" w:sz="0" w:space="0" w:color="auto"/>
              </w:divBdr>
            </w:div>
            <w:div w:id="710423504">
              <w:marLeft w:val="0"/>
              <w:marRight w:val="0"/>
              <w:marTop w:val="0"/>
              <w:marBottom w:val="0"/>
              <w:divBdr>
                <w:top w:val="none" w:sz="0" w:space="0" w:color="auto"/>
                <w:left w:val="none" w:sz="0" w:space="0" w:color="auto"/>
                <w:bottom w:val="none" w:sz="0" w:space="0" w:color="auto"/>
                <w:right w:val="none" w:sz="0" w:space="0" w:color="auto"/>
              </w:divBdr>
            </w:div>
            <w:div w:id="710423505">
              <w:marLeft w:val="0"/>
              <w:marRight w:val="0"/>
              <w:marTop w:val="0"/>
              <w:marBottom w:val="0"/>
              <w:divBdr>
                <w:top w:val="none" w:sz="0" w:space="0" w:color="auto"/>
                <w:left w:val="none" w:sz="0" w:space="0" w:color="auto"/>
                <w:bottom w:val="none" w:sz="0" w:space="0" w:color="auto"/>
                <w:right w:val="none" w:sz="0" w:space="0" w:color="auto"/>
              </w:divBdr>
            </w:div>
            <w:div w:id="710423506">
              <w:marLeft w:val="0"/>
              <w:marRight w:val="0"/>
              <w:marTop w:val="0"/>
              <w:marBottom w:val="0"/>
              <w:divBdr>
                <w:top w:val="none" w:sz="0" w:space="0" w:color="auto"/>
                <w:left w:val="none" w:sz="0" w:space="0" w:color="auto"/>
                <w:bottom w:val="none" w:sz="0" w:space="0" w:color="auto"/>
                <w:right w:val="none" w:sz="0" w:space="0" w:color="auto"/>
              </w:divBdr>
            </w:div>
            <w:div w:id="710423507">
              <w:marLeft w:val="0"/>
              <w:marRight w:val="0"/>
              <w:marTop w:val="0"/>
              <w:marBottom w:val="0"/>
              <w:divBdr>
                <w:top w:val="none" w:sz="0" w:space="0" w:color="auto"/>
                <w:left w:val="none" w:sz="0" w:space="0" w:color="auto"/>
                <w:bottom w:val="none" w:sz="0" w:space="0" w:color="auto"/>
                <w:right w:val="none" w:sz="0" w:space="0" w:color="auto"/>
              </w:divBdr>
            </w:div>
            <w:div w:id="710423508">
              <w:marLeft w:val="0"/>
              <w:marRight w:val="0"/>
              <w:marTop w:val="0"/>
              <w:marBottom w:val="0"/>
              <w:divBdr>
                <w:top w:val="none" w:sz="0" w:space="0" w:color="auto"/>
                <w:left w:val="none" w:sz="0" w:space="0" w:color="auto"/>
                <w:bottom w:val="none" w:sz="0" w:space="0" w:color="auto"/>
                <w:right w:val="none" w:sz="0" w:space="0" w:color="auto"/>
              </w:divBdr>
            </w:div>
            <w:div w:id="710423509">
              <w:marLeft w:val="0"/>
              <w:marRight w:val="0"/>
              <w:marTop w:val="0"/>
              <w:marBottom w:val="0"/>
              <w:divBdr>
                <w:top w:val="none" w:sz="0" w:space="0" w:color="auto"/>
                <w:left w:val="none" w:sz="0" w:space="0" w:color="auto"/>
                <w:bottom w:val="none" w:sz="0" w:space="0" w:color="auto"/>
                <w:right w:val="none" w:sz="0" w:space="0" w:color="auto"/>
              </w:divBdr>
            </w:div>
            <w:div w:id="710423510">
              <w:marLeft w:val="0"/>
              <w:marRight w:val="0"/>
              <w:marTop w:val="0"/>
              <w:marBottom w:val="0"/>
              <w:divBdr>
                <w:top w:val="none" w:sz="0" w:space="0" w:color="auto"/>
                <w:left w:val="none" w:sz="0" w:space="0" w:color="auto"/>
                <w:bottom w:val="none" w:sz="0" w:space="0" w:color="auto"/>
                <w:right w:val="none" w:sz="0" w:space="0" w:color="auto"/>
              </w:divBdr>
            </w:div>
            <w:div w:id="710423511">
              <w:marLeft w:val="0"/>
              <w:marRight w:val="0"/>
              <w:marTop w:val="0"/>
              <w:marBottom w:val="0"/>
              <w:divBdr>
                <w:top w:val="none" w:sz="0" w:space="0" w:color="auto"/>
                <w:left w:val="none" w:sz="0" w:space="0" w:color="auto"/>
                <w:bottom w:val="none" w:sz="0" w:space="0" w:color="auto"/>
                <w:right w:val="none" w:sz="0" w:space="0" w:color="auto"/>
              </w:divBdr>
            </w:div>
            <w:div w:id="710423512">
              <w:marLeft w:val="0"/>
              <w:marRight w:val="0"/>
              <w:marTop w:val="0"/>
              <w:marBottom w:val="0"/>
              <w:divBdr>
                <w:top w:val="none" w:sz="0" w:space="0" w:color="auto"/>
                <w:left w:val="none" w:sz="0" w:space="0" w:color="auto"/>
                <w:bottom w:val="none" w:sz="0" w:space="0" w:color="auto"/>
                <w:right w:val="none" w:sz="0" w:space="0" w:color="auto"/>
              </w:divBdr>
            </w:div>
            <w:div w:id="710423514">
              <w:marLeft w:val="0"/>
              <w:marRight w:val="0"/>
              <w:marTop w:val="0"/>
              <w:marBottom w:val="0"/>
              <w:divBdr>
                <w:top w:val="none" w:sz="0" w:space="0" w:color="auto"/>
                <w:left w:val="none" w:sz="0" w:space="0" w:color="auto"/>
                <w:bottom w:val="none" w:sz="0" w:space="0" w:color="auto"/>
                <w:right w:val="none" w:sz="0" w:space="0" w:color="auto"/>
              </w:divBdr>
            </w:div>
            <w:div w:id="710423515">
              <w:marLeft w:val="0"/>
              <w:marRight w:val="0"/>
              <w:marTop w:val="0"/>
              <w:marBottom w:val="0"/>
              <w:divBdr>
                <w:top w:val="none" w:sz="0" w:space="0" w:color="auto"/>
                <w:left w:val="none" w:sz="0" w:space="0" w:color="auto"/>
                <w:bottom w:val="none" w:sz="0" w:space="0" w:color="auto"/>
                <w:right w:val="none" w:sz="0" w:space="0" w:color="auto"/>
              </w:divBdr>
            </w:div>
            <w:div w:id="710423516">
              <w:marLeft w:val="0"/>
              <w:marRight w:val="0"/>
              <w:marTop w:val="0"/>
              <w:marBottom w:val="0"/>
              <w:divBdr>
                <w:top w:val="none" w:sz="0" w:space="0" w:color="auto"/>
                <w:left w:val="none" w:sz="0" w:space="0" w:color="auto"/>
                <w:bottom w:val="none" w:sz="0" w:space="0" w:color="auto"/>
                <w:right w:val="none" w:sz="0" w:space="0" w:color="auto"/>
              </w:divBdr>
            </w:div>
            <w:div w:id="710423517">
              <w:marLeft w:val="0"/>
              <w:marRight w:val="0"/>
              <w:marTop w:val="0"/>
              <w:marBottom w:val="0"/>
              <w:divBdr>
                <w:top w:val="none" w:sz="0" w:space="0" w:color="auto"/>
                <w:left w:val="none" w:sz="0" w:space="0" w:color="auto"/>
                <w:bottom w:val="none" w:sz="0" w:space="0" w:color="auto"/>
                <w:right w:val="none" w:sz="0" w:space="0" w:color="auto"/>
              </w:divBdr>
            </w:div>
            <w:div w:id="710423518">
              <w:marLeft w:val="0"/>
              <w:marRight w:val="0"/>
              <w:marTop w:val="0"/>
              <w:marBottom w:val="0"/>
              <w:divBdr>
                <w:top w:val="none" w:sz="0" w:space="0" w:color="auto"/>
                <w:left w:val="none" w:sz="0" w:space="0" w:color="auto"/>
                <w:bottom w:val="none" w:sz="0" w:space="0" w:color="auto"/>
                <w:right w:val="none" w:sz="0" w:space="0" w:color="auto"/>
              </w:divBdr>
            </w:div>
            <w:div w:id="710423519">
              <w:marLeft w:val="0"/>
              <w:marRight w:val="0"/>
              <w:marTop w:val="0"/>
              <w:marBottom w:val="0"/>
              <w:divBdr>
                <w:top w:val="none" w:sz="0" w:space="0" w:color="auto"/>
                <w:left w:val="none" w:sz="0" w:space="0" w:color="auto"/>
                <w:bottom w:val="none" w:sz="0" w:space="0" w:color="auto"/>
                <w:right w:val="none" w:sz="0" w:space="0" w:color="auto"/>
              </w:divBdr>
            </w:div>
            <w:div w:id="710423520">
              <w:marLeft w:val="0"/>
              <w:marRight w:val="0"/>
              <w:marTop w:val="0"/>
              <w:marBottom w:val="0"/>
              <w:divBdr>
                <w:top w:val="none" w:sz="0" w:space="0" w:color="auto"/>
                <w:left w:val="none" w:sz="0" w:space="0" w:color="auto"/>
                <w:bottom w:val="none" w:sz="0" w:space="0" w:color="auto"/>
                <w:right w:val="none" w:sz="0" w:space="0" w:color="auto"/>
              </w:divBdr>
            </w:div>
            <w:div w:id="7104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4545</Words>
  <Characters>25908</Characters>
  <Application>Microsoft Office Word</Application>
  <DocSecurity>0</DocSecurity>
  <Lines>215</Lines>
  <Paragraphs>60</Paragraphs>
  <ScaleCrop>false</ScaleCrop>
  <Company>NEX Edition</Company>
  <LinksUpToDate>false</LinksUpToDate>
  <CharactersWithSpaces>30393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Digital NEX</dc:creator>
  <cp:lastModifiedBy>LS Ma</cp:lastModifiedBy>
  <cp:revision>2</cp:revision>
  <dcterms:created xsi:type="dcterms:W3CDTF">2014-05-25T15:21:00Z</dcterms:created>
  <dcterms:modified xsi:type="dcterms:W3CDTF">2014-05-25T15:21:00Z</dcterms:modified>
</cp:coreProperties>
</file>