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9" w:rsidRPr="00493B93" w:rsidRDefault="007B3939" w:rsidP="007F0361">
      <w:pPr>
        <w:snapToGrid w:val="0"/>
        <w:spacing w:after="0" w:line="360" w:lineRule="auto"/>
        <w:rPr>
          <w:rFonts w:ascii="Book Antiqua" w:hAnsi="Book Antiqua" w:cs="Simsun"/>
          <w:i/>
          <w:color w:val="000000" w:themeColor="text1"/>
          <w:sz w:val="24"/>
          <w:szCs w:val="24"/>
        </w:rPr>
      </w:pPr>
      <w:r w:rsidRPr="00493B93">
        <w:rPr>
          <w:rFonts w:ascii="Book Antiqua" w:hAnsi="Book Antiqua" w:cs="Simsun"/>
          <w:b/>
          <w:color w:val="000000" w:themeColor="text1"/>
          <w:sz w:val="24"/>
          <w:szCs w:val="24"/>
        </w:rPr>
        <w:t>Name of journal:</w:t>
      </w:r>
      <w:r w:rsidR="00616956" w:rsidRPr="00493B93">
        <w:rPr>
          <w:rFonts w:ascii="Book Antiqua" w:hAnsi="Book Antiqua" w:cs="Simsun"/>
          <w:b/>
          <w:color w:val="000000" w:themeColor="text1"/>
          <w:sz w:val="24"/>
          <w:szCs w:val="24"/>
        </w:rPr>
        <w:t xml:space="preserve"> </w:t>
      </w:r>
      <w:r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Gastroenterology</w:t>
      </w:r>
    </w:p>
    <w:p w:rsidR="007B3939" w:rsidRPr="00493B93" w:rsidRDefault="007B3939" w:rsidP="007F0361">
      <w:pPr>
        <w:snapToGrid w:val="0"/>
        <w:spacing w:after="0" w:line="360" w:lineRule="auto"/>
        <w:rPr>
          <w:rFonts w:ascii="Book Antiqua" w:hAnsi="Book Antiqua" w:cs="Arial"/>
          <w:b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Arial"/>
          <w:b/>
          <w:color w:val="000000" w:themeColor="text1"/>
          <w:sz w:val="24"/>
          <w:szCs w:val="24"/>
        </w:rPr>
        <w:t>ESPS Manuscript NO: 10954</w:t>
      </w:r>
    </w:p>
    <w:p w:rsidR="001B4860" w:rsidRPr="00493B93" w:rsidRDefault="001B4860" w:rsidP="007F0361">
      <w:pPr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/>
          <w:b/>
          <w:color w:val="000000" w:themeColor="text1"/>
          <w:sz w:val="24"/>
          <w:szCs w:val="24"/>
        </w:rPr>
        <w:t>Columns:</w:t>
      </w:r>
      <w:r w:rsidR="000A3385" w:rsidRPr="00493B93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11FF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ORIGINAL ARTICLE</w:t>
      </w:r>
    </w:p>
    <w:p w:rsidR="001B4860" w:rsidRPr="00B11FFB" w:rsidRDefault="00B11FFB" w:rsidP="007F0361">
      <w:pPr>
        <w:snapToGrid w:val="0"/>
        <w:spacing w:after="0" w:line="360" w:lineRule="auto"/>
        <w:rPr>
          <w:rFonts w:ascii="Book Antiqua" w:hAnsi="Book Antiqua" w:cs="Simsun"/>
          <w:b/>
          <w:i/>
          <w:color w:val="000000" w:themeColor="text1"/>
          <w:sz w:val="24"/>
          <w:szCs w:val="24"/>
          <w:lang w:eastAsia="zh-CN"/>
        </w:rPr>
      </w:pPr>
      <w:r w:rsidRPr="00B11FFB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Prospective Study</w:t>
      </w:r>
    </w:p>
    <w:p w:rsidR="00E12D4C" w:rsidRPr="00493B93" w:rsidRDefault="007B3939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Gastroesophageal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reflux in asymptomatic obese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1CB5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subjects</w:t>
      </w: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: An esophageal impedance-pH study</w:t>
      </w:r>
    </w:p>
    <w:p w:rsidR="001B4860" w:rsidRPr="00493B93" w:rsidRDefault="001B4860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7B3939" w:rsidRPr="00493B93" w:rsidRDefault="007B3939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Akyuz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 </w:t>
      </w:r>
      <w:r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et al.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Obesity and reflux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6250BE" w:rsidRPr="00493B93" w:rsidRDefault="00E12D4C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Filiz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Akyüz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Ahmet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Uyanıkoglu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Fatih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Ermis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Serpil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Arıcı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Ümit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Akyüz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Bülent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Baran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50BE" w:rsidRPr="00493B93">
        <w:rPr>
          <w:rFonts w:ascii="Book Antiqua" w:hAnsi="Book Antiqua" w:cs="Times New Roman"/>
          <w:color w:val="000000" w:themeColor="text1"/>
          <w:sz w:val="24"/>
          <w:szCs w:val="24"/>
        </w:rPr>
        <w:t>Binnur</w:t>
      </w:r>
      <w:proofErr w:type="spellEnd"/>
      <w:r w:rsidR="006250BE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50BE" w:rsidRPr="00493B93">
        <w:rPr>
          <w:rFonts w:ascii="Book Antiqua" w:hAnsi="Book Antiqua" w:cs="Times New Roman"/>
          <w:color w:val="000000" w:themeColor="text1"/>
          <w:sz w:val="24"/>
          <w:szCs w:val="24"/>
        </w:rPr>
        <w:t>Pinarbasi</w:t>
      </w:r>
      <w:proofErr w:type="spellEnd"/>
      <w:r w:rsidR="006250BE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Nurdan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Gul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AE653D" w:rsidRPr="00493B93" w:rsidRDefault="00AE653D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Filiz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Akyüz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Serpil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Arici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Bülent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Baran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Binnur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Pinarbasi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Division of </w:t>
      </w:r>
      <w:proofErr w:type="spellStart"/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Gastroenterohepatology</w:t>
      </w:r>
      <w:proofErr w:type="spellEnd"/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01CB5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51CED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Internal Medicine, Istanbul Faculty of Medicine, Istanbul University, </w:t>
      </w:r>
      <w:r w:rsidR="001E3235" w:rsidRPr="00493B93">
        <w:rPr>
          <w:rFonts w:ascii="Book Antiqua" w:hAnsi="Book Antiqua" w:cs="Times New Roman"/>
          <w:color w:val="000000" w:themeColor="text1"/>
          <w:sz w:val="24"/>
          <w:szCs w:val="24"/>
        </w:rPr>
        <w:t>34390</w:t>
      </w:r>
      <w:r w:rsidR="001E3235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Istanbul, Turkey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AE653D" w:rsidRPr="00493B93" w:rsidRDefault="00AE653D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Ahmet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Uyanikoglu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Divison</w:t>
      </w:r>
      <w:proofErr w:type="spellEnd"/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Gastroenterology,</w:t>
      </w:r>
      <w:r w:rsidR="001E3235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 of Internal Medicine, Faculty of Medicine,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E3235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Harran University, 63300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Urfa, Turkey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7B3939" w:rsidRPr="00493B93" w:rsidRDefault="007B3939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Fatih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Ermis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031D" w:rsidRPr="00493B93">
        <w:rPr>
          <w:rFonts w:ascii="Book Antiqua" w:hAnsi="Book Antiqua" w:cs="Times New Roman"/>
          <w:color w:val="000000" w:themeColor="text1"/>
          <w:sz w:val="24"/>
          <w:szCs w:val="24"/>
        </w:rPr>
        <w:t>Divison</w:t>
      </w:r>
      <w:proofErr w:type="spellEnd"/>
      <w:r w:rsidR="0007031D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Gastroenterology,</w:t>
      </w:r>
      <w:r w:rsidR="0007031D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Department of Internal Medicine,</w:t>
      </w:r>
      <w:r w:rsidR="0007031D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Faculty of Medicine, </w:t>
      </w:r>
      <w:proofErr w:type="spellStart"/>
      <w:r w:rsidR="0007031D" w:rsidRPr="00493B93">
        <w:rPr>
          <w:rFonts w:ascii="Book Antiqua" w:hAnsi="Book Antiqua" w:cs="Times New Roman"/>
          <w:color w:val="000000" w:themeColor="text1"/>
          <w:sz w:val="24"/>
          <w:szCs w:val="24"/>
        </w:rPr>
        <w:t>Duzce</w:t>
      </w:r>
      <w:proofErr w:type="spellEnd"/>
      <w:r w:rsidR="0007031D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University, 81010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Duzce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, Turkey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7B3939" w:rsidRPr="00493B93" w:rsidRDefault="007B3939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Umit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Akyuz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Divison</w:t>
      </w:r>
      <w:proofErr w:type="spellEnd"/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Gastroenterology, </w:t>
      </w:r>
      <w:r w:rsidR="00305AAA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Internal Medicine, Faculty of Medicine, </w:t>
      </w:r>
      <w:proofErr w:type="spellStart"/>
      <w:r w:rsidR="00305AAA" w:rsidRPr="00493B93">
        <w:rPr>
          <w:rFonts w:ascii="Book Antiqua" w:hAnsi="Book Antiqua" w:cs="Times New Roman"/>
          <w:color w:val="000000" w:themeColor="text1"/>
          <w:sz w:val="24"/>
          <w:szCs w:val="24"/>
        </w:rPr>
        <w:t>Yeditepe</w:t>
      </w:r>
      <w:proofErr w:type="spellEnd"/>
      <w:r w:rsidR="00305AAA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University, 34858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Istanbul, Turkey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E12D4C" w:rsidRPr="00493B93" w:rsidRDefault="007B3939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Nurdan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Gul,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5AAA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Division of Endocrinology, </w:t>
      </w:r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Department of Internal Medicine,</w:t>
      </w:r>
      <w:r w:rsidR="00305AAA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Istanbul Faculty of Medicine,</w:t>
      </w:r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5AAA" w:rsidRPr="00493B93">
        <w:rPr>
          <w:rFonts w:ascii="Book Antiqua" w:hAnsi="Book Antiqua" w:cs="Times New Roman"/>
          <w:color w:val="000000" w:themeColor="text1"/>
          <w:sz w:val="24"/>
          <w:szCs w:val="24"/>
        </w:rPr>
        <w:t>Istanbul University,</w:t>
      </w:r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34390</w:t>
      </w:r>
      <w:r w:rsidR="00305AAA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F01CB5" w:rsidRPr="00493B93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stanbul, Turkey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3F3424" w:rsidRPr="00493B93" w:rsidRDefault="003F3424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  <w:lang w:eastAsia="tr-TR"/>
        </w:rPr>
        <w:t xml:space="preserve">Author contributions: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Akyüz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Uyanıkoglu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Ermis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 designed research and wrote the paper</w:t>
      </w:r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;</w:t>
      </w:r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>Akyüz</w:t>
      </w:r>
      <w:proofErr w:type="spellEnd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U, </w:t>
      </w:r>
      <w:proofErr w:type="spellStart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>Baran</w:t>
      </w:r>
      <w:proofErr w:type="spellEnd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B, </w:t>
      </w:r>
      <w:proofErr w:type="spellStart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>Pinarbasi</w:t>
      </w:r>
      <w:proofErr w:type="spellEnd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1CB5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Gul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="00F01CB5" w:rsidRPr="00493B93">
        <w:rPr>
          <w:rFonts w:ascii="Book Antiqua" w:hAnsi="Book Antiqua" w:cs="Times New Roman"/>
          <w:color w:val="000000" w:themeColor="text1"/>
          <w:sz w:val="24"/>
          <w:szCs w:val="24"/>
        </w:rPr>
        <w:t>were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respo</w:t>
      </w:r>
      <w:r w:rsidR="00F01CB5" w:rsidRPr="00493B93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01CB5" w:rsidRPr="00493B93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ble for the data collection and analysis</w:t>
      </w:r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;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Arıcı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performed the impedance and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manometry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EC1C0D" w:rsidRPr="00493B93" w:rsidRDefault="00EC1C0D" w:rsidP="007F0361">
      <w:pPr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 w:cs="TimesNewRomanPSMT"/>
          <w:color w:val="000000" w:themeColor="text1"/>
          <w:sz w:val="24"/>
          <w:szCs w:val="24"/>
          <w:lang w:val="tr-TR" w:eastAsia="tr-TR"/>
        </w:rPr>
      </w:pPr>
    </w:p>
    <w:p w:rsidR="00E12D4C" w:rsidRPr="00493B93" w:rsidRDefault="00E12D4C" w:rsidP="007F0361">
      <w:pPr>
        <w:snapToGrid w:val="0"/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Correspond</w:t>
      </w:r>
      <w:r w:rsidR="003F3424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ence to</w:t>
      </w:r>
      <w:r w:rsidR="00835931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:</w:t>
      </w:r>
      <w:r w:rsidR="00F01CB5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Filiz</w:t>
      </w:r>
      <w:proofErr w:type="spellEnd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Akyuz</w:t>
      </w:r>
      <w:proofErr w:type="spellEnd"/>
      <w:r w:rsidR="003F3424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="008431F6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Prof</w:t>
      </w:r>
      <w:r w:rsidR="008431F6" w:rsidRPr="00493B93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essor,</w:t>
      </w:r>
      <w:r w:rsidR="003F3424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Division of </w:t>
      </w:r>
      <w:proofErr w:type="spellStart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>Gastroenterohepatology</w:t>
      </w:r>
      <w:proofErr w:type="spellEnd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Department of Internal Medicine, Istanbul Faculty of Medicine, Istanbul University, </w:t>
      </w:r>
      <w:proofErr w:type="spellStart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>Bahçeköy</w:t>
      </w:r>
      <w:proofErr w:type="spellEnd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>/İstanbul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-</w:t>
      </w:r>
      <w:proofErr w:type="spellStart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</w:rPr>
        <w:t>Avrupa</w:t>
      </w:r>
      <w:proofErr w:type="spellEnd"/>
      <w:r w:rsidR="0046160B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34390 Istanbul, Turkey</w:t>
      </w:r>
      <w:r w:rsidR="003F3424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3F3424" w:rsidRPr="00493B93">
        <w:rPr>
          <w:rFonts w:ascii="Book Antiqua" w:hAnsi="Book Antiqua" w:cs="Times New Roman"/>
          <w:sz w:val="24"/>
          <w:szCs w:val="24"/>
        </w:rPr>
        <w:t>filizakyuz@hotmail.com</w:t>
      </w: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E12D4C" w:rsidRPr="00493B93" w:rsidRDefault="003F3424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Telephone</w:t>
      </w:r>
      <w:r w:rsidR="00E12D4C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+90-212</w:t>
      </w:r>
      <w:r w:rsidR="008431F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-</w:t>
      </w:r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4142000</w:t>
      </w:r>
      <w:r w:rsidR="008431F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-</w:t>
      </w:r>
      <w:r w:rsidR="00E12D4C" w:rsidRPr="00493B93">
        <w:rPr>
          <w:rFonts w:ascii="Book Antiqua" w:hAnsi="Book Antiqua" w:cs="Times New Roman"/>
          <w:color w:val="000000" w:themeColor="text1"/>
          <w:sz w:val="24"/>
          <w:szCs w:val="24"/>
        </w:rPr>
        <w:t>31140</w:t>
      </w:r>
      <w:r w:rsidR="00872DD7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9E406B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  </w:t>
      </w: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Fax</w:t>
      </w:r>
      <w:r w:rsidR="008431F6" w:rsidRPr="00493B93">
        <w:rPr>
          <w:rFonts w:ascii="Book Antiqua" w:hAnsi="Book Antiqua" w:cs="Times New Roman"/>
          <w:color w:val="000000" w:themeColor="text1"/>
          <w:sz w:val="24"/>
          <w:szCs w:val="24"/>
        </w:rPr>
        <w:t>: +90-212</w:t>
      </w:r>
      <w:r w:rsidR="008431F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-</w:t>
      </w:r>
      <w:r w:rsidR="008431F6" w:rsidRPr="00493B93">
        <w:rPr>
          <w:rFonts w:ascii="Book Antiqua" w:hAnsi="Book Antiqua" w:cs="Times New Roman"/>
          <w:color w:val="000000" w:themeColor="text1"/>
          <w:sz w:val="24"/>
          <w:szCs w:val="24"/>
        </w:rPr>
        <w:t>6319743</w:t>
      </w:r>
    </w:p>
    <w:p w:rsidR="00616956" w:rsidRPr="00493B93" w:rsidRDefault="00616956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0" w:name="OLE_LINK25"/>
      <w:bookmarkStart w:id="1" w:name="OLE_LINK26"/>
      <w:bookmarkStart w:id="2" w:name="OLE_LINK145"/>
      <w:bookmarkStart w:id="3" w:name="OLE_LINK215"/>
      <w:bookmarkStart w:id="4" w:name="OLE_LINK352"/>
      <w:bookmarkStart w:id="5" w:name="OLE_LINK364"/>
      <w:bookmarkStart w:id="6" w:name="OLE_LINK383"/>
      <w:bookmarkStart w:id="7" w:name="OLE_LINK361"/>
      <w:bookmarkStart w:id="8" w:name="OLE_LINK444"/>
      <w:bookmarkStart w:id="9" w:name="OLE_LINK501"/>
      <w:bookmarkStart w:id="10" w:name="OLE_LINK572"/>
      <w:bookmarkStart w:id="11" w:name="OLE_LINK573"/>
      <w:bookmarkStart w:id="12" w:name="OLE_LINK756"/>
      <w:bookmarkStart w:id="13" w:name="OLE_LINK757"/>
      <w:bookmarkStart w:id="14" w:name="OLE_LINK805"/>
      <w:bookmarkStart w:id="15" w:name="OLE_LINK806"/>
      <w:bookmarkStart w:id="16" w:name="OLE_LINK958"/>
      <w:bookmarkStart w:id="17" w:name="OLE_LINK1018"/>
      <w:bookmarkStart w:id="18" w:name="OLE_LINK1059"/>
      <w:bookmarkStart w:id="19" w:name="OLE_LINK1122"/>
      <w:bookmarkStart w:id="20" w:name="OLE_LINK1123"/>
      <w:bookmarkStart w:id="21" w:name="OLE_LINK1402"/>
      <w:bookmarkStart w:id="22" w:name="OLE_LINK1750"/>
      <w:bookmarkStart w:id="23" w:name="OLE_LINK1751"/>
      <w:bookmarkStart w:id="24" w:name="OLE_LINK1832"/>
      <w:bookmarkStart w:id="25" w:name="OLE_LINK1878"/>
      <w:bookmarkStart w:id="26" w:name="OLE_LINK1917"/>
      <w:bookmarkStart w:id="27" w:name="OLE_LINK1918"/>
      <w:bookmarkStart w:id="28" w:name="OLE_LINK1985"/>
      <w:bookmarkStart w:id="29" w:name="OLE_LINK1986"/>
      <w:bookmarkStart w:id="30" w:name="OLE_LINK1927"/>
      <w:bookmarkStart w:id="31" w:name="OLE_LINK1928"/>
      <w:bookmarkStart w:id="32" w:name="OLE_LINK2044"/>
      <w:bookmarkStart w:id="33" w:name="OLE_LINK2352"/>
      <w:bookmarkStart w:id="34" w:name="OLE_LINK2220"/>
      <w:bookmarkStart w:id="35" w:name="OLE_LINK2344"/>
      <w:bookmarkStart w:id="36" w:name="OLE_LINK2347"/>
      <w:bookmarkStart w:id="37" w:name="OLE_LINK2626"/>
      <w:bookmarkStart w:id="38" w:name="OLE_LINK2390"/>
      <w:bookmarkStart w:id="39" w:name="OLE_LINK2752"/>
      <w:bookmarkStart w:id="40" w:name="OLE_LINK2753"/>
      <w:bookmarkStart w:id="41" w:name="OLE_LINK2855"/>
      <w:bookmarkStart w:id="42" w:name="OLE_LINK2992"/>
      <w:bookmarkStart w:id="43" w:name="OLE_LINK3241"/>
      <w:bookmarkStart w:id="44" w:name="OLE_LINK2682"/>
      <w:r w:rsidRPr="00493B93">
        <w:rPr>
          <w:rFonts w:ascii="Book Antiqua" w:hAnsi="Book Antiqua"/>
          <w:b/>
          <w:sz w:val="24"/>
          <w:szCs w:val="24"/>
        </w:rPr>
        <w:t xml:space="preserve">Received: </w:t>
      </w:r>
      <w:proofErr w:type="spellStart"/>
      <w:r w:rsidRPr="00493B93">
        <w:rPr>
          <w:rFonts w:ascii="Book Antiqua" w:hAnsi="Book Antiqua"/>
          <w:sz w:val="24"/>
          <w:szCs w:val="24"/>
          <w:lang w:eastAsia="zh-CN"/>
        </w:rPr>
        <w:t>Apirl</w:t>
      </w:r>
      <w:proofErr w:type="spellEnd"/>
      <w:r w:rsidRPr="00493B93">
        <w:rPr>
          <w:rFonts w:ascii="Book Antiqua" w:hAnsi="Book Antiqua"/>
          <w:sz w:val="24"/>
          <w:szCs w:val="24"/>
          <w:lang w:eastAsia="zh-CN"/>
        </w:rPr>
        <w:t xml:space="preserve"> 27, 2014</w:t>
      </w:r>
      <w:r w:rsidR="00872DD7" w:rsidRPr="00493B93">
        <w:rPr>
          <w:rFonts w:ascii="Book Antiqua" w:hAnsi="Book Antiqua"/>
          <w:b/>
          <w:sz w:val="24"/>
          <w:szCs w:val="24"/>
          <w:lang w:eastAsia="zh-CN"/>
        </w:rPr>
        <w:t xml:space="preserve">      </w:t>
      </w:r>
      <w:r w:rsidR="009E406B" w:rsidRPr="00493B93">
        <w:rPr>
          <w:rFonts w:ascii="Book Antiqua" w:hAnsi="Book Antiqua"/>
          <w:b/>
          <w:sz w:val="24"/>
          <w:szCs w:val="24"/>
          <w:lang w:eastAsia="zh-CN"/>
        </w:rPr>
        <w:t xml:space="preserve">                 </w:t>
      </w:r>
      <w:r w:rsidRPr="00493B93">
        <w:rPr>
          <w:rFonts w:ascii="Book Antiqua" w:hAnsi="Book Antiqua"/>
          <w:b/>
          <w:sz w:val="24"/>
          <w:szCs w:val="24"/>
        </w:rPr>
        <w:t xml:space="preserve">Revised: </w:t>
      </w:r>
      <w:bookmarkEnd w:id="0"/>
      <w:bookmarkEnd w:id="1"/>
      <w:r w:rsidRPr="00493B93">
        <w:rPr>
          <w:rFonts w:ascii="Book Antiqua" w:hAnsi="Book Antiqua"/>
          <w:sz w:val="24"/>
          <w:szCs w:val="24"/>
          <w:lang w:eastAsia="zh-CN"/>
        </w:rPr>
        <w:t>August 6, 2014</w:t>
      </w:r>
      <w:r w:rsidRPr="00493B93">
        <w:rPr>
          <w:rFonts w:ascii="Book Antiqua" w:hAnsi="Book Antiqua"/>
          <w:b/>
          <w:sz w:val="24"/>
          <w:szCs w:val="24"/>
        </w:rPr>
        <w:t xml:space="preserve"> </w:t>
      </w:r>
      <w:bookmarkStart w:id="45" w:name="OLE_LINK103"/>
      <w:bookmarkStart w:id="46" w:name="OLE_LINK104"/>
      <w:bookmarkStart w:id="47" w:name="OLE_LINK69"/>
      <w:bookmarkStart w:id="48" w:name="OLE_LINK70"/>
    </w:p>
    <w:p w:rsidR="001C447A" w:rsidRDefault="00616956" w:rsidP="001C447A">
      <w:pPr>
        <w:rPr>
          <w:rFonts w:ascii="Book Antiqua" w:hAnsi="Book Antiqua"/>
          <w:color w:val="000000"/>
          <w:sz w:val="24"/>
        </w:rPr>
      </w:pPr>
      <w:bookmarkStart w:id="49" w:name="OLE_LINK303"/>
      <w:bookmarkStart w:id="50" w:name="OLE_LINK304"/>
      <w:bookmarkStart w:id="51" w:name="OLE_LINK1382"/>
      <w:bookmarkStart w:id="52" w:name="OLE_LINK2188"/>
      <w:bookmarkStart w:id="53" w:name="OLE_LINK2189"/>
      <w:bookmarkStart w:id="54" w:name="OLE_LINK2615"/>
      <w:r w:rsidRPr="00493B93">
        <w:rPr>
          <w:rFonts w:ascii="Book Antiqua" w:hAnsi="Book Antiqua"/>
          <w:b/>
          <w:sz w:val="24"/>
          <w:szCs w:val="24"/>
        </w:rPr>
        <w:t>Accepted:</w:t>
      </w:r>
      <w:bookmarkStart w:id="55" w:name="OLE_LINK2"/>
      <w:bookmarkStart w:id="56" w:name="OLE_LINK3"/>
      <w:bookmarkStart w:id="57" w:name="OLE_LINK4"/>
      <w:bookmarkStart w:id="58" w:name="OLE_LINK5"/>
      <w:bookmarkStart w:id="59" w:name="OLE_LINK8"/>
      <w:bookmarkStart w:id="60" w:name="OLE_LINK9"/>
      <w:bookmarkStart w:id="61" w:name="OLE_LINK10"/>
      <w:bookmarkStart w:id="62" w:name="OLE_LINK6"/>
      <w:bookmarkStart w:id="63" w:name="OLE_LINK13"/>
      <w:bookmarkStart w:id="64" w:name="OLE_LINK7"/>
      <w:bookmarkStart w:id="65" w:name="OLE_LINK18"/>
      <w:bookmarkStart w:id="66" w:name="OLE_LINK19"/>
      <w:bookmarkStart w:id="67" w:name="OLE_LINK22"/>
      <w:bookmarkStart w:id="68" w:name="OLE_LINK24"/>
      <w:bookmarkStart w:id="69" w:name="OLE_LINK28"/>
      <w:bookmarkStart w:id="70" w:name="OLE_LINK29"/>
      <w:bookmarkStart w:id="71" w:name="OLE_LINK30"/>
      <w:bookmarkStart w:id="72" w:name="OLE_LINK31"/>
      <w:r w:rsidR="001C447A" w:rsidRPr="001C447A">
        <w:rPr>
          <w:rFonts w:ascii="Book Antiqua" w:hAnsi="Book Antiqua"/>
          <w:color w:val="000000"/>
          <w:sz w:val="24"/>
        </w:rPr>
        <w:t xml:space="preserve"> </w:t>
      </w:r>
      <w:r w:rsidR="001C447A">
        <w:rPr>
          <w:rFonts w:ascii="Book Antiqua" w:hAnsi="Book Antiqua"/>
          <w:color w:val="000000"/>
          <w:sz w:val="24"/>
        </w:rPr>
        <w:t xml:space="preserve">November </w:t>
      </w:r>
      <w:r w:rsidR="001C447A">
        <w:rPr>
          <w:rFonts w:ascii="Book Antiqua" w:hAnsi="Book Antiqua" w:hint="eastAsia"/>
          <w:color w:val="000000"/>
          <w:sz w:val="24"/>
        </w:rPr>
        <w:t>8</w:t>
      </w:r>
      <w:r w:rsidR="001C447A">
        <w:rPr>
          <w:rFonts w:ascii="Book Antiqua" w:hAnsi="Book Antiqua"/>
          <w:color w:val="000000"/>
          <w:sz w:val="24"/>
        </w:rPr>
        <w:t>, 2014</w:t>
      </w:r>
    </w:p>
    <w:p w:rsidR="00616956" w:rsidRPr="00493B93" w:rsidRDefault="00616956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73" w:name="_GoBack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16956" w:rsidRPr="00493B93" w:rsidRDefault="00616956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493B93">
        <w:rPr>
          <w:rFonts w:ascii="Book Antiqua" w:hAnsi="Book Antiqua"/>
          <w:b/>
          <w:sz w:val="24"/>
          <w:szCs w:val="24"/>
        </w:rPr>
        <w:t xml:space="preserve">Published online: </w:t>
      </w:r>
      <w:bookmarkEnd w:id="45"/>
      <w:bookmarkEnd w:id="46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7"/>
    <w:bookmarkEnd w:id="48"/>
    <w:bookmarkEnd w:id="49"/>
    <w:bookmarkEnd w:id="50"/>
    <w:bookmarkEnd w:id="51"/>
    <w:bookmarkEnd w:id="52"/>
    <w:bookmarkEnd w:id="53"/>
    <w:bookmarkEnd w:id="54"/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8431F6" w:rsidRPr="00493B93" w:rsidRDefault="008431F6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br w:type="page"/>
      </w:r>
    </w:p>
    <w:p w:rsidR="006F21BC" w:rsidRPr="00493B93" w:rsidRDefault="006F21BC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proofErr w:type="spellStart"/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Abtract</w:t>
      </w:r>
      <w:proofErr w:type="spellEnd"/>
    </w:p>
    <w:p w:rsidR="00FF020A" w:rsidRPr="00493B93" w:rsidRDefault="0046517A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AIM</w:t>
      </w:r>
      <w:r w:rsidR="00835931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:</w:t>
      </w:r>
      <w:r w:rsidR="006F21B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A2F78" w:rsidRPr="00493B93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EF28E1" w:rsidRPr="00493B93">
        <w:rPr>
          <w:rFonts w:ascii="Book Antiqua" w:hAnsi="Book Antiqua" w:cs="Times New Roman"/>
          <w:color w:val="000000" w:themeColor="text1"/>
          <w:sz w:val="24"/>
          <w:szCs w:val="24"/>
        </w:rPr>
        <w:t>o investigate the relation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ship</w:t>
      </w:r>
      <w:r w:rsidR="00EF28E1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reflux and 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</w:rPr>
        <w:t>body mass index (BMI)</w:t>
      </w:r>
      <w:r w:rsidR="00EF28E1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B25B8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501E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asymptomatic </w:t>
      </w:r>
      <w:r w:rsidR="00D345F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obese </w:t>
      </w:r>
      <w:r w:rsidR="00EF28E1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population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using the </w:t>
      </w:r>
      <w:r w:rsidR="00EF28E1" w:rsidRPr="00493B93">
        <w:rPr>
          <w:rFonts w:ascii="Book Antiqua" w:hAnsi="Book Antiqua" w:cs="Times New Roman"/>
          <w:color w:val="000000" w:themeColor="text1"/>
          <w:sz w:val="24"/>
          <w:szCs w:val="24"/>
        </w:rPr>
        <w:t>impedance-pH technique.</w:t>
      </w:r>
    </w:p>
    <w:p w:rsidR="00147D99" w:rsidRPr="00493B93" w:rsidRDefault="00147D99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4068A9" w:rsidRPr="00493B93" w:rsidRDefault="005E4095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/>
          <w:b/>
          <w:color w:val="000000" w:themeColor="text1"/>
          <w:sz w:val="24"/>
          <w:szCs w:val="24"/>
        </w:rPr>
        <w:t xml:space="preserve">METHODS: </w:t>
      </w:r>
      <w:proofErr w:type="spellStart"/>
      <w:r w:rsidR="00147D99" w:rsidRPr="00493B93">
        <w:rPr>
          <w:rFonts w:ascii="Book Antiqua" w:hAnsi="Book Antiqua" w:cs="Times New Roman"/>
          <w:color w:val="000000" w:themeColor="text1"/>
          <w:sz w:val="24"/>
          <w:szCs w:val="24"/>
        </w:rPr>
        <w:t>Gastroesophageal</w:t>
      </w:r>
      <w:proofErr w:type="spellEnd"/>
      <w:r w:rsidR="00147D9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reflux is frequent in the obese population. However, the relationship between acid reflux and BMI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47D9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asymptomatic obese people is unclear. </w:t>
      </w:r>
      <w:r w:rsidR="004068A9" w:rsidRPr="00493B93">
        <w:rPr>
          <w:rFonts w:ascii="Book Antiqua" w:hAnsi="Book Antiqua" w:cs="Times New Roman"/>
          <w:color w:val="000000" w:themeColor="text1"/>
          <w:sz w:val="24"/>
          <w:szCs w:val="24"/>
        </w:rPr>
        <w:t>Forty-six obese (BMI &gt;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4068A9" w:rsidRPr="00493B93">
        <w:rPr>
          <w:rFonts w:ascii="Book Antiqua" w:hAnsi="Book Antiqua" w:cs="Times New Roman"/>
          <w:color w:val="000000" w:themeColor="text1"/>
          <w:sz w:val="24"/>
          <w:szCs w:val="24"/>
        </w:rPr>
        <w:t>25 kg/m</w:t>
      </w:r>
      <w:r w:rsidR="004068A9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4068A9" w:rsidRPr="00493B93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273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people </w:t>
      </w:r>
      <w:r w:rsidR="004068A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enrolled in this prospective study. </w:t>
      </w:r>
      <w:r w:rsidR="009E7DCC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We evaluated the d</w:t>
      </w:r>
      <w:r w:rsidR="004068A9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emographic findings and 24</w:t>
      </w:r>
      <w:r w:rsidR="00302210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-h</w:t>
      </w:r>
      <w:r w:rsidR="004068A9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 xml:space="preserve"> impedance pH values of </w:t>
      </w:r>
      <w:r w:rsidR="009E7DCC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4068A9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whole group. Gas</w:t>
      </w:r>
      <w:r w:rsidR="00676B94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,</w:t>
      </w:r>
      <w:r w:rsidR="00094EF4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068A9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acid (pH</w:t>
      </w:r>
      <w:r w:rsidR="00302210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 xml:space="preserve"> &lt; </w:t>
      </w:r>
      <w:r w:rsidR="004068A9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4), weak acid (pH</w:t>
      </w:r>
      <w:r w:rsidR="00302210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 xml:space="preserve"> = </w:t>
      </w:r>
      <w:r w:rsidR="004068A9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</w:rPr>
        <w:t>4-7) and weak alkaline (pH</w:t>
      </w:r>
      <w:r w:rsidR="00302210" w:rsidRPr="00493B93">
        <w:rPr>
          <w:rStyle w:val="apple-style-span"/>
          <w:rFonts w:ascii="Book Antiqua" w:hAnsi="Book Antiqua"/>
          <w:color w:val="000000" w:themeColor="text1"/>
          <w:sz w:val="24"/>
          <w:szCs w:val="24"/>
          <w:lang w:eastAsia="zh-CN"/>
        </w:rPr>
        <w:t xml:space="preserve"> ≥</w:t>
      </w:r>
      <w:r w:rsidR="004068A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7) reflux parameters were </w:t>
      </w:r>
      <w:r w:rsidR="00C426FC" w:rsidRPr="00493B93">
        <w:rPr>
          <w:rFonts w:ascii="Book Antiqua" w:hAnsi="Book Antiqua" w:cs="Times New Roman"/>
          <w:color w:val="000000" w:themeColor="text1"/>
          <w:sz w:val="24"/>
          <w:szCs w:val="24"/>
        </w:rPr>
        <w:t>analyzed</w:t>
      </w:r>
      <w:r w:rsidR="004068A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147D99" w:rsidRPr="00493B93" w:rsidRDefault="00147D99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9502B8" w:rsidRPr="00493B93" w:rsidRDefault="005E4095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RESULTS: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9E7DCC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5B2739" w:rsidRPr="00493B93">
        <w:rPr>
          <w:rFonts w:ascii="Book Antiqua" w:hAnsi="Book Antiqua" w:cs="Times New Roman"/>
          <w:color w:val="000000" w:themeColor="text1"/>
          <w:sz w:val="24"/>
          <w:szCs w:val="24"/>
        </w:rPr>
        <w:t>ean age</w:t>
      </w:r>
      <w:r w:rsidR="005B2739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5B2739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patients 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49.47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± </w:t>
      </w:r>
      <w:r w:rsidR="009502B8" w:rsidRPr="00493B93">
        <w:rPr>
          <w:rFonts w:ascii="Book Antiqua" w:hAnsi="Book Antiqua" w:cs="Times New Roman"/>
          <w:color w:val="000000" w:themeColor="text1"/>
          <w:sz w:val="24"/>
          <w:szCs w:val="24"/>
        </w:rPr>
        <w:t>12.24 y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ears, and half of them were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men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The m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ean BMI was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30.64 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± 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>3.95 kg/m</w:t>
      </w:r>
      <w:r w:rsidR="00BB4D3C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9502B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>25.14-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>45.58 kg/m</w:t>
      </w:r>
      <w:r w:rsidR="00BB4D3C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proofErr w:type="gramEnd"/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BMI of 23 was over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30 kg/m</w:t>
      </w:r>
      <w:r w:rsidR="00BB4D3C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Seventeen patients had </w:t>
      </w:r>
      <w:proofErr w:type="gramStart"/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C426FC" w:rsidRPr="00493B93">
        <w:rPr>
          <w:rFonts w:ascii="Book Antiqua" w:hAnsi="Book Antiqua" w:cs="Times New Roman"/>
          <w:color w:val="000000" w:themeColor="text1"/>
          <w:sz w:val="24"/>
          <w:szCs w:val="24"/>
        </w:rPr>
        <w:t>comorbidity</w:t>
      </w:r>
      <w:proofErr w:type="gramEnd"/>
      <w:r w:rsidR="00C426F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hypertension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81C6C" w:rsidRPr="00493B93">
        <w:rPr>
          <w:rFonts w:ascii="Book Antiqua" w:hAnsi="Book Antiqua" w:cs="Times New Roman"/>
          <w:color w:val="000000" w:themeColor="text1"/>
          <w:sz w:val="24"/>
          <w:szCs w:val="24"/>
        </w:rPr>
        <w:t>diabetes mellitus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ischemic heart disease</w:t>
      </w:r>
      <w:r w:rsidR="00C426FC" w:rsidRPr="00493B93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Endoscopic examination </w:t>
      </w:r>
      <w:proofErr w:type="spellStart"/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revelaed</w:t>
      </w:r>
      <w:proofErr w:type="spellEnd"/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esophagitis in </w:t>
      </w:r>
      <w:r w:rsidR="00AA3BB7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13 of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A3BB7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28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subjects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(10 Grade A, 3 Grade B).</w:t>
      </w:r>
      <w:proofErr w:type="gramEnd"/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subjects </w:t>
      </w:r>
      <w:r w:rsidR="00881C6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divided in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two group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according to BMI 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(&lt; 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30 and &gt;</w:t>
      </w:r>
      <w:r w:rsidR="005E4197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30 kg/m</w:t>
      </w:r>
      <w:r w:rsidR="00BB4D3C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). Demographic and endoscopic </w:t>
      </w:r>
      <w:proofErr w:type="gramStart"/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>findings,</w:t>
      </w:r>
      <w:proofErr w:type="gramEnd"/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impedance results were similar in these two group</w:t>
      </w:r>
      <w:r w:rsidR="00C426FC" w:rsidRPr="00493B93">
        <w:rPr>
          <w:rFonts w:ascii="Book Antiqua" w:hAnsi="Book Antiqua" w:cs="Times New Roman"/>
          <w:color w:val="000000" w:themeColor="text1"/>
          <w:sz w:val="24"/>
          <w:szCs w:val="24"/>
        </w:rPr>
        <w:t>s.</w:t>
      </w:r>
      <w:r w:rsidR="000D69D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</w:t>
      </w:r>
      <w:r w:rsidR="001F42C4" w:rsidRPr="00493B93">
        <w:rPr>
          <w:rFonts w:ascii="Book Antiqua" w:hAnsi="Book Antiqua" w:cs="Times New Roman"/>
          <w:color w:val="000000" w:themeColor="text1"/>
          <w:sz w:val="24"/>
          <w:szCs w:val="24"/>
        </w:rPr>
        <w:t>there was a positive correlation between BMI and tota</w:t>
      </w:r>
      <w:r w:rsidR="002D11DC" w:rsidRPr="00493B93">
        <w:rPr>
          <w:rFonts w:ascii="Book Antiqua" w:hAnsi="Book Antiqua" w:cs="Times New Roman"/>
          <w:color w:val="000000" w:themeColor="text1"/>
          <w:sz w:val="24"/>
          <w:szCs w:val="24"/>
        </w:rPr>
        <w:t>l and supine pH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</w:t>
      </w:r>
      <w:r w:rsidR="002D11DC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4 episodes </w:t>
      </w:r>
      <w:r w:rsidR="007A1A94" w:rsidRPr="00493B93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7A1A94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0.002, 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7A1A94" w:rsidRPr="00493B93">
        <w:rPr>
          <w:rFonts w:ascii="Book Antiqua" w:hAnsi="Book Antiqua" w:cs="Times New Roman"/>
          <w:color w:val="000000" w:themeColor="text1"/>
          <w:sz w:val="24"/>
          <w:szCs w:val="24"/>
        </w:rPr>
        <w:t>0.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414; 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0.000, 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>0.542),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D11DC" w:rsidRPr="00493B93">
        <w:rPr>
          <w:rFonts w:ascii="Book Antiqua" w:hAnsi="Book Antiqua" w:cs="Times New Roman"/>
          <w:color w:val="000000" w:themeColor="text1"/>
          <w:sz w:val="24"/>
          <w:szCs w:val="24"/>
        </w:rPr>
        <w:t>pH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>4</w:t>
      </w:r>
      <w:r w:rsidR="001F42C4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reflux time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>0.015,</w:t>
      </w:r>
      <w:r w:rsidR="007C3E8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7C3E8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0.319; 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7C3E8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0.003, 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7C3E8B" w:rsidRPr="00493B93">
        <w:rPr>
          <w:rFonts w:ascii="Book Antiqua" w:hAnsi="Book Antiqua" w:cs="Times New Roman"/>
          <w:color w:val="000000" w:themeColor="text1"/>
          <w:sz w:val="24"/>
          <w:szCs w:val="24"/>
        </w:rPr>
        <w:t>0.403)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C3E8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42C4" w:rsidRPr="00493B93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7C3E8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D88" w:rsidRPr="00493B93">
        <w:rPr>
          <w:rFonts w:ascii="Book Antiqua" w:hAnsi="Book Antiqua" w:cs="Times New Roman"/>
          <w:color w:val="000000" w:themeColor="text1"/>
          <w:sz w:val="24"/>
          <w:szCs w:val="24"/>
        </w:rPr>
        <w:t>DeMeester</w:t>
      </w:r>
      <w:proofErr w:type="spellEnd"/>
      <w:r w:rsidR="001F42C4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score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0.012, </w:t>
      </w:r>
      <w:r w:rsidR="005E4197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r w:rsidR="008706C3" w:rsidRPr="00493B93">
        <w:rPr>
          <w:rFonts w:ascii="Book Antiqua" w:hAnsi="Book Antiqua" w:cs="Times New Roman"/>
          <w:color w:val="000000" w:themeColor="text1"/>
          <w:sz w:val="24"/>
          <w:szCs w:val="24"/>
        </w:rPr>
        <w:t>0.333)</w:t>
      </w:r>
      <w:r w:rsidR="001F42C4" w:rsidRPr="00493B93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502B8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147D99" w:rsidRPr="00493B93" w:rsidRDefault="00147D99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8706C3" w:rsidRPr="00493B93" w:rsidRDefault="005E4095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CONCLUSION: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426FC" w:rsidRPr="00493B93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B24DD2" w:rsidRPr="00493B93">
        <w:rPr>
          <w:rFonts w:ascii="Book Antiqua" w:hAnsi="Book Antiqua" w:cs="Times New Roman"/>
          <w:color w:val="000000" w:themeColor="text1"/>
          <w:sz w:val="24"/>
          <w:szCs w:val="24"/>
        </w:rPr>
        <w:t>cid reflux is correlated with BMI in asym</w:t>
      </w:r>
      <w:r w:rsidR="00C426FC" w:rsidRPr="00493B93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B24DD2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tomatic obese </w:t>
      </w:r>
      <w:r w:rsidR="009E7DCC" w:rsidRPr="00493B93">
        <w:rPr>
          <w:rFonts w:ascii="Book Antiqua" w:hAnsi="Book Antiqua" w:cs="Times New Roman"/>
          <w:color w:val="000000" w:themeColor="text1"/>
          <w:sz w:val="24"/>
          <w:szCs w:val="24"/>
        </w:rPr>
        <w:t>individuals</w:t>
      </w:r>
      <w:r w:rsidR="00B24DD2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5E4197" w:rsidRPr="00493B93" w:rsidRDefault="005E4197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5E4197" w:rsidRPr="00493B93" w:rsidRDefault="005E4197" w:rsidP="007F0361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bookmarkStart w:id="74" w:name="OLE_LINK98"/>
      <w:bookmarkStart w:id="75" w:name="OLE_LINK156"/>
      <w:bookmarkStart w:id="76" w:name="OLE_LINK196"/>
      <w:bookmarkStart w:id="77" w:name="OLE_LINK217"/>
      <w:bookmarkStart w:id="78" w:name="OLE_LINK242"/>
      <w:bookmarkStart w:id="79" w:name="OLE_LINK247"/>
      <w:bookmarkStart w:id="80" w:name="OLE_LINK311"/>
      <w:bookmarkStart w:id="81" w:name="OLE_LINK312"/>
      <w:bookmarkStart w:id="82" w:name="OLE_LINK325"/>
      <w:bookmarkStart w:id="83" w:name="OLE_LINK330"/>
      <w:bookmarkStart w:id="84" w:name="OLE_LINK513"/>
      <w:bookmarkStart w:id="85" w:name="OLE_LINK514"/>
      <w:bookmarkStart w:id="86" w:name="OLE_LINK464"/>
      <w:bookmarkStart w:id="87" w:name="OLE_LINK465"/>
      <w:bookmarkStart w:id="88" w:name="OLE_LINK466"/>
      <w:bookmarkStart w:id="89" w:name="OLE_LINK470"/>
      <w:bookmarkStart w:id="90" w:name="OLE_LINK471"/>
      <w:bookmarkStart w:id="91" w:name="OLE_LINK472"/>
      <w:bookmarkStart w:id="92" w:name="OLE_LINK474"/>
      <w:bookmarkStart w:id="93" w:name="OLE_LINK512"/>
      <w:bookmarkStart w:id="94" w:name="OLE_LINK800"/>
      <w:bookmarkStart w:id="95" w:name="OLE_LINK982"/>
      <w:bookmarkStart w:id="96" w:name="OLE_LINK1027"/>
      <w:bookmarkStart w:id="97" w:name="OLE_LINK504"/>
      <w:bookmarkStart w:id="98" w:name="OLE_LINK546"/>
      <w:bookmarkStart w:id="99" w:name="OLE_LINK547"/>
      <w:bookmarkStart w:id="100" w:name="OLE_LINK575"/>
      <w:bookmarkStart w:id="101" w:name="OLE_LINK640"/>
      <w:bookmarkStart w:id="102" w:name="OLE_LINK672"/>
      <w:bookmarkStart w:id="103" w:name="OLE_LINK714"/>
      <w:bookmarkStart w:id="104" w:name="OLE_LINK651"/>
      <w:bookmarkStart w:id="105" w:name="OLE_LINK652"/>
      <w:bookmarkStart w:id="106" w:name="OLE_LINK744"/>
      <w:bookmarkStart w:id="107" w:name="OLE_LINK758"/>
      <w:bookmarkStart w:id="108" w:name="OLE_LINK787"/>
      <w:bookmarkStart w:id="109" w:name="OLE_LINK807"/>
      <w:bookmarkStart w:id="110" w:name="OLE_LINK820"/>
      <w:bookmarkStart w:id="111" w:name="OLE_LINK862"/>
      <w:bookmarkStart w:id="112" w:name="OLE_LINK879"/>
      <w:bookmarkStart w:id="113" w:name="OLE_LINK906"/>
      <w:bookmarkStart w:id="114" w:name="OLE_LINK928"/>
      <w:bookmarkStart w:id="115" w:name="OLE_LINK960"/>
      <w:bookmarkStart w:id="116" w:name="OLE_LINK861"/>
      <w:bookmarkStart w:id="117" w:name="OLE_LINK983"/>
      <w:bookmarkStart w:id="118" w:name="OLE_LINK1334"/>
      <w:bookmarkStart w:id="119" w:name="OLE_LINK1029"/>
      <w:bookmarkStart w:id="120" w:name="OLE_LINK1060"/>
      <w:bookmarkStart w:id="121" w:name="OLE_LINK1061"/>
      <w:bookmarkStart w:id="122" w:name="OLE_LINK1348"/>
      <w:bookmarkStart w:id="123" w:name="OLE_LINK1086"/>
      <w:bookmarkStart w:id="124" w:name="OLE_LINK1100"/>
      <w:bookmarkStart w:id="125" w:name="OLE_LINK1125"/>
      <w:bookmarkStart w:id="126" w:name="OLE_LINK1163"/>
      <w:bookmarkStart w:id="127" w:name="OLE_LINK1193"/>
      <w:bookmarkStart w:id="128" w:name="OLE_LINK1219"/>
      <w:bookmarkStart w:id="129" w:name="OLE_LINK1247"/>
      <w:bookmarkStart w:id="130" w:name="OLE_LINK1284"/>
      <w:bookmarkStart w:id="131" w:name="OLE_LINK1313"/>
      <w:bookmarkStart w:id="132" w:name="OLE_LINK1361"/>
      <w:bookmarkStart w:id="133" w:name="OLE_LINK1384"/>
      <w:bookmarkStart w:id="134" w:name="OLE_LINK1403"/>
      <w:bookmarkStart w:id="135" w:name="OLE_LINK1437"/>
      <w:bookmarkStart w:id="136" w:name="OLE_LINK1454"/>
      <w:bookmarkStart w:id="137" w:name="OLE_LINK1480"/>
      <w:bookmarkStart w:id="138" w:name="OLE_LINK1504"/>
      <w:bookmarkStart w:id="139" w:name="OLE_LINK1516"/>
      <w:bookmarkStart w:id="140" w:name="OLE_LINK135"/>
      <w:bookmarkStart w:id="141" w:name="OLE_LINK216"/>
      <w:bookmarkStart w:id="142" w:name="OLE_LINK259"/>
      <w:bookmarkStart w:id="143" w:name="OLE_LINK1186"/>
      <w:bookmarkStart w:id="144" w:name="OLE_LINK1265"/>
      <w:bookmarkStart w:id="145" w:name="OLE_LINK1373"/>
      <w:bookmarkStart w:id="146" w:name="OLE_LINK1478"/>
      <w:bookmarkStart w:id="147" w:name="OLE_LINK1644"/>
      <w:bookmarkStart w:id="148" w:name="OLE_LINK1884"/>
      <w:bookmarkStart w:id="149" w:name="OLE_LINK1885"/>
      <w:bookmarkStart w:id="150" w:name="OLE_LINK1538"/>
      <w:bookmarkStart w:id="151" w:name="OLE_LINK1539"/>
      <w:bookmarkStart w:id="152" w:name="OLE_LINK1543"/>
      <w:bookmarkStart w:id="153" w:name="OLE_LINK1549"/>
      <w:bookmarkStart w:id="154" w:name="OLE_LINK1778"/>
      <w:bookmarkStart w:id="155" w:name="OLE_LINK1756"/>
      <w:bookmarkStart w:id="156" w:name="OLE_LINK1776"/>
      <w:bookmarkStart w:id="157" w:name="OLE_LINK1777"/>
      <w:bookmarkStart w:id="158" w:name="OLE_LINK1868"/>
      <w:bookmarkStart w:id="159" w:name="OLE_LINK1744"/>
      <w:bookmarkStart w:id="160" w:name="OLE_LINK1817"/>
      <w:bookmarkStart w:id="161" w:name="OLE_LINK1835"/>
      <w:bookmarkStart w:id="162" w:name="OLE_LINK1866"/>
      <w:bookmarkStart w:id="163" w:name="OLE_LINK1882"/>
      <w:bookmarkStart w:id="164" w:name="OLE_LINK1901"/>
      <w:bookmarkStart w:id="165" w:name="OLE_LINK1902"/>
      <w:bookmarkStart w:id="166" w:name="OLE_LINK2013"/>
      <w:bookmarkStart w:id="167" w:name="OLE_LINK1894"/>
      <w:bookmarkStart w:id="168" w:name="OLE_LINK1929"/>
      <w:bookmarkStart w:id="169" w:name="OLE_LINK1941"/>
      <w:bookmarkStart w:id="170" w:name="OLE_LINK1995"/>
      <w:bookmarkStart w:id="171" w:name="OLE_LINK1938"/>
      <w:bookmarkStart w:id="172" w:name="OLE_LINK2081"/>
      <w:bookmarkStart w:id="173" w:name="OLE_LINK2082"/>
      <w:bookmarkStart w:id="174" w:name="OLE_LINK2292"/>
      <w:bookmarkStart w:id="175" w:name="OLE_LINK1931"/>
      <w:bookmarkStart w:id="176" w:name="OLE_LINK1964"/>
      <w:bookmarkStart w:id="177" w:name="OLE_LINK2020"/>
      <w:bookmarkStart w:id="178" w:name="OLE_LINK2071"/>
      <w:bookmarkStart w:id="179" w:name="OLE_LINK2134"/>
      <w:bookmarkStart w:id="180" w:name="OLE_LINK2265"/>
      <w:bookmarkStart w:id="181" w:name="OLE_LINK2562"/>
      <w:bookmarkStart w:id="182" w:name="OLE_LINK1923"/>
      <w:bookmarkStart w:id="183" w:name="OLE_LINK2192"/>
      <w:bookmarkStart w:id="184" w:name="OLE_LINK2110"/>
      <w:bookmarkStart w:id="185" w:name="OLE_LINK2445"/>
      <w:bookmarkStart w:id="186" w:name="OLE_LINK2446"/>
      <w:bookmarkStart w:id="187" w:name="OLE_LINK2169"/>
      <w:bookmarkStart w:id="188" w:name="OLE_LINK2190"/>
      <w:bookmarkStart w:id="189" w:name="OLE_LINK2331"/>
      <w:bookmarkStart w:id="190" w:name="OLE_LINK2345"/>
      <w:bookmarkStart w:id="191" w:name="OLE_LINK2467"/>
      <w:bookmarkStart w:id="192" w:name="OLE_LINK2484"/>
      <w:bookmarkStart w:id="193" w:name="OLE_LINK2157"/>
      <w:bookmarkStart w:id="194" w:name="OLE_LINK2221"/>
      <w:bookmarkStart w:id="195" w:name="OLE_LINK2252"/>
      <w:bookmarkStart w:id="196" w:name="OLE_LINK2348"/>
      <w:bookmarkStart w:id="197" w:name="OLE_LINK2451"/>
      <w:bookmarkStart w:id="198" w:name="OLE_LINK2627"/>
      <w:bookmarkStart w:id="199" w:name="OLE_LINK2482"/>
      <w:bookmarkStart w:id="200" w:name="OLE_LINK2663"/>
      <w:bookmarkStart w:id="201" w:name="OLE_LINK2761"/>
      <w:bookmarkStart w:id="202" w:name="OLE_LINK2856"/>
      <w:bookmarkStart w:id="203" w:name="OLE_LINK2993"/>
      <w:bookmarkStart w:id="204" w:name="OLE_LINK2643"/>
      <w:bookmarkStart w:id="205" w:name="OLE_LINK2583"/>
      <w:bookmarkStart w:id="206" w:name="OLE_LINK2762"/>
      <w:bookmarkStart w:id="207" w:name="OLE_LINK2962"/>
      <w:bookmarkStart w:id="208" w:name="OLE_LINK2582"/>
      <w:r w:rsidRPr="00493B93">
        <w:rPr>
          <w:rFonts w:ascii="Book Antiqua" w:hAnsi="Book Antiqua"/>
          <w:sz w:val="24"/>
          <w:szCs w:val="24"/>
        </w:rPr>
        <w:t xml:space="preserve">© 2014 </w:t>
      </w:r>
      <w:proofErr w:type="spellStart"/>
      <w:r w:rsidRPr="00493B93">
        <w:rPr>
          <w:rFonts w:ascii="Book Antiqua" w:hAnsi="Book Antiqua"/>
          <w:sz w:val="24"/>
          <w:szCs w:val="24"/>
        </w:rPr>
        <w:t>Baishideng</w:t>
      </w:r>
      <w:proofErr w:type="spellEnd"/>
      <w:r w:rsidRPr="00493B93">
        <w:rPr>
          <w:rFonts w:ascii="Book Antiqua" w:hAnsi="Book Antiqua"/>
          <w:sz w:val="24"/>
          <w:szCs w:val="24"/>
        </w:rPr>
        <w:t xml:space="preserve"> Publishing Group Inc. All rights reserved.</w:t>
      </w:r>
      <w:r w:rsidR="00872DD7" w:rsidRPr="00493B93">
        <w:rPr>
          <w:rFonts w:ascii="Book Antiqua" w:hAnsi="Book Antiqua"/>
          <w:sz w:val="24"/>
          <w:szCs w:val="24"/>
        </w:rPr>
        <w:t xml:space="preserve"> </w:t>
      </w:r>
    </w:p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:rsidR="00147D99" w:rsidRPr="00493B93" w:rsidRDefault="00147D99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6F21BC" w:rsidRPr="00493B93" w:rsidRDefault="006F21BC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Cs w:val="24"/>
        </w:rPr>
        <w:t xml:space="preserve">Key words: </w:t>
      </w:r>
      <w:r w:rsidR="005E4197" w:rsidRPr="00493B93">
        <w:rPr>
          <w:rFonts w:ascii="Book Antiqua" w:hAnsi="Book Antiqua" w:cs="Times New Roman"/>
          <w:color w:val="000000" w:themeColor="text1"/>
          <w:szCs w:val="24"/>
        </w:rPr>
        <w:t>R</w:t>
      </w:r>
      <w:r w:rsidRPr="00493B93">
        <w:rPr>
          <w:rFonts w:ascii="Book Antiqua" w:hAnsi="Book Antiqua" w:cs="Times New Roman"/>
          <w:color w:val="000000" w:themeColor="text1"/>
          <w:szCs w:val="24"/>
        </w:rPr>
        <w:t>eflux</w:t>
      </w:r>
      <w:r w:rsidR="005E4197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; </w:t>
      </w:r>
      <w:r w:rsidR="005E4197" w:rsidRPr="00493B93">
        <w:rPr>
          <w:rFonts w:ascii="Book Antiqua" w:hAnsi="Book Antiqua" w:cs="Times New Roman"/>
          <w:color w:val="000000" w:themeColor="text1"/>
          <w:szCs w:val="24"/>
        </w:rPr>
        <w:t>Impedance</w:t>
      </w:r>
      <w:r w:rsidR="005E4197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;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5E4197" w:rsidRPr="00493B93">
        <w:rPr>
          <w:rFonts w:ascii="Book Antiqua" w:hAnsi="Book Antiqua" w:cs="Times New Roman"/>
          <w:color w:val="000000" w:themeColor="text1"/>
          <w:szCs w:val="24"/>
        </w:rPr>
        <w:t>O</w:t>
      </w:r>
      <w:r w:rsidRPr="00493B93">
        <w:rPr>
          <w:rFonts w:ascii="Book Antiqua" w:hAnsi="Book Antiqua" w:cs="Times New Roman"/>
          <w:color w:val="000000" w:themeColor="text1"/>
          <w:szCs w:val="24"/>
        </w:rPr>
        <w:t>besity</w:t>
      </w:r>
      <w:r w:rsidR="005E4197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;</w:t>
      </w:r>
      <w:r w:rsidR="0050750F" w:rsidRPr="00493B93">
        <w:rPr>
          <w:rFonts w:ascii="Book Antiqua" w:hAnsi="Book Antiqua" w:cs="Times New Roman"/>
          <w:color w:val="000000" w:themeColor="text1"/>
          <w:szCs w:val="24"/>
        </w:rPr>
        <w:t xml:space="preserve"> 24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>-h</w:t>
      </w:r>
      <w:r w:rsidR="0050750F" w:rsidRPr="00493B93">
        <w:rPr>
          <w:rFonts w:ascii="Book Antiqua" w:hAnsi="Book Antiqua" w:cs="Times New Roman"/>
          <w:color w:val="000000" w:themeColor="text1"/>
          <w:szCs w:val="24"/>
        </w:rPr>
        <w:t xml:space="preserve"> pH-</w:t>
      </w:r>
      <w:proofErr w:type="spellStart"/>
      <w:r w:rsidR="0050750F" w:rsidRPr="00493B93">
        <w:rPr>
          <w:rFonts w:ascii="Book Antiqua" w:hAnsi="Book Antiqua" w:cs="Times New Roman"/>
          <w:color w:val="000000" w:themeColor="text1"/>
          <w:szCs w:val="24"/>
        </w:rPr>
        <w:t>metry</w:t>
      </w:r>
      <w:proofErr w:type="spellEnd"/>
      <w:r w:rsidR="000A3385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; </w:t>
      </w:r>
      <w:r w:rsidR="000A3385" w:rsidRPr="00493B93">
        <w:rPr>
          <w:rFonts w:ascii="Book Antiqua" w:hAnsi="Book Antiqua" w:cs="Times New Roman"/>
          <w:color w:val="000000" w:themeColor="text1"/>
          <w:szCs w:val="24"/>
        </w:rPr>
        <w:t>Body mass index</w:t>
      </w:r>
    </w:p>
    <w:p w:rsidR="005E4197" w:rsidRPr="00493B93" w:rsidRDefault="005E4197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</w:p>
    <w:p w:rsidR="00B6529F" w:rsidRPr="00493B93" w:rsidRDefault="005E4095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Cs w:val="24"/>
        </w:rPr>
        <w:t xml:space="preserve">Core </w:t>
      </w:r>
      <w:r w:rsidR="00147D99" w:rsidRPr="00493B93">
        <w:rPr>
          <w:rFonts w:ascii="Book Antiqua" w:hAnsi="Book Antiqua" w:cs="Times New Roman"/>
          <w:b/>
          <w:color w:val="000000" w:themeColor="text1"/>
          <w:szCs w:val="24"/>
        </w:rPr>
        <w:t>tip</w:t>
      </w:r>
      <w:r w:rsidRPr="00493B93">
        <w:rPr>
          <w:rFonts w:ascii="Book Antiqua" w:hAnsi="Book Antiqua" w:cs="Times New Roman"/>
          <w:b/>
          <w:color w:val="000000" w:themeColor="text1"/>
          <w:szCs w:val="24"/>
        </w:rPr>
        <w:t>:</w:t>
      </w:r>
      <w:r w:rsidR="00147D99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="005F0157" w:rsidRPr="00493B93">
        <w:rPr>
          <w:rFonts w:ascii="Book Antiqua" w:hAnsi="Book Antiqua" w:cs="Times New Roman"/>
          <w:color w:val="000000" w:themeColor="text1"/>
          <w:szCs w:val="24"/>
        </w:rPr>
        <w:t>Obesity is an increasing problem world</w:t>
      </w:r>
      <w:r w:rsidR="009E7DCC" w:rsidRPr="00493B93">
        <w:rPr>
          <w:rFonts w:ascii="Book Antiqua" w:hAnsi="Book Antiqua" w:cs="Times New Roman"/>
          <w:color w:val="000000" w:themeColor="text1"/>
          <w:szCs w:val="24"/>
        </w:rPr>
        <w:t>wide</w:t>
      </w:r>
      <w:r w:rsidR="005F015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CD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521FC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Few </w:t>
      </w:r>
      <w:r w:rsidR="005F015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studies </w:t>
      </w:r>
      <w:r w:rsidR="00521FC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have</w:t>
      </w:r>
      <w:r w:rsidR="005F015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reported </w:t>
      </w:r>
      <w:r w:rsidR="00521FC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on </w:t>
      </w:r>
      <w:r w:rsidR="005F015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asso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</w:t>
      </w:r>
      <w:r w:rsidR="005F015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iation between </w:t>
      </w:r>
      <w:proofErr w:type="spellStart"/>
      <w:r w:rsidR="005F015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gastroesophagal</w:t>
      </w:r>
      <w:proofErr w:type="spellEnd"/>
      <w:r w:rsidR="005F015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symptoms and </w:t>
      </w:r>
      <w:r w:rsidR="005E4197" w:rsidRPr="00493B93">
        <w:rPr>
          <w:rFonts w:ascii="Book Antiqua" w:hAnsi="Book Antiqua" w:cs="Times New Roman"/>
          <w:color w:val="000000" w:themeColor="text1"/>
          <w:szCs w:val="24"/>
        </w:rPr>
        <w:t xml:space="preserve">body mass index </w:t>
      </w:r>
      <w:r w:rsidR="005E4197" w:rsidRPr="00493B93">
        <w:rPr>
          <w:rFonts w:ascii="Book Antiqua" w:hAnsi="Book Antiqua" w:cs="Times New Roman"/>
          <w:color w:val="000000" w:themeColor="text1"/>
          <w:szCs w:val="24"/>
        </w:rPr>
        <w:lastRenderedPageBreak/>
        <w:t>(BMI)</w:t>
      </w:r>
      <w:r w:rsidR="00CD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We aimed to determine the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</w:t>
      </w:r>
      <w:r w:rsidR="00CD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ffects of BMI on </w:t>
      </w:r>
      <w:proofErr w:type="spellStart"/>
      <w:r w:rsidR="00CD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CD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using</w:t>
      </w:r>
      <w:r w:rsidR="00CD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esophageal pH-impedance technique in asymptomatic overweight and obese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subjects</w:t>
      </w:r>
      <w:r w:rsidR="00CD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</w:t>
      </w:r>
      <w:r w:rsidR="00CD3278" w:rsidRPr="00493B93">
        <w:rPr>
          <w:rFonts w:ascii="Book Antiqua" w:hAnsi="Book Antiqua" w:cs="Times New Roman"/>
          <w:color w:val="000000" w:themeColor="text1"/>
          <w:szCs w:val="24"/>
        </w:rPr>
        <w:t>We found that BMI is positively correlated with acid reflux.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CD3278" w:rsidRPr="00493B93">
        <w:rPr>
          <w:rFonts w:ascii="Book Antiqua" w:hAnsi="Book Antiqua" w:cs="Times New Roman"/>
          <w:color w:val="000000" w:themeColor="text1"/>
          <w:szCs w:val="24"/>
        </w:rPr>
        <w:t xml:space="preserve">Our study demonstrated that obesity is a risk factor for </w:t>
      </w:r>
      <w:proofErr w:type="spellStart"/>
      <w:r w:rsidR="00CD3278" w:rsidRPr="00493B93">
        <w:rPr>
          <w:rFonts w:ascii="Book Antiqua" w:hAnsi="Book Antiqua" w:cs="Times New Roman"/>
          <w:color w:val="000000" w:themeColor="text1"/>
          <w:szCs w:val="24"/>
        </w:rPr>
        <w:t>gastroesophageal</w:t>
      </w:r>
      <w:proofErr w:type="spellEnd"/>
      <w:r w:rsidR="00CD3278" w:rsidRPr="00493B93">
        <w:rPr>
          <w:rFonts w:ascii="Book Antiqua" w:hAnsi="Book Antiqua" w:cs="Times New Roman"/>
          <w:color w:val="000000" w:themeColor="text1"/>
          <w:szCs w:val="24"/>
        </w:rPr>
        <w:t xml:space="preserve"> reflux even </w:t>
      </w:r>
      <w:proofErr w:type="gramStart"/>
      <w:r w:rsidR="00CD3278" w:rsidRPr="00493B93">
        <w:rPr>
          <w:rFonts w:ascii="Book Antiqua" w:hAnsi="Book Antiqua" w:cs="Times New Roman"/>
          <w:color w:val="000000" w:themeColor="text1"/>
          <w:szCs w:val="24"/>
        </w:rPr>
        <w:t>in an asymptomatic healt</w:t>
      </w:r>
      <w:r w:rsidR="00CC4DCC" w:rsidRPr="00493B93">
        <w:rPr>
          <w:rFonts w:ascii="Book Antiqua" w:hAnsi="Book Antiqua" w:cs="Times New Roman"/>
          <w:color w:val="000000" w:themeColor="text1"/>
          <w:szCs w:val="24"/>
        </w:rPr>
        <w:t>h</w:t>
      </w:r>
      <w:r w:rsidR="00CD3278" w:rsidRPr="00493B93">
        <w:rPr>
          <w:rFonts w:ascii="Book Antiqua" w:hAnsi="Book Antiqua" w:cs="Times New Roman"/>
          <w:color w:val="000000" w:themeColor="text1"/>
          <w:szCs w:val="24"/>
        </w:rPr>
        <w:t xml:space="preserve">y </w:t>
      </w:r>
      <w:r w:rsidR="00CC4DCC" w:rsidRPr="00493B93">
        <w:rPr>
          <w:rFonts w:ascii="Book Antiqua" w:hAnsi="Book Antiqua" w:cs="Times New Roman"/>
          <w:color w:val="000000" w:themeColor="text1"/>
          <w:szCs w:val="24"/>
        </w:rPr>
        <w:t>individuals</w:t>
      </w:r>
      <w:proofErr w:type="gramEnd"/>
      <w:r w:rsidR="00CD3278" w:rsidRPr="00493B93">
        <w:rPr>
          <w:rFonts w:ascii="Book Antiqua" w:hAnsi="Book Antiqua" w:cs="Times New Roman"/>
          <w:color w:val="000000" w:themeColor="text1"/>
          <w:szCs w:val="24"/>
        </w:rPr>
        <w:t>.</w:t>
      </w:r>
      <w:r w:rsidR="00B6529F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These findings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are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important for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obese population who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are 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referred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for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bariatric surgery. </w:t>
      </w:r>
      <w:proofErr w:type="spellStart"/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should 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be 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evaluate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d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carefully before surgery</w:t>
      </w:r>
      <w:r w:rsidR="00CC4DC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,</w:t>
      </w:r>
      <w:r w:rsidR="00B6529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even in the absence of symptoms.</w:t>
      </w:r>
    </w:p>
    <w:p w:rsidR="00B6529F" w:rsidRPr="00493B93" w:rsidRDefault="00B6529F" w:rsidP="007F0361">
      <w:pPr>
        <w:pStyle w:val="a4"/>
        <w:snapToGrid w:val="0"/>
        <w:spacing w:line="360" w:lineRule="auto"/>
        <w:ind w:firstLine="708"/>
        <w:rPr>
          <w:rFonts w:ascii="Book Antiqua" w:hAnsi="Book Antiqua" w:cs="Times New Roman"/>
          <w:b/>
          <w:color w:val="000000" w:themeColor="text1"/>
          <w:szCs w:val="24"/>
          <w:u w:val="single"/>
          <w:lang w:eastAsia="zh-CN"/>
        </w:rPr>
      </w:pPr>
    </w:p>
    <w:p w:rsidR="002B6FA2" w:rsidRPr="00493B93" w:rsidRDefault="002B6FA2" w:rsidP="007F0361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Akyüz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F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Uyanıkoglu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A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Ermis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F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Arıcı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S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Akyüz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Ü,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Baran</w:t>
      </w:r>
      <w:proofErr w:type="spellEnd"/>
      <w:r w:rsidR="005F3B2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Pinarbasi</w:t>
      </w:r>
      <w:proofErr w:type="spellEnd"/>
      <w:r w:rsidR="005F3B26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, Gul</w:t>
      </w:r>
      <w:r w:rsidR="005F3B2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F3B26" w:rsidRPr="00493B93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5F3B2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Gastroesophageal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reflux in asymptomatic obese subjects: An esophageal impedance-pH study</w:t>
      </w:r>
      <w:r w:rsidR="005F3B26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.</w:t>
      </w:r>
      <w:bookmarkStart w:id="209" w:name="OLE_LINK335"/>
      <w:bookmarkStart w:id="210" w:name="OLE_LINK336"/>
      <w:bookmarkStart w:id="211" w:name="OLE_LINK87"/>
      <w:bookmarkStart w:id="212" w:name="OLE_LINK97"/>
      <w:bookmarkStart w:id="213" w:name="OLE_LINK144"/>
      <w:bookmarkStart w:id="214" w:name="OLE_LINK152"/>
      <w:bookmarkStart w:id="215" w:name="OLE_LINK163"/>
      <w:bookmarkStart w:id="216" w:name="OLE_LINK1297"/>
      <w:bookmarkStart w:id="217" w:name="OLE_LINK1298"/>
      <w:bookmarkStart w:id="218" w:name="OLE_LINK1689"/>
      <w:bookmarkStart w:id="219" w:name="OLE_LINK1895"/>
      <w:bookmarkStart w:id="220" w:name="OLE_LINK1897"/>
      <w:bookmarkStart w:id="221" w:name="OLE_LINK1937"/>
      <w:bookmarkStart w:id="222" w:name="OLE_LINK2087"/>
      <w:bookmarkStart w:id="223" w:name="OLE_LINK2088"/>
      <w:bookmarkStart w:id="224" w:name="OLE_LINK2569"/>
      <w:bookmarkStart w:id="225" w:name="OLE_LINK2570"/>
      <w:bookmarkStart w:id="226" w:name="OLE_LINK2127"/>
      <w:bookmarkStart w:id="227" w:name="OLE_LINK2128"/>
      <w:bookmarkStart w:id="228" w:name="OLE_LINK2200"/>
      <w:bookmarkStart w:id="229" w:name="OLE_LINK2113"/>
      <w:bookmarkStart w:id="230" w:name="OLE_LINK2391"/>
      <w:bookmarkStart w:id="231" w:name="OLE_LINK2392"/>
      <w:bookmarkStart w:id="232" w:name="OLE_LINK2499"/>
      <w:bookmarkStart w:id="233" w:name="OLE_LINK2782"/>
      <w:bookmarkStart w:id="234" w:name="OLE_LINK2783"/>
      <w:bookmarkStart w:id="235" w:name="OLE_LINK2667"/>
      <w:bookmarkStart w:id="236" w:name="OLE_LINK2668"/>
      <w:bookmarkStart w:id="237" w:name="OLE_LINK2766"/>
      <w:bookmarkStart w:id="238" w:name="OLE_LINK3008"/>
      <w:bookmarkStart w:id="239" w:name="OLE_LINK3156"/>
      <w:bookmarkStart w:id="240" w:name="OLE_LINK3303"/>
      <w:bookmarkStart w:id="241" w:name="OLE_LINK3304"/>
      <w:bookmarkStart w:id="242" w:name="OLE_LINK2689"/>
      <w:bookmarkStart w:id="243" w:name="OLE_LINK2588"/>
      <w:bookmarkStart w:id="244" w:name="OLE_LINK2769"/>
      <w:bookmarkStart w:id="245" w:name="OLE_LINK3019"/>
      <w:bookmarkStart w:id="246" w:name="OLE_LINK3020"/>
      <w:r w:rsidR="005F3B26" w:rsidRPr="00493B93">
        <w:rPr>
          <w:rFonts w:ascii="Book Antiqua" w:hAnsi="Book Antiqua"/>
          <w:i/>
          <w:sz w:val="24"/>
          <w:szCs w:val="24"/>
        </w:rPr>
        <w:t xml:space="preserve"> World J </w:t>
      </w:r>
      <w:proofErr w:type="spellStart"/>
      <w:r w:rsidR="005F3B26" w:rsidRPr="00493B9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="005F3B26" w:rsidRPr="00493B93">
        <w:rPr>
          <w:rFonts w:ascii="Book Antiqua" w:hAnsi="Book Antiqua"/>
          <w:sz w:val="24"/>
          <w:szCs w:val="24"/>
        </w:rPr>
        <w:t xml:space="preserve"> </w:t>
      </w:r>
      <w:bookmarkEnd w:id="209"/>
      <w:bookmarkEnd w:id="210"/>
      <w:r w:rsidR="005F3B26" w:rsidRPr="00493B93">
        <w:rPr>
          <w:rFonts w:ascii="Book Antiqua" w:hAnsi="Book Antiqua"/>
          <w:sz w:val="24"/>
          <w:szCs w:val="24"/>
        </w:rPr>
        <w:t>2014;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="005F3B26" w:rsidRPr="00493B9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F3B26" w:rsidRPr="00493B93">
        <w:rPr>
          <w:rFonts w:ascii="Book Antiqua" w:hAnsi="Book Antiqua"/>
          <w:sz w:val="24"/>
          <w:szCs w:val="24"/>
        </w:rPr>
        <w:t>In</w:t>
      </w:r>
      <w:proofErr w:type="gramEnd"/>
      <w:r w:rsidR="005F3B26" w:rsidRPr="00493B93">
        <w:rPr>
          <w:rFonts w:ascii="Book Antiqua" w:hAnsi="Book Antiqua"/>
          <w:sz w:val="24"/>
          <w:szCs w:val="24"/>
        </w:rPr>
        <w:t xml:space="preserve"> press</w:t>
      </w:r>
    </w:p>
    <w:p w:rsidR="00147D99" w:rsidRPr="00493B93" w:rsidRDefault="00147D99" w:rsidP="007F0361">
      <w:pPr>
        <w:pStyle w:val="a4"/>
        <w:snapToGrid w:val="0"/>
        <w:spacing w:line="360" w:lineRule="auto"/>
        <w:ind w:firstLine="708"/>
        <w:rPr>
          <w:rFonts w:ascii="Book Antiqua" w:hAnsi="Book Antiqua" w:cs="Times New Roman"/>
          <w:b/>
          <w:color w:val="000000" w:themeColor="text1"/>
          <w:szCs w:val="24"/>
          <w:u w:val="single"/>
          <w:lang w:eastAsia="zh-CN"/>
        </w:rPr>
      </w:pPr>
    </w:p>
    <w:p w:rsidR="005F3B26" w:rsidRPr="00493B93" w:rsidRDefault="005F3B26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:rsidR="00233750" w:rsidRPr="00493B93" w:rsidRDefault="005E4095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Cs w:val="24"/>
        </w:rPr>
        <w:lastRenderedPageBreak/>
        <w:t>INTRODUCTION</w:t>
      </w:r>
    </w:p>
    <w:p w:rsidR="00233750" w:rsidRPr="00493B93" w:rsidRDefault="000A2D8D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</w:rPr>
        <w:t>Obesity is an increasing problem world</w:t>
      </w:r>
      <w:r w:rsidR="00CC4DCC" w:rsidRPr="00493B93">
        <w:rPr>
          <w:rFonts w:ascii="Book Antiqua" w:hAnsi="Book Antiqua" w:cs="Times New Roman"/>
          <w:color w:val="000000" w:themeColor="text1"/>
          <w:szCs w:val="24"/>
        </w:rPr>
        <w:t>wide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It is predicted that by the year 2020, 77.6% of men will be overweight and 40.2% obese; the corresponding predictions for women are 71</w:t>
      </w:r>
      <w:r w:rsidR="00C0400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.1% overweight and 43.3% </w:t>
      </w:r>
      <w:proofErr w:type="gramStart"/>
      <w:r w:rsidR="00C0400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obese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872DD7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1]</w:t>
      </w:r>
      <w:r w:rsidR="0068471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9E60C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Obesity is the main cause of many diseases such as cardiac, diabetes mellitus, nonalc</w:t>
      </w:r>
      <w:r w:rsidR="0001792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</w:t>
      </w:r>
      <w:r w:rsidR="009E60C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holic fatty liver disease. </w:t>
      </w:r>
      <w:proofErr w:type="spellStart"/>
      <w:r w:rsidR="009E60C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9E60C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disease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(GERD)</w:t>
      </w:r>
      <w:r w:rsidR="009E60C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is also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 </w:t>
      </w:r>
      <w:r w:rsidR="009E60C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common disorder in most countries.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proofErr w:type="spellStart"/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</w:t>
      </w:r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tiopathogenesis</w:t>
      </w:r>
      <w:proofErr w:type="spellEnd"/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of </w:t>
      </w:r>
      <w:proofErr w:type="spellStart"/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is multifactorial (</w:t>
      </w:r>
      <w:proofErr w:type="spellStart"/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imparied</w:t>
      </w:r>
      <w:proofErr w:type="spellEnd"/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gastric e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mptying and </w:t>
      </w:r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esophageal </w:t>
      </w:r>
      <w:proofErr w:type="spellStart"/>
      <w:r w:rsidR="00044B7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clearence</w:t>
      </w:r>
      <w:proofErr w:type="spellEnd"/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, </w:t>
      </w:r>
      <w:r w:rsidR="00872DD7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etc.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).</w:t>
      </w:r>
      <w:r w:rsidR="00521FC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 limited number of </w:t>
      </w:r>
      <w:r w:rsidR="0063718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studies </w:t>
      </w:r>
      <w:r w:rsidR="00521FC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have</w:t>
      </w:r>
      <w:r w:rsidR="0063718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reported </w:t>
      </w:r>
      <w:r w:rsidR="00521FC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on </w:t>
      </w:r>
      <w:r w:rsidR="0063718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asso</w:t>
      </w:r>
      <w:r w:rsidR="00521FC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</w:t>
      </w:r>
      <w:r w:rsidR="0063718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iation bet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ween </w:t>
      </w:r>
      <w:proofErr w:type="spellStart"/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gastroesophagal</w:t>
      </w:r>
      <w:proofErr w:type="spellEnd"/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sympt</w:t>
      </w:r>
      <w:r w:rsidR="00B25B8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oms and body mass i</w:t>
      </w:r>
      <w:r w:rsidR="0063718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ndex</w:t>
      </w:r>
      <w:r w:rsidR="00ED47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(BMI</w:t>
      </w:r>
      <w:proofErr w:type="gramStart"/>
      <w:r w:rsidR="00ED47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)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872DD7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2,3]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0B75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 r</w:t>
      </w:r>
      <w:r w:rsidR="00ED47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ecently published meta-analysis showed that 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increas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ed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BMI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was a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ED47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risk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factor for</w:t>
      </w:r>
      <w:r w:rsidR="00ED47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proofErr w:type="spellStart"/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</w:t>
      </w:r>
      <w:r w:rsidR="00ED47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(OR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=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1.89, 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95%CI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: 1.70</w:t>
      </w:r>
      <w:r w:rsidR="00A22F2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</w:t>
      </w:r>
      <w:r w:rsidR="00D75BF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2.09</w:t>
      </w:r>
      <w:proofErr w:type="gramStart"/>
      <w:r w:rsidR="00ED47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)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872DD7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4]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0B75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7C232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However, </w:t>
      </w:r>
      <w:r w:rsidR="0064520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at present, the relationship between obesity and </w:t>
      </w:r>
      <w:r w:rsidR="00A22F2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gastrointestinal </w:t>
      </w:r>
      <w:r w:rsidR="0064520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symptoms remains poorly understood.</w:t>
      </w:r>
      <w:r w:rsidR="0061695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D009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We aimed to determine the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</w:t>
      </w:r>
      <w:r w:rsidR="00D009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ffects of BMI on </w:t>
      </w:r>
      <w:proofErr w:type="spellStart"/>
      <w:r w:rsidR="00D009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D009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using</w:t>
      </w:r>
      <w:r w:rsidR="00D009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D009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esophageal pH-impedance technique</w:t>
      </w:r>
      <w:r w:rsidR="006915F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in overweight and obese </w:t>
      </w:r>
      <w:r w:rsidR="008D29C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subjects</w:t>
      </w:r>
      <w:r w:rsidR="00D009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</w:t>
      </w:r>
    </w:p>
    <w:p w:rsidR="00147D99" w:rsidRPr="00493B93" w:rsidRDefault="00147D99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Cs w:val="24"/>
          <w:lang w:eastAsia="zh-CN"/>
        </w:rPr>
      </w:pPr>
    </w:p>
    <w:p w:rsidR="005E4095" w:rsidRPr="00493B93" w:rsidRDefault="005E4095" w:rsidP="007F0361">
      <w:pPr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MATERIALS AND METHODS</w:t>
      </w:r>
    </w:p>
    <w:p w:rsidR="00233750" w:rsidRPr="00493B93" w:rsidRDefault="00046DC2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b/>
          <w:i/>
          <w:color w:val="000000" w:themeColor="text1"/>
          <w:szCs w:val="24"/>
          <w:lang w:eastAsia="tr-TR"/>
        </w:rPr>
        <w:t>Subject</w:t>
      </w:r>
      <w:r w:rsidR="000964C2" w:rsidRPr="00493B93">
        <w:rPr>
          <w:rFonts w:ascii="Book Antiqua" w:hAnsi="Book Antiqua" w:cs="Times New Roman"/>
          <w:b/>
          <w:i/>
          <w:color w:val="000000" w:themeColor="text1"/>
          <w:szCs w:val="24"/>
          <w:lang w:eastAsia="tr-TR"/>
        </w:rPr>
        <w:t xml:space="preserve"> and </w:t>
      </w:r>
      <w:r w:rsidR="00A22F28" w:rsidRPr="00493B93">
        <w:rPr>
          <w:rFonts w:ascii="Book Antiqua" w:hAnsi="Book Antiqua" w:cs="Times New Roman"/>
          <w:b/>
          <w:i/>
          <w:color w:val="000000" w:themeColor="text1"/>
          <w:szCs w:val="24"/>
          <w:lang w:eastAsia="tr-TR"/>
        </w:rPr>
        <w:t>study design</w:t>
      </w:r>
    </w:p>
    <w:p w:rsidR="00B01BDC" w:rsidRPr="00493B93" w:rsidRDefault="00DB0527" w:rsidP="007F0361">
      <w:pPr>
        <w:snapToGrid w:val="0"/>
        <w:spacing w:after="0" w:line="360" w:lineRule="auto"/>
        <w:rPr>
          <w:rFonts w:ascii="Book Antiqua" w:eastAsia="CenturySchoolbook" w:hAnsi="Book Antiqua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Forty-six </w:t>
      </w:r>
      <w:r w:rsidR="00DE7A5F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overweight and obese 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subjects</w:t>
      </w:r>
      <w:r w:rsidR="00DE7A5F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were</w:t>
      </w:r>
      <w:r w:rsidR="00CC0F3E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consecutively </w:t>
      </w:r>
      <w:r w:rsidR="00DE7A5F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included </w:t>
      </w:r>
      <w:r w:rsidR="00DB22E3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to </w:t>
      </w:r>
      <w:r w:rsidR="00DE7A5F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this study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between January 2007, and December 2009</w:t>
      </w:r>
      <w:r w:rsidR="00DE7A5F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.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Patients who were</w:t>
      </w:r>
      <w:r w:rsidR="000F2D89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admitted to our hospital for check-up or </w:t>
      </w:r>
      <w:proofErr w:type="spellStart"/>
      <w:r w:rsidR="000F2D89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loosing</w:t>
      </w:r>
      <w:proofErr w:type="spellEnd"/>
      <w:r w:rsidR="000F2D89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weight 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were </w:t>
      </w:r>
      <w:r w:rsidR="000F2D89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recruited from internal medicine out-patient clinics. </w:t>
      </w:r>
      <w:r w:rsidR="00D31E41" w:rsidRPr="00493B93">
        <w:rPr>
          <w:rFonts w:ascii="Book Antiqua" w:eastAsia="CenturySchoolbook" w:hAnsi="Book Antiqua" w:cs="Times New Roman"/>
          <w:color w:val="000000" w:themeColor="text1"/>
          <w:sz w:val="24"/>
          <w:szCs w:val="24"/>
          <w:lang w:eastAsia="tr-TR"/>
        </w:rPr>
        <w:t xml:space="preserve">All patients were evaluated in terms of esophageal (heartburn, regurgitation) and </w:t>
      </w:r>
      <w:proofErr w:type="spellStart"/>
      <w:r w:rsidR="00D31E41" w:rsidRPr="00493B93">
        <w:rPr>
          <w:rFonts w:ascii="Book Antiqua" w:eastAsia="CenturySchoolbook" w:hAnsi="Book Antiqua" w:cs="Times New Roman"/>
          <w:color w:val="000000" w:themeColor="text1"/>
          <w:sz w:val="24"/>
          <w:szCs w:val="24"/>
          <w:lang w:eastAsia="tr-TR"/>
        </w:rPr>
        <w:t>extraesophageal</w:t>
      </w:r>
      <w:proofErr w:type="spellEnd"/>
      <w:r w:rsidR="00D31E41" w:rsidRPr="00493B93">
        <w:rPr>
          <w:rFonts w:ascii="Book Antiqua" w:eastAsia="CenturySchoolbook" w:hAnsi="Book Antiqua" w:cs="Times New Roman"/>
          <w:color w:val="000000" w:themeColor="text1"/>
          <w:sz w:val="24"/>
          <w:szCs w:val="24"/>
          <w:lang w:eastAsia="tr-TR"/>
        </w:rPr>
        <w:t xml:space="preserve"> (laryngitis, night coughs, dyspnea) symptoms before the study.</w:t>
      </w:r>
      <w:r w:rsidR="00D15AEB" w:rsidRPr="00493B93">
        <w:rPr>
          <w:rFonts w:ascii="Book Antiqua" w:eastAsia="CenturySchoolbook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D15AEB" w:rsidRPr="00493B93">
        <w:rPr>
          <w:rFonts w:ascii="Book Antiqua" w:hAnsi="Book Antiqua" w:cs="Times New Roman"/>
          <w:color w:val="000000" w:themeColor="text1"/>
          <w:sz w:val="24"/>
          <w:szCs w:val="24"/>
        </w:rPr>
        <w:t>Individuals who had a</w:t>
      </w:r>
      <w:r w:rsidR="00D15AEB" w:rsidRPr="00493B93">
        <w:rPr>
          <w:rFonts w:ascii="Book Antiqua" w:eastAsia="CenturySchoolbook" w:hAnsi="Book Antiqua" w:cs="Times New Roman"/>
          <w:color w:val="000000" w:themeColor="text1"/>
          <w:sz w:val="24"/>
          <w:szCs w:val="24"/>
          <w:lang w:eastAsia="tr-TR"/>
        </w:rPr>
        <w:t xml:space="preserve">ny reflux symptoms </w:t>
      </w:r>
      <w:r w:rsidR="00D15AEB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last six months 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D15AEB" w:rsidRPr="00493B93">
        <w:rPr>
          <w:rFonts w:ascii="Book Antiqua" w:hAnsi="Book Antiqua" w:cs="Times New Roman"/>
          <w:color w:val="000000" w:themeColor="text1"/>
          <w:sz w:val="24"/>
          <w:szCs w:val="24"/>
        </w:rPr>
        <w:t>excluded.</w:t>
      </w:r>
    </w:p>
    <w:p w:rsidR="00131515" w:rsidRPr="00493B93" w:rsidRDefault="00046DC2" w:rsidP="007F0361">
      <w:pPr>
        <w:autoSpaceDE w:val="0"/>
        <w:autoSpaceDN w:val="0"/>
        <w:adjustRightInd w:val="0"/>
        <w:snapToGrid w:val="0"/>
        <w:spacing w:after="0" w:line="360" w:lineRule="auto"/>
        <w:ind w:firstLineChars="50" w:firstLine="120"/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At the onset of the study, the participants underwent physical examinations. Medical histories, family histories, social habits (alcohol use and smoking) and </w:t>
      </w:r>
      <w:r w:rsidR="006666FA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BMI scores (</w:t>
      </w:r>
      <w:r w:rsidR="00A22F28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kg</w:t>
      </w:r>
      <w:r w:rsidR="006666FA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/m</w:t>
      </w:r>
      <w:r w:rsidR="006666FA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2</w:t>
      </w:r>
      <w:r w:rsidR="006666FA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) were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evaluated. 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BMI was classified 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according to 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W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orld 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H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ealth </w:t>
      </w:r>
      <w:proofErr w:type="spellStart"/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O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rganisation</w:t>
      </w:r>
      <w:proofErr w:type="spellEnd"/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classification: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18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.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5</w:t>
      </w:r>
      <w:r w:rsidR="00A22F28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-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24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.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9 kg/m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2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(normal range),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25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-30</w:t>
      </w:r>
      <w:r w:rsidR="00616956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kg/m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2</w:t>
      </w:r>
      <w:r w:rsidR="00872DD7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 xml:space="preserve"> 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(overweight), 30</w:t>
      </w:r>
      <w:r w:rsidR="00A22F28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-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40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kg/m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2</w:t>
      </w:r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gramStart"/>
      <w:r w:rsidR="00D31E41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obese 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)</w:t>
      </w:r>
      <w:proofErr w:type="gramEnd"/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,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and &gt;</w:t>
      </w:r>
      <w:r w:rsidR="00A22F28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40 </w:t>
      </w:r>
      <w:r w:rsidR="007162A7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kg/m</w:t>
      </w:r>
      <w:r w:rsidR="007162A7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2</w:t>
      </w:r>
      <w:r w:rsidR="007162A7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 xml:space="preserve"> </w:t>
      </w:r>
      <w:r w:rsidR="001315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morbid obese</w:t>
      </w:r>
      <w:r w:rsidR="00A22F28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[5]</w:t>
      </w:r>
      <w:r w:rsidR="008D29C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.</w:t>
      </w:r>
    </w:p>
    <w:p w:rsidR="00233750" w:rsidRPr="00493B93" w:rsidRDefault="008D29C5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lastRenderedPageBreak/>
        <w:t xml:space="preserve">The </w:t>
      </w:r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participants were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subsequently </w:t>
      </w:r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evaluated with the 24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-h</w:t>
      </w:r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esophageal impedance-pH </w:t>
      </w:r>
      <w:proofErr w:type="spellStart"/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</w:t>
      </w:r>
      <w:r w:rsidR="00BE068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ry</w:t>
      </w:r>
      <w:proofErr w:type="spellEnd"/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through a similar approach. Information regarding the study was provided to the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patients</w:t>
      </w:r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and their written</w:t>
      </w:r>
      <w:r w:rsidR="000C298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informed consents were taken in accordance with the Helsinki Declaration.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l</w:t>
      </w:r>
      <w:r w:rsidR="009917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ocal ethic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r w:rsidR="009917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proofErr w:type="spellStart"/>
      <w:r w:rsidR="009917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comit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</w:t>
      </w:r>
      <w:r w:rsidR="009917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ee</w:t>
      </w:r>
      <w:proofErr w:type="spellEnd"/>
      <w:r w:rsidR="009917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approved the study.</w:t>
      </w:r>
    </w:p>
    <w:p w:rsidR="00233750" w:rsidRPr="00493B93" w:rsidRDefault="008D29C5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patients </w:t>
      </w:r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were evaluated with the 24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-h</w:t>
      </w:r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esophageal impedance-pH </w:t>
      </w:r>
      <w:proofErr w:type="spellStart"/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</w:t>
      </w:r>
      <w:r w:rsidR="00D659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ry</w:t>
      </w:r>
      <w:proofErr w:type="spellEnd"/>
      <w:r w:rsidR="00046DC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without disrupting their daily routine activities.</w:t>
      </w:r>
      <w:r w:rsidR="000C298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</w:p>
    <w:p w:rsidR="00233750" w:rsidRPr="00493B93" w:rsidRDefault="00046DC2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Ambulatory 24 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esophageal impedance-pH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metry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was performed with a mobile recording device (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Ohmega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Impedance</w:t>
      </w:r>
      <w:r w:rsidR="0046257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ambulatory pH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metr</w:t>
      </w:r>
      <w:r w:rsidR="00E20F1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; MMS,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Enschede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, Netherlands) and the catheter had 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an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8 impedance ring and 1 antimony pH measurement loop (Versa Flex Z-Impedance pH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metry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disposable catheters; Alpine bio Med, Fountain Valley, CA, 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United States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). Impedance-pH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metry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catheters were passed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transnasally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under topical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anaesthesia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and positioned to record pH 5 and impedance at 3, 5, 7, 9,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15 and 17 cm proximal to 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lower esophageal sphincter (LES) in the esophageal body at 8:00 am.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Postero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-anterior chest X-ray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were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taken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to confirm the 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correct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positioning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of 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catheter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</w:t>
      </w:r>
      <w:r w:rsidR="00B25B8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c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atheter was not removed until the following day at 8:00 am. After a 24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-h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investigation, recordings were uploaded onto a personal computer. All data were interpreted under a related program manually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by one expert (</w:t>
      </w:r>
      <w:proofErr w:type="spellStart"/>
      <w:r w:rsidR="0067025A" w:rsidRPr="00493B93">
        <w:rPr>
          <w:rFonts w:ascii="Book Antiqua" w:hAnsi="Book Antiqua" w:cs="Times New Roman"/>
          <w:color w:val="000000" w:themeColor="text1"/>
          <w:szCs w:val="24"/>
        </w:rPr>
        <w:t>Akyüz</w:t>
      </w:r>
      <w:proofErr w:type="spellEnd"/>
      <w:r w:rsidR="0067025A" w:rsidRPr="00493B93">
        <w:rPr>
          <w:rFonts w:ascii="Book Antiqua" w:hAnsi="Book Antiqua" w:cs="Times New Roman"/>
          <w:color w:val="000000" w:themeColor="text1"/>
          <w:szCs w:val="24"/>
        </w:rPr>
        <w:t xml:space="preserve"> F</w:t>
      </w:r>
      <w:r w:rsidR="00DB22E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).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was defined as a sequential orally progressing drop in impedance to less than 50% of baseline values starting distally (3 cm above the LES) and propagating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retrogradely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to at least the next 2 more proximal impedance rings. </w:t>
      </w:r>
      <w:r w:rsidR="00AC08E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Depending on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corresponding pH change, impedance detected reflux was classified as follows: (1) </w:t>
      </w:r>
      <w:r w:rsidR="0082208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cid reflux: pH decrease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&lt;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4 for a period of at least 4 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during reflux or at least 1 unit decrease in pH for at least 4 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when pH is already below 4 (acid re-reflux) (superimposed reflu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x) were defined as acid reflux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;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(2)</w:t>
      </w:r>
      <w:r w:rsidR="00AE47B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82208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</w:t>
      </w:r>
      <w:r w:rsidR="00AE47B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eakly acidic reflux: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At least 1 unit of pH decrease for at least 4 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, while the maintenance of pH between 4-7 during the reflux were defined as weak</w:t>
      </w:r>
      <w:r w:rsidR="00AE47B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ly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acid</w:t>
      </w:r>
      <w:r w:rsidR="00AE47B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ic</w:t>
      </w:r>
      <w:r w:rsidR="0052542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</w:t>
      </w:r>
      <w:r w:rsidR="00525425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; and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(3) </w:t>
      </w:r>
      <w:r w:rsidR="0082208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eakly alkaline</w:t>
      </w:r>
      <w:r w:rsidR="00AE47B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(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non-acid) reflux: pH above 7 during reflux was </w:t>
      </w:r>
      <w:r w:rsidR="006544D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defined as </w:t>
      </w:r>
      <w:r w:rsidR="00AE47B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weakly alkaline r</w:t>
      </w:r>
      <w:r w:rsidR="006544D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eflux</w:t>
      </w:r>
      <w:r w:rsidR="00525425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[6]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</w:p>
    <w:p w:rsidR="00233750" w:rsidRPr="00493B93" w:rsidRDefault="00046DC2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Each reflux episode was classified as liquid, gas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,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or mixed.</w:t>
      </w:r>
      <w:r w:rsidR="00D659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Liquid, gas, mixed, acid, weak acid and weak alkaline reflux, the</w:t>
      </w:r>
      <w:r w:rsidR="00B006A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percentage of time period of pH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&lt;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4 relative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lastRenderedPageBreak/>
        <w:t>to the total time, the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number of episodes with pH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&lt;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4 were evaluated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seperately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for 24</w:t>
      </w:r>
      <w:r w:rsidR="00B006A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67025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recording period in the supine and standing positions.</w:t>
      </w:r>
      <w:r w:rsidR="00B006A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number and percentage of reflux episodes extending to</w:t>
      </w:r>
      <w:r w:rsidR="0064112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proximal</w:t>
      </w:r>
      <w:r w:rsidR="00AE47B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esophagus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(the number of reflux episodes extending 15 cm</w:t>
      </w:r>
      <w:r w:rsidR="00B006A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above the esophagus sphincter), bolus clearance time, the number of swallows and the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DeMeester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score were evaluated as a 24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-h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record</w:t>
      </w:r>
      <w:r w:rsidR="006544D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5C593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52542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</w:t>
      </w:r>
      <w:r w:rsidR="005C593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esults </w:t>
      </w:r>
      <w:r w:rsidR="00525425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of </w:t>
      </w:r>
      <w:proofErr w:type="spellStart"/>
      <w:r w:rsidR="0052542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Zerbib</w:t>
      </w:r>
      <w:proofErr w:type="spellEnd"/>
      <w:r w:rsidR="0052542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525425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 xml:space="preserve">et </w:t>
      </w:r>
      <w:proofErr w:type="gramStart"/>
      <w:r w:rsidR="00525425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al</w:t>
      </w:r>
      <w:r w:rsidR="00525425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525425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7]</w:t>
      </w:r>
      <w:r w:rsidR="0052542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5C593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were used as a normal values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0B75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Twenty-eight patients who had weakly or acid reflux in impedance gave consent to undergo g</w:t>
      </w:r>
      <w:r w:rsidR="0058457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astroscopy.</w:t>
      </w:r>
      <w:r w:rsidR="002E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</w:p>
    <w:p w:rsidR="00147D99" w:rsidRPr="00493B93" w:rsidRDefault="00147D99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</w:p>
    <w:p w:rsidR="00525425" w:rsidRPr="00493B93" w:rsidRDefault="00525425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bookmarkStart w:id="247" w:name="OLE_LINK107"/>
      <w:bookmarkStart w:id="248" w:name="OLE_LINK130"/>
      <w:bookmarkStart w:id="249" w:name="OLE_LINK284"/>
      <w:bookmarkStart w:id="250" w:name="OLE_LINK728"/>
      <w:bookmarkStart w:id="251" w:name="OLE_LINK729"/>
      <w:bookmarkStart w:id="252" w:name="OLE_LINK865"/>
      <w:bookmarkStart w:id="253" w:name="OLE_LINK933"/>
      <w:bookmarkStart w:id="254" w:name="OLE_LINK997"/>
      <w:bookmarkStart w:id="255" w:name="OLE_LINK999"/>
      <w:bookmarkStart w:id="256" w:name="OLE_LINK1000"/>
      <w:bookmarkStart w:id="257" w:name="OLE_LINK1142"/>
      <w:bookmarkStart w:id="258" w:name="OLE_LINK1143"/>
      <w:bookmarkStart w:id="259" w:name="OLE_LINK1197"/>
      <w:bookmarkStart w:id="260" w:name="OLE_LINK1187"/>
      <w:bookmarkStart w:id="261" w:name="OLE_LINK1307"/>
      <w:bookmarkStart w:id="262" w:name="OLE_LINK1691"/>
      <w:bookmarkStart w:id="263" w:name="OLE_LINK1654"/>
      <w:bookmarkStart w:id="264" w:name="OLE_LINK2086"/>
      <w:bookmarkStart w:id="265" w:name="OLE_LINK2164"/>
      <w:bookmarkStart w:id="266" w:name="OLE_LINK2578"/>
      <w:bookmarkStart w:id="267" w:name="OLE_LINK2539"/>
      <w:bookmarkStart w:id="268" w:name="OLE_LINK2540"/>
      <w:bookmarkStart w:id="269" w:name="OLE_LINK2624"/>
      <w:r w:rsidRPr="00493B93">
        <w:rPr>
          <w:rFonts w:ascii="Book Antiqua" w:hAnsi="Book Antiqua"/>
          <w:b/>
          <w:i/>
          <w:sz w:val="24"/>
          <w:szCs w:val="24"/>
        </w:rPr>
        <w:t>Statistical analysis</w:t>
      </w:r>
    </w:p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p w:rsidR="00233750" w:rsidRPr="00493B93" w:rsidRDefault="00046DC2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Statistical analyses were carried out by SPSS 13.0. Independent groups were compared 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using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the non-parametric Mann-Whitney </w:t>
      </w:r>
      <w:r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U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test. Dependent groups were evaluated with the Wilcoxon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sign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ed-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rank test. Correlation analyses were performed 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using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Spearman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’s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correlation tests.</w:t>
      </w:r>
      <w:r w:rsidR="0061695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F943C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Multivariate regression analyses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were</w:t>
      </w:r>
      <w:r w:rsidR="00F943C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performed</w:t>
      </w:r>
      <w:r w:rsidR="00F943C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2C1CE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to </w:t>
      </w:r>
      <w:r w:rsidR="00F943C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define the risk factor for a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</w:t>
      </w:r>
      <w:r w:rsidR="00F943C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id reflux.</w:t>
      </w:r>
      <w:r w:rsidR="001C44B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C6539C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Data are presented as mean values or as count and percentages, as appropriate. </w:t>
      </w:r>
      <w:proofErr w:type="gram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</w:t>
      </w:r>
      <w:r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 xml:space="preserve"> P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-value lower than 0.05 was considered to be statistically significant.</w:t>
      </w:r>
      <w:proofErr w:type="gramEnd"/>
    </w:p>
    <w:p w:rsidR="00147D99" w:rsidRPr="00493B93" w:rsidRDefault="00147D99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</w:p>
    <w:p w:rsidR="00233750" w:rsidRPr="00493B93" w:rsidRDefault="00BF7899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b/>
          <w:color w:val="000000" w:themeColor="text1"/>
          <w:szCs w:val="24"/>
          <w:lang w:eastAsia="tr-TR"/>
        </w:rPr>
        <w:t>RESULTS</w:t>
      </w:r>
    </w:p>
    <w:p w:rsidR="00233750" w:rsidRPr="00493B93" w:rsidRDefault="00074CC1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</w:rPr>
      </w:pPr>
      <w:r w:rsidRPr="00493B93">
        <w:rPr>
          <w:rFonts w:ascii="Book Antiqua" w:hAnsi="Book Antiqua" w:cs="Times New Roman"/>
          <w:color w:val="000000" w:themeColor="text1"/>
          <w:szCs w:val="24"/>
        </w:rPr>
        <w:t>Forty-six obese (BMI &gt;</w:t>
      </w:r>
      <w:r w:rsidR="00523837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</w:rPr>
        <w:t>25 kg/m</w:t>
      </w:r>
      <w:r w:rsidRPr="00493B93">
        <w:rPr>
          <w:rFonts w:ascii="Book Antiqua" w:hAnsi="Book Antiqua" w:cs="Times New Roman"/>
          <w:color w:val="000000" w:themeColor="text1"/>
          <w:szCs w:val="24"/>
          <w:vertAlign w:val="superscript"/>
        </w:rPr>
        <w:t>2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) 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>patients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were enrolled in this prospective study. 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>The m</w:t>
      </w:r>
      <w:r w:rsidRPr="00493B93">
        <w:rPr>
          <w:rFonts w:ascii="Book Antiqua" w:hAnsi="Book Antiqua" w:cs="Times New Roman"/>
          <w:color w:val="000000" w:themeColor="text1"/>
          <w:szCs w:val="24"/>
        </w:rPr>
        <w:t>ean age</w:t>
      </w:r>
      <w:r w:rsidRPr="00493B93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</w:rPr>
        <w:t>of patients was 49.47</w:t>
      </w:r>
      <w:r w:rsidR="00523837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± </w:t>
      </w:r>
      <w:r w:rsidRPr="00493B93">
        <w:rPr>
          <w:rFonts w:ascii="Book Antiqua" w:hAnsi="Book Antiqua" w:cs="Times New Roman"/>
          <w:color w:val="000000" w:themeColor="text1"/>
          <w:szCs w:val="24"/>
        </w:rPr>
        <w:t>12.24 years, and half of them were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 xml:space="preserve"> men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>The m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ean BMI was </w:t>
      </w:r>
      <w:proofErr w:type="gramStart"/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30.64 </w:t>
      </w:r>
      <w:r w:rsidR="00523837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±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3.95 kg/m</w:t>
      </w:r>
      <w:r w:rsidRPr="00493B93">
        <w:rPr>
          <w:rFonts w:ascii="Book Antiqua" w:hAnsi="Book Antiqua" w:cs="Times New Roman"/>
          <w:color w:val="000000" w:themeColor="text1"/>
          <w:szCs w:val="24"/>
          <w:vertAlign w:val="superscript"/>
        </w:rPr>
        <w:t>2</w:t>
      </w:r>
      <w:r w:rsidR="00523837" w:rsidRPr="00493B93">
        <w:rPr>
          <w:rFonts w:ascii="Book Antiqua" w:hAnsi="Book Antiqua" w:cs="Times New Roman"/>
          <w:color w:val="000000" w:themeColor="text1"/>
          <w:szCs w:val="24"/>
        </w:rPr>
        <w:t xml:space="preserve"> (25.14-</w:t>
      </w:r>
      <w:r w:rsidRPr="00493B93">
        <w:rPr>
          <w:rFonts w:ascii="Book Antiqua" w:hAnsi="Book Antiqua" w:cs="Times New Roman"/>
          <w:color w:val="000000" w:themeColor="text1"/>
          <w:szCs w:val="24"/>
        </w:rPr>
        <w:t>45.58 kg/m</w:t>
      </w:r>
      <w:r w:rsidRPr="00493B93">
        <w:rPr>
          <w:rFonts w:ascii="Book Antiqua" w:hAnsi="Book Antiqua" w:cs="Times New Roman"/>
          <w:color w:val="000000" w:themeColor="text1"/>
          <w:szCs w:val="24"/>
          <w:vertAlign w:val="superscript"/>
        </w:rPr>
        <w:t>2</w:t>
      </w:r>
      <w:r w:rsidRPr="00493B93">
        <w:rPr>
          <w:rFonts w:ascii="Book Antiqua" w:hAnsi="Book Antiqua" w:cs="Times New Roman"/>
          <w:color w:val="000000" w:themeColor="text1"/>
          <w:szCs w:val="24"/>
        </w:rPr>
        <w:t>)</w:t>
      </w:r>
      <w:proofErr w:type="gramEnd"/>
      <w:r w:rsidRPr="00493B93">
        <w:rPr>
          <w:rFonts w:ascii="Book Antiqua" w:hAnsi="Book Antiqua" w:cs="Times New Roman"/>
          <w:color w:val="000000" w:themeColor="text1"/>
          <w:szCs w:val="24"/>
        </w:rPr>
        <w:t>. BMI of 23 was over 30 kg/m</w:t>
      </w:r>
      <w:r w:rsidRPr="00493B93">
        <w:rPr>
          <w:rFonts w:ascii="Book Antiqua" w:hAnsi="Book Antiqua" w:cs="Times New Roman"/>
          <w:color w:val="000000" w:themeColor="text1"/>
          <w:szCs w:val="24"/>
          <w:vertAlign w:val="superscript"/>
        </w:rPr>
        <w:t>2</w:t>
      </w:r>
      <w:r w:rsidRPr="00493B93">
        <w:rPr>
          <w:rFonts w:ascii="Book Antiqua" w:hAnsi="Book Antiqua" w:cs="Times New Roman"/>
          <w:color w:val="000000" w:themeColor="text1"/>
          <w:szCs w:val="24"/>
        </w:rPr>
        <w:t>. Seventeen patients h</w:t>
      </w:r>
      <w:r w:rsidR="006544D9" w:rsidRPr="00493B93">
        <w:rPr>
          <w:rFonts w:ascii="Book Antiqua" w:hAnsi="Book Antiqua" w:cs="Times New Roman"/>
          <w:color w:val="000000" w:themeColor="text1"/>
          <w:szCs w:val="24"/>
        </w:rPr>
        <w:t>ad comorbidit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>ies</w:t>
      </w:r>
      <w:r w:rsidR="006544D9" w:rsidRPr="00493B93">
        <w:rPr>
          <w:rFonts w:ascii="Book Antiqua" w:hAnsi="Book Antiqua" w:cs="Times New Roman"/>
          <w:color w:val="000000" w:themeColor="text1"/>
          <w:szCs w:val="24"/>
        </w:rPr>
        <w:t xml:space="preserve"> (</w:t>
      </w:r>
      <w:r w:rsidR="00EE4520" w:rsidRPr="00493B93">
        <w:rPr>
          <w:rFonts w:ascii="Book Antiqua" w:hAnsi="Book Antiqua" w:cs="Times New Roman"/>
          <w:color w:val="000000" w:themeColor="text1"/>
          <w:szCs w:val="24"/>
        </w:rPr>
        <w:t xml:space="preserve">mild </w:t>
      </w:r>
      <w:r w:rsidR="006544D9" w:rsidRPr="00493B93">
        <w:rPr>
          <w:rFonts w:ascii="Book Antiqua" w:hAnsi="Book Antiqua" w:cs="Times New Roman"/>
          <w:color w:val="000000" w:themeColor="text1"/>
          <w:szCs w:val="24"/>
        </w:rPr>
        <w:t>hypertension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r w:rsidR="006544D9" w:rsidRPr="00493B93">
        <w:rPr>
          <w:rFonts w:ascii="Book Antiqua" w:hAnsi="Book Antiqua" w:cs="Times New Roman"/>
          <w:color w:val="000000" w:themeColor="text1"/>
          <w:szCs w:val="24"/>
        </w:rPr>
        <w:t>diabetes mellitus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 xml:space="preserve">, or </w:t>
      </w:r>
      <w:r w:rsidR="00E20F1C" w:rsidRPr="00493B93">
        <w:rPr>
          <w:rFonts w:ascii="Book Antiqua" w:hAnsi="Book Antiqua" w:cs="Times New Roman"/>
          <w:color w:val="000000" w:themeColor="text1"/>
          <w:szCs w:val="24"/>
        </w:rPr>
        <w:t xml:space="preserve">ischemic heart disease). </w:t>
      </w:r>
      <w:r w:rsidRPr="00493B93">
        <w:rPr>
          <w:rFonts w:ascii="Book Antiqua" w:hAnsi="Book Antiqua" w:cs="Times New Roman"/>
          <w:color w:val="000000" w:themeColor="text1"/>
          <w:szCs w:val="24"/>
        </w:rPr>
        <w:t>Endoscopic examination reve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>a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led esophagitis in 13/28 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>patients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(10 Grade A, 3 Grade B).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40491D" w:rsidRPr="00493B93">
        <w:rPr>
          <w:rFonts w:ascii="Book Antiqua" w:hAnsi="Book Antiqua" w:cs="Times New Roman"/>
          <w:color w:val="000000" w:themeColor="text1"/>
          <w:szCs w:val="24"/>
        </w:rPr>
        <w:t xml:space="preserve">None of the </w:t>
      </w:r>
      <w:r w:rsidR="001C44B1" w:rsidRPr="00493B93">
        <w:rPr>
          <w:rFonts w:ascii="Book Antiqua" w:hAnsi="Book Antiqua" w:cs="Times New Roman"/>
          <w:color w:val="000000" w:themeColor="text1"/>
          <w:szCs w:val="24"/>
        </w:rPr>
        <w:t>patients</w:t>
      </w:r>
      <w:r w:rsidR="0040491D" w:rsidRPr="00493B93">
        <w:rPr>
          <w:rFonts w:ascii="Book Antiqua" w:hAnsi="Book Antiqua" w:cs="Times New Roman"/>
          <w:color w:val="000000" w:themeColor="text1"/>
          <w:szCs w:val="24"/>
        </w:rPr>
        <w:t xml:space="preserve"> had hiatal hernia. 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>Pathologic weakly ac</w:t>
      </w:r>
      <w:r w:rsidR="0058457B" w:rsidRPr="00493B93">
        <w:rPr>
          <w:rFonts w:ascii="Book Antiqua" w:hAnsi="Book Antiqua" w:cs="Times New Roman"/>
          <w:color w:val="000000" w:themeColor="text1"/>
          <w:szCs w:val="24"/>
        </w:rPr>
        <w:t>id reflux was detected in h</w:t>
      </w:r>
      <w:r w:rsidR="00A15781" w:rsidRPr="00493B93">
        <w:rPr>
          <w:rFonts w:ascii="Book Antiqua" w:hAnsi="Book Antiqua" w:cs="Times New Roman"/>
          <w:color w:val="000000" w:themeColor="text1"/>
          <w:szCs w:val="24"/>
        </w:rPr>
        <w:t xml:space="preserve">alf of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all the patients</w:t>
      </w:r>
      <w:r w:rsidR="0058457B" w:rsidRPr="00493B93">
        <w:rPr>
          <w:rFonts w:ascii="Book Antiqua" w:hAnsi="Book Antiqua" w:cs="Times New Roman"/>
          <w:color w:val="000000" w:themeColor="text1"/>
          <w:szCs w:val="24"/>
        </w:rPr>
        <w:t xml:space="preserve"> and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="0058457B" w:rsidRPr="00493B93">
        <w:rPr>
          <w:rFonts w:ascii="Book Antiqua" w:hAnsi="Book Antiqua" w:cs="Times New Roman"/>
          <w:color w:val="000000" w:themeColor="text1"/>
          <w:szCs w:val="24"/>
        </w:rPr>
        <w:t>p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>athologic ac</w:t>
      </w:r>
      <w:r w:rsidR="00A15781" w:rsidRPr="00493B93">
        <w:rPr>
          <w:rFonts w:ascii="Book Antiqua" w:hAnsi="Book Antiqua" w:cs="Times New Roman"/>
          <w:color w:val="000000" w:themeColor="text1"/>
          <w:szCs w:val="24"/>
        </w:rPr>
        <w:t xml:space="preserve">id reflux rate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was </w:t>
      </w:r>
      <w:r w:rsidR="00A15781" w:rsidRPr="00493B93">
        <w:rPr>
          <w:rFonts w:ascii="Book Antiqua" w:hAnsi="Book Antiqua" w:cs="Times New Roman"/>
          <w:color w:val="000000" w:themeColor="text1"/>
          <w:szCs w:val="24"/>
        </w:rPr>
        <w:t>34.8% (</w:t>
      </w:r>
      <w:r w:rsidR="00AD69E8" w:rsidRPr="00493B93">
        <w:rPr>
          <w:rFonts w:ascii="Book Antiqua" w:hAnsi="Book Antiqua" w:cs="Times New Roman"/>
          <w:i/>
          <w:color w:val="000000" w:themeColor="text1"/>
          <w:szCs w:val="24"/>
        </w:rPr>
        <w:t>n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="00A15781" w:rsidRPr="00493B93">
        <w:rPr>
          <w:rFonts w:ascii="Book Antiqua" w:hAnsi="Book Antiqua" w:cs="Times New Roman"/>
          <w:color w:val="000000" w:themeColor="text1"/>
          <w:szCs w:val="24"/>
        </w:rPr>
        <w:t>16)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 xml:space="preserve">. Only one patient </w:t>
      </w:r>
      <w:proofErr w:type="gramStart"/>
      <w:r w:rsidR="008576A0" w:rsidRPr="00493B93">
        <w:rPr>
          <w:rFonts w:ascii="Book Antiqua" w:hAnsi="Book Antiqua" w:cs="Times New Roman"/>
          <w:color w:val="000000" w:themeColor="text1"/>
          <w:szCs w:val="24"/>
        </w:rPr>
        <w:t>who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se</w:t>
      </w:r>
      <w:proofErr w:type="gramEnd"/>
      <w:r w:rsidR="008576A0" w:rsidRPr="00493B93">
        <w:rPr>
          <w:rFonts w:ascii="Book Antiqua" w:hAnsi="Book Antiqua" w:cs="Times New Roman"/>
          <w:color w:val="000000" w:themeColor="text1"/>
          <w:szCs w:val="24"/>
        </w:rPr>
        <w:t xml:space="preserve"> BMI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485BB2" w:rsidRPr="00493B93">
        <w:rPr>
          <w:rFonts w:ascii="Book Antiqua" w:hAnsi="Book Antiqua" w:cs="Times New Roman"/>
          <w:color w:val="000000" w:themeColor="text1"/>
          <w:szCs w:val="24"/>
        </w:rPr>
        <w:t>was</w:t>
      </w:r>
      <w:r w:rsidR="00872DD7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&lt; 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>30</w:t>
      </w:r>
      <w:r w:rsidR="00485BB2" w:rsidRPr="00493B93">
        <w:rPr>
          <w:rFonts w:ascii="Book Antiqua" w:hAnsi="Book Antiqua" w:cs="Times New Roman"/>
          <w:color w:val="000000" w:themeColor="text1"/>
          <w:szCs w:val="24"/>
        </w:rPr>
        <w:t xml:space="preserve"> kg/m</w:t>
      </w:r>
      <w:r w:rsidR="00485BB2" w:rsidRPr="00493B93">
        <w:rPr>
          <w:rFonts w:ascii="Book Antiqua" w:hAnsi="Book Antiqua" w:cs="Times New Roman"/>
          <w:color w:val="000000" w:themeColor="text1"/>
          <w:szCs w:val="24"/>
          <w:vertAlign w:val="superscript"/>
        </w:rPr>
        <w:t xml:space="preserve">2 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>had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>pH &gt;</w:t>
      </w:r>
      <w:r w:rsidR="00AD69E8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>7</w:t>
      </w:r>
      <w:r w:rsidR="00E20F1C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8576A0" w:rsidRPr="00493B93">
        <w:rPr>
          <w:rFonts w:ascii="Book Antiqua" w:hAnsi="Book Antiqua" w:cs="Times New Roman"/>
          <w:color w:val="000000" w:themeColor="text1"/>
          <w:szCs w:val="24"/>
        </w:rPr>
        <w:t xml:space="preserve">reflux </w:t>
      </w:r>
      <w:r w:rsidR="00E20F1C" w:rsidRPr="00493B93">
        <w:rPr>
          <w:rFonts w:ascii="Book Antiqua" w:hAnsi="Book Antiqua" w:cs="Times New Roman"/>
          <w:color w:val="000000" w:themeColor="text1"/>
          <w:szCs w:val="24"/>
        </w:rPr>
        <w:t>(Table 1)</w:t>
      </w:r>
      <w:r w:rsidR="00A15781" w:rsidRPr="00493B93">
        <w:rPr>
          <w:rFonts w:ascii="Book Antiqua" w:hAnsi="Book Antiqua" w:cs="Times New Roman"/>
          <w:color w:val="000000" w:themeColor="text1"/>
          <w:szCs w:val="24"/>
        </w:rPr>
        <w:t>.</w:t>
      </w:r>
    </w:p>
    <w:p w:rsidR="00233750" w:rsidRPr="00493B93" w:rsidRDefault="00F943CB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</w:rPr>
      </w:pPr>
      <w:r w:rsidRPr="00493B93">
        <w:rPr>
          <w:rFonts w:ascii="Book Antiqua" w:hAnsi="Book Antiqua" w:cs="Times New Roman"/>
          <w:color w:val="000000" w:themeColor="text1"/>
          <w:szCs w:val="24"/>
        </w:rPr>
        <w:t>There was a positive correlation between BMI and total and supine pH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&lt; </w:t>
      </w:r>
      <w:r w:rsidRPr="00493B93">
        <w:rPr>
          <w:rFonts w:ascii="Book Antiqua" w:hAnsi="Book Antiqua" w:cs="Times New Roman"/>
          <w:color w:val="000000" w:themeColor="text1"/>
          <w:szCs w:val="24"/>
        </w:rPr>
        <w:t>4 episode number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0.002,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>0</w:t>
      </w:r>
      <w:r w:rsidR="00AD69E8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.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414;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0.000,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>0.542),</w:t>
      </w:r>
      <w:r w:rsidR="00872DD7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&lt; </w:t>
      </w:r>
      <w:r w:rsidR="007162A7" w:rsidRPr="00493B93">
        <w:rPr>
          <w:rFonts w:ascii="Book Antiqua" w:hAnsi="Book Antiqua" w:cs="Times New Roman"/>
          <w:color w:val="000000" w:themeColor="text1"/>
          <w:szCs w:val="24"/>
        </w:rPr>
        <w:t>pH 4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reflux time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0.015,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0.319;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0.003,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0.403) and </w:t>
      </w:r>
      <w:proofErr w:type="spellStart"/>
      <w:r w:rsidR="00E57D88" w:rsidRPr="00493B93">
        <w:rPr>
          <w:rFonts w:ascii="Book Antiqua" w:hAnsi="Book Antiqua" w:cs="Times New Roman"/>
          <w:color w:val="000000" w:themeColor="text1"/>
          <w:szCs w:val="24"/>
        </w:rPr>
        <w:t>DeMeester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score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0.012,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>0.333)</w:t>
      </w:r>
      <w:r w:rsidR="00E20F1C" w:rsidRPr="00493B93">
        <w:rPr>
          <w:rFonts w:ascii="Book Antiqua" w:hAnsi="Book Antiqua" w:cs="Times New Roman"/>
          <w:color w:val="000000" w:themeColor="text1"/>
          <w:szCs w:val="24"/>
        </w:rPr>
        <w:t xml:space="preserve"> (Figure 1)</w:t>
      </w:r>
      <w:r w:rsidRPr="00493B93">
        <w:rPr>
          <w:rFonts w:ascii="Book Antiqua" w:hAnsi="Book Antiqua" w:cs="Times New Roman"/>
          <w:color w:val="000000" w:themeColor="text1"/>
          <w:szCs w:val="24"/>
        </w:rPr>
        <w:t>.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In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a </w:t>
      </w:r>
      <w:r w:rsidRPr="00493B93">
        <w:rPr>
          <w:rFonts w:ascii="Book Antiqua" w:hAnsi="Book Antiqua" w:cs="Times New Roman"/>
          <w:color w:val="000000" w:themeColor="text1"/>
          <w:szCs w:val="24"/>
        </w:rPr>
        <w:t>multivariate regression analysis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,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only BMI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was determined to be </w:t>
      </w:r>
      <w:r w:rsidRPr="00493B93">
        <w:rPr>
          <w:rFonts w:ascii="Book Antiqua" w:hAnsi="Book Antiqua" w:cs="Times New Roman"/>
          <w:color w:val="000000" w:themeColor="text1"/>
          <w:szCs w:val="24"/>
        </w:rPr>
        <w:t>a</w:t>
      </w:r>
      <w:r w:rsidR="002E3278" w:rsidRPr="00493B93">
        <w:rPr>
          <w:rFonts w:ascii="Book Antiqua" w:hAnsi="Book Antiqua" w:cs="Times New Roman"/>
          <w:color w:val="000000" w:themeColor="text1"/>
          <w:szCs w:val="24"/>
        </w:rPr>
        <w:t xml:space="preserve">n independent risk </w:t>
      </w:r>
      <w:r w:rsidR="002E3278" w:rsidRPr="00493B93">
        <w:rPr>
          <w:rFonts w:ascii="Book Antiqua" w:hAnsi="Book Antiqua" w:cs="Times New Roman"/>
          <w:color w:val="000000" w:themeColor="text1"/>
          <w:szCs w:val="24"/>
        </w:rPr>
        <w:lastRenderedPageBreak/>
        <w:t>factor for ac</w:t>
      </w:r>
      <w:r w:rsidRPr="00493B93">
        <w:rPr>
          <w:rFonts w:ascii="Book Antiqua" w:hAnsi="Book Antiqua" w:cs="Times New Roman"/>
          <w:color w:val="000000" w:themeColor="text1"/>
          <w:szCs w:val="24"/>
        </w:rPr>
        <w:t>id reflux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>0.024). Alcohol us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e</w:t>
      </w:r>
      <w:r w:rsidRPr="00493B93">
        <w:rPr>
          <w:rFonts w:ascii="Book Antiqua" w:hAnsi="Book Antiqua" w:cs="Times New Roman"/>
          <w:color w:val="000000" w:themeColor="text1"/>
          <w:szCs w:val="24"/>
        </w:rPr>
        <w:t>, smoking,</w:t>
      </w:r>
      <w:r w:rsidR="0058457B" w:rsidRPr="00493B93">
        <w:rPr>
          <w:rFonts w:ascii="Book Antiqua" w:hAnsi="Book Antiqua" w:cs="Times New Roman"/>
          <w:color w:val="000000" w:themeColor="text1"/>
          <w:szCs w:val="24"/>
        </w:rPr>
        <w:t xml:space="preserve"> comorbidity,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age a</w:t>
      </w:r>
      <w:r w:rsidR="00BF4BAE" w:rsidRPr="00493B93">
        <w:rPr>
          <w:rFonts w:ascii="Book Antiqua" w:hAnsi="Book Antiqua" w:cs="Times New Roman"/>
          <w:color w:val="000000" w:themeColor="text1"/>
          <w:szCs w:val="24"/>
        </w:rPr>
        <w:t xml:space="preserve">nd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sex </w:t>
      </w:r>
      <w:proofErr w:type="gramStart"/>
      <w:r w:rsidR="00D97A63" w:rsidRPr="00493B93">
        <w:rPr>
          <w:rFonts w:ascii="Book Antiqua" w:hAnsi="Book Antiqua" w:cs="Times New Roman"/>
          <w:color w:val="000000" w:themeColor="text1"/>
          <w:szCs w:val="24"/>
        </w:rPr>
        <w:t>was</w:t>
      </w:r>
      <w:proofErr w:type="gramEnd"/>
      <w:r w:rsidR="00BF4BAE" w:rsidRPr="00493B93">
        <w:rPr>
          <w:rFonts w:ascii="Book Antiqua" w:hAnsi="Book Antiqua" w:cs="Times New Roman"/>
          <w:color w:val="000000" w:themeColor="text1"/>
          <w:szCs w:val="24"/>
        </w:rPr>
        <w:t xml:space="preserve"> not related to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reflux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in the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multivariate regression analyses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AD69E8" w:rsidRPr="00493B93">
        <w:rPr>
          <w:rFonts w:ascii="Book Antiqua" w:hAnsi="Book Antiqua" w:cs="Times New Roman"/>
          <w:i/>
          <w:color w:val="000000" w:themeColor="text1"/>
          <w:szCs w:val="24"/>
          <w:lang w:eastAsia="zh-CN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</w:rPr>
        <w:t>&gt;</w:t>
      </w:r>
      <w:r w:rsidR="00AD69E8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</w:rPr>
        <w:t>0.05)</w:t>
      </w:r>
      <w:r w:rsidR="0058457B" w:rsidRPr="00493B93">
        <w:rPr>
          <w:rFonts w:ascii="Book Antiqua" w:hAnsi="Book Antiqua" w:cs="Times New Roman"/>
          <w:color w:val="000000" w:themeColor="text1"/>
          <w:szCs w:val="24"/>
        </w:rPr>
        <w:t xml:space="preserve">. </w:t>
      </w:r>
    </w:p>
    <w:p w:rsidR="00233750" w:rsidRPr="00493B93" w:rsidRDefault="00D97A63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The patients were 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>divided in</w:t>
      </w:r>
      <w:r w:rsidRPr="00493B93">
        <w:rPr>
          <w:rFonts w:ascii="Book Antiqua" w:hAnsi="Book Antiqua" w:cs="Times New Roman"/>
          <w:color w:val="000000" w:themeColor="text1"/>
          <w:szCs w:val="24"/>
        </w:rPr>
        <w:t>to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 xml:space="preserve"> two </w:t>
      </w:r>
      <w:proofErr w:type="gramStart"/>
      <w:r w:rsidR="00074CC1" w:rsidRPr="00493B93">
        <w:rPr>
          <w:rFonts w:ascii="Book Antiqua" w:hAnsi="Book Antiqua" w:cs="Times New Roman"/>
          <w:color w:val="000000" w:themeColor="text1"/>
          <w:szCs w:val="24"/>
        </w:rPr>
        <w:t>group</w:t>
      </w:r>
      <w:proofErr w:type="gramEnd"/>
      <w:r w:rsidR="00074CC1" w:rsidRPr="00493B93">
        <w:rPr>
          <w:rFonts w:ascii="Book Antiqua" w:hAnsi="Book Antiqua" w:cs="Times New Roman"/>
          <w:color w:val="000000" w:themeColor="text1"/>
          <w:szCs w:val="24"/>
        </w:rPr>
        <w:t xml:space="preserve"> according to BMI 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(&lt; 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 xml:space="preserve">30 </w:t>
      </w:r>
      <w:r w:rsidR="007162A7" w:rsidRPr="00493B93">
        <w:rPr>
          <w:rFonts w:ascii="Book Antiqua" w:hAnsi="Book Antiqua" w:cs="Times New Roman"/>
          <w:color w:val="000000" w:themeColor="text1"/>
          <w:szCs w:val="24"/>
        </w:rPr>
        <w:t>kg/m</w:t>
      </w:r>
      <w:r w:rsidR="007162A7" w:rsidRPr="00493B93">
        <w:rPr>
          <w:rFonts w:ascii="Book Antiqua" w:hAnsi="Book Antiqua" w:cs="Times New Roman"/>
          <w:color w:val="000000" w:themeColor="text1"/>
          <w:szCs w:val="24"/>
          <w:vertAlign w:val="superscript"/>
        </w:rPr>
        <w:t>2</w:t>
      </w:r>
      <w:r w:rsidR="007162A7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zh-CN"/>
        </w:rPr>
        <w:t xml:space="preserve"> 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>and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>&gt;</w:t>
      </w:r>
      <w:r w:rsidR="00AD69E8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>30 kg/m</w:t>
      </w:r>
      <w:r w:rsidR="00074CC1" w:rsidRPr="00493B93">
        <w:rPr>
          <w:rFonts w:ascii="Book Antiqua" w:hAnsi="Book Antiqua" w:cs="Times New Roman"/>
          <w:color w:val="000000" w:themeColor="text1"/>
          <w:szCs w:val="24"/>
          <w:vertAlign w:val="superscript"/>
        </w:rPr>
        <w:t>2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 xml:space="preserve">). </w:t>
      </w:r>
      <w:r w:rsidR="00F943CB" w:rsidRPr="00493B93">
        <w:rPr>
          <w:rFonts w:ascii="Book Antiqua" w:hAnsi="Book Antiqua" w:cs="Times New Roman"/>
          <w:color w:val="000000" w:themeColor="text1"/>
          <w:szCs w:val="24"/>
        </w:rPr>
        <w:t xml:space="preserve">However,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="00F943CB" w:rsidRPr="00493B93">
        <w:rPr>
          <w:rFonts w:ascii="Book Antiqua" w:hAnsi="Book Antiqua" w:cs="Times New Roman"/>
          <w:color w:val="000000" w:themeColor="text1"/>
          <w:szCs w:val="24"/>
        </w:rPr>
        <w:t>d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>emographic</w:t>
      </w:r>
      <w:r w:rsidRPr="00493B93">
        <w:rPr>
          <w:rFonts w:ascii="Book Antiqua" w:hAnsi="Book Antiqua" w:cs="Times New Roman"/>
          <w:color w:val="000000" w:themeColor="text1"/>
          <w:szCs w:val="24"/>
        </w:rPr>
        <w:t>s,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 xml:space="preserve"> endoscopic findings, and impedance results were similar in these two groups</w:t>
      </w:r>
      <w:r w:rsidR="00E20F1C" w:rsidRPr="00493B93">
        <w:rPr>
          <w:rFonts w:ascii="Book Antiqua" w:hAnsi="Book Antiqua" w:cs="Times New Roman"/>
          <w:color w:val="000000" w:themeColor="text1"/>
          <w:szCs w:val="24"/>
        </w:rPr>
        <w:t xml:space="preserve"> (Table 2).</w:t>
      </w:r>
      <w:r w:rsidR="00074CC1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</w:p>
    <w:p w:rsidR="00147D99" w:rsidRPr="00493B93" w:rsidRDefault="00147D99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</w:p>
    <w:p w:rsidR="00233750" w:rsidRPr="00493B93" w:rsidRDefault="00BF7899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Cs w:val="24"/>
        </w:rPr>
        <w:t>DISCUSSION</w:t>
      </w:r>
    </w:p>
    <w:p w:rsidR="00233750" w:rsidRPr="00493B93" w:rsidRDefault="002E3278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GERD 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>prevalence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 has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 xml:space="preserve"> increased during the la</w:t>
      </w:r>
      <w:r w:rsidR="00DB22E3" w:rsidRPr="00493B93">
        <w:rPr>
          <w:rFonts w:ascii="Book Antiqua" w:hAnsi="Book Antiqua" w:cs="Times New Roman"/>
          <w:color w:val="000000" w:themeColor="text1"/>
          <w:szCs w:val="24"/>
        </w:rPr>
        <w:t xml:space="preserve">st decade. This is most probably 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>related to obesity and chan</w:t>
      </w:r>
      <w:r w:rsidR="00DB22E3" w:rsidRPr="00493B93">
        <w:rPr>
          <w:rFonts w:ascii="Book Antiqua" w:hAnsi="Book Antiqua" w:cs="Times New Roman"/>
          <w:color w:val="000000" w:themeColor="text1"/>
          <w:szCs w:val="24"/>
        </w:rPr>
        <w:t>ged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 xml:space="preserve"> diet.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T</w:t>
      </w:r>
      <w:r w:rsidR="00026888" w:rsidRPr="00493B93">
        <w:rPr>
          <w:rFonts w:ascii="Book Antiqua" w:hAnsi="Book Antiqua" w:cs="Times New Roman"/>
          <w:color w:val="000000" w:themeColor="text1"/>
          <w:szCs w:val="24"/>
        </w:rPr>
        <w:t>o date, m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>ost studies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 have been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 xml:space="preserve"> interested in sym</w:t>
      </w:r>
      <w:r w:rsidR="00DB22E3" w:rsidRPr="00493B93">
        <w:rPr>
          <w:rFonts w:ascii="Book Antiqua" w:hAnsi="Book Antiqua" w:cs="Times New Roman"/>
          <w:color w:val="000000" w:themeColor="text1"/>
          <w:szCs w:val="24"/>
        </w:rPr>
        <w:t>p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 xml:space="preserve">tomatic patients and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have </w:t>
      </w:r>
      <w:r w:rsidR="002C3EA1" w:rsidRPr="00493B93">
        <w:rPr>
          <w:rFonts w:ascii="Book Antiqua" w:hAnsi="Book Antiqua" w:cs="Times New Roman"/>
          <w:color w:val="000000" w:themeColor="text1"/>
          <w:szCs w:val="24"/>
        </w:rPr>
        <w:t xml:space="preserve">investigated the role of obesity in GERD. </w:t>
      </w:r>
      <w:r w:rsidR="004827ED" w:rsidRPr="00493B93">
        <w:rPr>
          <w:rFonts w:ascii="Book Antiqua" w:hAnsi="Book Antiqua" w:cs="Times New Roman"/>
          <w:color w:val="000000" w:themeColor="text1"/>
          <w:szCs w:val="24"/>
        </w:rPr>
        <w:t>In a meta-analyses,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a </w:t>
      </w:r>
      <w:r w:rsidR="004827E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significant association between </w:t>
      </w:r>
      <w:proofErr w:type="spellStart"/>
      <w:r w:rsidR="004827E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4827E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(OR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=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4827E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1.89, 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95%CI</w:t>
      </w:r>
      <w:r w:rsidR="004827E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: 1.70</w:t>
      </w:r>
      <w:r w:rsidR="00A22F2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-</w:t>
      </w:r>
      <w:r w:rsidR="004827E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2.09) and increasing BMI 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was </w:t>
      </w:r>
      <w:proofErr w:type="gramStart"/>
      <w:r w:rsidR="004827E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found</w:t>
      </w:r>
      <w:r w:rsidR="00AD69E8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AD69E8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4]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</w:p>
    <w:p w:rsidR="00233750" w:rsidRPr="00493B93" w:rsidRDefault="006E565F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</w:rPr>
      </w:pPr>
      <w:proofErr w:type="spellStart"/>
      <w:r w:rsidRPr="00493B93">
        <w:rPr>
          <w:rFonts w:ascii="Book Antiqua" w:hAnsi="Book Antiqua" w:cs="Times New Roman"/>
          <w:color w:val="000000" w:themeColor="text1"/>
          <w:szCs w:val="24"/>
        </w:rPr>
        <w:t>Ayazi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AD69E8" w:rsidRPr="00493B93">
        <w:rPr>
          <w:rFonts w:ascii="Book Antiqua" w:hAnsi="Book Antiqua" w:cs="Times New Roman"/>
          <w:i/>
          <w:color w:val="000000" w:themeColor="text1"/>
          <w:szCs w:val="24"/>
        </w:rPr>
        <w:t xml:space="preserve">et </w:t>
      </w:r>
      <w:proofErr w:type="gramStart"/>
      <w:r w:rsidR="00AD69E8" w:rsidRPr="00493B93">
        <w:rPr>
          <w:rFonts w:ascii="Book Antiqua" w:hAnsi="Book Antiqua" w:cs="Times New Roman"/>
          <w:i/>
          <w:color w:val="000000" w:themeColor="text1"/>
          <w:szCs w:val="24"/>
        </w:rPr>
        <w:t>al</w:t>
      </w:r>
      <w:r w:rsidR="000B7588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0B7588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8]</w:t>
      </w:r>
      <w:r w:rsidR="000B75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>retrospectively evaluated GERD patients</w:t>
      </w:r>
      <w:r w:rsidR="00AB7757" w:rsidRPr="00493B93">
        <w:rPr>
          <w:rFonts w:ascii="Book Antiqua" w:hAnsi="Book Antiqua" w:cs="Times New Roman"/>
          <w:color w:val="000000" w:themeColor="text1"/>
          <w:szCs w:val="24"/>
        </w:rPr>
        <w:t xml:space="preserve">’ </w:t>
      </w:r>
      <w:r w:rsidRPr="00493B93">
        <w:rPr>
          <w:rFonts w:ascii="Book Antiqua" w:hAnsi="Book Antiqua" w:cs="Times New Roman"/>
          <w:color w:val="000000" w:themeColor="text1"/>
          <w:szCs w:val="24"/>
        </w:rPr>
        <w:t>24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>-h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pH</w:t>
      </w:r>
      <w:r w:rsidR="00BF42C4" w:rsidRPr="00493B93">
        <w:rPr>
          <w:rFonts w:ascii="Book Antiqua" w:hAnsi="Book Antiqua" w:cs="Times New Roman"/>
          <w:color w:val="000000" w:themeColor="text1"/>
          <w:szCs w:val="24"/>
        </w:rPr>
        <w:t>-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</w:rPr>
        <w:t>metry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and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</w:rPr>
        <w:t>manometry</w:t>
      </w:r>
      <w:proofErr w:type="spellEnd"/>
      <w:r w:rsidR="00AB7757" w:rsidRPr="00493B93">
        <w:rPr>
          <w:rFonts w:ascii="Book Antiqua" w:hAnsi="Book Antiqua" w:cs="Times New Roman"/>
          <w:color w:val="000000" w:themeColor="text1"/>
          <w:szCs w:val="24"/>
        </w:rPr>
        <w:t xml:space="preserve"> reports.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They 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>divided patients in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to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 xml:space="preserve"> four groups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according 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 xml:space="preserve">to </w:t>
      </w:r>
      <w:r w:rsidRPr="00493B93">
        <w:rPr>
          <w:rFonts w:ascii="Book Antiqua" w:hAnsi="Book Antiqua" w:cs="Times New Roman"/>
          <w:color w:val="000000" w:themeColor="text1"/>
          <w:szCs w:val="24"/>
        </w:rPr>
        <w:t>the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>ir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BMI (</w:t>
      </w:r>
      <w:proofErr w:type="spellStart"/>
      <w:r w:rsidR="00CA1F73" w:rsidRPr="00493B93">
        <w:rPr>
          <w:rFonts w:ascii="Book Antiqua" w:hAnsi="Book Antiqua" w:cs="Times New Roman"/>
          <w:color w:val="000000" w:themeColor="text1"/>
          <w:szCs w:val="24"/>
        </w:rPr>
        <w:t>under weight</w:t>
      </w:r>
      <w:proofErr w:type="spellEnd"/>
      <w:r w:rsidR="00CA1F73" w:rsidRPr="00493B9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 xml:space="preserve">normal weight, </w:t>
      </w:r>
      <w:proofErr w:type="spellStart"/>
      <w:r w:rsidR="002278A5" w:rsidRPr="00493B93">
        <w:rPr>
          <w:rFonts w:ascii="Book Antiqua" w:hAnsi="Book Antiqua" w:cs="Times New Roman"/>
          <w:color w:val="000000" w:themeColor="text1"/>
          <w:szCs w:val="24"/>
        </w:rPr>
        <w:t>over weight</w:t>
      </w:r>
      <w:proofErr w:type="spellEnd"/>
      <w:r w:rsidR="00D97A63" w:rsidRPr="00493B93">
        <w:rPr>
          <w:rFonts w:ascii="Book Antiqua" w:hAnsi="Book Antiqua" w:cs="Times New Roman"/>
          <w:color w:val="000000" w:themeColor="text1"/>
          <w:szCs w:val="24"/>
        </w:rPr>
        <w:t>,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 xml:space="preserve"> and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obese)</w:t>
      </w:r>
      <w:r w:rsidR="00B25B89" w:rsidRPr="00493B93">
        <w:rPr>
          <w:rFonts w:ascii="Book Antiqua" w:hAnsi="Book Antiqua" w:cs="Times New Roman"/>
          <w:color w:val="000000" w:themeColor="text1"/>
          <w:szCs w:val="24"/>
        </w:rPr>
        <w:t xml:space="preserve"> and</w:t>
      </w:r>
      <w:r w:rsidR="00026888" w:rsidRPr="00493B93">
        <w:rPr>
          <w:rFonts w:ascii="Book Antiqua" w:hAnsi="Book Antiqua" w:cs="Times New Roman"/>
          <w:color w:val="000000" w:themeColor="text1"/>
          <w:szCs w:val="24"/>
        </w:rPr>
        <w:t xml:space="preserve"> showed that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BMI was positively correlated with a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id reflux.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 significant difference </w:t>
      </w:r>
      <w:r w:rsidR="00CA1F7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was found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between 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all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groups</w:t>
      </w:r>
      <w:r w:rsidR="00CA1F7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They also found that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rate of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defective </w:t>
      </w:r>
      <w:proofErr w:type="gram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LES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proofErr w:type="gram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was higher in obese patients. </w:t>
      </w:r>
      <w:r w:rsidR="002759A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However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,</w:t>
      </w:r>
      <w:r w:rsidR="002759A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2759A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defective LES rate was similar in overweight and obese patients (50% </w:t>
      </w:r>
      <w:r w:rsidR="00AF7AFF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vs</w:t>
      </w:r>
      <w:r w:rsidR="002759AF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55%).</w:t>
      </w:r>
      <w:r w:rsidR="0061695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41446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There 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are few 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studies 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that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are interested</w:t>
      </w:r>
      <w:r w:rsidR="0041446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proofErr w:type="gramStart"/>
      <w:r w:rsidR="0041446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in </w:t>
      </w:r>
      <w:r w:rsidR="0058457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an 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asymptomatic</w:t>
      </w:r>
      <w:r w:rsidR="0041446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2278A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obese </w:t>
      </w:r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individuals</w:t>
      </w:r>
      <w:proofErr w:type="gramEnd"/>
      <w:r w:rsidR="00D97A6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for </w:t>
      </w:r>
      <w:proofErr w:type="spellStart"/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</w:t>
      </w:r>
      <w:r w:rsidR="0041446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In our study, w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 xml:space="preserve">e investigated the relationship between BMI and esophageal reflux </w:t>
      </w:r>
      <w:r w:rsidR="00D97A63" w:rsidRPr="00493B93">
        <w:rPr>
          <w:rFonts w:ascii="Book Antiqua" w:hAnsi="Book Antiqua" w:cs="Times New Roman"/>
          <w:color w:val="000000" w:themeColor="text1"/>
          <w:szCs w:val="24"/>
        </w:rPr>
        <w:t xml:space="preserve">using the 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>impedance technique in</w:t>
      </w:r>
      <w:r w:rsidR="0058457B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>asymptomatic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2278A5" w:rsidRPr="00493B93">
        <w:rPr>
          <w:rFonts w:ascii="Book Antiqua" w:hAnsi="Book Antiqua" w:cs="Times New Roman"/>
          <w:color w:val="000000" w:themeColor="text1"/>
          <w:szCs w:val="24"/>
        </w:rPr>
        <w:t>overweight and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 xml:space="preserve"> obese people. We found that BMI 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>was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 xml:space="preserve"> positively correlated </w:t>
      </w:r>
      <w:r w:rsidR="002E3278" w:rsidRPr="00493B93">
        <w:rPr>
          <w:rFonts w:ascii="Book Antiqua" w:hAnsi="Book Antiqua" w:cs="Times New Roman"/>
          <w:color w:val="000000" w:themeColor="text1"/>
          <w:szCs w:val="24"/>
        </w:rPr>
        <w:t xml:space="preserve">with 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>a</w:t>
      </w:r>
      <w:r w:rsidR="002E3278" w:rsidRPr="00493B93">
        <w:rPr>
          <w:rFonts w:ascii="Book Antiqua" w:hAnsi="Book Antiqua" w:cs="Times New Roman"/>
          <w:color w:val="000000" w:themeColor="text1"/>
          <w:szCs w:val="24"/>
        </w:rPr>
        <w:t>c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 xml:space="preserve">id reflux. However, we 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 xml:space="preserve">found no 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>difference between overweight and obese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 xml:space="preserve"> patients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>.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310956" w:rsidRPr="00493B93">
        <w:rPr>
          <w:rFonts w:ascii="Book Antiqua" w:hAnsi="Book Antiqua" w:cs="Times New Roman"/>
          <w:color w:val="000000" w:themeColor="text1"/>
          <w:szCs w:val="24"/>
        </w:rPr>
        <w:t xml:space="preserve">This may be related with the limited number of patients or </w:t>
      </w:r>
      <w:r w:rsidR="00622F36" w:rsidRPr="00493B93">
        <w:rPr>
          <w:rFonts w:ascii="Book Antiqua" w:hAnsi="Book Antiqua" w:cs="Times New Roman"/>
          <w:color w:val="000000" w:themeColor="text1"/>
          <w:szCs w:val="24"/>
        </w:rPr>
        <w:t xml:space="preserve">the presence of patients with high </w:t>
      </w:r>
      <w:proofErr w:type="spellStart"/>
      <w:r w:rsidR="00E57D88" w:rsidRPr="00493B93">
        <w:rPr>
          <w:rFonts w:ascii="Book Antiqua" w:hAnsi="Book Antiqua" w:cs="Times New Roman"/>
          <w:color w:val="000000" w:themeColor="text1"/>
          <w:szCs w:val="24"/>
        </w:rPr>
        <w:t>DeMeester</w:t>
      </w:r>
      <w:proofErr w:type="spellEnd"/>
      <w:r w:rsidR="00622F36" w:rsidRPr="00493B93">
        <w:rPr>
          <w:rFonts w:ascii="Book Antiqua" w:hAnsi="Book Antiqua" w:cs="Times New Roman"/>
          <w:color w:val="000000" w:themeColor="text1"/>
          <w:szCs w:val="24"/>
        </w:rPr>
        <w:t xml:space="preserve"> scores</w:t>
      </w:r>
      <w:r w:rsidR="00310956" w:rsidRPr="00493B93">
        <w:rPr>
          <w:rFonts w:ascii="Book Antiqua" w:hAnsi="Book Antiqua" w:cs="Times New Roman"/>
          <w:color w:val="000000" w:themeColor="text1"/>
          <w:szCs w:val="24"/>
        </w:rPr>
        <w:t xml:space="preserve"> in both group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>s</w:t>
      </w:r>
      <w:r w:rsidR="00310956" w:rsidRPr="00493B93">
        <w:rPr>
          <w:rFonts w:ascii="Book Antiqua" w:hAnsi="Book Antiqua" w:cs="Times New Roman"/>
          <w:color w:val="000000" w:themeColor="text1"/>
          <w:szCs w:val="24"/>
        </w:rPr>
        <w:t>.</w:t>
      </w:r>
      <w:r w:rsidR="002759AF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 xml:space="preserve">In another study, impedance was performed on </w:t>
      </w:r>
      <w:r w:rsidR="00AB7757" w:rsidRPr="00493B93">
        <w:rPr>
          <w:rFonts w:ascii="Book Antiqua" w:hAnsi="Book Antiqua" w:cs="Times New Roman"/>
          <w:color w:val="000000" w:themeColor="text1"/>
          <w:szCs w:val="24"/>
        </w:rPr>
        <w:t>proton pump inhibitor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 xml:space="preserve"> treatment in GERD patients. 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>The p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ositive symptom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 xml:space="preserve"> index and 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non-a</w:t>
      </w:r>
      <w:r w:rsidR="002E3278" w:rsidRPr="00493B93">
        <w:rPr>
          <w:rFonts w:ascii="Book Antiqua" w:hAnsi="Book Antiqua" w:cs="Times New Roman"/>
          <w:color w:val="000000" w:themeColor="text1"/>
          <w:szCs w:val="24"/>
        </w:rPr>
        <w:t>c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 xml:space="preserve">id reflux 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 xml:space="preserve">rate was higher 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in obese patients (BMI &gt;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30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kg/m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zh-CN"/>
        </w:rPr>
        <w:t>2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)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than the others (BMI</w:t>
      </w:r>
      <w:r w:rsidR="00872DD7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&lt; 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25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kg/m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zh-CN"/>
        </w:rPr>
        <w:t>2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 xml:space="preserve"> and BMI 25-30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kg/m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zh-CN"/>
        </w:rPr>
        <w:t>2</w:t>
      </w:r>
      <w:r w:rsidR="00D162F4" w:rsidRPr="00493B93">
        <w:rPr>
          <w:rFonts w:ascii="Book Antiqua" w:hAnsi="Book Antiqua" w:cs="Times New Roman"/>
          <w:color w:val="000000" w:themeColor="text1"/>
          <w:szCs w:val="24"/>
        </w:rPr>
        <w:t>)</w:t>
      </w:r>
      <w:r w:rsidR="00026888" w:rsidRPr="00493B93">
        <w:rPr>
          <w:rFonts w:ascii="Book Antiqua" w:hAnsi="Book Antiqua" w:cs="Times New Roman"/>
          <w:color w:val="000000" w:themeColor="text1"/>
          <w:szCs w:val="24"/>
        </w:rPr>
        <w:t>. The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 xml:space="preserve"> authors</w:t>
      </w:r>
      <w:r w:rsidR="00026888" w:rsidRPr="00493B93">
        <w:rPr>
          <w:rFonts w:ascii="Book Antiqua" w:hAnsi="Book Antiqua" w:cs="Times New Roman"/>
          <w:color w:val="000000" w:themeColor="text1"/>
          <w:szCs w:val="24"/>
        </w:rPr>
        <w:t xml:space="preserve"> concluded that </w:t>
      </w:r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obesity increases</w:t>
      </w:r>
      <w:r w:rsidR="0061695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reflux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and</w:t>
      </w:r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increase the </w:t>
      </w:r>
      <w:proofErr w:type="gramStart"/>
      <w:r w:rsidR="000268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symptoms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9]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0B75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>In our study</w:t>
      </w:r>
      <w:r w:rsidR="00026888" w:rsidRPr="00493B93">
        <w:rPr>
          <w:rFonts w:ascii="Book Antiqua" w:hAnsi="Book Antiqua" w:cs="Times New Roman"/>
          <w:color w:val="000000" w:themeColor="text1"/>
          <w:szCs w:val="24"/>
        </w:rPr>
        <w:t>,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 xml:space="preserve"> non-a</w:t>
      </w:r>
      <w:r w:rsidR="002E3278" w:rsidRPr="00493B93">
        <w:rPr>
          <w:rFonts w:ascii="Book Antiqua" w:hAnsi="Book Antiqua" w:cs="Times New Roman"/>
          <w:color w:val="000000" w:themeColor="text1"/>
          <w:szCs w:val="24"/>
        </w:rPr>
        <w:t>c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 xml:space="preserve">id reflux 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>was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 xml:space="preserve"> similar in 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>obese and overweight group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>s,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 xml:space="preserve"> and we 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lastRenderedPageBreak/>
        <w:t xml:space="preserve">found no </w:t>
      </w:r>
      <w:r w:rsidR="009A6C51" w:rsidRPr="00493B93">
        <w:rPr>
          <w:rFonts w:ascii="Book Antiqua" w:hAnsi="Book Antiqua" w:cs="Times New Roman"/>
          <w:color w:val="000000" w:themeColor="text1"/>
          <w:szCs w:val="24"/>
        </w:rPr>
        <w:t>correlation between non-acid reflux and BMI.</w:t>
      </w:r>
      <w:r w:rsidR="00FA5752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214687" w:rsidRPr="00493B93">
        <w:rPr>
          <w:rFonts w:ascii="Book Antiqua" w:hAnsi="Book Antiqua" w:cs="Times New Roman"/>
          <w:color w:val="000000" w:themeColor="text1"/>
          <w:szCs w:val="24"/>
        </w:rPr>
        <w:t xml:space="preserve">We </w:t>
      </w:r>
      <w:r w:rsidR="00E57D88" w:rsidRPr="00493B93">
        <w:rPr>
          <w:rFonts w:ascii="Book Antiqua" w:hAnsi="Book Antiqua" w:cs="Times New Roman"/>
          <w:color w:val="000000" w:themeColor="text1"/>
          <w:szCs w:val="24"/>
        </w:rPr>
        <w:t xml:space="preserve">found no </w:t>
      </w:r>
      <w:r w:rsidR="00214687" w:rsidRPr="00493B93">
        <w:rPr>
          <w:rFonts w:ascii="Book Antiqua" w:hAnsi="Book Antiqua" w:cs="Times New Roman"/>
          <w:color w:val="000000" w:themeColor="text1"/>
          <w:szCs w:val="24"/>
        </w:rPr>
        <w:t>symptom correlation with higher BMI because our cases were asymptomatic.</w:t>
      </w:r>
    </w:p>
    <w:p w:rsidR="00233750" w:rsidRPr="00493B93" w:rsidRDefault="00FA5752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Schneider </w:t>
      </w:r>
      <w:r w:rsidR="00AF7AFF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 xml:space="preserve">et </w:t>
      </w:r>
      <w:proofErr w:type="gramStart"/>
      <w:r w:rsidR="00AF7AFF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al</w:t>
      </w:r>
      <w:r w:rsidR="00423A12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423A12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10]</w:t>
      </w:r>
      <w:r w:rsidR="00423A1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performed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an 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imped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ance study in morbid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ly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obese patients and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 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control g</w:t>
      </w:r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roup (BMI</w:t>
      </w:r>
      <w:r w:rsidR="00872DD7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&lt; </w:t>
      </w:r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35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kg/m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zh-CN"/>
        </w:rPr>
        <w:t>2</w:t>
      </w:r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). The median </w:t>
      </w:r>
      <w:proofErr w:type="spellStart"/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DeMeester</w:t>
      </w:r>
      <w:proofErr w:type="spellEnd"/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score on pH-</w:t>
      </w:r>
      <w:proofErr w:type="spellStart"/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metry</w:t>
      </w:r>
      <w:proofErr w:type="spellEnd"/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60290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was</w:t>
      </w:r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significantly different between the</w:t>
      </w:r>
      <w:r w:rsidR="0006513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various stages of obesity. However t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he severity of GERD</w:t>
      </w:r>
      <w:r w:rsidR="00507EC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was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not directly related to the stage of obesity.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We also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found no 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correlation between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grade of esophagitis and BMI.</w:t>
      </w:r>
    </w:p>
    <w:p w:rsidR="00233750" w:rsidRPr="00493B93" w:rsidRDefault="002278A5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Cs w:val="24"/>
        </w:rPr>
        <w:t>Ricci</w:t>
      </w:r>
      <w:r w:rsidR="00616956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AF7AFF" w:rsidRPr="00493B93">
        <w:rPr>
          <w:rFonts w:ascii="Book Antiqua" w:hAnsi="Book Antiqua" w:cs="Times New Roman"/>
          <w:i/>
          <w:color w:val="000000" w:themeColor="text1"/>
          <w:szCs w:val="24"/>
        </w:rPr>
        <w:t xml:space="preserve">et </w:t>
      </w:r>
      <w:proofErr w:type="gramStart"/>
      <w:r w:rsidR="00AF7AFF" w:rsidRPr="00493B93">
        <w:rPr>
          <w:rFonts w:ascii="Book Antiqua" w:hAnsi="Book Antiqua" w:cs="Times New Roman"/>
          <w:i/>
          <w:color w:val="000000" w:themeColor="text1"/>
          <w:szCs w:val="24"/>
        </w:rPr>
        <w:t>al</w:t>
      </w:r>
      <w:r w:rsidR="00423A12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423A12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11]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investigated esophageal reflux by 24-h pH-</w:t>
      </w:r>
      <w:proofErr w:type="spellStart"/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metry</w:t>
      </w:r>
      <w:proofErr w:type="spellEnd"/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+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MII</w:t>
      </w:r>
      <w:r w:rsidR="0061695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in 20 non-</w:t>
      </w:r>
      <w:r w:rsidR="00065134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GERD and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15 GERD obese patients, 15 non-obese GERD and ten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healthy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control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61695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60290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Reflux symptoms and hiatal hernia were also observed in non-GERD patients.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percent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age of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time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for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acid exposure was significantly higher in obese non-GERD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patients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than controls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=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0.007). Acid reflux episodes were 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higher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in obese non- GERD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=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0.005) and obese GERD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  <w:lang w:eastAsia="tr-TR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= 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0.034)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patients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than controls</w:t>
      </w:r>
      <w:r w:rsidR="00A019B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</w:t>
      </w:r>
      <w:r w:rsidR="0060290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Erosive esophagitis</w:t>
      </w:r>
      <w:r w:rsidR="00616956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60290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rates were similar in all groups. Our g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roup </w:t>
      </w:r>
      <w:r w:rsidR="00E57D8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was</w:t>
      </w:r>
      <w:r w:rsidR="00F056C0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completely asymptomatic</w:t>
      </w:r>
      <w:r w:rsidR="0060290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for reflux symptoms and 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we did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n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 detect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any 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hernia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s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Interestingly, i</w:t>
      </w:r>
      <w:r w:rsidR="00A539C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n our group,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erosive esophagitis rate was high even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though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patients were</w:t>
      </w:r>
      <w:r w:rsidR="008206EE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asymptomatic.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However,</w:t>
      </w:r>
      <w:r w:rsidR="002E32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we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found no </w:t>
      </w:r>
      <w:r w:rsidR="00A539C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significant predictor for erosive esophagitis in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A539C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multivariate analyses. Smoking</w:t>
      </w:r>
      <w:r w:rsidR="00FB1C1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,</w:t>
      </w:r>
      <w:r w:rsidR="00A539C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alc</w:t>
      </w:r>
      <w:r w:rsidR="007254AB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</w:t>
      </w:r>
      <w:r w:rsidR="00A539C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hol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consumption </w:t>
      </w:r>
      <w:r w:rsidR="00FB1C1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and cultural diet </w:t>
      </w:r>
      <w:r w:rsidR="00A539C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may be effective on erosive reflux.</w:t>
      </w:r>
      <w:r w:rsidR="00FB1C15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</w:p>
    <w:p w:rsidR="00FB1C15" w:rsidRPr="00493B93" w:rsidRDefault="00BB6013" w:rsidP="007F0361">
      <w:pPr>
        <w:autoSpaceDE w:val="0"/>
        <w:autoSpaceDN w:val="0"/>
        <w:adjustRightInd w:val="0"/>
        <w:snapToGrid w:val="0"/>
        <w:spacing w:after="0" w:line="360" w:lineRule="auto"/>
        <w:ind w:firstLineChars="50" w:firstLine="120"/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S</w:t>
      </w:r>
      <w:r w:rsidR="005345F3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ome patients</w:t>
      </w:r>
      <w:r w:rsidR="003310B4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5345F3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do not easily perceive esophageal acid </w:t>
      </w:r>
      <w:proofErr w:type="gramStart"/>
      <w:r w:rsidR="005345F3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reflux</w:t>
      </w:r>
      <w:r w:rsidR="00AF7AFF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[</w:t>
      </w:r>
      <w:proofErr w:type="gramEnd"/>
      <w:r w:rsidR="00AF7AFF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12]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.</w:t>
      </w:r>
      <w:r w:rsidR="00462579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FB1C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This silent reflux can be detected </w:t>
      </w:r>
      <w:proofErr w:type="gramStart"/>
      <w:r w:rsidR="00FB1C15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incidentally</w:t>
      </w:r>
      <w:r w:rsidR="00AF7AFF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[</w:t>
      </w:r>
      <w:proofErr w:type="gramEnd"/>
      <w:r w:rsidR="00AF7AFF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13]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.</w:t>
      </w:r>
      <w:r w:rsidR="00462579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613F20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Miwa </w:t>
      </w:r>
      <w:r w:rsidR="00AF7AFF" w:rsidRPr="00493B93">
        <w:rPr>
          <w:rFonts w:ascii="Book Antiqua" w:hAnsi="Book Antiqua" w:cs="Times New Roman"/>
          <w:i/>
          <w:color w:val="000000" w:themeColor="text1"/>
          <w:sz w:val="24"/>
          <w:szCs w:val="24"/>
          <w:lang w:eastAsia="tr-TR"/>
        </w:rPr>
        <w:t xml:space="preserve">et </w:t>
      </w:r>
      <w:proofErr w:type="gramStart"/>
      <w:r w:rsidR="00AF7AFF" w:rsidRPr="00493B93">
        <w:rPr>
          <w:rFonts w:ascii="Book Antiqua" w:hAnsi="Book Antiqua" w:cs="Times New Roman"/>
          <w:i/>
          <w:color w:val="000000" w:themeColor="text1"/>
          <w:sz w:val="24"/>
          <w:szCs w:val="24"/>
          <w:lang w:eastAsia="tr-TR"/>
        </w:rPr>
        <w:t>al</w:t>
      </w:r>
      <w:r w:rsidR="00423A12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[</w:t>
      </w:r>
      <w:proofErr w:type="gramEnd"/>
      <w:r w:rsidR="00423A12" w:rsidRPr="00493B9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eastAsia="tr-TR"/>
        </w:rPr>
        <w:t>14]</w:t>
      </w:r>
      <w:r w:rsidR="00423A12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613F20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investigated the symptoms of esophagitis in 275 patients with </w:t>
      </w:r>
      <w:proofErr w:type="spellStart"/>
      <w:r w:rsidR="00613F20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endoscopically</w:t>
      </w:r>
      <w:proofErr w:type="spellEnd"/>
      <w:r w:rsidR="00613F20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diagnosed 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reflux esophagitis</w:t>
      </w:r>
      <w:r w:rsidR="00613F20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by using a questionnaire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and they found that 28.5% of these</w:t>
      </w:r>
      <w:r w:rsidR="00613F20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patients had silent GERD with no typical symptoms such as heartburn or regurgitation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and fewer atypical symptoms compar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ed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with</w:t>
      </w:r>
      <w:r w:rsidR="00613F20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symptomatic patients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. These findings showed that some</w:t>
      </w:r>
      <w:r w:rsidR="00F16F9F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patients 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have silent reflux.</w:t>
      </w:r>
      <w:r w:rsidR="0040491D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Our results also support these findings.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This clinical </w:t>
      </w:r>
      <w:proofErr w:type="spellStart"/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situiation</w:t>
      </w:r>
      <w:proofErr w:type="spellEnd"/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may be explain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ed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by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</w:t>
      </w:r>
      <w:r w:rsidR="00F16F9F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hyposensitive </w:t>
      </w:r>
      <w:r w:rsidR="002736DB"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esophagus. </w:t>
      </w:r>
    </w:p>
    <w:p w:rsidR="00233750" w:rsidRPr="00493B93" w:rsidRDefault="00081EE7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</w:rPr>
      </w:pP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We demonstrated that obesity is a risk factor for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</w:rPr>
        <w:t>gastroesophageal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reflux even in asymptomatic healt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>h</w:t>
      </w:r>
      <w:r w:rsidRPr="00493B93">
        <w:rPr>
          <w:rFonts w:ascii="Book Antiqua" w:hAnsi="Book Antiqua" w:cs="Times New Roman"/>
          <w:color w:val="000000" w:themeColor="text1"/>
          <w:szCs w:val="24"/>
        </w:rPr>
        <w:t>y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 xml:space="preserve"> individuals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. Symptoms are subjective and sensitivity of 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Pr="00493B93">
        <w:rPr>
          <w:rFonts w:ascii="Book Antiqua" w:hAnsi="Book Antiqua" w:cs="Times New Roman"/>
          <w:color w:val="000000" w:themeColor="text1"/>
          <w:szCs w:val="24"/>
        </w:rPr>
        <w:t>esophagus is differ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>s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>between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>individuals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. All 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>patients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were questioned again after 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impedance evaluation and they confirmed that they 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 xml:space="preserve">had no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reflux symptoms. </w:t>
      </w:r>
      <w:r w:rsidR="00C3239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As </w:t>
      </w:r>
      <w:r w:rsidR="00C3239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lastRenderedPageBreak/>
        <w:t xml:space="preserve">previously </w:t>
      </w:r>
      <w:proofErr w:type="gramStart"/>
      <w:r w:rsidR="00C3239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reported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11]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,</w:t>
      </w:r>
      <w:r w:rsidR="00462579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3C4E0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proximal extent (at least 15 cm above the LES) of reflux is higher in</w:t>
      </w:r>
      <w:r w:rsidR="00C3239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obese non-GERD patients</w:t>
      </w:r>
      <w:r w:rsidR="003C4E0A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8C43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We also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found no </w:t>
      </w:r>
      <w:r w:rsidR="008C4378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correlation between BMI and proximal extent of reflux.</w:t>
      </w:r>
      <w:r w:rsidR="000205B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BA665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clinical impact of these findings is </w:t>
      </w:r>
      <w:r w:rsidR="0042590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especially </w:t>
      </w:r>
      <w:r w:rsidR="00BA665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important for bariatric surgery</w:t>
      </w:r>
      <w:r w:rsidR="0042590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in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 </w:t>
      </w:r>
      <w:r w:rsidR="0042590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obese population</w:t>
      </w:r>
      <w:r w:rsidR="00BA665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. </w:t>
      </w:r>
      <w:proofErr w:type="spellStart"/>
      <w:r w:rsidR="00BA665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="00BA665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 increases after Sleeve </w:t>
      </w:r>
      <w:proofErr w:type="gramStart"/>
      <w:r w:rsidR="00BA665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gastrectomy</w:t>
      </w:r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[</w:t>
      </w:r>
      <w:proofErr w:type="gramEnd"/>
      <w:r w:rsidR="00AF7AFF" w:rsidRPr="00493B93">
        <w:rPr>
          <w:rFonts w:ascii="Book Antiqua" w:hAnsi="Book Antiqua" w:cs="Times New Roman"/>
          <w:color w:val="000000" w:themeColor="text1"/>
          <w:szCs w:val="24"/>
          <w:vertAlign w:val="superscript"/>
          <w:lang w:eastAsia="tr-TR"/>
        </w:rPr>
        <w:t>15,16]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  <w:r w:rsidR="00BA6652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</w:t>
      </w:r>
      <w:r w:rsidR="0042590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Therefore, patients should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be carefully </w:t>
      </w:r>
      <w:r w:rsidR="0042590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evaluate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d</w:t>
      </w:r>
      <w:r w:rsidR="0042590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before </w:t>
      </w:r>
      <w:r w:rsidR="00BB6013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surgery </w:t>
      </w:r>
      <w:r w:rsidR="00C90301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even in the absence of symptoms</w:t>
      </w:r>
      <w:r w:rsidR="0042590D"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.</w:t>
      </w:r>
    </w:p>
    <w:p w:rsidR="000205BD" w:rsidRPr="00493B93" w:rsidRDefault="000205BD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As a conclusion, obesity is a risk factor for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reflux. </w:t>
      </w:r>
      <w:r w:rsidRPr="00493B93">
        <w:rPr>
          <w:rFonts w:ascii="Book Antiqua" w:hAnsi="Book Antiqua" w:cs="Times New Roman"/>
          <w:color w:val="000000" w:themeColor="text1"/>
          <w:szCs w:val="24"/>
        </w:rPr>
        <w:t>Acid reflux is correlated with BMI in obese</w:t>
      </w:r>
      <w:r w:rsidR="00BB6013" w:rsidRPr="00493B93">
        <w:rPr>
          <w:rFonts w:ascii="Book Antiqua" w:hAnsi="Book Antiqua" w:cs="Times New Roman"/>
          <w:color w:val="000000" w:themeColor="text1"/>
          <w:szCs w:val="24"/>
        </w:rPr>
        <w:t xml:space="preserve"> individuals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. </w:t>
      </w:r>
    </w:p>
    <w:p w:rsidR="009E406B" w:rsidRPr="00493B93" w:rsidRDefault="009E406B" w:rsidP="007F0361">
      <w:pPr>
        <w:adjustRightInd w:val="0"/>
        <w:snapToGrid w:val="0"/>
        <w:spacing w:after="0" w:line="360" w:lineRule="auto"/>
        <w:rPr>
          <w:rFonts w:ascii="Book Antiqua" w:hAnsi="Book Antiqua"/>
          <w:color w:val="FF0000"/>
          <w:sz w:val="24"/>
          <w:szCs w:val="24"/>
        </w:rPr>
      </w:pPr>
      <w:bookmarkStart w:id="270" w:name="OLE_LINK1290"/>
      <w:bookmarkStart w:id="271" w:name="OLE_LINK1291"/>
      <w:bookmarkStart w:id="272" w:name="OLE_LINK534"/>
    </w:p>
    <w:p w:rsidR="007F0361" w:rsidRPr="00493B93" w:rsidRDefault="007F0361" w:rsidP="007F0361">
      <w:pPr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b/>
          <w:bCs/>
          <w:color w:val="000000"/>
          <w:sz w:val="24"/>
          <w:szCs w:val="24"/>
        </w:rPr>
      </w:pPr>
      <w:bookmarkStart w:id="273" w:name="OLE_LINK685"/>
      <w:bookmarkStart w:id="274" w:name="OLE_LINK849"/>
      <w:bookmarkStart w:id="275" w:name="OLE_LINK936"/>
      <w:bookmarkStart w:id="276" w:name="OLE_LINK937"/>
      <w:bookmarkStart w:id="277" w:name="OLE_LINK938"/>
      <w:bookmarkStart w:id="278" w:name="OLE_LINK939"/>
      <w:bookmarkStart w:id="279" w:name="OLE_LINK940"/>
      <w:bookmarkStart w:id="280" w:name="OLE_LINK941"/>
      <w:bookmarkStart w:id="281" w:name="OLE_LINK1153"/>
      <w:bookmarkStart w:id="282" w:name="OLE_LINK1001"/>
      <w:bookmarkStart w:id="283" w:name="OLE_LINK1166"/>
      <w:bookmarkStart w:id="284" w:name="OLE_LINK1167"/>
      <w:bookmarkStart w:id="285" w:name="OLE_LINK1233"/>
      <w:bookmarkStart w:id="286" w:name="OLE_LINK1234"/>
      <w:bookmarkStart w:id="287" w:name="OLE_LINK1253"/>
      <w:bookmarkStart w:id="288" w:name="OLE_LINK1275"/>
      <w:bookmarkStart w:id="289" w:name="OLE_LINK1345"/>
      <w:bookmarkStart w:id="290" w:name="OLE_LINK1067"/>
      <w:bookmarkStart w:id="291" w:name="OLE_LINK1069"/>
      <w:bookmarkStart w:id="292" w:name="OLE_LINK1557"/>
      <w:bookmarkStart w:id="293" w:name="OLE_LINK1591"/>
      <w:bookmarkStart w:id="294" w:name="OLE_LINK1592"/>
      <w:bookmarkStart w:id="295" w:name="OLE_LINK1605"/>
      <w:bookmarkStart w:id="296" w:name="OLE_LINK1645"/>
      <w:bookmarkStart w:id="297" w:name="OLE_LINK1659"/>
      <w:bookmarkStart w:id="298" w:name="OLE_LINK1692"/>
      <w:bookmarkStart w:id="299" w:name="OLE_LINK1693"/>
      <w:bookmarkStart w:id="300" w:name="OLE_LINK1702"/>
      <w:bookmarkStart w:id="301" w:name="OLE_LINK1703"/>
      <w:bookmarkStart w:id="302" w:name="OLE_LINK1785"/>
      <w:bookmarkStart w:id="303" w:name="OLE_LINK1806"/>
      <w:bookmarkStart w:id="304" w:name="OLE_LINK1932"/>
      <w:bookmarkStart w:id="305" w:name="OLE_LINK1934"/>
      <w:bookmarkStart w:id="306" w:name="OLE_LINK2037"/>
      <w:bookmarkStart w:id="307" w:name="OLE_LINK2073"/>
      <w:bookmarkStart w:id="308" w:name="OLE_LINK2089"/>
      <w:bookmarkStart w:id="309" w:name="OLE_LINK2172"/>
      <w:bookmarkStart w:id="310" w:name="OLE_LINK2173"/>
      <w:bookmarkStart w:id="311" w:name="OLE_LINK2257"/>
      <w:bookmarkStart w:id="312" w:name="OLE_LINK2534"/>
      <w:bookmarkStart w:id="313" w:name="OLE_LINK2480"/>
      <w:bookmarkStart w:id="314" w:name="OLE_LINK2498"/>
      <w:bookmarkStart w:id="315" w:name="OLE_LINK2500"/>
      <w:bookmarkStart w:id="316" w:name="OLE_LINK2501"/>
      <w:bookmarkStart w:id="317" w:name="OLE_LINK2561"/>
      <w:bookmarkStart w:id="318" w:name="OLE_LINK902"/>
      <w:bookmarkStart w:id="319" w:name="OLE_LINK903"/>
      <w:bookmarkStart w:id="320" w:name="OLE_LINK904"/>
      <w:bookmarkStart w:id="321" w:name="OLE_LINK905"/>
      <w:bookmarkStart w:id="322" w:name="OLE_LINK1827"/>
      <w:bookmarkStart w:id="323" w:name="OLE_LINK1828"/>
      <w:bookmarkStart w:id="324" w:name="OLE_LINK1829"/>
      <w:bookmarkStart w:id="325" w:name="OLE_LINK2351"/>
      <w:bookmarkStart w:id="326" w:name="OLE_LINK2353"/>
      <w:bookmarkStart w:id="327" w:name="OLE_LINK2354"/>
      <w:bookmarkStart w:id="328" w:name="OLE_LINK2355"/>
      <w:bookmarkEnd w:id="270"/>
      <w:bookmarkEnd w:id="271"/>
      <w:bookmarkEnd w:id="272"/>
      <w:r w:rsidRPr="00493B93">
        <w:rPr>
          <w:rFonts w:ascii="Book Antiqua" w:hAnsi="Book Antiqua"/>
          <w:b/>
          <w:bCs/>
          <w:color w:val="000000"/>
          <w:sz w:val="24"/>
          <w:szCs w:val="24"/>
        </w:rPr>
        <w:t>COMMENTS</w:t>
      </w: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bookmarkStart w:id="329" w:name="OLE_LINK614"/>
      <w:bookmarkStart w:id="330" w:name="OLE_LINK615"/>
      <w:bookmarkStart w:id="331" w:name="OLE_LINK843"/>
      <w:bookmarkStart w:id="332" w:name="OLE_LINK844"/>
      <w:r w:rsidRPr="00493B93">
        <w:rPr>
          <w:rFonts w:ascii="Book Antiqua" w:hAnsi="Book Antiqua"/>
          <w:b/>
          <w:bCs/>
          <w:i/>
          <w:sz w:val="24"/>
          <w:szCs w:val="24"/>
        </w:rPr>
        <w:t>Background</w:t>
      </w:r>
    </w:p>
    <w:bookmarkEnd w:id="329"/>
    <w:bookmarkEnd w:id="330"/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Obesity is an increasing problem worldwide. Different treatment modalities including bariatric surgery are becoming popular in last years.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Gastroesophageal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reflux disease is also a common disorder. A limited number of studies have reported on the association between </w:t>
      </w:r>
      <w:proofErr w:type="spellStart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gastroesophagal</w:t>
      </w:r>
      <w:proofErr w:type="spellEnd"/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 xml:space="preserve"> reflux symptoms and body mass index.</w:t>
      </w: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color w:val="00B050"/>
          <w:sz w:val="24"/>
          <w:szCs w:val="24"/>
          <w:lang w:eastAsia="zh-CN"/>
        </w:rPr>
      </w:pP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493B93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study </w:t>
      </w:r>
      <w:r w:rsidR="004B7ACD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authors 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investigated the relationship between reflux and body mass index in the asymptomatic obese population using the impedance-pH technique.</w:t>
      </w: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i/>
          <w:sz w:val="24"/>
          <w:szCs w:val="24"/>
        </w:rPr>
      </w:pPr>
      <w:r w:rsidRPr="00493B93">
        <w:rPr>
          <w:rFonts w:ascii="Book Antiqua" w:hAnsi="Book Antiqua"/>
          <w:b/>
          <w:bCs/>
          <w:i/>
          <w:sz w:val="24"/>
          <w:szCs w:val="24"/>
        </w:rPr>
        <w:t xml:space="preserve"> Innovations and breakthroughs</w:t>
      </w:r>
    </w:p>
    <w:p w:rsidR="007F0361" w:rsidRPr="00493B93" w:rsidRDefault="007F0361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There are few studies that are interested </w:t>
      </w:r>
      <w:proofErr w:type="gram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in an asymptomatic obese individuals</w:t>
      </w:r>
      <w:proofErr w:type="gram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for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reflux. </w:t>
      </w:r>
      <w:r w:rsidR="004B7ACD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Their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group was completely asymptomatic for reflux symptoms and </w:t>
      </w:r>
      <w:r w:rsidR="00411B51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the authors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did not detect any hernias. Interestingly, in </w:t>
      </w:r>
      <w:r w:rsidR="004B7ACD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the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group, the erosive esophagitis rate was high even though the patients were asymptomatic. </w:t>
      </w:r>
      <w:bookmarkStart w:id="333" w:name="OLE_LINK1860"/>
      <w:bookmarkStart w:id="334" w:name="OLE_LINK1861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The clinical impact of these findings is especially important for bariatric surgery in the obese population. Patients should be carefully evaluated before surgery even in the absence of symptoms.</w:t>
      </w:r>
    </w:p>
    <w:p w:rsidR="007F0361" w:rsidRPr="00493B93" w:rsidRDefault="007F0361" w:rsidP="007F0361">
      <w:pPr>
        <w:pStyle w:val="a4"/>
        <w:snapToGrid w:val="0"/>
        <w:spacing w:line="360" w:lineRule="auto"/>
        <w:ind w:firstLineChars="50" w:firstLine="120"/>
        <w:rPr>
          <w:rFonts w:ascii="Book Antiqua" w:hAnsi="Book Antiqua"/>
          <w:color w:val="00B050"/>
          <w:szCs w:val="24"/>
          <w:lang w:eastAsia="zh-CN"/>
        </w:rPr>
      </w:pP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493B93">
        <w:rPr>
          <w:rFonts w:ascii="Book Antiqua" w:hAnsi="Book Antiqua"/>
          <w:b/>
          <w:bCs/>
          <w:i/>
          <w:sz w:val="24"/>
          <w:szCs w:val="24"/>
        </w:rPr>
        <w:t xml:space="preserve">Applications </w:t>
      </w:r>
    </w:p>
    <w:bookmarkEnd w:id="333"/>
    <w:bookmarkEnd w:id="334"/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  <w:r w:rsidRPr="00493B93">
        <w:rPr>
          <w:rFonts w:ascii="Book Antiqua" w:hAnsi="Book Antiqua"/>
          <w:sz w:val="24"/>
          <w:szCs w:val="24"/>
        </w:rPr>
        <w:lastRenderedPageBreak/>
        <w:t>Further studies should be design to evaluate the long term effects of silent reflux after the bariatric surgery.</w:t>
      </w: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493B93">
        <w:rPr>
          <w:rFonts w:ascii="Book Antiqua" w:hAnsi="Book Antiqua"/>
          <w:b/>
          <w:bCs/>
          <w:i/>
          <w:sz w:val="24"/>
          <w:szCs w:val="24"/>
        </w:rPr>
        <w:t>Terminology</w:t>
      </w: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tr-TR"/>
        </w:rPr>
        <w:t>Some patients do not easily perceive esophageal acid reflux. This is called silent reflux in the literature.</w:t>
      </w:r>
      <w:bookmarkStart w:id="335" w:name="OLE_LINK2204"/>
      <w:bookmarkStart w:id="336" w:name="OLE_LINK2135"/>
      <w:bookmarkStart w:id="337" w:name="OLE_LINK2585"/>
      <w:bookmarkStart w:id="338" w:name="OLE_LINK2586"/>
      <w:bookmarkStart w:id="339" w:name="OLE_LINK2709"/>
      <w:bookmarkStart w:id="340" w:name="OLE_LINK2926"/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7F0361" w:rsidRPr="00493B93" w:rsidRDefault="007F0361" w:rsidP="007F0361">
      <w:pPr>
        <w:adjustRightInd w:val="0"/>
        <w:snapToGrid w:val="0"/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493B93">
        <w:rPr>
          <w:rFonts w:ascii="Book Antiqua" w:hAnsi="Book Antiqua"/>
          <w:b/>
          <w:bCs/>
          <w:i/>
          <w:sz w:val="24"/>
          <w:szCs w:val="24"/>
        </w:rPr>
        <w:t>Peer review</w:t>
      </w:r>
    </w:p>
    <w:bookmarkEnd w:id="335"/>
    <w:bookmarkEnd w:id="336"/>
    <w:bookmarkEnd w:id="337"/>
    <w:bookmarkEnd w:id="338"/>
    <w:bookmarkEnd w:id="339"/>
    <w:bookmarkEnd w:id="340"/>
    <w:p w:rsidR="007F0361" w:rsidRPr="00493B93" w:rsidRDefault="007F0361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Obesity is a risk factor for </w:t>
      </w:r>
      <w:proofErr w:type="spellStart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gastroesophageal</w:t>
      </w:r>
      <w:proofErr w:type="spellEnd"/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 xml:space="preserve"> reflux. 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Acid reflux is correlated with </w:t>
      </w:r>
      <w:r w:rsidR="00411B51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body mass index</w:t>
      </w:r>
      <w:r w:rsidRPr="00493B93">
        <w:rPr>
          <w:rFonts w:ascii="Book Antiqua" w:hAnsi="Book Antiqua" w:cs="Times New Roman"/>
          <w:color w:val="000000" w:themeColor="text1"/>
          <w:szCs w:val="24"/>
        </w:rPr>
        <w:t xml:space="preserve"> in obese individuals. P</w:t>
      </w:r>
      <w:r w:rsidRPr="00493B93">
        <w:rPr>
          <w:rFonts w:ascii="Book Antiqua" w:hAnsi="Book Antiqua" w:cs="Times New Roman"/>
          <w:color w:val="000000" w:themeColor="text1"/>
          <w:szCs w:val="24"/>
          <w:lang w:eastAsia="tr-TR"/>
        </w:rPr>
        <w:t>atients should be carefully evaluated before bariatric surgery even in the absence of symptoms.</w:t>
      </w:r>
    </w:p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31"/>
    <w:bookmarkEnd w:id="332"/>
    <w:p w:rsidR="00147D99" w:rsidRPr="00493B93" w:rsidRDefault="00147D99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</w:p>
    <w:p w:rsidR="007E473B" w:rsidRPr="00493B93" w:rsidRDefault="00AF7AFF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b/>
          <w:color w:val="000000" w:themeColor="text1"/>
          <w:szCs w:val="24"/>
        </w:rPr>
        <w:t>REFERENCES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1 </w:t>
      </w:r>
      <w:proofErr w:type="spellStart"/>
      <w:r w:rsidRPr="00493B9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Ruhm</w:t>
      </w:r>
      <w:proofErr w:type="spellEnd"/>
      <w:r w:rsidRPr="00493B9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CJ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Current and future prevalence of obesity and severe obesity in the United States (June 2007).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National Bureau of Economic Research (NBER) Working Paper No.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W13181, </w:t>
      </w:r>
      <w:r w:rsidR="00B47CC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Available from: 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htt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p://ssrn.com/abstract = 994229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Locke GR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Talley NJ,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Fett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SL,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Zinsmeister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AR, Melton LJ. Risk factors associated with symptoms of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gastroesophageal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reflux.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Am J Med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1999;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106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642-649 [PMID: 10378622 DOI: 10.1016/S0002-9343(99)00121-7]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Nilsson M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Johnsen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R, Ye W,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Hveem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Lagergren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J. Obesity and estrogen as risk factors for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gastroesophageal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reflux symptoms.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JAMA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290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66-72 [PMID: 12837713 DOI: 10.1001/jama.290.1.66]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Eslick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GD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Gastrointestinal symptoms and obesity: a meta-analysis. 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Obes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Rev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13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469-479 [PMID: 22188520 DOI: 10.1111/j.1467-789X.2011.00969.x]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5 </w:t>
      </w:r>
      <w:r w:rsidRPr="00B47CC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WHO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Obesity: preventing and managing the global epidemic. Report on a WHO Consultation on O</w:t>
      </w:r>
      <w:r w:rsidR="00B47CC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besity, Geneva, 3-5 June, 1997</w:t>
      </w:r>
      <w:r w:rsidR="00B47CC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(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WHO/NUT/NCD/98.1</w:t>
      </w:r>
      <w:r w:rsidR="00B47CC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)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Technical Report Series Number 894.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Geneva: World Health Organ</w:t>
      </w:r>
      <w:r w:rsidR="00B47CC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ization, 2000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Sifrim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D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Dupont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Blondeau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Zhang X, Tack J,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Janssens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J. Weakly acidic reflux in patients with chronic unexplained cough during 24 hour pressure, pH, and impedance monitoring.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Gut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54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449-454 [PMID: 15753524 DOI: 10.1136/gut.2004.055418]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Zerbib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F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Roman S,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Bruley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Des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Varannes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Gourcerol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Coffin B,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Ropert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Lepicard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Mion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F. Normal values of pharyngeal and esophageal 24-hour pH impedance in individuals on and off therapy and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interobserver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reproducibility. 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11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366-372 [PMID: 23142603 DOI: 10.1016/j.cgh.2012.10.041]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Ayazi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Hagen JA, Chan LS,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DeMeester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SR, Lin MW,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Ayazi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Leers JM,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Oezcelik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Banki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Lipham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JC,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DeMeester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TR, Crookes PF. Obesity and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gastroesophageal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reflux: quantifying the association between body mass index, esophageal acid 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exposure, and lower esophageal sphincter status in a large series of patients with reflux symptoms.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Gastrointest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13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1440-1447 [PMID: 19475461 DOI: 10.1007/s11605-009-0930-7]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9 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Hajar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N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Castell DO,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Ghomrawi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Rackett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R, Hila A. Impedance pH confirms the relationship between GERD and BMI.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Dig Dis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57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1875-1879 [PMID: 22451118 DOI: 10.1007/s10620-012-2131-6]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10 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Schneider JM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Brücher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BL,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Küper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Saemann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Königsrainer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Schneider JH. </w:t>
      </w: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Multichannel intraluminal impedance measurement of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gastroesophageal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reflux in patients with different stages of morbid obesity.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Obes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19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1522-1529 [PMID: 18648896 DOI: 10.1007/s11695-008-9624-6]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11 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Ricci G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Amella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Forti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E, Rossi A,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Bersani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Dari S,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Pasini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Maimone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Alvisi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V. 24-h pH-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metry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multichannel intraluminal impedance monitoring in obese patients with and without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gastroesophageal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reflux disease symptoms. 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Obes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21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48-53 [PMID: 20835898 DOI: 10.1007/s11695-010-0275-z]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12 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Fass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R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Sampliner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Mackel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C, McGee D, Rappaport W. Age- and gender-related differences in 24-hour esophageal pH monitoring of normal subjects.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Dig Dis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1993;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38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1926-1928 [PMID: 8404416 DOI: 10.1007/BF01296120]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13 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Fass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R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Dickman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R. Clinical consequences of silent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gastroesophageal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reflux disease. 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Curr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Rep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2006;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195-201 [PMID: 16764785 DOI: 10.1007/s11894-006-0075-8]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14 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Miwa H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Kondo T,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Oshima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Fukui H, Tomita T,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Watari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J. Esophageal sensation and esophageal hypersensitivity - overview from bench to bedside.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Neurogastroenterol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Motil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353-362 [PMID: 21103417 DOI: 10.5056/jnm.2010.16.4.353]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15 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Carter PR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LeBlanc KA,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Hausmann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MG,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Kleinpeter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KP,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deBarros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SN, Jones SM. Association between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gastroesophageal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reflux disease and laparoscopic sleeve gastrectomy.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Obes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Relat</w:t>
      </w:r>
      <w:proofErr w:type="spellEnd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Dis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2011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569-572 [PMID: 21429818 DOI: 10.1016/j.soard.2011.01.040]</w:t>
      </w:r>
    </w:p>
    <w:p w:rsidR="00493B93" w:rsidRPr="00493B93" w:rsidRDefault="00493B93" w:rsidP="00493B93">
      <w:pPr>
        <w:spacing w:after="0"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16 </w:t>
      </w:r>
      <w:proofErr w:type="spellStart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Himpens</w:t>
      </w:r>
      <w:proofErr w:type="spellEnd"/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J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Dobbeleir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Peeters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G. Long-term results of laparoscopic sleeve gastrectomy for obesity.</w:t>
      </w:r>
      <w:proofErr w:type="gram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Ann </w:t>
      </w:r>
      <w:proofErr w:type="spellStart"/>
      <w:r w:rsidRPr="00493B9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493B9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252</w:t>
      </w:r>
      <w:r w:rsidRPr="00493B9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319-324 [PMID: 20622654 DOI: 10.1097/SLA.0b013e3181e90b31]</w:t>
      </w:r>
    </w:p>
    <w:p w:rsidR="00154878" w:rsidRDefault="00154878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Cs w:val="24"/>
          <w:lang w:eastAsia="zh-CN"/>
        </w:rPr>
      </w:pPr>
    </w:p>
    <w:p w:rsidR="00B47CCB" w:rsidRPr="00F47A46" w:rsidRDefault="00B47CCB" w:rsidP="00B47CCB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bookmarkStart w:id="341" w:name="OLE_LINK874"/>
      <w:bookmarkStart w:id="342" w:name="OLE_LINK875"/>
      <w:bookmarkStart w:id="343" w:name="OLE_LINK347"/>
      <w:bookmarkStart w:id="344" w:name="OLE_LINK384"/>
      <w:bookmarkStart w:id="345" w:name="OLE_LINK557"/>
      <w:bookmarkStart w:id="346" w:name="OLE_LINK558"/>
      <w:bookmarkStart w:id="347" w:name="OLE_LINK631"/>
      <w:bookmarkStart w:id="348" w:name="OLE_LINK632"/>
      <w:bookmarkStart w:id="349" w:name="OLE_LINK386"/>
      <w:bookmarkStart w:id="350" w:name="OLE_LINK431"/>
      <w:bookmarkStart w:id="351" w:name="OLE_LINK564"/>
      <w:bookmarkStart w:id="352" w:name="OLE_LINK493"/>
      <w:bookmarkStart w:id="353" w:name="OLE_LINK442"/>
      <w:bookmarkStart w:id="354" w:name="OLE_LINK551"/>
      <w:bookmarkStart w:id="355" w:name="OLE_LINK668"/>
      <w:bookmarkStart w:id="356" w:name="OLE_LINK669"/>
      <w:bookmarkStart w:id="357" w:name="OLE_LINK725"/>
      <w:bookmarkStart w:id="358" w:name="OLE_LINK489"/>
      <w:bookmarkStart w:id="359" w:name="OLE_LINK602"/>
      <w:bookmarkStart w:id="360" w:name="OLE_LINK658"/>
      <w:bookmarkStart w:id="361" w:name="OLE_LINK747"/>
      <w:bookmarkStart w:id="362" w:name="OLE_LINK897"/>
      <w:bookmarkStart w:id="363" w:name="OLE_LINK1138"/>
      <w:bookmarkStart w:id="364" w:name="OLE_LINK1139"/>
      <w:bookmarkStart w:id="365" w:name="OLE_LINK882"/>
      <w:bookmarkStart w:id="366" w:name="OLE_LINK1095"/>
      <w:bookmarkStart w:id="367" w:name="OLE_LINK1305"/>
      <w:bookmarkStart w:id="368" w:name="OLE_LINK1390"/>
      <w:bookmarkStart w:id="369" w:name="OLE_LINK964"/>
      <w:bookmarkStart w:id="370" w:name="OLE_LINK1190"/>
      <w:bookmarkStart w:id="371" w:name="OLE_LINK1314"/>
      <w:bookmarkStart w:id="372" w:name="OLE_LINK1031"/>
      <w:bookmarkStart w:id="373" w:name="OLE_LINK1092"/>
      <w:bookmarkStart w:id="374" w:name="OLE_LINK1258"/>
      <w:bookmarkStart w:id="375" w:name="OLE_LINK1259"/>
      <w:bookmarkStart w:id="376" w:name="OLE_LINK1337"/>
      <w:bookmarkStart w:id="377" w:name="OLE_LINK1338"/>
      <w:bookmarkStart w:id="378" w:name="OLE_LINK1363"/>
      <w:bookmarkStart w:id="379" w:name="OLE_LINK1364"/>
      <w:bookmarkStart w:id="380" w:name="OLE_LINK86"/>
      <w:bookmarkStart w:id="381" w:name="OLE_LINK1595"/>
      <w:bookmarkStart w:id="382" w:name="OLE_LINK1613"/>
      <w:bookmarkStart w:id="383" w:name="OLE_LINK1708"/>
      <w:bookmarkStart w:id="384" w:name="OLE_LINK1774"/>
      <w:bookmarkStart w:id="385" w:name="OLE_LINK1872"/>
      <w:bookmarkStart w:id="386" w:name="OLE_LINK1899"/>
      <w:bookmarkStart w:id="387" w:name="OLE_LINK1492"/>
      <w:bookmarkStart w:id="388" w:name="OLE_LINK1497"/>
      <w:bookmarkStart w:id="389" w:name="OLE_LINK1498"/>
      <w:bookmarkStart w:id="390" w:name="OLE_LINK1589"/>
      <w:bookmarkStart w:id="391" w:name="OLE_LINK1666"/>
      <w:bookmarkStart w:id="392" w:name="OLE_LINK1752"/>
      <w:bookmarkStart w:id="393" w:name="OLE_LINK1616"/>
      <w:bookmarkStart w:id="394" w:name="OLE_LINK1696"/>
      <w:bookmarkStart w:id="395" w:name="OLE_LINK1855"/>
      <w:bookmarkStart w:id="396" w:name="OLE_LINK1942"/>
      <w:bookmarkStart w:id="397" w:name="OLE_LINK1943"/>
      <w:bookmarkStart w:id="398" w:name="OLE_LINK1573"/>
      <w:bookmarkStart w:id="399" w:name="OLE_LINK1574"/>
      <w:bookmarkStart w:id="400" w:name="OLE_LINK1575"/>
      <w:bookmarkStart w:id="401" w:name="OLE_LINK1739"/>
      <w:bookmarkStart w:id="402" w:name="OLE_LINK1761"/>
      <w:bookmarkStart w:id="403" w:name="OLE_LINK1743"/>
      <w:bookmarkStart w:id="404" w:name="OLE_LINK1841"/>
      <w:bookmarkStart w:id="405" w:name="OLE_LINK1858"/>
      <w:bookmarkStart w:id="406" w:name="OLE_LINK1890"/>
      <w:bookmarkStart w:id="407" w:name="OLE_LINK1915"/>
      <w:bookmarkStart w:id="408" w:name="OLE_LINK1980"/>
      <w:bookmarkStart w:id="409" w:name="OLE_LINK1883"/>
      <w:bookmarkStart w:id="410" w:name="OLE_LINK1935"/>
      <w:bookmarkStart w:id="411" w:name="OLE_LINK1936"/>
      <w:bookmarkStart w:id="412" w:name="OLE_LINK1952"/>
      <w:bookmarkStart w:id="413" w:name="OLE_LINK1953"/>
      <w:bookmarkStart w:id="414" w:name="OLE_LINK1999"/>
      <w:bookmarkStart w:id="415" w:name="OLE_LINK2050"/>
      <w:bookmarkStart w:id="416" w:name="OLE_LINK1862"/>
      <w:bookmarkStart w:id="417" w:name="OLE_LINK1963"/>
      <w:bookmarkStart w:id="418" w:name="OLE_LINK2052"/>
      <w:bookmarkStart w:id="419" w:name="OLE_LINK1906"/>
      <w:bookmarkStart w:id="420" w:name="OLE_LINK2031"/>
      <w:bookmarkStart w:id="421" w:name="OLE_LINK2032"/>
      <w:bookmarkStart w:id="422" w:name="OLE_LINK1907"/>
      <w:bookmarkStart w:id="423" w:name="OLE_LINK2004"/>
      <w:bookmarkStart w:id="424" w:name="OLE_LINK2238"/>
      <w:bookmarkStart w:id="425" w:name="OLE_LINK2239"/>
      <w:bookmarkStart w:id="426" w:name="OLE_LINK2163"/>
      <w:bookmarkStart w:id="427" w:name="OLE_LINK2207"/>
      <w:bookmarkStart w:id="428" w:name="OLE_LINK2341"/>
      <w:bookmarkStart w:id="429" w:name="OLE_LINK2417"/>
      <w:bookmarkStart w:id="430" w:name="OLE_LINK2509"/>
      <w:bookmarkStart w:id="431" w:name="OLE_LINK2510"/>
      <w:bookmarkStart w:id="432" w:name="OLE_LINK2511"/>
      <w:bookmarkStart w:id="433" w:name="OLE_LINK2512"/>
      <w:bookmarkStart w:id="434" w:name="OLE_LINK2513"/>
      <w:bookmarkStart w:id="435" w:name="OLE_LINK2514"/>
      <w:bookmarkStart w:id="436" w:name="OLE_LINK2515"/>
      <w:bookmarkStart w:id="437" w:name="OLE_LINK2516"/>
      <w:bookmarkStart w:id="438" w:name="OLE_LINK2517"/>
      <w:bookmarkStart w:id="439" w:name="OLE_LINK2518"/>
      <w:bookmarkStart w:id="440" w:name="OLE_LINK2519"/>
      <w:bookmarkStart w:id="441" w:name="OLE_LINK2520"/>
      <w:bookmarkStart w:id="442" w:name="OLE_LINK2521"/>
      <w:bookmarkStart w:id="443" w:name="OLE_LINK2522"/>
      <w:bookmarkStart w:id="444" w:name="OLE_LINK2523"/>
      <w:bookmarkStart w:id="445" w:name="OLE_LINK2524"/>
      <w:bookmarkStart w:id="446" w:name="OLE_LINK2051"/>
      <w:bookmarkStart w:id="447" w:name="OLE_LINK2109"/>
      <w:bookmarkStart w:id="448" w:name="OLE_LINK2165"/>
      <w:bookmarkStart w:id="449" w:name="OLE_LINK2385"/>
      <w:bookmarkStart w:id="450" w:name="OLE_LINK2593"/>
      <w:bookmarkStart w:id="451" w:name="OLE_LINK2332"/>
      <w:bookmarkStart w:id="452" w:name="OLE_LINK2448"/>
      <w:bookmarkStart w:id="453" w:name="OLE_LINK2525"/>
      <w:bookmarkStart w:id="454" w:name="OLE_LINK2506"/>
      <w:bookmarkStart w:id="455" w:name="OLE_LINK2507"/>
      <w:bookmarkStart w:id="456" w:name="OLE_LINK2291"/>
      <w:bookmarkStart w:id="457" w:name="OLE_LINK2294"/>
      <w:bookmarkStart w:id="458" w:name="OLE_LINK2298"/>
      <w:bookmarkStart w:id="459" w:name="OLE_LINK2300"/>
      <w:bookmarkStart w:id="460" w:name="OLE_LINK2301"/>
      <w:bookmarkStart w:id="461" w:name="OLE_LINK2546"/>
      <w:bookmarkStart w:id="462" w:name="OLE_LINK2756"/>
      <w:bookmarkStart w:id="463" w:name="OLE_LINK2757"/>
      <w:bookmarkStart w:id="464" w:name="OLE_LINK2736"/>
      <w:bookmarkStart w:id="465" w:name="OLE_LINK2923"/>
      <w:bookmarkStart w:id="466" w:name="OLE_LINK2974"/>
      <w:bookmarkStart w:id="467" w:name="OLE_LINK3125"/>
      <w:bookmarkStart w:id="468" w:name="OLE_LINK3218"/>
      <w:bookmarkStart w:id="469" w:name="OLE_LINK2575"/>
      <w:bookmarkStart w:id="470" w:name="OLE_LINK2687"/>
      <w:bookmarkStart w:id="471" w:name="OLE_LINK2688"/>
      <w:bookmarkStart w:id="472" w:name="OLE_LINK2700"/>
      <w:bookmarkStart w:id="473" w:name="OLE_LINK2576"/>
      <w:bookmarkStart w:id="474" w:name="OLE_LINK2674"/>
      <w:bookmarkStart w:id="475" w:name="OLE_LINK2738"/>
      <w:bookmarkStart w:id="476" w:name="OLE_LINK2983"/>
      <w:bookmarkStart w:id="477" w:name="OLE_LINK76"/>
      <w:bookmarkStart w:id="478" w:name="OLE_LINK115"/>
      <w:bookmarkStart w:id="479" w:name="OLE_LINK155"/>
      <w:r w:rsidRPr="00F47A46">
        <w:rPr>
          <w:rFonts w:ascii="Book Antiqua" w:hAnsi="Book Antiqua" w:cs="Tahoma"/>
          <w:b/>
          <w:color w:val="000000"/>
          <w:sz w:val="24"/>
        </w:rPr>
        <w:t>P-Reviewer</w:t>
      </w:r>
      <w:r w:rsidRPr="00F47A46">
        <w:rPr>
          <w:rFonts w:ascii="Book Antiqua" w:hAnsi="Book Antiqua" w:cs="Tahoma" w:hint="eastAsia"/>
          <w:b/>
          <w:color w:val="000000"/>
          <w:sz w:val="24"/>
        </w:rPr>
        <w:t>:</w:t>
      </w:r>
      <w:r w:rsidRPr="00F47A46">
        <w:rPr>
          <w:rFonts w:ascii="Book Antiqua" w:hAnsi="Book Antiqua" w:cs="Tahoma"/>
          <w:b/>
          <w:color w:val="000000"/>
          <w:sz w:val="24"/>
        </w:rPr>
        <w:t xml:space="preserve"> </w:t>
      </w:r>
      <w:proofErr w:type="spellStart"/>
      <w:r w:rsidRPr="00B47CCB">
        <w:rPr>
          <w:rFonts w:ascii="Book Antiqua" w:hAnsi="Book Antiqua" w:cs="Tahoma"/>
          <w:color w:val="000000"/>
          <w:sz w:val="24"/>
        </w:rPr>
        <w:t>Herbella</w:t>
      </w:r>
      <w:proofErr w:type="spellEnd"/>
      <w:r w:rsidRPr="00B47CCB">
        <w:rPr>
          <w:rFonts w:ascii="Book Antiqua" w:hAnsi="Book Antiqua" w:cs="Tahoma" w:hint="eastAsia"/>
          <w:color w:val="000000"/>
          <w:sz w:val="24"/>
          <w:lang w:eastAsia="zh-CN"/>
        </w:rPr>
        <w:t xml:space="preserve"> </w:t>
      </w:r>
      <w:r w:rsidRPr="00B47CCB">
        <w:rPr>
          <w:rFonts w:ascii="Book Antiqua" w:hAnsi="Book Antiqua" w:cs="Tahoma"/>
          <w:color w:val="000000"/>
          <w:sz w:val="24"/>
        </w:rPr>
        <w:t>FAM</w:t>
      </w:r>
      <w:r>
        <w:rPr>
          <w:rFonts w:ascii="Book Antiqua" w:hAnsi="Book Antiqua" w:cs="Tahoma" w:hint="eastAsia"/>
          <w:b/>
          <w:color w:val="000000"/>
          <w:sz w:val="24"/>
          <w:lang w:eastAsia="zh-CN"/>
        </w:rPr>
        <w:t xml:space="preserve"> </w:t>
      </w:r>
      <w:r w:rsidRPr="00F47A46">
        <w:rPr>
          <w:rFonts w:ascii="Book Antiqua" w:hAnsi="Book Antiqua" w:cs="Tahoma"/>
          <w:b/>
          <w:color w:val="000000"/>
          <w:sz w:val="24"/>
        </w:rPr>
        <w:t>S-Editor</w:t>
      </w:r>
      <w:r w:rsidRPr="00F47A46">
        <w:rPr>
          <w:rFonts w:ascii="Book Antiqua" w:hAnsi="Book Antiqua" w:cs="Tahoma" w:hint="eastAsia"/>
          <w:b/>
          <w:color w:val="000000"/>
          <w:sz w:val="24"/>
        </w:rPr>
        <w:t>:</w:t>
      </w:r>
      <w:r w:rsidRPr="00F47A46">
        <w:rPr>
          <w:rFonts w:ascii="Book Antiqua" w:hAnsi="Book Antiqua" w:cs="Tahoma"/>
          <w:b/>
          <w:color w:val="000000"/>
          <w:sz w:val="24"/>
        </w:rPr>
        <w:t xml:space="preserve"> </w:t>
      </w:r>
      <w:r w:rsidRPr="00F47A46">
        <w:rPr>
          <w:rFonts w:ascii="Book Antiqua" w:hAnsi="Book Antiqua" w:cs="Tahoma"/>
          <w:color w:val="000000"/>
          <w:sz w:val="24"/>
        </w:rPr>
        <w:t xml:space="preserve">Gou SX </w:t>
      </w:r>
      <w:r w:rsidRPr="00F47A46">
        <w:rPr>
          <w:rFonts w:ascii="Book Antiqua" w:hAnsi="Book Antiqua" w:cs="Tahoma"/>
          <w:b/>
          <w:color w:val="000000"/>
          <w:sz w:val="24"/>
        </w:rPr>
        <w:t xml:space="preserve">  L-Editor</w:t>
      </w:r>
      <w:r w:rsidRPr="00F47A46">
        <w:rPr>
          <w:rFonts w:ascii="Book Antiqua" w:hAnsi="Book Antiqua" w:cs="Tahoma" w:hint="eastAsia"/>
          <w:b/>
          <w:color w:val="000000"/>
          <w:sz w:val="24"/>
        </w:rPr>
        <w:t>:</w:t>
      </w:r>
      <w:r w:rsidRPr="00F47A46">
        <w:rPr>
          <w:rFonts w:ascii="Book Antiqua" w:hAnsi="Book Antiqua" w:cs="Tahoma"/>
          <w:b/>
          <w:color w:val="000000"/>
          <w:sz w:val="24"/>
        </w:rPr>
        <w:t xml:space="preserve">    E-Edito</w:t>
      </w:r>
      <w:bookmarkEnd w:id="341"/>
      <w:bookmarkEnd w:id="342"/>
      <w:r w:rsidRPr="00F47A46">
        <w:rPr>
          <w:rFonts w:ascii="Book Antiqua" w:hAnsi="Book Antiqua" w:cs="Tahoma"/>
          <w:b/>
          <w:color w:val="000000"/>
          <w:sz w:val="24"/>
        </w:rPr>
        <w:t>r</w:t>
      </w:r>
      <w:r w:rsidRPr="00F47A46">
        <w:rPr>
          <w:rFonts w:ascii="Book Antiqua" w:hAnsi="Book Antiqua" w:cs="Tahoma" w:hint="eastAsia"/>
          <w:b/>
          <w:color w:val="000000"/>
          <w:sz w:val="24"/>
        </w:rPr>
        <w:t>:</w:t>
      </w:r>
    </w:p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p w:rsidR="00B47CCB" w:rsidRPr="00B47CCB" w:rsidRDefault="00B47CCB" w:rsidP="007F0361">
      <w:pPr>
        <w:pStyle w:val="a4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Cs w:val="24"/>
          <w:lang w:eastAsia="zh-CN"/>
        </w:rPr>
      </w:pPr>
    </w:p>
    <w:p w:rsidR="00BF42C4" w:rsidRPr="00493B93" w:rsidRDefault="00F3617D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noProof/>
          <w:color w:val="000000" w:themeColor="text1"/>
          <w:szCs w:val="24"/>
          <w:lang w:eastAsia="zh-CN"/>
        </w:rPr>
        <w:lastRenderedPageBreak/>
        <w:drawing>
          <wp:inline distT="0" distB="0" distL="0" distR="0">
            <wp:extent cx="5760720" cy="2803673"/>
            <wp:effectExtent l="19050" t="0" r="0" b="0"/>
            <wp:docPr id="1" name="图片 1" descr="E:\2013-10-10\2014 整理稿件\2014-8-15\10954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3-10-10\2014 整理稿件\2014-8-15\10954\Figu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7D" w:rsidRPr="00493B93" w:rsidRDefault="00F3617D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A</w:t>
      </w:r>
    </w:p>
    <w:p w:rsidR="00F3617D" w:rsidRPr="00493B93" w:rsidRDefault="00F3617D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noProof/>
          <w:color w:val="000000" w:themeColor="text1"/>
          <w:szCs w:val="24"/>
          <w:lang w:eastAsia="zh-CN"/>
        </w:rPr>
        <w:drawing>
          <wp:inline distT="0" distB="0" distL="0" distR="0">
            <wp:extent cx="5760720" cy="2803673"/>
            <wp:effectExtent l="19050" t="0" r="0" b="0"/>
            <wp:docPr id="2" name="图片 2" descr="E:\2013-10-10\2014 整理稿件\2014-8-15\10954\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3-10-10\2014 整理稿件\2014-8-15\10954\Figur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7D" w:rsidRPr="00493B93" w:rsidRDefault="00F3617D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B</w:t>
      </w:r>
    </w:p>
    <w:p w:rsidR="00D84663" w:rsidRPr="00493B93" w:rsidRDefault="00F3617D" w:rsidP="007F0361">
      <w:pPr>
        <w:pStyle w:val="a4"/>
        <w:snapToGrid w:val="0"/>
        <w:spacing w:line="360" w:lineRule="auto"/>
        <w:rPr>
          <w:rFonts w:ascii="Book Antiqua" w:hAnsi="Book Antiqua" w:cs="Times New Roman"/>
          <w:color w:val="000000" w:themeColor="text1"/>
          <w:szCs w:val="24"/>
          <w:lang w:eastAsia="zh-CN"/>
        </w:rPr>
      </w:pPr>
      <w:r w:rsidRPr="00493B93">
        <w:rPr>
          <w:rFonts w:ascii="Book Antiqua" w:hAnsi="Book Antiqua" w:cs="Times New Roman"/>
          <w:b/>
          <w:bCs/>
          <w:color w:val="000000" w:themeColor="text1"/>
          <w:szCs w:val="24"/>
        </w:rPr>
        <w:t>Figure 1</w:t>
      </w:r>
      <w:r w:rsidR="00D84663" w:rsidRPr="00493B93">
        <w:rPr>
          <w:rFonts w:ascii="Book Antiqua" w:hAnsi="Book Antiqua" w:cs="Times New Roman"/>
          <w:b/>
          <w:bCs/>
          <w:color w:val="000000" w:themeColor="text1"/>
          <w:szCs w:val="24"/>
        </w:rPr>
        <w:t xml:space="preserve"> </w:t>
      </w:r>
      <w:r w:rsidRPr="00493B93">
        <w:rPr>
          <w:rFonts w:ascii="Book Antiqua" w:hAnsi="Book Antiqua" w:cs="Times New Roman"/>
          <w:b/>
          <w:color w:val="000000" w:themeColor="text1"/>
          <w:szCs w:val="24"/>
        </w:rPr>
        <w:t>Positive correlation</w:t>
      </w:r>
      <w:r w:rsidRPr="00493B93">
        <w:rPr>
          <w:rFonts w:ascii="Book Antiqua" w:hAnsi="Book Antiqua" w:cs="Times New Roman"/>
          <w:b/>
          <w:color w:val="000000" w:themeColor="text1"/>
          <w:szCs w:val="24"/>
          <w:lang w:eastAsia="zh-CN"/>
        </w:rPr>
        <w:t xml:space="preserve">. </w:t>
      </w:r>
      <w:r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A:</w:t>
      </w:r>
      <w:r w:rsidRPr="00493B93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 xml:space="preserve">Positive correlation between </w:t>
      </w:r>
      <w:proofErr w:type="spellStart"/>
      <w:r w:rsidR="00E57D88" w:rsidRPr="00493B93">
        <w:rPr>
          <w:rFonts w:ascii="Book Antiqua" w:hAnsi="Book Antiqua" w:cs="Times New Roman"/>
          <w:color w:val="000000" w:themeColor="text1"/>
          <w:szCs w:val="24"/>
        </w:rPr>
        <w:t>DeMeester</w:t>
      </w:r>
      <w:proofErr w:type="spellEnd"/>
      <w:r w:rsidR="00271660" w:rsidRPr="00493B93">
        <w:rPr>
          <w:rFonts w:ascii="Book Antiqua" w:hAnsi="Book Antiqua" w:cs="Times New Roman"/>
          <w:color w:val="000000" w:themeColor="text1"/>
          <w:szCs w:val="24"/>
        </w:rPr>
        <w:t xml:space="preserve"> score and body mass index (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>BMI</w:t>
      </w:r>
      <w:r w:rsidR="00271660"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>)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 xml:space="preserve">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 xml:space="preserve">0.012,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Pr="00493B93">
        <w:rPr>
          <w:rFonts w:ascii="Book Antiqua" w:hAnsi="Book Antiqua" w:cs="Times New Roman"/>
          <w:color w:val="000000" w:themeColor="text1"/>
          <w:szCs w:val="24"/>
        </w:rPr>
        <w:t>0.333)</w:t>
      </w:r>
      <w:r w:rsidRPr="00493B93">
        <w:rPr>
          <w:rFonts w:ascii="Book Antiqua" w:hAnsi="Book Antiqua" w:cs="Times New Roman"/>
          <w:color w:val="000000" w:themeColor="text1"/>
          <w:szCs w:val="24"/>
          <w:lang w:eastAsia="zh-CN"/>
        </w:rPr>
        <w:t xml:space="preserve">; B: 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>Positive correlation between</w:t>
      </w:r>
      <w:r w:rsidR="00872DD7" w:rsidRPr="00493B9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&lt; </w:t>
      </w:r>
      <w:r w:rsidRPr="00493B93">
        <w:rPr>
          <w:rFonts w:ascii="Book Antiqua" w:hAnsi="Book Antiqua" w:cs="Times New Roman"/>
          <w:color w:val="000000" w:themeColor="text1"/>
          <w:szCs w:val="24"/>
        </w:rPr>
        <w:t>pH 4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>% reflux time</w:t>
      </w:r>
      <w:r w:rsidR="00D84663" w:rsidRPr="00493B93">
        <w:rPr>
          <w:rFonts w:ascii="Book Antiqua" w:hAnsi="Book Antiqua" w:cs="Times New Roman"/>
          <w:b/>
          <w:bCs/>
          <w:color w:val="000000" w:themeColor="text1"/>
          <w:szCs w:val="24"/>
        </w:rPr>
        <w:t xml:space="preserve"> 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>and BMI (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P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 xml:space="preserve">0.012, </w:t>
      </w:r>
      <w:r w:rsidR="005E4197" w:rsidRPr="00493B93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302210" w:rsidRPr="00493B93">
        <w:rPr>
          <w:rFonts w:ascii="Book Antiqua" w:hAnsi="Book Antiqua" w:cs="Times New Roman"/>
          <w:color w:val="000000" w:themeColor="text1"/>
          <w:szCs w:val="24"/>
        </w:rPr>
        <w:t xml:space="preserve"> = </w:t>
      </w:r>
      <w:r w:rsidR="00D84663" w:rsidRPr="00493B93">
        <w:rPr>
          <w:rFonts w:ascii="Book Antiqua" w:hAnsi="Book Antiqua" w:cs="Times New Roman"/>
          <w:color w:val="000000" w:themeColor="text1"/>
          <w:szCs w:val="24"/>
        </w:rPr>
        <w:t xml:space="preserve">0.333). </w:t>
      </w:r>
    </w:p>
    <w:p w:rsidR="009E406B" w:rsidRPr="00493B93" w:rsidRDefault="009E406B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8E0670" w:rsidRPr="00493B93" w:rsidRDefault="008E0670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Table 1 Demographic features of cases</w:t>
      </w:r>
    </w:p>
    <w:tbl>
      <w:tblPr>
        <w:tblStyle w:val="AkGlgeleme-Vurgu11"/>
        <w:tblW w:w="0" w:type="auto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2551"/>
      </w:tblGrid>
      <w:tr w:rsidR="008E0670" w:rsidRPr="00493B93" w:rsidTr="0045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9E406B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>Age, yr</w:t>
            </w: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8E0670"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>(mean/range)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>49</w:t>
            </w:r>
            <w:r w:rsidR="009E406B" w:rsidRPr="00493B93">
              <w:rPr>
                <w:rStyle w:val="apple-converted-space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12 (28-70)</w:t>
            </w:r>
          </w:p>
        </w:tc>
      </w:tr>
      <w:tr w:rsidR="008E0670" w:rsidRPr="00493B93" w:rsidTr="0045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BB6013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>Sex</w:t>
            </w:r>
            <w:r w:rsidR="008E0670"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AD69E8" w:rsidRPr="00493B93">
              <w:rPr>
                <w:rFonts w:ascii="Book Antiqua" w:hAnsi="Book Antiqua" w:cs="Times New Roman"/>
                <w:b w:val="0"/>
                <w:i/>
                <w:color w:val="000000" w:themeColor="text1"/>
                <w:sz w:val="24"/>
                <w:szCs w:val="24"/>
              </w:rPr>
              <w:t>n</w:t>
            </w:r>
            <w:r w:rsidR="008E0670"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r w:rsidR="00455051"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>female/male</w:t>
            </w:r>
            <w:r w:rsidR="008E0670"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23/23</w:t>
            </w:r>
          </w:p>
        </w:tc>
      </w:tr>
      <w:tr w:rsidR="008E0670" w:rsidRPr="00493B93" w:rsidTr="0045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Style w:val="apple-style-span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 xml:space="preserve">BMI, </w:t>
            </w: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kg/m</w:t>
            </w: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(mean age, range)</w:t>
            </w:r>
          </w:p>
          <w:p w:rsidR="008E0670" w:rsidRPr="00493B93" w:rsidRDefault="00302210" w:rsidP="007F0361">
            <w:pPr>
              <w:tabs>
                <w:tab w:val="left" w:pos="1365"/>
              </w:tabs>
              <w:snapToGrid w:val="0"/>
              <w:spacing w:after="0" w:line="360" w:lineRule="auto"/>
              <w:ind w:leftChars="129" w:left="284"/>
              <w:rPr>
                <w:rStyle w:val="apple-style-span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lastRenderedPageBreak/>
              <w:t xml:space="preserve">&lt; </w:t>
            </w:r>
            <w:r w:rsidR="008E0670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30</w:t>
            </w:r>
            <w:r w:rsidR="00616956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ind w:leftChars="129" w:left="284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&gt;</w:t>
            </w:r>
            <w:r w:rsidR="00455051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30</w:t>
            </w:r>
            <w:r w:rsidR="00616956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lastRenderedPageBreak/>
              <w:t>27.7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1.7 (25-29)</w:t>
            </w:r>
          </w:p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33.5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3.3 (30.5-45.5)</w:t>
            </w:r>
          </w:p>
        </w:tc>
      </w:tr>
      <w:tr w:rsidR="008E0670" w:rsidRPr="00493B93" w:rsidTr="0045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lastRenderedPageBreak/>
              <w:t>Comorbidity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37</w:t>
            </w:r>
            <w:r w:rsidR="00455051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E0670" w:rsidRPr="00493B93" w:rsidTr="0045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 xml:space="preserve">Smoking </w:t>
            </w:r>
          </w:p>
        </w:tc>
        <w:tc>
          <w:tcPr>
            <w:tcW w:w="2551" w:type="dxa"/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23.9</w:t>
            </w:r>
            <w:r w:rsidR="00455051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E0670" w:rsidRPr="00493B93" w:rsidTr="0045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</w:rPr>
              <w:t xml:space="preserve">Endoscopic esophagitis 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46</w:t>
            </w:r>
            <w:r w:rsidR="00455051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85BB2" w:rsidRPr="00493B93" w:rsidTr="0045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:rsidR="00EE0B99" w:rsidRPr="00493B93" w:rsidRDefault="00C97824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Impedance results</w:t>
            </w:r>
            <w:r w:rsidR="00EE0B99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AD69E8" w:rsidRPr="00493B93">
              <w:rPr>
                <w:rFonts w:ascii="Book Antiqua" w:hAnsi="Book Antiqua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n</w:t>
            </w:r>
            <w:r w:rsidR="00455051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EE0B99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%</w:t>
            </w:r>
            <w:r w:rsidR="00455051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EE0B99" w:rsidRPr="00493B93" w:rsidRDefault="00EE0B99" w:rsidP="007F0361">
            <w:pPr>
              <w:tabs>
                <w:tab w:val="left" w:pos="1365"/>
              </w:tabs>
              <w:snapToGrid w:val="0"/>
              <w:spacing w:after="0" w:line="360" w:lineRule="auto"/>
              <w:ind w:leftChars="129" w:left="284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Normal</w:t>
            </w:r>
          </w:p>
          <w:p w:rsidR="00EE0B99" w:rsidRPr="00493B93" w:rsidRDefault="005C6318" w:rsidP="007F0361">
            <w:pPr>
              <w:tabs>
                <w:tab w:val="left" w:pos="1365"/>
              </w:tabs>
              <w:snapToGrid w:val="0"/>
              <w:spacing w:after="0" w:line="360" w:lineRule="auto"/>
              <w:ind w:leftChars="129" w:left="284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Pathologic acid reflux</w:t>
            </w:r>
          </w:p>
          <w:p w:rsidR="00485BB2" w:rsidRPr="00493B93" w:rsidRDefault="005C6318" w:rsidP="007F0361">
            <w:pPr>
              <w:tabs>
                <w:tab w:val="left" w:pos="1365"/>
              </w:tabs>
              <w:snapToGrid w:val="0"/>
              <w:spacing w:after="0" w:line="360" w:lineRule="auto"/>
              <w:ind w:leftChars="129" w:left="284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Weakly </w:t>
            </w:r>
            <w:r w:rsidR="00EE0B99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acid reflux</w:t>
            </w:r>
          </w:p>
          <w:p w:rsidR="005C6318" w:rsidRPr="00493B93" w:rsidRDefault="005C6318" w:rsidP="007F0361">
            <w:pPr>
              <w:tabs>
                <w:tab w:val="left" w:pos="1365"/>
              </w:tabs>
              <w:snapToGrid w:val="0"/>
              <w:spacing w:after="0" w:line="360" w:lineRule="auto"/>
              <w:ind w:leftChars="129" w:left="284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Weakly alkaline</w:t>
            </w: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reflux</w:t>
            </w:r>
          </w:p>
        </w:tc>
        <w:tc>
          <w:tcPr>
            <w:tcW w:w="2551" w:type="dxa"/>
            <w:shd w:val="clear" w:color="auto" w:fill="auto"/>
          </w:tcPr>
          <w:p w:rsidR="00EE0B99" w:rsidRPr="00493B93" w:rsidRDefault="00EE0B99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:rsidR="00EE0B99" w:rsidRPr="00493B93" w:rsidRDefault="00455051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14</w:t>
            </w: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EE0B99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30.4</w:t>
            </w: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EE0B99" w:rsidRPr="00493B93" w:rsidRDefault="00EE0B99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</w:t>
            </w:r>
            <w:r w:rsidR="00455051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485BB2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34.8</w:t>
            </w:r>
            <w:r w:rsidR="00455051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485BB2" w:rsidRPr="00493B93" w:rsidRDefault="00EE0B99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</w:t>
            </w:r>
            <w:r w:rsidR="00455051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5C6318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32</w:t>
            </w: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.</w:t>
            </w:r>
            <w:r w:rsidR="005C6318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</w:t>
            </w:r>
            <w:r w:rsidR="00455051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5C6318" w:rsidRPr="00493B93" w:rsidRDefault="00455051" w:rsidP="007F0361">
            <w:pPr>
              <w:tabs>
                <w:tab w:val="left" w:pos="1365"/>
              </w:tabs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</w:t>
            </w: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5C6318"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2.2</w:t>
            </w: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</w:tr>
    </w:tbl>
    <w:p w:rsidR="005C6318" w:rsidRPr="00493B93" w:rsidRDefault="00C97824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>BMI</w:t>
      </w:r>
      <w:r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: Body mass index.</w:t>
      </w:r>
    </w:p>
    <w:p w:rsidR="004E0834" w:rsidRPr="00493B93" w:rsidRDefault="004E0834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8E0670" w:rsidRPr="00493B93" w:rsidRDefault="008E0670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Table 2</w:t>
      </w:r>
      <w:r w:rsidR="002E0527" w:rsidRPr="00493B93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Impedance results of overweight and obese </w:t>
      </w:r>
      <w:r w:rsidR="00BB6013" w:rsidRPr="00493B93">
        <w:rPr>
          <w:rFonts w:ascii="Book Antiqua" w:hAnsi="Book Antiqua" w:cs="Times New Roman"/>
          <w:b/>
          <w:color w:val="000000" w:themeColor="text1"/>
          <w:sz w:val="24"/>
          <w:szCs w:val="24"/>
        </w:rPr>
        <w:t>patients</w:t>
      </w:r>
    </w:p>
    <w:tbl>
      <w:tblPr>
        <w:tblStyle w:val="AkGlgeleme-Vurgu11"/>
        <w:tblW w:w="9606" w:type="dxa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2126"/>
        <w:gridCol w:w="1985"/>
        <w:gridCol w:w="1134"/>
      </w:tblGrid>
      <w:tr w:rsidR="008E0670" w:rsidRPr="00493B93" w:rsidTr="00BF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8E0670" w:rsidRPr="00493B93" w:rsidRDefault="002E0527" w:rsidP="007F0361">
            <w:pPr>
              <w:snapToGrid w:val="0"/>
              <w:spacing w:after="0" w:line="360" w:lineRule="auto"/>
              <w:rPr>
                <w:rStyle w:val="apple-converted-space"/>
                <w:rFonts w:ascii="Book Antiqua" w:hAnsi="Book Antiqua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Impedance results</w:t>
            </w:r>
            <w:r w:rsidRPr="00493B93">
              <w:rPr>
                <w:rStyle w:val="apple-converted-space"/>
                <w:rFonts w:ascii="Book Antiqua" w:hAnsi="Book Antiqua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="00AD69E8" w:rsidRPr="00493B93">
              <w:rPr>
                <w:rStyle w:val="apple-converted-space"/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Book Antiqua" w:hAnsi="Book Antiqua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BMI &gt;</w:t>
            </w:r>
            <w:r w:rsidR="002E0527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30</w:t>
            </w:r>
            <w:r w:rsidR="00BF554A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 xml:space="preserve"> kg/m</w:t>
            </w:r>
            <w:r w:rsidR="00BF554A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8E0670" w:rsidRPr="00493B93" w:rsidRDefault="00BF554A" w:rsidP="00154878">
            <w:pPr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= </w:t>
            </w:r>
            <w:r w:rsidR="008E0670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Book Antiqua" w:hAnsi="Book Antiqua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BMI</w:t>
            </w:r>
            <w:r w:rsidR="00872DD7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302210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 xml:space="preserve">&lt; </w:t>
            </w:r>
            <w:r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30</w:t>
            </w:r>
            <w:r w:rsidR="00BF554A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 xml:space="preserve"> kg/m</w:t>
            </w:r>
            <w:r w:rsidR="00BF554A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8E0670" w:rsidRPr="00493B93" w:rsidRDefault="00BF554A" w:rsidP="00154878">
            <w:pPr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bCs w:val="0"/>
                <w:color w:val="000000" w:themeColor="text1"/>
                <w:sz w:val="24"/>
                <w:szCs w:val="24"/>
                <w:vertAlign w:val="superscript"/>
              </w:rPr>
            </w:pPr>
            <w:r w:rsidRPr="00493B93">
              <w:rPr>
                <w:rStyle w:val="apple-converted-space"/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=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Style w:val="apple-converted-space"/>
                <w:rFonts w:ascii="Book Antiqua" w:hAnsi="Book Antiqua"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8E0670" w:rsidRPr="00493B93" w:rsidTr="00BF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C97824" w:rsidP="007F0361">
            <w:pPr>
              <w:snapToGrid w:val="0"/>
              <w:spacing w:after="0" w:line="360" w:lineRule="auto"/>
              <w:rPr>
                <w:rStyle w:val="apple-converted-space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T</w:t>
            </w:r>
            <w:r w:rsidR="008E0670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otal gas reflux</w:t>
            </w:r>
            <w:r w:rsidR="00616956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87FCD" w:rsidRPr="00493B93" w:rsidRDefault="008E0670" w:rsidP="00154878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25.8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34.7</w:t>
            </w:r>
          </w:p>
          <w:p w:rsidR="008E0670" w:rsidRPr="00493B93" w:rsidRDefault="008E0670" w:rsidP="00154878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(0-157)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87FCD" w:rsidRPr="00493B93" w:rsidRDefault="008E0670" w:rsidP="00154878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18.5</w:t>
            </w:r>
            <w:r w:rsidR="00154878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13.3</w:t>
            </w:r>
          </w:p>
          <w:p w:rsidR="008E0670" w:rsidRPr="00493B93" w:rsidRDefault="008E0670" w:rsidP="00154878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(0-52)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0.87</w:t>
            </w:r>
          </w:p>
        </w:tc>
      </w:tr>
      <w:tr w:rsidR="008E0670" w:rsidRPr="00493B93" w:rsidTr="00BF554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8E0670" w:rsidRPr="00493B93" w:rsidRDefault="00C97824" w:rsidP="007F0361">
            <w:pPr>
              <w:snapToGrid w:val="0"/>
              <w:spacing w:after="0" w:line="360" w:lineRule="auto"/>
              <w:rPr>
                <w:rStyle w:val="apple-converted-space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U</w:t>
            </w:r>
            <w:r w:rsidR="008E0670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pright gas reflux </w:t>
            </w:r>
          </w:p>
        </w:tc>
        <w:tc>
          <w:tcPr>
            <w:tcW w:w="2126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20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20 (0-88)</w:t>
            </w:r>
          </w:p>
        </w:tc>
        <w:tc>
          <w:tcPr>
            <w:tcW w:w="1985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16.9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13</w:t>
            </w:r>
            <w:r w:rsidR="00BF554A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(0-52)</w:t>
            </w:r>
          </w:p>
        </w:tc>
        <w:tc>
          <w:tcPr>
            <w:tcW w:w="1134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0.82</w:t>
            </w:r>
          </w:p>
        </w:tc>
      </w:tr>
      <w:tr w:rsidR="008E0670" w:rsidRPr="00493B93" w:rsidTr="00BF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C97824" w:rsidP="007F0361">
            <w:pPr>
              <w:snapToGrid w:val="0"/>
              <w:spacing w:after="0" w:line="360" w:lineRule="auto"/>
              <w:rPr>
                <w:rStyle w:val="apple-converted-space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A</w:t>
            </w:r>
            <w:r w:rsidR="008E0670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cid</w:t>
            </w:r>
            <w:r w:rsidR="00616956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E0670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reflux episodes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26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54 (0-268)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26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24</w:t>
            </w:r>
            <w:r w:rsidR="00BF554A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(1-77)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0.87</w:t>
            </w:r>
          </w:p>
        </w:tc>
      </w:tr>
      <w:tr w:rsidR="008E0670" w:rsidRPr="00493B93" w:rsidTr="00BF554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8E0670" w:rsidRPr="00493B93" w:rsidRDefault="00C97824" w:rsidP="007F0361">
            <w:pPr>
              <w:snapToGrid w:val="0"/>
              <w:spacing w:after="0" w:line="360" w:lineRule="auto"/>
              <w:rPr>
                <w:rStyle w:val="apple-converted-space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W</w:t>
            </w:r>
            <w:r w:rsidR="008E0670" w:rsidRPr="00493B93">
              <w:rPr>
                <w:rStyle w:val="apple-converted-space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eakly acid reflux episodes</w:t>
            </w:r>
          </w:p>
        </w:tc>
        <w:tc>
          <w:tcPr>
            <w:tcW w:w="2126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28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31</w:t>
            </w:r>
            <w:r w:rsidR="00BF554A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(3-143)</w:t>
            </w:r>
          </w:p>
        </w:tc>
        <w:tc>
          <w:tcPr>
            <w:tcW w:w="1985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22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20</w:t>
            </w:r>
            <w:r w:rsidR="00BF554A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(4-105)</w:t>
            </w:r>
          </w:p>
        </w:tc>
        <w:tc>
          <w:tcPr>
            <w:tcW w:w="1134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0.82</w:t>
            </w:r>
          </w:p>
        </w:tc>
      </w:tr>
      <w:tr w:rsidR="008E0670" w:rsidRPr="00493B93" w:rsidTr="00BF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7F0361">
            <w:pPr>
              <w:snapToGrid w:val="0"/>
              <w:spacing w:after="0" w:line="360" w:lineRule="auto"/>
              <w:rPr>
                <w:rStyle w:val="apple-converted-space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Time </w:t>
            </w:r>
            <w:r w:rsidR="00521FCE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of</w:t>
            </w: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pH</w:t>
            </w:r>
            <w:r w:rsidR="00872DD7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02210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&lt; </w:t>
            </w: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87FCD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3.6</w:t>
            </w:r>
            <w:r w:rsidR="00C97824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  <w:r w:rsidR="00087FCD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7.4</w:t>
            </w:r>
            <w:r w:rsidR="00C97824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</w:p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</w:t>
            </w:r>
            <w:r w:rsidR="00C97824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-35</w:t>
            </w:r>
            <w:r w:rsidR="00C97824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3.7</w:t>
            </w:r>
            <w:r w:rsidR="005155AE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5.5</w:t>
            </w:r>
            <w:r w:rsidR="005155AE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  <w:r w:rsidR="00BF554A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</w:t>
            </w:r>
            <w:r w:rsidR="005155AE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-22</w:t>
            </w:r>
            <w:r w:rsidR="005155AE" w:rsidRPr="00493B93">
              <w:rPr>
                <w:rStyle w:val="apple-style-span"/>
                <w:rFonts w:ascii="Book Antiqua" w:hAnsi="Book Antiqua"/>
                <w:color w:val="000000" w:themeColor="text1"/>
                <w:sz w:val="24"/>
                <w:szCs w:val="24"/>
              </w:rPr>
              <w:t>%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8E0670" w:rsidRPr="00493B93" w:rsidTr="00BF5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8E0670" w:rsidRPr="00493B93" w:rsidRDefault="008E0670" w:rsidP="007F0361">
            <w:pPr>
              <w:snapToGrid w:val="0"/>
              <w:spacing w:after="0" w:line="360" w:lineRule="auto"/>
              <w:rPr>
                <w:rStyle w:val="apple-converted-space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Longest episodes of acid reflux</w:t>
            </w:r>
          </w:p>
        </w:tc>
        <w:tc>
          <w:tcPr>
            <w:tcW w:w="2126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7.5 (0.14-25)</w:t>
            </w:r>
          </w:p>
        </w:tc>
        <w:tc>
          <w:tcPr>
            <w:tcW w:w="1985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11.7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21</w:t>
            </w:r>
            <w:r w:rsidR="00BF554A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(0-90)</w:t>
            </w:r>
          </w:p>
        </w:tc>
        <w:tc>
          <w:tcPr>
            <w:tcW w:w="1134" w:type="dxa"/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8E0670" w:rsidRPr="00493B93" w:rsidTr="00BF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E57D88" w:rsidP="007F0361">
            <w:pPr>
              <w:snapToGrid w:val="0"/>
              <w:spacing w:after="0" w:line="360" w:lineRule="auto"/>
              <w:rPr>
                <w:rStyle w:val="apple-style-span"/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DeMeester</w:t>
            </w:r>
            <w:proofErr w:type="spellEnd"/>
            <w:r w:rsidR="008E0670" w:rsidRPr="00493B93">
              <w:rPr>
                <w:rStyle w:val="apple-style-span"/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 score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87FCD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15.7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</w:t>
            </w:r>
            <w:r w:rsidR="00154878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BF554A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27.9</w:t>
            </w:r>
          </w:p>
          <w:p w:rsidR="008E0670" w:rsidRPr="00493B93" w:rsidRDefault="00BF554A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(0.2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-</w:t>
            </w:r>
            <w:r w:rsidR="008E0670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124)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87FCD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15.3</w:t>
            </w:r>
            <w:r w:rsidR="009E406B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21.09</w:t>
            </w:r>
          </w:p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(0.2-91)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0670" w:rsidRPr="00493B93" w:rsidRDefault="008E0670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485BB2" w:rsidRPr="00493B93" w:rsidTr="00BF5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485BB2" w:rsidRPr="00493B93" w:rsidRDefault="00485BB2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Pathologic acid reflux, 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n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%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85BB2" w:rsidRPr="00493B93" w:rsidRDefault="00485BB2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30.4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85BB2" w:rsidRPr="00493B93" w:rsidRDefault="00485BB2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9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39.1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5BB2" w:rsidRPr="00493B93" w:rsidRDefault="00EE0B99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0.7</w:t>
            </w:r>
          </w:p>
        </w:tc>
      </w:tr>
      <w:tr w:rsidR="00485BB2" w:rsidRPr="00493B93" w:rsidTr="00BF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85BB2" w:rsidRPr="00493B93" w:rsidRDefault="005C6318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Weakly </w:t>
            </w:r>
            <w:r w:rsidR="00485BB2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acid reflux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n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%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85BB2" w:rsidRPr="00493B93" w:rsidRDefault="00485BB2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9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39.1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85BB2" w:rsidRPr="00493B93" w:rsidRDefault="005C6318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26.1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C6318" w:rsidRPr="00493B93" w:rsidRDefault="00EE0B99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0.7</w:t>
            </w:r>
          </w:p>
        </w:tc>
      </w:tr>
      <w:tr w:rsidR="005C6318" w:rsidRPr="00493B93" w:rsidTr="00BF5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5C6318" w:rsidRPr="00493B93" w:rsidRDefault="005C6318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Fonts w:ascii="Book Antiqua" w:hAnsi="Book Antiqua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Weakly alkaline</w:t>
            </w: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reflux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n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%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C6318" w:rsidRPr="00493B93" w:rsidRDefault="005C6318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C6318" w:rsidRPr="00493B93" w:rsidRDefault="005C6318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4.3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C6318" w:rsidRPr="00493B93" w:rsidRDefault="005C6318" w:rsidP="00154878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EE0B99" w:rsidRPr="00493B93" w:rsidTr="00BF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EE0B99" w:rsidRPr="00493B93" w:rsidRDefault="00EE0B99" w:rsidP="007F0361">
            <w:pPr>
              <w:tabs>
                <w:tab w:val="left" w:pos="1365"/>
              </w:tabs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Normal impedance</w:t>
            </w:r>
            <w:r w:rsidR="005C6318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findings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n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%</w:t>
            </w:r>
            <w:r w:rsidR="005155AE" w:rsidRPr="00493B93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26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EE0B99" w:rsidRPr="00493B93" w:rsidRDefault="00EE0B99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30.4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EE0B99" w:rsidRPr="00493B93" w:rsidRDefault="00EE0B99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30.4</w:t>
            </w:r>
            <w:r w:rsidR="005155AE"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EE0B99" w:rsidRPr="00493B93" w:rsidRDefault="00EE0B99" w:rsidP="00154878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93B93">
              <w:rPr>
                <w:rStyle w:val="apple-converted-space"/>
                <w:rFonts w:ascii="Book Antiqua" w:hAnsi="Book Antiqua"/>
                <w:color w:val="000000" w:themeColor="text1"/>
                <w:sz w:val="24"/>
                <w:szCs w:val="24"/>
              </w:rPr>
              <w:t>0.7</w:t>
            </w:r>
          </w:p>
        </w:tc>
      </w:tr>
    </w:tbl>
    <w:p w:rsidR="00C97824" w:rsidRPr="00493B93" w:rsidRDefault="009E406B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± </w:t>
      </w:r>
      <w:r w:rsidR="008E067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Mann</w:t>
      </w:r>
      <w:proofErr w:type="gramEnd"/>
      <w:r w:rsidR="008E067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-Whitney </w:t>
      </w:r>
      <w:r w:rsidR="008E0670" w:rsidRPr="00493B93">
        <w:rPr>
          <w:rFonts w:ascii="Book Antiqua" w:hAnsi="Book Antiqua" w:cs="Times New Roman"/>
          <w:i/>
          <w:color w:val="000000" w:themeColor="text1"/>
          <w:sz w:val="24"/>
          <w:szCs w:val="24"/>
        </w:rPr>
        <w:t>U</w:t>
      </w:r>
      <w:r w:rsidR="008E0670" w:rsidRPr="00493B9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</w:t>
      </w:r>
      <w:r w:rsidR="00C97824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. </w:t>
      </w:r>
      <w:r w:rsidR="00C97824" w:rsidRPr="00493B93">
        <w:rPr>
          <w:rFonts w:ascii="Book Antiqua" w:hAnsi="Book Antiqua" w:cs="Times New Roman"/>
          <w:color w:val="000000" w:themeColor="text1"/>
          <w:sz w:val="24"/>
          <w:szCs w:val="24"/>
        </w:rPr>
        <w:t>BMI</w:t>
      </w:r>
      <w:r w:rsidR="00C97824" w:rsidRPr="00493B93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: Body mass index.</w:t>
      </w:r>
    </w:p>
    <w:p w:rsidR="008E0670" w:rsidRPr="00493B93" w:rsidRDefault="008E0670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8E0670" w:rsidRPr="00493B93" w:rsidRDefault="008E0670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93B93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br/>
      </w:r>
    </w:p>
    <w:p w:rsidR="008E0670" w:rsidRPr="00493B93" w:rsidRDefault="008E0670" w:rsidP="007F0361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493B93" w:rsidRPr="00493B93" w:rsidRDefault="00493B93">
      <w:pPr>
        <w:tabs>
          <w:tab w:val="left" w:pos="1365"/>
        </w:tabs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493B93" w:rsidRPr="00493B93" w:rsidSect="00726C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19" w:rsidRDefault="00145019" w:rsidP="007E473B">
      <w:pPr>
        <w:spacing w:after="0" w:line="240" w:lineRule="auto"/>
      </w:pPr>
      <w:r>
        <w:separator/>
      </w:r>
    </w:p>
  </w:endnote>
  <w:endnote w:type="continuationSeparator" w:id="0">
    <w:p w:rsidR="00145019" w:rsidRDefault="00145019" w:rsidP="007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2010600030101010101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93" w:rsidRDefault="0078411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47A">
      <w:rPr>
        <w:noProof/>
      </w:rPr>
      <w:t>15</w:t>
    </w:r>
    <w:r>
      <w:rPr>
        <w:noProof/>
      </w:rPr>
      <w:fldChar w:fldCharType="end"/>
    </w:r>
  </w:p>
  <w:p w:rsidR="00493B93" w:rsidRDefault="00493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19" w:rsidRDefault="00145019" w:rsidP="007E473B">
      <w:pPr>
        <w:spacing w:after="0" w:line="240" w:lineRule="auto"/>
      </w:pPr>
      <w:r>
        <w:separator/>
      </w:r>
    </w:p>
  </w:footnote>
  <w:footnote w:type="continuationSeparator" w:id="0">
    <w:p w:rsidR="00145019" w:rsidRDefault="00145019" w:rsidP="007E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E7"/>
    <w:multiLevelType w:val="hybridMultilevel"/>
    <w:tmpl w:val="284C56B2"/>
    <w:lvl w:ilvl="0" w:tplc="3EFA8A5E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4ED4"/>
    <w:multiLevelType w:val="hybridMultilevel"/>
    <w:tmpl w:val="F5D48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7EE6"/>
    <w:multiLevelType w:val="hybridMultilevel"/>
    <w:tmpl w:val="284C56B2"/>
    <w:lvl w:ilvl="0" w:tplc="3EFA8A5E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0DE8"/>
    <w:multiLevelType w:val="hybridMultilevel"/>
    <w:tmpl w:val="B11C1AF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1B26"/>
    <w:multiLevelType w:val="hybridMultilevel"/>
    <w:tmpl w:val="F5D48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DD1"/>
    <w:multiLevelType w:val="hybridMultilevel"/>
    <w:tmpl w:val="F5D48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693"/>
    <w:multiLevelType w:val="hybridMultilevel"/>
    <w:tmpl w:val="F5D48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D00D8"/>
    <w:multiLevelType w:val="hybridMultilevel"/>
    <w:tmpl w:val="F5D48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F313C"/>
    <w:multiLevelType w:val="hybridMultilevel"/>
    <w:tmpl w:val="F5D48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BC"/>
    <w:rsid w:val="00003DDD"/>
    <w:rsid w:val="00004084"/>
    <w:rsid w:val="000124B7"/>
    <w:rsid w:val="000128F1"/>
    <w:rsid w:val="00017920"/>
    <w:rsid w:val="000205BD"/>
    <w:rsid w:val="00021D08"/>
    <w:rsid w:val="00026888"/>
    <w:rsid w:val="00044B76"/>
    <w:rsid w:val="00046DC2"/>
    <w:rsid w:val="0005785D"/>
    <w:rsid w:val="00065134"/>
    <w:rsid w:val="0006516F"/>
    <w:rsid w:val="0007031D"/>
    <w:rsid w:val="00074CC1"/>
    <w:rsid w:val="00081EE7"/>
    <w:rsid w:val="000824E4"/>
    <w:rsid w:val="00087FCD"/>
    <w:rsid w:val="00094C20"/>
    <w:rsid w:val="00094EF4"/>
    <w:rsid w:val="0009612E"/>
    <w:rsid w:val="000964C2"/>
    <w:rsid w:val="000A2D8D"/>
    <w:rsid w:val="000A3385"/>
    <w:rsid w:val="000A796E"/>
    <w:rsid w:val="000A7E96"/>
    <w:rsid w:val="000B01B5"/>
    <w:rsid w:val="000B5DA2"/>
    <w:rsid w:val="000B7588"/>
    <w:rsid w:val="000C298A"/>
    <w:rsid w:val="000C5D89"/>
    <w:rsid w:val="000D3718"/>
    <w:rsid w:val="000D69D8"/>
    <w:rsid w:val="000F1B96"/>
    <w:rsid w:val="000F2D89"/>
    <w:rsid w:val="0010355B"/>
    <w:rsid w:val="00131515"/>
    <w:rsid w:val="001361AB"/>
    <w:rsid w:val="00142E15"/>
    <w:rsid w:val="00145019"/>
    <w:rsid w:val="001470A3"/>
    <w:rsid w:val="00147D99"/>
    <w:rsid w:val="00154878"/>
    <w:rsid w:val="0016022B"/>
    <w:rsid w:val="001811FA"/>
    <w:rsid w:val="00196AA0"/>
    <w:rsid w:val="001A08B9"/>
    <w:rsid w:val="001A41D3"/>
    <w:rsid w:val="001B4860"/>
    <w:rsid w:val="001C447A"/>
    <w:rsid w:val="001C44B1"/>
    <w:rsid w:val="001D2C5C"/>
    <w:rsid w:val="001E3235"/>
    <w:rsid w:val="001F42C4"/>
    <w:rsid w:val="001F6069"/>
    <w:rsid w:val="00210601"/>
    <w:rsid w:val="00214687"/>
    <w:rsid w:val="00223A1D"/>
    <w:rsid w:val="00223A88"/>
    <w:rsid w:val="002278A5"/>
    <w:rsid w:val="00230CA9"/>
    <w:rsid w:val="0023166E"/>
    <w:rsid w:val="00232BA6"/>
    <w:rsid w:val="00233750"/>
    <w:rsid w:val="0023772C"/>
    <w:rsid w:val="002503D4"/>
    <w:rsid w:val="002514F6"/>
    <w:rsid w:val="0025495E"/>
    <w:rsid w:val="00261419"/>
    <w:rsid w:val="0026617F"/>
    <w:rsid w:val="00267EAB"/>
    <w:rsid w:val="00271660"/>
    <w:rsid w:val="002736DB"/>
    <w:rsid w:val="002759AF"/>
    <w:rsid w:val="00287D19"/>
    <w:rsid w:val="002A6CE5"/>
    <w:rsid w:val="002B6FA2"/>
    <w:rsid w:val="002C1CE4"/>
    <w:rsid w:val="002C2F86"/>
    <w:rsid w:val="002C3EA1"/>
    <w:rsid w:val="002C674C"/>
    <w:rsid w:val="002D11DC"/>
    <w:rsid w:val="002E0527"/>
    <w:rsid w:val="002E3278"/>
    <w:rsid w:val="002F253C"/>
    <w:rsid w:val="00300E7B"/>
    <w:rsid w:val="00302210"/>
    <w:rsid w:val="00305AAA"/>
    <w:rsid w:val="00306FB3"/>
    <w:rsid w:val="00310956"/>
    <w:rsid w:val="003127AE"/>
    <w:rsid w:val="00321CEB"/>
    <w:rsid w:val="003254F2"/>
    <w:rsid w:val="003310B4"/>
    <w:rsid w:val="00337192"/>
    <w:rsid w:val="003471EF"/>
    <w:rsid w:val="00357CE8"/>
    <w:rsid w:val="0036235E"/>
    <w:rsid w:val="0036310A"/>
    <w:rsid w:val="00385207"/>
    <w:rsid w:val="003877DC"/>
    <w:rsid w:val="0039789C"/>
    <w:rsid w:val="003A64CC"/>
    <w:rsid w:val="003C4E0A"/>
    <w:rsid w:val="003D2936"/>
    <w:rsid w:val="003D4BE9"/>
    <w:rsid w:val="003F3424"/>
    <w:rsid w:val="003F39D3"/>
    <w:rsid w:val="003F5836"/>
    <w:rsid w:val="00403C74"/>
    <w:rsid w:val="0040491D"/>
    <w:rsid w:val="004068A9"/>
    <w:rsid w:val="00411B51"/>
    <w:rsid w:val="00412686"/>
    <w:rsid w:val="0041446B"/>
    <w:rsid w:val="004170FE"/>
    <w:rsid w:val="00422F14"/>
    <w:rsid w:val="00423A12"/>
    <w:rsid w:val="0042590D"/>
    <w:rsid w:val="00430D20"/>
    <w:rsid w:val="0044237B"/>
    <w:rsid w:val="00450A84"/>
    <w:rsid w:val="00455051"/>
    <w:rsid w:val="00457FAF"/>
    <w:rsid w:val="0046160B"/>
    <w:rsid w:val="00462579"/>
    <w:rsid w:val="0046517A"/>
    <w:rsid w:val="00477E7A"/>
    <w:rsid w:val="004827ED"/>
    <w:rsid w:val="00485BB2"/>
    <w:rsid w:val="00490E15"/>
    <w:rsid w:val="00493B93"/>
    <w:rsid w:val="00493D6E"/>
    <w:rsid w:val="004A3D61"/>
    <w:rsid w:val="004B7ACD"/>
    <w:rsid w:val="004C0D90"/>
    <w:rsid w:val="004D11AF"/>
    <w:rsid w:val="004D1F29"/>
    <w:rsid w:val="004D3E02"/>
    <w:rsid w:val="004D5779"/>
    <w:rsid w:val="004D6BA0"/>
    <w:rsid w:val="004E0834"/>
    <w:rsid w:val="004E2D88"/>
    <w:rsid w:val="00500CB6"/>
    <w:rsid w:val="00503C74"/>
    <w:rsid w:val="0050475B"/>
    <w:rsid w:val="0050750F"/>
    <w:rsid w:val="00507EC4"/>
    <w:rsid w:val="005155AE"/>
    <w:rsid w:val="00521FCE"/>
    <w:rsid w:val="00523837"/>
    <w:rsid w:val="00525425"/>
    <w:rsid w:val="005345F3"/>
    <w:rsid w:val="0054117F"/>
    <w:rsid w:val="00546370"/>
    <w:rsid w:val="00550EEC"/>
    <w:rsid w:val="00557726"/>
    <w:rsid w:val="00575AC9"/>
    <w:rsid w:val="00577F18"/>
    <w:rsid w:val="0058457B"/>
    <w:rsid w:val="0059096D"/>
    <w:rsid w:val="005A5B0F"/>
    <w:rsid w:val="005B2739"/>
    <w:rsid w:val="005C2507"/>
    <w:rsid w:val="005C5931"/>
    <w:rsid w:val="005C5D68"/>
    <w:rsid w:val="005C6318"/>
    <w:rsid w:val="005E4095"/>
    <w:rsid w:val="005E4197"/>
    <w:rsid w:val="005E5A68"/>
    <w:rsid w:val="005F0157"/>
    <w:rsid w:val="005F16A3"/>
    <w:rsid w:val="005F3B26"/>
    <w:rsid w:val="005F4A51"/>
    <w:rsid w:val="0060070A"/>
    <w:rsid w:val="00600BF0"/>
    <w:rsid w:val="00600C7A"/>
    <w:rsid w:val="006013C7"/>
    <w:rsid w:val="00602902"/>
    <w:rsid w:val="0060351C"/>
    <w:rsid w:val="00603754"/>
    <w:rsid w:val="006134F5"/>
    <w:rsid w:val="00613945"/>
    <w:rsid w:val="00613F20"/>
    <w:rsid w:val="00616956"/>
    <w:rsid w:val="00622F36"/>
    <w:rsid w:val="006250BE"/>
    <w:rsid w:val="00634083"/>
    <w:rsid w:val="00635EC7"/>
    <w:rsid w:val="0063718A"/>
    <w:rsid w:val="0064040E"/>
    <w:rsid w:val="00641128"/>
    <w:rsid w:val="00645205"/>
    <w:rsid w:val="006544D9"/>
    <w:rsid w:val="006666FA"/>
    <w:rsid w:val="0067025A"/>
    <w:rsid w:val="00676B94"/>
    <w:rsid w:val="00680CAB"/>
    <w:rsid w:val="0068471C"/>
    <w:rsid w:val="006855E3"/>
    <w:rsid w:val="006869D7"/>
    <w:rsid w:val="006915F7"/>
    <w:rsid w:val="006B5ED9"/>
    <w:rsid w:val="006D2EBB"/>
    <w:rsid w:val="006E565F"/>
    <w:rsid w:val="006F21BC"/>
    <w:rsid w:val="00707A8C"/>
    <w:rsid w:val="00707FE5"/>
    <w:rsid w:val="007106DF"/>
    <w:rsid w:val="007162A7"/>
    <w:rsid w:val="007231ED"/>
    <w:rsid w:val="007239E7"/>
    <w:rsid w:val="007254AB"/>
    <w:rsid w:val="00726C91"/>
    <w:rsid w:val="00737B91"/>
    <w:rsid w:val="00742A4C"/>
    <w:rsid w:val="00745670"/>
    <w:rsid w:val="00745681"/>
    <w:rsid w:val="00751CED"/>
    <w:rsid w:val="007524C8"/>
    <w:rsid w:val="00766064"/>
    <w:rsid w:val="0078411C"/>
    <w:rsid w:val="007918BD"/>
    <w:rsid w:val="0079457A"/>
    <w:rsid w:val="007A1A94"/>
    <w:rsid w:val="007A2969"/>
    <w:rsid w:val="007B09F5"/>
    <w:rsid w:val="007B3939"/>
    <w:rsid w:val="007C20F0"/>
    <w:rsid w:val="007C232D"/>
    <w:rsid w:val="007C3E8B"/>
    <w:rsid w:val="007C70BE"/>
    <w:rsid w:val="007C72CE"/>
    <w:rsid w:val="007E473B"/>
    <w:rsid w:val="007F0361"/>
    <w:rsid w:val="007F75E2"/>
    <w:rsid w:val="00803CA4"/>
    <w:rsid w:val="00814ADC"/>
    <w:rsid w:val="008206EE"/>
    <w:rsid w:val="00822081"/>
    <w:rsid w:val="00825717"/>
    <w:rsid w:val="008334A2"/>
    <w:rsid w:val="00833F15"/>
    <w:rsid w:val="00835931"/>
    <w:rsid w:val="00840D3F"/>
    <w:rsid w:val="008429CE"/>
    <w:rsid w:val="008431F6"/>
    <w:rsid w:val="00844A25"/>
    <w:rsid w:val="00844D5C"/>
    <w:rsid w:val="008576A0"/>
    <w:rsid w:val="00865C3E"/>
    <w:rsid w:val="008700F8"/>
    <w:rsid w:val="008706C3"/>
    <w:rsid w:val="00872DD7"/>
    <w:rsid w:val="00881687"/>
    <w:rsid w:val="00881C6C"/>
    <w:rsid w:val="00885EA4"/>
    <w:rsid w:val="00893B2B"/>
    <w:rsid w:val="008A0A62"/>
    <w:rsid w:val="008C4378"/>
    <w:rsid w:val="008C7E8A"/>
    <w:rsid w:val="008D04F9"/>
    <w:rsid w:val="008D29C5"/>
    <w:rsid w:val="008E0670"/>
    <w:rsid w:val="008E2690"/>
    <w:rsid w:val="008F05DF"/>
    <w:rsid w:val="00905B45"/>
    <w:rsid w:val="009074B5"/>
    <w:rsid w:val="00930886"/>
    <w:rsid w:val="00944944"/>
    <w:rsid w:val="009502B8"/>
    <w:rsid w:val="009515EE"/>
    <w:rsid w:val="009537D2"/>
    <w:rsid w:val="00963F40"/>
    <w:rsid w:val="00966779"/>
    <w:rsid w:val="00990E3E"/>
    <w:rsid w:val="00991713"/>
    <w:rsid w:val="009A6C51"/>
    <w:rsid w:val="009B20D7"/>
    <w:rsid w:val="009B7B80"/>
    <w:rsid w:val="009C70F7"/>
    <w:rsid w:val="009D1413"/>
    <w:rsid w:val="009E406B"/>
    <w:rsid w:val="009E60CD"/>
    <w:rsid w:val="009E7269"/>
    <w:rsid w:val="009E77CA"/>
    <w:rsid w:val="009E7DCC"/>
    <w:rsid w:val="00A019B5"/>
    <w:rsid w:val="00A03757"/>
    <w:rsid w:val="00A1042D"/>
    <w:rsid w:val="00A13F25"/>
    <w:rsid w:val="00A15781"/>
    <w:rsid w:val="00A21F4A"/>
    <w:rsid w:val="00A22F28"/>
    <w:rsid w:val="00A37439"/>
    <w:rsid w:val="00A539C8"/>
    <w:rsid w:val="00A55DD9"/>
    <w:rsid w:val="00A575E0"/>
    <w:rsid w:val="00A8598E"/>
    <w:rsid w:val="00A85A04"/>
    <w:rsid w:val="00A962CD"/>
    <w:rsid w:val="00AA3BB7"/>
    <w:rsid w:val="00AB4603"/>
    <w:rsid w:val="00AB6A00"/>
    <w:rsid w:val="00AB7757"/>
    <w:rsid w:val="00AC08EC"/>
    <w:rsid w:val="00AC7A2E"/>
    <w:rsid w:val="00AD184B"/>
    <w:rsid w:val="00AD69E8"/>
    <w:rsid w:val="00AE0D15"/>
    <w:rsid w:val="00AE10A4"/>
    <w:rsid w:val="00AE255D"/>
    <w:rsid w:val="00AE47B7"/>
    <w:rsid w:val="00AE653D"/>
    <w:rsid w:val="00AF7AFF"/>
    <w:rsid w:val="00B006A2"/>
    <w:rsid w:val="00B01BDC"/>
    <w:rsid w:val="00B11FFB"/>
    <w:rsid w:val="00B1400E"/>
    <w:rsid w:val="00B24DD2"/>
    <w:rsid w:val="00B2528C"/>
    <w:rsid w:val="00B25B89"/>
    <w:rsid w:val="00B453BF"/>
    <w:rsid w:val="00B47CCB"/>
    <w:rsid w:val="00B501E9"/>
    <w:rsid w:val="00B5495A"/>
    <w:rsid w:val="00B567B8"/>
    <w:rsid w:val="00B6529F"/>
    <w:rsid w:val="00B8054B"/>
    <w:rsid w:val="00B870EE"/>
    <w:rsid w:val="00BA1F16"/>
    <w:rsid w:val="00BA6652"/>
    <w:rsid w:val="00BB0251"/>
    <w:rsid w:val="00BB4A07"/>
    <w:rsid w:val="00BB4D3C"/>
    <w:rsid w:val="00BB6013"/>
    <w:rsid w:val="00BC2F5C"/>
    <w:rsid w:val="00BE0689"/>
    <w:rsid w:val="00BE2368"/>
    <w:rsid w:val="00BF42C4"/>
    <w:rsid w:val="00BF47E5"/>
    <w:rsid w:val="00BF4BAE"/>
    <w:rsid w:val="00BF554A"/>
    <w:rsid w:val="00BF7899"/>
    <w:rsid w:val="00C014D6"/>
    <w:rsid w:val="00C04005"/>
    <w:rsid w:val="00C32393"/>
    <w:rsid w:val="00C3380B"/>
    <w:rsid w:val="00C426FC"/>
    <w:rsid w:val="00C42D57"/>
    <w:rsid w:val="00C6539C"/>
    <w:rsid w:val="00C657AA"/>
    <w:rsid w:val="00C856BE"/>
    <w:rsid w:val="00C90301"/>
    <w:rsid w:val="00C97824"/>
    <w:rsid w:val="00C97E3D"/>
    <w:rsid w:val="00CA1F73"/>
    <w:rsid w:val="00CB3E41"/>
    <w:rsid w:val="00CC0F3E"/>
    <w:rsid w:val="00CC45B2"/>
    <w:rsid w:val="00CC4DCC"/>
    <w:rsid w:val="00CC6895"/>
    <w:rsid w:val="00CD0E6F"/>
    <w:rsid w:val="00CD3278"/>
    <w:rsid w:val="00CF46E7"/>
    <w:rsid w:val="00D009B1"/>
    <w:rsid w:val="00D03138"/>
    <w:rsid w:val="00D04B0F"/>
    <w:rsid w:val="00D15AEB"/>
    <w:rsid w:val="00D162F4"/>
    <w:rsid w:val="00D16E4D"/>
    <w:rsid w:val="00D20237"/>
    <w:rsid w:val="00D31E41"/>
    <w:rsid w:val="00D345F3"/>
    <w:rsid w:val="00D43A4C"/>
    <w:rsid w:val="00D51832"/>
    <w:rsid w:val="00D635EB"/>
    <w:rsid w:val="00D65988"/>
    <w:rsid w:val="00D75BF4"/>
    <w:rsid w:val="00D773E9"/>
    <w:rsid w:val="00D84663"/>
    <w:rsid w:val="00D860D2"/>
    <w:rsid w:val="00D97A63"/>
    <w:rsid w:val="00DA2F78"/>
    <w:rsid w:val="00DB0527"/>
    <w:rsid w:val="00DB22E3"/>
    <w:rsid w:val="00DC10D8"/>
    <w:rsid w:val="00DC2890"/>
    <w:rsid w:val="00DC71D8"/>
    <w:rsid w:val="00DD0A13"/>
    <w:rsid w:val="00DD2AAB"/>
    <w:rsid w:val="00DE40B7"/>
    <w:rsid w:val="00DE7A5F"/>
    <w:rsid w:val="00E00E93"/>
    <w:rsid w:val="00E048CD"/>
    <w:rsid w:val="00E112BD"/>
    <w:rsid w:val="00E12D4C"/>
    <w:rsid w:val="00E20F1C"/>
    <w:rsid w:val="00E2557A"/>
    <w:rsid w:val="00E27FF1"/>
    <w:rsid w:val="00E57D88"/>
    <w:rsid w:val="00E62932"/>
    <w:rsid w:val="00E73EAD"/>
    <w:rsid w:val="00E87C31"/>
    <w:rsid w:val="00E87CBC"/>
    <w:rsid w:val="00E87CE1"/>
    <w:rsid w:val="00E91720"/>
    <w:rsid w:val="00EC1C0D"/>
    <w:rsid w:val="00ED47C5"/>
    <w:rsid w:val="00EE0B99"/>
    <w:rsid w:val="00EE2B88"/>
    <w:rsid w:val="00EE4520"/>
    <w:rsid w:val="00EF28E1"/>
    <w:rsid w:val="00F01CB5"/>
    <w:rsid w:val="00F02002"/>
    <w:rsid w:val="00F03763"/>
    <w:rsid w:val="00F056C0"/>
    <w:rsid w:val="00F10708"/>
    <w:rsid w:val="00F16F9F"/>
    <w:rsid w:val="00F34338"/>
    <w:rsid w:val="00F3617D"/>
    <w:rsid w:val="00F452B0"/>
    <w:rsid w:val="00F464FF"/>
    <w:rsid w:val="00F6040F"/>
    <w:rsid w:val="00F74171"/>
    <w:rsid w:val="00F86CFE"/>
    <w:rsid w:val="00F877D3"/>
    <w:rsid w:val="00F91ADE"/>
    <w:rsid w:val="00F943CB"/>
    <w:rsid w:val="00FA348A"/>
    <w:rsid w:val="00FA5752"/>
    <w:rsid w:val="00FB1C15"/>
    <w:rsid w:val="00FB7A29"/>
    <w:rsid w:val="00FC1E98"/>
    <w:rsid w:val="00FF020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3"/>
    <w:pPr>
      <w:spacing w:after="200" w:line="276" w:lineRule="atLeast"/>
    </w:pPr>
    <w:rPr>
      <w:rFonts w:ascii="Calibri" w:hAnsi="Calibri" w:cs="Calibri"/>
      <w:sz w:val="22"/>
      <w:lang w:val="en-US" w:eastAsia="ja-JP"/>
    </w:rPr>
  </w:style>
  <w:style w:type="paragraph" w:styleId="1">
    <w:name w:val="heading 1"/>
    <w:basedOn w:val="a"/>
    <w:link w:val="Balk1Char"/>
    <w:uiPriority w:val="9"/>
    <w:qFormat/>
    <w:rsid w:val="007C72C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3">
    <w:name w:val="heading 3"/>
    <w:basedOn w:val="a"/>
    <w:next w:val="a"/>
    <w:link w:val="Balk3Char"/>
    <w:uiPriority w:val="9"/>
    <w:semiHidden/>
    <w:unhideWhenUsed/>
    <w:qFormat/>
    <w:rsid w:val="000B5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Balk4Char"/>
    <w:uiPriority w:val="9"/>
    <w:semiHidden/>
    <w:unhideWhenUsed/>
    <w:qFormat/>
    <w:rsid w:val="000B5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57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470A3"/>
    <w:pPr>
      <w:spacing w:after="0" w:line="240" w:lineRule="auto"/>
    </w:pPr>
    <w:rPr>
      <w:sz w:val="24"/>
    </w:rPr>
  </w:style>
  <w:style w:type="character" w:customStyle="1" w:styleId="apple-style-span">
    <w:name w:val="apple-style-span"/>
    <w:basedOn w:val="a0"/>
    <w:rsid w:val="004068A9"/>
    <w:rPr>
      <w:rFonts w:cs="Times New Roman"/>
    </w:rPr>
  </w:style>
  <w:style w:type="paragraph" w:styleId="a5">
    <w:name w:val="header"/>
    <w:basedOn w:val="a"/>
    <w:link w:val="stbilgiChar"/>
    <w:uiPriority w:val="99"/>
    <w:unhideWhenUsed/>
    <w:rsid w:val="007E4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a0"/>
    <w:link w:val="a5"/>
    <w:uiPriority w:val="99"/>
    <w:rsid w:val="007E473B"/>
    <w:rPr>
      <w:rFonts w:ascii="Calibri" w:hAnsi="Calibri" w:cs="Calibri"/>
      <w:sz w:val="22"/>
      <w:lang w:val="en-US" w:eastAsia="ja-JP"/>
    </w:rPr>
  </w:style>
  <w:style w:type="paragraph" w:styleId="a6">
    <w:name w:val="footer"/>
    <w:basedOn w:val="a"/>
    <w:link w:val="AltbilgiChar"/>
    <w:uiPriority w:val="99"/>
    <w:unhideWhenUsed/>
    <w:rsid w:val="007E4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a0"/>
    <w:link w:val="a6"/>
    <w:uiPriority w:val="99"/>
    <w:rsid w:val="007E473B"/>
    <w:rPr>
      <w:rFonts w:ascii="Calibri" w:hAnsi="Calibri" w:cs="Calibri"/>
      <w:sz w:val="22"/>
      <w:lang w:val="en-US" w:eastAsia="ja-JP"/>
    </w:rPr>
  </w:style>
  <w:style w:type="character" w:styleId="a7">
    <w:name w:val="Hyperlink"/>
    <w:basedOn w:val="a0"/>
    <w:unhideWhenUsed/>
    <w:rsid w:val="00D75BF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84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a0"/>
    <w:rsid w:val="008C7E8A"/>
    <w:rPr>
      <w:rFonts w:cs="Times New Roman"/>
    </w:rPr>
  </w:style>
  <w:style w:type="table" w:styleId="a9">
    <w:name w:val="Table Grid"/>
    <w:basedOn w:val="a1"/>
    <w:uiPriority w:val="59"/>
    <w:rsid w:val="00D04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">
    <w:name w:val="Açık Gölgeleme - Vurgu 11"/>
    <w:basedOn w:val="a1"/>
    <w:uiPriority w:val="60"/>
    <w:rsid w:val="004D6B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1">
    <w:name w:val="Orta Gölgeleme 11"/>
    <w:basedOn w:val="a1"/>
    <w:uiPriority w:val="63"/>
    <w:rsid w:val="00BF42C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1">
    <w:name w:val="Açık Kılavuz1"/>
    <w:basedOn w:val="a1"/>
    <w:uiPriority w:val="62"/>
    <w:rsid w:val="00BF42C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Liste11">
    <w:name w:val="Orta Liste 11"/>
    <w:basedOn w:val="a1"/>
    <w:uiPriority w:val="65"/>
    <w:rsid w:val="00BF42C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Glgeleme1">
    <w:name w:val="Açık Gölgeleme1"/>
    <w:basedOn w:val="a1"/>
    <w:uiPriority w:val="60"/>
    <w:rsid w:val="00BF42C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k1Char">
    <w:name w:val="Başlık 1 Char"/>
    <w:basedOn w:val="a0"/>
    <w:link w:val="1"/>
    <w:uiPriority w:val="9"/>
    <w:rsid w:val="007C72CE"/>
    <w:rPr>
      <w:rFonts w:ascii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477E7A"/>
  </w:style>
  <w:style w:type="paragraph" w:styleId="aa">
    <w:name w:val="List Paragraph"/>
    <w:basedOn w:val="a"/>
    <w:uiPriority w:val="34"/>
    <w:qFormat/>
    <w:rsid w:val="00575AC9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233750"/>
  </w:style>
  <w:style w:type="character" w:customStyle="1" w:styleId="citation">
    <w:name w:val="citation"/>
    <w:basedOn w:val="a0"/>
    <w:rsid w:val="00CF46E7"/>
  </w:style>
  <w:style w:type="character" w:customStyle="1" w:styleId="printonly">
    <w:name w:val="printonly"/>
    <w:basedOn w:val="a0"/>
    <w:rsid w:val="00CF46E7"/>
  </w:style>
  <w:style w:type="character" w:customStyle="1" w:styleId="reference-accessdate">
    <w:name w:val="reference-accessdate"/>
    <w:basedOn w:val="a0"/>
    <w:rsid w:val="00CF46E7"/>
  </w:style>
  <w:style w:type="character" w:customStyle="1" w:styleId="Balk3Char">
    <w:name w:val="Başlık 3 Char"/>
    <w:basedOn w:val="a0"/>
    <w:link w:val="3"/>
    <w:uiPriority w:val="9"/>
    <w:semiHidden/>
    <w:rsid w:val="000B5DA2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ja-JP"/>
    </w:rPr>
  </w:style>
  <w:style w:type="character" w:customStyle="1" w:styleId="Balk4Char">
    <w:name w:val="Başlık 4 Char"/>
    <w:basedOn w:val="a0"/>
    <w:link w:val="4"/>
    <w:uiPriority w:val="9"/>
    <w:semiHidden/>
    <w:rsid w:val="000B5D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ja-JP"/>
    </w:rPr>
  </w:style>
  <w:style w:type="character" w:customStyle="1" w:styleId="jrnl">
    <w:name w:val="jrnl"/>
    <w:basedOn w:val="a0"/>
    <w:rsid w:val="00DD0A13"/>
  </w:style>
  <w:style w:type="paragraph" w:customStyle="1" w:styleId="desc2">
    <w:name w:val="desc2"/>
    <w:basedOn w:val="a"/>
    <w:rsid w:val="0064040E"/>
    <w:pPr>
      <w:spacing w:after="0" w:line="240" w:lineRule="auto"/>
      <w:jc w:val="left"/>
    </w:pPr>
    <w:rPr>
      <w:rFonts w:ascii="Times New Roman" w:hAnsi="Times New Roman" w:cs="Times New Roman"/>
      <w:sz w:val="26"/>
      <w:szCs w:val="26"/>
      <w:lang w:val="tr-TR" w:eastAsia="tr-TR"/>
    </w:rPr>
  </w:style>
  <w:style w:type="character" w:styleId="ac">
    <w:name w:val="annotation reference"/>
    <w:basedOn w:val="a0"/>
    <w:uiPriority w:val="99"/>
    <w:semiHidden/>
    <w:unhideWhenUsed/>
    <w:rsid w:val="009E7DCC"/>
    <w:rPr>
      <w:sz w:val="16"/>
      <w:szCs w:val="16"/>
    </w:rPr>
  </w:style>
  <w:style w:type="paragraph" w:styleId="ad">
    <w:name w:val="annotation text"/>
    <w:basedOn w:val="a"/>
    <w:link w:val="AklamaMetniChar"/>
    <w:uiPriority w:val="99"/>
    <w:unhideWhenUsed/>
    <w:rsid w:val="009E7DCC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a0"/>
    <w:link w:val="ad"/>
    <w:uiPriority w:val="99"/>
    <w:semiHidden/>
    <w:rsid w:val="009E7DCC"/>
    <w:rPr>
      <w:rFonts w:ascii="Calibri" w:hAnsi="Calibri" w:cs="Calibri"/>
      <w:lang w:val="en-US" w:eastAsia="ja-JP"/>
    </w:rPr>
  </w:style>
  <w:style w:type="paragraph" w:styleId="ae">
    <w:name w:val="annotation subject"/>
    <w:basedOn w:val="ad"/>
    <w:next w:val="ad"/>
    <w:link w:val="AklamaKonusuChar"/>
    <w:uiPriority w:val="99"/>
    <w:semiHidden/>
    <w:unhideWhenUsed/>
    <w:rsid w:val="009E7DCC"/>
    <w:rPr>
      <w:b/>
      <w:bCs/>
    </w:rPr>
  </w:style>
  <w:style w:type="character" w:customStyle="1" w:styleId="AklamaKonusuChar">
    <w:name w:val="Açıklama Konusu Char"/>
    <w:basedOn w:val="AklamaMetniChar"/>
    <w:link w:val="ae"/>
    <w:uiPriority w:val="99"/>
    <w:semiHidden/>
    <w:rsid w:val="009E7DCC"/>
    <w:rPr>
      <w:rFonts w:ascii="Calibri" w:hAnsi="Calibri" w:cs="Calibri"/>
      <w:b/>
      <w:bCs/>
      <w:lang w:val="en-US" w:eastAsia="ja-JP"/>
    </w:rPr>
  </w:style>
  <w:style w:type="character" w:customStyle="1" w:styleId="Char1">
    <w:name w:val="批注文字 Char1"/>
    <w:basedOn w:val="a0"/>
    <w:semiHidden/>
    <w:rsid w:val="009E406B"/>
    <w:rPr>
      <w:rFonts w:eastAsia="Simsun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3"/>
    <w:pPr>
      <w:spacing w:after="200" w:line="276" w:lineRule="atLeast"/>
    </w:pPr>
    <w:rPr>
      <w:rFonts w:ascii="Calibri" w:hAnsi="Calibri" w:cs="Calibri"/>
      <w:sz w:val="22"/>
      <w:lang w:val="en-US" w:eastAsia="ja-JP"/>
    </w:rPr>
  </w:style>
  <w:style w:type="paragraph" w:styleId="1">
    <w:name w:val="heading 1"/>
    <w:basedOn w:val="a"/>
    <w:link w:val="Balk1Char"/>
    <w:uiPriority w:val="9"/>
    <w:qFormat/>
    <w:rsid w:val="007C72C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3">
    <w:name w:val="heading 3"/>
    <w:basedOn w:val="a"/>
    <w:next w:val="a"/>
    <w:link w:val="Balk3Char"/>
    <w:uiPriority w:val="9"/>
    <w:semiHidden/>
    <w:unhideWhenUsed/>
    <w:qFormat/>
    <w:rsid w:val="000B5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Balk4Char"/>
    <w:uiPriority w:val="9"/>
    <w:semiHidden/>
    <w:unhideWhenUsed/>
    <w:qFormat/>
    <w:rsid w:val="000B5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57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470A3"/>
    <w:pPr>
      <w:spacing w:after="0" w:line="240" w:lineRule="auto"/>
    </w:pPr>
    <w:rPr>
      <w:sz w:val="24"/>
    </w:rPr>
  </w:style>
  <w:style w:type="character" w:customStyle="1" w:styleId="apple-style-span">
    <w:name w:val="apple-style-span"/>
    <w:basedOn w:val="a0"/>
    <w:rsid w:val="004068A9"/>
    <w:rPr>
      <w:rFonts w:cs="Times New Roman"/>
    </w:rPr>
  </w:style>
  <w:style w:type="paragraph" w:styleId="a5">
    <w:name w:val="header"/>
    <w:basedOn w:val="a"/>
    <w:link w:val="stbilgiChar"/>
    <w:uiPriority w:val="99"/>
    <w:unhideWhenUsed/>
    <w:rsid w:val="007E4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a0"/>
    <w:link w:val="a5"/>
    <w:uiPriority w:val="99"/>
    <w:rsid w:val="007E473B"/>
    <w:rPr>
      <w:rFonts w:ascii="Calibri" w:hAnsi="Calibri" w:cs="Calibri"/>
      <w:sz w:val="22"/>
      <w:lang w:val="en-US" w:eastAsia="ja-JP"/>
    </w:rPr>
  </w:style>
  <w:style w:type="paragraph" w:styleId="a6">
    <w:name w:val="footer"/>
    <w:basedOn w:val="a"/>
    <w:link w:val="AltbilgiChar"/>
    <w:uiPriority w:val="99"/>
    <w:unhideWhenUsed/>
    <w:rsid w:val="007E4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a0"/>
    <w:link w:val="a6"/>
    <w:uiPriority w:val="99"/>
    <w:rsid w:val="007E473B"/>
    <w:rPr>
      <w:rFonts w:ascii="Calibri" w:hAnsi="Calibri" w:cs="Calibri"/>
      <w:sz w:val="22"/>
      <w:lang w:val="en-US" w:eastAsia="ja-JP"/>
    </w:rPr>
  </w:style>
  <w:style w:type="character" w:styleId="a7">
    <w:name w:val="Hyperlink"/>
    <w:basedOn w:val="a0"/>
    <w:unhideWhenUsed/>
    <w:rsid w:val="00D75BF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84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a0"/>
    <w:rsid w:val="008C7E8A"/>
    <w:rPr>
      <w:rFonts w:cs="Times New Roman"/>
    </w:rPr>
  </w:style>
  <w:style w:type="table" w:styleId="a9">
    <w:name w:val="Table Grid"/>
    <w:basedOn w:val="a1"/>
    <w:uiPriority w:val="59"/>
    <w:rsid w:val="00D04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">
    <w:name w:val="Açık Gölgeleme - Vurgu 11"/>
    <w:basedOn w:val="a1"/>
    <w:uiPriority w:val="60"/>
    <w:rsid w:val="004D6B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1">
    <w:name w:val="Orta Gölgeleme 11"/>
    <w:basedOn w:val="a1"/>
    <w:uiPriority w:val="63"/>
    <w:rsid w:val="00BF42C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1">
    <w:name w:val="Açık Kılavuz1"/>
    <w:basedOn w:val="a1"/>
    <w:uiPriority w:val="62"/>
    <w:rsid w:val="00BF42C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Liste11">
    <w:name w:val="Orta Liste 11"/>
    <w:basedOn w:val="a1"/>
    <w:uiPriority w:val="65"/>
    <w:rsid w:val="00BF42C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Glgeleme1">
    <w:name w:val="Açık Gölgeleme1"/>
    <w:basedOn w:val="a1"/>
    <w:uiPriority w:val="60"/>
    <w:rsid w:val="00BF42C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k1Char">
    <w:name w:val="Başlık 1 Char"/>
    <w:basedOn w:val="a0"/>
    <w:link w:val="1"/>
    <w:uiPriority w:val="9"/>
    <w:rsid w:val="007C72CE"/>
    <w:rPr>
      <w:rFonts w:ascii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477E7A"/>
  </w:style>
  <w:style w:type="paragraph" w:styleId="aa">
    <w:name w:val="List Paragraph"/>
    <w:basedOn w:val="a"/>
    <w:uiPriority w:val="34"/>
    <w:qFormat/>
    <w:rsid w:val="00575AC9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233750"/>
  </w:style>
  <w:style w:type="character" w:customStyle="1" w:styleId="citation">
    <w:name w:val="citation"/>
    <w:basedOn w:val="a0"/>
    <w:rsid w:val="00CF46E7"/>
  </w:style>
  <w:style w:type="character" w:customStyle="1" w:styleId="printonly">
    <w:name w:val="printonly"/>
    <w:basedOn w:val="a0"/>
    <w:rsid w:val="00CF46E7"/>
  </w:style>
  <w:style w:type="character" w:customStyle="1" w:styleId="reference-accessdate">
    <w:name w:val="reference-accessdate"/>
    <w:basedOn w:val="a0"/>
    <w:rsid w:val="00CF46E7"/>
  </w:style>
  <w:style w:type="character" w:customStyle="1" w:styleId="Balk3Char">
    <w:name w:val="Başlık 3 Char"/>
    <w:basedOn w:val="a0"/>
    <w:link w:val="3"/>
    <w:uiPriority w:val="9"/>
    <w:semiHidden/>
    <w:rsid w:val="000B5DA2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ja-JP"/>
    </w:rPr>
  </w:style>
  <w:style w:type="character" w:customStyle="1" w:styleId="Balk4Char">
    <w:name w:val="Başlık 4 Char"/>
    <w:basedOn w:val="a0"/>
    <w:link w:val="4"/>
    <w:uiPriority w:val="9"/>
    <w:semiHidden/>
    <w:rsid w:val="000B5D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ja-JP"/>
    </w:rPr>
  </w:style>
  <w:style w:type="character" w:customStyle="1" w:styleId="jrnl">
    <w:name w:val="jrnl"/>
    <w:basedOn w:val="a0"/>
    <w:rsid w:val="00DD0A13"/>
  </w:style>
  <w:style w:type="paragraph" w:customStyle="1" w:styleId="desc2">
    <w:name w:val="desc2"/>
    <w:basedOn w:val="a"/>
    <w:rsid w:val="0064040E"/>
    <w:pPr>
      <w:spacing w:after="0" w:line="240" w:lineRule="auto"/>
      <w:jc w:val="left"/>
    </w:pPr>
    <w:rPr>
      <w:rFonts w:ascii="Times New Roman" w:hAnsi="Times New Roman" w:cs="Times New Roman"/>
      <w:sz w:val="26"/>
      <w:szCs w:val="26"/>
      <w:lang w:val="tr-TR" w:eastAsia="tr-TR"/>
    </w:rPr>
  </w:style>
  <w:style w:type="character" w:styleId="ac">
    <w:name w:val="annotation reference"/>
    <w:basedOn w:val="a0"/>
    <w:uiPriority w:val="99"/>
    <w:semiHidden/>
    <w:unhideWhenUsed/>
    <w:rsid w:val="009E7DCC"/>
    <w:rPr>
      <w:sz w:val="16"/>
      <w:szCs w:val="16"/>
    </w:rPr>
  </w:style>
  <w:style w:type="paragraph" w:styleId="ad">
    <w:name w:val="annotation text"/>
    <w:basedOn w:val="a"/>
    <w:link w:val="AklamaMetniChar"/>
    <w:uiPriority w:val="99"/>
    <w:unhideWhenUsed/>
    <w:rsid w:val="009E7DCC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a0"/>
    <w:link w:val="ad"/>
    <w:uiPriority w:val="99"/>
    <w:semiHidden/>
    <w:rsid w:val="009E7DCC"/>
    <w:rPr>
      <w:rFonts w:ascii="Calibri" w:hAnsi="Calibri" w:cs="Calibri"/>
      <w:lang w:val="en-US" w:eastAsia="ja-JP"/>
    </w:rPr>
  </w:style>
  <w:style w:type="paragraph" w:styleId="ae">
    <w:name w:val="annotation subject"/>
    <w:basedOn w:val="ad"/>
    <w:next w:val="ad"/>
    <w:link w:val="AklamaKonusuChar"/>
    <w:uiPriority w:val="99"/>
    <w:semiHidden/>
    <w:unhideWhenUsed/>
    <w:rsid w:val="009E7DCC"/>
    <w:rPr>
      <w:b/>
      <w:bCs/>
    </w:rPr>
  </w:style>
  <w:style w:type="character" w:customStyle="1" w:styleId="AklamaKonusuChar">
    <w:name w:val="Açıklama Konusu Char"/>
    <w:basedOn w:val="AklamaMetniChar"/>
    <w:link w:val="ae"/>
    <w:uiPriority w:val="99"/>
    <w:semiHidden/>
    <w:rsid w:val="009E7DCC"/>
    <w:rPr>
      <w:rFonts w:ascii="Calibri" w:hAnsi="Calibri" w:cs="Calibri"/>
      <w:b/>
      <w:bCs/>
      <w:lang w:val="en-US" w:eastAsia="ja-JP"/>
    </w:rPr>
  </w:style>
  <w:style w:type="character" w:customStyle="1" w:styleId="Char1">
    <w:name w:val="批注文字 Char1"/>
    <w:basedOn w:val="a0"/>
    <w:semiHidden/>
    <w:rsid w:val="009E406B"/>
    <w:rPr>
      <w:rFonts w:eastAsia="Simsu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79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11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7217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202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4133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6146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014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16480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816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674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621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26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977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830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3798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949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374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32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28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64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9189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3957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9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31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858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OBEZÝTE REFLÜYÜ ARTTIRIYOR</vt:lpstr>
    </vt:vector>
  </TitlesOfParts>
  <Company>-</Company>
  <LinksUpToDate>false</LinksUpToDate>
  <CharactersWithSpaces>22827</CharactersWithSpaces>
  <SharedDoc>false</SharedDoc>
  <HLinks>
    <vt:vector size="78" baseType="variant">
      <vt:variant>
        <vt:i4>22151184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http://www.ncbi.nlm.nih.gov/pubmed?term=Juliane%20M.E.%20Schneider%20%26%20Bj%C3%B6rn%20L.D.M.%20Br%C3%BCcher%20%20Impedance%20and%20morbid%20obesity</vt:lpwstr>
      </vt:variant>
      <vt:variant>
        <vt:lpwstr/>
      </vt:variant>
      <vt:variant>
        <vt:i4>2162766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http://www.ncbi.nlm.nih.gov/pubmed?term=Schneider%20JH%5BAuthor%5D&amp;cauthor=true&amp;cauthor_uid=18648896</vt:lpwstr>
      </vt:variant>
      <vt:variant>
        <vt:lpwstr/>
      </vt:variant>
      <vt:variant>
        <vt:i4>7143489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http://www.ncbi.nlm.nih.gov/pubmed?term=K%C3%B6nigsrainer%20A%5BAuthor%5D&amp;cauthor=true&amp;cauthor_uid=18648896</vt:lpwstr>
      </vt:variant>
      <vt:variant>
        <vt:lpwstr/>
      </vt:variant>
      <vt:variant>
        <vt:i4>786478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http://www.ncbi.nlm.nih.gov/pubmed?term=Saemann%20K%5BAuthor%5D&amp;cauthor=true&amp;cauthor_uid=18648896</vt:lpwstr>
      </vt:variant>
      <vt:variant>
        <vt:lpwstr/>
      </vt:variant>
      <vt:variant>
        <vt:i4>7602240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http://www.ncbi.nlm.nih.gov/pubmed?term=K%C3%BCper%20M%5BAuthor%5D&amp;cauthor=true&amp;cauthor_uid=18648896</vt:lpwstr>
      </vt:variant>
      <vt:variant>
        <vt:lpwstr/>
      </vt:variant>
      <vt:variant>
        <vt:i4>6684679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http://www.ncbi.nlm.nih.gov/pubmed?term=Br%C3%BCcher%20BL%5BAuthor%5D&amp;cauthor=true&amp;cauthor_uid=18648896</vt:lpwstr>
      </vt:variant>
      <vt:variant>
        <vt:lpwstr/>
      </vt:variant>
      <vt:variant>
        <vt:i4>2359374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http://www.ncbi.nlm.nih.gov/pubmed?term=Schneider%20JM%5BAuthor%5D&amp;cauthor=true&amp;cauthor_uid=18648896</vt:lpwstr>
      </vt:variant>
      <vt:variant>
        <vt:lpwstr/>
      </vt:variant>
      <vt:variant>
        <vt:i4>655471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http://www.ncbi.nlm.nih.gov/pubmed?term=Hila%20A%5BAuthor%5D&amp;cauthor=true&amp;cauthor_uid=22451118</vt:lpwstr>
      </vt:variant>
      <vt:variant>
        <vt:lpwstr/>
      </vt:variant>
      <vt:variant>
        <vt:i4>1048620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http://www.ncbi.nlm.nih.gov/pubmed?term=Rackett%20R%5BAuthor%5D&amp;cauthor=true&amp;cauthor_uid=22451118</vt:lpwstr>
      </vt:variant>
      <vt:variant>
        <vt:lpwstr/>
      </vt:variant>
      <vt:variant>
        <vt:i4>393318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http://www.ncbi.nlm.nih.gov/pubmed?term=Ghomrawi%20H%5BAuthor%5D&amp;cauthor=true&amp;cauthor_uid=22451118</vt:lpwstr>
      </vt:variant>
      <vt:variant>
        <vt:lpwstr/>
      </vt:variant>
      <vt:variant>
        <vt:i4>5374001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http://www.ncbi.nlm.nih.gov/pubmed?term=Castell%20DO%5BAuthor%5D&amp;cauthor=true&amp;cauthor_uid=22451118</vt:lpwstr>
      </vt:variant>
      <vt:variant>
        <vt:lpwstr/>
      </vt:variant>
      <vt:variant>
        <vt:i4>7209024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http://www.ncbi.nlm.nih.gov/pubmed?term=Hajar%20N%5BAuthor%5D&amp;cauthor=true&amp;cauthor_uid=22451118</vt:lpwstr>
      </vt:variant>
      <vt:variant>
        <vt:lpwstr/>
      </vt:variant>
      <vt:variant>
        <vt:i4>7864367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http://ssrn.com/abstract=994229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OBEZÝTE REFLÜYÜ ARTTIRIYOR</dc:title>
  <dc:creator>WINDOWS</dc:creator>
  <cp:lastModifiedBy>LS Ma</cp:lastModifiedBy>
  <cp:revision>2</cp:revision>
  <cp:lastPrinted>2009-08-30T05:26:00Z</cp:lastPrinted>
  <dcterms:created xsi:type="dcterms:W3CDTF">2014-11-07T20:39:00Z</dcterms:created>
  <dcterms:modified xsi:type="dcterms:W3CDTF">2014-11-07T20:39:00Z</dcterms:modified>
</cp:coreProperties>
</file>