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3F" w:rsidRPr="00112AEF" w:rsidRDefault="00AD473F" w:rsidP="002F5E25">
      <w:pPr>
        <w:adjustRightInd w:val="0"/>
        <w:snapToGrid w:val="0"/>
        <w:spacing w:line="360" w:lineRule="auto"/>
        <w:jc w:val="both"/>
        <w:rPr>
          <w:rFonts w:ascii="Book Antiqua" w:hAnsi="Book Antiqua"/>
          <w:b/>
          <w:lang w:val="en-GB" w:eastAsia="zh-CN"/>
        </w:rPr>
      </w:pPr>
      <w:bookmarkStart w:id="0" w:name="OLE_LINK19"/>
      <w:bookmarkStart w:id="1" w:name="OLE_LINK20"/>
      <w:bookmarkStart w:id="2" w:name="_ENREF_3"/>
      <w:r w:rsidRPr="00112AEF">
        <w:rPr>
          <w:rFonts w:ascii="Book Antiqua" w:eastAsia="BatangChe" w:hAnsi="Book Antiqua"/>
          <w:b/>
          <w:lang w:val="en-GB" w:eastAsia="ja-JP"/>
        </w:rPr>
        <w:t>Name of journal: World Journal of Hepatology</w:t>
      </w:r>
    </w:p>
    <w:p w:rsidR="00AD473F" w:rsidRPr="00112AEF" w:rsidRDefault="00AD473F" w:rsidP="002F5E25">
      <w:pPr>
        <w:adjustRightInd w:val="0"/>
        <w:snapToGrid w:val="0"/>
        <w:spacing w:line="360" w:lineRule="auto"/>
        <w:jc w:val="both"/>
        <w:rPr>
          <w:rFonts w:ascii="Book Antiqua" w:hAnsi="Book Antiqua"/>
          <w:b/>
          <w:lang w:val="en-GB" w:eastAsia="ja-JP"/>
        </w:rPr>
      </w:pPr>
      <w:r w:rsidRPr="00112AEF">
        <w:rPr>
          <w:rFonts w:ascii="Book Antiqua" w:eastAsia="BatangChe" w:hAnsi="Book Antiqua"/>
          <w:b/>
          <w:lang w:val="en-GB" w:eastAsia="ja-JP"/>
        </w:rPr>
        <w:t>ESPS Manuscript NO:</w:t>
      </w:r>
      <w:r w:rsidRPr="00112AEF">
        <w:rPr>
          <w:rFonts w:ascii="Book Antiqua" w:hAnsi="Book Antiqua"/>
          <w:b/>
          <w:lang w:val="en-GB" w:eastAsia="ja-JP"/>
        </w:rPr>
        <w:t xml:space="preserve"> 11345</w:t>
      </w:r>
    </w:p>
    <w:p w:rsidR="00AD473F" w:rsidRPr="00112AEF" w:rsidRDefault="00AD473F" w:rsidP="002F5E25">
      <w:pPr>
        <w:spacing w:line="360" w:lineRule="auto"/>
        <w:jc w:val="both"/>
        <w:rPr>
          <w:rFonts w:ascii="Book Antiqua" w:hAnsi="Book Antiqua"/>
          <w:b/>
          <w:lang w:val="en-GB" w:eastAsia="zh-CN"/>
        </w:rPr>
      </w:pPr>
      <w:r w:rsidRPr="00112AEF">
        <w:rPr>
          <w:rFonts w:ascii="Book Antiqua" w:eastAsia="BatangChe" w:hAnsi="Book Antiqua"/>
          <w:b/>
          <w:lang w:val="en-GB" w:eastAsia="ja-JP"/>
        </w:rPr>
        <w:t>Columns:</w:t>
      </w:r>
      <w:bookmarkEnd w:id="0"/>
      <w:bookmarkEnd w:id="1"/>
      <w:r w:rsidRPr="00112AEF">
        <w:rPr>
          <w:rFonts w:ascii="Book Antiqua" w:hAnsi="Book Antiqua"/>
          <w:b/>
          <w:lang w:val="en-GB" w:eastAsia="zh-CN"/>
        </w:rPr>
        <w:t xml:space="preserve"> </w:t>
      </w:r>
      <w:r w:rsidRPr="00112AEF">
        <w:rPr>
          <w:rFonts w:ascii="Book Antiqua" w:hAnsi="Book Antiqua"/>
          <w:b/>
          <w:lang w:val="en-GB" w:eastAsia="ja-JP"/>
        </w:rPr>
        <w:t xml:space="preserve">Retrospective Study </w:t>
      </w:r>
    </w:p>
    <w:p w:rsidR="00AD473F" w:rsidRPr="00112AEF" w:rsidRDefault="00AD473F" w:rsidP="002F5E25">
      <w:pPr>
        <w:spacing w:line="360" w:lineRule="auto"/>
        <w:jc w:val="both"/>
        <w:rPr>
          <w:rFonts w:ascii="Book Antiqua" w:hAnsi="Book Antiqua"/>
          <w:b/>
          <w:lang w:val="en-GB" w:eastAsia="zh-CN"/>
        </w:rPr>
      </w:pPr>
    </w:p>
    <w:p w:rsidR="00AD473F" w:rsidRPr="00112AEF" w:rsidRDefault="00AD473F" w:rsidP="002F5E25">
      <w:pPr>
        <w:widowControl w:val="0"/>
        <w:spacing w:line="360" w:lineRule="auto"/>
        <w:jc w:val="both"/>
        <w:rPr>
          <w:rFonts w:ascii="Book Antiqua" w:hAnsi="Book Antiqua"/>
          <w:b/>
          <w:kern w:val="2"/>
          <w:lang w:eastAsia="ja-JP"/>
        </w:rPr>
      </w:pPr>
      <w:r w:rsidRPr="00112AEF">
        <w:rPr>
          <w:rFonts w:ascii="Book Antiqua" w:hAnsi="Book Antiqua"/>
          <w:b/>
          <w:kern w:val="2"/>
          <w:lang w:eastAsia="zh-CN"/>
        </w:rPr>
        <w:t xml:space="preserve">Skin toxicity predicts </w:t>
      </w:r>
      <w:r w:rsidRPr="00112AEF">
        <w:rPr>
          <w:rFonts w:ascii="Book Antiqua" w:hAnsi="Book Antiqua"/>
          <w:b/>
          <w:kern w:val="2"/>
          <w:lang w:eastAsia="ja-JP"/>
        </w:rPr>
        <w:t>efficacy</w:t>
      </w:r>
      <w:r w:rsidRPr="00112AEF">
        <w:rPr>
          <w:rFonts w:ascii="Book Antiqua" w:hAnsi="Book Antiqua"/>
          <w:b/>
          <w:kern w:val="2"/>
          <w:lang w:eastAsia="zh-CN"/>
        </w:rPr>
        <w:t xml:space="preserve"> to sorafenib in patients with advanced hepatocellular carcinoma  </w:t>
      </w:r>
    </w:p>
    <w:p w:rsidR="00AD473F" w:rsidRPr="00112AEF" w:rsidRDefault="00AD473F" w:rsidP="002F5E25">
      <w:pPr>
        <w:widowControl w:val="0"/>
        <w:spacing w:line="360" w:lineRule="auto"/>
        <w:jc w:val="both"/>
        <w:rPr>
          <w:rFonts w:ascii="Book Antiqua" w:hAnsi="Book Antiqua"/>
          <w:kern w:val="2"/>
          <w:lang w:eastAsia="ja-JP"/>
        </w:rPr>
      </w:pPr>
    </w:p>
    <w:p w:rsidR="00AD473F" w:rsidRPr="00112AEF" w:rsidRDefault="00AD473F" w:rsidP="002F5E25">
      <w:pPr>
        <w:widowControl w:val="0"/>
        <w:spacing w:line="360" w:lineRule="auto"/>
        <w:jc w:val="both"/>
        <w:rPr>
          <w:rFonts w:ascii="Book Antiqua" w:eastAsia="宋体" w:hAnsi="Book Antiqua"/>
          <w:kern w:val="2"/>
          <w:lang w:eastAsia="zh-CN"/>
        </w:rPr>
      </w:pPr>
      <w:r w:rsidRPr="00112AEF">
        <w:rPr>
          <w:rFonts w:ascii="Book Antiqua" w:hAnsi="Book Antiqua"/>
          <w:kern w:val="2"/>
          <w:lang w:eastAsia="ja-JP"/>
        </w:rPr>
        <w:t>Shomura</w:t>
      </w:r>
      <w:r w:rsidRPr="00112AEF">
        <w:rPr>
          <w:rFonts w:ascii="Book Antiqua" w:hAnsi="Book Antiqua" w:cs="Tahoma"/>
          <w:lang w:eastAsia="ja-JP"/>
        </w:rPr>
        <w:t xml:space="preserve"> </w:t>
      </w:r>
      <w:r w:rsidRPr="00112AEF">
        <w:rPr>
          <w:rFonts w:ascii="Book Antiqua" w:eastAsia="宋体" w:hAnsi="Book Antiqua" w:cs="Tahoma"/>
          <w:lang w:eastAsia="zh-CN"/>
        </w:rPr>
        <w:t xml:space="preserve">M </w:t>
      </w:r>
      <w:r w:rsidRPr="00112AEF">
        <w:rPr>
          <w:rFonts w:ascii="Book Antiqua" w:eastAsia="宋体" w:hAnsi="Book Antiqua" w:cs="Tahoma"/>
          <w:i/>
          <w:lang w:eastAsia="zh-CN"/>
        </w:rPr>
        <w:t>et al</w:t>
      </w:r>
      <w:r w:rsidRPr="00112AEF">
        <w:rPr>
          <w:rFonts w:ascii="Book Antiqua" w:eastAsia="宋体" w:hAnsi="Book Antiqua" w:cs="Tahoma"/>
          <w:lang w:eastAsia="zh-CN"/>
        </w:rPr>
        <w:t xml:space="preserve">. </w:t>
      </w:r>
      <w:r w:rsidRPr="00112AEF">
        <w:rPr>
          <w:rFonts w:ascii="Book Antiqua" w:hAnsi="Book Antiqua" w:cs="Tahoma"/>
          <w:lang w:eastAsia="ja-JP"/>
        </w:rPr>
        <w:t>Targeted therapy for advanced hepatocellular carcinoma</w:t>
      </w:r>
    </w:p>
    <w:p w:rsidR="00AD473F" w:rsidRPr="00112AEF" w:rsidRDefault="00F524C3" w:rsidP="002F5E25">
      <w:pPr>
        <w:widowControl w:val="0"/>
        <w:spacing w:line="360" w:lineRule="auto"/>
        <w:jc w:val="both"/>
        <w:rPr>
          <w:rFonts w:ascii="Book Antiqua" w:hAnsi="Book Antiqua"/>
          <w:lang w:eastAsia="zh-CN"/>
        </w:rPr>
      </w:pPr>
      <w:r>
        <w:rPr>
          <w:noProof/>
          <w:lang w:eastAsia="zh-CN"/>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81279</wp:posOffset>
                </wp:positionV>
                <wp:extent cx="5943600" cy="0"/>
                <wp:effectExtent l="0" t="19050" r="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zEgIAACk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" strokecolor="gray" strokeweight="3pt"/>
            </w:pict>
          </mc:Fallback>
        </mc:AlternateContent>
      </w:r>
    </w:p>
    <w:p w:rsidR="00AD473F" w:rsidRPr="00112AEF" w:rsidRDefault="00AD473F" w:rsidP="002F5E25">
      <w:pPr>
        <w:widowControl w:val="0"/>
        <w:spacing w:line="360" w:lineRule="auto"/>
        <w:jc w:val="both"/>
        <w:outlineLvl w:val="0"/>
        <w:rPr>
          <w:rFonts w:ascii="Book Antiqua" w:eastAsia="宋体" w:hAnsi="Book Antiqua"/>
          <w:kern w:val="2"/>
          <w:lang w:eastAsia="zh-CN"/>
        </w:rPr>
      </w:pPr>
      <w:r w:rsidRPr="00112AEF">
        <w:rPr>
          <w:rFonts w:ascii="Book Antiqua" w:hAnsi="Book Antiqua"/>
          <w:kern w:val="2"/>
          <w:lang w:eastAsia="ja-JP"/>
        </w:rPr>
        <w:t>Masako Shomura, Tatehiro Kagawa, Koichi Shiraishi, Shunji Hirose, Yoshitaka Arase, Jun Koizumi, Tetsuya Mine</w:t>
      </w:r>
    </w:p>
    <w:p w:rsidR="00AD473F" w:rsidRPr="00112AEF" w:rsidRDefault="00AD473F" w:rsidP="002F5E25">
      <w:pPr>
        <w:widowControl w:val="0"/>
        <w:spacing w:line="360" w:lineRule="auto"/>
        <w:jc w:val="both"/>
        <w:outlineLvl w:val="0"/>
        <w:rPr>
          <w:rFonts w:ascii="Book Antiqua" w:eastAsia="宋体" w:hAnsi="Book Antiqua" w:cs="Arial"/>
          <w:b/>
          <w:lang w:eastAsia="zh-CN"/>
        </w:rPr>
      </w:pP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b/>
          <w:kern w:val="2"/>
          <w:lang w:eastAsia="zh-CN"/>
        </w:rPr>
        <w:t>Masako Shomura</w:t>
      </w:r>
      <w:r w:rsidRPr="00112AEF">
        <w:rPr>
          <w:rFonts w:ascii="Book Antiqua" w:hAnsi="Book Antiqua"/>
          <w:kern w:val="2"/>
          <w:lang w:eastAsia="zh-CN"/>
        </w:rPr>
        <w:t>,</w:t>
      </w:r>
      <w:r w:rsidRPr="00112AEF">
        <w:rPr>
          <w:rFonts w:ascii="Book Antiqua" w:hAnsi="Book Antiqua"/>
          <w:kern w:val="2"/>
          <w:u w:color="000000"/>
        </w:rPr>
        <w:t xml:space="preserve"> Department of Nursing, </w:t>
      </w:r>
      <w:smartTag w:uri="urn:schemas-microsoft-com:office:smarttags" w:element="PlaceName">
        <w:r w:rsidRPr="00112AEF">
          <w:rPr>
            <w:rFonts w:ascii="Book Antiqua" w:hAnsi="Book Antiqua"/>
            <w:kern w:val="2"/>
            <w:u w:color="000000"/>
          </w:rPr>
          <w:t>Tokai</w:t>
        </w:r>
      </w:smartTag>
      <w:r w:rsidRPr="00112AEF">
        <w:rPr>
          <w:rFonts w:ascii="Book Antiqua" w:hAnsi="Book Antiqua"/>
          <w:kern w:val="2"/>
          <w:u w:color="000000"/>
        </w:rPr>
        <w:t xml:space="preserve"> </w:t>
      </w:r>
      <w:smartTag w:uri="urn:schemas-microsoft-com:office:smarttags" w:element="PlaceType">
        <w:r w:rsidRPr="00112AEF">
          <w:rPr>
            <w:rFonts w:ascii="Book Antiqua" w:hAnsi="Book Antiqua"/>
            <w:kern w:val="2"/>
            <w:u w:color="000000"/>
          </w:rPr>
          <w:t>University</w:t>
        </w:r>
      </w:smartTag>
      <w:r w:rsidRPr="00112AEF">
        <w:rPr>
          <w:rFonts w:ascii="Book Antiqua" w:hAnsi="Book Antiqua"/>
          <w:kern w:val="2"/>
          <w:u w:color="000000"/>
        </w:rPr>
        <w:t xml:space="preserve"> </w:t>
      </w:r>
      <w:smartTag w:uri="urn:schemas-microsoft-com:office:smarttags" w:element="PlaceType">
        <w:r w:rsidRPr="00112AEF">
          <w:rPr>
            <w:rFonts w:ascii="Book Antiqua" w:hAnsi="Book Antiqua"/>
            <w:kern w:val="2"/>
            <w:u w:color="000000"/>
          </w:rPr>
          <w:t>School</w:t>
        </w:r>
      </w:smartTag>
      <w:r w:rsidRPr="00112AEF">
        <w:rPr>
          <w:rFonts w:ascii="Book Antiqua" w:hAnsi="Book Antiqua"/>
          <w:kern w:val="2"/>
          <w:u w:color="000000"/>
        </w:rPr>
        <w:t xml:space="preserve"> of Health Sciences, Isehara</w:t>
      </w:r>
      <w:r w:rsidRPr="00112AEF">
        <w:rPr>
          <w:rFonts w:ascii="Book Antiqua" w:hAnsi="Book Antiqua"/>
          <w:kern w:val="2"/>
          <w:u w:color="000000"/>
          <w:lang w:eastAsia="ja-JP"/>
        </w:rPr>
        <w:t>, Kanagawa</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 xml:space="preserve">2591193, </w:t>
      </w:r>
      <w:smartTag w:uri="urn:schemas-microsoft-com:office:smarttags" w:element="country-region">
        <w:smartTag w:uri="urn:schemas-microsoft-com:office:smarttags" w:element="place">
          <w:r w:rsidRPr="00112AEF">
            <w:rPr>
              <w:rFonts w:ascii="Book Antiqua" w:hAnsi="Book Antiqua"/>
              <w:kern w:val="2"/>
              <w:u w:color="000000"/>
              <w:lang w:eastAsia="ja-JP"/>
            </w:rPr>
            <w:t>Japan</w:t>
          </w:r>
        </w:smartTag>
      </w:smartTag>
    </w:p>
    <w:p w:rsidR="00AD473F" w:rsidRPr="00112AEF" w:rsidRDefault="00AD473F" w:rsidP="002F5E25">
      <w:pPr>
        <w:widowControl w:val="0"/>
        <w:spacing w:line="360" w:lineRule="auto"/>
        <w:jc w:val="both"/>
        <w:outlineLvl w:val="0"/>
        <w:rPr>
          <w:rFonts w:ascii="Book Antiqua" w:eastAsia="宋体" w:hAnsi="Book Antiqua"/>
          <w:b/>
          <w:kern w:val="2"/>
          <w:highlight w:val="cyan"/>
          <w:u w:color="000000"/>
          <w:lang w:eastAsia="zh-CN"/>
        </w:rPr>
      </w:pP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bookmarkStart w:id="3" w:name="_ENREF_4"/>
      <w:bookmarkEnd w:id="2"/>
      <w:r w:rsidRPr="00112AEF">
        <w:rPr>
          <w:rFonts w:ascii="Book Antiqua" w:hAnsi="Book Antiqua"/>
          <w:b/>
          <w:kern w:val="2"/>
          <w:lang w:eastAsia="zh-CN"/>
        </w:rPr>
        <w:t>Tatehiro Kagawa, Koichi Shiraishi, Shun</w:t>
      </w:r>
      <w:r>
        <w:rPr>
          <w:rFonts w:ascii="Book Antiqua" w:hAnsi="Book Antiqua"/>
          <w:b/>
          <w:kern w:val="2"/>
          <w:lang w:eastAsia="zh-CN"/>
        </w:rPr>
        <w:t>ji Hirose, Yoshitaka Arase,</w:t>
      </w:r>
      <w:r>
        <w:rPr>
          <w:rFonts w:ascii="Book Antiqua" w:eastAsia="宋体" w:hAnsi="Book Antiqua"/>
          <w:b/>
          <w:kern w:val="2"/>
          <w:lang w:eastAsia="zh-CN"/>
        </w:rPr>
        <w:t xml:space="preserve"> </w:t>
      </w:r>
      <w:r w:rsidRPr="00112AEF">
        <w:rPr>
          <w:rFonts w:ascii="Book Antiqua" w:hAnsi="Book Antiqua"/>
          <w:b/>
          <w:kern w:val="2"/>
          <w:lang w:eastAsia="zh-CN"/>
        </w:rPr>
        <w:t>Tetsuya Mine</w:t>
      </w:r>
      <w:r w:rsidRPr="00112AEF">
        <w:rPr>
          <w:rFonts w:ascii="Book Antiqua" w:hAnsi="Book Antiqua"/>
          <w:kern w:val="2"/>
          <w:lang w:eastAsia="ja-JP"/>
        </w:rPr>
        <w:t>,</w:t>
      </w:r>
      <w:r w:rsidRPr="00112AEF">
        <w:rPr>
          <w:rFonts w:ascii="Book Antiqua" w:hAnsi="Book Antiqua"/>
          <w:kern w:val="2"/>
          <w:u w:color="000000"/>
        </w:rPr>
        <w:t xml:space="preserve"> Division of Gastroenterology, Department of Internal Medicine, Tokai University School of Medicine, Isehara</w:t>
      </w:r>
      <w:r w:rsidRPr="00112AEF">
        <w:rPr>
          <w:rFonts w:ascii="Book Antiqua" w:hAnsi="Book Antiqua"/>
          <w:kern w:val="2"/>
          <w:u w:color="000000"/>
          <w:lang w:eastAsia="ja-JP"/>
        </w:rPr>
        <w:t>, Kanagawa</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2591193, Japan</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p>
    <w:p w:rsidR="00AD473F" w:rsidRPr="00112AEF" w:rsidRDefault="00AD473F" w:rsidP="002F5E25">
      <w:pPr>
        <w:widowControl w:val="0"/>
        <w:spacing w:line="360" w:lineRule="auto"/>
        <w:jc w:val="both"/>
        <w:outlineLvl w:val="0"/>
        <w:rPr>
          <w:rFonts w:ascii="Book Antiqua" w:hAnsi="Book Antiqua"/>
          <w:b/>
          <w:kern w:val="2"/>
          <w:u w:color="000000"/>
          <w:lang w:eastAsia="ja-JP"/>
        </w:rPr>
      </w:pPr>
      <w:r w:rsidRPr="00112AEF">
        <w:rPr>
          <w:rFonts w:ascii="Book Antiqua" w:hAnsi="Book Antiqua"/>
          <w:b/>
          <w:kern w:val="2"/>
          <w:lang w:eastAsia="zh-CN"/>
        </w:rPr>
        <w:t>Jun Koizumi</w:t>
      </w:r>
      <w:r w:rsidRPr="00112AEF">
        <w:rPr>
          <w:rFonts w:ascii="Book Antiqua" w:hAnsi="Book Antiqua"/>
          <w:kern w:val="2"/>
          <w:lang w:eastAsia="zh-CN"/>
        </w:rPr>
        <w:t>,</w:t>
      </w:r>
      <w:r w:rsidRPr="00112AEF">
        <w:rPr>
          <w:rFonts w:ascii="Book Antiqua" w:hAnsi="Book Antiqua"/>
          <w:kern w:val="2"/>
          <w:lang w:eastAsia="ja-JP"/>
        </w:rPr>
        <w:t xml:space="preserve"> </w:t>
      </w:r>
      <w:r w:rsidRPr="00112AEF">
        <w:rPr>
          <w:rFonts w:ascii="Book Antiqua" w:hAnsi="Book Antiqua"/>
          <w:kern w:val="2"/>
          <w:u w:color="000000"/>
        </w:rPr>
        <w:t xml:space="preserve">Department of Radiology, </w:t>
      </w:r>
      <w:smartTag w:uri="urn:schemas-microsoft-com:office:smarttags" w:element="PlaceName">
        <w:r w:rsidRPr="00112AEF">
          <w:rPr>
            <w:rFonts w:ascii="Book Antiqua" w:hAnsi="Book Antiqua"/>
            <w:kern w:val="2"/>
            <w:u w:color="000000"/>
          </w:rPr>
          <w:t>Tokai</w:t>
        </w:r>
      </w:smartTag>
      <w:r w:rsidRPr="00112AEF">
        <w:rPr>
          <w:rFonts w:ascii="Book Antiqua" w:hAnsi="Book Antiqua"/>
          <w:kern w:val="2"/>
          <w:u w:color="000000"/>
        </w:rPr>
        <w:t xml:space="preserve"> </w:t>
      </w:r>
      <w:smartTag w:uri="urn:schemas-microsoft-com:office:smarttags" w:element="PlaceType">
        <w:r w:rsidRPr="00112AEF">
          <w:rPr>
            <w:rFonts w:ascii="Book Antiqua" w:hAnsi="Book Antiqua"/>
            <w:kern w:val="2"/>
            <w:u w:color="000000"/>
          </w:rPr>
          <w:t>University</w:t>
        </w:r>
      </w:smartTag>
      <w:r w:rsidRPr="00112AEF">
        <w:rPr>
          <w:rFonts w:ascii="Book Antiqua" w:hAnsi="Book Antiqua"/>
          <w:kern w:val="2"/>
          <w:u w:color="000000"/>
        </w:rPr>
        <w:t xml:space="preserve"> </w:t>
      </w:r>
      <w:smartTag w:uri="urn:schemas-microsoft-com:office:smarttags" w:element="PlaceType">
        <w:r w:rsidRPr="00112AEF">
          <w:rPr>
            <w:rFonts w:ascii="Book Antiqua" w:hAnsi="Book Antiqua"/>
            <w:kern w:val="2"/>
            <w:u w:color="000000"/>
          </w:rPr>
          <w:t>School</w:t>
        </w:r>
      </w:smartTag>
      <w:r w:rsidRPr="00112AEF">
        <w:rPr>
          <w:rFonts w:ascii="Book Antiqua" w:hAnsi="Book Antiqua"/>
          <w:kern w:val="2"/>
          <w:u w:color="000000"/>
        </w:rPr>
        <w:t xml:space="preserve"> of Medicine, Isehara</w:t>
      </w:r>
      <w:r w:rsidRPr="00112AEF">
        <w:rPr>
          <w:rFonts w:ascii="Book Antiqua" w:hAnsi="Book Antiqua"/>
          <w:kern w:val="2"/>
          <w:u w:color="000000"/>
          <w:lang w:eastAsia="ja-JP"/>
        </w:rPr>
        <w:t>, Kanagawa</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 xml:space="preserve">2591193, </w:t>
      </w:r>
      <w:smartTag w:uri="urn:schemas-microsoft-com:office:smarttags" w:element="country-region">
        <w:smartTag w:uri="urn:schemas-microsoft-com:office:smarttags" w:element="place">
          <w:r w:rsidRPr="00112AEF">
            <w:rPr>
              <w:rFonts w:ascii="Book Antiqua" w:hAnsi="Book Antiqua"/>
              <w:kern w:val="2"/>
              <w:u w:color="000000"/>
              <w:lang w:eastAsia="ja-JP"/>
            </w:rPr>
            <w:t>Japan</w:t>
          </w:r>
        </w:smartTag>
      </w:smartTag>
    </w:p>
    <w:p w:rsidR="00AD473F" w:rsidRPr="00112AEF" w:rsidRDefault="00AD473F" w:rsidP="002F5E25">
      <w:pPr>
        <w:widowControl w:val="0"/>
        <w:spacing w:line="360" w:lineRule="auto"/>
        <w:jc w:val="both"/>
        <w:outlineLvl w:val="0"/>
        <w:rPr>
          <w:rFonts w:ascii="Book Antiqua" w:hAnsi="Book Antiqua"/>
          <w:b/>
          <w:kern w:val="2"/>
          <w:u w:color="000000"/>
          <w:lang w:eastAsia="ja-JP"/>
        </w:rPr>
      </w:pPr>
    </w:p>
    <w:p w:rsidR="00AD473F" w:rsidRPr="00112AEF" w:rsidRDefault="00AD473F" w:rsidP="002F5E25">
      <w:pPr>
        <w:widowControl w:val="0"/>
        <w:spacing w:line="360" w:lineRule="auto"/>
        <w:jc w:val="both"/>
        <w:outlineLvl w:val="0"/>
        <w:rPr>
          <w:rFonts w:ascii="Book Antiqua" w:hAnsi="Book Antiqua"/>
          <w:kern w:val="2"/>
          <w:u w:color="000000"/>
          <w:lang w:eastAsia="ja-JP"/>
        </w:rPr>
      </w:pPr>
      <w:r w:rsidRPr="00112AEF">
        <w:rPr>
          <w:rFonts w:ascii="Book Antiqua" w:hAnsi="Book Antiqua"/>
          <w:b/>
        </w:rPr>
        <w:t>Author contributions:</w:t>
      </w:r>
      <w:r w:rsidRPr="00112AEF">
        <w:rPr>
          <w:rFonts w:ascii="Book Antiqua" w:hAnsi="Book Antiqua"/>
        </w:rPr>
        <w:t xml:space="preserve"> </w:t>
      </w:r>
      <w:r w:rsidRPr="00112AEF">
        <w:rPr>
          <w:rFonts w:ascii="Book Antiqua" w:hAnsi="Book Antiqua"/>
          <w:lang w:eastAsia="ja-JP"/>
        </w:rPr>
        <w:t>Shomura M and Kagawa T contributed equally to this study</w:t>
      </w:r>
      <w:r w:rsidRPr="00112AEF">
        <w:rPr>
          <w:rFonts w:ascii="Book Antiqua" w:eastAsia="宋体" w:hAnsi="Book Antiqua"/>
          <w:lang w:eastAsia="zh-CN"/>
        </w:rPr>
        <w:t xml:space="preserve">; </w:t>
      </w:r>
      <w:r w:rsidRPr="00112AEF">
        <w:rPr>
          <w:rFonts w:ascii="Book Antiqua" w:hAnsi="Book Antiqua" w:hint="eastAsia"/>
          <w:lang w:eastAsia="ja-JP"/>
        </w:rPr>
        <w:t xml:space="preserve">　</w:t>
      </w:r>
      <w:r w:rsidRPr="00112AEF">
        <w:rPr>
          <w:rFonts w:ascii="Book Antiqua" w:hAnsi="Book Antiqua"/>
          <w:kern w:val="2"/>
          <w:u w:color="000000"/>
          <w:lang w:eastAsia="ja-JP"/>
        </w:rPr>
        <w:t xml:space="preserve">Shomura M, </w:t>
      </w:r>
      <w:r>
        <w:rPr>
          <w:rFonts w:ascii="Book Antiqua" w:hAnsi="Book Antiqua"/>
          <w:kern w:val="2"/>
          <w:u w:color="000000"/>
          <w:lang w:eastAsia="ja-JP"/>
        </w:rPr>
        <w:t>Kagawa T, Shiraisi K, Hirose S</w:t>
      </w:r>
      <w:r>
        <w:rPr>
          <w:rFonts w:ascii="Book Antiqua" w:eastAsia="宋体" w:hAnsi="Book Antiqua"/>
          <w:kern w:val="2"/>
          <w:u w:color="000000"/>
          <w:lang w:eastAsia="zh-CN"/>
        </w:rPr>
        <w:t xml:space="preserve"> </w:t>
      </w:r>
      <w:r w:rsidRPr="00112AEF">
        <w:rPr>
          <w:rFonts w:ascii="Book Antiqua" w:hAnsi="Book Antiqua"/>
          <w:kern w:val="2"/>
          <w:u w:color="000000"/>
          <w:lang w:eastAsia="ja-JP"/>
        </w:rPr>
        <w:t>and Arase Y performed the majority o</w:t>
      </w:r>
      <w:r>
        <w:rPr>
          <w:rFonts w:ascii="Book Antiqua" w:hAnsi="Book Antiqua"/>
          <w:kern w:val="2"/>
          <w:u w:color="000000"/>
          <w:lang w:eastAsia="ja-JP"/>
        </w:rPr>
        <w:t>f sorafenib therapy; Koizumi J</w:t>
      </w:r>
      <w:r>
        <w:rPr>
          <w:rFonts w:ascii="Book Antiqua" w:eastAsia="宋体" w:hAnsi="Book Antiqua"/>
          <w:kern w:val="2"/>
          <w:u w:color="000000"/>
          <w:lang w:eastAsia="zh-CN"/>
        </w:rPr>
        <w:t xml:space="preserve"> </w:t>
      </w:r>
      <w:r w:rsidRPr="00112AEF">
        <w:rPr>
          <w:rFonts w:ascii="Book Antiqua" w:hAnsi="Book Antiqua"/>
          <w:kern w:val="2"/>
          <w:u w:color="000000"/>
          <w:lang w:eastAsia="ja-JP"/>
        </w:rPr>
        <w:t>and Kagawa T provided evaluation the efficacy of therapy;</w:t>
      </w:r>
      <w:r>
        <w:rPr>
          <w:rFonts w:ascii="Book Antiqua" w:hAnsi="Book Antiqua"/>
          <w:kern w:val="2"/>
          <w:u w:color="000000"/>
          <w:lang w:eastAsia="ja-JP"/>
        </w:rPr>
        <w:t xml:space="preserve"> Shomura M</w:t>
      </w:r>
      <w:r>
        <w:rPr>
          <w:rFonts w:ascii="Book Antiqua" w:eastAsia="宋体" w:hAnsi="Book Antiqua"/>
          <w:kern w:val="2"/>
          <w:u w:color="000000"/>
          <w:lang w:eastAsia="zh-CN"/>
        </w:rPr>
        <w:t xml:space="preserve"> </w:t>
      </w:r>
      <w:r w:rsidRPr="00112AEF">
        <w:rPr>
          <w:rFonts w:ascii="Book Antiqua" w:hAnsi="Book Antiqua"/>
          <w:kern w:val="2"/>
          <w:u w:color="000000"/>
          <w:lang w:eastAsia="ja-JP"/>
        </w:rPr>
        <w:t>and Kagawa T provided the collection of all the data in addition to performing a statistical analysis and were also involved in writing and editing the manuscript; Shomura M provided financial support for this work; Mine T designed and coordinated the study.</w:t>
      </w:r>
    </w:p>
    <w:p w:rsidR="00AD473F" w:rsidRPr="00112AEF" w:rsidRDefault="00AD473F" w:rsidP="002F5E25">
      <w:pPr>
        <w:widowControl w:val="0"/>
        <w:spacing w:line="360" w:lineRule="auto"/>
        <w:jc w:val="both"/>
        <w:outlineLvl w:val="0"/>
        <w:rPr>
          <w:rFonts w:ascii="Book Antiqua" w:hAnsi="Book Antiqua"/>
          <w:kern w:val="2"/>
          <w:u w:color="000000"/>
          <w:lang w:eastAsia="ja-JP"/>
        </w:rPr>
      </w:pP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b/>
        </w:rPr>
        <w:t>Supported by</w:t>
      </w:r>
      <w:r w:rsidRPr="00112AEF">
        <w:rPr>
          <w:rFonts w:ascii="Book Antiqua" w:hAnsi="Book Antiqua"/>
          <w:kern w:val="2"/>
          <w:u w:color="000000"/>
          <w:lang w:eastAsia="ja-JP"/>
        </w:rPr>
        <w:t xml:space="preserve"> </w:t>
      </w:r>
      <w:smartTag w:uri="urn:schemas-microsoft-com:office:smarttags" w:element="country-region">
        <w:smartTag w:uri="urn:schemas-microsoft-com:office:smarttags" w:element="place">
          <w:r w:rsidRPr="00112AEF">
            <w:rPr>
              <w:rFonts w:ascii="Book Antiqua" w:hAnsi="Book Antiqua"/>
              <w:kern w:val="2"/>
              <w:u w:color="000000"/>
              <w:lang w:eastAsia="ja-JP"/>
            </w:rPr>
            <w:t>Japan</w:t>
          </w:r>
        </w:smartTag>
      </w:smartTag>
      <w:r w:rsidRPr="00112AEF">
        <w:rPr>
          <w:rFonts w:ascii="Book Antiqua" w:hAnsi="Book Antiqua"/>
          <w:kern w:val="2"/>
          <w:u w:color="000000"/>
          <w:lang w:eastAsia="ja-JP"/>
        </w:rPr>
        <w:t xml:space="preserve"> Society for the Promotion of Science (JSPS) KAKENHI Grant-in-Aid </w:t>
      </w:r>
      <w:r w:rsidRPr="00112AEF">
        <w:rPr>
          <w:rFonts w:ascii="Book Antiqua" w:hAnsi="Book Antiqua"/>
          <w:kern w:val="2"/>
          <w:u w:color="000000"/>
          <w:lang w:eastAsia="ja-JP"/>
        </w:rPr>
        <w:lastRenderedPageBreak/>
        <w:t>for Young Scientists (B) 21792240</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bookmarkStart w:id="4" w:name="_ENREF_6"/>
      <w:bookmarkEnd w:id="3"/>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b/>
        </w:rPr>
        <w:t>Correspondence to:</w:t>
      </w:r>
      <w:r w:rsidRPr="00112AEF">
        <w:rPr>
          <w:rFonts w:ascii="Book Antiqua" w:hAnsi="Book Antiqua"/>
          <w:b/>
          <w:kern w:val="2"/>
          <w:u w:color="000000"/>
        </w:rPr>
        <w:t xml:space="preserve"> Masako Shomura,</w:t>
      </w:r>
      <w:r w:rsidRPr="00112AEF">
        <w:rPr>
          <w:rFonts w:ascii="Book Antiqua" w:hAnsi="Book Antiqua"/>
          <w:b/>
        </w:rPr>
        <w:t xml:space="preserve"> </w:t>
      </w:r>
      <w:r w:rsidRPr="00112AEF">
        <w:rPr>
          <w:rFonts w:ascii="Book Antiqua" w:hAnsi="Book Antiqua"/>
          <w:b/>
          <w:lang w:eastAsia="ja-JP"/>
        </w:rPr>
        <w:t>RN,</w:t>
      </w:r>
      <w:r w:rsidRPr="00112AEF">
        <w:rPr>
          <w:rFonts w:ascii="Book Antiqua" w:eastAsia="宋体" w:hAnsi="Book Antiqua"/>
          <w:b/>
          <w:lang w:eastAsia="zh-CN"/>
        </w:rPr>
        <w:t xml:space="preserve"> </w:t>
      </w:r>
      <w:r w:rsidRPr="00112AEF">
        <w:rPr>
          <w:rFonts w:ascii="Book Antiqua" w:hAnsi="Book Antiqua"/>
          <w:b/>
          <w:lang w:eastAsia="ja-JP"/>
        </w:rPr>
        <w:t>PhD,</w:t>
      </w:r>
      <w:r w:rsidRPr="00112AEF">
        <w:rPr>
          <w:rFonts w:ascii="Book Antiqua" w:hAnsi="Book Antiqua"/>
          <w:lang w:eastAsia="ja-JP"/>
        </w:rPr>
        <w:t xml:space="preserve"> </w:t>
      </w:r>
      <w:r w:rsidRPr="00112AEF">
        <w:rPr>
          <w:rFonts w:ascii="Book Antiqua" w:hAnsi="Book Antiqua"/>
          <w:b/>
          <w:lang w:eastAsia="ja-JP"/>
        </w:rPr>
        <w:t>Associate Professor,</w:t>
      </w:r>
      <w:r w:rsidRPr="00112AEF">
        <w:rPr>
          <w:rFonts w:ascii="Book Antiqua" w:hAnsi="Book Antiqua"/>
          <w:lang w:eastAsia="ja-JP"/>
        </w:rPr>
        <w:t xml:space="preserve"> </w:t>
      </w:r>
      <w:r w:rsidRPr="00112AEF">
        <w:rPr>
          <w:rFonts w:ascii="Book Antiqua" w:hAnsi="Book Antiqua"/>
          <w:kern w:val="2"/>
          <w:u w:color="000000"/>
        </w:rPr>
        <w:t xml:space="preserve">Department of Nursing, </w:t>
      </w:r>
      <w:smartTag w:uri="urn:schemas-microsoft-com:office:smarttags" w:element="PlaceName">
        <w:r w:rsidRPr="003A515F">
          <w:rPr>
            <w:rFonts w:ascii="Book Antiqua" w:hAnsi="Book Antiqua"/>
            <w:kern w:val="2"/>
            <w:u w:color="000000"/>
          </w:rPr>
          <w:t>Tokai</w:t>
        </w:r>
      </w:smartTag>
      <w:r w:rsidRPr="003A515F">
        <w:rPr>
          <w:rFonts w:ascii="Book Antiqua" w:hAnsi="Book Antiqua"/>
          <w:kern w:val="2"/>
          <w:u w:color="000000"/>
        </w:rPr>
        <w:t xml:space="preserve"> </w:t>
      </w:r>
      <w:smartTag w:uri="urn:schemas-microsoft-com:office:smarttags" w:element="PlaceType">
        <w:r w:rsidRPr="003A515F">
          <w:rPr>
            <w:rFonts w:ascii="Book Antiqua" w:hAnsi="Book Antiqua"/>
            <w:kern w:val="2"/>
            <w:u w:color="000000"/>
          </w:rPr>
          <w:t>University</w:t>
        </w:r>
      </w:smartTag>
      <w:r w:rsidRPr="003A515F">
        <w:rPr>
          <w:rFonts w:ascii="Book Antiqua" w:hAnsi="Book Antiqua"/>
          <w:kern w:val="2"/>
          <w:u w:color="000000"/>
        </w:rPr>
        <w:t xml:space="preserve"> </w:t>
      </w:r>
      <w:smartTag w:uri="urn:schemas-microsoft-com:office:smarttags" w:element="PlaceType">
        <w:r w:rsidRPr="003A515F">
          <w:rPr>
            <w:rFonts w:ascii="Book Antiqua" w:hAnsi="Book Antiqua"/>
            <w:kern w:val="2"/>
            <w:u w:color="000000"/>
          </w:rPr>
          <w:t>School</w:t>
        </w:r>
      </w:smartTag>
      <w:r w:rsidRPr="003A515F">
        <w:rPr>
          <w:rFonts w:ascii="Book Antiqua" w:hAnsi="Book Antiqua"/>
          <w:kern w:val="2"/>
          <w:u w:color="000000"/>
        </w:rPr>
        <w:t xml:space="preserve"> of Health Sciences, 143 Shimokasuya,</w:t>
      </w:r>
      <w:r w:rsidRPr="003A515F">
        <w:rPr>
          <w:rFonts w:ascii="Verdana" w:eastAsia="宋体" w:hAnsi="Verdana"/>
          <w:color w:val="333333"/>
          <w:sz w:val="20"/>
          <w:szCs w:val="20"/>
          <w:lang w:eastAsia="zh-CN"/>
        </w:rPr>
        <w:t xml:space="preserve"> </w:t>
      </w:r>
      <w:r w:rsidRPr="003A515F">
        <w:rPr>
          <w:rFonts w:ascii="Book Antiqua" w:hAnsi="Book Antiqua"/>
          <w:kern w:val="2"/>
          <w:u w:color="000000"/>
        </w:rPr>
        <w:t>Isehara</w:t>
      </w:r>
      <w:r w:rsidRPr="003A515F">
        <w:rPr>
          <w:rFonts w:ascii="Book Antiqua" w:hAnsi="Book Antiqua"/>
          <w:kern w:val="2"/>
          <w:u w:color="000000"/>
          <w:lang w:eastAsia="ja-JP"/>
        </w:rPr>
        <w:t>,</w:t>
      </w:r>
      <w:r w:rsidRPr="00112AEF">
        <w:rPr>
          <w:rFonts w:ascii="Book Antiqua" w:hAnsi="Book Antiqua"/>
          <w:kern w:val="2"/>
          <w:u w:color="000000"/>
          <w:lang w:eastAsia="ja-JP"/>
        </w:rPr>
        <w:t xml:space="preserve"> </w:t>
      </w:r>
      <w:r w:rsidRPr="00112AEF">
        <w:rPr>
          <w:rFonts w:ascii="Book Antiqua" w:hAnsi="Book Antiqua"/>
          <w:kern w:val="2"/>
          <w:u w:color="000000"/>
        </w:rPr>
        <w:t>Kanagawa</w:t>
      </w:r>
      <w:r w:rsidRPr="00112AEF">
        <w:rPr>
          <w:rFonts w:ascii="Book Antiqua" w:eastAsia="宋体" w:hAnsi="Book Antiqua"/>
          <w:kern w:val="2"/>
          <w:u w:color="000000"/>
          <w:lang w:eastAsia="zh-CN"/>
        </w:rPr>
        <w:t xml:space="preserve"> </w:t>
      </w:r>
      <w:r w:rsidRPr="00112AEF">
        <w:rPr>
          <w:rFonts w:ascii="Book Antiqua" w:hAnsi="Book Antiqua"/>
          <w:kern w:val="2"/>
          <w:u w:color="000000"/>
        </w:rPr>
        <w:t xml:space="preserve">2591193, </w:t>
      </w:r>
      <w:smartTag w:uri="urn:schemas-microsoft-com:office:smarttags" w:element="country-region">
        <w:smartTag w:uri="urn:schemas-microsoft-com:office:smarttags" w:element="place">
          <w:r w:rsidRPr="00112AEF">
            <w:rPr>
              <w:rFonts w:ascii="Book Antiqua" w:hAnsi="Book Antiqua"/>
              <w:kern w:val="2"/>
              <w:u w:color="000000"/>
            </w:rPr>
            <w:t>Japan</w:t>
          </w:r>
        </w:smartTag>
      </w:smartTag>
      <w:r w:rsidRPr="00112AEF">
        <w:rPr>
          <w:rFonts w:ascii="Book Antiqua" w:hAnsi="Book Antiqua"/>
          <w:kern w:val="2"/>
          <w:u w:color="000000"/>
        </w:rPr>
        <w:t xml:space="preserve">. </w:t>
      </w:r>
      <w:hyperlink r:id="rId8" w:history="1">
        <w:r w:rsidRPr="00112AEF">
          <w:rPr>
            <w:rStyle w:val="a3"/>
            <w:rFonts w:ascii="Book Antiqua" w:hAnsi="Book Antiqua"/>
            <w:color w:val="auto"/>
          </w:rPr>
          <w:t>rocky36j@is.icc.u-tokai.ac.jp</w:t>
        </w:r>
      </w:hyperlink>
      <w:r w:rsidRPr="00112AEF">
        <w:rPr>
          <w:rStyle w:val="a3"/>
          <w:rFonts w:ascii="Book Antiqua" w:hAnsi="Book Antiqua"/>
          <w:color w:val="auto"/>
          <w:lang w:eastAsia="ja-JP"/>
        </w:rPr>
        <w:t xml:space="preserve"> </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b/>
          <w:kern w:val="2"/>
          <w:u w:color="000000"/>
        </w:rPr>
        <w:t xml:space="preserve">Telephone: </w:t>
      </w:r>
      <w:r w:rsidRPr="00112AEF">
        <w:rPr>
          <w:rFonts w:ascii="Book Antiqua" w:hAnsi="Book Antiqua"/>
          <w:kern w:val="2"/>
          <w:u w:color="000000"/>
        </w:rPr>
        <w:t>+81-463</w:t>
      </w:r>
      <w:r>
        <w:rPr>
          <w:rFonts w:ascii="Book Antiqua" w:eastAsia="宋体" w:hAnsi="Book Antiqua"/>
          <w:kern w:val="2"/>
          <w:u w:color="000000"/>
          <w:lang w:eastAsia="zh-CN"/>
        </w:rPr>
        <w:t>-</w:t>
      </w:r>
      <w:r w:rsidRPr="00112AEF">
        <w:rPr>
          <w:rFonts w:ascii="Book Antiqua" w:hAnsi="Book Antiqua"/>
          <w:kern w:val="2"/>
          <w:u w:color="000000"/>
        </w:rPr>
        <w:t>902035</w:t>
      </w:r>
      <w:r w:rsidRPr="00112AEF">
        <w:rPr>
          <w:rFonts w:ascii="Book Antiqua" w:hAnsi="Book Antiqua"/>
          <w:b/>
          <w:kern w:val="2"/>
          <w:u w:color="000000"/>
        </w:rPr>
        <w:t xml:space="preserve">  </w:t>
      </w:r>
      <w:r>
        <w:rPr>
          <w:rFonts w:ascii="Book Antiqua" w:eastAsia="宋体" w:hAnsi="Book Antiqua"/>
          <w:b/>
          <w:kern w:val="2"/>
          <w:u w:color="000000"/>
          <w:lang w:eastAsia="zh-CN"/>
        </w:rPr>
        <w:t xml:space="preserve">    </w:t>
      </w:r>
      <w:r w:rsidRPr="00112AEF">
        <w:rPr>
          <w:rFonts w:ascii="Book Antiqua" w:hAnsi="Book Antiqua"/>
          <w:b/>
          <w:kern w:val="2"/>
          <w:u w:color="000000"/>
        </w:rPr>
        <w:t xml:space="preserve">Fax: </w:t>
      </w:r>
      <w:r w:rsidRPr="00112AEF">
        <w:rPr>
          <w:rFonts w:ascii="Book Antiqua" w:hAnsi="Book Antiqua"/>
          <w:kern w:val="2"/>
          <w:u w:color="000000"/>
        </w:rPr>
        <w:t>+81-463</w:t>
      </w:r>
      <w:r>
        <w:rPr>
          <w:rFonts w:ascii="Book Antiqua" w:eastAsia="宋体" w:hAnsi="Book Antiqua"/>
          <w:kern w:val="2"/>
          <w:u w:color="000000"/>
          <w:lang w:eastAsia="zh-CN"/>
        </w:rPr>
        <w:t>-</w:t>
      </w:r>
      <w:r w:rsidRPr="00112AEF">
        <w:rPr>
          <w:rFonts w:ascii="Book Antiqua" w:hAnsi="Book Antiqua"/>
          <w:kern w:val="2"/>
          <w:u w:color="000000"/>
        </w:rPr>
        <w:t>902035</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p>
    <w:p w:rsidR="00AD473F" w:rsidRPr="00112AEF" w:rsidRDefault="00AD473F" w:rsidP="00D0151B">
      <w:pPr>
        <w:spacing w:line="360" w:lineRule="auto"/>
        <w:rPr>
          <w:rFonts w:ascii="Book Antiqua" w:hAnsi="Book Antiqua"/>
        </w:rPr>
      </w:pPr>
      <w:bookmarkStart w:id="5" w:name="OLE_LINK4"/>
      <w:bookmarkStart w:id="6" w:name="OLE_LINK5"/>
      <w:r w:rsidRPr="00112AEF">
        <w:rPr>
          <w:rFonts w:ascii="Book Antiqua" w:hAnsi="Book Antiqua"/>
          <w:b/>
        </w:rPr>
        <w:t>Received:</w:t>
      </w:r>
      <w:r w:rsidRPr="00112AEF">
        <w:rPr>
          <w:rFonts w:ascii="Book Antiqua" w:hAnsi="Book Antiqua"/>
        </w:rPr>
        <w:t xml:space="preserve"> May </w:t>
      </w:r>
      <w:r w:rsidRPr="00112AEF">
        <w:rPr>
          <w:rFonts w:ascii="Book Antiqua" w:eastAsia="宋体" w:hAnsi="Book Antiqua"/>
          <w:lang w:eastAsia="zh-CN"/>
        </w:rPr>
        <w:t>16</w:t>
      </w:r>
      <w:r w:rsidRPr="00112AEF">
        <w:rPr>
          <w:rFonts w:ascii="Book Antiqua" w:hAnsi="Book Antiqua"/>
        </w:rPr>
        <w:t xml:space="preserve">, 2014 </w:t>
      </w:r>
      <w:r w:rsidRPr="00112AEF">
        <w:rPr>
          <w:rFonts w:ascii="Book Antiqua" w:hAnsi="Book Antiqua"/>
          <w:b/>
        </w:rPr>
        <w:t xml:space="preserve">       </w:t>
      </w:r>
      <w:r w:rsidRPr="00112AEF">
        <w:rPr>
          <w:rFonts w:ascii="Book Antiqua" w:hAnsi="Book Antiqua"/>
        </w:rPr>
        <w:t xml:space="preserve"> </w:t>
      </w:r>
      <w:r w:rsidRPr="00112AEF">
        <w:rPr>
          <w:rFonts w:ascii="Book Antiqua" w:hAnsi="Book Antiqua"/>
          <w:b/>
        </w:rPr>
        <w:t xml:space="preserve">Revised: </w:t>
      </w:r>
      <w:r w:rsidRPr="00112AEF">
        <w:rPr>
          <w:rFonts w:ascii="Book Antiqua" w:hAnsi="Book Antiqua"/>
        </w:rPr>
        <w:t>Ju</w:t>
      </w:r>
      <w:r w:rsidRPr="00112AEF">
        <w:rPr>
          <w:rFonts w:ascii="Book Antiqua" w:eastAsia="宋体" w:hAnsi="Book Antiqua"/>
          <w:lang w:eastAsia="zh-CN"/>
        </w:rPr>
        <w:t>ly</w:t>
      </w:r>
      <w:r w:rsidRPr="00112AEF">
        <w:rPr>
          <w:rFonts w:ascii="Book Antiqua" w:hAnsi="Book Antiqua"/>
        </w:rPr>
        <w:t xml:space="preserve"> </w:t>
      </w:r>
      <w:r w:rsidRPr="00112AEF">
        <w:rPr>
          <w:rFonts w:ascii="Book Antiqua" w:eastAsia="宋体" w:hAnsi="Book Antiqua"/>
          <w:lang w:eastAsia="zh-CN"/>
        </w:rPr>
        <w:t>1</w:t>
      </w:r>
      <w:r w:rsidRPr="00112AEF">
        <w:rPr>
          <w:rFonts w:ascii="Book Antiqua" w:hAnsi="Book Antiqua"/>
        </w:rPr>
        <w:t>6, 2014</w:t>
      </w:r>
    </w:p>
    <w:p w:rsidR="00F524C3" w:rsidRDefault="00AD473F" w:rsidP="00F524C3">
      <w:pPr>
        <w:rPr>
          <w:rFonts w:ascii="Book Antiqua" w:hAnsi="Book Antiqua"/>
          <w:color w:val="000000"/>
        </w:rPr>
      </w:pPr>
      <w:r w:rsidRPr="00112AEF">
        <w:rPr>
          <w:rFonts w:ascii="Book Antiqua" w:hAnsi="Book Antiqua"/>
          <w:b/>
        </w:rPr>
        <w:t>Accepted:</w:t>
      </w:r>
      <w:bookmarkStart w:id="7" w:name="OLE_LINK1"/>
      <w:bookmarkStart w:id="8" w:name="OLE_LINK2"/>
      <w:bookmarkStart w:id="9" w:name="OLE_LINK3"/>
      <w:bookmarkStart w:id="10" w:name="OLE_LINK6"/>
      <w:bookmarkStart w:id="11" w:name="OLE_LINK7"/>
      <w:bookmarkStart w:id="12" w:name="OLE_LINK9"/>
      <w:bookmarkStart w:id="13" w:name="OLE_LINK10"/>
      <w:bookmarkStart w:id="14" w:name="OLE_LINK13"/>
      <w:bookmarkStart w:id="15" w:name="OLE_LINK14"/>
      <w:bookmarkStart w:id="16" w:name="OLE_LINK17"/>
      <w:bookmarkStart w:id="17" w:name="OLE_LINK18"/>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bookmarkStart w:id="48" w:name="OLE_LINK74"/>
      <w:bookmarkStart w:id="49" w:name="OLE_LINK77"/>
      <w:bookmarkStart w:id="50" w:name="OLE_LINK78"/>
      <w:bookmarkStart w:id="51" w:name="OLE_LINK72"/>
      <w:bookmarkStart w:id="52" w:name="OLE_LINK73"/>
      <w:bookmarkStart w:id="53" w:name="OLE_LINK79"/>
      <w:bookmarkStart w:id="54" w:name="OLE_LINK81"/>
      <w:bookmarkStart w:id="55" w:name="OLE_LINK86"/>
      <w:bookmarkStart w:id="56" w:name="OLE_LINK87"/>
      <w:bookmarkStart w:id="57" w:name="OLE_LINK88"/>
      <w:bookmarkStart w:id="58" w:name="OLE_LINK89"/>
      <w:bookmarkStart w:id="59" w:name="OLE_LINK92"/>
      <w:bookmarkStart w:id="60" w:name="OLE_LINK94"/>
      <w:bookmarkStart w:id="61" w:name="OLE_LINK95"/>
      <w:bookmarkStart w:id="62" w:name="OLE_LINK98"/>
      <w:r w:rsidR="00F524C3" w:rsidRPr="00F524C3">
        <w:rPr>
          <w:rFonts w:ascii="Book Antiqua" w:hAnsi="Book Antiqua"/>
          <w:color w:val="000000"/>
        </w:rPr>
        <w:t xml:space="preserve"> </w:t>
      </w:r>
      <w:r w:rsidR="00F524C3">
        <w:rPr>
          <w:rFonts w:ascii="Book Antiqua" w:hAnsi="Book Antiqua"/>
          <w:color w:val="000000"/>
        </w:rPr>
        <w:t>August 27, 2014</w:t>
      </w:r>
    </w:p>
    <w:p w:rsidR="00AD473F" w:rsidRPr="00112AEF" w:rsidRDefault="00AD473F" w:rsidP="00D0151B">
      <w:pPr>
        <w:spacing w:line="360" w:lineRule="auto"/>
        <w:rPr>
          <w:rFonts w:ascii="Book Antiqua" w:hAnsi="Book Antiqua"/>
        </w:rPr>
      </w:pPr>
      <w:bookmarkStart w:id="63"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12AEF">
        <w:rPr>
          <w:rFonts w:ascii="Book Antiqua" w:hAnsi="Book Antiqua"/>
          <w:b/>
        </w:rPr>
        <w:t xml:space="preserve"> </w:t>
      </w:r>
    </w:p>
    <w:p w:rsidR="00AD473F" w:rsidRPr="00112AEF" w:rsidRDefault="00AD473F" w:rsidP="00D0151B">
      <w:pPr>
        <w:spacing w:line="360" w:lineRule="auto"/>
        <w:rPr>
          <w:rFonts w:ascii="Book Antiqua" w:hAnsi="Book Antiqua"/>
        </w:rPr>
      </w:pPr>
      <w:r w:rsidRPr="00112AEF">
        <w:rPr>
          <w:rFonts w:ascii="Book Antiqua" w:hAnsi="Book Antiqua"/>
          <w:b/>
        </w:rPr>
        <w:t xml:space="preserve">Published online: </w:t>
      </w:r>
    </w:p>
    <w:bookmarkEnd w:id="5"/>
    <w:bookmarkEnd w:id="6"/>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p>
    <w:p w:rsidR="00AD473F" w:rsidRPr="00112AEF" w:rsidRDefault="00AD473F" w:rsidP="002F5E25">
      <w:pPr>
        <w:spacing w:line="360" w:lineRule="auto"/>
        <w:jc w:val="both"/>
        <w:rPr>
          <w:rFonts w:ascii="Book Antiqua" w:eastAsia="宋体" w:hAnsi="Book Antiqua"/>
          <w:b/>
          <w:kern w:val="2"/>
          <w:u w:color="000000"/>
          <w:lang w:eastAsia="zh-CN"/>
        </w:rPr>
      </w:pPr>
      <w:bookmarkStart w:id="64" w:name="_ENREF_7"/>
      <w:bookmarkEnd w:id="4"/>
    </w:p>
    <w:p w:rsidR="00AD473F" w:rsidRPr="00112AEF" w:rsidRDefault="00AD473F" w:rsidP="002F5E25">
      <w:pPr>
        <w:spacing w:line="360" w:lineRule="auto"/>
        <w:jc w:val="both"/>
        <w:rPr>
          <w:rFonts w:ascii="Book Antiqua" w:eastAsia="宋体" w:hAnsi="Book Antiqua"/>
          <w:lang w:eastAsia="zh-CN"/>
        </w:rPr>
      </w:pPr>
      <w:r w:rsidRPr="00112AEF">
        <w:rPr>
          <w:rFonts w:ascii="Book Antiqua" w:hAnsi="Book Antiqua"/>
          <w:b/>
        </w:rPr>
        <w:t>Abstract</w:t>
      </w:r>
      <w:r w:rsidRPr="00112AEF">
        <w:rPr>
          <w:rFonts w:ascii="Book Antiqua" w:hAnsi="Book Antiqua"/>
        </w:rPr>
        <w:t xml:space="preserve"> </w:t>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b/>
        </w:rPr>
        <w:t>AIM:</w:t>
      </w:r>
      <w:r w:rsidRPr="00112AEF">
        <w:rPr>
          <w:rFonts w:ascii="Book Antiqua" w:hAnsi="Book Antiqua"/>
        </w:rPr>
        <w:t xml:space="preserve"> </w:t>
      </w:r>
      <w:r w:rsidRPr="00112AEF">
        <w:rPr>
          <w:rFonts w:ascii="Book Antiqua" w:hAnsi="Book Antiqua"/>
          <w:kern w:val="2"/>
          <w:u w:color="000000"/>
          <w:lang w:eastAsia="ja-JP"/>
        </w:rPr>
        <w:t>To</w:t>
      </w:r>
      <w:r w:rsidRPr="00112AEF">
        <w:rPr>
          <w:rFonts w:ascii="Book Antiqua" w:hAnsi="Book Antiqua"/>
          <w:kern w:val="2"/>
          <w:u w:color="000000"/>
        </w:rPr>
        <w:t xml:space="preserve"> </w:t>
      </w:r>
      <w:r w:rsidRPr="00112AEF">
        <w:rPr>
          <w:rFonts w:ascii="Book Antiqua" w:hAnsi="Book Antiqua"/>
          <w:kern w:val="2"/>
          <w:u w:color="000000"/>
          <w:lang w:eastAsia="ja-JP"/>
        </w:rPr>
        <w:t>study</w:t>
      </w:r>
      <w:r w:rsidRPr="00112AEF">
        <w:rPr>
          <w:rFonts w:ascii="Book Antiqua" w:hAnsi="Book Antiqua"/>
          <w:kern w:val="2"/>
          <w:u w:color="000000"/>
        </w:rPr>
        <w:t xml:space="preserve"> the relationship between </w:t>
      </w:r>
      <w:r w:rsidRPr="00112AEF">
        <w:rPr>
          <w:rFonts w:ascii="Book Antiqua" w:hAnsi="Book Antiqua"/>
          <w:kern w:val="2"/>
          <w:u w:color="000000"/>
          <w:lang w:eastAsia="ja-JP"/>
        </w:rPr>
        <w:t>adverse events</w:t>
      </w:r>
      <w:r w:rsidRPr="00112AEF">
        <w:rPr>
          <w:rFonts w:ascii="Book Antiqua" w:eastAsia="宋体" w:hAnsi="Book Antiqua"/>
          <w:kern w:val="2"/>
          <w:u w:color="000000"/>
          <w:lang w:eastAsia="zh-CN"/>
        </w:rPr>
        <w:t xml:space="preserve"> (AE)</w:t>
      </w:r>
      <w:r w:rsidRPr="00112AEF">
        <w:rPr>
          <w:rFonts w:ascii="Book Antiqua" w:hAnsi="Book Antiqua"/>
          <w:kern w:val="2"/>
          <w:u w:color="000000"/>
          <w:lang w:eastAsia="ja-JP"/>
        </w:rPr>
        <w:t>,</w:t>
      </w:r>
      <w:r w:rsidRPr="00112AEF">
        <w:rPr>
          <w:rFonts w:ascii="Book Antiqua" w:hAnsi="Book Antiqua"/>
          <w:kern w:val="2"/>
          <w:u w:color="000000"/>
        </w:rPr>
        <w:t xml:space="preserve"> efficacy</w:t>
      </w:r>
      <w:r w:rsidRPr="00112AEF">
        <w:rPr>
          <w:rFonts w:ascii="Book Antiqua" w:hAnsi="Book Antiqua"/>
          <w:kern w:val="2"/>
          <w:u w:color="000000"/>
          <w:lang w:eastAsia="ja-JP"/>
        </w:rPr>
        <w:t>,</w:t>
      </w:r>
      <w:r w:rsidRPr="00112AEF">
        <w:rPr>
          <w:rFonts w:ascii="Book Antiqua" w:hAnsi="Book Antiqua"/>
          <w:kern w:val="2"/>
          <w:u w:color="000000"/>
        </w:rPr>
        <w:t xml:space="preserve"> and</w:t>
      </w:r>
      <w:r w:rsidRPr="00112AEF">
        <w:rPr>
          <w:rFonts w:ascii="Book Antiqua" w:hAnsi="Book Antiqua"/>
          <w:kern w:val="2"/>
          <w:u w:color="000000"/>
          <w:lang w:eastAsia="ja-JP"/>
        </w:rPr>
        <w:t xml:space="preserve"> </w:t>
      </w:r>
      <w:r w:rsidRPr="00112AEF">
        <w:rPr>
          <w:rFonts w:ascii="Book Antiqua" w:hAnsi="Book Antiqua"/>
          <w:kern w:val="2"/>
          <w:u w:color="000000"/>
        </w:rPr>
        <w:t xml:space="preserve">nursing intervention </w:t>
      </w:r>
      <w:r w:rsidRPr="00112AEF">
        <w:rPr>
          <w:rFonts w:ascii="Book Antiqua" w:hAnsi="Book Antiqua"/>
          <w:kern w:val="2"/>
          <w:u w:color="000000"/>
          <w:lang w:eastAsia="ja-JP"/>
        </w:rPr>
        <w:t xml:space="preserve">for </w:t>
      </w:r>
      <w:r w:rsidRPr="00112AEF">
        <w:rPr>
          <w:rFonts w:ascii="Book Antiqua" w:hAnsi="Book Antiqua"/>
          <w:kern w:val="2"/>
          <w:u w:color="000000"/>
        </w:rPr>
        <w:t>sorafenib therapy</w:t>
      </w:r>
      <w:r w:rsidRPr="00112AEF">
        <w:rPr>
          <w:rFonts w:ascii="Book Antiqua" w:hAnsi="Book Antiqua"/>
          <w:kern w:val="2"/>
          <w:u w:color="000000"/>
          <w:lang w:eastAsia="ja-JP"/>
        </w:rPr>
        <w:t xml:space="preserve"> in patients with hepatocellular carcinoma (HCC)</w:t>
      </w:r>
      <w:r w:rsidRPr="00112AEF">
        <w:rPr>
          <w:rFonts w:ascii="Book Antiqua" w:hAnsi="Book Antiqua"/>
          <w:kern w:val="2"/>
          <w:u w:color="000000"/>
        </w:rPr>
        <w:t>.</w:t>
      </w:r>
    </w:p>
    <w:p w:rsidR="00AD473F" w:rsidRPr="00112AEF" w:rsidRDefault="00AD473F" w:rsidP="002F5E25">
      <w:pPr>
        <w:widowControl w:val="0"/>
        <w:spacing w:line="360" w:lineRule="auto"/>
        <w:jc w:val="both"/>
        <w:outlineLvl w:val="0"/>
        <w:rPr>
          <w:rFonts w:ascii="Book Antiqua" w:hAnsi="Book Antiqua"/>
          <w:b/>
          <w:kern w:val="2"/>
          <w:u w:color="000000"/>
          <w:lang w:eastAsia="ja-JP"/>
        </w:rPr>
      </w:pPr>
    </w:p>
    <w:p w:rsidR="00AD473F" w:rsidRPr="00112AEF" w:rsidRDefault="00AD473F" w:rsidP="002F5E25">
      <w:pPr>
        <w:widowControl w:val="0"/>
        <w:spacing w:line="360" w:lineRule="auto"/>
        <w:jc w:val="both"/>
        <w:outlineLvl w:val="0"/>
        <w:rPr>
          <w:rFonts w:ascii="Book Antiqua" w:eastAsia="宋体" w:hAnsi="Book Antiqua"/>
          <w:strike/>
          <w:kern w:val="2"/>
          <w:u w:color="000000"/>
          <w:lang w:eastAsia="zh-CN"/>
        </w:rPr>
      </w:pPr>
      <w:r w:rsidRPr="00112AEF">
        <w:rPr>
          <w:rFonts w:ascii="Book Antiqua" w:hAnsi="Book Antiqua"/>
          <w:b/>
          <w:kern w:val="2"/>
          <w:u w:color="000000"/>
          <w:lang w:eastAsia="ja-JP"/>
        </w:rPr>
        <w:t>METHODS</w:t>
      </w:r>
      <w:r w:rsidRPr="00112AEF">
        <w:rPr>
          <w:rFonts w:ascii="Book Antiqua" w:hAnsi="Book Antiqua"/>
          <w:b/>
          <w:kern w:val="2"/>
          <w:u w:color="000000"/>
        </w:rPr>
        <w:t xml:space="preserve">: </w:t>
      </w:r>
      <w:r w:rsidRPr="00112AEF">
        <w:rPr>
          <w:rFonts w:ascii="Book Antiqua" w:hAnsi="Book Antiqua"/>
          <w:kern w:val="2"/>
          <w:u w:color="000000"/>
        </w:rPr>
        <w:t>We enrolled 37 consecutive patients with advanced</w:t>
      </w:r>
      <w:r w:rsidRPr="00112AEF">
        <w:rPr>
          <w:rFonts w:ascii="Book Antiqua" w:eastAsia="宋体" w:hAnsi="Book Antiqua"/>
          <w:kern w:val="2"/>
          <w:u w:color="000000"/>
          <w:lang w:eastAsia="zh-CN"/>
        </w:rPr>
        <w:t xml:space="preserve"> </w:t>
      </w:r>
      <w:r w:rsidRPr="00112AEF">
        <w:rPr>
          <w:rFonts w:ascii="Book Antiqua" w:hAnsi="Book Antiqua"/>
          <w:kern w:val="2"/>
          <w:u w:color="000000"/>
        </w:rPr>
        <w:t>HCC who received sorafenib therapy</w:t>
      </w:r>
      <w:r w:rsidRPr="00112AEF">
        <w:rPr>
          <w:rFonts w:ascii="Book Antiqua" w:hAnsi="Book Antiqua"/>
          <w:kern w:val="2"/>
          <w:u w:color="000000"/>
          <w:lang w:eastAsia="ja-JP"/>
        </w:rPr>
        <w:t xml:space="preserve">Relationships among baseline characteristics as well as AE occurrence and tumor response, overall survival (OS), and treatment duration were analyzed. </w:t>
      </w:r>
      <w:r w:rsidRPr="00112AEF">
        <w:rPr>
          <w:rFonts w:ascii="Book Antiqua" w:hAnsi="Book Antiqua"/>
          <w:kern w:val="2"/>
          <w:u w:color="000000"/>
        </w:rPr>
        <w:t>The nursing intervention program consisted of education regarding self-monitoring and AE</w:t>
      </w:r>
      <w:r w:rsidRPr="00112AEF">
        <w:rPr>
          <w:rFonts w:ascii="Book Antiqua" w:hAnsi="Book Antiqua"/>
          <w:kern w:val="2"/>
          <w:u w:color="000000"/>
          <w:lang w:eastAsia="ja-JP"/>
        </w:rPr>
        <w:t>s</w:t>
      </w:r>
      <w:r w:rsidRPr="00112AEF">
        <w:rPr>
          <w:rFonts w:ascii="Book Antiqua" w:hAnsi="Book Antiqua"/>
          <w:kern w:val="2"/>
          <w:u w:color="000000"/>
        </w:rPr>
        <w:t xml:space="preserve"> management, and telephone follow-up was provided once in 1-2 wk</w:t>
      </w:r>
      <w:r w:rsidRPr="00112AEF">
        <w:rPr>
          <w:rFonts w:ascii="Book Antiqua" w:hAnsi="Book Antiqua"/>
          <w:kern w:val="2"/>
          <w:u w:color="000000"/>
          <w:lang w:eastAsia="ja-JP"/>
        </w:rPr>
        <w:t xml:space="preserve">. </w:t>
      </w:r>
    </w:p>
    <w:p w:rsidR="00AD473F" w:rsidRPr="00112AEF" w:rsidRDefault="00AD473F" w:rsidP="002F5E25">
      <w:pPr>
        <w:widowControl w:val="0"/>
        <w:spacing w:line="360" w:lineRule="auto"/>
        <w:jc w:val="both"/>
        <w:outlineLvl w:val="0"/>
        <w:rPr>
          <w:rFonts w:ascii="Book Antiqua" w:eastAsia="宋体" w:hAnsi="Book Antiqua"/>
          <w:b/>
          <w:kern w:val="2"/>
          <w:u w:color="000000"/>
          <w:lang w:eastAsia="zh-CN"/>
        </w:rPr>
      </w:pPr>
    </w:p>
    <w:p w:rsidR="00AD473F" w:rsidRPr="00112AEF" w:rsidRDefault="00AD473F" w:rsidP="002F5E25">
      <w:pPr>
        <w:widowControl w:val="0"/>
        <w:spacing w:line="360" w:lineRule="auto"/>
        <w:jc w:val="both"/>
        <w:outlineLvl w:val="0"/>
        <w:rPr>
          <w:rFonts w:ascii="Book Antiqua" w:hAnsi="Book Antiqua"/>
          <w:strike/>
          <w:kern w:val="2"/>
          <w:u w:color="000000"/>
        </w:rPr>
      </w:pPr>
      <w:r w:rsidRPr="00112AEF">
        <w:rPr>
          <w:rFonts w:ascii="Book Antiqua" w:hAnsi="Book Antiqua"/>
          <w:b/>
          <w:kern w:val="2"/>
          <w:u w:color="000000"/>
          <w:lang w:eastAsia="ja-JP"/>
        </w:rPr>
        <w:t>RESULTS</w:t>
      </w:r>
      <w:r w:rsidRPr="00112AEF">
        <w:rPr>
          <w:rFonts w:ascii="Book Antiqua" w:hAnsi="Book Antiqua"/>
          <w:b/>
          <w:kern w:val="2"/>
          <w:u w:color="000000"/>
        </w:rPr>
        <w:t>:</w:t>
      </w:r>
      <w:r w:rsidRPr="00112AEF">
        <w:rPr>
          <w:rFonts w:ascii="Book Antiqua" w:hAnsi="Book Antiqua"/>
          <w:kern w:val="2"/>
          <w:u w:color="000000"/>
        </w:rPr>
        <w:t xml:space="preserve"> A total of 37 patients were enrolled in the study, comprising 30 males (81%) with a median age of 71 years</w:t>
      </w:r>
      <w:r w:rsidRPr="00112AEF">
        <w:rPr>
          <w:rFonts w:ascii="Book Antiqua" w:hAnsi="Book Antiqua"/>
          <w:kern w:val="2"/>
          <w:u w:color="000000"/>
          <w:lang w:eastAsia="ja-JP"/>
        </w:rPr>
        <w:t>.</w:t>
      </w:r>
      <w:r w:rsidRPr="00112AEF">
        <w:rPr>
          <w:rFonts w:ascii="Book Antiqua" w:hAnsi="Book Antiqua"/>
          <w:kern w:val="2"/>
          <w:u w:color="000000"/>
        </w:rPr>
        <w:t xml:space="preserve"> The disease control rate </w:t>
      </w:r>
      <w:r w:rsidRPr="00112AEF">
        <w:rPr>
          <w:rFonts w:ascii="Book Antiqua" w:hAnsi="Book Antiqua"/>
          <w:kern w:val="2"/>
          <w:u w:color="000000"/>
          <w:lang w:eastAsia="ja-JP"/>
        </w:rPr>
        <w:t xml:space="preserve">at 3 mo </w:t>
      </w:r>
      <w:r w:rsidRPr="00112AEF">
        <w:rPr>
          <w:rFonts w:ascii="Book Antiqua" w:hAnsi="Book Antiqua"/>
          <w:kern w:val="2"/>
          <w:u w:color="000000"/>
        </w:rPr>
        <w:t>was 41%, and the median OS and treatment duration were 259 and 108 d, respectively. Nursing intervention was given to 24 patients (65%).</w:t>
      </w:r>
      <w:r w:rsidRPr="00112AEF">
        <w:rPr>
          <w:rFonts w:ascii="Book Antiqua" w:hAnsi="Book Antiqua"/>
          <w:kern w:val="2"/>
          <w:u w:color="000000"/>
          <w:lang w:eastAsia="ja-JP"/>
        </w:rPr>
        <w:t xml:space="preserve"> </w:t>
      </w:r>
      <w:r w:rsidRPr="00112AEF">
        <w:rPr>
          <w:rFonts w:ascii="Book Antiqua" w:hAnsi="Book Antiqua"/>
          <w:kern w:val="2"/>
          <w:u w:color="000000"/>
        </w:rPr>
        <w:t xml:space="preserve">Every patient exhibited some kinds of AEs, but no patients experienced G4 AEs. Frequently observed AEs &gt; G2 included anorexia (57%), skin toxicity (57%), </w:t>
      </w:r>
      <w:r w:rsidRPr="00112AEF">
        <w:rPr>
          <w:rFonts w:ascii="Book Antiqua" w:hAnsi="Book Antiqua"/>
          <w:kern w:val="2"/>
          <w:u w:color="000000"/>
          <w:lang w:eastAsia="ja-JP"/>
        </w:rPr>
        <w:t xml:space="preserve">and </w:t>
      </w:r>
      <w:r w:rsidRPr="00112AEF">
        <w:rPr>
          <w:rFonts w:ascii="Book Antiqua" w:hAnsi="Book Antiqua"/>
          <w:kern w:val="2"/>
          <w:u w:color="000000"/>
        </w:rPr>
        <w:t>fatigue (54%)</w:t>
      </w:r>
      <w:r w:rsidRPr="00112AEF">
        <w:rPr>
          <w:rFonts w:ascii="Book Antiqua" w:hAnsi="Book Antiqua"/>
          <w:kern w:val="2"/>
          <w:u w:color="000000"/>
          <w:lang w:eastAsia="ja-JP"/>
        </w:rPr>
        <w:t xml:space="preserve">. Factors significantly associated with longer OS in multivariate analysis demonstrated that age </w:t>
      </w:r>
      <w:r w:rsidRPr="00112AEF">
        <w:rPr>
          <w:rFonts w:ascii="Book Antiqua" w:hAnsi="Book Antiqua"/>
          <w:kern w:val="2"/>
          <w:u w:color="000000"/>
        </w:rPr>
        <w:sym w:font="Symbol" w:char="F0A3"/>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70 years, presence of &gt;</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G2 skin toxicity, and absence of &gt;</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G2 hypoalbuminemia.</w:t>
      </w:r>
      <w:r w:rsidRPr="00112AEF">
        <w:rPr>
          <w:rFonts w:ascii="Book Antiqua" w:hAnsi="Book Antiqua"/>
          <w:lang w:eastAsia="ja-JP"/>
        </w:rPr>
        <w:t xml:space="preserve"> </w:t>
      </w:r>
      <w:r w:rsidRPr="00112AEF">
        <w:rPr>
          <w:rFonts w:ascii="Book Antiqua" w:hAnsi="Book Antiqua"/>
          <w:kern w:val="2"/>
          <w:u w:color="000000"/>
          <w:lang w:eastAsia="ja-JP"/>
        </w:rPr>
        <w:t>The disease control rate in patients with &gt;</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 xml:space="preserve">G2 </w:t>
      </w:r>
      <w:r w:rsidRPr="00112AEF">
        <w:rPr>
          <w:rFonts w:ascii="Book Antiqua" w:hAnsi="Book Antiqua"/>
          <w:kern w:val="2"/>
          <w:u w:color="000000"/>
          <w:lang w:eastAsia="ja-JP"/>
        </w:rPr>
        <w:lastRenderedPageBreak/>
        <w:t>skin toxicity was 13/20 (65%), which was significantly higher compared with that in patients with no or G1 skin toxicity. Multivariate analysis revealed that nursing intervention  and &gt;</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G2 skin toxicity were independent significant predictors for longer treatment duration.</w:t>
      </w:r>
    </w:p>
    <w:p w:rsidR="00AD473F" w:rsidRPr="00112AEF" w:rsidRDefault="00AD473F" w:rsidP="002F5E25">
      <w:pPr>
        <w:widowControl w:val="0"/>
        <w:spacing w:line="360" w:lineRule="auto"/>
        <w:jc w:val="both"/>
        <w:outlineLvl w:val="0"/>
        <w:rPr>
          <w:rFonts w:ascii="Book Antiqua" w:hAnsi="Book Antiqua"/>
          <w:b/>
          <w:kern w:val="2"/>
          <w:u w:color="000000"/>
          <w:lang w:eastAsia="ja-JP"/>
        </w:rPr>
      </w:pPr>
      <w:bookmarkStart w:id="65" w:name="_ENREF_14"/>
      <w:bookmarkEnd w:id="64"/>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b/>
        </w:rPr>
        <w:t>CONCLUSION:</w:t>
      </w:r>
      <w:r w:rsidRPr="00112AEF">
        <w:rPr>
          <w:rFonts w:ascii="Book Antiqua" w:hAnsi="Book Antiqua"/>
          <w:kern w:val="2"/>
          <w:u w:color="000000"/>
        </w:rPr>
        <w:t xml:space="preserve"> Skin </w:t>
      </w:r>
      <w:r w:rsidRPr="00112AEF">
        <w:rPr>
          <w:rFonts w:ascii="Book Antiqua" w:hAnsi="Book Antiqua"/>
          <w:kern w:val="2"/>
          <w:u w:color="FF0000"/>
        </w:rPr>
        <w:t xml:space="preserve">toxicity </w:t>
      </w:r>
      <w:r w:rsidRPr="00112AEF">
        <w:rPr>
          <w:rFonts w:ascii="Book Antiqua" w:hAnsi="Book Antiqua"/>
          <w:kern w:val="2"/>
          <w:u w:color="000000"/>
        </w:rPr>
        <w:t>was associated with favo</w:t>
      </w:r>
      <w:bookmarkEnd w:id="65"/>
      <w:r w:rsidRPr="00112AEF">
        <w:rPr>
          <w:rFonts w:ascii="Book Antiqua" w:hAnsi="Book Antiqua"/>
          <w:kern w:val="2"/>
          <w:u w:color="000000"/>
        </w:rPr>
        <w:t xml:space="preserve">rable outcomes with sorafenib therapy for advanced HCC. Nursing intervention contributed to better adherence, which </w:t>
      </w:r>
      <w:bookmarkStart w:id="66" w:name="_ENREF_15"/>
      <w:r w:rsidRPr="00112AEF">
        <w:rPr>
          <w:rFonts w:ascii="Book Antiqua" w:hAnsi="Book Antiqua"/>
          <w:kern w:val="2"/>
          <w:u w:color="000000"/>
        </w:rPr>
        <w:t>may improve the efficacy of sorafenib.</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p>
    <w:p w:rsidR="00AD473F" w:rsidRPr="00112AEF" w:rsidRDefault="00AD473F" w:rsidP="000C766C">
      <w:pPr>
        <w:autoSpaceDE w:val="0"/>
        <w:autoSpaceDN w:val="0"/>
        <w:adjustRightInd w:val="0"/>
        <w:rPr>
          <w:rFonts w:ascii="Book Antiqua" w:eastAsia="宋体" w:hAnsi="Book Antiqua" w:cs="Tahoma"/>
          <w:lang w:eastAsia="zh-CN"/>
        </w:rPr>
      </w:pPr>
      <w:r w:rsidRPr="00112AEF">
        <w:rPr>
          <w:rFonts w:ascii="Book Antiqua" w:hAnsi="Book Antiqua" w:cs="Tahoma"/>
          <w:lang w:eastAsia="ja-JP"/>
        </w:rPr>
        <w:t>© 201</w:t>
      </w:r>
      <w:r w:rsidRPr="00112AEF">
        <w:rPr>
          <w:rFonts w:ascii="Book Antiqua" w:hAnsi="Book Antiqua" w:cs="Tahoma"/>
        </w:rPr>
        <w:t>4</w:t>
      </w:r>
      <w:r w:rsidRPr="00112AEF">
        <w:rPr>
          <w:rFonts w:ascii="Book Antiqua" w:hAnsi="Book Antiqua" w:cs="Tahoma"/>
          <w:lang w:eastAsia="ja-JP"/>
        </w:rPr>
        <w:t xml:space="preserve"> Baishideng Publishing Group </w:t>
      </w:r>
      <w:r w:rsidRPr="00112AEF">
        <w:rPr>
          <w:rFonts w:ascii="Book Antiqua" w:hAnsi="Book Antiqua" w:cs="Tahoma"/>
        </w:rPr>
        <w:t>Inc</w:t>
      </w:r>
      <w:r w:rsidRPr="00112AEF">
        <w:rPr>
          <w:rFonts w:ascii="Book Antiqua" w:hAnsi="Book Antiqua" w:cs="Tahoma"/>
          <w:lang w:eastAsia="ja-JP"/>
        </w:rPr>
        <w:t>. All rights</w:t>
      </w:r>
      <w:r w:rsidRPr="00112AEF">
        <w:rPr>
          <w:rFonts w:ascii="Book Antiqua" w:hAnsi="Book Antiqua" w:cs="Tahoma"/>
        </w:rPr>
        <w:t xml:space="preserve"> </w:t>
      </w:r>
      <w:r w:rsidRPr="00112AEF">
        <w:rPr>
          <w:rFonts w:ascii="Book Antiqua" w:hAnsi="Book Antiqua" w:cs="Tahoma"/>
          <w:lang w:eastAsia="ja-JP"/>
        </w:rPr>
        <w:t>reserved.</w:t>
      </w:r>
    </w:p>
    <w:p w:rsidR="00AD473F" w:rsidRPr="00112AEF" w:rsidRDefault="00AD473F" w:rsidP="002F5E25">
      <w:pPr>
        <w:widowControl w:val="0"/>
        <w:spacing w:line="360" w:lineRule="auto"/>
        <w:jc w:val="both"/>
        <w:outlineLvl w:val="0"/>
        <w:rPr>
          <w:rFonts w:ascii="Book Antiqua" w:hAnsi="Book Antiqua"/>
          <w:kern w:val="2"/>
          <w:u w:color="000000"/>
          <w:lang w:eastAsia="ja-JP"/>
        </w:rPr>
      </w:pPr>
    </w:p>
    <w:p w:rsidR="00AD473F" w:rsidRPr="00112AEF" w:rsidRDefault="00AD473F" w:rsidP="002F5E25">
      <w:pPr>
        <w:widowControl w:val="0"/>
        <w:spacing w:line="360" w:lineRule="auto"/>
        <w:jc w:val="both"/>
        <w:outlineLvl w:val="0"/>
        <w:rPr>
          <w:rFonts w:ascii="Book Antiqua" w:hAnsi="Book Antiqua"/>
          <w:kern w:val="2"/>
          <w:u w:color="000000"/>
          <w:lang w:eastAsia="ja-JP"/>
        </w:rPr>
      </w:pPr>
      <w:r w:rsidRPr="00112AEF">
        <w:rPr>
          <w:rFonts w:ascii="Book Antiqua" w:hAnsi="Book Antiqua"/>
          <w:b/>
          <w:kern w:val="2"/>
          <w:u w:color="000000"/>
        </w:rPr>
        <w:t>Key</w:t>
      </w:r>
      <w:r w:rsidR="00150DB3" w:rsidRPr="00E104ED">
        <w:rPr>
          <w:rFonts w:ascii="Book Antiqua" w:eastAsia="宋体" w:hAnsi="Book Antiqua" w:hint="eastAsia"/>
          <w:b/>
          <w:kern w:val="2"/>
          <w:u w:color="000000"/>
          <w:lang w:eastAsia="zh-CN"/>
        </w:rPr>
        <w:t xml:space="preserve"> </w:t>
      </w:r>
      <w:r w:rsidRPr="00112AEF">
        <w:rPr>
          <w:rFonts w:ascii="Book Antiqua" w:hAnsi="Book Antiqua"/>
          <w:b/>
          <w:kern w:val="2"/>
          <w:u w:color="000000"/>
        </w:rPr>
        <w:t>words:</w:t>
      </w:r>
      <w:r w:rsidRPr="00112AEF">
        <w:rPr>
          <w:rFonts w:ascii="Book Antiqua" w:hAnsi="Book Antiqua"/>
          <w:kern w:val="2"/>
          <w:u w:color="000000"/>
        </w:rPr>
        <w:t xml:space="preserve"> </w:t>
      </w:r>
      <w:r w:rsidRPr="00112AEF">
        <w:rPr>
          <w:rFonts w:ascii="Book Antiqua" w:hAnsi="Book Antiqua"/>
          <w:kern w:val="2"/>
          <w:u w:color="000000"/>
          <w:lang w:eastAsia="ja-JP"/>
        </w:rPr>
        <w:t>Hepatocellular</w:t>
      </w:r>
      <w:r w:rsidRPr="00112AEF">
        <w:rPr>
          <w:rFonts w:ascii="Book Antiqua" w:hAnsi="Book Antiqua"/>
          <w:kern w:val="2"/>
          <w:u w:color="000000"/>
        </w:rPr>
        <w:t xml:space="preserve"> carcinoma</w:t>
      </w:r>
      <w:r w:rsidRPr="00112AEF">
        <w:rPr>
          <w:rFonts w:ascii="Book Antiqua" w:hAnsi="Book Antiqua"/>
          <w:kern w:val="2"/>
          <w:u w:color="000000"/>
          <w:lang w:eastAsia="ja-JP"/>
        </w:rPr>
        <w:t>;</w:t>
      </w:r>
      <w:r w:rsidRPr="00112AEF">
        <w:rPr>
          <w:rFonts w:ascii="Book Antiqua" w:hAnsi="Book Antiqua"/>
          <w:kern w:val="2"/>
          <w:u w:color="000000"/>
        </w:rPr>
        <w:t xml:space="preserve"> </w:t>
      </w:r>
      <w:r w:rsidRPr="00112AEF">
        <w:rPr>
          <w:rFonts w:ascii="Book Antiqua" w:hAnsi="Book Antiqua"/>
          <w:kern w:val="2"/>
          <w:u w:color="000000"/>
          <w:lang w:eastAsia="ja-JP"/>
        </w:rPr>
        <w:t>Molecular targeted therapy;</w:t>
      </w:r>
      <w:r w:rsidRPr="00112AEF">
        <w:rPr>
          <w:rFonts w:ascii="Book Antiqua" w:hAnsi="Book Antiqua"/>
          <w:kern w:val="2"/>
          <w:u w:color="000000"/>
        </w:rPr>
        <w:t xml:space="preserve"> Drug </w:t>
      </w:r>
      <w:r w:rsidRPr="00112AEF">
        <w:rPr>
          <w:rFonts w:ascii="Book Antiqua" w:hAnsi="Book Antiqua"/>
          <w:kern w:val="2"/>
          <w:u w:color="000000"/>
          <w:lang w:eastAsia="ja-JP"/>
        </w:rPr>
        <w:t>t</w:t>
      </w:r>
      <w:r w:rsidRPr="00112AEF">
        <w:rPr>
          <w:rFonts w:ascii="Book Antiqua" w:hAnsi="Book Antiqua"/>
          <w:kern w:val="2"/>
          <w:u w:color="000000"/>
        </w:rPr>
        <w:t>oxicity</w:t>
      </w:r>
      <w:r w:rsidRPr="00112AEF">
        <w:rPr>
          <w:rFonts w:ascii="Book Antiqua" w:hAnsi="Book Antiqua"/>
          <w:kern w:val="2"/>
          <w:u w:color="000000"/>
          <w:lang w:eastAsia="ja-JP"/>
        </w:rPr>
        <w:t>;</w:t>
      </w:r>
      <w:r w:rsidRPr="00112AEF">
        <w:rPr>
          <w:rFonts w:ascii="Book Antiqua" w:hAnsi="Book Antiqua"/>
          <w:kern w:val="2"/>
          <w:u w:color="000000"/>
        </w:rPr>
        <w:t xml:space="preserve"> </w:t>
      </w:r>
      <w:r w:rsidRPr="00112AEF">
        <w:rPr>
          <w:rFonts w:ascii="Book Antiqua" w:hAnsi="Book Antiqua"/>
          <w:kern w:val="2"/>
          <w:u w:color="000000"/>
          <w:lang w:eastAsia="ja-JP"/>
        </w:rPr>
        <w:t>S</w:t>
      </w:r>
      <w:r w:rsidRPr="00112AEF">
        <w:rPr>
          <w:rFonts w:ascii="Book Antiqua" w:hAnsi="Book Antiqua"/>
          <w:kern w:val="2"/>
          <w:u w:color="000000"/>
        </w:rPr>
        <w:t>urrogate marker</w:t>
      </w:r>
      <w:r w:rsidRPr="00112AEF">
        <w:rPr>
          <w:rFonts w:ascii="Book Antiqua" w:hAnsi="Book Antiqua"/>
          <w:kern w:val="2"/>
          <w:u w:color="000000"/>
          <w:lang w:eastAsia="ja-JP"/>
        </w:rPr>
        <w:t>;</w:t>
      </w:r>
      <w:r w:rsidRPr="00112AEF">
        <w:rPr>
          <w:rFonts w:ascii="Book Antiqua" w:hAnsi="Book Antiqua"/>
          <w:kern w:val="2"/>
          <w:u w:color="000000"/>
        </w:rPr>
        <w:t xml:space="preserve"> </w:t>
      </w:r>
      <w:r w:rsidRPr="00112AEF">
        <w:rPr>
          <w:rFonts w:ascii="Book Antiqua" w:hAnsi="Book Antiqua"/>
          <w:kern w:val="2"/>
          <w:u w:color="000000"/>
          <w:lang w:eastAsia="ja-JP"/>
        </w:rPr>
        <w:t>N</w:t>
      </w:r>
      <w:r w:rsidRPr="00112AEF">
        <w:rPr>
          <w:rFonts w:ascii="Book Antiqua" w:hAnsi="Book Antiqua"/>
          <w:kern w:val="2"/>
          <w:u w:color="000000"/>
        </w:rPr>
        <w:t>ursing intervention</w:t>
      </w:r>
    </w:p>
    <w:p w:rsidR="00AD473F" w:rsidRPr="00112AEF" w:rsidRDefault="00AD473F" w:rsidP="002F5E25">
      <w:pPr>
        <w:widowControl w:val="0"/>
        <w:spacing w:line="360" w:lineRule="auto"/>
        <w:jc w:val="both"/>
        <w:outlineLvl w:val="0"/>
        <w:rPr>
          <w:rFonts w:ascii="Book Antiqua" w:hAnsi="Book Antiqua"/>
          <w:kern w:val="2"/>
          <w:u w:color="000000"/>
          <w:lang w:eastAsia="ja-JP"/>
        </w:rPr>
      </w:pP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b/>
        </w:rPr>
        <w:t>Core tip:</w:t>
      </w:r>
      <w:r w:rsidRPr="00112AEF">
        <w:rPr>
          <w:rFonts w:ascii="Book Antiqua" w:eastAsia="宋体" w:hAnsi="Book Antiqua"/>
          <w:b/>
          <w:lang w:eastAsia="zh-CN"/>
        </w:rPr>
        <w:t xml:space="preserve"> </w:t>
      </w:r>
      <w:r w:rsidRPr="00112AEF">
        <w:rPr>
          <w:rFonts w:ascii="Book Antiqua" w:hAnsi="Book Antiqua"/>
          <w:kern w:val="2"/>
          <w:u w:color="000000"/>
          <w:lang w:eastAsia="ja-JP"/>
        </w:rPr>
        <w:t xml:space="preserve">Sorafenib therapy for advanced hepatocellular carcinoma (HCC) often causes adverse events (AEs), subsequently leading to dose reduction or discontinuation. Conversely, few studies have associated serious AEs with a favorable response to sorafenib. We aimed to elucidate the relationship between AEs occurrence, therapeutic efficacy, and the impact of nursing intervention on adherence to therapy. We observed that skin toxicity was associated with favorable outcomes in sorafenib therapy for advanced HCC. Furthermore nursing intervention contributed to better adherence, which may improve the efficacy of sorafenib therapy. </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p>
    <w:p w:rsidR="00AD473F" w:rsidRPr="00112AEF" w:rsidRDefault="00AD473F" w:rsidP="00A91F49">
      <w:pPr>
        <w:spacing w:line="360" w:lineRule="auto"/>
        <w:rPr>
          <w:rFonts w:ascii="Book Antiqua" w:hAnsi="Book Antiqua"/>
          <w:iCs/>
        </w:rPr>
      </w:pPr>
      <w:r w:rsidRPr="00112AEF">
        <w:rPr>
          <w:rFonts w:ascii="Book Antiqua" w:hAnsi="Book Antiqua"/>
          <w:kern w:val="2"/>
          <w:lang w:eastAsia="ja-JP"/>
        </w:rPr>
        <w:t>Shomura</w:t>
      </w:r>
      <w:r>
        <w:rPr>
          <w:rFonts w:ascii="Book Antiqua" w:eastAsia="宋体" w:hAnsi="Book Antiqua"/>
          <w:kern w:val="2"/>
          <w:lang w:eastAsia="zh-CN"/>
        </w:rPr>
        <w:t xml:space="preserve"> M</w:t>
      </w:r>
      <w:r w:rsidRPr="00112AEF">
        <w:rPr>
          <w:rFonts w:ascii="Book Antiqua" w:hAnsi="Book Antiqua"/>
          <w:kern w:val="2"/>
          <w:lang w:eastAsia="ja-JP"/>
        </w:rPr>
        <w:t>, Kagawa</w:t>
      </w:r>
      <w:r>
        <w:rPr>
          <w:rFonts w:ascii="Book Antiqua" w:eastAsia="宋体" w:hAnsi="Book Antiqua"/>
          <w:kern w:val="2"/>
          <w:lang w:eastAsia="zh-CN"/>
        </w:rPr>
        <w:t xml:space="preserve"> T</w:t>
      </w:r>
      <w:r w:rsidRPr="00112AEF">
        <w:rPr>
          <w:rFonts w:ascii="Book Antiqua" w:hAnsi="Book Antiqua"/>
          <w:kern w:val="2"/>
          <w:lang w:eastAsia="ja-JP"/>
        </w:rPr>
        <w:t>, Shiraishi</w:t>
      </w:r>
      <w:r>
        <w:rPr>
          <w:rFonts w:ascii="Book Antiqua" w:eastAsia="宋体" w:hAnsi="Book Antiqua"/>
          <w:kern w:val="2"/>
          <w:lang w:eastAsia="zh-CN"/>
        </w:rPr>
        <w:t xml:space="preserve"> K</w:t>
      </w:r>
      <w:r w:rsidRPr="00112AEF">
        <w:rPr>
          <w:rFonts w:ascii="Book Antiqua" w:hAnsi="Book Antiqua"/>
          <w:kern w:val="2"/>
          <w:lang w:eastAsia="ja-JP"/>
        </w:rPr>
        <w:t>, Hirose</w:t>
      </w:r>
      <w:r>
        <w:rPr>
          <w:rFonts w:ascii="Book Antiqua" w:eastAsia="宋体" w:hAnsi="Book Antiqua"/>
          <w:kern w:val="2"/>
          <w:lang w:eastAsia="zh-CN"/>
        </w:rPr>
        <w:t xml:space="preserve"> S</w:t>
      </w:r>
      <w:r w:rsidRPr="00112AEF">
        <w:rPr>
          <w:rFonts w:ascii="Book Antiqua" w:hAnsi="Book Antiqua"/>
          <w:kern w:val="2"/>
          <w:lang w:eastAsia="ja-JP"/>
        </w:rPr>
        <w:t xml:space="preserve">, </w:t>
      </w:r>
      <w:r>
        <w:rPr>
          <w:rFonts w:ascii="Book Antiqua" w:hAnsi="Book Antiqua"/>
          <w:kern w:val="2"/>
          <w:lang w:eastAsia="ja-JP"/>
        </w:rPr>
        <w:t>Arase</w:t>
      </w:r>
      <w:r>
        <w:rPr>
          <w:rFonts w:ascii="Book Antiqua" w:eastAsia="宋体" w:hAnsi="Book Antiqua"/>
          <w:kern w:val="2"/>
          <w:lang w:eastAsia="zh-CN"/>
        </w:rPr>
        <w:t xml:space="preserve"> Y</w:t>
      </w:r>
      <w:r>
        <w:rPr>
          <w:rFonts w:ascii="Book Antiqua" w:hAnsi="Book Antiqua"/>
          <w:kern w:val="2"/>
          <w:lang w:eastAsia="ja-JP"/>
        </w:rPr>
        <w:t>, Koizumi</w:t>
      </w:r>
      <w:r>
        <w:rPr>
          <w:rFonts w:ascii="Book Antiqua" w:eastAsia="宋体" w:hAnsi="Book Antiqua"/>
          <w:kern w:val="2"/>
          <w:lang w:eastAsia="zh-CN"/>
        </w:rPr>
        <w:t xml:space="preserve"> J</w:t>
      </w:r>
      <w:r>
        <w:rPr>
          <w:rFonts w:ascii="Book Antiqua" w:hAnsi="Book Antiqua"/>
          <w:kern w:val="2"/>
          <w:lang w:eastAsia="ja-JP"/>
        </w:rPr>
        <w:t xml:space="preserve">, </w:t>
      </w:r>
      <w:r w:rsidRPr="00112AEF">
        <w:rPr>
          <w:rFonts w:ascii="Book Antiqua" w:hAnsi="Book Antiqua"/>
          <w:kern w:val="2"/>
          <w:lang w:eastAsia="ja-JP"/>
        </w:rPr>
        <w:t>Mine</w:t>
      </w:r>
      <w:r>
        <w:rPr>
          <w:rFonts w:ascii="Book Antiqua" w:eastAsia="宋体" w:hAnsi="Book Antiqua"/>
          <w:kern w:val="2"/>
          <w:lang w:eastAsia="zh-CN"/>
        </w:rPr>
        <w:t xml:space="preserve"> T</w:t>
      </w:r>
      <w:r w:rsidRPr="00112AEF">
        <w:rPr>
          <w:rFonts w:ascii="Book Antiqua" w:eastAsia="宋体" w:hAnsi="Book Antiqua"/>
          <w:kern w:val="2"/>
          <w:lang w:eastAsia="zh-CN"/>
        </w:rPr>
        <w:t xml:space="preserve">. </w:t>
      </w:r>
      <w:r w:rsidRPr="00112AEF">
        <w:rPr>
          <w:rFonts w:ascii="Book Antiqua" w:hAnsi="Book Antiqua"/>
          <w:kern w:val="2"/>
          <w:lang w:eastAsia="zh-CN"/>
        </w:rPr>
        <w:t xml:space="preserve">Skin toxicity predicts </w:t>
      </w:r>
      <w:r w:rsidRPr="00112AEF">
        <w:rPr>
          <w:rFonts w:ascii="Book Antiqua" w:hAnsi="Book Antiqua"/>
          <w:kern w:val="2"/>
          <w:lang w:eastAsia="ja-JP"/>
        </w:rPr>
        <w:t>efficacy</w:t>
      </w:r>
      <w:r w:rsidRPr="00112AEF">
        <w:rPr>
          <w:rFonts w:ascii="Book Antiqua" w:hAnsi="Book Antiqua"/>
          <w:kern w:val="2"/>
          <w:lang w:eastAsia="zh-CN"/>
        </w:rPr>
        <w:t xml:space="preserve"> to sorafenib in patients with advanced hepatocellular carcinoma</w:t>
      </w:r>
      <w:r w:rsidRPr="00112AEF">
        <w:rPr>
          <w:rFonts w:ascii="Book Antiqua" w:eastAsia="宋体" w:hAnsi="Book Antiqua"/>
          <w:kern w:val="2"/>
          <w:lang w:eastAsia="zh-CN"/>
        </w:rPr>
        <w:t xml:space="preserve">. </w:t>
      </w:r>
      <w:r w:rsidRPr="00112AEF">
        <w:rPr>
          <w:rFonts w:ascii="Book Antiqua" w:hAnsi="Book Antiqua"/>
          <w:i/>
          <w:iCs/>
        </w:rPr>
        <w:t>World J Hepatol</w:t>
      </w:r>
      <w:r w:rsidRPr="00112AEF">
        <w:rPr>
          <w:rFonts w:ascii="Book Antiqua" w:eastAsia="宋体" w:hAnsi="Book Antiqua"/>
          <w:i/>
          <w:iCs/>
          <w:lang w:eastAsia="zh-CN"/>
        </w:rPr>
        <w:t xml:space="preserve"> </w:t>
      </w:r>
      <w:r w:rsidRPr="00112AEF">
        <w:rPr>
          <w:rFonts w:ascii="Book Antiqua" w:eastAsia="宋体" w:hAnsi="Book Antiqua"/>
          <w:iCs/>
          <w:lang w:eastAsia="zh-CN"/>
        </w:rPr>
        <w:t>2014</w:t>
      </w:r>
      <w:r>
        <w:rPr>
          <w:rFonts w:ascii="Book Antiqua" w:eastAsia="宋体" w:hAnsi="Book Antiqua"/>
          <w:iCs/>
          <w:lang w:eastAsia="zh-CN"/>
        </w:rPr>
        <w:t xml:space="preserve">; </w:t>
      </w:r>
      <w:r w:rsidRPr="00112AEF">
        <w:rPr>
          <w:rFonts w:ascii="Book Antiqua" w:hAnsi="Book Antiqua"/>
          <w:iCs/>
        </w:rPr>
        <w:t>In press</w:t>
      </w:r>
    </w:p>
    <w:p w:rsidR="00AD473F" w:rsidRPr="00112AEF" w:rsidRDefault="00AD473F" w:rsidP="002F5E25">
      <w:pPr>
        <w:widowControl w:val="0"/>
        <w:spacing w:line="360" w:lineRule="auto"/>
        <w:jc w:val="both"/>
        <w:outlineLvl w:val="0"/>
        <w:rPr>
          <w:rFonts w:ascii="Book Antiqua" w:eastAsia="宋体" w:hAnsi="Book Antiqua"/>
          <w:strike/>
          <w:kern w:val="2"/>
          <w:u w:color="000000"/>
          <w:lang w:eastAsia="zh-CN"/>
        </w:rPr>
      </w:pP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b/>
        </w:rPr>
        <w:t>INTRODUCTION</w:t>
      </w:r>
      <w:r w:rsidRPr="00112AEF">
        <w:rPr>
          <w:rFonts w:ascii="Book Antiqua" w:hAnsi="Book Antiqua"/>
          <w:kern w:val="2"/>
          <w:u w:color="000000"/>
        </w:rPr>
        <w:t xml:space="preserve"> </w:t>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kern w:val="2"/>
          <w:u w:color="000000"/>
        </w:rPr>
        <w:t>Hepa</w:t>
      </w:r>
      <w:bookmarkEnd w:id="66"/>
      <w:r w:rsidRPr="00112AEF">
        <w:rPr>
          <w:rFonts w:ascii="Book Antiqua" w:hAnsi="Book Antiqua"/>
          <w:kern w:val="2"/>
          <w:u w:color="000000"/>
        </w:rPr>
        <w:t>tocellular carcinoma (HCC) is the third leading cause of cancer-related deaths worldwide</w:t>
      </w:r>
      <w:r w:rsidRPr="00112AEF">
        <w:rPr>
          <w:rFonts w:ascii="Book Antiqua" w:hAnsi="Book Antiqua"/>
          <w:kern w:val="2"/>
          <w:u w:color="000000"/>
          <w:vertAlign w:val="superscript"/>
        </w:rPr>
        <w:t>[</w:t>
      </w:r>
      <w:r w:rsidRPr="00112AEF">
        <w:rPr>
          <w:rFonts w:ascii="Book Antiqua" w:hAnsi="Book Antiqua"/>
          <w:vertAlign w:val="superscript"/>
        </w:rPr>
        <w:t>1</w:t>
      </w:r>
      <w:r w:rsidRPr="00112AEF">
        <w:rPr>
          <w:rFonts w:ascii="Book Antiqua" w:hAnsi="Book Antiqua"/>
          <w:kern w:val="2"/>
          <w:u w:color="000000"/>
          <w:vertAlign w:val="superscript"/>
        </w:rPr>
        <w:t xml:space="preserve">, </w:t>
      </w:r>
      <w:r w:rsidRPr="00112AEF">
        <w:rPr>
          <w:rFonts w:ascii="Book Antiqua" w:hAnsi="Book Antiqua"/>
          <w:vertAlign w:val="superscript"/>
        </w:rPr>
        <w:t>2</w:t>
      </w:r>
      <w:r w:rsidRPr="00112AEF">
        <w:rPr>
          <w:rFonts w:ascii="Book Antiqua" w:hAnsi="Book Antiqua"/>
          <w:kern w:val="2"/>
          <w:u w:color="000000"/>
          <w:vertAlign w:val="superscript"/>
        </w:rPr>
        <w:t>]</w:t>
      </w:r>
      <w:r w:rsidRPr="00112AEF">
        <w:rPr>
          <w:rFonts w:ascii="Book Antiqua" w:hAnsi="Book Antiqua"/>
          <w:kern w:val="2"/>
          <w:u w:color="000000"/>
        </w:rPr>
        <w:t>;</w:t>
      </w:r>
      <w:r w:rsidRPr="00112AEF">
        <w:rPr>
          <w:rFonts w:ascii="Book Antiqua" w:hAnsi="Book Antiqua"/>
          <w:kern w:val="2"/>
          <w:u w:color="FF0000"/>
        </w:rPr>
        <w:t xml:space="preserve"> in addition, it is </w:t>
      </w:r>
      <w:r w:rsidRPr="00112AEF">
        <w:rPr>
          <w:rFonts w:ascii="Book Antiqua" w:hAnsi="Book Antiqua"/>
          <w:kern w:val="2"/>
          <w:u w:color="000000"/>
        </w:rPr>
        <w:t>one of the intractable cancers, considering its high rate of recurrence even after curative therapies</w:t>
      </w:r>
      <w:r w:rsidRPr="00112AEF">
        <w:rPr>
          <w:rFonts w:ascii="Book Antiqua" w:hAnsi="Book Antiqua"/>
          <w:kern w:val="2"/>
          <w:u w:color="000000"/>
          <w:vertAlign w:val="superscript"/>
        </w:rPr>
        <w:t>[</w:t>
      </w:r>
      <w:r w:rsidRPr="00112AEF">
        <w:rPr>
          <w:rFonts w:ascii="Book Antiqua" w:hAnsi="Book Antiqua"/>
          <w:vertAlign w:val="superscript"/>
        </w:rPr>
        <w:t>3</w:t>
      </w:r>
      <w:r w:rsidRPr="00112AEF">
        <w:rPr>
          <w:rFonts w:ascii="Book Antiqua" w:hAnsi="Book Antiqua"/>
          <w:kern w:val="2"/>
          <w:u w:color="000000"/>
          <w:vertAlign w:val="superscript"/>
        </w:rPr>
        <w:t>]</w:t>
      </w:r>
      <w:r w:rsidRPr="00112AEF">
        <w:rPr>
          <w:rFonts w:ascii="Book Antiqua" w:hAnsi="Book Antiqua"/>
          <w:kern w:val="2"/>
          <w:u w:color="000000"/>
        </w:rPr>
        <w:t xml:space="preserve">. In particular, vascular invasion and </w:t>
      </w:r>
      <w:r w:rsidRPr="00112AEF">
        <w:rPr>
          <w:rFonts w:ascii="Book Antiqua" w:hAnsi="Book Antiqua"/>
          <w:kern w:val="2"/>
          <w:u w:color="000000"/>
        </w:rPr>
        <w:lastRenderedPageBreak/>
        <w:t>extrahepatic metastasis greatly decrease survival rates</w:t>
      </w:r>
      <w:r w:rsidRPr="00112AEF">
        <w:rPr>
          <w:rFonts w:ascii="Book Antiqua" w:hAnsi="Book Antiqua"/>
          <w:kern w:val="2"/>
          <w:u w:color="000000"/>
          <w:vertAlign w:val="superscript"/>
        </w:rPr>
        <w:t>[</w:t>
      </w:r>
      <w:r w:rsidRPr="00112AEF">
        <w:rPr>
          <w:rFonts w:ascii="Book Antiqua" w:hAnsi="Book Antiqua"/>
          <w:vertAlign w:val="superscript"/>
        </w:rPr>
        <w:t>4-8</w:t>
      </w:r>
      <w:bookmarkStart w:id="67" w:name="_ENREF_17"/>
      <w:r w:rsidRPr="00112AEF">
        <w:rPr>
          <w:rFonts w:ascii="Book Antiqua" w:hAnsi="Book Antiqua"/>
          <w:kern w:val="2"/>
          <w:u w:color="000000"/>
          <w:vertAlign w:val="superscript"/>
        </w:rPr>
        <w:t>]</w:t>
      </w:r>
      <w:r w:rsidRPr="00112AEF">
        <w:rPr>
          <w:rFonts w:ascii="Book Antiqua" w:hAnsi="Book Antiqua"/>
          <w:kern w:val="2"/>
          <w:u w:color="000000"/>
        </w:rPr>
        <w:t>.</w:t>
      </w:r>
    </w:p>
    <w:p w:rsidR="00AD473F" w:rsidRPr="00112AEF" w:rsidRDefault="00AD473F" w:rsidP="00150DB3">
      <w:pPr>
        <w:widowControl w:val="0"/>
        <w:spacing w:line="360" w:lineRule="auto"/>
        <w:ind w:firstLineChars="100" w:firstLine="240"/>
        <w:jc w:val="both"/>
        <w:outlineLvl w:val="0"/>
        <w:rPr>
          <w:rFonts w:ascii="Book Antiqua" w:hAnsi="Book Antiqua"/>
          <w:kern w:val="2"/>
          <w:u w:color="000000"/>
        </w:rPr>
      </w:pPr>
      <w:r w:rsidRPr="00112AEF">
        <w:rPr>
          <w:rFonts w:ascii="Book Antiqua" w:hAnsi="Book Antiqua"/>
          <w:kern w:val="2"/>
          <w:u w:color="000000"/>
        </w:rPr>
        <w:t>Sorafenib, an oral inhibitor, is currently used as a standard th</w:t>
      </w:r>
      <w:bookmarkEnd w:id="67"/>
      <w:r w:rsidRPr="00112AEF">
        <w:rPr>
          <w:rFonts w:ascii="Book Antiqua" w:hAnsi="Book Antiqua"/>
          <w:kern w:val="2"/>
          <w:u w:color="000000"/>
        </w:rPr>
        <w:t>erapeutic option for advanced HCC</w:t>
      </w:r>
      <w:r w:rsidRPr="00112AEF">
        <w:rPr>
          <w:rFonts w:ascii="Book Antiqua" w:hAnsi="Book Antiqua"/>
          <w:kern w:val="2"/>
          <w:u w:color="000000"/>
          <w:vertAlign w:val="superscript"/>
        </w:rPr>
        <w:t>[</w:t>
      </w:r>
      <w:r w:rsidRPr="00112AEF">
        <w:rPr>
          <w:rFonts w:ascii="Book Antiqua" w:hAnsi="Book Antiqua"/>
          <w:vertAlign w:val="superscript"/>
        </w:rPr>
        <w:t>9-11</w:t>
      </w:r>
      <w:r w:rsidRPr="00112AEF">
        <w:rPr>
          <w:rFonts w:ascii="Book Antiqua" w:hAnsi="Book Antiqua"/>
          <w:kern w:val="2"/>
          <w:u w:color="000000"/>
          <w:vertAlign w:val="superscript"/>
        </w:rPr>
        <w:t>]</w:t>
      </w:r>
      <w:r w:rsidRPr="00112AEF">
        <w:rPr>
          <w:rFonts w:ascii="Book Antiqua" w:hAnsi="Book Antiqua"/>
          <w:kern w:val="2"/>
          <w:u w:color="000000"/>
        </w:rPr>
        <w:t>. This drug occasionally causes severe adverse events (AEs), which</w:t>
      </w:r>
      <w:r w:rsidRPr="00112AEF">
        <w:rPr>
          <w:rFonts w:ascii="Book Antiqua" w:hAnsi="Book Antiqua"/>
          <w:kern w:val="2"/>
          <w:u w:color="FF0000"/>
        </w:rPr>
        <w:t xml:space="preserve"> </w:t>
      </w:r>
      <w:r w:rsidRPr="00112AEF">
        <w:rPr>
          <w:rFonts w:ascii="Book Antiqua" w:hAnsi="Book Antiqua"/>
          <w:kern w:val="2"/>
          <w:u w:color="000000"/>
        </w:rPr>
        <w:t xml:space="preserve">include hand–foot skin reaction </w:t>
      </w:r>
      <w:r w:rsidRPr="00112AEF">
        <w:rPr>
          <w:rFonts w:ascii="Book Antiqua" w:hAnsi="Book Antiqua"/>
          <w:kern w:val="2"/>
          <w:u w:color="FF0000"/>
        </w:rPr>
        <w:t>(HFSR)</w:t>
      </w:r>
      <w:r w:rsidRPr="00112AEF">
        <w:rPr>
          <w:rFonts w:ascii="Book Antiqua" w:hAnsi="Book Antiqua"/>
          <w:kern w:val="2"/>
          <w:u w:color="000000"/>
        </w:rPr>
        <w:t>, hypertension, diarrhea, anorexia, fatigue, weight loss, and so on. Although most AEs are reversible, they can significantly impact a patient’s quality of life and occasionally result in dose reduction or discontinuation of therapy</w:t>
      </w:r>
      <w:r w:rsidRPr="00112AEF">
        <w:rPr>
          <w:rFonts w:ascii="Book Antiqua" w:hAnsi="Book Antiqua"/>
          <w:kern w:val="2"/>
          <w:u w:color="000000"/>
          <w:vertAlign w:val="superscript"/>
        </w:rPr>
        <w:t>[</w:t>
      </w:r>
      <w:r w:rsidRPr="00112AEF">
        <w:rPr>
          <w:rFonts w:ascii="Book Antiqua" w:hAnsi="Book Antiqua"/>
          <w:vertAlign w:val="superscript"/>
        </w:rPr>
        <w:t>12</w:t>
      </w:r>
      <w:r w:rsidRPr="00112AEF">
        <w:rPr>
          <w:rFonts w:ascii="Book Antiqua" w:hAnsi="Book Antiqua"/>
          <w:kern w:val="2"/>
          <w:u w:color="000000"/>
          <w:vertAlign w:val="superscript"/>
        </w:rPr>
        <w:t>]</w:t>
      </w:r>
      <w:r w:rsidRPr="00112AEF">
        <w:rPr>
          <w:rFonts w:ascii="Book Antiqua" w:hAnsi="Book Antiqua"/>
          <w:kern w:val="2"/>
          <w:u w:color="000000"/>
        </w:rPr>
        <w:t xml:space="preserve">. On the other hand, recent studies of sorafenib therapy for HCC have reported that the occurrence of any </w:t>
      </w:r>
      <w:r w:rsidRPr="00112AEF">
        <w:rPr>
          <w:rFonts w:ascii="Book Antiqua" w:hAnsi="Book Antiqua"/>
          <w:kern w:val="2"/>
          <w:u w:color="FF0000"/>
        </w:rPr>
        <w:t>grade</w:t>
      </w:r>
      <w:r w:rsidRPr="00112AEF">
        <w:rPr>
          <w:rFonts w:ascii="Book Antiqua" w:hAnsi="Book Antiqua"/>
          <w:kern w:val="2"/>
          <w:u w:color="000000"/>
        </w:rPr>
        <w:t xml:space="preserve"> (G) hypertension</w:t>
      </w:r>
      <w:r w:rsidRPr="00112AEF">
        <w:rPr>
          <w:rFonts w:ascii="Book Antiqua" w:hAnsi="Book Antiqua"/>
          <w:kern w:val="2"/>
          <w:u w:color="000000"/>
          <w:vertAlign w:val="superscript"/>
        </w:rPr>
        <w:t>[</w:t>
      </w:r>
      <w:r w:rsidRPr="00112AEF">
        <w:rPr>
          <w:rFonts w:ascii="Book Antiqua" w:hAnsi="Book Antiqua"/>
          <w:vertAlign w:val="superscript"/>
        </w:rPr>
        <w:t>13</w:t>
      </w:r>
      <w:r w:rsidRPr="00112AEF">
        <w:rPr>
          <w:rFonts w:ascii="Book Antiqua" w:hAnsi="Book Antiqua"/>
          <w:kern w:val="2"/>
          <w:u w:color="000000"/>
          <w:vertAlign w:val="superscript"/>
        </w:rPr>
        <w:t>]</w:t>
      </w:r>
      <w:r w:rsidRPr="00112AEF">
        <w:rPr>
          <w:rFonts w:ascii="Book Antiqua" w:hAnsi="Book Antiqua"/>
          <w:kern w:val="2"/>
          <w:u w:color="000000"/>
        </w:rPr>
        <w:t xml:space="preserve"> or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G2 diarrhea</w:t>
      </w:r>
      <w:r w:rsidRPr="00112AEF">
        <w:rPr>
          <w:rFonts w:ascii="Book Antiqua" w:hAnsi="Book Antiqua"/>
          <w:kern w:val="2"/>
          <w:u w:color="000000"/>
          <w:vertAlign w:val="superscript"/>
        </w:rPr>
        <w:t>[</w:t>
      </w:r>
      <w:r w:rsidRPr="00112AEF">
        <w:rPr>
          <w:rFonts w:ascii="Book Antiqua" w:hAnsi="Book Antiqua"/>
          <w:vertAlign w:val="superscript"/>
        </w:rPr>
        <w:t>14</w:t>
      </w:r>
      <w:r w:rsidRPr="00112AEF">
        <w:rPr>
          <w:rFonts w:ascii="Book Antiqua" w:hAnsi="Book Antiqua"/>
          <w:kern w:val="2"/>
          <w:u w:color="000000"/>
          <w:vertAlign w:val="superscript"/>
        </w:rPr>
        <w:t>]</w:t>
      </w:r>
      <w:r w:rsidRPr="00112AEF">
        <w:rPr>
          <w:rFonts w:ascii="Book Antiqua" w:hAnsi="Book Antiqua"/>
          <w:kern w:val="2"/>
          <w:u w:color="000000"/>
        </w:rPr>
        <w:t xml:space="preserve"> was associated with longer overall survival (OS); in addition, skin toxicity resulted in preferable outcomes as well</w:t>
      </w:r>
      <w:r w:rsidRPr="00112AEF">
        <w:rPr>
          <w:rFonts w:ascii="Book Antiqua" w:hAnsi="Book Antiqua"/>
          <w:kern w:val="2"/>
          <w:u w:color="000000"/>
          <w:vertAlign w:val="superscript"/>
        </w:rPr>
        <w:t>[</w:t>
      </w:r>
      <w:r w:rsidRPr="00112AEF">
        <w:rPr>
          <w:rFonts w:ascii="Book Antiqua" w:hAnsi="Book Antiqua"/>
          <w:vertAlign w:val="superscript"/>
        </w:rPr>
        <w:t>15</w:t>
      </w:r>
      <w:r w:rsidRPr="00112AEF">
        <w:rPr>
          <w:rFonts w:ascii="Book Antiqua" w:hAnsi="Book Antiqua"/>
          <w:kern w:val="2"/>
          <w:u w:color="000000"/>
          <w:vertAlign w:val="superscript"/>
        </w:rPr>
        <w:t>,</w:t>
      </w:r>
      <w:r w:rsidRPr="00112AEF">
        <w:rPr>
          <w:rFonts w:ascii="Book Antiqua" w:hAnsi="Book Antiqua"/>
          <w:vertAlign w:val="superscript"/>
        </w:rPr>
        <w:t>16</w:t>
      </w:r>
      <w:bookmarkStart w:id="68" w:name="_ENREF_21"/>
      <w:r w:rsidRPr="00112AEF">
        <w:rPr>
          <w:rFonts w:ascii="Book Antiqua" w:hAnsi="Book Antiqua"/>
          <w:kern w:val="2"/>
          <w:u w:color="000000"/>
          <w:vertAlign w:val="superscript"/>
        </w:rPr>
        <w:t>]</w:t>
      </w:r>
      <w:r w:rsidRPr="00112AEF">
        <w:rPr>
          <w:rFonts w:ascii="Book Antiqua" w:hAnsi="Book Antiqua"/>
          <w:kern w:val="2"/>
          <w:u w:color="000000"/>
        </w:rPr>
        <w:t>. However, studies investigating the relationship bet</w:t>
      </w:r>
      <w:bookmarkEnd w:id="68"/>
      <w:r w:rsidRPr="00112AEF">
        <w:rPr>
          <w:rFonts w:ascii="Book Antiqua" w:hAnsi="Book Antiqua"/>
          <w:kern w:val="2"/>
          <w:u w:color="000000"/>
        </w:rPr>
        <w:t>ween AE</w:t>
      </w:r>
      <w:r w:rsidRPr="00112AEF">
        <w:rPr>
          <w:rFonts w:ascii="Book Antiqua" w:hAnsi="Book Antiqua"/>
          <w:kern w:val="2"/>
          <w:u w:color="000000"/>
          <w:lang w:eastAsia="ja-JP"/>
        </w:rPr>
        <w:t>s</w:t>
      </w:r>
      <w:r w:rsidRPr="00112AEF">
        <w:rPr>
          <w:rFonts w:ascii="Book Antiqua" w:hAnsi="Book Antiqua"/>
          <w:kern w:val="2"/>
          <w:u w:color="000000"/>
        </w:rPr>
        <w:t xml:space="preserve"> occurrence and efficacy of this drug remain insufficient.</w:t>
      </w:r>
      <w:bookmarkStart w:id="69" w:name="_ENREF_22"/>
    </w:p>
    <w:p w:rsidR="00AD473F" w:rsidRPr="00112AEF" w:rsidRDefault="00AD473F" w:rsidP="00150DB3">
      <w:pPr>
        <w:widowControl w:val="0"/>
        <w:spacing w:line="360" w:lineRule="auto"/>
        <w:ind w:firstLineChars="100" w:firstLine="240"/>
        <w:jc w:val="both"/>
        <w:outlineLvl w:val="0"/>
        <w:rPr>
          <w:rFonts w:ascii="Book Antiqua" w:hAnsi="Book Antiqua"/>
          <w:kern w:val="2"/>
          <w:u w:color="000000"/>
        </w:rPr>
      </w:pPr>
      <w:r w:rsidRPr="00112AEF">
        <w:rPr>
          <w:rFonts w:ascii="Book Antiqua" w:hAnsi="Book Antiqua"/>
          <w:kern w:val="2"/>
          <w:u w:color="000000"/>
        </w:rPr>
        <w:t>The increase of available oral anticancer drugs has introduced a shift in responsibility from clinicians to patients and their famil</w:t>
      </w:r>
      <w:bookmarkEnd w:id="69"/>
      <w:r w:rsidRPr="00112AEF">
        <w:rPr>
          <w:rFonts w:ascii="Book Antiqua" w:hAnsi="Book Antiqua"/>
          <w:kern w:val="2"/>
          <w:u w:color="000000"/>
        </w:rPr>
        <w:t>ies for self-administration of these drugs and AE</w:t>
      </w:r>
      <w:r w:rsidRPr="00112AEF">
        <w:rPr>
          <w:rFonts w:ascii="Book Antiqua" w:hAnsi="Book Antiqua"/>
          <w:kern w:val="2"/>
          <w:u w:color="000000"/>
          <w:lang w:eastAsia="ja-JP"/>
        </w:rPr>
        <w:t>s</w:t>
      </w:r>
      <w:r w:rsidRPr="00112AEF">
        <w:rPr>
          <w:rFonts w:ascii="Book Antiqua" w:hAnsi="Book Antiqua"/>
          <w:kern w:val="2"/>
          <w:u w:color="000000"/>
        </w:rPr>
        <w:t xml:space="preserve"> management. Reduced adherence leads to poor clinical outcomes and subsequent increase in healthcare costs</w:t>
      </w:r>
      <w:r w:rsidRPr="00112AEF">
        <w:rPr>
          <w:rFonts w:ascii="Book Antiqua" w:hAnsi="Book Antiqua"/>
          <w:kern w:val="2"/>
          <w:u w:color="000000"/>
          <w:vertAlign w:val="superscript"/>
        </w:rPr>
        <w:t>[</w:t>
      </w:r>
      <w:r w:rsidRPr="00112AEF">
        <w:rPr>
          <w:rFonts w:ascii="Book Antiqua" w:hAnsi="Book Antiqua"/>
          <w:vertAlign w:val="superscript"/>
        </w:rPr>
        <w:t>17</w:t>
      </w:r>
      <w:r w:rsidRPr="00112AEF">
        <w:rPr>
          <w:rFonts w:ascii="Book Antiqua" w:hAnsi="Book Antiqua"/>
          <w:kern w:val="2"/>
          <w:u w:color="000000"/>
          <w:vertAlign w:val="superscript"/>
        </w:rPr>
        <w:t>,</w:t>
      </w:r>
      <w:r w:rsidRPr="00112AEF">
        <w:rPr>
          <w:rFonts w:ascii="Book Antiqua" w:hAnsi="Book Antiqua"/>
          <w:vertAlign w:val="superscript"/>
        </w:rPr>
        <w:t>18</w:t>
      </w:r>
      <w:r w:rsidRPr="00112AEF">
        <w:rPr>
          <w:rFonts w:ascii="Book Antiqua" w:hAnsi="Book Antiqua"/>
          <w:kern w:val="2"/>
          <w:u w:color="000000"/>
          <w:vertAlign w:val="superscript"/>
        </w:rPr>
        <w:t>]</w:t>
      </w:r>
      <w:r w:rsidRPr="00112AEF">
        <w:rPr>
          <w:rFonts w:ascii="Book Antiqua" w:hAnsi="Book Antiqua"/>
          <w:kern w:val="2"/>
          <w:u w:color="000000"/>
        </w:rPr>
        <w:t>. Several studies have suggested that an adequate intervention by nurses and pharmacists may improve treatment adherence</w:t>
      </w:r>
      <w:r w:rsidRPr="00112AEF">
        <w:rPr>
          <w:rFonts w:ascii="Book Antiqua" w:hAnsi="Book Antiqua"/>
          <w:kern w:val="2"/>
          <w:u w:color="000000"/>
          <w:vertAlign w:val="superscript"/>
        </w:rPr>
        <w:t>[</w:t>
      </w:r>
      <w:r w:rsidRPr="00112AEF">
        <w:rPr>
          <w:rFonts w:ascii="Book Antiqua" w:hAnsi="Book Antiqua"/>
          <w:vertAlign w:val="superscript"/>
        </w:rPr>
        <w:t>19-22</w:t>
      </w:r>
      <w:bookmarkStart w:id="70" w:name="_ENREF_24"/>
      <w:r w:rsidRPr="00112AEF">
        <w:rPr>
          <w:rFonts w:ascii="Book Antiqua" w:hAnsi="Book Antiqua"/>
          <w:kern w:val="2"/>
          <w:u w:color="000000"/>
          <w:vertAlign w:val="superscript"/>
        </w:rPr>
        <w:t>]</w:t>
      </w:r>
      <w:r w:rsidRPr="00112AEF">
        <w:rPr>
          <w:rFonts w:ascii="Book Antiqua" w:hAnsi="Book Antiqua"/>
          <w:kern w:val="2"/>
          <w:u w:color="000000"/>
        </w:rPr>
        <w:t xml:space="preserve">. However, the contribution of nursing </w:t>
      </w:r>
      <w:bookmarkEnd w:id="70"/>
      <w:r w:rsidRPr="00112AEF">
        <w:rPr>
          <w:rFonts w:ascii="Book Antiqua" w:hAnsi="Book Antiqua"/>
          <w:kern w:val="2"/>
          <w:u w:color="000000"/>
        </w:rPr>
        <w:t>intervention to treatment adherence remains elusive.</w:t>
      </w:r>
    </w:p>
    <w:p w:rsidR="00AD473F" w:rsidRPr="00112AEF" w:rsidRDefault="00AD473F" w:rsidP="00150DB3">
      <w:pPr>
        <w:widowControl w:val="0"/>
        <w:spacing w:line="360" w:lineRule="auto"/>
        <w:ind w:firstLineChars="100" w:firstLine="240"/>
        <w:jc w:val="both"/>
        <w:outlineLvl w:val="0"/>
        <w:rPr>
          <w:rFonts w:ascii="Book Antiqua" w:eastAsia="宋体" w:hAnsi="Book Antiqua"/>
          <w:kern w:val="2"/>
          <w:u w:color="000000"/>
          <w:lang w:eastAsia="zh-CN"/>
        </w:rPr>
      </w:pPr>
      <w:r w:rsidRPr="00112AEF">
        <w:rPr>
          <w:rFonts w:ascii="Book Antiqua" w:hAnsi="Book Antiqua"/>
          <w:kern w:val="2"/>
          <w:u w:color="000000"/>
        </w:rPr>
        <w:t>This study aimed to elucidate the relationship between AE</w:t>
      </w:r>
      <w:r w:rsidRPr="00112AEF">
        <w:rPr>
          <w:rFonts w:ascii="Book Antiqua" w:hAnsi="Book Antiqua"/>
          <w:kern w:val="2"/>
          <w:u w:color="000000"/>
          <w:lang w:eastAsia="ja-JP"/>
        </w:rPr>
        <w:t>s</w:t>
      </w:r>
      <w:r w:rsidRPr="00112AEF">
        <w:rPr>
          <w:rFonts w:ascii="Book Antiqua" w:hAnsi="Book Antiqua"/>
          <w:kern w:val="2"/>
          <w:u w:color="000000"/>
        </w:rPr>
        <w:t xml:space="preserve"> occurrence and the efficacy of sorafenib therapy for patients with advanced HCC. In addition, we evaluated the impact of nursing intervention on the adherence to this drug therapy.</w:t>
      </w:r>
      <w:bookmarkStart w:id="71" w:name="_ENREF_26"/>
    </w:p>
    <w:p w:rsidR="00AD473F" w:rsidRPr="00112AEF" w:rsidRDefault="00AD473F" w:rsidP="00150DB3">
      <w:pPr>
        <w:widowControl w:val="0"/>
        <w:spacing w:line="360" w:lineRule="auto"/>
        <w:ind w:firstLineChars="100" w:firstLine="240"/>
        <w:jc w:val="both"/>
        <w:outlineLvl w:val="0"/>
        <w:rPr>
          <w:rFonts w:ascii="Book Antiqua" w:eastAsia="宋体" w:hAnsi="Book Antiqua"/>
          <w:kern w:val="2"/>
          <w:u w:color="000000"/>
          <w:lang w:eastAsia="zh-CN"/>
        </w:rPr>
      </w:pPr>
    </w:p>
    <w:p w:rsidR="00AD473F" w:rsidRPr="00112AEF" w:rsidRDefault="00AD473F" w:rsidP="00257B9D">
      <w:pPr>
        <w:spacing w:line="360" w:lineRule="auto"/>
        <w:rPr>
          <w:rFonts w:ascii="Book Antiqua" w:hAnsi="Book Antiqua"/>
          <w:b/>
        </w:rPr>
      </w:pPr>
      <w:r w:rsidRPr="00112AEF">
        <w:rPr>
          <w:rFonts w:ascii="Book Antiqua" w:hAnsi="Book Antiqua"/>
          <w:b/>
        </w:rPr>
        <w:t>MATERIALS AND METHODS</w:t>
      </w:r>
    </w:p>
    <w:p w:rsidR="00AD473F" w:rsidRPr="00112AEF" w:rsidRDefault="00AD473F" w:rsidP="002F5E25">
      <w:pPr>
        <w:widowControl w:val="0"/>
        <w:spacing w:line="360" w:lineRule="auto"/>
        <w:jc w:val="both"/>
        <w:outlineLvl w:val="0"/>
        <w:rPr>
          <w:rFonts w:ascii="Book Antiqua" w:hAnsi="Book Antiqua"/>
          <w:b/>
          <w:i/>
          <w:kern w:val="2"/>
          <w:u w:color="000000"/>
        </w:rPr>
      </w:pPr>
      <w:r w:rsidRPr="00112AEF">
        <w:rPr>
          <w:rFonts w:ascii="Book Antiqua" w:hAnsi="Book Antiqua"/>
          <w:b/>
          <w:i/>
          <w:kern w:val="2"/>
          <w:u w:color="000000"/>
        </w:rPr>
        <w:t>Ethics</w:t>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kern w:val="2"/>
          <w:u w:color="000000"/>
        </w:rPr>
        <w:t>This work has been carried out in accordance with the Declaration of Helsinki (2000) of the World Medical Association. This study was approved ethically by the Institutional Review Board of Tokai University (</w:t>
      </w:r>
      <w:r w:rsidRPr="00112AEF">
        <w:rPr>
          <w:rFonts w:ascii="Book Antiqua" w:hAnsi="Book Antiqua"/>
          <w:kern w:val="2"/>
          <w:u w:color="000000"/>
          <w:lang w:eastAsia="ja-JP"/>
        </w:rPr>
        <w:t>NO.10R-046</w:t>
      </w:r>
      <w:r w:rsidRPr="00112AEF">
        <w:rPr>
          <w:rFonts w:ascii="Book Antiqua" w:hAnsi="Book Antiqua"/>
          <w:kern w:val="2"/>
          <w:u w:color="000000"/>
        </w:rPr>
        <w:t>). All patients provided informed written consents.</w:t>
      </w:r>
    </w:p>
    <w:p w:rsidR="00AD473F" w:rsidRPr="00112AEF" w:rsidRDefault="00AD473F" w:rsidP="002F5E25">
      <w:pPr>
        <w:widowControl w:val="0"/>
        <w:spacing w:line="360" w:lineRule="auto"/>
        <w:jc w:val="both"/>
        <w:outlineLvl w:val="0"/>
        <w:rPr>
          <w:rFonts w:ascii="Book Antiqua" w:hAnsi="Book Antiqua"/>
          <w:b/>
          <w:i/>
          <w:kern w:val="2"/>
          <w:u w:color="000000"/>
          <w:lang w:eastAsia="ja-JP"/>
        </w:rPr>
      </w:pPr>
      <w:r w:rsidRPr="00112AEF">
        <w:rPr>
          <w:rFonts w:ascii="Book Antiqua" w:hAnsi="Book Antiqua"/>
          <w:b/>
          <w:i/>
          <w:kern w:val="2"/>
          <w:u w:color="000000"/>
        </w:rPr>
        <w:t xml:space="preserve"> </w:t>
      </w:r>
    </w:p>
    <w:p w:rsidR="00AD473F" w:rsidRPr="00112AEF" w:rsidRDefault="00AD473F" w:rsidP="002F5E25">
      <w:pPr>
        <w:widowControl w:val="0"/>
        <w:spacing w:line="360" w:lineRule="auto"/>
        <w:jc w:val="both"/>
        <w:outlineLvl w:val="0"/>
        <w:rPr>
          <w:rFonts w:ascii="Book Antiqua" w:hAnsi="Book Antiqua"/>
          <w:b/>
          <w:i/>
          <w:kern w:val="2"/>
          <w:u w:color="000000"/>
          <w:lang w:eastAsia="ja-JP"/>
        </w:rPr>
      </w:pPr>
      <w:r w:rsidRPr="00112AEF">
        <w:rPr>
          <w:rFonts w:ascii="Book Antiqua" w:hAnsi="Book Antiqua"/>
          <w:b/>
          <w:i/>
          <w:kern w:val="2"/>
          <w:u w:color="000000"/>
        </w:rPr>
        <w:t>Sorafenib therapy</w:t>
      </w:r>
    </w:p>
    <w:p w:rsidR="00AD473F" w:rsidRPr="00112AEF" w:rsidRDefault="00AD473F" w:rsidP="002F5E25">
      <w:pPr>
        <w:widowControl w:val="0"/>
        <w:spacing w:line="360" w:lineRule="auto"/>
        <w:jc w:val="both"/>
        <w:outlineLvl w:val="0"/>
        <w:rPr>
          <w:rFonts w:ascii="Book Antiqua" w:hAnsi="Book Antiqua"/>
          <w:kern w:val="2"/>
          <w:u w:color="000000"/>
          <w:lang w:eastAsia="ja-JP"/>
        </w:rPr>
      </w:pPr>
      <w:r w:rsidRPr="00112AEF">
        <w:rPr>
          <w:rFonts w:ascii="Book Antiqua" w:hAnsi="Book Antiqua"/>
          <w:kern w:val="2"/>
          <w:u w:color="000000"/>
        </w:rPr>
        <w:t>We enrolled consecutive patients with advanced HCC who received</w:t>
      </w:r>
      <w:bookmarkEnd w:id="71"/>
      <w:r w:rsidRPr="00112AEF">
        <w:rPr>
          <w:rFonts w:ascii="Book Antiqua" w:hAnsi="Book Antiqua"/>
          <w:kern w:val="2"/>
          <w:u w:color="000000"/>
        </w:rPr>
        <w:t xml:space="preserve"> sorafenib therapy </w:t>
      </w:r>
      <w:r w:rsidRPr="00112AEF">
        <w:rPr>
          <w:rFonts w:ascii="Book Antiqua" w:hAnsi="Book Antiqua"/>
          <w:kern w:val="2"/>
          <w:u w:color="000000"/>
        </w:rPr>
        <w:lastRenderedPageBreak/>
        <w:t xml:space="preserve">from August 2009 to December 2012 at </w:t>
      </w:r>
      <w:smartTag w:uri="urn:schemas-microsoft-com:office:smarttags" w:element="City">
        <w:smartTag w:uri="urn:schemas-microsoft-com:office:smarttags" w:element="City">
          <w:r w:rsidRPr="00112AEF">
            <w:rPr>
              <w:rFonts w:ascii="Book Antiqua" w:hAnsi="Book Antiqua"/>
              <w:kern w:val="2"/>
              <w:u w:color="000000"/>
            </w:rPr>
            <w:t>Tokai</w:t>
          </w:r>
        </w:smartTag>
        <w:r w:rsidRPr="00112AEF">
          <w:rPr>
            <w:rFonts w:ascii="Book Antiqua" w:hAnsi="Book Antiqua"/>
            <w:kern w:val="2"/>
            <w:u w:color="000000"/>
          </w:rPr>
          <w:t xml:space="preserve"> </w:t>
        </w:r>
        <w:smartTag w:uri="urn:schemas-microsoft-com:office:smarttags" w:element="City">
          <w:r w:rsidRPr="00112AEF">
            <w:rPr>
              <w:rFonts w:ascii="Book Antiqua" w:hAnsi="Book Antiqua"/>
              <w:kern w:val="2"/>
              <w:u w:color="000000"/>
            </w:rPr>
            <w:t>University</w:t>
          </w:r>
        </w:smartTag>
        <w:r w:rsidRPr="00112AEF">
          <w:rPr>
            <w:rFonts w:ascii="Book Antiqua" w:hAnsi="Book Antiqua"/>
            <w:kern w:val="2"/>
            <w:u w:color="000000"/>
          </w:rPr>
          <w:t xml:space="preserve"> </w:t>
        </w:r>
        <w:smartTag w:uri="urn:schemas-microsoft-com:office:smarttags" w:element="City">
          <w:r w:rsidRPr="00112AEF">
            <w:rPr>
              <w:rFonts w:ascii="Book Antiqua" w:hAnsi="Book Antiqua"/>
              <w:kern w:val="2"/>
              <w:u w:color="000000"/>
            </w:rPr>
            <w:t>Hospital</w:t>
          </w:r>
        </w:smartTag>
      </w:smartTag>
      <w:r w:rsidRPr="00112AEF">
        <w:rPr>
          <w:rFonts w:ascii="Book Antiqua" w:hAnsi="Book Antiqua"/>
          <w:kern w:val="2"/>
          <w:u w:color="000000"/>
        </w:rPr>
        <w:t>. Eligibility criteria were as follows: (</w:t>
      </w:r>
      <w:r w:rsidRPr="00112AEF">
        <w:rPr>
          <w:rFonts w:ascii="Book Antiqua" w:eastAsia="宋体" w:hAnsi="Book Antiqua"/>
          <w:kern w:val="2"/>
          <w:u w:color="000000"/>
          <w:lang w:eastAsia="zh-CN"/>
        </w:rPr>
        <w:t>1</w:t>
      </w:r>
      <w:r w:rsidRPr="00112AEF">
        <w:rPr>
          <w:rFonts w:ascii="Book Antiqua" w:hAnsi="Book Antiqua"/>
          <w:kern w:val="2"/>
          <w:u w:color="000000"/>
        </w:rPr>
        <w:t>) unresectable advanced HCC, (</w:t>
      </w:r>
      <w:r w:rsidRPr="00112AEF">
        <w:rPr>
          <w:rFonts w:ascii="Book Antiqua" w:eastAsia="宋体" w:hAnsi="Book Antiqua"/>
          <w:kern w:val="2"/>
          <w:u w:color="000000"/>
          <w:lang w:eastAsia="zh-CN"/>
        </w:rPr>
        <w:t>2</w:t>
      </w:r>
      <w:r w:rsidRPr="00112AEF">
        <w:rPr>
          <w:rFonts w:ascii="Book Antiqua" w:hAnsi="Book Antiqua"/>
          <w:kern w:val="2"/>
          <w:u w:color="000000"/>
        </w:rPr>
        <w:t>) resistance to or no indication of transcatheter arterial chemoembolization (TACE), (</w:t>
      </w:r>
      <w:r w:rsidRPr="00112AEF">
        <w:rPr>
          <w:rFonts w:ascii="Book Antiqua" w:eastAsia="宋体" w:hAnsi="Book Antiqua"/>
          <w:kern w:val="2"/>
          <w:u w:color="000000"/>
          <w:lang w:eastAsia="zh-CN"/>
        </w:rPr>
        <w:t>3</w:t>
      </w:r>
      <w:r w:rsidRPr="00112AEF">
        <w:rPr>
          <w:rFonts w:ascii="Book Antiqua" w:hAnsi="Book Antiqua"/>
          <w:kern w:val="2"/>
          <w:u w:color="000000"/>
        </w:rPr>
        <w:t>) Child–Pugh class A or B, and (</w:t>
      </w:r>
      <w:r w:rsidRPr="00112AEF">
        <w:rPr>
          <w:rFonts w:ascii="Book Antiqua" w:eastAsia="宋体" w:hAnsi="Book Antiqua"/>
          <w:kern w:val="2"/>
          <w:u w:color="000000"/>
          <w:lang w:eastAsia="zh-CN"/>
        </w:rPr>
        <w:t>4</w:t>
      </w:r>
      <w:r w:rsidRPr="00112AEF">
        <w:rPr>
          <w:rFonts w:ascii="Book Antiqua" w:hAnsi="Book Antiqua"/>
          <w:kern w:val="2"/>
          <w:u w:color="000000"/>
        </w:rPr>
        <w:t>) Eastern Cooperative Oncology Group Performance Status of 0 or 1. Patients received 800 mg sorafenib as an initial daily dose. However, lower doses were occasionally selected by doctors, particularly when patients were aged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70 years or had liver function of Child–Pugh class B. The HCC stage was classified according to</w:t>
      </w:r>
      <w:r w:rsidRPr="00112AEF">
        <w:rPr>
          <w:rFonts w:ascii="Book Antiqua" w:hAnsi="Book Antiqua"/>
          <w:kern w:val="2"/>
          <w:u w:color="FF0000"/>
        </w:rPr>
        <w:t xml:space="preserve"> </w:t>
      </w:r>
      <w:r w:rsidRPr="00112AEF">
        <w:rPr>
          <w:rFonts w:ascii="Book Antiqua" w:hAnsi="Book Antiqua"/>
          <w:kern w:val="2"/>
          <w:u w:color="000000"/>
        </w:rPr>
        <w:t xml:space="preserve">the tumor–node–metastasis criteria of the Liver Cancer Study Group of </w:t>
      </w:r>
      <w:smartTag w:uri="urn:schemas-microsoft-com:office:smarttags" w:element="City">
        <w:r w:rsidRPr="00112AEF">
          <w:rPr>
            <w:rFonts w:ascii="Book Antiqua" w:hAnsi="Book Antiqua"/>
            <w:kern w:val="2"/>
            <w:u w:color="000000"/>
          </w:rPr>
          <w:t>Japan</w:t>
        </w:r>
      </w:smartTag>
      <w:r w:rsidRPr="00112AEF">
        <w:rPr>
          <w:rFonts w:ascii="Book Antiqua" w:hAnsi="Book Antiqua"/>
          <w:kern w:val="2"/>
          <w:u w:color="000000"/>
          <w:vertAlign w:val="superscript"/>
        </w:rPr>
        <w:t>[</w:t>
      </w:r>
      <w:r w:rsidRPr="00112AEF">
        <w:rPr>
          <w:rFonts w:ascii="Book Antiqua" w:hAnsi="Book Antiqua"/>
          <w:vertAlign w:val="superscript"/>
        </w:rPr>
        <w:t>23</w:t>
      </w:r>
      <w:bookmarkStart w:id="72" w:name="_ENREF_29"/>
      <w:r w:rsidRPr="00112AEF">
        <w:rPr>
          <w:rFonts w:ascii="Book Antiqua" w:hAnsi="Book Antiqua"/>
          <w:kern w:val="2"/>
          <w:u w:color="000000"/>
          <w:vertAlign w:val="superscript"/>
        </w:rPr>
        <w:t>]</w:t>
      </w:r>
      <w:r w:rsidRPr="00112AEF">
        <w:rPr>
          <w:rFonts w:ascii="Book Antiqua" w:hAnsi="Book Antiqua"/>
          <w:kern w:val="2"/>
          <w:u w:color="000000"/>
        </w:rPr>
        <w:t xml:space="preserve">. </w:t>
      </w:r>
      <w:bookmarkStart w:id="73" w:name="_ENREF_31"/>
      <w:bookmarkEnd w:id="72"/>
    </w:p>
    <w:p w:rsidR="00AD473F" w:rsidRPr="00112AEF" w:rsidRDefault="00AD473F" w:rsidP="002F5E25">
      <w:pPr>
        <w:widowControl w:val="0"/>
        <w:spacing w:line="360" w:lineRule="auto"/>
        <w:jc w:val="both"/>
        <w:outlineLvl w:val="0"/>
        <w:rPr>
          <w:rFonts w:ascii="Book Antiqua" w:hAnsi="Book Antiqua"/>
          <w:kern w:val="2"/>
          <w:u w:color="000000"/>
          <w:lang w:eastAsia="ja-JP"/>
        </w:rPr>
      </w:pPr>
    </w:p>
    <w:p w:rsidR="00AD473F" w:rsidRPr="00112AEF" w:rsidRDefault="00AD473F" w:rsidP="002F5E25">
      <w:pPr>
        <w:widowControl w:val="0"/>
        <w:spacing w:line="360" w:lineRule="auto"/>
        <w:jc w:val="both"/>
        <w:outlineLvl w:val="0"/>
        <w:rPr>
          <w:rFonts w:ascii="Book Antiqua" w:hAnsi="Book Antiqua"/>
          <w:b/>
          <w:i/>
          <w:kern w:val="2"/>
          <w:u w:color="000000"/>
          <w:lang w:eastAsia="ja-JP"/>
        </w:rPr>
      </w:pPr>
      <w:r w:rsidRPr="00112AEF">
        <w:rPr>
          <w:rFonts w:ascii="Book Antiqua" w:hAnsi="Book Antiqua"/>
          <w:b/>
          <w:i/>
          <w:kern w:val="2"/>
          <w:u w:color="000000"/>
          <w:lang w:eastAsia="ja-JP"/>
        </w:rPr>
        <w:t xml:space="preserve">Nursing </w:t>
      </w:r>
      <w:r>
        <w:rPr>
          <w:rFonts w:ascii="Book Antiqua" w:eastAsia="宋体" w:hAnsi="Book Antiqua"/>
          <w:b/>
          <w:i/>
          <w:kern w:val="2"/>
          <w:u w:color="000000"/>
          <w:lang w:eastAsia="zh-CN"/>
        </w:rPr>
        <w:t>i</w:t>
      </w:r>
      <w:r w:rsidRPr="00112AEF">
        <w:rPr>
          <w:rFonts w:ascii="Book Antiqua" w:hAnsi="Book Antiqua"/>
          <w:b/>
          <w:i/>
          <w:kern w:val="2"/>
          <w:u w:color="000000"/>
          <w:lang w:eastAsia="ja-JP"/>
        </w:rPr>
        <w:t>ntervention</w:t>
      </w:r>
    </w:p>
    <w:p w:rsidR="00AD473F" w:rsidRPr="00112AEF" w:rsidRDefault="00AD473F" w:rsidP="002F5E25">
      <w:pPr>
        <w:widowControl w:val="0"/>
        <w:spacing w:line="360" w:lineRule="auto"/>
        <w:jc w:val="both"/>
        <w:outlineLvl w:val="0"/>
        <w:rPr>
          <w:rFonts w:ascii="Book Antiqua" w:eastAsia="宋体" w:hAnsi="Book Antiqua"/>
          <w:strike/>
          <w:kern w:val="2"/>
          <w:u w:color="000000"/>
          <w:lang w:eastAsia="zh-CN"/>
        </w:rPr>
      </w:pPr>
      <w:r w:rsidRPr="00112AEF">
        <w:rPr>
          <w:rFonts w:ascii="Book Antiqua" w:hAnsi="Book Antiqua"/>
          <w:kern w:val="2"/>
          <w:u w:color="000000"/>
        </w:rPr>
        <w:t>The nursing intervention program consisted of education regarding self-monitoring and AE</w:t>
      </w:r>
      <w:r w:rsidRPr="00112AEF">
        <w:rPr>
          <w:rFonts w:ascii="Book Antiqua" w:hAnsi="Book Antiqua"/>
          <w:kern w:val="2"/>
          <w:u w:color="000000"/>
          <w:lang w:eastAsia="ja-JP"/>
        </w:rPr>
        <w:t>s</w:t>
      </w:r>
      <w:r w:rsidRPr="00112AEF">
        <w:rPr>
          <w:rFonts w:ascii="Book Antiqua" w:hAnsi="Book Antiqua"/>
          <w:kern w:val="2"/>
          <w:u w:color="000000"/>
        </w:rPr>
        <w:t xml:space="preserve"> management, and telephone follow-up was provided once in 1-2 wk</w:t>
      </w:r>
      <w:r w:rsidRPr="00112AEF">
        <w:rPr>
          <w:rFonts w:ascii="Book Antiqua" w:hAnsi="Book Antiqua"/>
          <w:kern w:val="2"/>
          <w:u w:color="000000"/>
          <w:vertAlign w:val="superscript"/>
          <w:lang w:eastAsia="ja-JP"/>
        </w:rPr>
        <w:t>[</w:t>
      </w:r>
      <w:r>
        <w:rPr>
          <w:rFonts w:ascii="Book Antiqua" w:hAnsi="Book Antiqua"/>
          <w:kern w:val="2"/>
          <w:u w:color="000000"/>
          <w:vertAlign w:val="superscript"/>
        </w:rPr>
        <w:t>24,</w:t>
      </w:r>
      <w:r w:rsidRPr="00112AEF">
        <w:rPr>
          <w:rFonts w:ascii="Book Antiqua" w:hAnsi="Book Antiqua"/>
          <w:kern w:val="2"/>
          <w:u w:color="000000"/>
          <w:vertAlign w:val="superscript"/>
        </w:rPr>
        <w:t>25</w:t>
      </w:r>
      <w:r w:rsidRPr="00112AEF">
        <w:rPr>
          <w:rFonts w:ascii="Book Antiqua" w:hAnsi="Book Antiqua"/>
          <w:kern w:val="2"/>
          <w:u w:color="000000"/>
          <w:vertAlign w:val="superscript"/>
          <w:lang w:eastAsia="ja-JP"/>
        </w:rPr>
        <w:t>]</w:t>
      </w:r>
      <w:r w:rsidRPr="00112AEF">
        <w:rPr>
          <w:rFonts w:ascii="Book Antiqua" w:hAnsi="Book Antiqua"/>
          <w:kern w:val="2"/>
          <w:u w:color="000000"/>
        </w:rPr>
        <w:t xml:space="preserve">. </w:t>
      </w:r>
      <w:r w:rsidRPr="00112AEF">
        <w:rPr>
          <w:rFonts w:ascii="Book Antiqua" w:hAnsi="Book Antiqua"/>
          <w:kern w:val="2"/>
          <w:u w:color="000000"/>
          <w:lang w:eastAsia="ja-JP"/>
        </w:rPr>
        <w:t>One n</w:t>
      </w:r>
      <w:r w:rsidRPr="00112AEF">
        <w:rPr>
          <w:rFonts w:ascii="Book Antiqua" w:hAnsi="Book Antiqua"/>
          <w:kern w:val="2"/>
          <w:u w:color="000000"/>
        </w:rPr>
        <w:t xml:space="preserve">urse who experienced and trained </w:t>
      </w:r>
      <w:r w:rsidRPr="00112AEF">
        <w:rPr>
          <w:rFonts w:ascii="Book Antiqua" w:hAnsi="Book Antiqua"/>
          <w:kern w:val="2"/>
          <w:u w:color="000000"/>
          <w:lang w:eastAsia="ja-JP"/>
        </w:rPr>
        <w:t xml:space="preserve">specialized </w:t>
      </w:r>
      <w:r w:rsidRPr="00112AEF">
        <w:rPr>
          <w:rFonts w:ascii="Book Antiqua" w:hAnsi="Book Antiqua"/>
          <w:kern w:val="2"/>
          <w:u w:color="000000"/>
        </w:rPr>
        <w:t>car</w:t>
      </w:r>
      <w:r w:rsidRPr="00112AEF">
        <w:rPr>
          <w:rFonts w:ascii="Book Antiqua" w:hAnsi="Book Antiqua"/>
          <w:kern w:val="2"/>
          <w:u w:color="000000"/>
          <w:lang w:eastAsia="ja-JP"/>
        </w:rPr>
        <w:t>e</w:t>
      </w:r>
      <w:r w:rsidRPr="00112AEF">
        <w:rPr>
          <w:rFonts w:ascii="Book Antiqua" w:hAnsi="Book Antiqua"/>
          <w:kern w:val="2"/>
          <w:u w:color="000000"/>
        </w:rPr>
        <w:t xml:space="preserve"> with liver cancer patients provided the nursing intervention. </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p>
    <w:p w:rsidR="00AD473F" w:rsidRPr="00112AEF" w:rsidRDefault="00AD473F" w:rsidP="002F5E25">
      <w:pPr>
        <w:widowControl w:val="0"/>
        <w:spacing w:line="360" w:lineRule="auto"/>
        <w:jc w:val="both"/>
        <w:outlineLvl w:val="0"/>
        <w:rPr>
          <w:rFonts w:ascii="Book Antiqua" w:hAnsi="Book Antiqua"/>
          <w:b/>
          <w:i/>
          <w:kern w:val="2"/>
          <w:u w:color="000000"/>
        </w:rPr>
      </w:pPr>
      <w:r w:rsidRPr="00112AEF">
        <w:rPr>
          <w:rFonts w:ascii="Book Antiqua" w:hAnsi="Book Antiqua"/>
          <w:b/>
          <w:i/>
          <w:kern w:val="2"/>
          <w:u w:color="000000"/>
        </w:rPr>
        <w:t>Clinical evaluation</w:t>
      </w:r>
    </w:p>
    <w:p w:rsidR="00AD473F" w:rsidRPr="00112AEF" w:rsidRDefault="00AD473F" w:rsidP="002F5E25">
      <w:pPr>
        <w:widowControl w:val="0"/>
        <w:spacing w:line="360" w:lineRule="auto"/>
        <w:jc w:val="both"/>
        <w:outlineLvl w:val="0"/>
        <w:rPr>
          <w:rFonts w:ascii="Book Antiqua" w:hAnsi="Book Antiqua"/>
          <w:kern w:val="2"/>
          <w:u w:color="000000"/>
          <w:lang w:eastAsia="ja-JP"/>
        </w:rPr>
      </w:pPr>
      <w:r w:rsidRPr="00112AEF">
        <w:rPr>
          <w:rFonts w:ascii="Book Antiqua" w:hAnsi="Book Antiqua"/>
          <w:kern w:val="2"/>
          <w:u w:color="000000"/>
        </w:rPr>
        <w:t>Efficacy was evaluated according to the modified Response Evaluation Criteria in Solid Tumors</w:t>
      </w:r>
      <w:r w:rsidRPr="00112AEF">
        <w:rPr>
          <w:rFonts w:ascii="Book Antiqua" w:hAnsi="Book Antiqua"/>
          <w:kern w:val="2"/>
          <w:u w:color="000000"/>
          <w:vertAlign w:val="superscript"/>
        </w:rPr>
        <w:t>[</w:t>
      </w:r>
      <w:r w:rsidRPr="00112AEF">
        <w:rPr>
          <w:rFonts w:ascii="Book Antiqua" w:hAnsi="Book Antiqua"/>
          <w:vertAlign w:val="superscript"/>
        </w:rPr>
        <w:t>2</w:t>
      </w:r>
      <w:r w:rsidRPr="00112AEF">
        <w:rPr>
          <w:rFonts w:ascii="Book Antiqua" w:hAnsi="Book Antiqua"/>
          <w:vertAlign w:val="superscript"/>
          <w:lang w:eastAsia="ja-JP"/>
        </w:rPr>
        <w:t>6</w:t>
      </w:r>
      <w:r w:rsidRPr="00112AEF">
        <w:rPr>
          <w:rFonts w:ascii="Book Antiqua" w:hAnsi="Book Antiqua"/>
          <w:kern w:val="2"/>
          <w:u w:color="000000"/>
          <w:vertAlign w:val="superscript"/>
        </w:rPr>
        <w:t>]</w:t>
      </w:r>
      <w:r w:rsidRPr="00112AEF">
        <w:rPr>
          <w:rFonts w:ascii="Book Antiqua" w:hAnsi="Book Antiqua"/>
          <w:kern w:val="2"/>
          <w:u w:color="000000"/>
        </w:rPr>
        <w:t xml:space="preserve"> 3 mo after the initiation of therapy. Thereafter, dynamic computed tomography</w:t>
      </w:r>
      <w:r>
        <w:rPr>
          <w:rStyle w:val="st1"/>
          <w:rFonts w:ascii="Book Antiqua" w:hAnsi="Book Antiqua" w:cs="Arial"/>
          <w:color w:val="444444"/>
          <w:sz w:val="16"/>
          <w:szCs w:val="16"/>
        </w:rPr>
        <w:t xml:space="preserve"> </w:t>
      </w:r>
      <w:r>
        <w:rPr>
          <w:rStyle w:val="st1"/>
          <w:rFonts w:ascii="Book Antiqua" w:eastAsia="宋体" w:hAnsi="Book Antiqua" w:cs="Arial"/>
          <w:color w:val="444444"/>
          <w:lang w:eastAsia="zh-CN"/>
        </w:rPr>
        <w:t>(</w:t>
      </w:r>
      <w:r w:rsidRPr="00112AEF">
        <w:rPr>
          <w:rFonts w:ascii="Book Antiqua" w:hAnsi="Book Antiqua"/>
          <w:kern w:val="2"/>
          <w:u w:color="000000"/>
        </w:rPr>
        <w:t>CT</w:t>
      </w:r>
      <w:r w:rsidRPr="00112AEF">
        <w:rPr>
          <w:rFonts w:ascii="Book Antiqua" w:eastAsia="宋体" w:hAnsi="Book Antiqua"/>
          <w:kern w:val="2"/>
          <w:u w:color="000000"/>
          <w:lang w:eastAsia="zh-CN"/>
        </w:rPr>
        <w:t>)</w:t>
      </w:r>
      <w:r w:rsidRPr="00112AEF">
        <w:rPr>
          <w:rFonts w:ascii="Book Antiqua" w:hAnsi="Book Antiqua"/>
          <w:kern w:val="2"/>
          <w:u w:color="000000"/>
        </w:rPr>
        <w:t xml:space="preserve"> scan or </w:t>
      </w:r>
      <w:r w:rsidRPr="00112AEF">
        <w:rPr>
          <w:rFonts w:ascii="Book Antiqua" w:eastAsia="宋体" w:hAnsi="Book Antiqua"/>
          <w:kern w:val="2"/>
          <w:u w:color="000000"/>
          <w:lang w:eastAsia="zh-CN"/>
        </w:rPr>
        <w:t>m</w:t>
      </w:r>
      <w:r w:rsidRPr="00112AEF">
        <w:rPr>
          <w:rFonts w:ascii="Book Antiqua" w:hAnsi="Book Antiqua"/>
          <w:kern w:val="2"/>
          <w:u w:color="000000"/>
        </w:rPr>
        <w:t xml:space="preserve">agnetic resonance imaging </w:t>
      </w:r>
      <w:r w:rsidRPr="00112AEF">
        <w:rPr>
          <w:rFonts w:ascii="Book Antiqua" w:eastAsia="宋体" w:hAnsi="Book Antiqua"/>
          <w:kern w:val="2"/>
          <w:u w:color="000000"/>
          <w:lang w:eastAsia="zh-CN"/>
        </w:rPr>
        <w:t>(</w:t>
      </w:r>
      <w:r w:rsidRPr="00112AEF">
        <w:rPr>
          <w:rFonts w:ascii="Book Antiqua" w:hAnsi="Book Antiqua"/>
          <w:kern w:val="2"/>
          <w:u w:color="000000"/>
        </w:rPr>
        <w:t>MRI</w:t>
      </w:r>
      <w:r w:rsidRPr="00112AEF">
        <w:rPr>
          <w:rFonts w:ascii="Book Antiqua" w:eastAsia="宋体" w:hAnsi="Book Antiqua"/>
          <w:kern w:val="2"/>
          <w:u w:color="000000"/>
          <w:lang w:eastAsia="zh-CN"/>
        </w:rPr>
        <w:t>)</w:t>
      </w:r>
      <w:r w:rsidRPr="00112AEF">
        <w:rPr>
          <w:rFonts w:ascii="Book Antiqua" w:hAnsi="Book Antiqua"/>
          <w:kern w:val="2"/>
          <w:u w:color="000000"/>
        </w:rPr>
        <w:t xml:space="preserve"> was performed e</w:t>
      </w:r>
      <w:bookmarkEnd w:id="73"/>
      <w:r w:rsidRPr="00112AEF">
        <w:rPr>
          <w:rFonts w:ascii="Book Antiqua" w:hAnsi="Book Antiqua"/>
          <w:kern w:val="2"/>
          <w:u w:color="000000"/>
        </w:rPr>
        <w:t>very 3 mo. The disease control rate was defined as the percentage of patients with complete response (CR), partial response (PR), and stable disease (SD). AEs were assessed according to the National Cancer Institute Common Terminology Criteria for Adverse Effects, version 4.0</w:t>
      </w:r>
      <w:r w:rsidRPr="00112AEF">
        <w:rPr>
          <w:rFonts w:ascii="Book Antiqua" w:hAnsi="Book Antiqua"/>
          <w:kern w:val="2"/>
          <w:u w:color="000000"/>
          <w:vertAlign w:val="superscript"/>
        </w:rPr>
        <w:t>[</w:t>
      </w:r>
      <w:r w:rsidRPr="00112AEF">
        <w:rPr>
          <w:rFonts w:ascii="Book Antiqua" w:hAnsi="Book Antiqua"/>
          <w:vertAlign w:val="superscript"/>
        </w:rPr>
        <w:t>2</w:t>
      </w:r>
      <w:bookmarkStart w:id="74" w:name="_ENREF_32"/>
      <w:r w:rsidRPr="00112AEF">
        <w:rPr>
          <w:rFonts w:ascii="Book Antiqua" w:hAnsi="Book Antiqua"/>
          <w:vertAlign w:val="superscript"/>
          <w:lang w:eastAsia="ja-JP"/>
        </w:rPr>
        <w:t>7</w:t>
      </w:r>
      <w:r w:rsidRPr="00112AEF">
        <w:rPr>
          <w:rFonts w:ascii="Book Antiqua" w:hAnsi="Book Antiqua"/>
          <w:kern w:val="2"/>
          <w:u w:color="000000"/>
          <w:vertAlign w:val="superscript"/>
        </w:rPr>
        <w:t>]</w:t>
      </w:r>
      <w:r w:rsidRPr="00112AEF">
        <w:rPr>
          <w:rFonts w:ascii="Book Antiqua" w:hAnsi="Book Antiqua"/>
          <w:kern w:val="2"/>
          <w:u w:color="000000"/>
        </w:rPr>
        <w:t>. Skin toxicity</w:t>
      </w:r>
      <w:bookmarkEnd w:id="74"/>
      <w:r w:rsidRPr="00112AEF">
        <w:rPr>
          <w:rFonts w:ascii="Book Antiqua" w:hAnsi="Book Antiqua"/>
          <w:kern w:val="2"/>
          <w:u w:color="000000"/>
        </w:rPr>
        <w:t xml:space="preserve"> included </w:t>
      </w:r>
      <w:bookmarkStart w:id="75" w:name="_ENREF_33"/>
      <w:r w:rsidRPr="00112AEF">
        <w:rPr>
          <w:rFonts w:ascii="Book Antiqua" w:hAnsi="Book Antiqua"/>
          <w:kern w:val="2"/>
          <w:u w:color="FF0000"/>
        </w:rPr>
        <w:t xml:space="preserve">HFSR </w:t>
      </w:r>
      <w:r w:rsidRPr="00112AEF">
        <w:rPr>
          <w:rFonts w:ascii="Book Antiqua" w:hAnsi="Book Antiqua"/>
          <w:kern w:val="2"/>
          <w:u w:color="000000"/>
        </w:rPr>
        <w:t>and any kind of rash. Patients were followed up until January 7, 2013 or death.</w:t>
      </w:r>
    </w:p>
    <w:p w:rsidR="00AD473F" w:rsidRPr="00112AEF" w:rsidRDefault="00AD473F" w:rsidP="002F5E25">
      <w:pPr>
        <w:widowControl w:val="0"/>
        <w:spacing w:line="360" w:lineRule="auto"/>
        <w:jc w:val="both"/>
        <w:outlineLvl w:val="0"/>
        <w:rPr>
          <w:rFonts w:ascii="Book Antiqua" w:hAnsi="Book Antiqua"/>
          <w:b/>
          <w:i/>
          <w:kern w:val="2"/>
          <w:u w:color="000000"/>
          <w:lang w:eastAsia="ja-JP"/>
        </w:rPr>
      </w:pPr>
    </w:p>
    <w:p w:rsidR="00AD473F" w:rsidRPr="00112AEF" w:rsidRDefault="00AD473F" w:rsidP="00257B9D">
      <w:pPr>
        <w:spacing w:line="360" w:lineRule="auto"/>
        <w:rPr>
          <w:rFonts w:ascii="Book Antiqua" w:hAnsi="Book Antiqua"/>
          <w:b/>
          <w:i/>
        </w:rPr>
      </w:pPr>
      <w:r w:rsidRPr="00112AEF">
        <w:rPr>
          <w:rFonts w:ascii="Book Antiqua" w:hAnsi="Book Antiqua"/>
          <w:b/>
          <w:i/>
        </w:rPr>
        <w:t>Statistical analysis</w:t>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kern w:val="2"/>
          <w:u w:color="000000"/>
        </w:rPr>
        <w:t>Relationships of efficacy to baseline patient characteristics and AE</w:t>
      </w:r>
      <w:r w:rsidRPr="00112AEF">
        <w:rPr>
          <w:rFonts w:ascii="Book Antiqua" w:hAnsi="Book Antiqua"/>
          <w:kern w:val="2"/>
          <w:u w:color="000000"/>
          <w:lang w:eastAsia="ja-JP"/>
        </w:rPr>
        <w:t>s</w:t>
      </w:r>
      <w:r w:rsidRPr="00112AEF">
        <w:rPr>
          <w:rFonts w:ascii="Book Antiqua" w:hAnsi="Book Antiqua"/>
          <w:kern w:val="2"/>
          <w:u w:color="000000"/>
        </w:rPr>
        <w:t xml:space="preserve"> occurrence </w:t>
      </w:r>
      <w:bookmarkEnd w:id="75"/>
      <w:r w:rsidRPr="00112AEF">
        <w:rPr>
          <w:rFonts w:ascii="Book Antiqua" w:hAnsi="Book Antiqua"/>
          <w:kern w:val="2"/>
          <w:u w:color="000000"/>
        </w:rPr>
        <w:t xml:space="preserve">were </w:t>
      </w:r>
      <w:bookmarkStart w:id="76" w:name="_ENREF_34"/>
      <w:r w:rsidRPr="00112AEF">
        <w:rPr>
          <w:rFonts w:ascii="Book Antiqua" w:hAnsi="Book Antiqua"/>
          <w:kern w:val="2"/>
          <w:u w:color="000000"/>
        </w:rPr>
        <w:t>evaluated using Fisher’s exact probability test or multiple logistic regression analysis. Further, OS and treatment duration were analyzed using the log-rank test or Cox proportional hazards regression model. Multivar</w:t>
      </w:r>
      <w:bookmarkEnd w:id="76"/>
      <w:r w:rsidRPr="00112AEF">
        <w:rPr>
          <w:rFonts w:ascii="Book Antiqua" w:hAnsi="Book Antiqua"/>
          <w:kern w:val="2"/>
          <w:u w:color="000000"/>
        </w:rPr>
        <w:t>iate</w:t>
      </w:r>
      <w:bookmarkStart w:id="77" w:name="_ENREF_35"/>
      <w:r w:rsidRPr="00112AEF">
        <w:rPr>
          <w:rFonts w:ascii="Book Antiqua" w:hAnsi="Book Antiqua"/>
          <w:kern w:val="2"/>
          <w:u w:color="000000"/>
        </w:rPr>
        <w:t xml:space="preserve"> analyses were performed using the stepwise (step-up) procedure (likelihood ratio). All variables with </w:t>
      </w:r>
      <w:r w:rsidRPr="00B75481">
        <w:rPr>
          <w:rFonts w:ascii="Book Antiqua" w:hAnsi="Book Antiqua"/>
          <w:i/>
          <w:kern w:val="2"/>
          <w:u w:color="000000"/>
        </w:rPr>
        <w:t>P</w:t>
      </w:r>
      <w:r w:rsidRPr="00112AEF">
        <w:rPr>
          <w:rFonts w:ascii="Book Antiqua" w:hAnsi="Book Antiqua"/>
          <w:kern w:val="2"/>
          <w:u w:color="000000"/>
        </w:rPr>
        <w:t xml:space="preserve"> values &lt;</w:t>
      </w:r>
      <w:r w:rsidRPr="00112AEF">
        <w:rPr>
          <w:rFonts w:ascii="Book Antiqua" w:eastAsia="宋体" w:hAnsi="Book Antiqua"/>
          <w:kern w:val="2"/>
          <w:u w:color="000000"/>
          <w:lang w:eastAsia="zh-CN"/>
        </w:rPr>
        <w:t xml:space="preserve"> </w:t>
      </w:r>
      <w:r w:rsidRPr="00112AEF">
        <w:rPr>
          <w:rFonts w:ascii="Book Antiqua" w:hAnsi="Book Antiqua"/>
          <w:kern w:val="2"/>
          <w:u w:color="000000"/>
        </w:rPr>
        <w:t xml:space="preserve">0.15 in </w:t>
      </w:r>
      <w:r w:rsidRPr="00112AEF">
        <w:rPr>
          <w:rFonts w:ascii="Book Antiqua" w:hAnsi="Book Antiqua"/>
          <w:kern w:val="2"/>
          <w:u w:color="000000"/>
        </w:rPr>
        <w:lastRenderedPageBreak/>
        <w:t>uni</w:t>
      </w:r>
      <w:bookmarkEnd w:id="77"/>
      <w:r w:rsidRPr="00112AEF">
        <w:rPr>
          <w:rFonts w:ascii="Book Antiqua" w:hAnsi="Book Antiqua"/>
          <w:kern w:val="2"/>
          <w:u w:color="000000"/>
        </w:rPr>
        <w:t xml:space="preserve">variate analysis were included </w:t>
      </w:r>
      <w:bookmarkStart w:id="78" w:name="_ENREF_36"/>
      <w:r w:rsidRPr="00112AEF">
        <w:rPr>
          <w:rFonts w:ascii="Book Antiqua" w:hAnsi="Book Antiqua"/>
          <w:kern w:val="2"/>
          <w:u w:color="000000"/>
        </w:rPr>
        <w:t xml:space="preserve">for multivariate analysis. </w:t>
      </w:r>
      <w:r w:rsidRPr="00B75481">
        <w:rPr>
          <w:rFonts w:ascii="Book Antiqua" w:hAnsi="Book Antiqua"/>
          <w:i/>
          <w:kern w:val="2"/>
          <w:u w:color="000000"/>
        </w:rPr>
        <w:t>P</w:t>
      </w:r>
      <w:r w:rsidRPr="00112AEF">
        <w:rPr>
          <w:rFonts w:ascii="Book Antiqua" w:hAnsi="Book Antiqua"/>
          <w:kern w:val="2"/>
          <w:u w:color="000000"/>
        </w:rPr>
        <w:t xml:space="preserve"> values &lt;</w:t>
      </w:r>
      <w:r w:rsidRPr="00112AEF">
        <w:rPr>
          <w:rFonts w:ascii="Book Antiqua" w:eastAsia="宋体" w:hAnsi="Book Antiqua"/>
          <w:kern w:val="2"/>
          <w:u w:color="000000"/>
          <w:lang w:eastAsia="zh-CN"/>
        </w:rPr>
        <w:t xml:space="preserve"> </w:t>
      </w:r>
      <w:r w:rsidRPr="00112AEF">
        <w:rPr>
          <w:rFonts w:ascii="Book Antiqua" w:hAnsi="Book Antiqua"/>
          <w:kern w:val="2"/>
          <w:u w:color="000000"/>
        </w:rPr>
        <w:t>0.05 were considered to indicate statistical significance. Statistical analysis was performed using the statistical package IBM® SPSS® Statistics version 21 for Windows (1989, Somers, NY).</w:t>
      </w:r>
    </w:p>
    <w:p w:rsidR="00AD473F" w:rsidRPr="00112AEF" w:rsidRDefault="00AD473F" w:rsidP="002F5E25">
      <w:pPr>
        <w:widowControl w:val="0"/>
        <w:spacing w:line="360" w:lineRule="auto"/>
        <w:jc w:val="both"/>
        <w:outlineLvl w:val="0"/>
        <w:rPr>
          <w:rFonts w:ascii="Book Antiqua" w:hAnsi="Book Antiqua"/>
          <w:b/>
          <w:kern w:val="2"/>
          <w:u w:color="000000"/>
          <w:lang w:eastAsia="ja-JP"/>
        </w:rPr>
      </w:pPr>
    </w:p>
    <w:p w:rsidR="00AD473F" w:rsidRPr="00112AEF" w:rsidRDefault="00AD473F" w:rsidP="00257B9D">
      <w:pPr>
        <w:spacing w:line="360" w:lineRule="auto"/>
        <w:rPr>
          <w:rFonts w:ascii="Book Antiqua" w:hAnsi="Book Antiqua"/>
          <w:b/>
        </w:rPr>
      </w:pPr>
      <w:r w:rsidRPr="00112AEF">
        <w:rPr>
          <w:rFonts w:ascii="Book Antiqua" w:hAnsi="Book Antiqua"/>
          <w:b/>
        </w:rPr>
        <w:t>RESULTS</w:t>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b/>
          <w:i/>
          <w:kern w:val="2"/>
          <w:u w:color="000000"/>
        </w:rPr>
        <w:t>Baseline patient character</w:t>
      </w:r>
      <w:bookmarkEnd w:id="78"/>
      <w:r w:rsidRPr="00112AEF">
        <w:rPr>
          <w:rFonts w:ascii="Book Antiqua" w:hAnsi="Book Antiqua"/>
          <w:b/>
          <w:i/>
          <w:kern w:val="2"/>
          <w:u w:color="000000"/>
        </w:rPr>
        <w:t>istics</w:t>
      </w:r>
      <w:bookmarkStart w:id="79" w:name="_ENREF_37"/>
      <w:r w:rsidRPr="00112AEF">
        <w:rPr>
          <w:rFonts w:ascii="Book Antiqua" w:hAnsi="Book Antiqua"/>
          <w:kern w:val="2"/>
          <w:u w:color="000000"/>
        </w:rPr>
        <w:t xml:space="preserve"> (</w:t>
      </w:r>
      <w:r w:rsidRPr="00332BC2">
        <w:rPr>
          <w:rFonts w:ascii="Book Antiqua" w:hAnsi="Book Antiqua"/>
          <w:b/>
          <w:kern w:val="2"/>
          <w:u w:color="000000"/>
        </w:rPr>
        <w:t>Table 1</w:t>
      </w:r>
      <w:r w:rsidRPr="00112AEF">
        <w:rPr>
          <w:rFonts w:ascii="Book Antiqua" w:hAnsi="Book Antiqua"/>
          <w:kern w:val="2"/>
          <w:u w:color="000000"/>
        </w:rPr>
        <w:t>)</w:t>
      </w:r>
    </w:p>
    <w:p w:rsidR="00AD473F" w:rsidRPr="00112AEF" w:rsidRDefault="00AD473F" w:rsidP="002F5E25">
      <w:pPr>
        <w:widowControl w:val="0"/>
        <w:tabs>
          <w:tab w:val="left" w:pos="4320"/>
        </w:tabs>
        <w:spacing w:line="360" w:lineRule="auto"/>
        <w:jc w:val="both"/>
        <w:outlineLvl w:val="0"/>
        <w:rPr>
          <w:rFonts w:ascii="Book Antiqua" w:hAnsi="Book Antiqua"/>
          <w:kern w:val="2"/>
          <w:u w:color="000000"/>
        </w:rPr>
      </w:pPr>
      <w:r w:rsidRPr="00112AEF">
        <w:rPr>
          <w:rFonts w:ascii="Book Antiqua" w:hAnsi="Book Antiqua"/>
          <w:kern w:val="2"/>
          <w:u w:color="000000"/>
        </w:rPr>
        <w:t xml:space="preserve">A total of 37 patients were enrolled in the study, comprising 30 males (81%) with a median age of 71 years (range, 36–83 years). More than half of the patients (54%) were infected with hepatitis C virus. Most patients (84%) had received </w:t>
      </w:r>
      <w:r w:rsidRPr="00112AEF">
        <w:rPr>
          <w:rFonts w:ascii="Book Antiqua" w:hAnsi="Book Antiqua"/>
          <w:kern w:val="2"/>
          <w:u w:color="000000"/>
          <w:lang w:eastAsia="ja-JP"/>
        </w:rPr>
        <w:t>other treatment</w:t>
      </w:r>
      <w:r w:rsidRPr="00112AEF">
        <w:rPr>
          <w:rFonts w:ascii="Book Antiqua" w:hAnsi="Book Antiqua"/>
          <w:kern w:val="2"/>
          <w:u w:color="000000"/>
        </w:rPr>
        <w:t xml:space="preserve"> for HCC</w:t>
      </w:r>
      <w:r w:rsidRPr="00112AEF">
        <w:rPr>
          <w:rFonts w:ascii="Book Antiqua" w:hAnsi="Book Antiqua"/>
          <w:kern w:val="2"/>
          <w:u w:color="000000"/>
          <w:lang w:eastAsia="ja-JP"/>
        </w:rPr>
        <w:t xml:space="preserve"> before sorafenib therapy</w:t>
      </w:r>
      <w:r w:rsidRPr="00112AEF">
        <w:rPr>
          <w:rFonts w:ascii="Book Antiqua" w:hAnsi="Book Antiqua"/>
          <w:kern w:val="2"/>
          <w:u w:color="000000"/>
        </w:rPr>
        <w:t>, includ</w:t>
      </w:r>
      <w:bookmarkEnd w:id="79"/>
      <w:r w:rsidRPr="00112AEF">
        <w:rPr>
          <w:rFonts w:ascii="Book Antiqua" w:hAnsi="Book Antiqua"/>
          <w:kern w:val="2"/>
          <w:u w:color="000000"/>
        </w:rPr>
        <w:t xml:space="preserve">ing surgical resection, TACE, and radiofrequency ablation. </w:t>
      </w:r>
      <w:r w:rsidRPr="00112AEF">
        <w:rPr>
          <w:rFonts w:ascii="Book Antiqua" w:hAnsi="Book Antiqua"/>
          <w:kern w:val="2"/>
          <w:u w:color="000000"/>
          <w:lang w:eastAsia="ja-JP"/>
        </w:rPr>
        <w:t>Six</w:t>
      </w:r>
      <w:r w:rsidRPr="00112AEF">
        <w:rPr>
          <w:rFonts w:ascii="Book Antiqua" w:hAnsi="Book Antiqua"/>
          <w:kern w:val="2"/>
          <w:u w:color="000000"/>
        </w:rPr>
        <w:t>teen patients (4</w:t>
      </w:r>
      <w:r w:rsidRPr="00112AEF">
        <w:rPr>
          <w:rFonts w:ascii="Book Antiqua" w:hAnsi="Book Antiqua"/>
          <w:kern w:val="2"/>
          <w:u w:color="000000"/>
          <w:lang w:eastAsia="ja-JP"/>
        </w:rPr>
        <w:t>3</w:t>
      </w:r>
      <w:r w:rsidRPr="00112AEF">
        <w:rPr>
          <w:rFonts w:ascii="Book Antiqua" w:hAnsi="Book Antiqua"/>
          <w:kern w:val="2"/>
          <w:u w:color="000000"/>
        </w:rPr>
        <w:t>%) received &lt;</w:t>
      </w:r>
      <w:r w:rsidRPr="00112AEF">
        <w:rPr>
          <w:rFonts w:ascii="Book Antiqua" w:eastAsia="宋体" w:hAnsi="Book Antiqua"/>
          <w:kern w:val="2"/>
          <w:u w:color="000000"/>
          <w:lang w:eastAsia="zh-CN"/>
        </w:rPr>
        <w:t xml:space="preserve"> </w:t>
      </w:r>
      <w:r w:rsidRPr="00112AEF">
        <w:rPr>
          <w:rFonts w:ascii="Book Antiqua" w:hAnsi="Book Antiqua"/>
          <w:kern w:val="2"/>
          <w:u w:color="000000"/>
        </w:rPr>
        <w:t>800 mg sorafenib as an initial daily dose. Nursing intervention was given to 24 patients (65%).</w:t>
      </w:r>
      <w:bookmarkStart w:id="80" w:name="_ENREF_39"/>
    </w:p>
    <w:p w:rsidR="00AD473F" w:rsidRPr="00112AEF" w:rsidRDefault="00AD473F" w:rsidP="002F5E25">
      <w:pPr>
        <w:widowControl w:val="0"/>
        <w:tabs>
          <w:tab w:val="left" w:pos="2830"/>
        </w:tabs>
        <w:spacing w:line="360" w:lineRule="auto"/>
        <w:jc w:val="both"/>
        <w:outlineLvl w:val="0"/>
        <w:rPr>
          <w:rFonts w:ascii="Book Antiqua" w:hAnsi="Book Antiqua"/>
          <w:b/>
          <w:i/>
          <w:kern w:val="2"/>
          <w:u w:color="000000"/>
          <w:lang w:eastAsia="ja-JP"/>
        </w:rPr>
      </w:pPr>
    </w:p>
    <w:p w:rsidR="00AD473F" w:rsidRPr="00112AEF" w:rsidRDefault="00AD473F" w:rsidP="002F5E25">
      <w:pPr>
        <w:widowControl w:val="0"/>
        <w:tabs>
          <w:tab w:val="left" w:pos="2830"/>
        </w:tabs>
        <w:spacing w:line="360" w:lineRule="auto"/>
        <w:jc w:val="both"/>
        <w:outlineLvl w:val="0"/>
        <w:rPr>
          <w:rFonts w:ascii="Book Antiqua" w:hAnsi="Book Antiqua"/>
          <w:b/>
          <w:i/>
          <w:kern w:val="2"/>
          <w:u w:color="000000"/>
        </w:rPr>
      </w:pPr>
      <w:r w:rsidRPr="00112AEF">
        <w:rPr>
          <w:rFonts w:ascii="Book Antiqua" w:hAnsi="Book Antiqua"/>
          <w:b/>
          <w:i/>
          <w:kern w:val="2"/>
          <w:u w:color="000000"/>
        </w:rPr>
        <w:t>Treatment efficacy</w:t>
      </w:r>
      <w:r w:rsidRPr="00112AEF">
        <w:rPr>
          <w:rFonts w:ascii="Book Antiqua" w:hAnsi="Book Antiqua"/>
          <w:b/>
          <w:i/>
          <w:kern w:val="2"/>
          <w:u w:color="000000"/>
        </w:rPr>
        <w:tab/>
      </w:r>
    </w:p>
    <w:p w:rsidR="00AD473F" w:rsidRPr="00112AEF" w:rsidRDefault="00AD473F" w:rsidP="002F5E25">
      <w:pPr>
        <w:widowControl w:val="0"/>
        <w:spacing w:line="360" w:lineRule="auto"/>
        <w:jc w:val="both"/>
        <w:outlineLvl w:val="0"/>
        <w:rPr>
          <w:rFonts w:ascii="Book Antiqua" w:hAnsi="Book Antiqua"/>
          <w:kern w:val="2"/>
          <w:u w:color="FF0000"/>
        </w:rPr>
      </w:pPr>
      <w:r w:rsidRPr="00112AEF">
        <w:rPr>
          <w:rFonts w:ascii="Book Antiqua" w:hAnsi="Book Antiqua"/>
          <w:kern w:val="2"/>
          <w:u w:color="000000"/>
        </w:rPr>
        <w:t>Disease control was obtained in 15 patients (41%</w:t>
      </w:r>
      <w:bookmarkEnd w:id="80"/>
      <w:r w:rsidRPr="00112AEF">
        <w:rPr>
          <w:rFonts w:ascii="Book Antiqua" w:hAnsi="Book Antiqua"/>
          <w:kern w:val="2"/>
          <w:u w:color="000000"/>
        </w:rPr>
        <w:t>) comprising 1 (3%) with CR, 3 (8%) with PR, and 11 (30%) with SD</w:t>
      </w:r>
      <w:r w:rsidRPr="00112AEF">
        <w:rPr>
          <w:rFonts w:ascii="Book Antiqua" w:hAnsi="Book Antiqua"/>
          <w:kern w:val="2"/>
          <w:u w:color="000000"/>
          <w:lang w:eastAsia="ja-JP"/>
        </w:rPr>
        <w:t xml:space="preserve"> at 3 mo after the initiation of sorafenib therapy</w:t>
      </w:r>
      <w:r w:rsidRPr="00112AEF">
        <w:rPr>
          <w:rFonts w:ascii="Book Antiqua" w:hAnsi="Book Antiqua"/>
          <w:kern w:val="2"/>
          <w:u w:color="000000"/>
        </w:rPr>
        <w:t>. The patient who achieved CR was a 69-year-old male patient, a noteworthy case that has also been reported elsewhere</w:t>
      </w:r>
      <w:r w:rsidRPr="00112AEF">
        <w:rPr>
          <w:rFonts w:ascii="Book Antiqua" w:hAnsi="Book Antiqua"/>
          <w:kern w:val="2"/>
          <w:u w:color="000000"/>
          <w:vertAlign w:val="superscript"/>
        </w:rPr>
        <w:t>[</w:t>
      </w:r>
      <w:r w:rsidRPr="00112AEF">
        <w:rPr>
          <w:rFonts w:ascii="Book Antiqua" w:hAnsi="Book Antiqua"/>
          <w:vertAlign w:val="superscript"/>
        </w:rPr>
        <w:t>2</w:t>
      </w:r>
      <w:r w:rsidRPr="00112AEF">
        <w:rPr>
          <w:rFonts w:ascii="Book Antiqua" w:hAnsi="Book Antiqua"/>
          <w:vertAlign w:val="superscript"/>
          <w:lang w:eastAsia="ja-JP"/>
        </w:rPr>
        <w:t>8</w:t>
      </w:r>
      <w:r w:rsidRPr="00112AEF">
        <w:rPr>
          <w:rFonts w:ascii="Book Antiqua" w:hAnsi="Book Antiqua"/>
          <w:kern w:val="2"/>
          <w:u w:color="000000"/>
          <w:vertAlign w:val="superscript"/>
        </w:rPr>
        <w:t>]</w:t>
      </w:r>
      <w:r w:rsidRPr="00112AEF">
        <w:rPr>
          <w:rFonts w:ascii="Book Antiqua" w:hAnsi="Book Antiqua"/>
          <w:kern w:val="2"/>
          <w:u w:color="000000"/>
        </w:rPr>
        <w:t xml:space="preserve">. He received sorafenib at a dose of 800 mg for HCC metastasis to a portal lymph node </w:t>
      </w:r>
      <w:r w:rsidRPr="00112AEF">
        <w:rPr>
          <w:rFonts w:ascii="Book Antiqua" w:hAnsi="Book Antiqua"/>
          <w:kern w:val="2"/>
          <w:u w:color="000000"/>
          <w:lang w:eastAsia="ja-JP"/>
        </w:rPr>
        <w:t xml:space="preserve">metastasis </w:t>
      </w:r>
      <w:r w:rsidRPr="00112AEF">
        <w:rPr>
          <w:rFonts w:ascii="Book Antiqua" w:hAnsi="Book Antiqua"/>
          <w:kern w:val="2"/>
          <w:u w:color="000000"/>
        </w:rPr>
        <w:t>that appeared 3 years after surgical resection for primary HCC. However, he discontinued sorafenib administration</w:t>
      </w:r>
      <w:r>
        <w:rPr>
          <w:rFonts w:ascii="Book Antiqua" w:hAnsi="Book Antiqua"/>
          <w:kern w:val="2"/>
          <w:u w:color="000000"/>
        </w:rPr>
        <w:t xml:space="preserve"> after 11 d</w:t>
      </w:r>
      <w:r w:rsidRPr="00112AEF">
        <w:rPr>
          <w:rFonts w:ascii="Book Antiqua" w:hAnsi="Book Antiqua"/>
          <w:kern w:val="2"/>
          <w:u w:color="000000"/>
        </w:rPr>
        <w:t xml:space="preserve"> because of G3 HFSR. </w:t>
      </w:r>
      <w:r w:rsidRPr="00112AEF">
        <w:rPr>
          <w:rFonts w:ascii="Book Antiqua" w:hAnsi="Book Antiqua"/>
          <w:kern w:val="2"/>
          <w:u w:color="FF0000"/>
        </w:rPr>
        <w:t xml:space="preserve">Despite treatment termination, the portal lymph node metastasis disappeared along with the normalization of serum </w:t>
      </w:r>
      <w:r w:rsidRPr="00112AEF">
        <w:rPr>
          <w:rFonts w:ascii="Book Antiqua" w:eastAsia="宋体" w:hAnsi="Book Antiqua"/>
          <w:kern w:val="2"/>
          <w:u w:color="FF0000"/>
          <w:lang w:eastAsia="zh-CN"/>
        </w:rPr>
        <w:t>(</w:t>
      </w:r>
      <w:r w:rsidRPr="00112AEF">
        <w:rPr>
          <w:rFonts w:ascii="Book Antiqua" w:hAnsi="Book Antiqua"/>
          <w:kern w:val="2"/>
          <w:u w:color="000000"/>
          <w:lang w:eastAsia="ja-JP"/>
        </w:rPr>
        <w:t>des-gamma-carboxy prothrombin</w:t>
      </w:r>
      <w:r w:rsidRPr="00112AEF">
        <w:rPr>
          <w:rFonts w:ascii="Book Antiqua" w:eastAsia="宋体" w:hAnsi="Book Antiqua"/>
          <w:kern w:val="2"/>
          <w:u w:color="FF0000"/>
          <w:lang w:eastAsia="zh-CN"/>
        </w:rPr>
        <w:t xml:space="preserve">) </w:t>
      </w:r>
      <w:r w:rsidRPr="00112AEF">
        <w:rPr>
          <w:rFonts w:ascii="Book Antiqua" w:hAnsi="Book Antiqua"/>
          <w:kern w:val="2"/>
          <w:u w:color="FF0000"/>
        </w:rPr>
        <w:t xml:space="preserve">DCP </w:t>
      </w:r>
      <w:r w:rsidRPr="00112AEF">
        <w:rPr>
          <w:rFonts w:ascii="Book Antiqua" w:eastAsia="宋体" w:hAnsi="Book Antiqua"/>
          <w:kern w:val="2"/>
          <w:u w:color="FF0000"/>
          <w:lang w:eastAsia="zh-CN"/>
        </w:rPr>
        <w:t>(</w:t>
      </w:r>
      <w:r w:rsidRPr="00112AEF">
        <w:rPr>
          <w:rFonts w:ascii="Book Antiqua" w:hAnsi="Book Antiqua"/>
          <w:kern w:val="2"/>
          <w:u w:color="FF0000"/>
        </w:rPr>
        <w:t>and</w:t>
      </w:r>
      <w:r w:rsidRPr="00112AEF">
        <w:rPr>
          <w:rFonts w:ascii="Book Antiqua" w:hAnsi="Book Antiqua"/>
          <w:kern w:val="2"/>
          <w:u w:color="000000"/>
          <w:lang w:eastAsia="ja-JP"/>
        </w:rPr>
        <w:t>α-fetoprotein</w:t>
      </w:r>
      <w:r w:rsidRPr="00112AEF">
        <w:rPr>
          <w:rFonts w:ascii="Book Antiqua" w:eastAsia="宋体" w:hAnsi="Book Antiqua"/>
          <w:kern w:val="2"/>
          <w:u w:color="000000"/>
          <w:lang w:eastAsia="zh-CN"/>
        </w:rPr>
        <w:t>)</w:t>
      </w:r>
      <w:r w:rsidRPr="00112AEF">
        <w:rPr>
          <w:rFonts w:ascii="Book Antiqua" w:hAnsi="Book Antiqua"/>
          <w:kern w:val="2"/>
          <w:u w:color="FF0000"/>
        </w:rPr>
        <w:t xml:space="preserve"> AFP levels. </w:t>
      </w:r>
      <w:r w:rsidRPr="00112AEF">
        <w:rPr>
          <w:rFonts w:ascii="Book Antiqua" w:hAnsi="Book Antiqua"/>
          <w:kern w:val="2"/>
          <w:u w:color="000000"/>
        </w:rPr>
        <w:t>A total of 27 patients (73%) died. One patient was lost to follow-up. The median OS period was 259 d (range, 41–664 d).</w:t>
      </w:r>
      <w:bookmarkStart w:id="81" w:name="_ENREF_43"/>
    </w:p>
    <w:p w:rsidR="00AD473F" w:rsidRPr="00112AEF" w:rsidRDefault="00AD473F" w:rsidP="002F5E25">
      <w:pPr>
        <w:widowControl w:val="0"/>
        <w:tabs>
          <w:tab w:val="left" w:pos="2830"/>
        </w:tabs>
        <w:spacing w:line="360" w:lineRule="auto"/>
        <w:jc w:val="both"/>
        <w:outlineLvl w:val="0"/>
        <w:rPr>
          <w:rFonts w:ascii="Book Antiqua" w:hAnsi="Book Antiqua"/>
          <w:b/>
          <w:i/>
          <w:kern w:val="2"/>
          <w:u w:color="000000"/>
          <w:lang w:eastAsia="ja-JP"/>
        </w:rPr>
      </w:pPr>
    </w:p>
    <w:p w:rsidR="00AD473F" w:rsidRPr="00112AEF" w:rsidRDefault="00AD473F" w:rsidP="002F5E25">
      <w:pPr>
        <w:widowControl w:val="0"/>
        <w:tabs>
          <w:tab w:val="left" w:pos="2830"/>
        </w:tabs>
        <w:spacing w:line="360" w:lineRule="auto"/>
        <w:jc w:val="both"/>
        <w:outlineLvl w:val="0"/>
        <w:rPr>
          <w:rFonts w:ascii="Book Antiqua" w:hAnsi="Book Antiqua"/>
          <w:b/>
          <w:i/>
          <w:kern w:val="2"/>
          <w:u w:color="000000"/>
        </w:rPr>
      </w:pPr>
      <w:r w:rsidRPr="00112AEF">
        <w:rPr>
          <w:rFonts w:ascii="Book Antiqua" w:hAnsi="Book Antiqua"/>
          <w:b/>
          <w:i/>
          <w:kern w:val="2"/>
          <w:u w:color="000000"/>
        </w:rPr>
        <w:t>AEs</w:t>
      </w:r>
      <w:r w:rsidRPr="00112AEF">
        <w:rPr>
          <w:rFonts w:ascii="Book Antiqua" w:hAnsi="Book Antiqua"/>
          <w:i/>
          <w:kern w:val="2"/>
          <w:u w:color="000000"/>
        </w:rPr>
        <w:t xml:space="preserve"> </w:t>
      </w:r>
      <w:r w:rsidRPr="00112AEF">
        <w:rPr>
          <w:rFonts w:ascii="Book Antiqua" w:hAnsi="Book Antiqua"/>
          <w:kern w:val="2"/>
          <w:u w:color="000000"/>
        </w:rPr>
        <w:t>(</w:t>
      </w:r>
      <w:r w:rsidRPr="00332BC2">
        <w:rPr>
          <w:rFonts w:ascii="Book Antiqua" w:hAnsi="Book Antiqua"/>
          <w:b/>
          <w:kern w:val="2"/>
          <w:u w:color="000000"/>
        </w:rPr>
        <w:t>Table 2</w:t>
      </w:r>
      <w:r w:rsidRPr="00112AEF">
        <w:rPr>
          <w:rFonts w:ascii="Book Antiqua" w:hAnsi="Book Antiqua"/>
          <w:kern w:val="2"/>
          <w:u w:color="000000"/>
        </w:rPr>
        <w:t>)</w:t>
      </w:r>
      <w:r w:rsidRPr="00112AEF">
        <w:rPr>
          <w:rFonts w:ascii="Book Antiqua" w:hAnsi="Book Antiqua"/>
          <w:i/>
          <w:kern w:val="2"/>
          <w:u w:color="000000"/>
        </w:rPr>
        <w:tab/>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kern w:val="2"/>
          <w:u w:color="000000"/>
        </w:rPr>
        <w:t>Every patient exhibited some kind of AE</w:t>
      </w:r>
      <w:r w:rsidRPr="00112AEF">
        <w:rPr>
          <w:rFonts w:ascii="Book Antiqua" w:hAnsi="Book Antiqua"/>
          <w:kern w:val="2"/>
          <w:u w:color="000000"/>
          <w:lang w:eastAsia="ja-JP"/>
        </w:rPr>
        <w:t>s</w:t>
      </w:r>
      <w:r w:rsidRPr="00112AEF">
        <w:rPr>
          <w:rFonts w:ascii="Book Antiqua" w:hAnsi="Book Antiqua"/>
          <w:kern w:val="2"/>
          <w:u w:color="000000"/>
        </w:rPr>
        <w:t>, but no pa</w:t>
      </w:r>
      <w:bookmarkEnd w:id="81"/>
      <w:r w:rsidRPr="00112AEF">
        <w:rPr>
          <w:rFonts w:ascii="Book Antiqua" w:hAnsi="Book Antiqua"/>
          <w:kern w:val="2"/>
          <w:u w:color="000000"/>
        </w:rPr>
        <w:t>tient experienced G4 AEs. Frequently observed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G2 AEs included anorexia (57%), skin toxicity (57%), fatigue (54%), hypoalbuminemia (41%), and hypertension (30%). Sorafenib therapy was discontinued in 5 patients (14%) because of skin toxicity (</w:t>
      </w:r>
      <w:r w:rsidRPr="00332BC2">
        <w:rPr>
          <w:rFonts w:ascii="Book Antiqua" w:hAnsi="Book Antiqua"/>
          <w:i/>
          <w:kern w:val="2"/>
          <w:u w:color="000000"/>
        </w:rPr>
        <w:t>n</w:t>
      </w:r>
      <w:r w:rsidRPr="00112AEF">
        <w:rPr>
          <w:rFonts w:ascii="Book Antiqua" w:hAnsi="Book Antiqua"/>
          <w:kern w:val="2"/>
          <w:u w:color="000000"/>
        </w:rPr>
        <w:t xml:space="preserve"> = 4) and anorexia (</w:t>
      </w:r>
      <w:r w:rsidRPr="00332BC2">
        <w:rPr>
          <w:rFonts w:ascii="Book Antiqua" w:hAnsi="Book Antiqua"/>
          <w:i/>
          <w:kern w:val="2"/>
          <w:u w:color="000000"/>
        </w:rPr>
        <w:t>n</w:t>
      </w:r>
      <w:r w:rsidRPr="00112AEF">
        <w:rPr>
          <w:rFonts w:ascii="Book Antiqua" w:hAnsi="Book Antiqua"/>
          <w:kern w:val="2"/>
          <w:u w:color="000000"/>
        </w:rPr>
        <w:t xml:space="preserve"> = 1). </w:t>
      </w:r>
      <w:r w:rsidRPr="00112AEF">
        <w:rPr>
          <w:rFonts w:ascii="Book Antiqua" w:hAnsi="Book Antiqua"/>
          <w:kern w:val="2"/>
          <w:u w:color="000000"/>
        </w:rPr>
        <w:lastRenderedPageBreak/>
        <w:t>Fifteen patients (41%) required dose reduction because of skin toxicity (</w:t>
      </w:r>
      <w:r w:rsidRPr="00332BC2">
        <w:rPr>
          <w:rFonts w:ascii="Book Antiqua" w:hAnsi="Book Antiqua"/>
          <w:i/>
          <w:kern w:val="2"/>
          <w:u w:color="000000"/>
        </w:rPr>
        <w:t>n</w:t>
      </w:r>
      <w:r w:rsidRPr="00112AEF">
        <w:rPr>
          <w:rFonts w:ascii="Book Antiqua" w:hAnsi="Book Antiqua"/>
          <w:kern w:val="2"/>
          <w:u w:color="000000"/>
        </w:rPr>
        <w:t xml:space="preserve"> = 8), anorexia (</w:t>
      </w:r>
      <w:r w:rsidRPr="00332BC2">
        <w:rPr>
          <w:rFonts w:ascii="Book Antiqua" w:hAnsi="Book Antiqua"/>
          <w:i/>
          <w:kern w:val="2"/>
          <w:u w:color="000000"/>
        </w:rPr>
        <w:t>n</w:t>
      </w:r>
      <w:r w:rsidRPr="00112AEF">
        <w:rPr>
          <w:rFonts w:ascii="Book Antiqua" w:hAnsi="Book Antiqua"/>
          <w:kern w:val="2"/>
          <w:u w:color="000000"/>
        </w:rPr>
        <w:t xml:space="preserve"> = 4), hyperbilirubinemia (</w:t>
      </w:r>
      <w:r w:rsidRPr="00332BC2">
        <w:rPr>
          <w:rFonts w:ascii="Book Antiqua" w:hAnsi="Book Antiqua"/>
          <w:i/>
          <w:kern w:val="2"/>
          <w:u w:color="000000"/>
        </w:rPr>
        <w:t>n</w:t>
      </w:r>
      <w:r w:rsidRPr="00112AEF">
        <w:rPr>
          <w:rFonts w:ascii="Book Antiqua" w:hAnsi="Book Antiqua"/>
          <w:kern w:val="2"/>
          <w:u w:color="000000"/>
        </w:rPr>
        <w:t xml:space="preserve"> = 2), and hypertension (</w:t>
      </w:r>
      <w:r w:rsidRPr="00332BC2">
        <w:rPr>
          <w:rFonts w:ascii="Book Antiqua" w:hAnsi="Book Antiqua"/>
          <w:i/>
          <w:kern w:val="2"/>
          <w:u w:color="000000"/>
        </w:rPr>
        <w:t>n</w:t>
      </w:r>
      <w:r w:rsidRPr="00112AEF">
        <w:rPr>
          <w:rFonts w:ascii="Book Antiqua" w:hAnsi="Book Antiqua"/>
          <w:kern w:val="2"/>
          <w:u w:color="000000"/>
        </w:rPr>
        <w:t xml:space="preserve"> = 1). </w:t>
      </w:r>
    </w:p>
    <w:p w:rsidR="00AD473F" w:rsidRPr="00112AEF" w:rsidRDefault="00AD473F" w:rsidP="002F5E25">
      <w:pPr>
        <w:widowControl w:val="0"/>
        <w:spacing w:line="360" w:lineRule="auto"/>
        <w:jc w:val="both"/>
        <w:outlineLvl w:val="0"/>
        <w:rPr>
          <w:rFonts w:ascii="Book Antiqua" w:hAnsi="Book Antiqua"/>
          <w:b/>
          <w:i/>
          <w:kern w:val="2"/>
          <w:u w:color="000000"/>
          <w:lang w:eastAsia="ja-JP"/>
        </w:rPr>
      </w:pPr>
      <w:bookmarkStart w:id="82" w:name="_ENREF_45"/>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b/>
          <w:i/>
          <w:kern w:val="2"/>
          <w:u w:color="000000"/>
        </w:rPr>
        <w:t>Factors associated with OS</w:t>
      </w:r>
      <w:r w:rsidRPr="00112AEF">
        <w:rPr>
          <w:rFonts w:ascii="Book Antiqua" w:hAnsi="Book Antiqua"/>
          <w:kern w:val="2"/>
          <w:u w:color="000000"/>
        </w:rPr>
        <w:t xml:space="preserve"> (</w:t>
      </w:r>
      <w:r w:rsidRPr="00332BC2">
        <w:rPr>
          <w:rFonts w:ascii="Book Antiqua" w:hAnsi="Book Antiqua"/>
          <w:b/>
          <w:kern w:val="2"/>
          <w:u w:color="000000"/>
        </w:rPr>
        <w:t>Table 3</w:t>
      </w:r>
      <w:r w:rsidRPr="00112AEF">
        <w:rPr>
          <w:rFonts w:ascii="Book Antiqua" w:hAnsi="Book Antiqua"/>
          <w:kern w:val="2"/>
          <w:u w:color="000000"/>
        </w:rPr>
        <w:t>)</w:t>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kern w:val="2"/>
          <w:u w:color="000000"/>
        </w:rPr>
        <w:t>Factors significantly associated with longer OS in univariate analysis included the presence of</w:t>
      </w:r>
      <w:bookmarkEnd w:id="82"/>
      <w:r w:rsidRPr="00112AEF">
        <w:rPr>
          <w:rFonts w:ascii="Book Antiqua" w:hAnsi="Book Antiqua"/>
          <w:kern w:val="2"/>
          <w:u w:color="000000"/>
        </w:rPr>
        <w:t xml:space="preserve"> previous therapy, serum DCP levels </w:t>
      </w:r>
      <w:r w:rsidRPr="00112AEF">
        <w:rPr>
          <w:rFonts w:ascii="Book Antiqua" w:hAnsi="Book Antiqua"/>
          <w:kern w:val="2"/>
          <w:u w:color="000000"/>
        </w:rPr>
        <w:sym w:font="Symbol" w:char="F0A3"/>
      </w:r>
      <w:r w:rsidRPr="00112AEF">
        <w:rPr>
          <w:rFonts w:ascii="Book Antiqua" w:eastAsia="宋体" w:hAnsi="Book Antiqua"/>
          <w:kern w:val="2"/>
          <w:u w:color="000000"/>
          <w:lang w:eastAsia="zh-CN"/>
        </w:rPr>
        <w:t xml:space="preserve"> </w:t>
      </w:r>
      <w:r w:rsidRPr="00112AEF">
        <w:rPr>
          <w:rFonts w:ascii="Book Antiqua" w:hAnsi="Book Antiqua"/>
          <w:kern w:val="2"/>
          <w:u w:color="000000"/>
        </w:rPr>
        <w:t>1000 mAU/mL, 800 mg initial sorafenib dose,</w:t>
      </w:r>
      <w:bookmarkStart w:id="83" w:name="_ENREF_46"/>
      <w:r w:rsidRPr="00112AEF">
        <w:rPr>
          <w:rFonts w:ascii="Book Antiqua" w:hAnsi="Book Antiqua"/>
          <w:kern w:val="2"/>
          <w:u w:color="000000"/>
          <w:lang w:eastAsia="ja-JP"/>
        </w:rPr>
        <w:t xml:space="preserve"> </w:t>
      </w:r>
      <w:r w:rsidRPr="00112AEF">
        <w:rPr>
          <w:rFonts w:ascii="Book Antiqua" w:hAnsi="Book Antiqua"/>
          <w:kern w:val="2"/>
          <w:u w:color="000000"/>
        </w:rPr>
        <w:t>absence of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G2 anorexia, fatigue or hypoalbuminemia, and presence of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G2 skin toxicity. Multivariate analy</w:t>
      </w:r>
      <w:r w:rsidRPr="00B75481">
        <w:rPr>
          <w:rFonts w:ascii="Book Antiqua" w:hAnsi="Book Antiqua"/>
          <w:kern w:val="2"/>
          <w:u w:color="000000"/>
        </w:rPr>
        <w:t xml:space="preserve">sis demonstrated that age </w:t>
      </w:r>
      <w:bookmarkEnd w:id="83"/>
      <w:r w:rsidRPr="00B75481">
        <w:rPr>
          <w:rFonts w:ascii="Book Antiqua" w:hAnsi="Book Antiqua"/>
          <w:kern w:val="2"/>
          <w:u w:color="000000"/>
        </w:rPr>
        <w:sym w:font="Symbol" w:char="F0A3"/>
      </w:r>
      <w:r w:rsidRPr="00B75481">
        <w:rPr>
          <w:rFonts w:ascii="Book Antiqua" w:eastAsia="宋体" w:hAnsi="Book Antiqua"/>
          <w:kern w:val="2"/>
          <w:u w:color="000000"/>
          <w:lang w:eastAsia="zh-CN"/>
        </w:rPr>
        <w:t xml:space="preserve"> </w:t>
      </w:r>
      <w:r w:rsidRPr="00B75481">
        <w:rPr>
          <w:rFonts w:ascii="Book Antiqua" w:hAnsi="Book Antiqua"/>
          <w:kern w:val="2"/>
          <w:u w:color="000000"/>
        </w:rPr>
        <w:t xml:space="preserve">70 years [hazard ratio (HR): 0.354, </w:t>
      </w:r>
      <w:r w:rsidRPr="00946789">
        <w:rPr>
          <w:rFonts w:ascii="Book Antiqua" w:hAnsi="Book Antiqua"/>
          <w:kern w:val="2"/>
          <w:u w:color="000000"/>
        </w:rPr>
        <w:t>95% confidence interval (95%CI)</w:t>
      </w:r>
      <w:r w:rsidRPr="00B75481">
        <w:rPr>
          <w:rFonts w:ascii="Book Antiqua" w:hAnsi="Book Antiqua"/>
          <w:kern w:val="2"/>
          <w:u w:color="000000"/>
        </w:rPr>
        <w:t>:</w:t>
      </w:r>
      <w:r w:rsidRPr="00112AEF">
        <w:rPr>
          <w:rFonts w:ascii="Book Antiqua" w:hAnsi="Book Antiqua"/>
          <w:kern w:val="2"/>
          <w:u w:color="000000"/>
        </w:rPr>
        <w:t xml:space="preserve"> 0.135–0.933; </w:t>
      </w:r>
      <w:r w:rsidRPr="00112AEF">
        <w:rPr>
          <w:rFonts w:ascii="Book Antiqua" w:hAnsi="Book Antiqua"/>
          <w:i/>
          <w:kern w:val="2"/>
          <w:u w:color="000000"/>
        </w:rPr>
        <w:t xml:space="preserve">P </w:t>
      </w:r>
      <w:r>
        <w:rPr>
          <w:rFonts w:ascii="Book Antiqua" w:hAnsi="Book Antiqua"/>
          <w:kern w:val="2"/>
          <w:u w:color="000000"/>
        </w:rPr>
        <w:t>= 0.036</w:t>
      </w:r>
      <w:r>
        <w:rPr>
          <w:rFonts w:ascii="Book Antiqua" w:eastAsia="宋体" w:hAnsi="Book Antiqua"/>
          <w:kern w:val="2"/>
          <w:u w:color="000000"/>
          <w:lang w:eastAsia="zh-CN"/>
        </w:rPr>
        <w:t>]</w:t>
      </w:r>
      <w:r w:rsidRPr="00112AEF">
        <w:rPr>
          <w:rFonts w:ascii="Book Antiqua" w:hAnsi="Book Antiqua"/>
          <w:kern w:val="2"/>
          <w:u w:color="000000"/>
        </w:rPr>
        <w:t>, presence of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G2 skin toxicity (Figure</w:t>
      </w:r>
      <w:r w:rsidRPr="00112AEF">
        <w:rPr>
          <w:rFonts w:ascii="Book Antiqua" w:hAnsi="Book Antiqua"/>
          <w:kern w:val="2"/>
          <w:u w:color="000000"/>
          <w:lang w:eastAsia="ja-JP"/>
        </w:rPr>
        <w:t xml:space="preserve"> 1</w:t>
      </w:r>
      <w:r>
        <w:rPr>
          <w:rFonts w:ascii="Book Antiqua" w:hAnsi="Book Antiqua"/>
          <w:kern w:val="2"/>
          <w:u w:color="000000"/>
        </w:rPr>
        <w:t>, HR: 0.267, 95%</w:t>
      </w:r>
      <w:r w:rsidRPr="00112AEF">
        <w:rPr>
          <w:rFonts w:ascii="Book Antiqua" w:hAnsi="Book Antiqua"/>
          <w:kern w:val="2"/>
          <w:u w:color="000000"/>
        </w:rPr>
        <w:t xml:space="preserve">CI: 0.102–0.701; </w:t>
      </w:r>
      <w:r w:rsidRPr="00112AEF">
        <w:rPr>
          <w:rFonts w:ascii="Book Antiqua" w:hAnsi="Book Antiqua"/>
          <w:i/>
          <w:kern w:val="2"/>
          <w:u w:color="000000"/>
        </w:rPr>
        <w:t>P</w:t>
      </w:r>
      <w:r w:rsidRPr="00112AEF">
        <w:rPr>
          <w:rFonts w:ascii="Book Antiqua" w:hAnsi="Book Antiqua"/>
          <w:kern w:val="2"/>
          <w:u w:color="000000"/>
        </w:rPr>
        <w:t xml:space="preserve"> = 0.007), and absence of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 xml:space="preserve">G2 hypoalbuminemia (HR: 0.221, 95% CI: 0.085–0.575; </w:t>
      </w:r>
      <w:r w:rsidRPr="00112AEF">
        <w:rPr>
          <w:rFonts w:ascii="Book Antiqua" w:hAnsi="Book Antiqua"/>
          <w:i/>
          <w:kern w:val="2"/>
          <w:u w:color="000000"/>
        </w:rPr>
        <w:t>P</w:t>
      </w:r>
      <w:r w:rsidRPr="00112AEF">
        <w:rPr>
          <w:rFonts w:ascii="Book Antiqua" w:hAnsi="Book Antiqua"/>
          <w:kern w:val="2"/>
          <w:u w:color="000000"/>
        </w:rPr>
        <w:t xml:space="preserve"> = 0.002) were significant predictors for longer OS. The disease control rate in patients with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 xml:space="preserve">G2 skin toxicity was 13/20 (65%), which was significantly higher compared with that in patients with no or G1 skin toxicity [2/17 (12%); </w:t>
      </w:r>
      <w:r w:rsidRPr="00112AEF">
        <w:rPr>
          <w:rFonts w:ascii="Book Antiqua" w:hAnsi="Book Antiqua"/>
          <w:i/>
          <w:kern w:val="2"/>
          <w:u w:color="000000"/>
        </w:rPr>
        <w:t xml:space="preserve">P </w:t>
      </w:r>
      <w:r w:rsidRPr="00112AEF">
        <w:rPr>
          <w:rFonts w:ascii="Book Antiqua" w:hAnsi="Book Antiqua"/>
          <w:kern w:val="2"/>
          <w:u w:color="000000"/>
        </w:rPr>
        <w:t>= 0.002</w:t>
      </w:r>
      <w:bookmarkStart w:id="84" w:name="_ENREF_49"/>
      <w:r w:rsidRPr="00112AEF">
        <w:rPr>
          <w:rFonts w:ascii="Book Antiqua" w:hAnsi="Book Antiqua"/>
          <w:kern w:val="2"/>
          <w:u w:color="000000"/>
        </w:rPr>
        <w:t>].</w:t>
      </w:r>
    </w:p>
    <w:p w:rsidR="00AD473F" w:rsidRPr="00112AEF" w:rsidRDefault="00AD473F" w:rsidP="002F5E25">
      <w:pPr>
        <w:widowControl w:val="0"/>
        <w:spacing w:line="360" w:lineRule="auto"/>
        <w:jc w:val="both"/>
        <w:outlineLvl w:val="0"/>
        <w:rPr>
          <w:rFonts w:ascii="Book Antiqua" w:hAnsi="Book Antiqua"/>
          <w:b/>
          <w:i/>
          <w:kern w:val="2"/>
          <w:u w:color="000000"/>
          <w:lang w:eastAsia="ja-JP"/>
        </w:rPr>
      </w:pP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b/>
          <w:i/>
          <w:kern w:val="2"/>
          <w:u w:color="000000"/>
        </w:rPr>
        <w:t>Nursing intervention and treatment duration</w:t>
      </w:r>
      <w:r w:rsidRPr="00112AEF">
        <w:rPr>
          <w:rFonts w:ascii="Book Antiqua" w:hAnsi="Book Antiqua"/>
          <w:kern w:val="2"/>
          <w:u w:color="000000"/>
        </w:rPr>
        <w:t xml:space="preserve"> (</w:t>
      </w:r>
      <w:r w:rsidRPr="00332BC2">
        <w:rPr>
          <w:rFonts w:ascii="Book Antiqua" w:hAnsi="Book Antiqua"/>
          <w:b/>
          <w:kern w:val="2"/>
          <w:u w:color="000000"/>
        </w:rPr>
        <w:t>Table 4</w:t>
      </w:r>
      <w:r w:rsidRPr="00112AEF">
        <w:rPr>
          <w:rFonts w:ascii="Book Antiqua" w:hAnsi="Book Antiqua"/>
          <w:kern w:val="2"/>
          <w:u w:color="000000"/>
        </w:rPr>
        <w:t>)</w:t>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kern w:val="2"/>
          <w:u w:color="000000"/>
        </w:rPr>
        <w:t>The median duration of medication was 108 d</w:t>
      </w:r>
      <w:r w:rsidRPr="00112AEF">
        <w:rPr>
          <w:rFonts w:ascii="Book Antiqua" w:eastAsia="宋体" w:hAnsi="Book Antiqua"/>
          <w:kern w:val="2"/>
          <w:u w:color="000000"/>
          <w:lang w:eastAsia="zh-CN"/>
        </w:rPr>
        <w:t xml:space="preserve"> </w:t>
      </w:r>
      <w:r w:rsidRPr="00112AEF">
        <w:rPr>
          <w:rFonts w:ascii="Book Antiqua" w:hAnsi="Book Antiqua"/>
          <w:kern w:val="2"/>
          <w:u w:color="000000"/>
        </w:rPr>
        <w:t>(range, 4–462 d). A t</w:t>
      </w:r>
      <w:bookmarkEnd w:id="84"/>
      <w:r w:rsidRPr="00112AEF">
        <w:rPr>
          <w:rFonts w:ascii="Book Antiqua" w:hAnsi="Book Antiqua"/>
          <w:kern w:val="2"/>
          <w:u w:color="000000"/>
        </w:rPr>
        <w:t>otal of 33 patients (89%) discontinued sorafenib: 18 (55%) for deterioration of general status, 10 (30%) for the lack of beneficial effects of sorafenib, and 5 (15%) for G3 AEs.</w:t>
      </w:r>
      <w:bookmarkStart w:id="85" w:name="_ENREF_50"/>
    </w:p>
    <w:p w:rsidR="00AD473F" w:rsidRPr="00112AEF" w:rsidRDefault="00AD473F" w:rsidP="00150DB3">
      <w:pPr>
        <w:spacing w:line="360" w:lineRule="auto"/>
        <w:ind w:firstLineChars="100" w:firstLine="240"/>
        <w:jc w:val="both"/>
        <w:outlineLvl w:val="0"/>
        <w:rPr>
          <w:rFonts w:ascii="Book Antiqua" w:hAnsi="Book Antiqua"/>
          <w:kern w:val="2"/>
          <w:u w:color="000000"/>
        </w:rPr>
      </w:pPr>
      <w:r w:rsidRPr="00112AEF">
        <w:rPr>
          <w:rFonts w:ascii="Book Antiqua" w:hAnsi="Book Antiqua"/>
          <w:kern w:val="2"/>
          <w:u w:color="000000"/>
          <w:lang w:eastAsia="ja-JP"/>
        </w:rPr>
        <w:t xml:space="preserve">We provided face-to-face counseling 1-2 times per mo and telephone follow-up once in 1-2 wk to manage AEs by supporting patient’s </w:t>
      </w:r>
      <w:r w:rsidRPr="00112AEF">
        <w:rPr>
          <w:rFonts w:ascii="Book Antiqua" w:hAnsi="Book Antiqua"/>
          <w:kern w:val="2"/>
          <w:u w:color="000000"/>
        </w:rPr>
        <w:t xml:space="preserve">self-monitoring and </w:t>
      </w:r>
      <w:r w:rsidRPr="00112AEF">
        <w:rPr>
          <w:rFonts w:ascii="Book Antiqua" w:hAnsi="Book Antiqua"/>
          <w:kern w:val="2"/>
          <w:u w:color="000000"/>
          <w:lang w:eastAsia="ja-JP"/>
        </w:rPr>
        <w:t xml:space="preserve">self-care </w:t>
      </w:r>
      <w:r w:rsidRPr="00112AEF">
        <w:rPr>
          <w:rFonts w:ascii="Book Antiqua" w:hAnsi="Book Antiqua"/>
          <w:kern w:val="2"/>
          <w:u w:color="000000"/>
          <w:vertAlign w:val="superscript"/>
          <w:lang w:eastAsia="ja-JP"/>
        </w:rPr>
        <w:t>[</w:t>
      </w:r>
      <w:r w:rsidRPr="00112AEF">
        <w:rPr>
          <w:rFonts w:ascii="Book Antiqua" w:hAnsi="Book Antiqua"/>
          <w:kern w:val="2"/>
          <w:u w:color="000000"/>
          <w:vertAlign w:val="superscript"/>
        </w:rPr>
        <w:t>24, 25</w:t>
      </w:r>
      <w:r w:rsidRPr="00112AEF">
        <w:rPr>
          <w:rFonts w:ascii="Book Antiqua" w:hAnsi="Book Antiqua"/>
          <w:kern w:val="2"/>
          <w:u w:color="000000"/>
          <w:vertAlign w:val="superscript"/>
          <w:lang w:eastAsia="ja-JP"/>
        </w:rPr>
        <w:t>]</w:t>
      </w:r>
      <w:r w:rsidRPr="00112AEF">
        <w:rPr>
          <w:rFonts w:ascii="Book Antiqua" w:hAnsi="Book Antiqua"/>
          <w:kern w:val="2"/>
          <w:u w:color="000000"/>
        </w:rPr>
        <w:t>.</w:t>
      </w:r>
      <w:r w:rsidRPr="00112AEF">
        <w:rPr>
          <w:rFonts w:ascii="Book Antiqua" w:hAnsi="Book Antiqua"/>
          <w:kern w:val="2"/>
          <w:u w:color="000000"/>
          <w:lang w:eastAsia="ja-JP"/>
        </w:rPr>
        <w:t xml:space="preserve"> </w:t>
      </w:r>
      <w:r w:rsidRPr="00112AEF">
        <w:rPr>
          <w:rFonts w:ascii="Book Antiqua" w:hAnsi="Book Antiqua"/>
          <w:kern w:val="2"/>
          <w:u w:color="000000"/>
        </w:rPr>
        <w:t>Multivariate analysis revealed that nursi</w:t>
      </w:r>
      <w:r>
        <w:rPr>
          <w:rFonts w:ascii="Book Antiqua" w:hAnsi="Book Antiqua"/>
          <w:kern w:val="2"/>
          <w:u w:color="000000"/>
        </w:rPr>
        <w:t>ng intervention (HR: 0.398, 95%</w:t>
      </w:r>
      <w:r w:rsidRPr="00112AEF">
        <w:rPr>
          <w:rFonts w:ascii="Book Antiqua" w:hAnsi="Book Antiqua"/>
          <w:kern w:val="2"/>
          <w:u w:color="000000"/>
        </w:rPr>
        <w:t>CI: 0.181–0.</w:t>
      </w:r>
      <w:bookmarkEnd w:id="85"/>
      <w:r w:rsidRPr="00112AEF">
        <w:rPr>
          <w:rFonts w:ascii="Book Antiqua" w:hAnsi="Book Antiqua"/>
          <w:kern w:val="2"/>
          <w:u w:color="000000"/>
        </w:rPr>
        <w:t xml:space="preserve">874; </w:t>
      </w:r>
      <w:r w:rsidRPr="00112AEF">
        <w:rPr>
          <w:rFonts w:ascii="Book Antiqua" w:hAnsi="Book Antiqua"/>
          <w:i/>
          <w:kern w:val="2"/>
          <w:u w:color="000000"/>
        </w:rPr>
        <w:t>P </w:t>
      </w:r>
      <w:r w:rsidRPr="00112AEF">
        <w:rPr>
          <w:rFonts w:ascii="Book Antiqua" w:hAnsi="Book Antiqua"/>
          <w:kern w:val="2"/>
          <w:u w:color="000000"/>
        </w:rPr>
        <w:t>= 0.022) and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G</w:t>
      </w:r>
      <w:r>
        <w:rPr>
          <w:rFonts w:ascii="Book Antiqua" w:hAnsi="Book Antiqua"/>
          <w:kern w:val="2"/>
          <w:u w:color="000000"/>
        </w:rPr>
        <w:t>2 skin toxicity (HR: 0.225, 95%</w:t>
      </w:r>
      <w:r w:rsidRPr="00112AEF">
        <w:rPr>
          <w:rFonts w:ascii="Book Antiqua" w:hAnsi="Book Antiqua"/>
          <w:kern w:val="2"/>
          <w:u w:color="000000"/>
        </w:rPr>
        <w:t xml:space="preserve">CI: 0.095–0.534; </w:t>
      </w:r>
      <w:r w:rsidRPr="00112AEF">
        <w:rPr>
          <w:rFonts w:ascii="Book Antiqua" w:hAnsi="Book Antiqua"/>
          <w:i/>
          <w:kern w:val="2"/>
          <w:u w:color="000000"/>
        </w:rPr>
        <w:t>P</w:t>
      </w:r>
      <w:r w:rsidRPr="00112AEF">
        <w:rPr>
          <w:rFonts w:ascii="Book Antiqua" w:hAnsi="Book Antiqua"/>
          <w:kern w:val="2"/>
          <w:u w:color="000000"/>
        </w:rPr>
        <w:t xml:space="preserve"> = 0.001) were independent significant predictors for longer treatment duration. Median treatment durations were </w:t>
      </w:r>
      <w:r w:rsidRPr="00112AEF">
        <w:rPr>
          <w:rFonts w:ascii="Book Antiqua" w:hAnsi="Book Antiqua"/>
          <w:kern w:val="2"/>
          <w:u w:color="FF0000"/>
        </w:rPr>
        <w:t>122</w:t>
      </w:r>
      <w:r w:rsidRPr="00112AEF">
        <w:rPr>
          <w:rFonts w:ascii="Book Antiqua" w:hAnsi="Book Antiqua"/>
          <w:kern w:val="2"/>
          <w:u w:color="000000"/>
        </w:rPr>
        <w:t xml:space="preserve"> and </w:t>
      </w:r>
      <w:r w:rsidRPr="00112AEF">
        <w:rPr>
          <w:rFonts w:ascii="Book Antiqua" w:hAnsi="Book Antiqua"/>
          <w:kern w:val="2"/>
          <w:u w:color="FF0000"/>
        </w:rPr>
        <w:t>36</w:t>
      </w:r>
      <w:r w:rsidRPr="00112AEF">
        <w:rPr>
          <w:rFonts w:ascii="Book Antiqua" w:hAnsi="Book Antiqua"/>
          <w:kern w:val="2"/>
          <w:u w:color="000000"/>
        </w:rPr>
        <w:t xml:space="preserve"> d in patients with and without nursing intervention, respectively. However, nursing intervention was not associated with OS, with the median OS being 258 and </w:t>
      </w:r>
      <w:r w:rsidRPr="00112AEF">
        <w:rPr>
          <w:rFonts w:ascii="Book Antiqua" w:hAnsi="Book Antiqua"/>
          <w:kern w:val="2"/>
          <w:u w:color="FF0000"/>
        </w:rPr>
        <w:t>274</w:t>
      </w:r>
      <w:r w:rsidRPr="00112AEF">
        <w:rPr>
          <w:rFonts w:ascii="Book Antiqua" w:hAnsi="Book Antiqua"/>
          <w:kern w:val="2"/>
          <w:u w:color="000000"/>
        </w:rPr>
        <w:t xml:space="preserve"> d for patients with and without nursing intervention, respectively.</w:t>
      </w:r>
      <w:r w:rsidRPr="00112AEF">
        <w:rPr>
          <w:rFonts w:ascii="Book Antiqua" w:hAnsi="Book Antiqua"/>
          <w:kern w:val="2"/>
          <w:u w:color="000000"/>
          <w:lang w:eastAsia="ja-JP"/>
        </w:rPr>
        <w:t xml:space="preserve"> </w:t>
      </w:r>
    </w:p>
    <w:p w:rsidR="00AD473F" w:rsidRPr="00112AEF" w:rsidRDefault="00AD473F" w:rsidP="002F5E25">
      <w:pPr>
        <w:widowControl w:val="0"/>
        <w:spacing w:line="360" w:lineRule="auto"/>
        <w:jc w:val="both"/>
        <w:outlineLvl w:val="0"/>
        <w:rPr>
          <w:rFonts w:ascii="Book Antiqua" w:hAnsi="Book Antiqua"/>
          <w:kern w:val="2"/>
          <w:u w:color="000000"/>
          <w:lang w:eastAsia="ja-JP"/>
        </w:rPr>
      </w:pPr>
    </w:p>
    <w:p w:rsidR="00AD473F" w:rsidRPr="00112AEF" w:rsidRDefault="00AD473F" w:rsidP="00257B9D">
      <w:pPr>
        <w:spacing w:line="360" w:lineRule="auto"/>
        <w:rPr>
          <w:rFonts w:ascii="Book Antiqua" w:hAnsi="Book Antiqua"/>
          <w:b/>
        </w:rPr>
      </w:pPr>
      <w:r w:rsidRPr="00112AEF">
        <w:rPr>
          <w:rFonts w:ascii="Book Antiqua" w:hAnsi="Book Antiqua"/>
          <w:b/>
        </w:rPr>
        <w:t>DISCUSSION</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kern w:val="2"/>
          <w:u w:color="000000"/>
        </w:rPr>
        <w:t xml:space="preserve">In this study, the median OS was 8.6 mo, which is comparable to previous studies: 10.7, </w:t>
      </w:r>
      <w:r w:rsidRPr="00112AEF">
        <w:rPr>
          <w:rFonts w:ascii="Book Antiqua" w:hAnsi="Book Antiqua"/>
          <w:kern w:val="2"/>
          <w:u w:color="000000"/>
        </w:rPr>
        <w:lastRenderedPageBreak/>
        <w:t>6.5, and 9.3 mo in the SHARP trial</w:t>
      </w:r>
      <w:r w:rsidRPr="00112AEF">
        <w:rPr>
          <w:rFonts w:ascii="Book Antiqua" w:hAnsi="Book Antiqua"/>
          <w:kern w:val="2"/>
          <w:u w:color="000000"/>
          <w:vertAlign w:val="superscript"/>
        </w:rPr>
        <w:t>[</w:t>
      </w:r>
      <w:r w:rsidRPr="00112AEF">
        <w:rPr>
          <w:rFonts w:ascii="Book Antiqua" w:hAnsi="Book Antiqua"/>
          <w:vertAlign w:val="superscript"/>
        </w:rPr>
        <w:t>9</w:t>
      </w:r>
      <w:r w:rsidRPr="00112AEF">
        <w:rPr>
          <w:rFonts w:ascii="Book Antiqua" w:hAnsi="Book Antiqua"/>
          <w:kern w:val="2"/>
          <w:u w:color="000000"/>
          <w:vertAlign w:val="superscript"/>
        </w:rPr>
        <w:t>]</w:t>
      </w:r>
      <w:r w:rsidRPr="00112AEF">
        <w:rPr>
          <w:rFonts w:ascii="Book Antiqua" w:hAnsi="Book Antiqua"/>
          <w:kern w:val="2"/>
          <w:u w:color="000000"/>
        </w:rPr>
        <w:t>, the Asia-Pacific study</w:t>
      </w:r>
      <w:r w:rsidRPr="00112AEF">
        <w:rPr>
          <w:rFonts w:ascii="Book Antiqua" w:hAnsi="Book Antiqua"/>
          <w:kern w:val="2"/>
          <w:u w:color="000000"/>
          <w:vertAlign w:val="superscript"/>
        </w:rPr>
        <w:t>[</w:t>
      </w:r>
      <w:r w:rsidRPr="00112AEF">
        <w:rPr>
          <w:rFonts w:ascii="Book Antiqua" w:hAnsi="Book Antiqua"/>
          <w:vertAlign w:val="superscript"/>
        </w:rPr>
        <w:t>10</w:t>
      </w:r>
      <w:r w:rsidRPr="00112AEF">
        <w:rPr>
          <w:rFonts w:ascii="Book Antiqua" w:hAnsi="Book Antiqua"/>
          <w:kern w:val="2"/>
          <w:u w:color="000000"/>
          <w:vertAlign w:val="superscript"/>
        </w:rPr>
        <w:t>]</w:t>
      </w:r>
      <w:r w:rsidRPr="00112AEF">
        <w:rPr>
          <w:rFonts w:ascii="Book Antiqua" w:hAnsi="Book Antiqua"/>
          <w:kern w:val="2"/>
          <w:u w:color="000000"/>
        </w:rPr>
        <w:t xml:space="preserve">, and the </w:t>
      </w:r>
      <w:hyperlink r:id="rId9" w:tgtFrame="_blank" w:history="1">
        <w:r w:rsidRPr="00112AEF">
          <w:rPr>
            <w:rFonts w:ascii="Book Antiqua" w:hAnsi="Book Antiqua"/>
          </w:rPr>
          <w:t>Global Infectious Diseases and Epidemiology Network</w:t>
        </w:r>
      </w:hyperlink>
      <w:r w:rsidRPr="00112AEF">
        <w:rPr>
          <w:rFonts w:ascii="Book Antiqua" w:eastAsia="宋体" w:hAnsi="Book Antiqua"/>
          <w:kern w:val="2"/>
          <w:u w:color="000000"/>
          <w:lang w:eastAsia="zh-CN"/>
        </w:rPr>
        <w:t xml:space="preserve"> </w:t>
      </w:r>
      <w:r w:rsidRPr="00112AEF">
        <w:rPr>
          <w:rFonts w:ascii="Book Antiqua" w:hAnsi="Book Antiqua"/>
          <w:kern w:val="2"/>
          <w:u w:color="000000"/>
        </w:rPr>
        <w:t>study</w:t>
      </w:r>
      <w:r w:rsidRPr="00112AEF">
        <w:rPr>
          <w:rFonts w:ascii="Book Antiqua" w:hAnsi="Book Antiqua"/>
          <w:kern w:val="2"/>
          <w:u w:color="000000"/>
          <w:vertAlign w:val="superscript"/>
        </w:rPr>
        <w:t>[</w:t>
      </w:r>
      <w:r w:rsidRPr="00112AEF">
        <w:rPr>
          <w:rFonts w:ascii="Book Antiqua" w:hAnsi="Book Antiqua"/>
          <w:vertAlign w:val="superscript"/>
        </w:rPr>
        <w:t>2</w:t>
      </w:r>
      <w:r w:rsidRPr="00112AEF">
        <w:rPr>
          <w:rFonts w:ascii="Book Antiqua" w:hAnsi="Book Antiqua"/>
          <w:vertAlign w:val="superscript"/>
          <w:lang w:eastAsia="ja-JP"/>
        </w:rPr>
        <w:t>9</w:t>
      </w:r>
      <w:r w:rsidRPr="00112AEF">
        <w:rPr>
          <w:rFonts w:ascii="Book Antiqua" w:hAnsi="Book Antiqua"/>
          <w:kern w:val="2"/>
          <w:u w:color="000000"/>
          <w:vertAlign w:val="superscript"/>
        </w:rPr>
        <w:t>]</w:t>
      </w:r>
      <w:r w:rsidRPr="00112AEF">
        <w:rPr>
          <w:rFonts w:ascii="Book Antiqua" w:hAnsi="Book Antiqua"/>
          <w:kern w:val="2"/>
          <w:u w:color="000000"/>
        </w:rPr>
        <w:t>, respectively. The disease control rate was 41%, which was lower compared with that in the abovementioned studies, ranging from 57%</w:t>
      </w:r>
      <w:r w:rsidRPr="00112AEF">
        <w:rPr>
          <w:rFonts w:ascii="Book Antiqua" w:hAnsi="Book Antiqua"/>
          <w:kern w:val="2"/>
          <w:u w:color="000000"/>
          <w:vertAlign w:val="superscript"/>
        </w:rPr>
        <w:t>[</w:t>
      </w:r>
      <w:r w:rsidRPr="00112AEF">
        <w:rPr>
          <w:rFonts w:ascii="Book Antiqua" w:hAnsi="Book Antiqua"/>
          <w:vertAlign w:val="superscript"/>
        </w:rPr>
        <w:t>10</w:t>
      </w:r>
      <w:r w:rsidRPr="00112AEF">
        <w:rPr>
          <w:rFonts w:ascii="Book Antiqua" w:hAnsi="Book Antiqua"/>
          <w:kern w:val="2"/>
          <w:u w:color="000000"/>
          <w:vertAlign w:val="superscript"/>
        </w:rPr>
        <w:t>]</w:t>
      </w:r>
      <w:r w:rsidRPr="00112AEF">
        <w:rPr>
          <w:rFonts w:ascii="Book Antiqua" w:hAnsi="Book Antiqua"/>
          <w:kern w:val="2"/>
          <w:u w:color="000000"/>
        </w:rPr>
        <w:t xml:space="preserve"> to 73%</w:t>
      </w:r>
      <w:r w:rsidRPr="00112AEF">
        <w:rPr>
          <w:rFonts w:ascii="Book Antiqua" w:hAnsi="Book Antiqua"/>
          <w:kern w:val="2"/>
          <w:u w:color="000000"/>
          <w:vertAlign w:val="superscript"/>
        </w:rPr>
        <w:t>[</w:t>
      </w:r>
      <w:r w:rsidRPr="00112AEF">
        <w:rPr>
          <w:rFonts w:ascii="Book Antiqua" w:hAnsi="Book Antiqua"/>
          <w:vertAlign w:val="superscript"/>
        </w:rPr>
        <w:t>9</w:t>
      </w:r>
      <w:r w:rsidRPr="00112AEF">
        <w:rPr>
          <w:rFonts w:ascii="Book Antiqua" w:hAnsi="Book Antiqua"/>
          <w:kern w:val="2"/>
          <w:u w:color="000000"/>
          <w:vertAlign w:val="superscript"/>
        </w:rPr>
        <w:t>]</w:t>
      </w:r>
      <w:r w:rsidRPr="00112AEF">
        <w:rPr>
          <w:rFonts w:ascii="Book Antiqua" w:hAnsi="Book Antiqua"/>
          <w:kern w:val="2"/>
          <w:u w:color="000000"/>
        </w:rPr>
        <w:t xml:space="preserve">. This difference may be attributable to the timing of tumor evaluation; CT or MRI was performed 3 and 1.5 mo after the initiation of sorafenib in the present and abovementioned studies, respectively. AEs were observed in all patients. Similar to previous studies, frequently observed AEs included anorexia, skin toxicity, fatigue, </w:t>
      </w:r>
      <w:r w:rsidRPr="00112AEF">
        <w:rPr>
          <w:rFonts w:ascii="Book Antiqua" w:hAnsi="Book Antiqua"/>
          <w:kern w:val="2"/>
          <w:u w:color="FF0000"/>
        </w:rPr>
        <w:t>and</w:t>
      </w:r>
      <w:r w:rsidRPr="00112AEF">
        <w:rPr>
          <w:rFonts w:ascii="Book Antiqua" w:hAnsi="Book Antiqua"/>
          <w:kern w:val="2"/>
          <w:u w:color="000000"/>
        </w:rPr>
        <w:t xml:space="preserve"> diarrhea</w:t>
      </w:r>
      <w:r w:rsidRPr="00112AEF">
        <w:rPr>
          <w:rFonts w:ascii="Book Antiqua" w:hAnsi="Book Antiqua"/>
          <w:kern w:val="2"/>
          <w:u w:color="000000"/>
          <w:vertAlign w:val="superscript"/>
        </w:rPr>
        <w:t>[</w:t>
      </w:r>
      <w:r w:rsidRPr="00112AEF">
        <w:rPr>
          <w:rFonts w:ascii="Book Antiqua" w:hAnsi="Book Antiqua"/>
          <w:vertAlign w:val="superscript"/>
        </w:rPr>
        <w:t>9-11</w:t>
      </w:r>
      <w:r w:rsidRPr="00112AEF">
        <w:rPr>
          <w:rFonts w:ascii="Book Antiqua" w:hAnsi="Book Antiqua"/>
          <w:kern w:val="2"/>
          <w:u w:color="000000"/>
          <w:vertAlign w:val="superscript"/>
        </w:rPr>
        <w:t xml:space="preserve">, </w:t>
      </w:r>
      <w:r w:rsidRPr="00112AEF">
        <w:rPr>
          <w:rFonts w:ascii="Book Antiqua" w:hAnsi="Book Antiqua"/>
          <w:vertAlign w:val="superscript"/>
        </w:rPr>
        <w:t>2</w:t>
      </w:r>
      <w:r w:rsidRPr="00112AEF">
        <w:rPr>
          <w:rFonts w:ascii="Book Antiqua" w:hAnsi="Book Antiqua"/>
          <w:vertAlign w:val="superscript"/>
          <w:lang w:eastAsia="ja-JP"/>
        </w:rPr>
        <w:t>9</w:t>
      </w:r>
      <w:r w:rsidRPr="00112AEF">
        <w:rPr>
          <w:rFonts w:ascii="Book Antiqua" w:hAnsi="Book Antiqua"/>
          <w:kern w:val="2"/>
          <w:u w:color="000000"/>
          <w:vertAlign w:val="superscript"/>
        </w:rPr>
        <w:t xml:space="preserve">, </w:t>
      </w:r>
      <w:r w:rsidRPr="00112AEF">
        <w:rPr>
          <w:rFonts w:ascii="Book Antiqua" w:hAnsi="Book Antiqua"/>
          <w:kern w:val="2"/>
          <w:u w:color="000000"/>
          <w:vertAlign w:val="superscript"/>
          <w:lang w:eastAsia="ja-JP"/>
        </w:rPr>
        <w:t>30</w:t>
      </w:r>
      <w:r w:rsidRPr="00112AEF">
        <w:rPr>
          <w:rFonts w:ascii="Book Antiqua" w:hAnsi="Book Antiqua"/>
          <w:kern w:val="2"/>
          <w:u w:color="000000"/>
          <w:vertAlign w:val="superscript"/>
        </w:rPr>
        <w:t>]</w:t>
      </w:r>
      <w:r w:rsidRPr="00112AEF">
        <w:rPr>
          <w:rFonts w:ascii="Book Antiqua" w:hAnsi="Book Antiqua"/>
          <w:kern w:val="2"/>
          <w:u w:color="000000"/>
        </w:rPr>
        <w:t>.</w:t>
      </w:r>
    </w:p>
    <w:p w:rsidR="00AD473F" w:rsidRPr="00112AEF" w:rsidRDefault="00AD473F" w:rsidP="00150DB3">
      <w:pPr>
        <w:widowControl w:val="0"/>
        <w:spacing w:line="360" w:lineRule="auto"/>
        <w:ind w:firstLineChars="100" w:firstLine="240"/>
        <w:jc w:val="both"/>
        <w:outlineLvl w:val="0"/>
        <w:rPr>
          <w:rFonts w:ascii="Book Antiqua" w:hAnsi="Book Antiqua"/>
          <w:kern w:val="2"/>
          <w:u w:color="000000"/>
        </w:rPr>
      </w:pPr>
      <w:r w:rsidRPr="00112AEF">
        <w:rPr>
          <w:rFonts w:ascii="Book Antiqua" w:hAnsi="Book Antiqua"/>
          <w:kern w:val="2"/>
          <w:u w:color="000000"/>
        </w:rPr>
        <w:t xml:space="preserve">Multivariate analysis indicated that age </w:t>
      </w:r>
      <w:r w:rsidRPr="00112AEF">
        <w:rPr>
          <w:rFonts w:ascii="Book Antiqua" w:hAnsi="Book Antiqua"/>
          <w:kern w:val="2"/>
          <w:u w:color="000000"/>
        </w:rPr>
        <w:sym w:font="Symbol" w:char="F0A3"/>
      </w:r>
      <w:r w:rsidRPr="00112AEF">
        <w:rPr>
          <w:rFonts w:ascii="Book Antiqua" w:eastAsia="宋体" w:hAnsi="Book Antiqua"/>
          <w:kern w:val="2"/>
          <w:u w:color="000000"/>
          <w:lang w:eastAsia="zh-CN"/>
        </w:rPr>
        <w:t xml:space="preserve"> </w:t>
      </w:r>
      <w:r w:rsidRPr="00112AEF">
        <w:rPr>
          <w:rFonts w:ascii="Book Antiqua" w:hAnsi="Book Antiqua"/>
          <w:kern w:val="2"/>
          <w:u w:color="000000"/>
        </w:rPr>
        <w:t>70 years, presence of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G2 skin toxicity, and absence of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 xml:space="preserve">G2 hypoalbuminemia were significant predictors of longer OS. HR of patients aged </w:t>
      </w:r>
      <w:r w:rsidRPr="00112AEF">
        <w:rPr>
          <w:rFonts w:ascii="Book Antiqua" w:hAnsi="Book Antiqua"/>
          <w:kern w:val="2"/>
          <w:u w:color="000000"/>
        </w:rPr>
        <w:sym w:font="Symbol" w:char="F0A3"/>
      </w:r>
      <w:r w:rsidRPr="00112AEF">
        <w:rPr>
          <w:rFonts w:ascii="Book Antiqua" w:eastAsia="宋体" w:hAnsi="Book Antiqua"/>
          <w:kern w:val="2"/>
          <w:u w:color="000000"/>
          <w:lang w:eastAsia="zh-CN"/>
        </w:rPr>
        <w:t xml:space="preserve"> </w:t>
      </w:r>
      <w:r w:rsidRPr="00112AEF">
        <w:rPr>
          <w:rFonts w:ascii="Book Antiqua" w:hAnsi="Book Antiqua"/>
          <w:kern w:val="2"/>
          <w:u w:color="000000"/>
        </w:rPr>
        <w:t>70 years against older patients was 0.35. The Asia-Pacific study reported that a beneficial effect of sorafenib was obtained only in patients aged &lt;</w:t>
      </w:r>
      <w:r w:rsidRPr="00112AEF">
        <w:rPr>
          <w:rFonts w:ascii="Book Antiqua" w:eastAsia="宋体" w:hAnsi="Book Antiqua"/>
          <w:kern w:val="2"/>
          <w:u w:color="000000"/>
          <w:lang w:eastAsia="zh-CN"/>
        </w:rPr>
        <w:t xml:space="preserve"> </w:t>
      </w:r>
      <w:r w:rsidRPr="00112AEF">
        <w:rPr>
          <w:rFonts w:ascii="Book Antiqua" w:hAnsi="Book Antiqua"/>
          <w:kern w:val="2"/>
          <w:u w:color="000000"/>
        </w:rPr>
        <w:t>65 years</w:t>
      </w:r>
      <w:r w:rsidRPr="00112AEF">
        <w:rPr>
          <w:rFonts w:ascii="Book Antiqua" w:hAnsi="Book Antiqua"/>
          <w:kern w:val="2"/>
          <w:u w:color="000000"/>
          <w:vertAlign w:val="superscript"/>
        </w:rPr>
        <w:t>[</w:t>
      </w:r>
      <w:r w:rsidRPr="00112AEF">
        <w:rPr>
          <w:rFonts w:ascii="Book Antiqua" w:hAnsi="Book Antiqua"/>
          <w:vertAlign w:val="superscript"/>
        </w:rPr>
        <w:t>10</w:t>
      </w:r>
      <w:r w:rsidRPr="00112AEF">
        <w:rPr>
          <w:rFonts w:ascii="Book Antiqua" w:hAnsi="Book Antiqua"/>
          <w:kern w:val="2"/>
          <w:u w:color="000000"/>
          <w:vertAlign w:val="superscript"/>
        </w:rPr>
        <w:t>]</w:t>
      </w:r>
      <w:r w:rsidRPr="00112AEF">
        <w:rPr>
          <w:rFonts w:ascii="Book Antiqua" w:hAnsi="Book Antiqua"/>
          <w:kern w:val="2"/>
          <w:u w:color="000000"/>
        </w:rPr>
        <w:t>. Therefore, an elderly patient aged &gt;</w:t>
      </w:r>
      <w:r w:rsidRPr="00112AEF">
        <w:rPr>
          <w:rFonts w:ascii="Book Antiqua" w:eastAsia="宋体" w:hAnsi="Book Antiqua"/>
          <w:kern w:val="2"/>
          <w:u w:color="000000"/>
          <w:lang w:eastAsia="zh-CN"/>
        </w:rPr>
        <w:t xml:space="preserve"> </w:t>
      </w:r>
      <w:r w:rsidRPr="00112AEF">
        <w:rPr>
          <w:rFonts w:ascii="Book Antiqua" w:hAnsi="Book Antiqua"/>
          <w:kern w:val="2"/>
          <w:u w:color="000000"/>
        </w:rPr>
        <w:t>70 years with advanced HCC may not be a good candidate for this therapy.</w:t>
      </w:r>
    </w:p>
    <w:p w:rsidR="00AD473F" w:rsidRPr="00112AEF" w:rsidRDefault="00AD473F" w:rsidP="00150DB3">
      <w:pPr>
        <w:widowControl w:val="0"/>
        <w:spacing w:line="360" w:lineRule="auto"/>
        <w:ind w:firstLineChars="100" w:firstLine="240"/>
        <w:jc w:val="both"/>
        <w:outlineLvl w:val="0"/>
        <w:rPr>
          <w:rFonts w:ascii="Book Antiqua" w:hAnsi="Book Antiqua"/>
          <w:kern w:val="2"/>
          <w:u w:color="000000"/>
        </w:rPr>
      </w:pPr>
      <w:r w:rsidRPr="00112AEF">
        <w:rPr>
          <w:rFonts w:ascii="Book Antiqua" w:hAnsi="Book Antiqua"/>
          <w:kern w:val="2"/>
          <w:u w:color="000000"/>
        </w:rPr>
        <w:t xml:space="preserve">We demonstrated that the occurrence of skin toxicity was associated with a higher disease control rate (65% </w:t>
      </w:r>
      <w:r w:rsidRPr="00112AEF">
        <w:rPr>
          <w:rFonts w:ascii="Book Antiqua" w:hAnsi="Book Antiqua"/>
          <w:i/>
          <w:kern w:val="2"/>
          <w:u w:color="000000"/>
        </w:rPr>
        <w:t>v</w:t>
      </w:r>
      <w:r w:rsidRPr="00112AEF">
        <w:rPr>
          <w:rFonts w:ascii="Book Antiqua" w:eastAsia="宋体" w:hAnsi="Book Antiqua"/>
          <w:i/>
          <w:kern w:val="2"/>
          <w:u w:color="000000"/>
          <w:lang w:eastAsia="zh-CN"/>
        </w:rPr>
        <w:t>s</w:t>
      </w:r>
      <w:r w:rsidRPr="00112AEF">
        <w:rPr>
          <w:rFonts w:ascii="Book Antiqua" w:hAnsi="Book Antiqua"/>
          <w:kern w:val="2"/>
          <w:u w:color="000000"/>
        </w:rPr>
        <w:t xml:space="preserve"> 12%; </w:t>
      </w:r>
      <w:r w:rsidRPr="00112AEF">
        <w:rPr>
          <w:rFonts w:ascii="Book Antiqua" w:hAnsi="Book Antiqua"/>
          <w:i/>
          <w:kern w:val="2"/>
          <w:u w:color="000000"/>
        </w:rPr>
        <w:t>P</w:t>
      </w:r>
      <w:r w:rsidRPr="00112AEF">
        <w:rPr>
          <w:rFonts w:ascii="Book Antiqua" w:hAnsi="Book Antiqua"/>
          <w:kern w:val="2"/>
          <w:u w:color="000000"/>
        </w:rPr>
        <w:t xml:space="preserve"> = 0.002) and longer OS (HR: 0.267). These results are in concordance with those of previous studies</w:t>
      </w:r>
      <w:r w:rsidRPr="00112AEF">
        <w:rPr>
          <w:rFonts w:ascii="Book Antiqua" w:hAnsi="Book Antiqua"/>
          <w:kern w:val="2"/>
          <w:u w:color="000000"/>
          <w:vertAlign w:val="superscript"/>
        </w:rPr>
        <w:t>[</w:t>
      </w:r>
      <w:r w:rsidRPr="00112AEF">
        <w:rPr>
          <w:rFonts w:ascii="Book Antiqua" w:hAnsi="Book Antiqua"/>
          <w:vertAlign w:val="superscript"/>
        </w:rPr>
        <w:t>15</w:t>
      </w:r>
      <w:r w:rsidRPr="00112AEF">
        <w:rPr>
          <w:rFonts w:ascii="Book Antiqua" w:hAnsi="Book Antiqua"/>
          <w:kern w:val="2"/>
          <w:u w:color="000000"/>
          <w:vertAlign w:val="superscript"/>
        </w:rPr>
        <w:t xml:space="preserve">, </w:t>
      </w:r>
      <w:r w:rsidRPr="00112AEF">
        <w:rPr>
          <w:rFonts w:ascii="Book Antiqua" w:hAnsi="Book Antiqua"/>
          <w:vertAlign w:val="superscript"/>
        </w:rPr>
        <w:t>16</w:t>
      </w:r>
      <w:r w:rsidRPr="00112AEF">
        <w:rPr>
          <w:rFonts w:ascii="Book Antiqua" w:hAnsi="Book Antiqua"/>
          <w:kern w:val="2"/>
          <w:u w:color="000000"/>
          <w:vertAlign w:val="superscript"/>
        </w:rPr>
        <w:t>]</w:t>
      </w:r>
      <w:r w:rsidRPr="00112AEF">
        <w:rPr>
          <w:rFonts w:ascii="Book Antiqua" w:hAnsi="Book Antiqua"/>
          <w:kern w:val="2"/>
          <w:u w:color="000000"/>
        </w:rPr>
        <w:t xml:space="preserve">. </w:t>
      </w:r>
      <w:r w:rsidRPr="00112AEF">
        <w:rPr>
          <w:rFonts w:ascii="Book Antiqua" w:hAnsi="Book Antiqua"/>
          <w:kern w:val="2"/>
          <w:u w:color="FF0000"/>
        </w:rPr>
        <w:t>Sorafenib</w:t>
      </w:r>
      <w:r w:rsidRPr="00112AEF">
        <w:rPr>
          <w:rFonts w:ascii="Book Antiqua" w:hAnsi="Book Antiqua"/>
          <w:kern w:val="2"/>
          <w:u w:color="000000"/>
        </w:rPr>
        <w:t xml:space="preserve"> exerts anticancer effects by inhibiting the serine–threonine kinases Raf-1 (c-Raf) </w:t>
      </w:r>
      <w:r w:rsidRPr="00112AEF">
        <w:rPr>
          <w:rFonts w:ascii="Book Antiqua" w:hAnsi="Book Antiqua"/>
          <w:kern w:val="2"/>
          <w:u w:color="FF0000"/>
        </w:rPr>
        <w:t>and</w:t>
      </w:r>
      <w:r w:rsidRPr="00112AEF">
        <w:rPr>
          <w:rFonts w:ascii="Book Antiqua" w:hAnsi="Book Antiqua"/>
          <w:kern w:val="2"/>
          <w:u w:color="000000"/>
        </w:rPr>
        <w:t xml:space="preserve"> B-Raf, and the receptor tyrosine kinase activity of the vascular endothelial growth factor receptors (VEGFRs) 1, 2, and 3 and platelet-derived growth factor receptor</w:t>
      </w:r>
      <w:r w:rsidRPr="00112AEF">
        <w:rPr>
          <w:rFonts w:ascii="Book Antiqua" w:eastAsia="宋体" w:hAnsi="Book Antiqua"/>
          <w:kern w:val="2"/>
          <w:u w:color="000000"/>
          <w:lang w:eastAsia="zh-CN"/>
        </w:rPr>
        <w:t xml:space="preserve"> </w:t>
      </w:r>
      <w:r w:rsidRPr="00112AEF">
        <w:rPr>
          <w:rFonts w:ascii="Book Antiqua" w:hAnsi="Book Antiqua"/>
          <w:kern w:val="2"/>
          <w:u w:color="000000"/>
        </w:rPr>
        <w:t>â</w:t>
      </w:r>
      <w:r w:rsidRPr="00112AEF">
        <w:rPr>
          <w:rFonts w:ascii="Book Antiqua" w:hAnsi="Book Antiqua"/>
          <w:kern w:val="2"/>
          <w:u w:color="000000"/>
          <w:vertAlign w:val="superscript"/>
        </w:rPr>
        <w:t>[</w:t>
      </w:r>
      <w:r w:rsidRPr="00112AEF">
        <w:rPr>
          <w:rFonts w:ascii="Book Antiqua" w:hAnsi="Book Antiqua"/>
          <w:vertAlign w:val="superscript"/>
          <w:lang w:eastAsia="ja-JP"/>
        </w:rPr>
        <w:t>31</w:t>
      </w:r>
      <w:r w:rsidRPr="00112AEF">
        <w:rPr>
          <w:rFonts w:ascii="Book Antiqua" w:hAnsi="Book Antiqua"/>
          <w:kern w:val="2"/>
          <w:u w:color="000000"/>
          <w:vertAlign w:val="superscript"/>
        </w:rPr>
        <w:t>]</w:t>
      </w:r>
      <w:r w:rsidRPr="00112AEF">
        <w:rPr>
          <w:rFonts w:ascii="Book Antiqua" w:hAnsi="Book Antiqua"/>
          <w:kern w:val="2"/>
          <w:u w:color="000000"/>
        </w:rPr>
        <w:t>. Nevertheless, mechanisms underlying skin toxicity induced by this drug remain largely unknown. Recent studies demonstrated that genetic polymorphisms of VEGF</w:t>
      </w:r>
      <w:r w:rsidRPr="00112AEF">
        <w:rPr>
          <w:rFonts w:ascii="Book Antiqua" w:hAnsi="Book Antiqua"/>
          <w:kern w:val="2"/>
          <w:u w:color="000000"/>
          <w:vertAlign w:val="superscript"/>
        </w:rPr>
        <w:t>[</w:t>
      </w:r>
      <w:r w:rsidRPr="00112AEF">
        <w:rPr>
          <w:rFonts w:ascii="Book Antiqua" w:hAnsi="Book Antiqua"/>
          <w:vertAlign w:val="superscript"/>
        </w:rPr>
        <w:t>3</w:t>
      </w:r>
      <w:r w:rsidRPr="00112AEF">
        <w:rPr>
          <w:rFonts w:ascii="Book Antiqua" w:hAnsi="Book Antiqua"/>
          <w:vertAlign w:val="superscript"/>
          <w:lang w:eastAsia="ja-JP"/>
        </w:rPr>
        <w:t>2</w:t>
      </w:r>
      <w:r w:rsidRPr="00112AEF">
        <w:rPr>
          <w:rFonts w:ascii="Book Antiqua" w:hAnsi="Book Antiqua"/>
          <w:kern w:val="2"/>
          <w:u w:color="000000"/>
          <w:vertAlign w:val="superscript"/>
        </w:rPr>
        <w:t>]</w:t>
      </w:r>
      <w:r w:rsidRPr="00112AEF">
        <w:rPr>
          <w:rFonts w:ascii="Book Antiqua" w:hAnsi="Book Antiqua"/>
          <w:kern w:val="2"/>
          <w:u w:color="000000"/>
        </w:rPr>
        <w:t xml:space="preserve"> and VEGFR2</w:t>
      </w:r>
      <w:r w:rsidRPr="00112AEF">
        <w:rPr>
          <w:rFonts w:ascii="Book Antiqua" w:hAnsi="Book Antiqua"/>
          <w:kern w:val="2"/>
          <w:u w:color="000000"/>
          <w:vertAlign w:val="superscript"/>
        </w:rPr>
        <w:t>[</w:t>
      </w:r>
      <w:r w:rsidRPr="00112AEF">
        <w:rPr>
          <w:rFonts w:ascii="Book Antiqua" w:hAnsi="Book Antiqua"/>
          <w:vertAlign w:val="superscript"/>
        </w:rPr>
        <w:t>3</w:t>
      </w:r>
      <w:r w:rsidRPr="00112AEF">
        <w:rPr>
          <w:rFonts w:ascii="Book Antiqua" w:hAnsi="Book Antiqua"/>
          <w:vertAlign w:val="superscript"/>
          <w:lang w:eastAsia="ja-JP"/>
        </w:rPr>
        <w:t>3</w:t>
      </w:r>
      <w:r w:rsidRPr="00112AEF">
        <w:rPr>
          <w:rFonts w:ascii="Book Antiqua" w:hAnsi="Book Antiqua"/>
          <w:kern w:val="2"/>
          <w:u w:color="000000"/>
          <w:vertAlign w:val="superscript"/>
        </w:rPr>
        <w:t>]</w:t>
      </w:r>
      <w:r w:rsidRPr="00112AEF">
        <w:rPr>
          <w:rFonts w:ascii="Book Antiqua" w:hAnsi="Book Antiqua"/>
          <w:kern w:val="2"/>
          <w:u w:color="000000"/>
        </w:rPr>
        <w:t xml:space="preserve"> were related to the occurrence of HFSR, suggesting the involvement of VEGF signaling. Patients with a genetic predisposition to HFSR may be </w:t>
      </w:r>
      <w:r w:rsidRPr="00112AEF">
        <w:rPr>
          <w:rFonts w:ascii="Book Antiqua" w:hAnsi="Book Antiqua"/>
          <w:kern w:val="2"/>
          <w:u w:color="000000"/>
          <w:lang w:eastAsia="ja-JP"/>
        </w:rPr>
        <w:t xml:space="preserve">more </w:t>
      </w:r>
      <w:r w:rsidRPr="00112AEF">
        <w:rPr>
          <w:rFonts w:ascii="Book Antiqua" w:hAnsi="Book Antiqua"/>
          <w:kern w:val="2"/>
          <w:u w:color="000000"/>
        </w:rPr>
        <w:t>sensitive to the antitumor effects of sorafenib. Further research regarding the contribution of genetic variation to skin toxicity and efficacy in this therapy is clearly required.</w:t>
      </w:r>
    </w:p>
    <w:p w:rsidR="00AD473F" w:rsidRPr="00112AEF" w:rsidRDefault="00AD473F" w:rsidP="00150DB3">
      <w:pPr>
        <w:widowControl w:val="0"/>
        <w:spacing w:line="360" w:lineRule="auto"/>
        <w:ind w:firstLineChars="100" w:firstLine="240"/>
        <w:jc w:val="both"/>
        <w:outlineLvl w:val="0"/>
        <w:rPr>
          <w:rFonts w:ascii="Book Antiqua" w:hAnsi="Book Antiqua"/>
          <w:kern w:val="2"/>
          <w:u w:color="000000"/>
        </w:rPr>
      </w:pPr>
      <w:r w:rsidRPr="00112AEF">
        <w:rPr>
          <w:rFonts w:ascii="Book Antiqua" w:hAnsi="Book Antiqua"/>
          <w:kern w:val="2"/>
          <w:u w:color="000000"/>
        </w:rPr>
        <w:t>Other studies reported that the occurrence of hypertension</w:t>
      </w:r>
      <w:r w:rsidRPr="00112AEF">
        <w:rPr>
          <w:rFonts w:ascii="Book Antiqua" w:hAnsi="Book Antiqua"/>
          <w:kern w:val="2"/>
          <w:u w:color="000000"/>
          <w:vertAlign w:val="superscript"/>
        </w:rPr>
        <w:t>[</w:t>
      </w:r>
      <w:r w:rsidRPr="00112AEF">
        <w:rPr>
          <w:rFonts w:ascii="Book Antiqua" w:hAnsi="Book Antiqua"/>
          <w:vertAlign w:val="superscript"/>
        </w:rPr>
        <w:t>13</w:t>
      </w:r>
      <w:r w:rsidRPr="00112AEF">
        <w:rPr>
          <w:rFonts w:ascii="Book Antiqua" w:hAnsi="Book Antiqua"/>
          <w:kern w:val="2"/>
          <w:u w:color="000000"/>
          <w:vertAlign w:val="superscript"/>
        </w:rPr>
        <w:t>]</w:t>
      </w:r>
      <w:r w:rsidRPr="00112AEF">
        <w:rPr>
          <w:rFonts w:ascii="Book Antiqua" w:hAnsi="Book Antiqua"/>
          <w:kern w:val="2"/>
          <w:u w:color="000000"/>
        </w:rPr>
        <w:t xml:space="preserve"> or diarrhea</w:t>
      </w:r>
      <w:r w:rsidRPr="00112AEF">
        <w:rPr>
          <w:rFonts w:ascii="Book Antiqua" w:hAnsi="Book Antiqua"/>
          <w:kern w:val="2"/>
          <w:u w:color="000000"/>
          <w:vertAlign w:val="superscript"/>
        </w:rPr>
        <w:t>[</w:t>
      </w:r>
      <w:r w:rsidRPr="00112AEF">
        <w:rPr>
          <w:rFonts w:ascii="Book Antiqua" w:hAnsi="Book Antiqua"/>
          <w:vertAlign w:val="superscript"/>
        </w:rPr>
        <w:t>14</w:t>
      </w:r>
      <w:r w:rsidRPr="00112AEF">
        <w:rPr>
          <w:rFonts w:ascii="Book Antiqua" w:hAnsi="Book Antiqua"/>
          <w:kern w:val="2"/>
          <w:u w:color="000000"/>
          <w:vertAlign w:val="superscript"/>
        </w:rPr>
        <w:t>]</w:t>
      </w:r>
      <w:r w:rsidRPr="00112AEF">
        <w:rPr>
          <w:rFonts w:ascii="Book Antiqua" w:hAnsi="Book Antiqua"/>
          <w:kern w:val="2"/>
          <w:u w:color="000000"/>
        </w:rPr>
        <w:t xml:space="preserve"> was related to favorable clinical outcomes. However, we could not confirm these results in our study.</w:t>
      </w:r>
    </w:p>
    <w:p w:rsidR="00AD473F" w:rsidRPr="00112AEF" w:rsidRDefault="00AD473F" w:rsidP="002F5E25">
      <w:pPr>
        <w:widowControl w:val="0"/>
        <w:spacing w:line="360" w:lineRule="auto"/>
        <w:jc w:val="both"/>
        <w:outlineLvl w:val="0"/>
        <w:rPr>
          <w:rFonts w:ascii="Book Antiqua" w:hAnsi="Book Antiqua"/>
          <w:kern w:val="2"/>
          <w:u w:color="000000"/>
        </w:rPr>
      </w:pPr>
      <w:r w:rsidRPr="00112AEF">
        <w:rPr>
          <w:rFonts w:ascii="Book Antiqua" w:hAnsi="Book Antiqua"/>
          <w:kern w:val="2"/>
          <w:u w:color="000000"/>
        </w:rPr>
        <w:t xml:space="preserve">In our study, hypoalbuminemia was related to poor prognosis; this can be interpreted as a sign of progression of liver disease. In previous sorafenib studies, patients with lower </w:t>
      </w:r>
      <w:r w:rsidRPr="00112AEF">
        <w:rPr>
          <w:rFonts w:ascii="Book Antiqua" w:hAnsi="Book Antiqua"/>
          <w:kern w:val="2"/>
          <w:u w:color="000000"/>
        </w:rPr>
        <w:lastRenderedPageBreak/>
        <w:t>pretreatment serum albumin levels had a greater risk of treatment discontinuation</w:t>
      </w:r>
      <w:r w:rsidRPr="00112AEF">
        <w:rPr>
          <w:rFonts w:ascii="Book Antiqua" w:hAnsi="Book Antiqua"/>
          <w:kern w:val="2"/>
          <w:u w:color="000000"/>
          <w:vertAlign w:val="superscript"/>
        </w:rPr>
        <w:t>[</w:t>
      </w:r>
      <w:r w:rsidRPr="00112AEF">
        <w:rPr>
          <w:rFonts w:ascii="Book Antiqua" w:hAnsi="Book Antiqua"/>
          <w:vertAlign w:val="superscript"/>
        </w:rPr>
        <w:t>28</w:t>
      </w:r>
      <w:r w:rsidRPr="00112AEF">
        <w:rPr>
          <w:rFonts w:ascii="Book Antiqua" w:hAnsi="Book Antiqua"/>
          <w:kern w:val="2"/>
          <w:u w:color="000000"/>
          <w:vertAlign w:val="superscript"/>
        </w:rPr>
        <w:t>]</w:t>
      </w:r>
      <w:r w:rsidRPr="00112AEF">
        <w:rPr>
          <w:rFonts w:ascii="Book Antiqua" w:hAnsi="Book Antiqua"/>
          <w:kern w:val="2"/>
          <w:u w:color="000000"/>
        </w:rPr>
        <w:t xml:space="preserve"> and poor prognosis</w:t>
      </w:r>
      <w:r w:rsidRPr="00112AEF">
        <w:rPr>
          <w:rFonts w:ascii="Book Antiqua" w:hAnsi="Book Antiqua"/>
          <w:kern w:val="2"/>
          <w:u w:color="000000"/>
          <w:vertAlign w:val="superscript"/>
        </w:rPr>
        <w:t>[</w:t>
      </w:r>
      <w:r w:rsidRPr="00112AEF">
        <w:rPr>
          <w:rFonts w:ascii="Book Antiqua" w:hAnsi="Book Antiqua"/>
          <w:vertAlign w:val="superscript"/>
        </w:rPr>
        <w:t>2</w:t>
      </w:r>
      <w:r w:rsidRPr="00112AEF">
        <w:rPr>
          <w:rFonts w:ascii="Book Antiqua" w:hAnsi="Book Antiqua"/>
          <w:vertAlign w:val="superscript"/>
          <w:lang w:eastAsia="ja-JP"/>
        </w:rPr>
        <w:t>9</w:t>
      </w:r>
      <w:r w:rsidRPr="00112AEF">
        <w:rPr>
          <w:rFonts w:ascii="Book Antiqua" w:hAnsi="Book Antiqua"/>
          <w:kern w:val="2"/>
          <w:u w:color="000000"/>
          <w:vertAlign w:val="superscript"/>
        </w:rPr>
        <w:t xml:space="preserve">, </w:t>
      </w:r>
      <w:r w:rsidRPr="00112AEF">
        <w:rPr>
          <w:rFonts w:ascii="Book Antiqua" w:hAnsi="Book Antiqua"/>
          <w:kern w:val="2"/>
          <w:u w:color="000000"/>
          <w:vertAlign w:val="superscript"/>
          <w:lang w:eastAsia="ja-JP"/>
        </w:rPr>
        <w:t>34</w:t>
      </w:r>
      <w:r w:rsidRPr="00112AEF">
        <w:rPr>
          <w:rFonts w:ascii="Book Antiqua" w:hAnsi="Book Antiqua"/>
          <w:kern w:val="2"/>
          <w:u w:color="000000"/>
          <w:vertAlign w:val="superscript"/>
        </w:rPr>
        <w:t>]</w:t>
      </w:r>
      <w:r w:rsidRPr="00112AEF">
        <w:rPr>
          <w:rFonts w:ascii="Book Antiqua" w:hAnsi="Book Antiqua"/>
          <w:kern w:val="2"/>
          <w:u w:color="000000"/>
        </w:rPr>
        <w:t>.</w:t>
      </w:r>
    </w:p>
    <w:p w:rsidR="00AD473F" w:rsidRPr="00112AEF" w:rsidRDefault="00AD473F" w:rsidP="00150DB3">
      <w:pPr>
        <w:widowControl w:val="0"/>
        <w:spacing w:line="360" w:lineRule="auto"/>
        <w:ind w:firstLineChars="100" w:firstLine="240"/>
        <w:jc w:val="both"/>
        <w:outlineLvl w:val="0"/>
        <w:rPr>
          <w:rFonts w:ascii="Book Antiqua" w:hAnsi="Book Antiqua"/>
          <w:strike/>
          <w:kern w:val="2"/>
          <w:u w:color="FF0000"/>
        </w:rPr>
      </w:pPr>
      <w:r w:rsidRPr="00112AEF">
        <w:rPr>
          <w:rFonts w:ascii="Book Antiqua" w:hAnsi="Book Antiqua"/>
          <w:kern w:val="2"/>
          <w:u w:color="000000"/>
        </w:rPr>
        <w:t>Because skin toxicity was associated with better prognosis, controlling this AE potentially offers benefit to patients. Moisturizers, sunscreen creams, steroid ointments, and oral antibiotics such as doxycycline can effectively prevent skin toxicity</w:t>
      </w:r>
      <w:r w:rsidRPr="00112AEF">
        <w:rPr>
          <w:rFonts w:ascii="Book Antiqua" w:hAnsi="Book Antiqua"/>
          <w:kern w:val="2"/>
          <w:u w:color="000000"/>
          <w:vertAlign w:val="superscript"/>
        </w:rPr>
        <w:t>[</w:t>
      </w:r>
      <w:r w:rsidRPr="00112AEF">
        <w:rPr>
          <w:rFonts w:ascii="Book Antiqua" w:hAnsi="Book Antiqua"/>
          <w:vertAlign w:val="superscript"/>
        </w:rPr>
        <w:t>3</w:t>
      </w:r>
      <w:r w:rsidRPr="00112AEF">
        <w:rPr>
          <w:rFonts w:ascii="Book Antiqua" w:hAnsi="Book Antiqua"/>
          <w:vertAlign w:val="superscript"/>
          <w:lang w:eastAsia="ja-JP"/>
        </w:rPr>
        <w:t>5</w:t>
      </w:r>
      <w:r w:rsidRPr="00112AEF">
        <w:rPr>
          <w:rFonts w:ascii="Book Antiqua" w:hAnsi="Book Antiqua"/>
          <w:kern w:val="2"/>
          <w:u w:color="000000"/>
          <w:vertAlign w:val="superscript"/>
        </w:rPr>
        <w:t>,</w:t>
      </w:r>
      <w:r w:rsidRPr="00112AEF">
        <w:rPr>
          <w:rFonts w:ascii="Book Antiqua" w:hAnsi="Book Antiqua"/>
          <w:vertAlign w:val="superscript"/>
        </w:rPr>
        <w:t>3</w:t>
      </w:r>
      <w:r w:rsidRPr="00112AEF">
        <w:rPr>
          <w:rFonts w:ascii="Book Antiqua" w:hAnsi="Book Antiqua"/>
          <w:vertAlign w:val="superscript"/>
          <w:lang w:eastAsia="ja-JP"/>
        </w:rPr>
        <w:t>6</w:t>
      </w:r>
      <w:r w:rsidRPr="00112AEF">
        <w:rPr>
          <w:rFonts w:ascii="Book Antiqua" w:hAnsi="Book Antiqua"/>
          <w:kern w:val="2"/>
          <w:u w:color="000000"/>
          <w:vertAlign w:val="superscript"/>
        </w:rPr>
        <w:t>]</w:t>
      </w:r>
      <w:r w:rsidRPr="00112AEF">
        <w:rPr>
          <w:rFonts w:ascii="Book Antiqua" w:hAnsi="Book Antiqua"/>
          <w:kern w:val="2"/>
          <w:u w:color="000000"/>
        </w:rPr>
        <w:t>. In particular, applying moisturizers before initiation of sorafenib therapy and avoiding stimulation to palms and soles are important</w:t>
      </w:r>
      <w:r w:rsidRPr="00112AEF">
        <w:rPr>
          <w:rFonts w:ascii="Book Antiqua" w:hAnsi="Book Antiqua"/>
          <w:kern w:val="2"/>
          <w:u w:color="000000"/>
          <w:vertAlign w:val="superscript"/>
        </w:rPr>
        <w:t>[</w:t>
      </w:r>
      <w:r w:rsidRPr="00112AEF">
        <w:rPr>
          <w:rFonts w:ascii="Book Antiqua" w:hAnsi="Book Antiqua"/>
          <w:vertAlign w:val="superscript"/>
        </w:rPr>
        <w:t>3</w:t>
      </w:r>
      <w:r w:rsidRPr="00112AEF">
        <w:rPr>
          <w:rFonts w:ascii="Book Antiqua" w:hAnsi="Book Antiqua"/>
          <w:vertAlign w:val="superscript"/>
          <w:lang w:eastAsia="ja-JP"/>
        </w:rPr>
        <w:t>6</w:t>
      </w:r>
      <w:r w:rsidRPr="00112AEF">
        <w:rPr>
          <w:rFonts w:ascii="Book Antiqua" w:hAnsi="Book Antiqua"/>
          <w:kern w:val="2"/>
          <w:u w:color="000000"/>
          <w:vertAlign w:val="superscript"/>
        </w:rPr>
        <w:t>]</w:t>
      </w:r>
      <w:r w:rsidRPr="00112AEF">
        <w:rPr>
          <w:rFonts w:ascii="Book Antiqua" w:hAnsi="Book Antiqua"/>
          <w:kern w:val="2"/>
          <w:u w:color="000000"/>
        </w:rPr>
        <w:t xml:space="preserve">. </w:t>
      </w:r>
    </w:p>
    <w:p w:rsidR="00AD473F" w:rsidRPr="00112AEF" w:rsidRDefault="00AD473F" w:rsidP="00150DB3">
      <w:pPr>
        <w:widowControl w:val="0"/>
        <w:spacing w:line="360" w:lineRule="auto"/>
        <w:ind w:firstLineChars="100" w:firstLine="240"/>
        <w:jc w:val="both"/>
        <w:outlineLvl w:val="0"/>
        <w:rPr>
          <w:rFonts w:ascii="Book Antiqua" w:hAnsi="Book Antiqua"/>
          <w:kern w:val="2"/>
          <w:u w:color="000000"/>
        </w:rPr>
      </w:pPr>
      <w:r w:rsidRPr="00112AEF">
        <w:rPr>
          <w:rFonts w:ascii="Book Antiqua" w:hAnsi="Book Antiqua"/>
          <w:kern w:val="2"/>
          <w:u w:color="000000"/>
        </w:rPr>
        <w:t xml:space="preserve">In this study, we observed that nursing intervention significantly extended the treatment duration. </w:t>
      </w:r>
      <w:r w:rsidRPr="00112AEF">
        <w:rPr>
          <w:rFonts w:ascii="Book Antiqua" w:hAnsi="Book Antiqua"/>
          <w:kern w:val="2"/>
          <w:u w:color="FF0000"/>
        </w:rPr>
        <w:t xml:space="preserve">Our nursing intervention program consisted of </w:t>
      </w:r>
      <w:r w:rsidRPr="00112AEF">
        <w:rPr>
          <w:rFonts w:ascii="Book Antiqua" w:hAnsi="Book Antiqua"/>
          <w:kern w:val="2"/>
          <w:u w:color="000000"/>
        </w:rPr>
        <w:t>education on self-monitoring and AE</w:t>
      </w:r>
      <w:r w:rsidRPr="00112AEF">
        <w:rPr>
          <w:rFonts w:ascii="Book Antiqua" w:hAnsi="Book Antiqua"/>
          <w:kern w:val="2"/>
          <w:u w:color="000000"/>
          <w:lang w:eastAsia="ja-JP"/>
        </w:rPr>
        <w:t>s</w:t>
      </w:r>
      <w:r w:rsidRPr="00112AEF">
        <w:rPr>
          <w:rFonts w:ascii="Book Antiqua" w:hAnsi="Book Antiqua"/>
          <w:kern w:val="2"/>
          <w:u w:color="000000"/>
        </w:rPr>
        <w:t xml:space="preserve"> management and telephone follow-up. Improved management of AEs or removal of anxiety by telephone follow-up may contribute to these results. The importance of patient and family education and continuity of care along with the increasing use of oral anticancer drugs has been reaffirmed in previous studies</w:t>
      </w:r>
      <w:r w:rsidRPr="00112AEF">
        <w:rPr>
          <w:rFonts w:ascii="Book Antiqua" w:hAnsi="Book Antiqua"/>
          <w:kern w:val="2"/>
          <w:u w:color="000000"/>
          <w:vertAlign w:val="superscript"/>
        </w:rPr>
        <w:t>[</w:t>
      </w:r>
      <w:r w:rsidRPr="00112AEF">
        <w:rPr>
          <w:rFonts w:ascii="Book Antiqua" w:hAnsi="Book Antiqua"/>
          <w:kern w:val="2"/>
          <w:u w:color="000000"/>
          <w:vertAlign w:val="superscript"/>
          <w:lang w:eastAsia="ja-JP"/>
        </w:rPr>
        <w:t>25</w:t>
      </w:r>
      <w:r w:rsidRPr="00112AEF">
        <w:rPr>
          <w:rFonts w:ascii="Book Antiqua" w:hAnsi="Book Antiqua"/>
          <w:kern w:val="2"/>
          <w:u w:color="000000"/>
          <w:vertAlign w:val="superscript"/>
        </w:rPr>
        <w:t>]</w:t>
      </w:r>
      <w:r w:rsidRPr="00112AEF">
        <w:rPr>
          <w:rFonts w:ascii="Book Antiqua" w:hAnsi="Book Antiqua"/>
          <w:kern w:val="2"/>
          <w:u w:color="000000"/>
        </w:rPr>
        <w:t xml:space="preserve">. </w:t>
      </w:r>
      <w:r w:rsidRPr="00112AEF">
        <w:rPr>
          <w:rFonts w:ascii="Book Antiqua" w:hAnsi="Book Antiqua"/>
          <w:kern w:val="2"/>
          <w:u w:color="000000"/>
          <w:lang w:eastAsia="ja-JP"/>
        </w:rPr>
        <w:t xml:space="preserve"> </w:t>
      </w:r>
      <w:r w:rsidRPr="00112AEF">
        <w:rPr>
          <w:rFonts w:ascii="Book Antiqua" w:hAnsi="Book Antiqua"/>
          <w:kern w:val="2"/>
          <w:u w:color="000000"/>
        </w:rPr>
        <w:t>However, the impact of nursing intervention on adherence or AE</w:t>
      </w:r>
      <w:r w:rsidRPr="00112AEF">
        <w:rPr>
          <w:rFonts w:ascii="Book Antiqua" w:hAnsi="Book Antiqua"/>
          <w:kern w:val="2"/>
          <w:u w:color="000000"/>
          <w:lang w:eastAsia="ja-JP"/>
        </w:rPr>
        <w:t>s</w:t>
      </w:r>
      <w:r w:rsidRPr="00112AEF">
        <w:rPr>
          <w:rFonts w:ascii="Book Antiqua" w:hAnsi="Book Antiqua"/>
          <w:kern w:val="2"/>
          <w:u w:color="000000"/>
        </w:rPr>
        <w:t xml:space="preserve"> management remains elusive. Nurse-led telephone follow-up for patients receiving oral capecitabine resulted in decreased occurrence of AEs compared with historical data</w:t>
      </w:r>
      <w:r w:rsidRPr="00112AEF">
        <w:rPr>
          <w:rFonts w:ascii="Book Antiqua" w:hAnsi="Book Antiqua"/>
          <w:kern w:val="2"/>
          <w:u w:color="000000"/>
          <w:vertAlign w:val="superscript"/>
        </w:rPr>
        <w:t>[3</w:t>
      </w:r>
      <w:r w:rsidRPr="00112AEF">
        <w:rPr>
          <w:rFonts w:ascii="Book Antiqua" w:hAnsi="Book Antiqua"/>
          <w:kern w:val="2"/>
          <w:u w:color="000000"/>
          <w:vertAlign w:val="superscript"/>
          <w:lang w:eastAsia="ja-JP"/>
        </w:rPr>
        <w:t>7</w:t>
      </w:r>
      <w:r w:rsidRPr="00112AEF">
        <w:rPr>
          <w:rFonts w:ascii="Book Antiqua" w:hAnsi="Book Antiqua"/>
          <w:kern w:val="2"/>
          <w:u w:color="000000"/>
          <w:vertAlign w:val="superscript"/>
        </w:rPr>
        <w:t>]</w:t>
      </w:r>
      <w:r w:rsidRPr="00112AEF">
        <w:rPr>
          <w:rFonts w:ascii="Book Antiqua" w:hAnsi="Book Antiqua"/>
          <w:kern w:val="2"/>
          <w:u w:color="000000"/>
        </w:rPr>
        <w:t>. On the other hand, a randomized controlled trial evaluating the role of nursing intervention in symptom management and treatment adherence for patients, who were prescribed oral chemotherapy agents, could not verify its efficacy</w:t>
      </w:r>
      <w:r w:rsidRPr="00112AEF">
        <w:rPr>
          <w:rFonts w:ascii="Book Antiqua" w:hAnsi="Book Antiqua"/>
          <w:kern w:val="2"/>
          <w:u w:color="000000"/>
          <w:vertAlign w:val="superscript"/>
        </w:rPr>
        <w:t>[22]</w:t>
      </w:r>
      <w:r w:rsidRPr="00112AEF">
        <w:rPr>
          <w:rFonts w:ascii="Book Antiqua" w:hAnsi="Book Antiqua"/>
          <w:kern w:val="2"/>
          <w:u w:color="000000"/>
        </w:rPr>
        <w:t>. Therefore, further studies in this regard are warranted.</w:t>
      </w:r>
      <w:r w:rsidRPr="00112AEF">
        <w:rPr>
          <w:rFonts w:ascii="Book Antiqua" w:hAnsi="Book Antiqua"/>
          <w:kern w:val="2"/>
          <w:u w:color="000000"/>
          <w:lang w:eastAsia="ja-JP"/>
        </w:rPr>
        <w:t xml:space="preserve"> </w:t>
      </w:r>
      <w:r w:rsidRPr="00112AEF">
        <w:rPr>
          <w:rFonts w:ascii="Book Antiqua" w:hAnsi="Book Antiqua"/>
          <w:kern w:val="2"/>
          <w:u w:color="000000"/>
        </w:rPr>
        <w:t xml:space="preserve">This study has limitations. This was a retrospective study, with a relatively small number of patients from a single institution. </w:t>
      </w:r>
    </w:p>
    <w:p w:rsidR="00AD473F" w:rsidRPr="00112AEF" w:rsidRDefault="00AD473F" w:rsidP="00150DB3">
      <w:pPr>
        <w:widowControl w:val="0"/>
        <w:spacing w:line="360" w:lineRule="auto"/>
        <w:ind w:firstLineChars="100" w:firstLine="240"/>
        <w:jc w:val="both"/>
        <w:outlineLvl w:val="0"/>
        <w:rPr>
          <w:rFonts w:ascii="Book Antiqua" w:hAnsi="Book Antiqua"/>
          <w:kern w:val="2"/>
          <w:u w:color="000000"/>
        </w:rPr>
      </w:pPr>
      <w:r w:rsidRPr="00112AEF">
        <w:rPr>
          <w:rFonts w:ascii="Book Antiqua" w:hAnsi="Book Antiqua"/>
          <w:kern w:val="2"/>
          <w:u w:color="000000"/>
        </w:rPr>
        <w:t xml:space="preserve">In conclusion, our study revealed that skin toxicity may be a surrogate marker for preferable effects of sorafenib in the management of advanced HCC. Moreover, nursing intervention significantly contributed to treatment adherence. Establishment of better nursing intervention programs that can maintain adherence by controlling serious AEs is important in maximizing the efficacy of this oral anticancer drug. </w:t>
      </w:r>
    </w:p>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p>
    <w:p w:rsidR="00AD473F" w:rsidRPr="00112AEF" w:rsidRDefault="00AD473F" w:rsidP="00B918AA">
      <w:pPr>
        <w:spacing w:line="360" w:lineRule="auto"/>
        <w:rPr>
          <w:rFonts w:ascii="Book Antiqua" w:hAnsi="Book Antiqua"/>
          <w:b/>
        </w:rPr>
      </w:pPr>
      <w:r w:rsidRPr="00112AEF">
        <w:rPr>
          <w:rFonts w:ascii="Book Antiqua" w:hAnsi="Book Antiqua"/>
          <w:b/>
        </w:rPr>
        <w:t>ACKNOWLEDGEMENTS</w:t>
      </w:r>
    </w:p>
    <w:p w:rsidR="00AD473F" w:rsidRPr="00112AEF" w:rsidRDefault="00AD473F" w:rsidP="00332BC2">
      <w:pPr>
        <w:widowControl w:val="0"/>
        <w:spacing w:line="360" w:lineRule="auto"/>
        <w:jc w:val="both"/>
        <w:outlineLvl w:val="0"/>
        <w:rPr>
          <w:rFonts w:ascii="Book Antiqua" w:hAnsi="Book Antiqua"/>
          <w:kern w:val="2"/>
          <w:u w:color="000000"/>
          <w:lang w:eastAsia="ja-JP"/>
        </w:rPr>
      </w:pPr>
      <w:r w:rsidRPr="00112AEF">
        <w:rPr>
          <w:rFonts w:ascii="Book Antiqua" w:hAnsi="Book Antiqua"/>
          <w:kern w:val="2"/>
          <w:u w:color="000000"/>
        </w:rPr>
        <w:t>We express our thanks to all patients who took part in this clinical research.</w:t>
      </w:r>
      <w:r w:rsidRPr="00112AEF">
        <w:rPr>
          <w:rFonts w:ascii="Book Antiqua" w:hAnsi="Book Antiqua"/>
          <w:kern w:val="2"/>
          <w:u w:color="000000"/>
          <w:lang w:eastAsia="ja-JP"/>
        </w:rPr>
        <w:t xml:space="preserve"> </w:t>
      </w:r>
      <w:r w:rsidRPr="00112AEF">
        <w:rPr>
          <w:rFonts w:ascii="Book Antiqua" w:hAnsi="Book Antiqua"/>
          <w:kern w:val="2"/>
          <w:u w:color="000000"/>
        </w:rPr>
        <w:t>We thank all the members of Department of</w:t>
      </w:r>
      <w:r w:rsidRPr="00112AEF">
        <w:rPr>
          <w:rFonts w:ascii="Book Antiqua" w:hAnsi="Book Antiqua"/>
          <w:kern w:val="2"/>
          <w:u w:color="000000"/>
          <w:lang w:eastAsia="ja-JP"/>
        </w:rPr>
        <w:t xml:space="preserve"> Nursing of Tokai University Hospital </w:t>
      </w:r>
      <w:r w:rsidRPr="00112AEF">
        <w:rPr>
          <w:rFonts w:ascii="Book Antiqua" w:hAnsi="Book Antiqua"/>
          <w:kern w:val="2"/>
          <w:u w:color="000000"/>
        </w:rPr>
        <w:t>for discussion and comments.</w:t>
      </w:r>
    </w:p>
    <w:p w:rsidR="00AD473F" w:rsidRPr="00112AEF" w:rsidRDefault="00AD473F" w:rsidP="002F5E25">
      <w:pPr>
        <w:widowControl w:val="0"/>
        <w:spacing w:line="360" w:lineRule="auto"/>
        <w:jc w:val="both"/>
        <w:outlineLvl w:val="0"/>
        <w:rPr>
          <w:rFonts w:ascii="Book Antiqua" w:hAnsi="Book Antiqua"/>
          <w:kern w:val="2"/>
          <w:u w:color="000000"/>
          <w:lang w:eastAsia="ja-JP"/>
        </w:rPr>
      </w:pPr>
    </w:p>
    <w:p w:rsidR="00AD473F" w:rsidRPr="00112AEF" w:rsidRDefault="00AD473F" w:rsidP="00B918AA">
      <w:pPr>
        <w:spacing w:line="360" w:lineRule="auto"/>
        <w:rPr>
          <w:rFonts w:ascii="Book Antiqua" w:hAnsi="Book Antiqua"/>
          <w:b/>
        </w:rPr>
      </w:pPr>
      <w:bookmarkStart w:id="86" w:name="OLE_LINK218"/>
      <w:r w:rsidRPr="00112AEF">
        <w:rPr>
          <w:rFonts w:ascii="Book Antiqua" w:hAnsi="Book Antiqua"/>
          <w:b/>
        </w:rPr>
        <w:t>COMMENTS</w:t>
      </w:r>
    </w:p>
    <w:p w:rsidR="00AD473F" w:rsidRPr="00112AEF" w:rsidRDefault="00AD473F" w:rsidP="00B918AA">
      <w:pPr>
        <w:spacing w:line="360" w:lineRule="auto"/>
        <w:rPr>
          <w:rFonts w:ascii="Book Antiqua" w:hAnsi="Book Antiqua"/>
          <w:b/>
          <w:i/>
        </w:rPr>
      </w:pPr>
      <w:r w:rsidRPr="00112AEF">
        <w:rPr>
          <w:rFonts w:ascii="Book Antiqua" w:hAnsi="Book Antiqua"/>
          <w:b/>
          <w:i/>
        </w:rPr>
        <w:t>Background</w:t>
      </w:r>
    </w:p>
    <w:p w:rsidR="00AD473F" w:rsidRPr="00112AEF" w:rsidRDefault="00AD473F" w:rsidP="002F5E25">
      <w:pPr>
        <w:widowControl w:val="0"/>
        <w:spacing w:line="360" w:lineRule="auto"/>
        <w:jc w:val="both"/>
        <w:rPr>
          <w:rFonts w:ascii="Book Antiqua" w:hAnsi="Book Antiqua"/>
          <w:kern w:val="2"/>
          <w:lang w:eastAsia="zh-CN"/>
        </w:rPr>
      </w:pPr>
      <w:r w:rsidRPr="00112AEF">
        <w:rPr>
          <w:rFonts w:ascii="Book Antiqua" w:hAnsi="Book Antiqua"/>
          <w:kern w:val="2"/>
          <w:lang w:eastAsia="zh-CN"/>
        </w:rPr>
        <w:t xml:space="preserve">Sorafenib therapy for advanced </w:t>
      </w:r>
      <w:r w:rsidRPr="00112AEF">
        <w:rPr>
          <w:rFonts w:ascii="Book Antiqua" w:hAnsi="Book Antiqua"/>
          <w:kern w:val="2"/>
          <w:lang w:eastAsia="ja-JP"/>
        </w:rPr>
        <w:t>hepatocellular carcinoma (</w:t>
      </w:r>
      <w:r w:rsidRPr="00112AEF">
        <w:rPr>
          <w:rFonts w:ascii="Book Antiqua" w:hAnsi="Book Antiqua"/>
          <w:kern w:val="2"/>
          <w:lang w:eastAsia="zh-CN"/>
        </w:rPr>
        <w:t>HCC</w:t>
      </w:r>
      <w:r w:rsidRPr="00112AEF">
        <w:rPr>
          <w:rFonts w:ascii="Book Antiqua" w:hAnsi="Book Antiqua"/>
          <w:kern w:val="2"/>
          <w:lang w:eastAsia="ja-JP"/>
        </w:rPr>
        <w:t>)</w:t>
      </w:r>
      <w:r w:rsidRPr="00112AEF">
        <w:rPr>
          <w:rFonts w:ascii="Book Antiqua" w:hAnsi="Book Antiqua"/>
          <w:kern w:val="2"/>
          <w:lang w:eastAsia="zh-CN"/>
        </w:rPr>
        <w:t xml:space="preserve"> often causes </w:t>
      </w:r>
      <w:r w:rsidRPr="00112AEF">
        <w:rPr>
          <w:rFonts w:ascii="Book Antiqua" w:hAnsi="Book Antiqua"/>
          <w:kern w:val="2"/>
          <w:lang w:eastAsia="ja-JP"/>
        </w:rPr>
        <w:t>adverse events (</w:t>
      </w:r>
      <w:r w:rsidRPr="00112AEF">
        <w:rPr>
          <w:rFonts w:ascii="Book Antiqua" w:hAnsi="Book Antiqua"/>
          <w:kern w:val="2"/>
          <w:lang w:eastAsia="zh-CN"/>
        </w:rPr>
        <w:t>AEs</w:t>
      </w:r>
      <w:r w:rsidRPr="00112AEF">
        <w:rPr>
          <w:rFonts w:ascii="Book Antiqua" w:hAnsi="Book Antiqua"/>
          <w:kern w:val="2"/>
          <w:lang w:eastAsia="ja-JP"/>
        </w:rPr>
        <w:t>)</w:t>
      </w:r>
      <w:r w:rsidRPr="00112AEF">
        <w:rPr>
          <w:rFonts w:ascii="Book Antiqua" w:hAnsi="Book Antiqua"/>
          <w:kern w:val="2"/>
          <w:lang w:eastAsia="zh-CN"/>
        </w:rPr>
        <w:t>, subsequently leading to dose reduction or discontinuation. Conversely, a few studies have associated serious AEs with a favorable response.</w:t>
      </w:r>
      <w:r w:rsidRPr="00112AEF">
        <w:rPr>
          <w:rFonts w:ascii="Book Antiqua" w:hAnsi="Book Antiqua"/>
          <w:kern w:val="2"/>
          <w:lang w:eastAsia="ja-JP"/>
        </w:rPr>
        <w:t xml:space="preserve"> </w:t>
      </w:r>
      <w:r w:rsidRPr="00112AEF">
        <w:rPr>
          <w:rFonts w:ascii="Book Antiqua" w:hAnsi="Book Antiqua"/>
          <w:kern w:val="2"/>
          <w:lang w:eastAsia="zh-CN"/>
        </w:rPr>
        <w:t>Contributes of nursing intervention on treatment adherence to therapy were unclear.</w:t>
      </w:r>
    </w:p>
    <w:p w:rsidR="00AD473F" w:rsidRPr="00112AEF" w:rsidRDefault="00AD473F" w:rsidP="002F5E25">
      <w:pPr>
        <w:widowControl w:val="0"/>
        <w:spacing w:line="360" w:lineRule="auto"/>
        <w:jc w:val="both"/>
        <w:rPr>
          <w:rFonts w:ascii="Book Antiqua" w:hAnsi="Book Antiqua"/>
          <w:b/>
          <w:i/>
          <w:kern w:val="2"/>
          <w:lang w:eastAsia="zh-CN"/>
        </w:rPr>
      </w:pPr>
    </w:p>
    <w:p w:rsidR="00AD473F" w:rsidRPr="00112AEF" w:rsidRDefault="00AD473F" w:rsidP="00B918AA">
      <w:pPr>
        <w:spacing w:line="360" w:lineRule="auto"/>
        <w:rPr>
          <w:rFonts w:ascii="Book Antiqua" w:hAnsi="Book Antiqua"/>
          <w:b/>
          <w:i/>
        </w:rPr>
      </w:pPr>
      <w:r w:rsidRPr="00112AEF">
        <w:rPr>
          <w:rFonts w:ascii="Book Antiqua" w:hAnsi="Book Antiqua"/>
          <w:b/>
          <w:i/>
        </w:rPr>
        <w:t>Research frontiers</w:t>
      </w:r>
    </w:p>
    <w:p w:rsidR="00AD473F" w:rsidRPr="00112AEF" w:rsidRDefault="00AD473F" w:rsidP="002F5E25">
      <w:pPr>
        <w:widowControl w:val="0"/>
        <w:spacing w:line="360" w:lineRule="auto"/>
        <w:jc w:val="both"/>
        <w:rPr>
          <w:rFonts w:ascii="Book Antiqua" w:hAnsi="Book Antiqua"/>
          <w:kern w:val="2"/>
          <w:lang w:eastAsia="ja-JP"/>
        </w:rPr>
      </w:pPr>
      <w:r w:rsidRPr="00112AEF">
        <w:rPr>
          <w:rFonts w:ascii="Book Antiqua" w:hAnsi="Book Antiqua"/>
          <w:kern w:val="2"/>
          <w:lang w:eastAsia="ja-JP"/>
        </w:rPr>
        <w:t>In this study, the authors revealed that skin toxicity may be a surrogate marker for preferable effects of sorafenib in the management of advanced HCC. Moreover, nursing intervention significantly contributed to treatment adherence. Establishment of better nursing intervention programs that can maintain adherence by controlling serious AEs is important in maximizing the efficacy of this oral anticancer drug.</w:t>
      </w:r>
    </w:p>
    <w:p w:rsidR="00AD473F" w:rsidRPr="00112AEF" w:rsidRDefault="00AD473F" w:rsidP="002F5E25">
      <w:pPr>
        <w:widowControl w:val="0"/>
        <w:spacing w:line="360" w:lineRule="auto"/>
        <w:jc w:val="both"/>
        <w:rPr>
          <w:rFonts w:ascii="Book Antiqua" w:hAnsi="Book Antiqua"/>
          <w:b/>
          <w:i/>
          <w:kern w:val="2"/>
          <w:lang w:eastAsia="zh-CN"/>
        </w:rPr>
      </w:pPr>
    </w:p>
    <w:p w:rsidR="00AD473F" w:rsidRPr="00112AEF" w:rsidRDefault="00AD473F" w:rsidP="00B918AA">
      <w:pPr>
        <w:spacing w:line="360" w:lineRule="auto"/>
        <w:rPr>
          <w:rFonts w:ascii="Book Antiqua" w:hAnsi="Book Antiqua"/>
          <w:b/>
          <w:i/>
        </w:rPr>
      </w:pPr>
      <w:r w:rsidRPr="00112AEF">
        <w:rPr>
          <w:rFonts w:ascii="Book Antiqua" w:hAnsi="Book Antiqua"/>
          <w:b/>
          <w:i/>
        </w:rPr>
        <w:t>Innovations and breakthroughs</w:t>
      </w:r>
    </w:p>
    <w:p w:rsidR="00AD473F" w:rsidRPr="00112AEF" w:rsidRDefault="00AD473F" w:rsidP="002F5E25">
      <w:pPr>
        <w:widowControl w:val="0"/>
        <w:spacing w:line="360" w:lineRule="auto"/>
        <w:jc w:val="both"/>
        <w:rPr>
          <w:rFonts w:ascii="Book Antiqua" w:hAnsi="Book Antiqua"/>
          <w:kern w:val="2"/>
          <w:lang w:eastAsia="zh-CN"/>
        </w:rPr>
      </w:pPr>
      <w:r w:rsidRPr="00112AEF">
        <w:rPr>
          <w:rFonts w:ascii="Book Antiqua" w:eastAsia="宋体" w:hAnsi="Book Antiqua"/>
          <w:kern w:val="2"/>
          <w:lang w:eastAsia="zh-CN"/>
        </w:rPr>
        <w:t>T</w:t>
      </w:r>
      <w:r w:rsidRPr="00112AEF">
        <w:rPr>
          <w:rFonts w:ascii="Book Antiqua" w:hAnsi="Book Antiqua"/>
          <w:kern w:val="2"/>
          <w:lang w:eastAsia="ja-JP"/>
        </w:rPr>
        <w:t>he authors</w:t>
      </w:r>
      <w:r w:rsidRPr="00112AEF">
        <w:rPr>
          <w:rFonts w:ascii="Book Antiqua" w:hAnsi="Book Antiqua"/>
          <w:kern w:val="2"/>
          <w:lang w:eastAsia="zh-CN"/>
        </w:rPr>
        <w:t xml:space="preserve"> demonstrated that the occurrence of skin toxicity was associated with a higher disease control rate (65% </w:t>
      </w:r>
      <w:r w:rsidRPr="00112AEF">
        <w:rPr>
          <w:rFonts w:ascii="Book Antiqua" w:hAnsi="Book Antiqua"/>
          <w:i/>
          <w:kern w:val="2"/>
          <w:lang w:eastAsia="zh-CN"/>
        </w:rPr>
        <w:t xml:space="preserve">vs </w:t>
      </w:r>
      <w:r w:rsidRPr="00112AEF">
        <w:rPr>
          <w:rFonts w:ascii="Book Antiqua" w:hAnsi="Book Antiqua"/>
          <w:kern w:val="2"/>
          <w:lang w:eastAsia="zh-CN"/>
        </w:rPr>
        <w:t xml:space="preserve">12%; </w:t>
      </w:r>
      <w:r w:rsidRPr="00112AEF">
        <w:rPr>
          <w:rFonts w:ascii="Book Antiqua" w:hAnsi="Book Antiqua"/>
          <w:i/>
          <w:kern w:val="2"/>
          <w:lang w:eastAsia="zh-CN"/>
        </w:rPr>
        <w:t>P</w:t>
      </w:r>
      <w:r w:rsidRPr="00112AEF">
        <w:rPr>
          <w:rFonts w:ascii="Book Antiqua" w:hAnsi="Book Antiqua"/>
          <w:kern w:val="2"/>
          <w:lang w:eastAsia="zh-CN"/>
        </w:rPr>
        <w:t xml:space="preserve"> = 0.002) and longer </w:t>
      </w:r>
      <w:r w:rsidRPr="00112AEF">
        <w:rPr>
          <w:rFonts w:ascii="Book Antiqua" w:hAnsi="Book Antiqua"/>
          <w:kern w:val="2"/>
          <w:u w:color="000000"/>
        </w:rPr>
        <w:t>overall survival</w:t>
      </w:r>
      <w:r w:rsidRPr="00112AEF">
        <w:rPr>
          <w:rFonts w:ascii="Book Antiqua" w:hAnsi="Book Antiqua"/>
          <w:kern w:val="2"/>
          <w:lang w:eastAsia="zh-CN"/>
        </w:rPr>
        <w:t xml:space="preserve"> </w:t>
      </w:r>
      <w:r w:rsidRPr="00112AEF">
        <w:rPr>
          <w:rFonts w:ascii="Book Antiqua" w:eastAsia="宋体" w:hAnsi="Book Antiqua"/>
          <w:kern w:val="2"/>
          <w:lang w:eastAsia="zh-CN"/>
        </w:rPr>
        <w:t>[</w:t>
      </w:r>
      <w:r w:rsidRPr="00112AEF">
        <w:rPr>
          <w:rFonts w:ascii="Book Antiqua" w:eastAsia="宋体" w:hAnsi="Book Antiqua" w:cs="Arial"/>
          <w:kern w:val="2"/>
          <w:lang w:eastAsia="zh-CN"/>
        </w:rPr>
        <w:t>h</w:t>
      </w:r>
      <w:r w:rsidRPr="00112AEF">
        <w:rPr>
          <w:rFonts w:ascii="Book Antiqua" w:hAnsi="Book Antiqua" w:cs="Arial"/>
          <w:kern w:val="2"/>
          <w:lang w:eastAsia="ja-JP"/>
        </w:rPr>
        <w:t>azard ratio</w:t>
      </w:r>
      <w:r w:rsidRPr="00112AEF">
        <w:rPr>
          <w:rFonts w:ascii="Book Antiqua" w:hAnsi="Book Antiqua"/>
          <w:kern w:val="2"/>
          <w:lang w:eastAsia="zh-CN"/>
        </w:rPr>
        <w:t xml:space="preserve">: 0.267). These results are in concordance with those of previous studies. In </w:t>
      </w:r>
      <w:r>
        <w:rPr>
          <w:rFonts w:ascii="Book Antiqua" w:eastAsia="宋体" w:hAnsi="Book Antiqua"/>
          <w:kern w:val="2"/>
          <w:lang w:eastAsia="zh-CN"/>
        </w:rPr>
        <w:t>this</w:t>
      </w:r>
      <w:r w:rsidRPr="00112AEF">
        <w:rPr>
          <w:rFonts w:ascii="Book Antiqua" w:hAnsi="Book Antiqua"/>
          <w:kern w:val="2"/>
          <w:lang w:eastAsia="zh-CN"/>
        </w:rPr>
        <w:t xml:space="preserve"> study, hypoalbuminemia was related to poor prognosis; this can be interpreted as a sign of progression of liver disease. In </w:t>
      </w:r>
      <w:r>
        <w:rPr>
          <w:rFonts w:ascii="Book Antiqua" w:eastAsia="宋体" w:hAnsi="Book Antiqua"/>
          <w:kern w:val="2"/>
          <w:lang w:eastAsia="zh-CN"/>
        </w:rPr>
        <w:t>this</w:t>
      </w:r>
      <w:r w:rsidRPr="00112AEF">
        <w:rPr>
          <w:rFonts w:ascii="Book Antiqua" w:hAnsi="Book Antiqua"/>
          <w:kern w:val="2"/>
          <w:lang w:eastAsia="zh-CN"/>
        </w:rPr>
        <w:t xml:space="preserve"> study, hypoalbuminemia was related to poor prognosis; this can be interpreted as a sign of progression of liver disease. In previous sorafenib studies, patients with lower pretreatment serum albumin levels had a greater risk of treatment discontinuation and poor prognosis.</w:t>
      </w:r>
      <w:r w:rsidRPr="00112AEF">
        <w:rPr>
          <w:rFonts w:ascii="Book Antiqua" w:hAnsi="Book Antiqua"/>
          <w:kern w:val="2"/>
          <w:lang w:eastAsia="ja-JP"/>
        </w:rPr>
        <w:t xml:space="preserve"> </w:t>
      </w:r>
      <w:r>
        <w:rPr>
          <w:rFonts w:ascii="Book Antiqua" w:eastAsia="宋体" w:hAnsi="Book Antiqua"/>
          <w:kern w:val="2"/>
          <w:lang w:eastAsia="zh-CN"/>
        </w:rPr>
        <w:t>This</w:t>
      </w:r>
      <w:r w:rsidRPr="00112AEF">
        <w:rPr>
          <w:rFonts w:ascii="Book Antiqua" w:hAnsi="Book Antiqua"/>
          <w:kern w:val="2"/>
          <w:lang w:eastAsia="ja-JP"/>
        </w:rPr>
        <w:t xml:space="preserve"> nursing intervention program consisted of education on self-monitoring and AEs management and telephone follow-up. Improved management of AEs or removal of anxiety by telephone follow-up may contribute to these results. </w:t>
      </w:r>
    </w:p>
    <w:p w:rsidR="00AD473F" w:rsidRPr="00112AEF" w:rsidRDefault="00AD473F" w:rsidP="002F5E25">
      <w:pPr>
        <w:widowControl w:val="0"/>
        <w:spacing w:line="360" w:lineRule="auto"/>
        <w:jc w:val="both"/>
        <w:rPr>
          <w:rFonts w:ascii="Book Antiqua" w:hAnsi="Book Antiqua"/>
          <w:b/>
          <w:i/>
          <w:kern w:val="2"/>
          <w:lang w:eastAsia="zh-CN"/>
        </w:rPr>
      </w:pPr>
    </w:p>
    <w:p w:rsidR="00AD473F" w:rsidRPr="00112AEF" w:rsidRDefault="00AD473F" w:rsidP="00B918AA">
      <w:pPr>
        <w:spacing w:line="360" w:lineRule="auto"/>
        <w:rPr>
          <w:rFonts w:ascii="Book Antiqua" w:hAnsi="Book Antiqua"/>
          <w:b/>
          <w:i/>
        </w:rPr>
      </w:pPr>
      <w:r w:rsidRPr="00112AEF">
        <w:rPr>
          <w:rFonts w:ascii="Book Antiqua" w:hAnsi="Book Antiqua"/>
          <w:b/>
          <w:i/>
        </w:rPr>
        <w:t>Applications</w:t>
      </w:r>
    </w:p>
    <w:p w:rsidR="00AD473F" w:rsidRPr="00112AEF" w:rsidRDefault="00AD473F" w:rsidP="002F5E25">
      <w:pPr>
        <w:widowControl w:val="0"/>
        <w:spacing w:line="360" w:lineRule="auto"/>
        <w:jc w:val="both"/>
        <w:rPr>
          <w:rFonts w:ascii="Book Antiqua" w:hAnsi="Book Antiqua"/>
          <w:kern w:val="2"/>
          <w:lang w:eastAsia="ja-JP"/>
        </w:rPr>
      </w:pPr>
      <w:r w:rsidRPr="00112AEF">
        <w:rPr>
          <w:rFonts w:ascii="Book Antiqua" w:eastAsia="宋体" w:hAnsi="Book Antiqua"/>
          <w:kern w:val="2"/>
          <w:lang w:eastAsia="zh-CN"/>
        </w:rPr>
        <w:t xml:space="preserve">This </w:t>
      </w:r>
      <w:r w:rsidRPr="00112AEF">
        <w:rPr>
          <w:rFonts w:ascii="Book Antiqua" w:hAnsi="Book Antiqua"/>
          <w:kern w:val="2"/>
          <w:lang w:eastAsia="ja-JP"/>
        </w:rPr>
        <w:t xml:space="preserve">study revealed that skin toxicity may be a surrogate marker for preferable effects of sorafenib in the management of advanced HCC. Moreover, nursing intervention </w:t>
      </w:r>
      <w:r w:rsidRPr="00112AEF">
        <w:rPr>
          <w:rFonts w:ascii="Book Antiqua" w:hAnsi="Book Antiqua"/>
          <w:kern w:val="2"/>
          <w:lang w:eastAsia="ja-JP"/>
        </w:rPr>
        <w:lastRenderedPageBreak/>
        <w:t xml:space="preserve">significantly contributed to treatment adherence. Establishment of better nursing intervention programs that can maintain adherence by controlling serious AEs is important in maximizing the efficacy of this oral anticancer drug. </w:t>
      </w:r>
    </w:p>
    <w:p w:rsidR="00AD473F" w:rsidRPr="00112AEF" w:rsidRDefault="00AD473F" w:rsidP="002F5E25">
      <w:pPr>
        <w:widowControl w:val="0"/>
        <w:spacing w:line="360" w:lineRule="auto"/>
        <w:jc w:val="both"/>
        <w:rPr>
          <w:rFonts w:ascii="Book Antiqua" w:hAnsi="Book Antiqua"/>
          <w:b/>
          <w:i/>
          <w:kern w:val="2"/>
          <w:lang w:eastAsia="zh-CN"/>
        </w:rPr>
      </w:pPr>
    </w:p>
    <w:p w:rsidR="00AD473F" w:rsidRPr="00112AEF" w:rsidRDefault="00AD473F" w:rsidP="00B918AA">
      <w:pPr>
        <w:spacing w:line="360" w:lineRule="auto"/>
        <w:rPr>
          <w:rFonts w:ascii="Book Antiqua" w:hAnsi="Book Antiqua"/>
          <w:b/>
          <w:i/>
        </w:rPr>
      </w:pPr>
      <w:r w:rsidRPr="00112AEF">
        <w:rPr>
          <w:rFonts w:ascii="Book Antiqua" w:hAnsi="Book Antiqua"/>
          <w:b/>
          <w:i/>
        </w:rPr>
        <w:t>Terminology</w:t>
      </w:r>
    </w:p>
    <w:p w:rsidR="00AD473F" w:rsidRPr="00112AEF" w:rsidRDefault="00AD473F" w:rsidP="002F5E25">
      <w:pPr>
        <w:widowControl w:val="0"/>
        <w:spacing w:line="360" w:lineRule="auto"/>
        <w:jc w:val="both"/>
        <w:rPr>
          <w:rFonts w:ascii="Book Antiqua" w:hAnsi="Book Antiqua"/>
          <w:kern w:val="2"/>
          <w:lang w:eastAsia="zh-CN"/>
        </w:rPr>
      </w:pPr>
      <w:r w:rsidRPr="00112AEF">
        <w:rPr>
          <w:rFonts w:ascii="Book Antiqua" w:hAnsi="Book Antiqua"/>
          <w:kern w:val="2"/>
          <w:lang w:eastAsia="zh-CN"/>
        </w:rPr>
        <w:t>Sorafenib, an oral multikinase inhibitor, is currently used as a standard therapeutic option for advanced HCC.</w:t>
      </w:r>
      <w:r w:rsidRPr="00112AEF">
        <w:rPr>
          <w:rFonts w:ascii="Book Antiqua" w:hAnsi="Book Antiqua"/>
          <w:kern w:val="2"/>
          <w:lang w:eastAsia="ja-JP"/>
        </w:rPr>
        <w:t xml:space="preserve"> </w:t>
      </w:r>
      <w:r w:rsidRPr="00112AEF">
        <w:rPr>
          <w:rFonts w:ascii="Book Antiqua" w:hAnsi="Book Antiqua"/>
          <w:kern w:val="2"/>
          <w:lang w:eastAsia="zh-CN"/>
        </w:rPr>
        <w:t>Sorafenib exerts anticancer effects by inhibiting the serine–threonine kinases Raf-1 (c-Raf) and B-Raf, and the receptor tyrosine kinase activity of the vascular endothelial growth factor receptors 1, 2, and 3 and platelet-derived growth factor receptor</w:t>
      </w:r>
      <w:r w:rsidRPr="00112AEF">
        <w:rPr>
          <w:rFonts w:ascii="Book Antiqua" w:eastAsia="宋体" w:hAnsi="Book Antiqua"/>
          <w:kern w:val="2"/>
          <w:lang w:eastAsia="zh-CN"/>
        </w:rPr>
        <w:t xml:space="preserve"> </w:t>
      </w:r>
      <w:r w:rsidRPr="00112AEF">
        <w:rPr>
          <w:rFonts w:ascii="Book Antiqua" w:hAnsi="Book Antiqua"/>
          <w:kern w:val="2"/>
          <w:lang w:eastAsia="zh-CN"/>
        </w:rPr>
        <w:t xml:space="preserve">â. </w:t>
      </w:r>
    </w:p>
    <w:p w:rsidR="00AD473F" w:rsidRPr="00112AEF" w:rsidRDefault="00AD473F" w:rsidP="002F5E25">
      <w:pPr>
        <w:widowControl w:val="0"/>
        <w:spacing w:line="360" w:lineRule="auto"/>
        <w:jc w:val="both"/>
        <w:rPr>
          <w:rFonts w:ascii="Book Antiqua" w:hAnsi="Book Antiqua"/>
          <w:b/>
          <w:i/>
          <w:kern w:val="2"/>
          <w:lang w:eastAsia="zh-CN"/>
        </w:rPr>
      </w:pPr>
    </w:p>
    <w:p w:rsidR="00AD473F" w:rsidRPr="00112AEF" w:rsidRDefault="00AD473F" w:rsidP="00B918AA">
      <w:pPr>
        <w:spacing w:line="360" w:lineRule="auto"/>
        <w:rPr>
          <w:rFonts w:ascii="Book Antiqua" w:hAnsi="Book Antiqua"/>
          <w:b/>
          <w:i/>
        </w:rPr>
      </w:pPr>
      <w:r w:rsidRPr="00112AEF">
        <w:rPr>
          <w:rFonts w:ascii="Book Antiqua" w:hAnsi="Book Antiqua"/>
          <w:b/>
          <w:i/>
        </w:rPr>
        <w:t>Peer review</w:t>
      </w:r>
    </w:p>
    <w:p w:rsidR="00AD473F" w:rsidRPr="00E104ED" w:rsidRDefault="00AD473F" w:rsidP="00150DB3">
      <w:pPr>
        <w:widowControl w:val="0"/>
        <w:spacing w:line="360" w:lineRule="auto"/>
        <w:jc w:val="both"/>
        <w:rPr>
          <w:rFonts w:ascii="Book Antiqua" w:eastAsia="宋体" w:hAnsi="Book Antiqua"/>
          <w:kern w:val="2"/>
          <w:lang w:eastAsia="zh-CN"/>
        </w:rPr>
      </w:pPr>
      <w:r w:rsidRPr="00112AEF">
        <w:rPr>
          <w:rFonts w:ascii="Book Antiqua" w:hAnsi="Book Antiqua"/>
          <w:kern w:val="2"/>
          <w:lang w:eastAsia="ja-JP"/>
        </w:rPr>
        <w:t>In this study, the authors reported that significant skin toxicity(&gt;</w:t>
      </w:r>
      <w:r w:rsidRPr="00112AEF">
        <w:rPr>
          <w:rFonts w:ascii="Book Antiqua" w:eastAsia="宋体" w:hAnsi="Book Antiqua"/>
          <w:kern w:val="2"/>
          <w:lang w:eastAsia="zh-CN"/>
        </w:rPr>
        <w:t xml:space="preserve"> </w:t>
      </w:r>
      <w:r w:rsidRPr="00112AEF">
        <w:rPr>
          <w:rFonts w:ascii="Book Antiqua" w:hAnsi="Book Antiqua"/>
          <w:kern w:val="2"/>
          <w:lang w:eastAsia="ja-JP"/>
        </w:rPr>
        <w:t>grade 2), yourger age (&lt;</w:t>
      </w:r>
      <w:r w:rsidRPr="00112AEF">
        <w:rPr>
          <w:rFonts w:ascii="Book Antiqua" w:eastAsia="宋体" w:hAnsi="Book Antiqua"/>
          <w:kern w:val="2"/>
          <w:lang w:eastAsia="zh-CN"/>
        </w:rPr>
        <w:t xml:space="preserve"> </w:t>
      </w:r>
      <w:r w:rsidRPr="00112AEF">
        <w:rPr>
          <w:rFonts w:ascii="Book Antiqua" w:hAnsi="Book Antiqua"/>
          <w:kern w:val="2"/>
          <w:lang w:eastAsia="ja-JP"/>
        </w:rPr>
        <w:t>70 years), and absence of hypoalbuminemia were associated with better overall survival. Significant skin toxicity and nursing intervention were associated with longer treatment duration.</w:t>
      </w:r>
      <w:r w:rsidRPr="00112AEF">
        <w:rPr>
          <w:rFonts w:ascii="Book Antiqua" w:hAnsi="Book Antiqua"/>
          <w:kern w:val="2"/>
          <w:lang w:eastAsia="zh-CN"/>
        </w:rPr>
        <w:t xml:space="preserve"> This paper refers to skin toxicity as predictor of efficacy to </w:t>
      </w:r>
      <w:r w:rsidRPr="00112AEF">
        <w:rPr>
          <w:rFonts w:ascii="Book Antiqua" w:eastAsia="宋体" w:hAnsi="Book Antiqua"/>
          <w:kern w:val="2"/>
          <w:lang w:eastAsia="zh-CN"/>
        </w:rPr>
        <w:t>s</w:t>
      </w:r>
      <w:r w:rsidRPr="00112AEF">
        <w:rPr>
          <w:rFonts w:ascii="Book Antiqua" w:hAnsi="Book Antiqua"/>
          <w:kern w:val="2"/>
          <w:lang w:eastAsia="zh-CN"/>
        </w:rPr>
        <w:t xml:space="preserve">orafenib in patients with advanced HCC. The paper is of interest since it gives important clues for better selection of patients who may benefit at best from treatment with </w:t>
      </w:r>
      <w:r w:rsidRPr="00112AEF">
        <w:rPr>
          <w:rFonts w:ascii="Book Antiqua" w:eastAsia="宋体" w:hAnsi="Book Antiqua"/>
          <w:kern w:val="2"/>
          <w:lang w:eastAsia="zh-CN"/>
        </w:rPr>
        <w:t>s</w:t>
      </w:r>
      <w:r w:rsidRPr="00112AEF">
        <w:rPr>
          <w:rFonts w:ascii="Book Antiqua" w:hAnsi="Book Antiqua"/>
          <w:kern w:val="2"/>
          <w:lang w:eastAsia="zh-CN"/>
        </w:rPr>
        <w:t>orafenib.</w:t>
      </w:r>
      <w:bookmarkEnd w:id="86"/>
    </w:p>
    <w:p w:rsidR="00AD473F" w:rsidRPr="00112AEF" w:rsidRDefault="00AD473F" w:rsidP="002F5E25">
      <w:pPr>
        <w:widowControl w:val="0"/>
        <w:spacing w:line="360" w:lineRule="auto"/>
        <w:jc w:val="both"/>
        <w:outlineLvl w:val="0"/>
        <w:rPr>
          <w:rFonts w:ascii="Book Antiqua" w:eastAsia="宋体" w:hAnsi="Book Antiqua"/>
          <w:b/>
          <w:kern w:val="2"/>
          <w:u w:color="000000"/>
          <w:lang w:eastAsia="zh-CN"/>
        </w:rPr>
      </w:pPr>
    </w:p>
    <w:p w:rsidR="00AD473F" w:rsidRPr="00112AEF" w:rsidRDefault="00AD473F" w:rsidP="00B918AA">
      <w:pPr>
        <w:rPr>
          <w:rFonts w:ascii="Book Antiqua" w:eastAsia="宋体" w:hAnsi="Book Antiqua"/>
          <w:b/>
          <w:szCs w:val="21"/>
          <w:lang w:eastAsia="zh-CN"/>
        </w:rPr>
      </w:pPr>
      <w:r w:rsidRPr="00112AEF">
        <w:rPr>
          <w:rFonts w:ascii="Book Antiqua" w:hAnsi="Book Antiqua"/>
          <w:b/>
          <w:szCs w:val="21"/>
        </w:rPr>
        <w:t>REFERENCES</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1 </w:t>
      </w:r>
      <w:r w:rsidRPr="00112AEF">
        <w:rPr>
          <w:rFonts w:ascii="Book Antiqua" w:eastAsia="宋体" w:hAnsi="Book Antiqua" w:cs="宋体"/>
          <w:b/>
          <w:bCs/>
          <w:lang w:eastAsia="zh-CN"/>
        </w:rPr>
        <w:t>Gomaa AI</w:t>
      </w:r>
      <w:r w:rsidRPr="00112AEF">
        <w:rPr>
          <w:rFonts w:ascii="Book Antiqua" w:eastAsia="宋体" w:hAnsi="Book Antiqua" w:cs="宋体"/>
          <w:lang w:eastAsia="zh-CN"/>
        </w:rPr>
        <w:t>, Khan SA, Toledano MB, Waked I, Taylor-Robinson SD. Hepatocellular carcinoma: epidemiology, risk factors and pathogenesis. </w:t>
      </w:r>
      <w:r w:rsidRPr="00112AEF">
        <w:rPr>
          <w:rFonts w:ascii="Book Antiqua" w:eastAsia="宋体" w:hAnsi="Book Antiqua" w:cs="宋体"/>
          <w:i/>
          <w:iCs/>
          <w:lang w:eastAsia="zh-CN"/>
        </w:rPr>
        <w:t>World J Gastroenterol</w:t>
      </w:r>
      <w:r w:rsidRPr="00112AEF">
        <w:rPr>
          <w:rFonts w:ascii="Book Antiqua" w:eastAsia="宋体" w:hAnsi="Book Antiqua" w:cs="宋体"/>
          <w:lang w:eastAsia="zh-CN"/>
        </w:rPr>
        <w:t> 2008; </w:t>
      </w:r>
      <w:r w:rsidRPr="00112AEF">
        <w:rPr>
          <w:rFonts w:ascii="Book Antiqua" w:eastAsia="宋体" w:hAnsi="Book Antiqua" w:cs="宋体"/>
          <w:b/>
          <w:bCs/>
          <w:lang w:eastAsia="zh-CN"/>
        </w:rPr>
        <w:t>14</w:t>
      </w:r>
      <w:r w:rsidRPr="00112AEF">
        <w:rPr>
          <w:rFonts w:ascii="Book Antiqua" w:eastAsia="宋体" w:hAnsi="Book Antiqua" w:cs="宋体"/>
          <w:lang w:eastAsia="zh-CN"/>
        </w:rPr>
        <w:t>: 4300-4308 [PMID: 18666317 DOI: 10.3748/wjg.14.4300]</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2 </w:t>
      </w:r>
      <w:r w:rsidRPr="00112AEF">
        <w:rPr>
          <w:rFonts w:ascii="Book Antiqua" w:eastAsia="宋体" w:hAnsi="Book Antiqua" w:cs="宋体"/>
          <w:b/>
          <w:bCs/>
          <w:lang w:eastAsia="zh-CN"/>
        </w:rPr>
        <w:t>Jemal A</w:t>
      </w:r>
      <w:r w:rsidRPr="00112AEF">
        <w:rPr>
          <w:rFonts w:ascii="Book Antiqua" w:eastAsia="宋体" w:hAnsi="Book Antiqua" w:cs="宋体"/>
          <w:lang w:eastAsia="zh-CN"/>
        </w:rPr>
        <w:t>, Bray F, Center MM, Ferlay J, Ward E, Forman D. Global cancer statistics. </w:t>
      </w:r>
      <w:r w:rsidRPr="00112AEF">
        <w:rPr>
          <w:rFonts w:ascii="Book Antiqua" w:eastAsia="宋体" w:hAnsi="Book Antiqua" w:cs="宋体"/>
          <w:i/>
          <w:iCs/>
          <w:lang w:eastAsia="zh-CN"/>
        </w:rPr>
        <w:t xml:space="preserve">CA Cancer J Clin </w:t>
      </w:r>
      <w:r w:rsidRPr="00112AEF">
        <w:rPr>
          <w:rFonts w:ascii="Book Antiqua" w:eastAsia="宋体" w:hAnsi="Book Antiqua" w:cs="宋体"/>
          <w:lang w:eastAsia="zh-CN"/>
        </w:rPr>
        <w:t>2011; </w:t>
      </w:r>
      <w:r w:rsidRPr="00112AEF">
        <w:rPr>
          <w:rFonts w:ascii="Book Antiqua" w:eastAsia="宋体" w:hAnsi="Book Antiqua" w:cs="宋体"/>
          <w:b/>
          <w:bCs/>
          <w:lang w:eastAsia="zh-CN"/>
        </w:rPr>
        <w:t>61</w:t>
      </w:r>
      <w:r w:rsidRPr="00112AEF">
        <w:rPr>
          <w:rFonts w:ascii="Book Antiqua" w:eastAsia="宋体" w:hAnsi="Book Antiqua" w:cs="宋体"/>
          <w:lang w:eastAsia="zh-CN"/>
        </w:rPr>
        <w:t>: 69-90 [PMID: 21296855 DOI: 10.3322/caac.20107]</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3 </w:t>
      </w:r>
      <w:r w:rsidRPr="00112AEF">
        <w:rPr>
          <w:rFonts w:ascii="Book Antiqua" w:eastAsia="宋体" w:hAnsi="Book Antiqua" w:cs="宋体"/>
          <w:b/>
          <w:bCs/>
          <w:lang w:eastAsia="zh-CN"/>
        </w:rPr>
        <w:t>Ochiai T</w:t>
      </w:r>
      <w:r w:rsidRPr="00112AEF">
        <w:rPr>
          <w:rFonts w:ascii="Book Antiqua" w:eastAsia="宋体" w:hAnsi="Book Antiqua" w:cs="宋体"/>
          <w:lang w:eastAsia="zh-CN"/>
        </w:rPr>
        <w:t>, Ikoma H, Okamoto K, Kokuba Y, Sonoyama T, Otsuji E. Clinicopathologic features and risk factors for extrahepatic recurrences of hepatocellular carcinoma after curative resection. </w:t>
      </w:r>
      <w:r w:rsidRPr="00112AEF">
        <w:rPr>
          <w:rFonts w:ascii="Book Antiqua" w:eastAsia="宋体" w:hAnsi="Book Antiqua" w:cs="宋体"/>
          <w:i/>
          <w:iCs/>
          <w:lang w:eastAsia="zh-CN"/>
        </w:rPr>
        <w:t>World J Surg</w:t>
      </w:r>
      <w:r w:rsidRPr="00112AEF">
        <w:rPr>
          <w:rFonts w:ascii="Book Antiqua" w:eastAsia="宋体" w:hAnsi="Book Antiqua" w:cs="宋体"/>
          <w:lang w:eastAsia="zh-CN"/>
        </w:rPr>
        <w:t> 2012; </w:t>
      </w:r>
      <w:r w:rsidRPr="00112AEF">
        <w:rPr>
          <w:rFonts w:ascii="Book Antiqua" w:eastAsia="宋体" w:hAnsi="Book Antiqua" w:cs="宋体"/>
          <w:b/>
          <w:bCs/>
          <w:lang w:eastAsia="zh-CN"/>
        </w:rPr>
        <w:t>36</w:t>
      </w:r>
      <w:r w:rsidRPr="00112AEF">
        <w:rPr>
          <w:rFonts w:ascii="Book Antiqua" w:eastAsia="宋体" w:hAnsi="Book Antiqua" w:cs="宋体"/>
          <w:lang w:eastAsia="zh-CN"/>
        </w:rPr>
        <w:t>: 136-143 [PMID: 22051887 DOI: 10.1007/s00268-011-1317-y]</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4 </w:t>
      </w:r>
      <w:r w:rsidRPr="00112AEF">
        <w:rPr>
          <w:rFonts w:ascii="Book Antiqua" w:eastAsia="宋体" w:hAnsi="Book Antiqua" w:cs="宋体"/>
          <w:b/>
          <w:bCs/>
          <w:lang w:eastAsia="zh-CN"/>
        </w:rPr>
        <w:t>Bruix J</w:t>
      </w:r>
      <w:r w:rsidRPr="00112AEF">
        <w:rPr>
          <w:rFonts w:ascii="Book Antiqua" w:eastAsia="宋体" w:hAnsi="Book Antiqua" w:cs="宋体"/>
          <w:lang w:eastAsia="zh-CN"/>
        </w:rPr>
        <w:t>, Sherman M. Management of hepatocellular carcinoma: an update. </w:t>
      </w:r>
      <w:r w:rsidRPr="00112AEF">
        <w:rPr>
          <w:rFonts w:ascii="Book Antiqua" w:eastAsia="宋体" w:hAnsi="Book Antiqua" w:cs="宋体"/>
          <w:i/>
          <w:iCs/>
          <w:lang w:eastAsia="zh-CN"/>
        </w:rPr>
        <w:t>Hepatology</w:t>
      </w:r>
      <w:r w:rsidRPr="00112AEF">
        <w:rPr>
          <w:rFonts w:ascii="Book Antiqua" w:eastAsia="宋体" w:hAnsi="Book Antiqua" w:cs="宋体"/>
          <w:lang w:eastAsia="zh-CN"/>
        </w:rPr>
        <w:t> 2011; </w:t>
      </w:r>
      <w:r w:rsidRPr="00112AEF">
        <w:rPr>
          <w:rFonts w:ascii="Book Antiqua" w:eastAsia="宋体" w:hAnsi="Book Antiqua" w:cs="宋体"/>
          <w:b/>
          <w:bCs/>
          <w:lang w:eastAsia="zh-CN"/>
        </w:rPr>
        <w:t>53</w:t>
      </w:r>
      <w:r w:rsidRPr="00112AEF">
        <w:rPr>
          <w:rFonts w:ascii="Book Antiqua" w:eastAsia="宋体" w:hAnsi="Book Antiqua" w:cs="宋体"/>
          <w:lang w:eastAsia="zh-CN"/>
        </w:rPr>
        <w:t>: 1020-1022 [PMID: 21374666 DOI: 10.1002/hep.24199]</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lastRenderedPageBreak/>
        <w:t>5 </w:t>
      </w:r>
      <w:r w:rsidRPr="00112AEF">
        <w:rPr>
          <w:rFonts w:ascii="Book Antiqua" w:eastAsia="宋体" w:hAnsi="Book Antiqua" w:cs="宋体"/>
          <w:b/>
          <w:bCs/>
          <w:lang w:eastAsia="zh-CN"/>
        </w:rPr>
        <w:t>Kudo M</w:t>
      </w:r>
      <w:r w:rsidRPr="00112AEF">
        <w:rPr>
          <w:rFonts w:ascii="Book Antiqua" w:eastAsia="宋体" w:hAnsi="Book Antiqua" w:cs="宋体"/>
          <w:lang w:eastAsia="zh-CN"/>
        </w:rPr>
        <w:t>, Izumi N, Kokudo N, Matsui O, Sakamoto M, Nakashima O, Kojiro M, Makuuchi M. Management of hepatocellular carcinoma in Japan: Consensus-Based Clinical Practice Guidelines proposed by the Japan Society of Hepatology (JSH) 2010 updated version. </w:t>
      </w:r>
      <w:r w:rsidRPr="00112AEF">
        <w:rPr>
          <w:rFonts w:ascii="Book Antiqua" w:eastAsia="宋体" w:hAnsi="Book Antiqua" w:cs="宋体"/>
          <w:i/>
          <w:iCs/>
          <w:lang w:eastAsia="zh-CN"/>
        </w:rPr>
        <w:t>Dig Dis</w:t>
      </w:r>
      <w:r w:rsidRPr="00112AEF">
        <w:rPr>
          <w:rFonts w:ascii="Book Antiqua" w:eastAsia="宋体" w:hAnsi="Book Antiqua" w:cs="宋体"/>
          <w:lang w:eastAsia="zh-CN"/>
        </w:rPr>
        <w:t> 2011; </w:t>
      </w:r>
      <w:r w:rsidRPr="00112AEF">
        <w:rPr>
          <w:rFonts w:ascii="Book Antiqua" w:eastAsia="宋体" w:hAnsi="Book Antiqua" w:cs="宋体"/>
          <w:b/>
          <w:bCs/>
          <w:lang w:eastAsia="zh-CN"/>
        </w:rPr>
        <w:t>29</w:t>
      </w:r>
      <w:r w:rsidRPr="00112AEF">
        <w:rPr>
          <w:rFonts w:ascii="Book Antiqua" w:eastAsia="宋体" w:hAnsi="Book Antiqua" w:cs="宋体"/>
          <w:lang w:eastAsia="zh-CN"/>
        </w:rPr>
        <w:t>: 339-364 [PMID: 21829027 DOI: 10.1159/000327577]</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6 </w:t>
      </w:r>
      <w:r w:rsidRPr="00112AEF">
        <w:rPr>
          <w:rFonts w:ascii="Book Antiqua" w:eastAsia="宋体" w:hAnsi="Book Antiqua" w:cs="宋体"/>
          <w:b/>
          <w:bCs/>
          <w:lang w:eastAsia="zh-CN"/>
        </w:rPr>
        <w:t>Kokudo N</w:t>
      </w:r>
      <w:r w:rsidRPr="00112AEF">
        <w:rPr>
          <w:rFonts w:ascii="Book Antiqua" w:eastAsia="宋体" w:hAnsi="Book Antiqua" w:cs="宋体"/>
          <w:lang w:eastAsia="zh-CN"/>
        </w:rPr>
        <w:t>, Nakajima J, Hatano E, Numata K. Current status of hepatocellular carcinoma treatment in Japan: practical use of sorafenib (Nexavar®). </w:t>
      </w:r>
      <w:r w:rsidRPr="00112AEF">
        <w:rPr>
          <w:rFonts w:ascii="Book Antiqua" w:eastAsia="宋体" w:hAnsi="Book Antiqua" w:cs="宋体"/>
          <w:i/>
          <w:iCs/>
          <w:lang w:eastAsia="zh-CN"/>
        </w:rPr>
        <w:t>Clin Drug Investig</w:t>
      </w:r>
      <w:r w:rsidRPr="00112AEF">
        <w:rPr>
          <w:rFonts w:ascii="Book Antiqua" w:eastAsia="宋体" w:hAnsi="Book Antiqua" w:cs="宋体"/>
          <w:lang w:eastAsia="zh-CN"/>
        </w:rPr>
        <w:t> 2012; </w:t>
      </w:r>
      <w:r w:rsidRPr="00112AEF">
        <w:rPr>
          <w:rFonts w:ascii="Book Antiqua" w:eastAsia="宋体" w:hAnsi="Book Antiqua" w:cs="宋体"/>
          <w:b/>
          <w:bCs/>
          <w:lang w:eastAsia="zh-CN"/>
        </w:rPr>
        <w:t>32 Suppl 2</w:t>
      </w:r>
      <w:r w:rsidRPr="00112AEF">
        <w:rPr>
          <w:rFonts w:ascii="Book Antiqua" w:eastAsia="宋体" w:hAnsi="Book Antiqua" w:cs="宋体"/>
          <w:lang w:eastAsia="zh-CN"/>
        </w:rPr>
        <w:t>: 25-35 [PMID: 22873625 DOI: 10.2165/1163023-S0-000000000-00000]</w:t>
      </w:r>
    </w:p>
    <w:p w:rsidR="00AD473F" w:rsidRPr="00112AEF" w:rsidRDefault="00AD473F" w:rsidP="00D7396A">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7 EASL-EORTC clinical practice guidelines: management of hepatocellular carcinoma. </w:t>
      </w:r>
      <w:r w:rsidRPr="00112AEF">
        <w:rPr>
          <w:rFonts w:ascii="Book Antiqua" w:eastAsia="宋体" w:hAnsi="Book Antiqua" w:cs="宋体"/>
          <w:i/>
          <w:iCs/>
          <w:lang w:eastAsia="zh-CN"/>
        </w:rPr>
        <w:t>Eur J Cancer</w:t>
      </w:r>
      <w:r w:rsidRPr="00112AEF">
        <w:rPr>
          <w:rFonts w:ascii="Book Antiqua" w:eastAsia="宋体" w:hAnsi="Book Antiqua" w:cs="宋体"/>
          <w:lang w:eastAsia="zh-CN"/>
        </w:rPr>
        <w:t> 2012; </w:t>
      </w:r>
      <w:r w:rsidRPr="00112AEF">
        <w:rPr>
          <w:rFonts w:ascii="Book Antiqua" w:eastAsia="宋体" w:hAnsi="Book Antiqua" w:cs="宋体"/>
          <w:b/>
          <w:bCs/>
          <w:lang w:eastAsia="zh-CN"/>
        </w:rPr>
        <w:t>48</w:t>
      </w:r>
      <w:r w:rsidRPr="00112AEF">
        <w:rPr>
          <w:rFonts w:ascii="Book Antiqua" w:eastAsia="宋体" w:hAnsi="Book Antiqua" w:cs="宋体"/>
          <w:lang w:eastAsia="zh-CN"/>
        </w:rPr>
        <w:t>: 599-641 [PMID: 22424278 DOI: 10.1016/j.ejca.2011.12.021]</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8 </w:t>
      </w:r>
      <w:r w:rsidRPr="00112AEF">
        <w:rPr>
          <w:rFonts w:ascii="Book Antiqua" w:eastAsia="宋体" w:hAnsi="Book Antiqua" w:cs="宋体"/>
          <w:b/>
          <w:bCs/>
          <w:lang w:eastAsia="zh-CN"/>
        </w:rPr>
        <w:t>Verslype C</w:t>
      </w:r>
      <w:r w:rsidRPr="00112AEF">
        <w:rPr>
          <w:rFonts w:ascii="Book Antiqua" w:eastAsia="宋体" w:hAnsi="Book Antiqua" w:cs="宋体"/>
          <w:lang w:eastAsia="zh-CN"/>
        </w:rPr>
        <w:t>, Rosmorduc O, Rougier P. Hepatocellular carcinoma: ESMO-ESDO Clinical Practice Guidelines for diagnosis, treatment and follow-up. </w:t>
      </w:r>
      <w:r w:rsidRPr="00112AEF">
        <w:rPr>
          <w:rFonts w:ascii="Book Antiqua" w:eastAsia="宋体" w:hAnsi="Book Antiqua" w:cs="宋体"/>
          <w:i/>
          <w:iCs/>
          <w:lang w:eastAsia="zh-CN"/>
        </w:rPr>
        <w:t>Ann Oncol</w:t>
      </w:r>
      <w:r w:rsidRPr="00112AEF">
        <w:rPr>
          <w:rFonts w:ascii="Book Antiqua" w:eastAsia="宋体" w:hAnsi="Book Antiqua" w:cs="宋体"/>
          <w:lang w:eastAsia="zh-CN"/>
        </w:rPr>
        <w:t> 2012; </w:t>
      </w:r>
      <w:r w:rsidRPr="00112AEF">
        <w:rPr>
          <w:rFonts w:ascii="Book Antiqua" w:eastAsia="宋体" w:hAnsi="Book Antiqua" w:cs="宋体"/>
          <w:b/>
          <w:bCs/>
          <w:lang w:eastAsia="zh-CN"/>
        </w:rPr>
        <w:t>23 Suppl 7</w:t>
      </w:r>
      <w:r w:rsidRPr="00112AEF">
        <w:rPr>
          <w:rFonts w:ascii="Book Antiqua" w:eastAsia="宋体" w:hAnsi="Book Antiqua" w:cs="宋体"/>
          <w:lang w:eastAsia="zh-CN"/>
        </w:rPr>
        <w:t>: vii41-vii48 [PMID: 22997453 DOI: 10.1093/annonc/mds225]</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9 </w:t>
      </w:r>
      <w:r w:rsidRPr="00112AEF">
        <w:rPr>
          <w:rFonts w:ascii="Book Antiqua" w:eastAsia="宋体" w:hAnsi="Book Antiqua" w:cs="宋体"/>
          <w:b/>
          <w:bCs/>
          <w:lang w:eastAsia="zh-CN"/>
        </w:rPr>
        <w:t>Llovet JM</w:t>
      </w:r>
      <w:r w:rsidRPr="00112AEF">
        <w:rPr>
          <w:rFonts w:ascii="Book Antiqua" w:eastAsia="宋体" w:hAnsi="Book Antiqua" w:cs="宋体"/>
          <w:lang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112AEF">
        <w:rPr>
          <w:rFonts w:ascii="Book Antiqua" w:eastAsia="宋体" w:hAnsi="Book Antiqua" w:cs="宋体"/>
          <w:i/>
          <w:iCs/>
          <w:lang w:eastAsia="zh-CN"/>
        </w:rPr>
        <w:t>N Engl J Med</w:t>
      </w:r>
      <w:r w:rsidRPr="00112AEF">
        <w:rPr>
          <w:rFonts w:ascii="Book Antiqua" w:eastAsia="宋体" w:hAnsi="Book Antiqua" w:cs="宋体"/>
          <w:lang w:eastAsia="zh-CN"/>
        </w:rPr>
        <w:t> 2008; </w:t>
      </w:r>
      <w:r w:rsidRPr="00112AEF">
        <w:rPr>
          <w:rFonts w:ascii="Book Antiqua" w:eastAsia="宋体" w:hAnsi="Book Antiqua" w:cs="宋体"/>
          <w:b/>
          <w:bCs/>
          <w:lang w:eastAsia="zh-CN"/>
        </w:rPr>
        <w:t>359</w:t>
      </w:r>
      <w:r w:rsidRPr="00112AEF">
        <w:rPr>
          <w:rFonts w:ascii="Book Antiqua" w:eastAsia="宋体" w:hAnsi="Book Antiqua" w:cs="宋体"/>
          <w:lang w:eastAsia="zh-CN"/>
        </w:rPr>
        <w:t>: 378-390 [PMID: 18650514 DOI: 10.1056/NEJMoa0708857]</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10 </w:t>
      </w:r>
      <w:r w:rsidRPr="00112AEF">
        <w:rPr>
          <w:rFonts w:ascii="Book Antiqua" w:eastAsia="宋体" w:hAnsi="Book Antiqua" w:cs="宋体"/>
          <w:b/>
          <w:bCs/>
          <w:lang w:eastAsia="zh-CN"/>
        </w:rPr>
        <w:t>Cheng AL</w:t>
      </w:r>
      <w:r w:rsidRPr="00112AEF">
        <w:rPr>
          <w:rFonts w:ascii="Book Antiqua" w:eastAsia="宋体" w:hAnsi="Book Antiqua" w:cs="宋体"/>
          <w:lang w:eastAsia="zh-CN"/>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112AEF">
        <w:rPr>
          <w:rFonts w:ascii="Book Antiqua" w:eastAsia="宋体" w:hAnsi="Book Antiqua" w:cs="宋体"/>
          <w:i/>
          <w:iCs/>
          <w:lang w:eastAsia="zh-CN"/>
        </w:rPr>
        <w:t>Lancet Oncol</w:t>
      </w:r>
      <w:r w:rsidRPr="00112AEF">
        <w:rPr>
          <w:rFonts w:ascii="Book Antiqua" w:eastAsia="宋体" w:hAnsi="Book Antiqua" w:cs="宋体"/>
          <w:lang w:eastAsia="zh-CN"/>
        </w:rPr>
        <w:t> 2009; </w:t>
      </w:r>
      <w:r w:rsidRPr="00112AEF">
        <w:rPr>
          <w:rFonts w:ascii="Book Antiqua" w:eastAsia="宋体" w:hAnsi="Book Antiqua" w:cs="宋体"/>
          <w:b/>
          <w:bCs/>
          <w:lang w:eastAsia="zh-CN"/>
        </w:rPr>
        <w:t>10</w:t>
      </w:r>
      <w:r w:rsidRPr="00112AEF">
        <w:rPr>
          <w:rFonts w:ascii="Book Antiqua" w:eastAsia="宋体" w:hAnsi="Book Antiqua" w:cs="宋体"/>
          <w:lang w:eastAsia="zh-CN"/>
        </w:rPr>
        <w:t>: 25-34 [PMID: 19095497 DOI: 10.1016/S1470-2045(08)70285-7]</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11 </w:t>
      </w:r>
      <w:r w:rsidRPr="00112AEF">
        <w:rPr>
          <w:rFonts w:ascii="Book Antiqua" w:eastAsia="宋体" w:hAnsi="Book Antiqua" w:cs="宋体"/>
          <w:b/>
          <w:bCs/>
          <w:lang w:eastAsia="zh-CN"/>
        </w:rPr>
        <w:t>Nakano M</w:t>
      </w:r>
      <w:r w:rsidRPr="00112AEF">
        <w:rPr>
          <w:rFonts w:ascii="Book Antiqua" w:eastAsia="宋体" w:hAnsi="Book Antiqua" w:cs="宋体"/>
          <w:lang w:eastAsia="zh-CN"/>
        </w:rPr>
        <w:t>, Tanaka M, Kuromatsu R, Nagamatsu H, Sakata K, Matsugaki S, Kajiwara M, Fukuizumi K, Tajiri N, Matsukuma N, Sakai T, Ono N, Yano Y, Koga H, Kurogi J, Takata A, Sumie S, Satani M, Yamada S, Niizeki T, Aino H, Iwamoto H, Torimura T, Sata M. Efficacy, safety, and survival factors for sorafenib treatment in Japanese patients with advanced hepatocellular carcinoma. </w:t>
      </w:r>
      <w:r w:rsidRPr="00112AEF">
        <w:rPr>
          <w:rFonts w:ascii="Book Antiqua" w:eastAsia="宋体" w:hAnsi="Book Antiqua" w:cs="宋体"/>
          <w:i/>
          <w:iCs/>
          <w:lang w:eastAsia="zh-CN"/>
        </w:rPr>
        <w:t>Oncology</w:t>
      </w:r>
      <w:r w:rsidRPr="00112AEF">
        <w:rPr>
          <w:rFonts w:ascii="Book Antiqua" w:eastAsia="宋体" w:hAnsi="Book Antiqua" w:cs="宋体"/>
          <w:lang w:eastAsia="zh-CN"/>
        </w:rPr>
        <w:t> 2013; </w:t>
      </w:r>
      <w:r w:rsidRPr="00112AEF">
        <w:rPr>
          <w:rFonts w:ascii="Book Antiqua" w:eastAsia="宋体" w:hAnsi="Book Antiqua" w:cs="宋体"/>
          <w:b/>
          <w:bCs/>
          <w:lang w:eastAsia="zh-CN"/>
        </w:rPr>
        <w:t>84</w:t>
      </w:r>
      <w:r w:rsidRPr="00112AEF">
        <w:rPr>
          <w:rFonts w:ascii="Book Antiqua" w:eastAsia="宋体" w:hAnsi="Book Antiqua" w:cs="宋体"/>
          <w:lang w:eastAsia="zh-CN"/>
        </w:rPr>
        <w:t>: 108-114 [PMID: 23147476 DOI: 10.1159/000342650]</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lastRenderedPageBreak/>
        <w:t>12 </w:t>
      </w:r>
      <w:r w:rsidRPr="00112AEF">
        <w:rPr>
          <w:rFonts w:ascii="Book Antiqua" w:eastAsia="宋体" w:hAnsi="Book Antiqua" w:cs="宋体"/>
          <w:b/>
          <w:bCs/>
          <w:lang w:eastAsia="zh-CN"/>
        </w:rPr>
        <w:t>Zhang X</w:t>
      </w:r>
      <w:r w:rsidRPr="00112AEF">
        <w:rPr>
          <w:rFonts w:ascii="Book Antiqua" w:eastAsia="宋体" w:hAnsi="Book Antiqua" w:cs="宋体"/>
          <w:lang w:eastAsia="zh-CN"/>
        </w:rPr>
        <w:t>, Yang XR, Huang XW, Wang WM, Shi RY, Xu Y, Wang Z, Qiu SJ, Fan J, Zhou J. Sorafenib in treatment of patients with advanced hepatocellular carcinoma: a systematic review. </w:t>
      </w:r>
      <w:r w:rsidRPr="00112AEF">
        <w:rPr>
          <w:rFonts w:ascii="Book Antiqua" w:eastAsia="宋体" w:hAnsi="Book Antiqua" w:cs="宋体"/>
          <w:i/>
          <w:iCs/>
          <w:lang w:eastAsia="zh-CN"/>
        </w:rPr>
        <w:t>Hepatobiliary Pancreat Dis Int</w:t>
      </w:r>
      <w:r w:rsidRPr="00112AEF">
        <w:rPr>
          <w:rFonts w:ascii="Book Antiqua" w:eastAsia="宋体" w:hAnsi="Book Antiqua" w:cs="宋体"/>
          <w:lang w:eastAsia="zh-CN"/>
        </w:rPr>
        <w:t> 2012; </w:t>
      </w:r>
      <w:r w:rsidRPr="00112AEF">
        <w:rPr>
          <w:rFonts w:ascii="Book Antiqua" w:eastAsia="宋体" w:hAnsi="Book Antiqua" w:cs="宋体"/>
          <w:b/>
          <w:bCs/>
          <w:lang w:eastAsia="zh-CN"/>
        </w:rPr>
        <w:t>11</w:t>
      </w:r>
      <w:r w:rsidRPr="00112AEF">
        <w:rPr>
          <w:rFonts w:ascii="Book Antiqua" w:eastAsia="宋体" w:hAnsi="Book Antiqua" w:cs="宋体"/>
          <w:lang w:eastAsia="zh-CN"/>
        </w:rPr>
        <w:t>: 458-466 [PMID: 23060390 DOI: 10.1016/S1499-3872(12)60209-4]</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13 </w:t>
      </w:r>
      <w:r w:rsidRPr="00112AEF">
        <w:rPr>
          <w:rFonts w:ascii="Book Antiqua" w:eastAsia="宋体" w:hAnsi="Book Antiqua" w:cs="宋体"/>
          <w:b/>
          <w:bCs/>
          <w:lang w:eastAsia="zh-CN"/>
        </w:rPr>
        <w:t>Estfan B</w:t>
      </w:r>
      <w:r w:rsidRPr="00112AEF">
        <w:rPr>
          <w:rFonts w:ascii="Book Antiqua" w:eastAsia="宋体" w:hAnsi="Book Antiqua" w:cs="宋体"/>
          <w:lang w:eastAsia="zh-CN"/>
        </w:rPr>
        <w:t>, Byrne M, Kim R. Sorafenib in advanced hepatocellular carcinoma: hypertension as a potential surrogate marker for efficacy. </w:t>
      </w:r>
      <w:r w:rsidRPr="00112AEF">
        <w:rPr>
          <w:rFonts w:ascii="Book Antiqua" w:eastAsia="宋体" w:hAnsi="Book Antiqua" w:cs="宋体"/>
          <w:i/>
          <w:iCs/>
          <w:lang w:eastAsia="zh-CN"/>
        </w:rPr>
        <w:t>Am J Clin Oncol</w:t>
      </w:r>
      <w:r w:rsidRPr="00112AEF">
        <w:rPr>
          <w:rFonts w:ascii="Book Antiqua" w:eastAsia="宋体" w:hAnsi="Book Antiqua" w:cs="宋体"/>
          <w:lang w:eastAsia="zh-CN"/>
        </w:rPr>
        <w:t> 2013; </w:t>
      </w:r>
      <w:r w:rsidRPr="00112AEF">
        <w:rPr>
          <w:rFonts w:ascii="Book Antiqua" w:eastAsia="宋体" w:hAnsi="Book Antiqua" w:cs="宋体"/>
          <w:b/>
          <w:bCs/>
          <w:lang w:eastAsia="zh-CN"/>
        </w:rPr>
        <w:t>36</w:t>
      </w:r>
      <w:r w:rsidRPr="00112AEF">
        <w:rPr>
          <w:rFonts w:ascii="Book Antiqua" w:eastAsia="宋体" w:hAnsi="Book Antiqua" w:cs="宋体"/>
          <w:lang w:eastAsia="zh-CN"/>
        </w:rPr>
        <w:t>: 319-324 [PMID: 22547010 DOI: 10.1097/COC.0b013e3182468039]</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14 </w:t>
      </w:r>
      <w:r w:rsidRPr="00112AEF">
        <w:rPr>
          <w:rFonts w:ascii="Book Antiqua" w:eastAsia="宋体" w:hAnsi="Book Antiqua" w:cs="宋体"/>
          <w:b/>
          <w:bCs/>
          <w:lang w:eastAsia="zh-CN"/>
        </w:rPr>
        <w:t>Koschny R</w:t>
      </w:r>
      <w:r w:rsidRPr="00112AEF">
        <w:rPr>
          <w:rFonts w:ascii="Book Antiqua" w:eastAsia="宋体" w:hAnsi="Book Antiqua" w:cs="宋体"/>
          <w:lang w:eastAsia="zh-CN"/>
        </w:rPr>
        <w:t>, Gotthardt D, Koehler C, Jaeger D, Stremmel W, Ganten TM. Diarrhea is a positive outcome predictor for sorafenib treatment of advanced hepatocellular carcinoma. </w:t>
      </w:r>
      <w:r w:rsidRPr="00112AEF">
        <w:rPr>
          <w:rFonts w:ascii="Book Antiqua" w:eastAsia="宋体" w:hAnsi="Book Antiqua" w:cs="宋体"/>
          <w:i/>
          <w:iCs/>
          <w:lang w:eastAsia="zh-CN"/>
        </w:rPr>
        <w:t>Oncology</w:t>
      </w:r>
      <w:r w:rsidRPr="00112AEF">
        <w:rPr>
          <w:rFonts w:ascii="Book Antiqua" w:eastAsia="宋体" w:hAnsi="Book Antiqua" w:cs="宋体"/>
          <w:lang w:eastAsia="zh-CN"/>
        </w:rPr>
        <w:t> 2013; </w:t>
      </w:r>
      <w:r w:rsidRPr="00112AEF">
        <w:rPr>
          <w:rFonts w:ascii="Book Antiqua" w:eastAsia="宋体" w:hAnsi="Book Antiqua" w:cs="宋体"/>
          <w:b/>
          <w:bCs/>
          <w:lang w:eastAsia="zh-CN"/>
        </w:rPr>
        <w:t>84</w:t>
      </w:r>
      <w:r w:rsidRPr="00112AEF">
        <w:rPr>
          <w:rFonts w:ascii="Book Antiqua" w:eastAsia="宋体" w:hAnsi="Book Antiqua" w:cs="宋体"/>
          <w:lang w:eastAsia="zh-CN"/>
        </w:rPr>
        <w:t>: 6-13 [PMID: 23075905 DOI: 10.1159/000342425]</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15 </w:t>
      </w:r>
      <w:r w:rsidRPr="00112AEF">
        <w:rPr>
          <w:rFonts w:ascii="Book Antiqua" w:eastAsia="宋体" w:hAnsi="Book Antiqua" w:cs="宋体"/>
          <w:b/>
          <w:bCs/>
          <w:lang w:eastAsia="zh-CN"/>
        </w:rPr>
        <w:t>Vincenzi B</w:t>
      </w:r>
      <w:r w:rsidRPr="00112AEF">
        <w:rPr>
          <w:rFonts w:ascii="Book Antiqua" w:eastAsia="宋体" w:hAnsi="Book Antiqua" w:cs="宋体"/>
          <w:lang w:eastAsia="zh-CN"/>
        </w:rPr>
        <w:t>, Santini D, Russo A, Addeo R, Giuliani F, Montella L, Rizzo S, Venditti O, Frezza AM, Caraglia M, Colucci G, Del Prete S, Tonini G. Early skin toxicity as a predictive factor for tumor control in hepatocellular carcinoma patients treated with sorafenib. </w:t>
      </w:r>
      <w:r w:rsidRPr="00112AEF">
        <w:rPr>
          <w:rFonts w:ascii="Book Antiqua" w:eastAsia="宋体" w:hAnsi="Book Antiqua" w:cs="宋体"/>
          <w:i/>
          <w:iCs/>
          <w:lang w:eastAsia="zh-CN"/>
        </w:rPr>
        <w:t>Oncologist</w:t>
      </w:r>
      <w:r w:rsidRPr="00112AEF">
        <w:rPr>
          <w:rFonts w:ascii="Book Antiqua" w:eastAsia="宋体" w:hAnsi="Book Antiqua" w:cs="宋体"/>
          <w:lang w:eastAsia="zh-CN"/>
        </w:rPr>
        <w:t> 2010; </w:t>
      </w:r>
      <w:r w:rsidRPr="00112AEF">
        <w:rPr>
          <w:rFonts w:ascii="Book Antiqua" w:eastAsia="宋体" w:hAnsi="Book Antiqua" w:cs="宋体"/>
          <w:b/>
          <w:bCs/>
          <w:lang w:eastAsia="zh-CN"/>
        </w:rPr>
        <w:t>15</w:t>
      </w:r>
      <w:r w:rsidRPr="00112AEF">
        <w:rPr>
          <w:rFonts w:ascii="Book Antiqua" w:eastAsia="宋体" w:hAnsi="Book Antiqua" w:cs="宋体"/>
          <w:lang w:eastAsia="zh-CN"/>
        </w:rPr>
        <w:t>: 85-92 [PMID: 20051477 DOI: 10.1634/theoncologist.2009-0143]</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16 </w:t>
      </w:r>
      <w:r w:rsidRPr="00112AEF">
        <w:rPr>
          <w:rFonts w:ascii="Book Antiqua" w:eastAsia="宋体" w:hAnsi="Book Antiqua" w:cs="宋体"/>
          <w:b/>
          <w:bCs/>
          <w:lang w:eastAsia="zh-CN"/>
        </w:rPr>
        <w:t>Otsuka T</w:t>
      </w:r>
      <w:r w:rsidRPr="00112AEF">
        <w:rPr>
          <w:rFonts w:ascii="Book Antiqua" w:eastAsia="宋体" w:hAnsi="Book Antiqua" w:cs="宋体"/>
          <w:lang w:eastAsia="zh-CN"/>
        </w:rPr>
        <w:t>, Eguchi Y, Kawazoe S, Yanagita K, Ario K, Kitahara K, Kawasoe H, Kato H, Mizuta T. Skin toxicities and survival in advanced hepatocellular carcinoma patients treated with sorafenib. </w:t>
      </w:r>
      <w:r w:rsidRPr="00112AEF">
        <w:rPr>
          <w:rFonts w:ascii="Book Antiqua" w:eastAsia="宋体" w:hAnsi="Book Antiqua" w:cs="宋体"/>
          <w:i/>
          <w:iCs/>
          <w:lang w:eastAsia="zh-CN"/>
        </w:rPr>
        <w:t>Hepatol Res</w:t>
      </w:r>
      <w:r w:rsidRPr="00112AEF">
        <w:rPr>
          <w:rFonts w:ascii="Book Antiqua" w:eastAsia="宋体" w:hAnsi="Book Antiqua" w:cs="宋体"/>
          <w:lang w:eastAsia="zh-CN"/>
        </w:rPr>
        <w:t> 2012; </w:t>
      </w:r>
      <w:r w:rsidRPr="00112AEF">
        <w:rPr>
          <w:rFonts w:ascii="Book Antiqua" w:eastAsia="宋体" w:hAnsi="Book Antiqua" w:cs="宋体"/>
          <w:b/>
          <w:bCs/>
          <w:lang w:eastAsia="zh-CN"/>
        </w:rPr>
        <w:t>42</w:t>
      </w:r>
      <w:r w:rsidRPr="00112AEF">
        <w:rPr>
          <w:rFonts w:ascii="Book Antiqua" w:eastAsia="宋体" w:hAnsi="Book Antiqua" w:cs="宋体"/>
          <w:lang w:eastAsia="zh-CN"/>
        </w:rPr>
        <w:t>: 879-886 [PMID: 22469363 DOI: 10.1111/j.1872-034X.2012.00991.x]</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17 </w:t>
      </w:r>
      <w:r w:rsidRPr="00112AEF">
        <w:rPr>
          <w:rFonts w:ascii="Book Antiqua" w:eastAsia="宋体" w:hAnsi="Book Antiqua" w:cs="宋体"/>
          <w:b/>
          <w:bCs/>
          <w:lang w:eastAsia="zh-CN"/>
        </w:rPr>
        <w:t>Senst BL</w:t>
      </w:r>
      <w:r w:rsidRPr="00112AEF">
        <w:rPr>
          <w:rFonts w:ascii="Book Antiqua" w:eastAsia="宋体" w:hAnsi="Book Antiqua" w:cs="宋体"/>
          <w:lang w:eastAsia="zh-CN"/>
        </w:rPr>
        <w:t>, Achusim LE, Genest RP, Cosentino LA, Ford CC, Little JA, Raybon SJ, Bates DW. Practical approach to determining costs and frequency of adverse drug events in a health care network. </w:t>
      </w:r>
      <w:r w:rsidRPr="00112AEF">
        <w:rPr>
          <w:rFonts w:ascii="Book Antiqua" w:eastAsia="宋体" w:hAnsi="Book Antiqua" w:cs="宋体"/>
          <w:i/>
          <w:iCs/>
          <w:lang w:eastAsia="zh-CN"/>
        </w:rPr>
        <w:t>Am J Health Syst Pharm</w:t>
      </w:r>
      <w:r w:rsidRPr="00112AEF">
        <w:rPr>
          <w:rFonts w:ascii="Book Antiqua" w:eastAsia="宋体" w:hAnsi="Book Antiqua" w:cs="宋体"/>
          <w:lang w:eastAsia="zh-CN"/>
        </w:rPr>
        <w:t> 2001; </w:t>
      </w:r>
      <w:r w:rsidRPr="00112AEF">
        <w:rPr>
          <w:rFonts w:ascii="Book Antiqua" w:eastAsia="宋体" w:hAnsi="Book Antiqua" w:cs="宋体"/>
          <w:b/>
          <w:bCs/>
          <w:lang w:eastAsia="zh-CN"/>
        </w:rPr>
        <w:t>58</w:t>
      </w:r>
      <w:r w:rsidRPr="00112AEF">
        <w:rPr>
          <w:rFonts w:ascii="Book Antiqua" w:eastAsia="宋体" w:hAnsi="Book Antiqua" w:cs="宋体"/>
          <w:lang w:eastAsia="zh-CN"/>
        </w:rPr>
        <w:t>: 1126-1132 [PMID: 11449856]</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18 </w:t>
      </w:r>
      <w:r w:rsidRPr="00112AEF">
        <w:rPr>
          <w:rFonts w:ascii="Book Antiqua" w:eastAsia="宋体" w:hAnsi="Book Antiqua" w:cs="宋体"/>
          <w:b/>
          <w:bCs/>
          <w:lang w:eastAsia="zh-CN"/>
        </w:rPr>
        <w:t>McDonnell PJ</w:t>
      </w:r>
      <w:r w:rsidRPr="00112AEF">
        <w:rPr>
          <w:rFonts w:ascii="Book Antiqua" w:eastAsia="宋体" w:hAnsi="Book Antiqua" w:cs="宋体"/>
          <w:lang w:eastAsia="zh-CN"/>
        </w:rPr>
        <w:t>, Jacobs MR. Hospital admissions resulting from preventable adverse drug reactions. </w:t>
      </w:r>
      <w:r w:rsidRPr="00112AEF">
        <w:rPr>
          <w:rFonts w:ascii="Book Antiqua" w:eastAsia="宋体" w:hAnsi="Book Antiqua" w:cs="宋体"/>
          <w:i/>
          <w:iCs/>
          <w:lang w:eastAsia="zh-CN"/>
        </w:rPr>
        <w:t>Ann Pharmacother</w:t>
      </w:r>
      <w:r w:rsidRPr="00112AEF">
        <w:rPr>
          <w:rFonts w:ascii="Book Antiqua" w:eastAsia="宋体" w:hAnsi="Book Antiqua" w:cs="宋体"/>
          <w:lang w:eastAsia="zh-CN"/>
        </w:rPr>
        <w:t> 2002; </w:t>
      </w:r>
      <w:r w:rsidRPr="00112AEF">
        <w:rPr>
          <w:rFonts w:ascii="Book Antiqua" w:eastAsia="宋体" w:hAnsi="Book Antiqua" w:cs="宋体"/>
          <w:b/>
          <w:bCs/>
          <w:lang w:eastAsia="zh-CN"/>
        </w:rPr>
        <w:t>36</w:t>
      </w:r>
      <w:r w:rsidRPr="00112AEF">
        <w:rPr>
          <w:rFonts w:ascii="Book Antiqua" w:eastAsia="宋体" w:hAnsi="Book Antiqua" w:cs="宋体"/>
          <w:lang w:eastAsia="zh-CN"/>
        </w:rPr>
        <w:t>: 1331-1336 [PMID: 12196047 DOI: 10.1345/aph.1A333]</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19 </w:t>
      </w:r>
      <w:r w:rsidRPr="00112AEF">
        <w:rPr>
          <w:rFonts w:ascii="Book Antiqua" w:eastAsia="宋体" w:hAnsi="Book Antiqua" w:cs="宋体"/>
          <w:b/>
          <w:bCs/>
          <w:lang w:eastAsia="zh-CN"/>
        </w:rPr>
        <w:t>Haynes RB</w:t>
      </w:r>
      <w:r w:rsidRPr="00112AEF">
        <w:rPr>
          <w:rFonts w:ascii="Book Antiqua" w:eastAsia="宋体" w:hAnsi="Book Antiqua" w:cs="宋体"/>
          <w:lang w:eastAsia="zh-CN"/>
        </w:rPr>
        <w:t>, Ackloo E, Sahota N, McDonald HP, Yao X. Interventions for enhancing medication adherence. </w:t>
      </w:r>
      <w:r w:rsidRPr="00112AEF">
        <w:rPr>
          <w:rFonts w:ascii="Book Antiqua" w:eastAsia="宋体" w:hAnsi="Book Antiqua" w:cs="宋体"/>
          <w:i/>
          <w:iCs/>
          <w:lang w:eastAsia="zh-CN"/>
        </w:rPr>
        <w:t>Cochrane Database Syst Rev</w:t>
      </w:r>
      <w:r w:rsidRPr="00112AEF">
        <w:rPr>
          <w:rFonts w:ascii="Book Antiqua" w:eastAsia="宋体" w:hAnsi="Book Antiqua" w:cs="宋体"/>
          <w:lang w:eastAsia="zh-CN"/>
        </w:rPr>
        <w:t> 2008; : CD000011 [PMID: 18425859 DOI: 10.1002/14651858.CD000011]</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20 </w:t>
      </w:r>
      <w:r w:rsidRPr="00112AEF">
        <w:rPr>
          <w:rFonts w:ascii="Book Antiqua" w:eastAsia="宋体" w:hAnsi="Book Antiqua" w:cs="宋体"/>
          <w:b/>
          <w:bCs/>
          <w:lang w:eastAsia="zh-CN"/>
        </w:rPr>
        <w:t>Decker V</w:t>
      </w:r>
      <w:r w:rsidRPr="00112AEF">
        <w:rPr>
          <w:rFonts w:ascii="Book Antiqua" w:eastAsia="宋体" w:hAnsi="Book Antiqua" w:cs="宋体"/>
          <w:lang w:eastAsia="zh-CN"/>
        </w:rPr>
        <w:t xml:space="preserve">, Spoelstra S, Miezo E, Bremer R, You M, Given C, Given B. A pilot study of an automated voice response system and nursing intervention to monitor adherence to </w:t>
      </w:r>
      <w:r w:rsidRPr="00112AEF">
        <w:rPr>
          <w:rFonts w:ascii="Book Antiqua" w:eastAsia="宋体" w:hAnsi="Book Antiqua" w:cs="宋体"/>
          <w:lang w:eastAsia="zh-CN"/>
        </w:rPr>
        <w:lastRenderedPageBreak/>
        <w:t>oral chemotherapy agents. </w:t>
      </w:r>
      <w:r w:rsidRPr="00112AEF">
        <w:rPr>
          <w:rFonts w:ascii="Book Antiqua" w:eastAsia="宋体" w:hAnsi="Book Antiqua" w:cs="宋体"/>
          <w:i/>
          <w:iCs/>
          <w:lang w:eastAsia="zh-CN"/>
        </w:rPr>
        <w:t>Cancer Nurs</w:t>
      </w:r>
      <w:r w:rsidRPr="00112AEF">
        <w:rPr>
          <w:rFonts w:ascii="Book Antiqua" w:eastAsia="宋体" w:hAnsi="Book Antiqua" w:cs="宋体"/>
          <w:lang w:eastAsia="zh-CN"/>
        </w:rPr>
        <w:t> 2009; </w:t>
      </w:r>
      <w:r w:rsidRPr="00112AEF">
        <w:rPr>
          <w:rFonts w:ascii="Book Antiqua" w:eastAsia="宋体" w:hAnsi="Book Antiqua" w:cs="宋体"/>
          <w:b/>
          <w:bCs/>
          <w:lang w:eastAsia="zh-CN"/>
        </w:rPr>
        <w:t>32</w:t>
      </w:r>
      <w:r w:rsidRPr="00112AEF">
        <w:rPr>
          <w:rFonts w:ascii="Book Antiqua" w:eastAsia="宋体" w:hAnsi="Book Antiqua" w:cs="宋体"/>
          <w:lang w:eastAsia="zh-CN"/>
        </w:rPr>
        <w:t>: E20-E29 [PMID: 19816160 DOI: 10.1097/NCC.0b013e3181b31114]</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21 </w:t>
      </w:r>
      <w:r w:rsidRPr="00112AEF">
        <w:rPr>
          <w:rFonts w:ascii="Book Antiqua" w:eastAsia="宋体" w:hAnsi="Book Antiqua" w:cs="宋体"/>
          <w:b/>
          <w:bCs/>
          <w:lang w:eastAsia="zh-CN"/>
        </w:rPr>
        <w:t>Given BA</w:t>
      </w:r>
      <w:r w:rsidRPr="00112AEF">
        <w:rPr>
          <w:rFonts w:ascii="Book Antiqua" w:eastAsia="宋体" w:hAnsi="Book Antiqua" w:cs="宋体"/>
          <w:lang w:eastAsia="zh-CN"/>
        </w:rPr>
        <w:t>, Spoelstra SL, Grant M. The challenges of oral agents as antineoplastic treatments. </w:t>
      </w:r>
      <w:r w:rsidRPr="00112AEF">
        <w:rPr>
          <w:rFonts w:ascii="Book Antiqua" w:eastAsia="宋体" w:hAnsi="Book Antiqua" w:cs="宋体"/>
          <w:i/>
          <w:iCs/>
          <w:lang w:eastAsia="zh-CN"/>
        </w:rPr>
        <w:t>Semin Oncol Nurs</w:t>
      </w:r>
      <w:r w:rsidRPr="00112AEF">
        <w:rPr>
          <w:rFonts w:ascii="Book Antiqua" w:eastAsia="宋体" w:hAnsi="Book Antiqua" w:cs="宋体"/>
          <w:lang w:eastAsia="zh-CN"/>
        </w:rPr>
        <w:t> 2011; </w:t>
      </w:r>
      <w:r w:rsidRPr="00112AEF">
        <w:rPr>
          <w:rFonts w:ascii="Book Antiqua" w:eastAsia="宋体" w:hAnsi="Book Antiqua" w:cs="宋体"/>
          <w:b/>
          <w:bCs/>
          <w:lang w:eastAsia="zh-CN"/>
        </w:rPr>
        <w:t>27</w:t>
      </w:r>
      <w:r w:rsidRPr="00112AEF">
        <w:rPr>
          <w:rFonts w:ascii="Book Antiqua" w:eastAsia="宋体" w:hAnsi="Book Antiqua" w:cs="宋体"/>
          <w:lang w:eastAsia="zh-CN"/>
        </w:rPr>
        <w:t>: 93-103 [PMID: 21514479 DOI: 10.1016/j.soncn.2011.02.003]</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22 </w:t>
      </w:r>
      <w:r w:rsidRPr="00112AEF">
        <w:rPr>
          <w:rFonts w:ascii="Book Antiqua" w:eastAsia="宋体" w:hAnsi="Book Antiqua" w:cs="宋体"/>
          <w:b/>
          <w:bCs/>
          <w:lang w:eastAsia="zh-CN"/>
        </w:rPr>
        <w:t>Spoelstra SL</w:t>
      </w:r>
      <w:r w:rsidRPr="00112AEF">
        <w:rPr>
          <w:rFonts w:ascii="Book Antiqua" w:eastAsia="宋体" w:hAnsi="Book Antiqua" w:cs="宋体"/>
          <w:lang w:eastAsia="zh-CN"/>
        </w:rPr>
        <w:t>, Given BA, Given CW, Grant M, Sikorskii A, You M, Decker V. An intervention to improve adherence and management of symptoms for patients prescribed oral chemotherapy agents: an exploratory study. </w:t>
      </w:r>
      <w:r w:rsidRPr="00112AEF">
        <w:rPr>
          <w:rFonts w:ascii="Book Antiqua" w:eastAsia="宋体" w:hAnsi="Book Antiqua" w:cs="宋体"/>
          <w:i/>
          <w:iCs/>
          <w:lang w:eastAsia="zh-CN"/>
        </w:rPr>
        <w:t>Cancer Nurs</w:t>
      </w:r>
      <w:r w:rsidRPr="00112AEF">
        <w:rPr>
          <w:rFonts w:ascii="Book Antiqua" w:eastAsia="宋体" w:hAnsi="Book Antiqua" w:cs="宋体"/>
          <w:lang w:eastAsia="zh-CN"/>
        </w:rPr>
        <w:t> 2013; </w:t>
      </w:r>
      <w:r w:rsidRPr="00112AEF">
        <w:rPr>
          <w:rFonts w:ascii="Book Antiqua" w:eastAsia="宋体" w:hAnsi="Book Antiqua" w:cs="宋体"/>
          <w:b/>
          <w:bCs/>
          <w:lang w:eastAsia="zh-CN"/>
        </w:rPr>
        <w:t>36</w:t>
      </w:r>
      <w:r w:rsidRPr="00112AEF">
        <w:rPr>
          <w:rFonts w:ascii="Book Antiqua" w:eastAsia="宋体" w:hAnsi="Book Antiqua" w:cs="宋体"/>
          <w:lang w:eastAsia="zh-CN"/>
        </w:rPr>
        <w:t>: 18-28 [PMID: 23235499 DOI: 10.1097/NCC.0b013e3182551587]</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23 </w:t>
      </w:r>
      <w:r w:rsidRPr="00112AEF">
        <w:rPr>
          <w:rFonts w:ascii="Book Antiqua" w:eastAsia="宋体" w:hAnsi="Book Antiqua" w:cs="宋体"/>
          <w:b/>
          <w:bCs/>
          <w:lang w:eastAsia="zh-CN"/>
        </w:rPr>
        <w:t>Minagawa M</w:t>
      </w:r>
      <w:r w:rsidRPr="00112AEF">
        <w:rPr>
          <w:rFonts w:ascii="Book Antiqua" w:eastAsia="宋体" w:hAnsi="Book Antiqua" w:cs="宋体"/>
          <w:lang w:eastAsia="zh-CN"/>
        </w:rPr>
        <w:t>, Ikai I, Matsuyama Y, Yamaoka Y, Makuuchi M. Staging of hepatocellular carcinoma: assessment of the Japanese TNM and AJCC/UICC TNM systems in a cohort of 13,772 patients in Japan. </w:t>
      </w:r>
      <w:r w:rsidRPr="00112AEF">
        <w:rPr>
          <w:rFonts w:ascii="Book Antiqua" w:eastAsia="宋体" w:hAnsi="Book Antiqua" w:cs="宋体"/>
          <w:i/>
          <w:iCs/>
          <w:lang w:eastAsia="zh-CN"/>
        </w:rPr>
        <w:t>Ann Surg</w:t>
      </w:r>
      <w:r w:rsidRPr="00112AEF">
        <w:rPr>
          <w:rFonts w:ascii="Book Antiqua" w:eastAsia="宋体" w:hAnsi="Book Antiqua" w:cs="宋体"/>
          <w:lang w:eastAsia="zh-CN"/>
        </w:rPr>
        <w:t> 2007; </w:t>
      </w:r>
      <w:r w:rsidRPr="00112AEF">
        <w:rPr>
          <w:rFonts w:ascii="Book Antiqua" w:eastAsia="宋体" w:hAnsi="Book Antiqua" w:cs="宋体"/>
          <w:b/>
          <w:bCs/>
          <w:lang w:eastAsia="zh-CN"/>
        </w:rPr>
        <w:t>245</w:t>
      </w:r>
      <w:r w:rsidRPr="00112AEF">
        <w:rPr>
          <w:rFonts w:ascii="Book Antiqua" w:eastAsia="宋体" w:hAnsi="Book Antiqua" w:cs="宋体"/>
          <w:lang w:eastAsia="zh-CN"/>
        </w:rPr>
        <w:t>: 909-922 [PMID: 17522517 DOI: 10.1097/01.sla.0000254368.65878.da]</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24 </w:t>
      </w:r>
      <w:r w:rsidRPr="00112AEF">
        <w:rPr>
          <w:rFonts w:ascii="Book Antiqua" w:eastAsia="宋体" w:hAnsi="Book Antiqua" w:cs="宋体"/>
          <w:b/>
          <w:bCs/>
          <w:lang w:eastAsia="zh-CN"/>
        </w:rPr>
        <w:t>Hartigan K</w:t>
      </w:r>
      <w:r w:rsidRPr="00112AEF">
        <w:rPr>
          <w:rFonts w:ascii="Book Antiqua" w:eastAsia="宋体" w:hAnsi="Book Antiqua" w:cs="宋体"/>
          <w:lang w:eastAsia="zh-CN"/>
        </w:rPr>
        <w:t>. Patient education: the cornerstone of successful oral chemotherapy treatment. </w:t>
      </w:r>
      <w:r w:rsidRPr="00112AEF">
        <w:rPr>
          <w:rFonts w:ascii="Book Antiqua" w:eastAsia="宋体" w:hAnsi="Book Antiqua" w:cs="宋体"/>
          <w:i/>
          <w:iCs/>
          <w:lang w:eastAsia="zh-CN"/>
        </w:rPr>
        <w:t>Clin J Oncol Nurs</w:t>
      </w:r>
      <w:r w:rsidRPr="00112AEF">
        <w:rPr>
          <w:rFonts w:ascii="Book Antiqua" w:eastAsia="宋体" w:hAnsi="Book Antiqua" w:cs="宋体"/>
          <w:lang w:eastAsia="zh-CN"/>
        </w:rPr>
        <w:t> 2003; </w:t>
      </w:r>
      <w:r w:rsidRPr="00112AEF">
        <w:rPr>
          <w:rFonts w:ascii="Book Antiqua" w:eastAsia="宋体" w:hAnsi="Book Antiqua" w:cs="宋体"/>
          <w:b/>
          <w:bCs/>
          <w:lang w:eastAsia="zh-CN"/>
        </w:rPr>
        <w:t>7</w:t>
      </w:r>
      <w:r w:rsidRPr="00112AEF">
        <w:rPr>
          <w:rFonts w:ascii="Book Antiqua" w:eastAsia="宋体" w:hAnsi="Book Antiqua" w:cs="宋体"/>
          <w:lang w:eastAsia="zh-CN"/>
        </w:rPr>
        <w:t>: 21-24 [PMID: 14705496 DOI: 10.1188/03.CJON.S6.21-24]</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25 </w:t>
      </w:r>
      <w:r w:rsidRPr="00112AEF">
        <w:rPr>
          <w:rFonts w:ascii="Book Antiqua" w:eastAsia="宋体" w:hAnsi="Book Antiqua" w:cs="宋体"/>
          <w:b/>
          <w:bCs/>
          <w:lang w:eastAsia="zh-CN"/>
        </w:rPr>
        <w:t>Neuss MN</w:t>
      </w:r>
      <w:r w:rsidRPr="00112AEF">
        <w:rPr>
          <w:rFonts w:ascii="Book Antiqua" w:eastAsia="宋体" w:hAnsi="Book Antiqua" w:cs="宋体"/>
          <w:lang w:eastAsia="zh-CN"/>
        </w:rPr>
        <w:t>, Polovich M, McNiff K, Esper P, Gilmore TR, LeFebvre KB, Schulmeister L, Jacobson JO. 2013 updated American Society of Clinical Oncology/Oncology Nursing Society chemotherapy administration safety standards including standards for the safe administration and management of oral chemotherapy. </w:t>
      </w:r>
      <w:r w:rsidRPr="00112AEF">
        <w:rPr>
          <w:rFonts w:ascii="Book Antiqua" w:eastAsia="宋体" w:hAnsi="Book Antiqua" w:cs="宋体"/>
          <w:i/>
          <w:iCs/>
          <w:lang w:eastAsia="zh-CN"/>
        </w:rPr>
        <w:t>Oncol Nurs Forum</w:t>
      </w:r>
      <w:r w:rsidRPr="00112AEF">
        <w:rPr>
          <w:rFonts w:ascii="Book Antiqua" w:eastAsia="宋体" w:hAnsi="Book Antiqua" w:cs="宋体"/>
          <w:lang w:eastAsia="zh-CN"/>
        </w:rPr>
        <w:t> 2013; </w:t>
      </w:r>
      <w:r w:rsidRPr="00112AEF">
        <w:rPr>
          <w:rFonts w:ascii="Book Antiqua" w:eastAsia="宋体" w:hAnsi="Book Antiqua" w:cs="宋体"/>
          <w:b/>
          <w:bCs/>
          <w:lang w:eastAsia="zh-CN"/>
        </w:rPr>
        <w:t>40</w:t>
      </w:r>
      <w:r w:rsidRPr="00112AEF">
        <w:rPr>
          <w:rFonts w:ascii="Book Antiqua" w:eastAsia="宋体" w:hAnsi="Book Antiqua" w:cs="宋体"/>
          <w:lang w:eastAsia="zh-CN"/>
        </w:rPr>
        <w:t>: 225-233 [PMID: 23619103 DOI: 10.1188/13.ONF.40-03AP2]</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26 </w:t>
      </w:r>
      <w:r w:rsidRPr="00112AEF">
        <w:rPr>
          <w:rFonts w:ascii="Book Antiqua" w:eastAsia="宋体" w:hAnsi="Book Antiqua" w:cs="宋体"/>
          <w:b/>
          <w:bCs/>
          <w:lang w:eastAsia="zh-CN"/>
        </w:rPr>
        <w:t>Lencioni R</w:t>
      </w:r>
      <w:r w:rsidRPr="00112AEF">
        <w:rPr>
          <w:rFonts w:ascii="Book Antiqua" w:eastAsia="宋体" w:hAnsi="Book Antiqua" w:cs="宋体"/>
          <w:lang w:eastAsia="zh-CN"/>
        </w:rPr>
        <w:t>, Llovet JM. Modified RECIST (mRECIST) assessment for hepatocellular carcinoma. </w:t>
      </w:r>
      <w:r w:rsidRPr="00112AEF">
        <w:rPr>
          <w:rFonts w:ascii="Book Antiqua" w:eastAsia="宋体" w:hAnsi="Book Antiqua" w:cs="宋体"/>
          <w:i/>
          <w:iCs/>
          <w:lang w:eastAsia="zh-CN"/>
        </w:rPr>
        <w:t>Semin Liver Dis</w:t>
      </w:r>
      <w:r w:rsidRPr="00112AEF">
        <w:rPr>
          <w:rFonts w:ascii="Book Antiqua" w:eastAsia="宋体" w:hAnsi="Book Antiqua" w:cs="宋体"/>
          <w:lang w:eastAsia="zh-CN"/>
        </w:rPr>
        <w:t> 2010; </w:t>
      </w:r>
      <w:r w:rsidRPr="00112AEF">
        <w:rPr>
          <w:rFonts w:ascii="Book Antiqua" w:eastAsia="宋体" w:hAnsi="Book Antiqua" w:cs="宋体"/>
          <w:b/>
          <w:bCs/>
          <w:lang w:eastAsia="zh-CN"/>
        </w:rPr>
        <w:t>30</w:t>
      </w:r>
      <w:r w:rsidRPr="00112AEF">
        <w:rPr>
          <w:rFonts w:ascii="Book Antiqua" w:eastAsia="宋体" w:hAnsi="Book Antiqua" w:cs="宋体"/>
          <w:lang w:eastAsia="zh-CN"/>
        </w:rPr>
        <w:t>: 52-60 [PMID: 20175033 DOI: 10.1055/s-0030-1247132]</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27 Japan Clinical Oncology Group. Common Terminology Criteria for Adverse Events (CTCAE) v4.0-Japan Clinical Oncology Group. http: //www.jcog.jp/doctor/tool/ctcaev4.html, 2013 (accessed Jul 29, 2013)</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28 </w:t>
      </w:r>
      <w:r w:rsidRPr="00112AEF">
        <w:rPr>
          <w:rFonts w:ascii="Book Antiqua" w:eastAsia="宋体" w:hAnsi="Book Antiqua" w:cs="宋体"/>
          <w:b/>
          <w:bCs/>
          <w:lang w:eastAsia="zh-CN"/>
        </w:rPr>
        <w:t>Mizukami H</w:t>
      </w:r>
      <w:r w:rsidRPr="00112AEF">
        <w:rPr>
          <w:rFonts w:ascii="Book Antiqua" w:eastAsia="宋体" w:hAnsi="Book Antiqua" w:cs="宋体"/>
          <w:lang w:eastAsia="zh-CN"/>
        </w:rPr>
        <w:t>, Kagawa T, Arase Y, Nakahara F, Tsuruya K, Anzai K, Hirose S, Shiraishi K, Shomura M, Koizumi J, Tobita K, Mine T. Complete response after short-term sorafenib treatment in a patient with lymph node metastasis of hepatocellular carcinoma. </w:t>
      </w:r>
      <w:r w:rsidRPr="00112AEF">
        <w:rPr>
          <w:rFonts w:ascii="Book Antiqua" w:eastAsia="宋体" w:hAnsi="Book Antiqua" w:cs="宋体"/>
          <w:i/>
          <w:iCs/>
          <w:lang w:eastAsia="zh-CN"/>
        </w:rPr>
        <w:t>Case Rep Oncol</w:t>
      </w:r>
      <w:r w:rsidRPr="00112AEF">
        <w:rPr>
          <w:rFonts w:ascii="Book Antiqua" w:eastAsia="宋体" w:hAnsi="Book Antiqua" w:cs="宋体"/>
          <w:lang w:eastAsia="zh-CN"/>
        </w:rPr>
        <w:t> 2012; </w:t>
      </w:r>
      <w:r w:rsidRPr="00112AEF">
        <w:rPr>
          <w:rFonts w:ascii="Book Antiqua" w:eastAsia="宋体" w:hAnsi="Book Antiqua" w:cs="宋体"/>
          <w:b/>
          <w:bCs/>
          <w:lang w:eastAsia="zh-CN"/>
        </w:rPr>
        <w:t>5</w:t>
      </w:r>
      <w:r w:rsidRPr="00112AEF">
        <w:rPr>
          <w:rFonts w:ascii="Book Antiqua" w:eastAsia="宋体" w:hAnsi="Book Antiqua" w:cs="宋体"/>
          <w:lang w:eastAsia="zh-CN"/>
        </w:rPr>
        <w:t>: 380-384 [PMID: 23525021 DOI: 10.1159/000341259]</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lastRenderedPageBreak/>
        <w:t>29 </w:t>
      </w:r>
      <w:r w:rsidRPr="00112AEF">
        <w:rPr>
          <w:rFonts w:ascii="Book Antiqua" w:eastAsia="宋体" w:hAnsi="Book Antiqua" w:cs="宋体"/>
          <w:b/>
          <w:bCs/>
          <w:lang w:eastAsia="zh-CN"/>
        </w:rPr>
        <w:t>Lencioni R</w:t>
      </w:r>
      <w:r w:rsidRPr="00112AEF">
        <w:rPr>
          <w:rFonts w:ascii="Book Antiqua" w:eastAsia="宋体" w:hAnsi="Book Antiqua" w:cs="宋体"/>
          <w:lang w:eastAsia="zh-CN"/>
        </w:rPr>
        <w:t>, Kudo M, Ye SL, Bronowicki JP, Chen XP, Dagher L, Furuse J, Geschwind JF, Ladrón de Guevara L, Papandreou C, Sanyal AJ, Takayama T, Yoon SK, Nakajima K, Cihon F, Heldner S, Marrero JA. First interim analysis of the GIDEON (Global Investigation of therapeutic decisions in hepatocellular carcinoma and of its treatment with sorafeNib) non-interventional study. </w:t>
      </w:r>
      <w:r w:rsidRPr="00112AEF">
        <w:rPr>
          <w:rFonts w:ascii="Book Antiqua" w:eastAsia="宋体" w:hAnsi="Book Antiqua" w:cs="宋体"/>
          <w:i/>
          <w:iCs/>
          <w:lang w:eastAsia="zh-CN"/>
        </w:rPr>
        <w:t>Int J Clin Pract</w:t>
      </w:r>
      <w:r w:rsidRPr="00112AEF">
        <w:rPr>
          <w:rFonts w:ascii="Book Antiqua" w:eastAsia="宋体" w:hAnsi="Book Antiqua" w:cs="宋体"/>
          <w:lang w:eastAsia="zh-CN"/>
        </w:rPr>
        <w:t> 2012; </w:t>
      </w:r>
      <w:r w:rsidRPr="00112AEF">
        <w:rPr>
          <w:rFonts w:ascii="Book Antiqua" w:eastAsia="宋体" w:hAnsi="Book Antiqua" w:cs="宋体"/>
          <w:b/>
          <w:bCs/>
          <w:lang w:eastAsia="zh-CN"/>
        </w:rPr>
        <w:t>66</w:t>
      </w:r>
      <w:r w:rsidRPr="00112AEF">
        <w:rPr>
          <w:rFonts w:ascii="Book Antiqua" w:eastAsia="宋体" w:hAnsi="Book Antiqua" w:cs="宋体"/>
          <w:lang w:eastAsia="zh-CN"/>
        </w:rPr>
        <w:t>: 675-683 [PMID: 22698419 DOI: 10.1111/j.1742-1241.2012.02940.x]</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30 </w:t>
      </w:r>
      <w:r w:rsidRPr="00112AEF">
        <w:rPr>
          <w:rFonts w:ascii="Book Antiqua" w:eastAsia="宋体" w:hAnsi="Book Antiqua" w:cs="宋体"/>
          <w:b/>
          <w:bCs/>
          <w:lang w:eastAsia="zh-CN"/>
        </w:rPr>
        <w:t>Iavarone M</w:t>
      </w:r>
      <w:r w:rsidRPr="00112AEF">
        <w:rPr>
          <w:rFonts w:ascii="Book Antiqua" w:eastAsia="宋体" w:hAnsi="Book Antiqua" w:cs="宋体"/>
          <w:lang w:eastAsia="zh-CN"/>
        </w:rPr>
        <w:t>, Cabibbo G, Piscaglia F, Zavaglia C, Grieco A, Villa E, Cammà C, Colombo M. Field-practice study of sorafenib therapy for hepatocellular carcinoma: a prospective multicenter study in Italy. </w:t>
      </w:r>
      <w:r w:rsidRPr="00112AEF">
        <w:rPr>
          <w:rFonts w:ascii="Book Antiqua" w:eastAsia="宋体" w:hAnsi="Book Antiqua" w:cs="宋体"/>
          <w:i/>
          <w:iCs/>
          <w:lang w:eastAsia="zh-CN"/>
        </w:rPr>
        <w:t>Hepatology</w:t>
      </w:r>
      <w:r w:rsidRPr="00112AEF">
        <w:rPr>
          <w:rFonts w:ascii="Book Antiqua" w:eastAsia="宋体" w:hAnsi="Book Antiqua" w:cs="宋体"/>
          <w:lang w:eastAsia="zh-CN"/>
        </w:rPr>
        <w:t> 2011; </w:t>
      </w:r>
      <w:r w:rsidRPr="00112AEF">
        <w:rPr>
          <w:rFonts w:ascii="Book Antiqua" w:eastAsia="宋体" w:hAnsi="Book Antiqua" w:cs="宋体"/>
          <w:b/>
          <w:bCs/>
          <w:lang w:eastAsia="zh-CN"/>
        </w:rPr>
        <w:t>54</w:t>
      </w:r>
      <w:r w:rsidRPr="00112AEF">
        <w:rPr>
          <w:rFonts w:ascii="Book Antiqua" w:eastAsia="宋体" w:hAnsi="Book Antiqua" w:cs="宋体"/>
          <w:lang w:eastAsia="zh-CN"/>
        </w:rPr>
        <w:t>: 2055-2063 [PMID: 21898496 DOI: 10.1002/hep.24644]</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31 </w:t>
      </w:r>
      <w:r w:rsidRPr="00112AEF">
        <w:rPr>
          <w:rFonts w:ascii="Book Antiqua" w:eastAsia="宋体" w:hAnsi="Book Antiqua" w:cs="宋体"/>
          <w:b/>
          <w:bCs/>
          <w:lang w:eastAsia="zh-CN"/>
        </w:rPr>
        <w:t>Wilhelm SM</w:t>
      </w:r>
      <w:r w:rsidRPr="00112AEF">
        <w:rPr>
          <w:rFonts w:ascii="Book Antiqua" w:eastAsia="宋体" w:hAnsi="Book Antiqua" w:cs="宋体"/>
          <w:lang w:eastAsia="zh-CN"/>
        </w:rPr>
        <w:t>, Adnane L, Newell P, Villanueva A, Llovet JM, Lynch M. Preclinical overview of sorafenib, a multikinase inhibitor that targets both Raf and VEGF and PDGF receptor tyrosine kinase signaling. </w:t>
      </w:r>
      <w:r w:rsidRPr="00112AEF">
        <w:rPr>
          <w:rFonts w:ascii="Book Antiqua" w:eastAsia="宋体" w:hAnsi="Book Antiqua" w:cs="宋体"/>
          <w:i/>
          <w:iCs/>
          <w:lang w:eastAsia="zh-CN"/>
        </w:rPr>
        <w:t>Mol Cancer Ther</w:t>
      </w:r>
      <w:r w:rsidRPr="00112AEF">
        <w:rPr>
          <w:rFonts w:ascii="Book Antiqua" w:eastAsia="宋体" w:hAnsi="Book Antiqua" w:cs="宋体"/>
          <w:lang w:eastAsia="zh-CN"/>
        </w:rPr>
        <w:t> 2008; </w:t>
      </w:r>
      <w:r w:rsidRPr="00112AEF">
        <w:rPr>
          <w:rFonts w:ascii="Book Antiqua" w:eastAsia="宋体" w:hAnsi="Book Antiqua" w:cs="宋体"/>
          <w:b/>
          <w:bCs/>
          <w:lang w:eastAsia="zh-CN"/>
        </w:rPr>
        <w:t>7</w:t>
      </w:r>
      <w:r w:rsidRPr="00112AEF">
        <w:rPr>
          <w:rFonts w:ascii="Book Antiqua" w:eastAsia="宋体" w:hAnsi="Book Antiqua" w:cs="宋体"/>
          <w:lang w:eastAsia="zh-CN"/>
        </w:rPr>
        <w:t>: 3129-3140 [PMID: 18852116 DOI: 10.1158/1535-7163.MCT-08-0013]</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32 </w:t>
      </w:r>
      <w:r w:rsidRPr="00112AEF">
        <w:rPr>
          <w:rFonts w:ascii="Book Antiqua" w:eastAsia="宋体" w:hAnsi="Book Antiqua" w:cs="宋体"/>
          <w:b/>
          <w:bCs/>
          <w:lang w:eastAsia="zh-CN"/>
        </w:rPr>
        <w:t>Lee JH</w:t>
      </w:r>
      <w:r w:rsidRPr="00112AEF">
        <w:rPr>
          <w:rFonts w:ascii="Book Antiqua" w:eastAsia="宋体" w:hAnsi="Book Antiqua" w:cs="宋体"/>
          <w:lang w:eastAsia="zh-CN"/>
        </w:rPr>
        <w:t>, Chung YH, Kim JA, Shim JH, Lee D, Lee HC, Shin ES, Yoon JH, Kim BI, Bae SH, Koh KC, Park NH. Genetic predisposition of hand-foot skin reaction after sorafenib therapy in patients with hepatocellular carcinoma. </w:t>
      </w:r>
      <w:r w:rsidRPr="00112AEF">
        <w:rPr>
          <w:rFonts w:ascii="Book Antiqua" w:eastAsia="宋体" w:hAnsi="Book Antiqua" w:cs="宋体"/>
          <w:i/>
          <w:iCs/>
          <w:lang w:eastAsia="zh-CN"/>
        </w:rPr>
        <w:t>Cancer</w:t>
      </w:r>
      <w:r w:rsidRPr="00112AEF">
        <w:rPr>
          <w:rFonts w:ascii="Book Antiqua" w:eastAsia="宋体" w:hAnsi="Book Antiqua" w:cs="宋体"/>
          <w:lang w:eastAsia="zh-CN"/>
        </w:rPr>
        <w:t> 2013; </w:t>
      </w:r>
      <w:r w:rsidRPr="00112AEF">
        <w:rPr>
          <w:rFonts w:ascii="Book Antiqua" w:eastAsia="宋体" w:hAnsi="Book Antiqua" w:cs="宋体"/>
          <w:b/>
          <w:bCs/>
          <w:lang w:eastAsia="zh-CN"/>
        </w:rPr>
        <w:t>119</w:t>
      </w:r>
      <w:r w:rsidRPr="00112AEF">
        <w:rPr>
          <w:rFonts w:ascii="Book Antiqua" w:eastAsia="宋体" w:hAnsi="Book Antiqua" w:cs="宋体"/>
          <w:lang w:eastAsia="zh-CN"/>
        </w:rPr>
        <w:t>: 136-142 [PMID: 22736425 DOI: 10.1002/cncr.27705]</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33 </w:t>
      </w:r>
      <w:r w:rsidRPr="00112AEF">
        <w:rPr>
          <w:rFonts w:ascii="Book Antiqua" w:eastAsia="宋体" w:hAnsi="Book Antiqua" w:cs="宋体"/>
          <w:b/>
          <w:bCs/>
          <w:lang w:eastAsia="zh-CN"/>
        </w:rPr>
        <w:t>Jain L</w:t>
      </w:r>
      <w:r w:rsidRPr="00112AEF">
        <w:rPr>
          <w:rFonts w:ascii="Book Antiqua" w:eastAsia="宋体" w:hAnsi="Book Antiqua" w:cs="宋体"/>
          <w:lang w:eastAsia="zh-CN"/>
        </w:rPr>
        <w:t>, Sissung TM, Danesi R, Kohn EC, Dahut WL, Kummar S, Venzon D, Liewehr D, English BC, Baum CE, Yarchoan R, Giaccone G, Venitz J, Price DK, Figg WD. Hypertension and hand-foot skin reactions related to VEGFR2 genotype and improved clinical outcome following bevacizumab and sorafenib. </w:t>
      </w:r>
      <w:r w:rsidRPr="00112AEF">
        <w:rPr>
          <w:rFonts w:ascii="Book Antiqua" w:eastAsia="宋体" w:hAnsi="Book Antiqua" w:cs="宋体"/>
          <w:i/>
          <w:iCs/>
          <w:lang w:eastAsia="zh-CN"/>
        </w:rPr>
        <w:t>J Exp Clin Cancer Res</w:t>
      </w:r>
      <w:r w:rsidRPr="00112AEF">
        <w:rPr>
          <w:rFonts w:ascii="Book Antiqua" w:eastAsia="宋体" w:hAnsi="Book Antiqua" w:cs="宋体"/>
          <w:lang w:eastAsia="zh-CN"/>
        </w:rPr>
        <w:t> 2010; </w:t>
      </w:r>
      <w:r w:rsidRPr="00112AEF">
        <w:rPr>
          <w:rFonts w:ascii="Book Antiqua" w:eastAsia="宋体" w:hAnsi="Book Antiqua" w:cs="宋体"/>
          <w:b/>
          <w:bCs/>
          <w:lang w:eastAsia="zh-CN"/>
        </w:rPr>
        <w:t>29</w:t>
      </w:r>
      <w:r w:rsidRPr="00112AEF">
        <w:rPr>
          <w:rFonts w:ascii="Book Antiqua" w:eastAsia="宋体" w:hAnsi="Book Antiqua" w:cs="宋体"/>
          <w:lang w:eastAsia="zh-CN"/>
        </w:rPr>
        <w:t>: 95 [PMID: 20630084 DOI: 10.1186/1756-9966-29-95]</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34 </w:t>
      </w:r>
      <w:r w:rsidRPr="00112AEF">
        <w:rPr>
          <w:rFonts w:ascii="Book Antiqua" w:eastAsia="宋体" w:hAnsi="Book Antiqua" w:cs="宋体"/>
          <w:b/>
          <w:bCs/>
          <w:lang w:eastAsia="zh-CN"/>
        </w:rPr>
        <w:t>Morimoto M</w:t>
      </w:r>
      <w:r w:rsidRPr="00112AEF">
        <w:rPr>
          <w:rFonts w:ascii="Book Antiqua" w:eastAsia="宋体" w:hAnsi="Book Antiqua" w:cs="宋体"/>
          <w:lang w:eastAsia="zh-CN"/>
        </w:rPr>
        <w:t>, Numata K, Moriya S, Kondo M, Nozaki A, Morioka Y, Maeda S, Tanaka K. Inflammation-based prognostic score for hepatocellular carcinoma patients on sorafenib treatment. </w:t>
      </w:r>
      <w:r w:rsidRPr="00112AEF">
        <w:rPr>
          <w:rFonts w:ascii="Book Antiqua" w:eastAsia="宋体" w:hAnsi="Book Antiqua" w:cs="宋体"/>
          <w:i/>
          <w:iCs/>
          <w:lang w:eastAsia="zh-CN"/>
        </w:rPr>
        <w:t>Anticancer Res</w:t>
      </w:r>
      <w:r w:rsidRPr="00112AEF">
        <w:rPr>
          <w:rFonts w:ascii="Book Antiqua" w:eastAsia="宋体" w:hAnsi="Book Antiqua" w:cs="宋体"/>
          <w:lang w:eastAsia="zh-CN"/>
        </w:rPr>
        <w:t> 2012; </w:t>
      </w:r>
      <w:r w:rsidRPr="00112AEF">
        <w:rPr>
          <w:rFonts w:ascii="Book Antiqua" w:eastAsia="宋体" w:hAnsi="Book Antiqua" w:cs="宋体"/>
          <w:b/>
          <w:bCs/>
          <w:lang w:eastAsia="zh-CN"/>
        </w:rPr>
        <w:t>32</w:t>
      </w:r>
      <w:r w:rsidRPr="00112AEF">
        <w:rPr>
          <w:rFonts w:ascii="Book Antiqua" w:eastAsia="宋体" w:hAnsi="Book Antiqua" w:cs="宋体"/>
          <w:lang w:eastAsia="zh-CN"/>
        </w:rPr>
        <w:t>: 619-623 [PMID: 22287754]</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35 </w:t>
      </w:r>
      <w:r w:rsidRPr="00112AEF">
        <w:rPr>
          <w:rFonts w:ascii="Book Antiqua" w:eastAsia="宋体" w:hAnsi="Book Antiqua" w:cs="宋体"/>
          <w:b/>
          <w:bCs/>
          <w:lang w:eastAsia="zh-CN"/>
        </w:rPr>
        <w:t>Lacouture ME</w:t>
      </w:r>
      <w:r w:rsidRPr="00112AEF">
        <w:rPr>
          <w:rFonts w:ascii="Book Antiqua" w:eastAsia="宋体" w:hAnsi="Book Antiqua" w:cs="宋体"/>
          <w:lang w:eastAsia="zh-CN"/>
        </w:rPr>
        <w:t>, Mitchell EP, Piperdi B, Pillai MV, Shearer H, Iannotti N, Xu F, Yassine M. Skin toxicity evaluation protocol with panitumumab (STEPP), a phase II, open-label, randomized trial evaluating the impact of a pre-Emptive Skin treatment regimen on skin toxicities and quality of life in patients with metastatic colorectal cancer. </w:t>
      </w:r>
      <w:r w:rsidRPr="00112AEF">
        <w:rPr>
          <w:rFonts w:ascii="Book Antiqua" w:eastAsia="宋体" w:hAnsi="Book Antiqua" w:cs="宋体"/>
          <w:i/>
          <w:iCs/>
          <w:lang w:eastAsia="zh-CN"/>
        </w:rPr>
        <w:t>J Clin Oncol</w:t>
      </w:r>
      <w:r w:rsidRPr="00112AEF">
        <w:rPr>
          <w:rFonts w:ascii="Book Antiqua" w:eastAsia="宋体" w:hAnsi="Book Antiqua" w:cs="宋体"/>
          <w:lang w:eastAsia="zh-CN"/>
        </w:rPr>
        <w:t> 2010; </w:t>
      </w:r>
      <w:r w:rsidRPr="00112AEF">
        <w:rPr>
          <w:rFonts w:ascii="Book Antiqua" w:eastAsia="宋体" w:hAnsi="Book Antiqua" w:cs="宋体"/>
          <w:b/>
          <w:bCs/>
          <w:lang w:eastAsia="zh-CN"/>
        </w:rPr>
        <w:t>28</w:t>
      </w:r>
      <w:r w:rsidRPr="00112AEF">
        <w:rPr>
          <w:rFonts w:ascii="Book Antiqua" w:eastAsia="宋体" w:hAnsi="Book Antiqua" w:cs="宋体"/>
          <w:lang w:eastAsia="zh-CN"/>
        </w:rPr>
        <w:t>: 1351-1357 [PMID: 20142600 DOI: 10.1200/JCO.2008.21.7828]</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lastRenderedPageBreak/>
        <w:t>36 </w:t>
      </w:r>
      <w:r w:rsidRPr="00112AEF">
        <w:rPr>
          <w:rFonts w:ascii="Book Antiqua" w:eastAsia="宋体" w:hAnsi="Book Antiqua" w:cs="宋体"/>
          <w:b/>
          <w:bCs/>
          <w:lang w:eastAsia="zh-CN"/>
        </w:rPr>
        <w:t>Balagula Y</w:t>
      </w:r>
      <w:r w:rsidRPr="00112AEF">
        <w:rPr>
          <w:rFonts w:ascii="Book Antiqua" w:eastAsia="宋体" w:hAnsi="Book Antiqua" w:cs="宋体"/>
          <w:lang w:eastAsia="zh-CN"/>
        </w:rPr>
        <w:t>, Garbe C, Myskowski PL, Hauschild A, Rapoport BL, Boers-Doets CB, Lacouture ME. Clinical presentation and management of dermatological toxicities of epidermal growth factor receptor inhibitors. </w:t>
      </w:r>
      <w:r w:rsidRPr="00112AEF">
        <w:rPr>
          <w:rFonts w:ascii="Book Antiqua" w:eastAsia="宋体" w:hAnsi="Book Antiqua" w:cs="宋体"/>
          <w:i/>
          <w:iCs/>
          <w:lang w:eastAsia="zh-CN"/>
        </w:rPr>
        <w:t>Int J Dermatol</w:t>
      </w:r>
      <w:r w:rsidRPr="00112AEF">
        <w:rPr>
          <w:rFonts w:ascii="Book Antiqua" w:eastAsia="宋体" w:hAnsi="Book Antiqua" w:cs="宋体"/>
          <w:lang w:eastAsia="zh-CN"/>
        </w:rPr>
        <w:t> 2011; </w:t>
      </w:r>
      <w:r w:rsidRPr="00112AEF">
        <w:rPr>
          <w:rFonts w:ascii="Book Antiqua" w:eastAsia="宋体" w:hAnsi="Book Antiqua" w:cs="宋体"/>
          <w:b/>
          <w:bCs/>
          <w:lang w:eastAsia="zh-CN"/>
        </w:rPr>
        <w:t>50</w:t>
      </w:r>
      <w:r w:rsidRPr="00112AEF">
        <w:rPr>
          <w:rFonts w:ascii="Book Antiqua" w:eastAsia="宋体" w:hAnsi="Book Antiqua" w:cs="宋体"/>
          <w:lang w:eastAsia="zh-CN"/>
        </w:rPr>
        <w:t>: 129-146 [PMID: 21244375 DOI: 10.1111/j.1365-4632.2010.04791.x]</w:t>
      </w:r>
    </w:p>
    <w:p w:rsidR="00AD473F" w:rsidRPr="00112AEF" w:rsidRDefault="00AD473F" w:rsidP="00D914D2">
      <w:pPr>
        <w:spacing w:line="360" w:lineRule="auto"/>
        <w:jc w:val="both"/>
        <w:rPr>
          <w:rFonts w:ascii="Book Antiqua" w:eastAsia="宋体" w:hAnsi="Book Antiqua" w:cs="宋体"/>
          <w:lang w:eastAsia="zh-CN"/>
        </w:rPr>
      </w:pPr>
      <w:r w:rsidRPr="00112AEF">
        <w:rPr>
          <w:rFonts w:ascii="Book Antiqua" w:eastAsia="宋体" w:hAnsi="Book Antiqua" w:cs="宋体"/>
          <w:lang w:eastAsia="zh-CN"/>
        </w:rPr>
        <w:t>37 </w:t>
      </w:r>
      <w:r w:rsidRPr="00112AEF">
        <w:rPr>
          <w:rFonts w:ascii="Book Antiqua" w:eastAsia="宋体" w:hAnsi="Book Antiqua" w:cs="宋体"/>
          <w:b/>
          <w:bCs/>
          <w:lang w:eastAsia="zh-CN"/>
        </w:rPr>
        <w:t>Craven O</w:t>
      </w:r>
      <w:r w:rsidRPr="00112AEF">
        <w:rPr>
          <w:rFonts w:ascii="Book Antiqua" w:eastAsia="宋体" w:hAnsi="Book Antiqua" w:cs="宋体"/>
          <w:lang w:eastAsia="zh-CN"/>
        </w:rPr>
        <w:t>, Hughes CA, Burton A, Saunders MP, Molassiotis A. Is a nurse-led telephone intervention a viable alternative to nurse-led home care and standard care for patients receiving oral capecitabine? Results from a large prospective audit in patients with colorectal cancer. </w:t>
      </w:r>
      <w:r w:rsidRPr="00112AEF">
        <w:rPr>
          <w:rFonts w:ascii="Book Antiqua" w:eastAsia="宋体" w:hAnsi="Book Antiqua" w:cs="宋体"/>
          <w:i/>
          <w:iCs/>
          <w:lang w:eastAsia="zh-CN"/>
        </w:rPr>
        <w:t>Eur J Cancer Care (Engl)</w:t>
      </w:r>
      <w:r w:rsidRPr="00112AEF">
        <w:rPr>
          <w:rFonts w:ascii="Book Antiqua" w:eastAsia="宋体" w:hAnsi="Book Antiqua" w:cs="宋体"/>
          <w:lang w:eastAsia="zh-CN"/>
        </w:rPr>
        <w:t> 2013; </w:t>
      </w:r>
      <w:r w:rsidRPr="00112AEF">
        <w:rPr>
          <w:rFonts w:ascii="Book Antiqua" w:eastAsia="宋体" w:hAnsi="Book Antiqua" w:cs="宋体"/>
          <w:b/>
          <w:bCs/>
          <w:lang w:eastAsia="zh-CN"/>
        </w:rPr>
        <w:t>22</w:t>
      </w:r>
      <w:r w:rsidRPr="00112AEF">
        <w:rPr>
          <w:rFonts w:ascii="Book Antiqua" w:eastAsia="宋体" w:hAnsi="Book Antiqua" w:cs="宋体"/>
          <w:lang w:eastAsia="zh-CN"/>
        </w:rPr>
        <w:t>: 413-419 [PMID: 23527965 DOI: 10.1111/ecc.12047]</w:t>
      </w:r>
    </w:p>
    <w:p w:rsidR="00AD473F" w:rsidRPr="00112AEF" w:rsidRDefault="00AD473F" w:rsidP="002F5E25">
      <w:pPr>
        <w:spacing w:line="360" w:lineRule="auto"/>
        <w:jc w:val="both"/>
        <w:outlineLvl w:val="0"/>
        <w:rPr>
          <w:rFonts w:ascii="Book Antiqua" w:eastAsia="宋体" w:hAnsi="Book Antiqua"/>
          <w:lang w:eastAsia="zh-CN"/>
        </w:rPr>
      </w:pPr>
    </w:p>
    <w:p w:rsidR="00AD473F" w:rsidRPr="00112AEF" w:rsidRDefault="00AD473F" w:rsidP="00D0151B">
      <w:pPr>
        <w:spacing w:line="360" w:lineRule="auto"/>
        <w:jc w:val="right"/>
        <w:outlineLvl w:val="0"/>
        <w:rPr>
          <w:rFonts w:ascii="Book Antiqua" w:eastAsia="宋体" w:hAnsi="Book Antiqua"/>
          <w:lang w:eastAsia="zh-CN"/>
        </w:rPr>
      </w:pPr>
      <w:r w:rsidRPr="00112AEF">
        <w:rPr>
          <w:rFonts w:ascii="Book Antiqua" w:hAnsi="Book Antiqua"/>
          <w:b/>
        </w:rPr>
        <w:t xml:space="preserve">P- Reviewer: </w:t>
      </w:r>
      <w:r>
        <w:rPr>
          <w:rFonts w:ascii="Book Antiqua" w:hAnsi="Book Antiqua"/>
          <w:color w:val="000000"/>
        </w:rPr>
        <w:t>Kim</w:t>
      </w:r>
      <w:r>
        <w:rPr>
          <w:rFonts w:ascii="Book Antiqua" w:eastAsia="宋体" w:hAnsi="Book Antiqua"/>
          <w:color w:val="000000"/>
          <w:lang w:eastAsia="zh-CN"/>
        </w:rPr>
        <w:t xml:space="preserve"> </w:t>
      </w:r>
      <w:r w:rsidRPr="00112AEF">
        <w:rPr>
          <w:rFonts w:ascii="Book Antiqua" w:hAnsi="Book Antiqua"/>
          <w:color w:val="000000"/>
        </w:rPr>
        <w:t>SU</w:t>
      </w:r>
      <w:r w:rsidRPr="00112AEF">
        <w:rPr>
          <w:rFonts w:ascii="Book Antiqua" w:eastAsia="宋体" w:hAnsi="Book Antiqua"/>
          <w:color w:val="000000"/>
          <w:lang w:eastAsia="zh-CN"/>
        </w:rPr>
        <w:t xml:space="preserve">, </w:t>
      </w:r>
      <w:r w:rsidRPr="00112AEF">
        <w:rPr>
          <w:rFonts w:ascii="Book Antiqua" w:hAnsi="Book Antiqua"/>
          <w:color w:val="000000"/>
        </w:rPr>
        <w:t>Pan</w:t>
      </w:r>
      <w:r w:rsidRPr="00112AEF">
        <w:rPr>
          <w:rFonts w:ascii="Book Antiqua" w:eastAsia="宋体" w:hAnsi="Book Antiqua"/>
          <w:color w:val="000000"/>
          <w:lang w:eastAsia="zh-CN"/>
        </w:rPr>
        <w:t xml:space="preserve"> JJ, </w:t>
      </w:r>
      <w:r w:rsidRPr="00112AEF">
        <w:rPr>
          <w:rFonts w:ascii="Book Antiqua" w:hAnsi="Book Antiqua"/>
          <w:color w:val="000000"/>
        </w:rPr>
        <w:t>Romeo</w:t>
      </w:r>
      <w:r>
        <w:rPr>
          <w:rFonts w:ascii="Book Antiqua" w:eastAsia="宋体" w:hAnsi="Book Antiqua"/>
          <w:color w:val="000000"/>
          <w:lang w:eastAsia="zh-CN"/>
        </w:rPr>
        <w:t xml:space="preserve"> </w:t>
      </w:r>
      <w:r w:rsidRPr="00112AEF">
        <w:rPr>
          <w:rFonts w:ascii="Book Antiqua" w:hAnsi="Book Antiqua"/>
          <w:color w:val="000000"/>
        </w:rPr>
        <w:t>R</w:t>
      </w:r>
      <w:r w:rsidRPr="00112AEF">
        <w:rPr>
          <w:rFonts w:ascii="Book Antiqua" w:eastAsia="宋体" w:hAnsi="Book Antiqua"/>
          <w:color w:val="000000"/>
          <w:lang w:eastAsia="zh-CN"/>
        </w:rPr>
        <w:t xml:space="preserve">, </w:t>
      </w:r>
      <w:r>
        <w:rPr>
          <w:rFonts w:ascii="Book Antiqua" w:hAnsi="Book Antiqua"/>
          <w:color w:val="000000"/>
        </w:rPr>
        <w:t>Xu</w:t>
      </w:r>
      <w:r>
        <w:rPr>
          <w:rFonts w:ascii="Book Antiqua" w:eastAsia="宋体" w:hAnsi="Book Antiqua"/>
          <w:color w:val="000000"/>
          <w:lang w:eastAsia="zh-CN"/>
        </w:rPr>
        <w:t xml:space="preserve"> </w:t>
      </w:r>
      <w:r w:rsidRPr="00112AEF">
        <w:rPr>
          <w:rFonts w:ascii="Book Antiqua" w:hAnsi="Book Antiqua"/>
          <w:color w:val="000000"/>
        </w:rPr>
        <w:t>LF</w:t>
      </w:r>
    </w:p>
    <w:p w:rsidR="00AD473F" w:rsidRPr="00112AEF" w:rsidRDefault="00AD473F" w:rsidP="00150DB3">
      <w:pPr>
        <w:ind w:left="482" w:hangingChars="200" w:hanging="482"/>
        <w:jc w:val="right"/>
        <w:rPr>
          <w:rFonts w:ascii="Book Antiqua" w:hAnsi="Book Antiqua"/>
          <w:b/>
        </w:rPr>
      </w:pPr>
      <w:r w:rsidRPr="00112AEF">
        <w:rPr>
          <w:rFonts w:ascii="Book Antiqua" w:hAnsi="Book Antiqua"/>
          <w:b/>
        </w:rPr>
        <w:t>S- Editor:</w:t>
      </w:r>
      <w:r w:rsidRPr="00112AEF">
        <w:rPr>
          <w:rFonts w:ascii="Book Antiqua" w:hAnsi="Book Antiqua"/>
        </w:rPr>
        <w:t xml:space="preserve"> Song XX </w:t>
      </w:r>
      <w:r w:rsidRPr="00112AEF">
        <w:rPr>
          <w:rFonts w:ascii="Book Antiqua" w:hAnsi="Book Antiqua"/>
          <w:b/>
        </w:rPr>
        <w:t>L- Editor:</w:t>
      </w:r>
      <w:r w:rsidRPr="00112AEF">
        <w:rPr>
          <w:rFonts w:ascii="Book Antiqua" w:hAnsi="Book Antiqua"/>
        </w:rPr>
        <w:t xml:space="preserve"> </w:t>
      </w:r>
      <w:r w:rsidRPr="00112AEF">
        <w:rPr>
          <w:rFonts w:ascii="Book Antiqua" w:hAnsi="Book Antiqua"/>
          <w:b/>
        </w:rPr>
        <w:t>E- Editor:</w:t>
      </w:r>
    </w:p>
    <w:p w:rsidR="00AD473F" w:rsidRPr="00112AEF" w:rsidRDefault="00AD473F" w:rsidP="002F5E25">
      <w:pPr>
        <w:spacing w:line="360" w:lineRule="auto"/>
        <w:jc w:val="both"/>
        <w:rPr>
          <w:rFonts w:ascii="Book Antiqua" w:eastAsia="宋体" w:hAnsi="Book Antiqua"/>
          <w:b/>
          <w:kern w:val="2"/>
          <w:u w:color="000000"/>
          <w:lang w:eastAsia="zh-CN"/>
        </w:rPr>
      </w:pPr>
    </w:p>
    <w:p w:rsidR="00AD473F" w:rsidRPr="00112AEF" w:rsidRDefault="00AD473F" w:rsidP="002F5E25">
      <w:pPr>
        <w:spacing w:line="360" w:lineRule="auto"/>
        <w:jc w:val="both"/>
        <w:rPr>
          <w:rFonts w:ascii="Book Antiqua" w:eastAsia="宋体" w:hAnsi="Book Antiqua"/>
          <w:b/>
          <w:kern w:val="2"/>
          <w:u w:color="000000"/>
          <w:lang w:eastAsia="zh-CN"/>
        </w:rPr>
      </w:pPr>
    </w:p>
    <w:p w:rsidR="00AD473F" w:rsidRPr="00112AEF" w:rsidRDefault="00AD473F" w:rsidP="002F5E25">
      <w:pPr>
        <w:spacing w:line="360" w:lineRule="auto"/>
        <w:jc w:val="both"/>
        <w:rPr>
          <w:rFonts w:ascii="Book Antiqua" w:eastAsia="宋体" w:hAnsi="Book Antiqua"/>
          <w:b/>
          <w:kern w:val="2"/>
          <w:u w:color="000000"/>
          <w:lang w:eastAsia="zh-CN"/>
        </w:rPr>
      </w:pPr>
    </w:p>
    <w:p w:rsidR="00AD473F" w:rsidRPr="00112AEF" w:rsidRDefault="00AD473F" w:rsidP="002F5E25">
      <w:pPr>
        <w:spacing w:line="360" w:lineRule="auto"/>
        <w:jc w:val="both"/>
        <w:rPr>
          <w:rFonts w:ascii="Book Antiqua" w:hAnsi="Book Antiqua"/>
          <w:b/>
          <w:kern w:val="2"/>
          <w:u w:color="000000"/>
          <w:lang w:eastAsia="ja-JP"/>
        </w:rPr>
      </w:pPr>
    </w:p>
    <w:p w:rsidR="00AD473F" w:rsidRPr="00112AEF" w:rsidRDefault="00F524C3" w:rsidP="002F5E25">
      <w:pPr>
        <w:spacing w:line="360" w:lineRule="auto"/>
        <w:jc w:val="both"/>
        <w:rPr>
          <w:rFonts w:ascii="Book Antiqua" w:hAnsi="Book Antiqua"/>
          <w:kern w:val="2"/>
          <w:u w:color="000000"/>
          <w:lang w:eastAsia="ja-JP"/>
        </w:rPr>
      </w:pPr>
      <w:r>
        <w:rPr>
          <w:rFonts w:ascii="Book Antiqua" w:hAnsi="Book Antiqua"/>
          <w:noProof/>
          <w:lang w:eastAsia="zh-CN"/>
        </w:rPr>
        <w:lastRenderedPageBreak/>
        <w:drawing>
          <wp:inline distT="0" distB="0" distL="0" distR="0">
            <wp:extent cx="5558155" cy="5725160"/>
            <wp:effectExtent l="0" t="0" r="4445"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8155" cy="5725160"/>
                    </a:xfrm>
                    <a:prstGeom prst="rect">
                      <a:avLst/>
                    </a:prstGeom>
                    <a:noFill/>
                    <a:ln>
                      <a:noFill/>
                    </a:ln>
                  </pic:spPr>
                </pic:pic>
              </a:graphicData>
            </a:graphic>
          </wp:inline>
        </w:drawing>
      </w:r>
    </w:p>
    <w:p w:rsidR="00AD473F" w:rsidRPr="00112AEF" w:rsidRDefault="00AD473F" w:rsidP="002F5E25">
      <w:pPr>
        <w:spacing w:line="360" w:lineRule="auto"/>
        <w:jc w:val="both"/>
        <w:rPr>
          <w:rFonts w:ascii="Book Antiqua" w:eastAsia="宋体" w:hAnsi="Book Antiqua"/>
          <w:b/>
          <w:kern w:val="2"/>
          <w:u w:color="000000"/>
          <w:lang w:eastAsia="zh-CN"/>
        </w:rPr>
      </w:pPr>
      <w:r w:rsidRPr="00112AEF">
        <w:rPr>
          <w:rFonts w:ascii="Book Antiqua" w:hAnsi="Book Antiqua"/>
          <w:b/>
          <w:kern w:val="2"/>
          <w:u w:color="000000"/>
          <w:lang w:eastAsia="ja-JP"/>
        </w:rPr>
        <w:t>Figure 1</w:t>
      </w:r>
      <w:r w:rsidRPr="00112AEF">
        <w:rPr>
          <w:rFonts w:ascii="Book Antiqua" w:eastAsia="宋体" w:hAnsi="Book Antiqua"/>
          <w:b/>
          <w:kern w:val="2"/>
          <w:u w:color="000000"/>
          <w:lang w:eastAsia="zh-CN"/>
        </w:rPr>
        <w:t xml:space="preserve"> O</w:t>
      </w:r>
      <w:r w:rsidRPr="00112AEF">
        <w:rPr>
          <w:rFonts w:ascii="Book Antiqua" w:hAnsi="Book Antiqua"/>
          <w:b/>
          <w:kern w:val="2"/>
          <w:u w:color="000000"/>
          <w:lang w:eastAsia="ja-JP"/>
        </w:rPr>
        <w:t xml:space="preserve">verall survival </w:t>
      </w:r>
      <w:r w:rsidRPr="00112AEF">
        <w:rPr>
          <w:rFonts w:ascii="Book Antiqua" w:eastAsia="宋体" w:hAnsi="Book Antiqua"/>
          <w:b/>
          <w:kern w:val="2"/>
          <w:u w:color="000000"/>
          <w:lang w:eastAsia="zh-CN"/>
        </w:rPr>
        <w:t>and</w:t>
      </w:r>
      <w:r w:rsidRPr="00112AEF">
        <w:rPr>
          <w:rFonts w:ascii="Book Antiqua" w:hAnsi="Book Antiqua"/>
          <w:b/>
          <w:kern w:val="2"/>
          <w:u w:color="000000"/>
          <w:lang w:eastAsia="ja-JP"/>
        </w:rPr>
        <w:t xml:space="preserve"> skin toxicity</w:t>
      </w:r>
      <w:r w:rsidRPr="00112AEF">
        <w:rPr>
          <w:rFonts w:ascii="Book Antiqua" w:eastAsia="宋体" w:hAnsi="Book Antiqua"/>
          <w:b/>
          <w:kern w:val="2"/>
          <w:u w:color="000000"/>
          <w:lang w:eastAsia="zh-CN"/>
        </w:rPr>
        <w:t xml:space="preserve">. </w:t>
      </w:r>
      <w:r w:rsidRPr="00112AEF">
        <w:rPr>
          <w:rFonts w:ascii="Book Antiqua" w:hAnsi="Book Antiqua"/>
          <w:kern w:val="2"/>
          <w:u w:color="000000"/>
          <w:lang w:eastAsia="ja-JP"/>
        </w:rPr>
        <w:t>Kaplan-Meier curve shows that patients with over grade 2 skin toxicity could live longer. Thus more severe skin toxicity is associated with longer survival.</w:t>
      </w:r>
    </w:p>
    <w:p w:rsidR="00AD473F" w:rsidRPr="00112AEF" w:rsidRDefault="00AD473F" w:rsidP="005B569B">
      <w:pPr>
        <w:jc w:val="both"/>
        <w:rPr>
          <w:rFonts w:ascii="Book Antiqua" w:eastAsia="宋体" w:hAnsi="Book Antiqua" w:cs="Arial"/>
          <w:b/>
          <w:lang w:eastAsia="zh-CN"/>
        </w:rPr>
      </w:pPr>
      <w:r w:rsidRPr="00112AEF">
        <w:rPr>
          <w:rFonts w:ascii="Book Antiqua" w:hAnsi="Book Antiqua" w:cs="Arial"/>
          <w:b/>
          <w:lang w:eastAsia="ja-JP"/>
        </w:rPr>
        <w:br w:type="page"/>
      </w:r>
      <w:r w:rsidRPr="00112AEF">
        <w:rPr>
          <w:rFonts w:ascii="Book Antiqua" w:hAnsi="Book Antiqua"/>
          <w:b/>
          <w:u w:color="000000"/>
        </w:rPr>
        <w:lastRenderedPageBreak/>
        <w:t>Table 1</w:t>
      </w:r>
      <w:r w:rsidRPr="00112AEF">
        <w:rPr>
          <w:rFonts w:ascii="Book Antiqua" w:eastAsia="宋体" w:hAnsi="Book Antiqua"/>
          <w:b/>
          <w:u w:color="000000"/>
          <w:lang w:eastAsia="zh-CN"/>
        </w:rPr>
        <w:t xml:space="preserve"> </w:t>
      </w:r>
      <w:r w:rsidRPr="00112AEF">
        <w:rPr>
          <w:rFonts w:ascii="Book Antiqua" w:hAnsi="Book Antiqua"/>
          <w:b/>
          <w:u w:color="000000"/>
        </w:rPr>
        <w:t xml:space="preserve">Baseline </w:t>
      </w:r>
      <w:r w:rsidRPr="00112AEF">
        <w:rPr>
          <w:rFonts w:ascii="Book Antiqua" w:hAnsi="Book Antiqua"/>
          <w:b/>
          <w:u w:color="000000"/>
          <w:lang w:eastAsia="ja-JP"/>
        </w:rPr>
        <w:t>p</w:t>
      </w:r>
      <w:r w:rsidRPr="00112AEF">
        <w:rPr>
          <w:rFonts w:ascii="Book Antiqua" w:hAnsi="Book Antiqua"/>
          <w:b/>
          <w:u w:color="000000"/>
        </w:rPr>
        <w:t xml:space="preserve">atient </w:t>
      </w:r>
      <w:r w:rsidRPr="00112AEF">
        <w:rPr>
          <w:rFonts w:ascii="Book Antiqua" w:hAnsi="Book Antiqua"/>
          <w:b/>
          <w:u w:color="000000"/>
          <w:lang w:eastAsia="ja-JP"/>
        </w:rPr>
        <w:t>c</w:t>
      </w:r>
      <w:r w:rsidRPr="00112AEF">
        <w:rPr>
          <w:rFonts w:ascii="Book Antiqua" w:hAnsi="Book Antiqua"/>
          <w:b/>
          <w:u w:color="000000"/>
        </w:rPr>
        <w:t>haracteristics</w:t>
      </w:r>
    </w:p>
    <w:tbl>
      <w:tblPr>
        <w:tblW w:w="0" w:type="auto"/>
        <w:tblLayout w:type="fixed"/>
        <w:tblLook w:val="0000" w:firstRow="0" w:lastRow="0" w:firstColumn="0" w:lastColumn="0" w:noHBand="0" w:noVBand="0"/>
      </w:tblPr>
      <w:tblGrid>
        <w:gridCol w:w="3544"/>
        <w:gridCol w:w="1701"/>
        <w:gridCol w:w="4111"/>
      </w:tblGrid>
      <w:tr w:rsidR="00AD473F" w:rsidRPr="00112AEF" w:rsidTr="00DD5228">
        <w:trPr>
          <w:cantSplit/>
          <w:trHeight w:val="304"/>
        </w:trPr>
        <w:tc>
          <w:tcPr>
            <w:tcW w:w="9356" w:type="dxa"/>
            <w:gridSpan w:val="3"/>
            <w:tcBorders>
              <w:top w:val="single" w:sz="12" w:space="0" w:color="000000"/>
              <w:bottom w:val="single" w:sz="12" w:space="0" w:color="000000"/>
              <w:right w:val="none" w:sz="8" w:space="0" w:color="000000"/>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50" w:firstLine="1325"/>
              <w:outlineLvl w:val="0"/>
              <w:rPr>
                <w:rFonts w:ascii="Book Antiqua" w:hAnsi="Book Antiqua"/>
                <w:b/>
                <w:u w:color="000000"/>
              </w:rPr>
            </w:pPr>
            <w:r w:rsidRPr="00112AEF">
              <w:rPr>
                <w:rFonts w:ascii="Book Antiqua" w:hAnsi="Book Antiqua"/>
                <w:b/>
                <w:u w:color="000000"/>
              </w:rPr>
              <w:t xml:space="preserve">Variables </w:t>
            </w:r>
            <w:r w:rsidRPr="00112AEF">
              <w:rPr>
                <w:rFonts w:ascii="Book Antiqua" w:hAnsi="Book Antiqua"/>
                <w:b/>
                <w:u w:color="000000"/>
                <w:lang w:eastAsia="ja-JP"/>
              </w:rPr>
              <w:t xml:space="preserve">                   </w:t>
            </w:r>
            <w:r w:rsidRPr="00112AEF">
              <w:rPr>
                <w:rFonts w:ascii="Book Antiqua" w:hAnsi="Book Antiqua"/>
                <w:b/>
                <w:u w:color="000000"/>
              </w:rPr>
              <w:t xml:space="preserve">Number of </w:t>
            </w:r>
            <w:r>
              <w:rPr>
                <w:rFonts w:ascii="Book Antiqua" w:eastAsia="宋体" w:hAnsi="Book Antiqua"/>
                <w:b/>
                <w:u w:color="000000"/>
                <w:lang w:eastAsia="zh-CN"/>
              </w:rPr>
              <w:t>p</w:t>
            </w:r>
            <w:r w:rsidRPr="00112AEF">
              <w:rPr>
                <w:rFonts w:ascii="Book Antiqua" w:hAnsi="Book Antiqua"/>
                <w:b/>
                <w:u w:color="000000"/>
              </w:rPr>
              <w:t>atients (%)</w:t>
            </w:r>
          </w:p>
        </w:tc>
      </w:tr>
      <w:tr w:rsidR="00AD473F" w:rsidRPr="00112AEF" w:rsidTr="00DD5228">
        <w:trPr>
          <w:cantSplit/>
          <w:trHeight w:val="675"/>
        </w:trPr>
        <w:tc>
          <w:tcPr>
            <w:tcW w:w="3544" w:type="dxa"/>
            <w:tcBorders>
              <w:top w:val="single" w:sz="12"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widowControl w:val="0"/>
              <w:spacing w:line="360" w:lineRule="auto"/>
              <w:ind w:firstLineChars="50" w:firstLine="120"/>
              <w:jc w:val="center"/>
              <w:outlineLvl w:val="0"/>
              <w:rPr>
                <w:rFonts w:ascii="Book Antiqua" w:eastAsia="宋体" w:hAnsi="Book Antiqua"/>
                <w:b/>
                <w:u w:color="000000"/>
                <w:lang w:eastAsia="zh-CN"/>
              </w:rPr>
            </w:pPr>
            <w:r w:rsidRPr="00112AEF">
              <w:rPr>
                <w:rFonts w:ascii="Book Antiqua" w:hAnsi="Book Antiqua"/>
                <w:b/>
                <w:u w:color="000000"/>
              </w:rPr>
              <w:t>Gender</w:t>
            </w:r>
          </w:p>
        </w:tc>
        <w:tc>
          <w:tcPr>
            <w:tcW w:w="1701" w:type="dxa"/>
            <w:tcBorders>
              <w:top w:val="single" w:sz="12" w:space="0" w:color="000000"/>
              <w:left w:val="nil"/>
              <w:bottom w:val="none" w:sz="16" w:space="0" w:color="000000"/>
              <w:right w:val="none" w:sz="16" w:space="0" w:color="000000"/>
            </w:tcBorders>
            <w:shd w:val="clear" w:color="auto" w:fill="FFFFFF"/>
            <w:vAlign w:val="center"/>
          </w:tcPr>
          <w:p w:rsidR="00AD473F" w:rsidRPr="00112AEF" w:rsidRDefault="00AD473F" w:rsidP="005B569B">
            <w:pPr>
              <w:widowControl w:val="0"/>
              <w:spacing w:line="360" w:lineRule="auto"/>
              <w:jc w:val="center"/>
              <w:outlineLvl w:val="0"/>
              <w:rPr>
                <w:rFonts w:ascii="Book Antiqua" w:hAnsi="Book Antiqua"/>
                <w:u w:color="000000"/>
              </w:rPr>
            </w:pPr>
            <w:r w:rsidRPr="00112AEF">
              <w:rPr>
                <w:rFonts w:ascii="Book Antiqua" w:hAnsi="Book Antiqua"/>
                <w:u w:color="000000"/>
                <w:lang w:eastAsia="ja-JP"/>
              </w:rPr>
              <w:t>M</w:t>
            </w:r>
            <w:r w:rsidRPr="00112AEF">
              <w:rPr>
                <w:rFonts w:ascii="Book Antiqua" w:hAnsi="Book Antiqua"/>
                <w:u w:color="000000"/>
              </w:rPr>
              <w:t>ale</w:t>
            </w:r>
          </w:p>
          <w:p w:rsidR="00AD473F" w:rsidRPr="00112AEF" w:rsidRDefault="00AD473F" w:rsidP="005B569B">
            <w:pPr>
              <w:widowControl w:val="0"/>
              <w:spacing w:line="360" w:lineRule="auto"/>
              <w:jc w:val="center"/>
              <w:outlineLvl w:val="0"/>
              <w:rPr>
                <w:rFonts w:ascii="Book Antiqua" w:hAnsi="Book Antiqua"/>
                <w:u w:color="000000"/>
              </w:rPr>
            </w:pPr>
            <w:r w:rsidRPr="00112AEF">
              <w:rPr>
                <w:rFonts w:ascii="Book Antiqua" w:hAnsi="Book Antiqua"/>
                <w:u w:color="000000"/>
                <w:lang w:eastAsia="ja-JP"/>
              </w:rPr>
              <w:t>F</w:t>
            </w:r>
            <w:r w:rsidRPr="00112AEF">
              <w:rPr>
                <w:rFonts w:ascii="Book Antiqua" w:hAnsi="Book Antiqua"/>
                <w:u w:color="000000"/>
              </w:rPr>
              <w:t>emale</w:t>
            </w:r>
          </w:p>
        </w:tc>
        <w:tc>
          <w:tcPr>
            <w:tcW w:w="4111" w:type="dxa"/>
            <w:tcBorders>
              <w:top w:val="single" w:sz="12"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widowControl w:val="0"/>
              <w:spacing w:line="360" w:lineRule="auto"/>
              <w:jc w:val="center"/>
              <w:outlineLvl w:val="0"/>
              <w:rPr>
                <w:rFonts w:ascii="Book Antiqua" w:hAnsi="Book Antiqua"/>
                <w:u w:color="000000"/>
              </w:rPr>
            </w:pPr>
            <w:r w:rsidRPr="00112AEF">
              <w:rPr>
                <w:rFonts w:ascii="Book Antiqua" w:hAnsi="Book Antiqua"/>
                <w:u w:color="000000"/>
              </w:rPr>
              <w:t>30 (81)</w:t>
            </w:r>
          </w:p>
          <w:p w:rsidR="00AD473F" w:rsidRPr="00112AEF" w:rsidRDefault="00AD473F" w:rsidP="005B569B">
            <w:pPr>
              <w:widowControl w:val="0"/>
              <w:spacing w:line="360" w:lineRule="auto"/>
              <w:jc w:val="center"/>
              <w:outlineLvl w:val="0"/>
              <w:rPr>
                <w:rFonts w:ascii="Book Antiqua" w:hAnsi="Book Antiqua"/>
                <w:u w:color="000000"/>
              </w:rPr>
            </w:pPr>
            <w:r w:rsidRPr="00112AEF">
              <w:rPr>
                <w:rFonts w:ascii="Book Antiqua" w:hAnsi="Book Antiqua"/>
                <w:u w:color="000000"/>
              </w:rPr>
              <w:t>7 (19)</w:t>
            </w:r>
          </w:p>
        </w:tc>
      </w:tr>
      <w:tr w:rsidR="00AD473F" w:rsidRPr="00112AEF" w:rsidTr="00DD5228">
        <w:trPr>
          <w:cantSplit/>
          <w:trHeight w:val="703"/>
        </w:trPr>
        <w:tc>
          <w:tcPr>
            <w:tcW w:w="3544" w:type="dxa"/>
            <w:tcBorders>
              <w:top w:val="none" w:sz="16"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eastAsia="宋体" w:hAnsi="Book Antiqua"/>
                <w:b/>
                <w:u w:color="000000"/>
                <w:lang w:eastAsia="zh-CN"/>
              </w:rPr>
            </w:pPr>
            <w:r w:rsidRPr="00112AEF">
              <w:rPr>
                <w:rFonts w:ascii="Book Antiqua" w:hAnsi="Book Antiqua"/>
                <w:b/>
                <w:u w:color="000000"/>
              </w:rPr>
              <w:t>Age</w:t>
            </w:r>
            <w:r w:rsidRPr="00112AEF">
              <w:rPr>
                <w:rFonts w:ascii="Book Antiqua" w:hAnsi="Book Antiqua"/>
                <w:b/>
                <w:u w:color="000000"/>
                <w:lang w:eastAsia="ja-JP"/>
              </w:rPr>
              <w:t xml:space="preserve">, </w:t>
            </w:r>
            <w:r w:rsidRPr="00112AEF">
              <w:rPr>
                <w:rFonts w:ascii="Book Antiqua" w:hAnsi="Book Antiqua"/>
                <w:b/>
                <w:u w:color="000000"/>
              </w:rPr>
              <w:t>yr</w:t>
            </w:r>
          </w:p>
        </w:tc>
        <w:tc>
          <w:tcPr>
            <w:tcW w:w="1701" w:type="dxa"/>
            <w:tcBorders>
              <w:top w:val="none" w:sz="16" w:space="0" w:color="000000"/>
              <w:left w:val="nil"/>
              <w:bottom w:val="none" w:sz="16"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&gt;</w:t>
            </w:r>
            <w:r w:rsidRPr="00112AEF">
              <w:rPr>
                <w:rFonts w:ascii="Book Antiqua" w:eastAsia="宋体" w:hAnsi="Book Antiqua"/>
                <w:u w:color="000000"/>
                <w:lang w:eastAsia="zh-CN"/>
              </w:rPr>
              <w:t xml:space="preserve"> </w:t>
            </w:r>
            <w:r w:rsidRPr="00112AEF">
              <w:rPr>
                <w:rFonts w:ascii="Book Antiqua" w:hAnsi="Book Antiqua"/>
                <w:u w:color="000000"/>
                <w:lang w:eastAsia="ja-JP"/>
              </w:rPr>
              <w:t>70</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cs="Arial"/>
                <w:u w:color="000000"/>
                <w:lang w:eastAsia="ja-JP"/>
              </w:rPr>
              <w:t>≤</w:t>
            </w:r>
            <w:r w:rsidRPr="00112AEF">
              <w:rPr>
                <w:rFonts w:ascii="Book Antiqua" w:eastAsia="宋体" w:hAnsi="Book Antiqua" w:cs="Arial"/>
                <w:u w:color="000000"/>
                <w:lang w:eastAsia="zh-CN"/>
              </w:rPr>
              <w:t xml:space="preserve"> </w:t>
            </w:r>
            <w:r w:rsidRPr="00112AEF">
              <w:rPr>
                <w:rFonts w:ascii="Book Antiqua" w:hAnsi="Book Antiqua"/>
                <w:u w:color="000000"/>
                <w:lang w:eastAsia="ja-JP"/>
              </w:rPr>
              <w:t>70</w:t>
            </w:r>
          </w:p>
        </w:tc>
        <w:tc>
          <w:tcPr>
            <w:tcW w:w="411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rPr>
              <w:t>19 (51)</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18 (49)</w:t>
            </w:r>
          </w:p>
        </w:tc>
      </w:tr>
      <w:tr w:rsidR="00AD473F" w:rsidRPr="00112AEF" w:rsidTr="00DD5228">
        <w:trPr>
          <w:cantSplit/>
          <w:trHeight w:val="320"/>
        </w:trPr>
        <w:tc>
          <w:tcPr>
            <w:tcW w:w="3544" w:type="dxa"/>
            <w:tcBorders>
              <w:top w:val="none" w:sz="16"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eastAsia="宋体" w:hAnsi="Book Antiqua"/>
                <w:b/>
                <w:u w:color="000000"/>
                <w:lang w:eastAsia="zh-CN"/>
              </w:rPr>
            </w:pPr>
            <w:r w:rsidRPr="00112AEF">
              <w:rPr>
                <w:rFonts w:ascii="Book Antiqua" w:hAnsi="Book Antiqua"/>
                <w:b/>
                <w:u w:color="000000"/>
              </w:rPr>
              <w:t>Child–</w:t>
            </w:r>
            <w:r w:rsidRPr="00112AEF">
              <w:rPr>
                <w:rFonts w:ascii="Book Antiqua" w:eastAsia="宋体" w:hAnsi="Book Antiqua"/>
                <w:b/>
                <w:u w:color="000000"/>
                <w:lang w:eastAsia="zh-CN"/>
              </w:rPr>
              <w:t>p</w:t>
            </w:r>
            <w:r w:rsidRPr="00112AEF">
              <w:rPr>
                <w:rFonts w:ascii="Book Antiqua" w:hAnsi="Book Antiqua"/>
                <w:b/>
                <w:u w:color="000000"/>
              </w:rPr>
              <w:t>ugh class</w:t>
            </w:r>
          </w:p>
        </w:tc>
        <w:tc>
          <w:tcPr>
            <w:tcW w:w="1701" w:type="dxa"/>
            <w:tcBorders>
              <w:top w:val="none" w:sz="16" w:space="0" w:color="000000"/>
              <w:left w:val="nil"/>
              <w:bottom w:val="none" w:sz="16"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rPr>
              <w:t>A</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B</w:t>
            </w:r>
          </w:p>
        </w:tc>
        <w:tc>
          <w:tcPr>
            <w:tcW w:w="411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33 (89)</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4 (11)</w:t>
            </w:r>
          </w:p>
        </w:tc>
      </w:tr>
      <w:tr w:rsidR="00AD473F" w:rsidRPr="00112AEF" w:rsidTr="00DD5228">
        <w:trPr>
          <w:cantSplit/>
          <w:trHeight w:val="320"/>
        </w:trPr>
        <w:tc>
          <w:tcPr>
            <w:tcW w:w="3544" w:type="dxa"/>
            <w:tcBorders>
              <w:top w:val="none" w:sz="16"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eastAsia="宋体" w:hAnsi="Book Antiqua"/>
                <w:b/>
                <w:u w:color="000000"/>
                <w:lang w:eastAsia="zh-CN"/>
              </w:rPr>
            </w:pPr>
            <w:r w:rsidRPr="00112AEF">
              <w:rPr>
                <w:rFonts w:ascii="Book Antiqua" w:hAnsi="Book Antiqua"/>
                <w:b/>
                <w:u w:color="000000"/>
              </w:rPr>
              <w:t>Etiology</w:t>
            </w:r>
          </w:p>
        </w:tc>
        <w:tc>
          <w:tcPr>
            <w:tcW w:w="1701" w:type="dxa"/>
            <w:tcBorders>
              <w:top w:val="none" w:sz="16" w:space="0" w:color="000000"/>
              <w:left w:val="nil"/>
              <w:bottom w:val="none" w:sz="16"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HCV</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HBV</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Others</w:t>
            </w:r>
          </w:p>
        </w:tc>
        <w:tc>
          <w:tcPr>
            <w:tcW w:w="411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20 (54)</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11 (30)</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6 (16)</w:t>
            </w:r>
          </w:p>
        </w:tc>
      </w:tr>
      <w:tr w:rsidR="00AD473F" w:rsidRPr="00112AEF" w:rsidTr="00DD5228">
        <w:trPr>
          <w:cantSplit/>
          <w:trHeight w:val="320"/>
        </w:trPr>
        <w:tc>
          <w:tcPr>
            <w:tcW w:w="3544" w:type="dxa"/>
            <w:tcBorders>
              <w:top w:val="none" w:sz="16"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eastAsia="宋体" w:hAnsi="Book Antiqua"/>
                <w:b/>
                <w:u w:color="000000"/>
                <w:lang w:eastAsia="zh-CN"/>
              </w:rPr>
            </w:pPr>
            <w:r w:rsidRPr="00112AEF">
              <w:rPr>
                <w:rFonts w:ascii="Book Antiqua" w:hAnsi="Book Antiqua"/>
                <w:b/>
                <w:u w:color="000000"/>
              </w:rPr>
              <w:t>TNM stage</w:t>
            </w:r>
          </w:p>
        </w:tc>
        <w:tc>
          <w:tcPr>
            <w:tcW w:w="1701" w:type="dxa"/>
            <w:tcBorders>
              <w:top w:val="none" w:sz="16" w:space="0" w:color="000000"/>
              <w:left w:val="nil"/>
              <w:bottom w:val="none" w:sz="16"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III</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IVa</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IVb</w:t>
            </w:r>
          </w:p>
        </w:tc>
        <w:tc>
          <w:tcPr>
            <w:tcW w:w="411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16 (43)</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8 (22)</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13 (35)</w:t>
            </w:r>
          </w:p>
        </w:tc>
      </w:tr>
      <w:tr w:rsidR="00AD473F" w:rsidRPr="00112AEF" w:rsidTr="00DD5228">
        <w:trPr>
          <w:cantSplit/>
          <w:trHeight w:val="320"/>
        </w:trPr>
        <w:tc>
          <w:tcPr>
            <w:tcW w:w="3544" w:type="dxa"/>
            <w:tcBorders>
              <w:top w:val="none" w:sz="16"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eastAsia="宋体" w:hAnsi="Book Antiqua"/>
                <w:b/>
                <w:u w:color="000000"/>
                <w:lang w:eastAsia="zh-CN"/>
              </w:rPr>
            </w:pPr>
            <w:r w:rsidRPr="00112AEF">
              <w:rPr>
                <w:rFonts w:ascii="Book Antiqua" w:hAnsi="Book Antiqua"/>
                <w:b/>
                <w:u w:color="000000"/>
              </w:rPr>
              <w:t>Previous therapies</w:t>
            </w:r>
          </w:p>
        </w:tc>
        <w:tc>
          <w:tcPr>
            <w:tcW w:w="1701" w:type="dxa"/>
            <w:tcBorders>
              <w:top w:val="none" w:sz="16" w:space="0" w:color="000000"/>
              <w:left w:val="nil"/>
              <w:bottom w:val="none" w:sz="16"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lang w:eastAsia="ja-JP"/>
              </w:rPr>
              <w:t>Yes</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No</w:t>
            </w:r>
          </w:p>
        </w:tc>
        <w:tc>
          <w:tcPr>
            <w:tcW w:w="411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31 (84)</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6 (</w:t>
            </w:r>
            <w:r w:rsidRPr="00112AEF">
              <w:rPr>
                <w:rFonts w:ascii="Book Antiqua" w:hAnsi="Book Antiqua"/>
                <w:u w:color="000000"/>
                <w:lang w:eastAsia="ja-JP"/>
              </w:rPr>
              <w:t>1</w:t>
            </w:r>
            <w:r w:rsidRPr="00112AEF">
              <w:rPr>
                <w:rFonts w:ascii="Book Antiqua" w:hAnsi="Book Antiqua"/>
                <w:u w:color="000000"/>
              </w:rPr>
              <w:t>6)</w:t>
            </w:r>
          </w:p>
        </w:tc>
      </w:tr>
      <w:tr w:rsidR="00AD473F" w:rsidRPr="00112AEF" w:rsidTr="00DD5228">
        <w:trPr>
          <w:cantSplit/>
          <w:trHeight w:val="320"/>
        </w:trPr>
        <w:tc>
          <w:tcPr>
            <w:tcW w:w="3544" w:type="dxa"/>
            <w:tcBorders>
              <w:top w:val="none" w:sz="16"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hAnsi="Book Antiqua"/>
                <w:b/>
                <w:u w:color="000000"/>
                <w:lang w:eastAsia="ja-JP"/>
              </w:rPr>
            </w:pPr>
            <w:r w:rsidRPr="00112AEF">
              <w:rPr>
                <w:rFonts w:ascii="Book Antiqua" w:hAnsi="Book Antiqua"/>
                <w:b/>
                <w:u w:color="000000"/>
              </w:rPr>
              <w:t>AFP, ng/m</w:t>
            </w:r>
            <w:r w:rsidRPr="00112AEF">
              <w:rPr>
                <w:rFonts w:ascii="Book Antiqua" w:hAnsi="Book Antiqua"/>
                <w:b/>
                <w:u w:color="000000"/>
                <w:lang w:eastAsia="ja-JP"/>
              </w:rPr>
              <w:t>L</w:t>
            </w:r>
          </w:p>
        </w:tc>
        <w:tc>
          <w:tcPr>
            <w:tcW w:w="1701" w:type="dxa"/>
            <w:tcBorders>
              <w:top w:val="none" w:sz="16" w:space="0" w:color="000000"/>
              <w:left w:val="nil"/>
              <w:bottom w:val="none" w:sz="16"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&gt;</w:t>
            </w:r>
            <w:r w:rsidRPr="00112AEF">
              <w:rPr>
                <w:rFonts w:ascii="Book Antiqua" w:eastAsia="宋体" w:hAnsi="Book Antiqua"/>
                <w:u w:color="000000"/>
                <w:lang w:eastAsia="zh-CN"/>
              </w:rPr>
              <w:t xml:space="preserve"> </w:t>
            </w:r>
            <w:r w:rsidRPr="00112AEF">
              <w:rPr>
                <w:rFonts w:ascii="Book Antiqua" w:hAnsi="Book Antiqua"/>
                <w:u w:color="000000"/>
                <w:lang w:eastAsia="ja-JP"/>
              </w:rPr>
              <w:t>100</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cs="Arial"/>
                <w:u w:color="000000"/>
                <w:lang w:eastAsia="ja-JP"/>
              </w:rPr>
              <w:t>≤</w:t>
            </w:r>
            <w:r w:rsidRPr="00112AEF">
              <w:rPr>
                <w:rFonts w:ascii="Book Antiqua" w:eastAsia="宋体" w:hAnsi="Book Antiqua" w:cs="Arial"/>
                <w:u w:color="000000"/>
                <w:lang w:eastAsia="zh-CN"/>
              </w:rPr>
              <w:t xml:space="preserve"> </w:t>
            </w:r>
            <w:r w:rsidRPr="00112AEF">
              <w:rPr>
                <w:rFonts w:ascii="Book Antiqua" w:hAnsi="Book Antiqua"/>
                <w:u w:color="000000"/>
                <w:lang w:eastAsia="ja-JP"/>
              </w:rPr>
              <w:t>100</w:t>
            </w:r>
          </w:p>
        </w:tc>
        <w:tc>
          <w:tcPr>
            <w:tcW w:w="411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20 (54)</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17 (46)</w:t>
            </w:r>
          </w:p>
        </w:tc>
      </w:tr>
      <w:tr w:rsidR="00AD473F" w:rsidRPr="00112AEF" w:rsidTr="00DD5228">
        <w:trPr>
          <w:cantSplit/>
          <w:trHeight w:val="320"/>
        </w:trPr>
        <w:tc>
          <w:tcPr>
            <w:tcW w:w="3544" w:type="dxa"/>
            <w:tcBorders>
              <w:top w:val="none" w:sz="16"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hAnsi="Book Antiqua"/>
                <w:b/>
                <w:u w:color="000000"/>
                <w:lang w:eastAsia="ja-JP"/>
              </w:rPr>
            </w:pPr>
            <w:r w:rsidRPr="00112AEF">
              <w:rPr>
                <w:rFonts w:ascii="Book Antiqua" w:hAnsi="Book Antiqua"/>
                <w:b/>
                <w:u w:color="000000"/>
              </w:rPr>
              <w:t>DCP, mAU/m</w:t>
            </w:r>
            <w:r w:rsidRPr="00112AEF">
              <w:rPr>
                <w:rFonts w:ascii="Book Antiqua" w:hAnsi="Book Antiqua"/>
                <w:b/>
                <w:u w:color="000000"/>
                <w:lang w:eastAsia="ja-JP"/>
              </w:rPr>
              <w:t>L</w:t>
            </w:r>
            <w:r w:rsidRPr="00112AEF">
              <w:rPr>
                <w:rFonts w:ascii="Book Antiqua" w:hAnsi="Book Antiqua"/>
                <w:b/>
                <w:u w:color="000000"/>
                <w:vertAlign w:val="superscript"/>
                <w:lang w:eastAsia="ja-JP"/>
              </w:rPr>
              <w:t>a</w:t>
            </w:r>
          </w:p>
        </w:tc>
        <w:tc>
          <w:tcPr>
            <w:tcW w:w="1701" w:type="dxa"/>
            <w:tcBorders>
              <w:top w:val="none" w:sz="16" w:space="0" w:color="000000"/>
              <w:left w:val="nil"/>
              <w:bottom w:val="none" w:sz="16"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&gt;</w:t>
            </w:r>
            <w:r w:rsidRPr="00112AEF">
              <w:rPr>
                <w:rFonts w:ascii="Book Antiqua" w:eastAsia="宋体" w:hAnsi="Book Antiqua"/>
                <w:u w:color="000000"/>
                <w:lang w:eastAsia="zh-CN"/>
              </w:rPr>
              <w:t xml:space="preserve"> </w:t>
            </w:r>
            <w:r w:rsidRPr="00112AEF">
              <w:rPr>
                <w:rFonts w:ascii="Book Antiqua" w:hAnsi="Book Antiqua"/>
                <w:u w:color="000000"/>
                <w:lang w:eastAsia="ja-JP"/>
              </w:rPr>
              <w:t>1000</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cs="Arial"/>
                <w:u w:color="000000"/>
                <w:lang w:eastAsia="ja-JP"/>
              </w:rPr>
              <w:t>≤</w:t>
            </w:r>
            <w:r w:rsidRPr="00112AEF">
              <w:rPr>
                <w:rFonts w:ascii="Book Antiqua" w:eastAsia="宋体" w:hAnsi="Book Antiqua" w:cs="Arial"/>
                <w:u w:color="000000"/>
                <w:lang w:eastAsia="zh-CN"/>
              </w:rPr>
              <w:t xml:space="preserve"> </w:t>
            </w:r>
            <w:r w:rsidRPr="00112AEF">
              <w:rPr>
                <w:rFonts w:ascii="Book Antiqua" w:hAnsi="Book Antiqua"/>
                <w:u w:color="000000"/>
                <w:lang w:eastAsia="ja-JP"/>
              </w:rPr>
              <w:t>1000</w:t>
            </w:r>
          </w:p>
        </w:tc>
        <w:tc>
          <w:tcPr>
            <w:tcW w:w="411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20 (59)</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14 (41)</w:t>
            </w:r>
          </w:p>
        </w:tc>
      </w:tr>
      <w:tr w:rsidR="00AD473F" w:rsidRPr="00112AEF" w:rsidTr="00DD5228">
        <w:trPr>
          <w:cantSplit/>
          <w:trHeight w:val="320"/>
        </w:trPr>
        <w:tc>
          <w:tcPr>
            <w:tcW w:w="3544" w:type="dxa"/>
            <w:tcBorders>
              <w:top w:val="none" w:sz="16" w:space="0" w:color="000000"/>
              <w:bottom w:val="none" w:sz="16"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eastAsia="宋体" w:hAnsi="Book Antiqua"/>
                <w:b/>
                <w:u w:color="000000"/>
                <w:lang w:eastAsia="zh-CN"/>
              </w:rPr>
            </w:pPr>
            <w:r w:rsidRPr="00112AEF">
              <w:rPr>
                <w:rFonts w:ascii="Book Antiqua" w:hAnsi="Book Antiqua"/>
                <w:b/>
                <w:u w:color="000000"/>
                <w:lang w:eastAsia="ja-JP"/>
              </w:rPr>
              <w:t>Initial d</w:t>
            </w:r>
            <w:r w:rsidRPr="00112AEF">
              <w:rPr>
                <w:rFonts w:ascii="Book Antiqua" w:hAnsi="Book Antiqua"/>
                <w:b/>
                <w:u w:color="000000"/>
              </w:rPr>
              <w:t>ose of sorafenib</w:t>
            </w:r>
            <w:r w:rsidRPr="00112AEF">
              <w:rPr>
                <w:rFonts w:ascii="Book Antiqua" w:hAnsi="Book Antiqua"/>
                <w:b/>
                <w:u w:color="000000"/>
                <w:lang w:eastAsia="ja-JP"/>
              </w:rPr>
              <w:t xml:space="preserve">, </w:t>
            </w:r>
            <w:r w:rsidRPr="00112AEF">
              <w:rPr>
                <w:rFonts w:ascii="Book Antiqua" w:hAnsi="Book Antiqua"/>
                <w:b/>
                <w:u w:color="000000"/>
              </w:rPr>
              <w:t>mg</w:t>
            </w:r>
            <w:r w:rsidRPr="00112AEF">
              <w:rPr>
                <w:rFonts w:ascii="Book Antiqua" w:hAnsi="Book Antiqua"/>
                <w:b/>
                <w:u w:color="000000"/>
                <w:lang w:eastAsia="ja-JP"/>
              </w:rPr>
              <w:t>/d</w:t>
            </w:r>
          </w:p>
        </w:tc>
        <w:tc>
          <w:tcPr>
            <w:tcW w:w="1701" w:type="dxa"/>
            <w:tcBorders>
              <w:top w:val="none" w:sz="16" w:space="0" w:color="000000"/>
              <w:left w:val="nil"/>
              <w:bottom w:val="none" w:sz="16"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rPr>
              <w:t>800</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cs="Arial"/>
                <w:u w:color="000000"/>
                <w:lang w:eastAsia="ja-JP"/>
              </w:rPr>
              <w:t>&lt;</w:t>
            </w:r>
            <w:r w:rsidRPr="00112AEF">
              <w:rPr>
                <w:rFonts w:ascii="Book Antiqua" w:hAnsi="Book Antiqua"/>
                <w:u w:color="000000"/>
                <w:lang w:eastAsia="ja-JP"/>
              </w:rPr>
              <w:t>8</w:t>
            </w:r>
            <w:r w:rsidRPr="00112AEF">
              <w:rPr>
                <w:rFonts w:ascii="Book Antiqua" w:hAnsi="Book Antiqua"/>
                <w:u w:color="000000"/>
              </w:rPr>
              <w:t>00</w:t>
            </w:r>
          </w:p>
        </w:tc>
        <w:tc>
          <w:tcPr>
            <w:tcW w:w="411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2</w:t>
            </w:r>
            <w:r w:rsidRPr="00112AEF">
              <w:rPr>
                <w:rFonts w:ascii="Book Antiqua" w:hAnsi="Book Antiqua"/>
                <w:u w:color="000000"/>
                <w:lang w:eastAsia="ja-JP"/>
              </w:rPr>
              <w:t>1</w:t>
            </w:r>
            <w:r w:rsidRPr="00112AEF">
              <w:rPr>
                <w:rFonts w:ascii="Book Antiqua" w:hAnsi="Book Antiqua"/>
                <w:u w:color="000000"/>
              </w:rPr>
              <w:t xml:space="preserve"> (5</w:t>
            </w:r>
            <w:r w:rsidRPr="00112AEF">
              <w:rPr>
                <w:rFonts w:ascii="Book Antiqua" w:hAnsi="Book Antiqua"/>
                <w:u w:color="000000"/>
                <w:lang w:eastAsia="ja-JP"/>
              </w:rPr>
              <w:t>7</w:t>
            </w:r>
            <w:r w:rsidRPr="00112AEF">
              <w:rPr>
                <w:rFonts w:ascii="Book Antiqua" w:hAnsi="Book Antiqua"/>
                <w:u w:color="000000"/>
              </w:rPr>
              <w:t>)</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16</w:t>
            </w:r>
            <w:r w:rsidRPr="00112AEF">
              <w:rPr>
                <w:rFonts w:ascii="Book Antiqua" w:hAnsi="Book Antiqua"/>
                <w:u w:color="000000"/>
              </w:rPr>
              <w:t xml:space="preserve"> (</w:t>
            </w:r>
            <w:r w:rsidRPr="00112AEF">
              <w:rPr>
                <w:rFonts w:ascii="Book Antiqua" w:hAnsi="Book Antiqua"/>
                <w:u w:color="000000"/>
                <w:lang w:eastAsia="ja-JP"/>
              </w:rPr>
              <w:t>43</w:t>
            </w:r>
            <w:r w:rsidRPr="00112AEF">
              <w:rPr>
                <w:rFonts w:ascii="Book Antiqua" w:hAnsi="Book Antiqua"/>
                <w:u w:color="000000"/>
              </w:rPr>
              <w:t>)</w:t>
            </w:r>
          </w:p>
        </w:tc>
      </w:tr>
      <w:tr w:rsidR="00AD473F" w:rsidRPr="00112AEF" w:rsidTr="00DD5228">
        <w:trPr>
          <w:cantSplit/>
          <w:trHeight w:val="320"/>
        </w:trPr>
        <w:tc>
          <w:tcPr>
            <w:tcW w:w="3544" w:type="dxa"/>
            <w:tcBorders>
              <w:top w:val="none" w:sz="16" w:space="0" w:color="000000"/>
              <w:bottom w:val="single" w:sz="12" w:space="0" w:color="000000"/>
              <w:right w:val="nil"/>
            </w:tcBorders>
            <w:shd w:val="clear" w:color="auto" w:fill="FFFFFF"/>
            <w:tcMar>
              <w:top w:w="80" w:type="dxa"/>
              <w:left w:w="0" w:type="dxa"/>
              <w:bottom w:w="80" w:type="dxa"/>
              <w:right w:w="0" w:type="dxa"/>
            </w:tcMar>
            <w:vAlign w:val="center"/>
          </w:tcPr>
          <w:p w:rsidR="00AD473F" w:rsidRPr="00112AEF" w:rsidRDefault="00AD473F" w:rsidP="00150DB3">
            <w:pPr>
              <w:spacing w:line="360" w:lineRule="auto"/>
              <w:ind w:firstLineChars="50" w:firstLine="120"/>
              <w:jc w:val="center"/>
              <w:outlineLvl w:val="0"/>
              <w:rPr>
                <w:rFonts w:ascii="Book Antiqua" w:eastAsia="宋体" w:hAnsi="Book Antiqua"/>
                <w:b/>
                <w:u w:color="000000"/>
                <w:lang w:eastAsia="zh-CN"/>
              </w:rPr>
            </w:pPr>
            <w:r w:rsidRPr="00112AEF">
              <w:rPr>
                <w:rFonts w:ascii="Book Antiqua" w:hAnsi="Book Antiqua"/>
                <w:b/>
                <w:u w:color="000000"/>
              </w:rPr>
              <w:t xml:space="preserve">Nursing </w:t>
            </w:r>
            <w:r w:rsidRPr="00112AEF">
              <w:rPr>
                <w:rFonts w:ascii="Book Antiqua" w:hAnsi="Book Antiqua"/>
                <w:b/>
                <w:u w:color="000000"/>
                <w:lang w:eastAsia="ja-JP"/>
              </w:rPr>
              <w:t>i</w:t>
            </w:r>
            <w:r w:rsidRPr="00112AEF">
              <w:rPr>
                <w:rFonts w:ascii="Book Antiqua" w:hAnsi="Book Antiqua"/>
                <w:b/>
                <w:u w:color="000000"/>
              </w:rPr>
              <w:t>ntervention</w:t>
            </w:r>
          </w:p>
        </w:tc>
        <w:tc>
          <w:tcPr>
            <w:tcW w:w="1701" w:type="dxa"/>
            <w:tcBorders>
              <w:top w:val="none" w:sz="16" w:space="0" w:color="000000"/>
              <w:left w:val="nil"/>
              <w:bottom w:val="single" w:sz="12" w:space="0" w:color="000000"/>
              <w:right w:val="none" w:sz="16" w:space="0" w:color="000000"/>
            </w:tcBorders>
            <w:shd w:val="clear" w:color="auto" w:fill="FFFFFF"/>
            <w:vAlign w:val="center"/>
          </w:tcPr>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Yes</w:t>
            </w:r>
          </w:p>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lang w:eastAsia="ja-JP"/>
              </w:rPr>
              <w:t>No</w:t>
            </w:r>
          </w:p>
        </w:tc>
        <w:tc>
          <w:tcPr>
            <w:tcW w:w="4111" w:type="dxa"/>
            <w:tcBorders>
              <w:top w:val="none" w:sz="16" w:space="0" w:color="000000"/>
              <w:left w:val="none" w:sz="16" w:space="0" w:color="000000"/>
              <w:bottom w:val="single" w:sz="12"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5B569B">
            <w:pPr>
              <w:spacing w:line="360" w:lineRule="auto"/>
              <w:jc w:val="center"/>
              <w:outlineLvl w:val="0"/>
              <w:rPr>
                <w:rFonts w:ascii="Book Antiqua" w:hAnsi="Book Antiqua"/>
                <w:u w:color="000000"/>
              </w:rPr>
            </w:pPr>
            <w:r w:rsidRPr="00112AEF">
              <w:rPr>
                <w:rFonts w:ascii="Book Antiqua" w:hAnsi="Book Antiqua"/>
                <w:u w:color="000000"/>
              </w:rPr>
              <w:t>24 (6</w:t>
            </w:r>
            <w:r w:rsidRPr="00112AEF">
              <w:rPr>
                <w:rFonts w:ascii="Book Antiqua" w:hAnsi="Book Antiqua"/>
                <w:u w:color="000000"/>
                <w:lang w:eastAsia="ja-JP"/>
              </w:rPr>
              <w:t>5</w:t>
            </w:r>
            <w:r w:rsidRPr="00112AEF">
              <w:rPr>
                <w:rFonts w:ascii="Book Antiqua" w:hAnsi="Book Antiqua"/>
                <w:u w:color="000000"/>
              </w:rPr>
              <w:t>)</w:t>
            </w:r>
          </w:p>
          <w:p w:rsidR="00AD473F" w:rsidRPr="00112AEF" w:rsidRDefault="00AD473F" w:rsidP="005B569B">
            <w:pPr>
              <w:spacing w:line="360" w:lineRule="auto"/>
              <w:jc w:val="center"/>
              <w:outlineLvl w:val="0"/>
              <w:rPr>
                <w:rFonts w:ascii="Book Antiqua" w:hAnsi="Book Antiqua"/>
                <w:u w:color="000000"/>
                <w:lang w:eastAsia="ja-JP"/>
              </w:rPr>
            </w:pPr>
            <w:r w:rsidRPr="00112AEF">
              <w:rPr>
                <w:rFonts w:ascii="Book Antiqua" w:hAnsi="Book Antiqua"/>
                <w:u w:color="000000"/>
              </w:rPr>
              <w:t>13 (3</w:t>
            </w:r>
            <w:r w:rsidRPr="00112AEF">
              <w:rPr>
                <w:rFonts w:ascii="Book Antiqua" w:hAnsi="Book Antiqua"/>
                <w:u w:color="000000"/>
                <w:lang w:eastAsia="ja-JP"/>
              </w:rPr>
              <w:t>5</w:t>
            </w:r>
            <w:r w:rsidRPr="00112AEF">
              <w:rPr>
                <w:rFonts w:ascii="Book Antiqua" w:hAnsi="Book Antiqua"/>
                <w:u w:color="000000"/>
              </w:rPr>
              <w:t>)</w:t>
            </w:r>
          </w:p>
        </w:tc>
      </w:tr>
    </w:tbl>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kern w:val="2"/>
          <w:u w:color="000000"/>
          <w:vertAlign w:val="superscript"/>
          <w:lang w:eastAsia="ja-JP"/>
        </w:rPr>
        <w:t>a</w:t>
      </w:r>
      <w:r w:rsidRPr="00112AEF">
        <w:rPr>
          <w:rFonts w:ascii="Book Antiqua" w:hAnsi="Book Antiqua"/>
          <w:kern w:val="2"/>
          <w:u w:color="000000"/>
          <w:lang w:eastAsia="ja-JP"/>
        </w:rPr>
        <w:t>DCP values were not available for 3 cases</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TNM</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Tumor-Node-Metastasis staging system; AFP</w:t>
      </w:r>
      <w:r w:rsidRPr="00112AEF">
        <w:rPr>
          <w:rFonts w:ascii="Book Antiqua" w:eastAsia="宋体" w:hAnsi="Book Antiqua"/>
          <w:kern w:val="2"/>
          <w:u w:color="000000"/>
          <w:lang w:eastAsia="zh-CN"/>
        </w:rPr>
        <w:t xml:space="preserve">: </w:t>
      </w:r>
      <w:r w:rsidRPr="00112AEF">
        <w:rPr>
          <w:rFonts w:ascii="Book Antiqua" w:hAnsi="Book Antiqua"/>
          <w:kern w:val="2"/>
          <w:u w:color="000000"/>
          <w:lang w:eastAsia="ja-JP"/>
        </w:rPr>
        <w:t>α-fetoprotein; DCP</w:t>
      </w:r>
      <w:r w:rsidRPr="00112AEF">
        <w:rPr>
          <w:rFonts w:ascii="Book Antiqua" w:eastAsia="宋体" w:hAnsi="Book Antiqua"/>
          <w:kern w:val="2"/>
          <w:u w:color="000000"/>
          <w:lang w:eastAsia="zh-CN"/>
        </w:rPr>
        <w:t xml:space="preserve">: </w:t>
      </w:r>
      <w:r>
        <w:rPr>
          <w:rFonts w:ascii="Book Antiqua" w:eastAsia="宋体" w:hAnsi="Book Antiqua"/>
          <w:kern w:val="2"/>
          <w:u w:color="000000"/>
          <w:lang w:eastAsia="zh-CN"/>
        </w:rPr>
        <w:t>D</w:t>
      </w:r>
      <w:r w:rsidRPr="00112AEF">
        <w:rPr>
          <w:rFonts w:ascii="Book Antiqua" w:hAnsi="Book Antiqua"/>
          <w:kern w:val="2"/>
          <w:u w:color="000000"/>
          <w:lang w:eastAsia="ja-JP"/>
        </w:rPr>
        <w:t>es-gamma-carboxy prothrombin</w:t>
      </w:r>
      <w:r>
        <w:rPr>
          <w:rFonts w:ascii="Book Antiqua" w:eastAsia="宋体" w:hAnsi="Book Antiqua"/>
          <w:kern w:val="2"/>
          <w:u w:color="000000"/>
          <w:lang w:eastAsia="zh-CN"/>
        </w:rPr>
        <w:t>; HBV: H</w:t>
      </w:r>
      <w:r w:rsidRPr="006B4F42">
        <w:rPr>
          <w:rFonts w:ascii="Book Antiqua" w:hAnsi="Book Antiqua"/>
          <w:kern w:val="2"/>
          <w:u w:color="000000"/>
          <w:lang w:eastAsia="ja-JP"/>
        </w:rPr>
        <w:t>epatitis B virus</w:t>
      </w:r>
      <w:r>
        <w:rPr>
          <w:rFonts w:ascii="Book Antiqua" w:eastAsia="宋体" w:hAnsi="Book Antiqua"/>
          <w:kern w:val="2"/>
          <w:u w:color="000000"/>
          <w:lang w:eastAsia="zh-CN"/>
        </w:rPr>
        <w:t>; HCV: H</w:t>
      </w:r>
      <w:r w:rsidRPr="006B4F42">
        <w:rPr>
          <w:rFonts w:ascii="Book Antiqua" w:hAnsi="Book Antiqua"/>
          <w:kern w:val="2"/>
          <w:u w:color="000000"/>
          <w:lang w:eastAsia="ja-JP"/>
        </w:rPr>
        <w:t>epatitis C virus</w:t>
      </w:r>
      <w:r>
        <w:rPr>
          <w:rFonts w:ascii="Book Antiqua" w:eastAsia="宋体" w:hAnsi="Book Antiqua"/>
          <w:kern w:val="2"/>
          <w:u w:color="000000"/>
          <w:lang w:eastAsia="zh-CN"/>
        </w:rPr>
        <w:t>.</w:t>
      </w:r>
    </w:p>
    <w:p w:rsidR="00AD473F" w:rsidRPr="00112AEF" w:rsidRDefault="00AD473F" w:rsidP="002F5E25">
      <w:pPr>
        <w:widowControl w:val="0"/>
        <w:spacing w:line="360" w:lineRule="auto"/>
        <w:jc w:val="both"/>
        <w:outlineLvl w:val="0"/>
        <w:rPr>
          <w:rFonts w:ascii="Book Antiqua" w:hAnsi="Book Antiqua"/>
          <w:b/>
          <w:kern w:val="2"/>
          <w:u w:color="000000"/>
          <w:lang w:eastAsia="ja-JP"/>
        </w:rPr>
      </w:pPr>
      <w:r w:rsidRPr="00112AEF">
        <w:rPr>
          <w:rFonts w:ascii="Book Antiqua" w:hAnsi="Book Antiqua"/>
          <w:b/>
          <w:kern w:val="2"/>
          <w:u w:color="000000"/>
        </w:rPr>
        <w:lastRenderedPageBreak/>
        <w:t>Table 2</w:t>
      </w:r>
      <w:r w:rsidRPr="00112AEF">
        <w:rPr>
          <w:rFonts w:ascii="Book Antiqua" w:eastAsia="宋体" w:hAnsi="Book Antiqua"/>
          <w:b/>
          <w:kern w:val="2"/>
          <w:u w:color="000000"/>
          <w:lang w:eastAsia="zh-CN"/>
        </w:rPr>
        <w:t xml:space="preserve"> </w:t>
      </w:r>
      <w:r w:rsidRPr="00112AEF">
        <w:rPr>
          <w:rFonts w:ascii="Book Antiqua" w:hAnsi="Book Antiqua"/>
          <w:b/>
          <w:kern w:val="2"/>
          <w:u w:color="000000"/>
        </w:rPr>
        <w:t>Sorafenib-</w:t>
      </w:r>
      <w:r w:rsidRPr="00112AEF">
        <w:rPr>
          <w:rFonts w:ascii="Book Antiqua" w:hAnsi="Book Antiqua"/>
          <w:b/>
          <w:kern w:val="2"/>
          <w:u w:color="000000"/>
          <w:lang w:eastAsia="ja-JP"/>
        </w:rPr>
        <w:t>r</w:t>
      </w:r>
      <w:r w:rsidRPr="00112AEF">
        <w:rPr>
          <w:rFonts w:ascii="Book Antiqua" w:hAnsi="Book Antiqua"/>
          <w:b/>
          <w:kern w:val="2"/>
          <w:u w:color="000000"/>
        </w:rPr>
        <w:t xml:space="preserve">elated </w:t>
      </w:r>
      <w:r w:rsidRPr="00112AEF">
        <w:rPr>
          <w:rFonts w:ascii="Book Antiqua" w:hAnsi="Book Antiqua"/>
          <w:b/>
          <w:kern w:val="2"/>
          <w:u w:color="000000"/>
          <w:lang w:eastAsia="ja-JP"/>
        </w:rPr>
        <w:t>a</w:t>
      </w:r>
      <w:r w:rsidRPr="00112AEF">
        <w:rPr>
          <w:rFonts w:ascii="Book Antiqua" w:hAnsi="Book Antiqua"/>
          <w:b/>
          <w:kern w:val="2"/>
          <w:u w:color="000000"/>
        </w:rPr>
        <w:t xml:space="preserve">dverse </w:t>
      </w:r>
      <w:r w:rsidRPr="00112AEF">
        <w:rPr>
          <w:rFonts w:ascii="Book Antiqua" w:hAnsi="Book Antiqua"/>
          <w:b/>
          <w:kern w:val="2"/>
          <w:u w:color="000000"/>
          <w:lang w:eastAsia="ja-JP"/>
        </w:rPr>
        <w:t>e</w:t>
      </w:r>
      <w:r w:rsidRPr="00112AEF">
        <w:rPr>
          <w:rFonts w:ascii="Book Antiqua" w:hAnsi="Book Antiqua"/>
          <w:b/>
          <w:kern w:val="2"/>
          <w:u w:color="000000"/>
        </w:rPr>
        <w:t>vents</w:t>
      </w:r>
    </w:p>
    <w:tbl>
      <w:tblPr>
        <w:tblW w:w="9498" w:type="dxa"/>
        <w:tblLayout w:type="fixed"/>
        <w:tblLook w:val="0000" w:firstRow="0" w:lastRow="0" w:firstColumn="0" w:lastColumn="0" w:noHBand="0" w:noVBand="0"/>
      </w:tblPr>
      <w:tblGrid>
        <w:gridCol w:w="2802"/>
        <w:gridCol w:w="1734"/>
        <w:gridCol w:w="1701"/>
        <w:gridCol w:w="1560"/>
        <w:gridCol w:w="1559"/>
        <w:gridCol w:w="142"/>
      </w:tblGrid>
      <w:tr w:rsidR="00AD473F" w:rsidRPr="00112AEF" w:rsidTr="00871C2A">
        <w:trPr>
          <w:cantSplit/>
          <w:trHeight w:val="320"/>
        </w:trPr>
        <w:tc>
          <w:tcPr>
            <w:tcW w:w="2802" w:type="dxa"/>
            <w:tcBorders>
              <w:top w:val="single" w:sz="4" w:space="0" w:color="auto"/>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 xml:space="preserve">Adverse </w:t>
            </w:r>
            <w:r w:rsidRPr="00112AEF">
              <w:rPr>
                <w:rFonts w:ascii="Book Antiqua" w:hAnsi="Book Antiqua"/>
                <w:b/>
                <w:u w:color="000000"/>
                <w:lang w:eastAsia="ja-JP"/>
              </w:rPr>
              <w:t>e</w:t>
            </w:r>
            <w:r w:rsidRPr="00112AEF">
              <w:rPr>
                <w:rFonts w:ascii="Book Antiqua" w:hAnsi="Book Antiqua"/>
                <w:b/>
                <w:u w:color="000000"/>
              </w:rPr>
              <w:t>vents</w:t>
            </w:r>
          </w:p>
        </w:tc>
        <w:tc>
          <w:tcPr>
            <w:tcW w:w="1734" w:type="dxa"/>
            <w:tcBorders>
              <w:top w:val="single" w:sz="4" w:space="0" w:color="auto"/>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lang w:eastAsia="ja-JP"/>
              </w:rPr>
            </w:pPr>
            <w:r w:rsidRPr="00112AEF">
              <w:rPr>
                <w:rFonts w:ascii="Book Antiqua" w:hAnsi="Book Antiqua"/>
                <w:b/>
                <w:u w:color="000000"/>
              </w:rPr>
              <w:t>Any Grade</w:t>
            </w:r>
          </w:p>
        </w:tc>
        <w:tc>
          <w:tcPr>
            <w:tcW w:w="1701" w:type="dxa"/>
            <w:tcBorders>
              <w:top w:val="single" w:sz="4" w:space="0" w:color="auto"/>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Grade 1</w:t>
            </w:r>
          </w:p>
        </w:tc>
        <w:tc>
          <w:tcPr>
            <w:tcW w:w="1560" w:type="dxa"/>
            <w:tcBorders>
              <w:top w:val="single" w:sz="4" w:space="0" w:color="auto"/>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Grade 2</w:t>
            </w:r>
          </w:p>
        </w:tc>
        <w:tc>
          <w:tcPr>
            <w:tcW w:w="1701" w:type="dxa"/>
            <w:gridSpan w:val="2"/>
            <w:tcBorders>
              <w:top w:val="single" w:sz="4" w:space="0" w:color="auto"/>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Grade 3</w:t>
            </w:r>
          </w:p>
        </w:tc>
      </w:tr>
      <w:tr w:rsidR="00AD473F" w:rsidRPr="00112AEF" w:rsidTr="00871C2A">
        <w:trPr>
          <w:gridAfter w:val="1"/>
          <w:wAfter w:w="142" w:type="dxa"/>
          <w:cantSplit/>
          <w:trHeight w:val="350"/>
        </w:trPr>
        <w:tc>
          <w:tcPr>
            <w:tcW w:w="2802"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Anorexia</w:t>
            </w:r>
          </w:p>
        </w:tc>
        <w:tc>
          <w:tcPr>
            <w:tcW w:w="1734"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29 (78)</w:t>
            </w:r>
          </w:p>
        </w:tc>
        <w:tc>
          <w:tcPr>
            <w:tcW w:w="1701"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8 (22)</w:t>
            </w:r>
          </w:p>
        </w:tc>
        <w:tc>
          <w:tcPr>
            <w:tcW w:w="1560"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10 (27)</w:t>
            </w:r>
          </w:p>
        </w:tc>
        <w:tc>
          <w:tcPr>
            <w:tcW w:w="1559" w:type="dxa"/>
            <w:tcBorders>
              <w:top w:val="single" w:sz="4"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w:t>
            </w:r>
            <w:r w:rsidRPr="00112AEF">
              <w:rPr>
                <w:rFonts w:ascii="Book Antiqua" w:hAnsi="Book Antiqua"/>
                <w:u w:color="000000"/>
                <w:lang w:eastAsia="ja-JP"/>
              </w:rPr>
              <w:t>1</w:t>
            </w:r>
            <w:r w:rsidRPr="00112AEF">
              <w:rPr>
                <w:rFonts w:ascii="Book Antiqua" w:hAnsi="Book Antiqua"/>
                <w:u w:color="000000"/>
              </w:rPr>
              <w:t xml:space="preserve"> (30)</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vertAlign w:val="superscript"/>
                <w:lang w:eastAsia="ja-JP"/>
              </w:rPr>
            </w:pPr>
            <w:r w:rsidRPr="00112AEF">
              <w:rPr>
                <w:rFonts w:ascii="Book Antiqua" w:hAnsi="Book Antiqua"/>
                <w:b/>
                <w:u w:color="000000"/>
              </w:rPr>
              <w:t>Skin toxicity</w:t>
            </w:r>
            <w:r w:rsidRPr="00112AEF">
              <w:rPr>
                <w:rFonts w:ascii="Book Antiqua" w:hAnsi="Book Antiqua"/>
                <w:b/>
                <w:u w:color="000000"/>
                <w:vertAlign w:val="superscript"/>
                <w:lang w:eastAsia="ja-JP"/>
              </w:rPr>
              <w:t>a</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2</w:t>
            </w:r>
            <w:r w:rsidRPr="00112AEF">
              <w:rPr>
                <w:rFonts w:ascii="Book Antiqua" w:hAnsi="Book Antiqua"/>
                <w:u w:color="000000"/>
                <w:lang w:eastAsia="ja-JP"/>
              </w:rPr>
              <w:t>7</w:t>
            </w:r>
            <w:r w:rsidRPr="00112AEF">
              <w:rPr>
                <w:rFonts w:ascii="Book Antiqua" w:hAnsi="Book Antiqua"/>
                <w:u w:color="000000"/>
              </w:rPr>
              <w:t xml:space="preserve"> (7</w:t>
            </w:r>
            <w:r w:rsidRPr="00112AEF">
              <w:rPr>
                <w:rFonts w:ascii="Book Antiqua" w:hAnsi="Book Antiqua"/>
                <w:u w:color="000000"/>
                <w:lang w:eastAsia="ja-JP"/>
              </w:rPr>
              <w:t>3</w:t>
            </w:r>
            <w:r w:rsidRPr="00112AEF">
              <w:rPr>
                <w:rFonts w:ascii="Book Antiqua" w:hAnsi="Book Antiqua"/>
                <w:u w:color="000000"/>
              </w:rPr>
              <w:t>)</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6 (16)</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lang w:eastAsia="ja-JP"/>
              </w:rPr>
              <w:t>8</w:t>
            </w:r>
            <w:r w:rsidRPr="00112AEF">
              <w:rPr>
                <w:rFonts w:ascii="Book Antiqua" w:hAnsi="Book Antiqua"/>
                <w:u w:color="000000"/>
              </w:rPr>
              <w:t xml:space="preserve"> (</w:t>
            </w:r>
            <w:r w:rsidRPr="00112AEF">
              <w:rPr>
                <w:rFonts w:ascii="Book Antiqua" w:hAnsi="Book Antiqua"/>
                <w:u w:color="000000"/>
                <w:lang w:eastAsia="ja-JP"/>
              </w:rPr>
              <w:t>22</w:t>
            </w:r>
            <w:r w:rsidRPr="00112AEF">
              <w:rPr>
                <w:rFonts w:ascii="Book Antiqua" w:hAnsi="Book Antiqua"/>
                <w:u w:color="000000"/>
              </w:rPr>
              <w:t>)</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13 (35)</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Fatigue</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23 (62)</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3 ( 8)</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11 (30)</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9 (24)</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Diarrhea</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2</w:t>
            </w:r>
            <w:r w:rsidRPr="00112AEF">
              <w:rPr>
                <w:rFonts w:ascii="Book Antiqua" w:hAnsi="Book Antiqua"/>
                <w:u w:color="000000"/>
                <w:lang w:eastAsia="ja-JP"/>
              </w:rPr>
              <w:t>0</w:t>
            </w:r>
            <w:r w:rsidRPr="00112AEF">
              <w:rPr>
                <w:rFonts w:ascii="Book Antiqua" w:hAnsi="Book Antiqua"/>
                <w:u w:color="000000"/>
              </w:rPr>
              <w:t xml:space="preserve"> (5</w:t>
            </w:r>
            <w:r w:rsidRPr="00112AEF">
              <w:rPr>
                <w:rFonts w:ascii="Book Antiqua" w:hAnsi="Book Antiqua"/>
                <w:u w:color="000000"/>
                <w:lang w:eastAsia="ja-JP"/>
              </w:rPr>
              <w:t>4</w:t>
            </w:r>
            <w:r w:rsidRPr="00112AEF">
              <w:rPr>
                <w:rFonts w:ascii="Book Antiqua" w:hAnsi="Book Antiqua"/>
                <w:u w:color="000000"/>
              </w:rPr>
              <w:t>)</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lang w:eastAsia="ja-JP"/>
              </w:rPr>
              <w:t xml:space="preserve">9 </w:t>
            </w:r>
            <w:r w:rsidRPr="00112AEF">
              <w:rPr>
                <w:rFonts w:ascii="Book Antiqua" w:hAnsi="Book Antiqua"/>
                <w:u w:color="000000"/>
              </w:rPr>
              <w:t>(2</w:t>
            </w:r>
            <w:r w:rsidRPr="00112AEF">
              <w:rPr>
                <w:rFonts w:ascii="Book Antiqua" w:hAnsi="Book Antiqua"/>
                <w:u w:color="000000"/>
                <w:lang w:eastAsia="ja-JP"/>
              </w:rPr>
              <w:t>4</w:t>
            </w:r>
            <w:r w:rsidRPr="00112AEF">
              <w:rPr>
                <w:rFonts w:ascii="Book Antiqua" w:hAnsi="Book Antiqua"/>
                <w:u w:color="000000"/>
              </w:rPr>
              <w:t>)</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8 (21)</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3 (8)</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Hypoalbuminemia</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19 (51)</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4 (11)</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14 (38)</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 (3)</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Weight loss</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17 (46)</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7 (19)</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9 (24)</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 (3)</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lang w:eastAsia="ja-JP"/>
              </w:rPr>
              <w:t>H</w:t>
            </w:r>
            <w:r w:rsidRPr="00112AEF">
              <w:rPr>
                <w:rFonts w:ascii="Book Antiqua" w:hAnsi="Book Antiqua"/>
                <w:b/>
                <w:u w:color="000000"/>
              </w:rPr>
              <w:t>yperbilirubinemia</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16 (43)</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10 (27)</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5 (14)</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 (3)</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lang w:eastAsia="ja-JP"/>
              </w:rPr>
              <w:t>Decreased platelet count</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w:t>
            </w:r>
            <w:r w:rsidRPr="00112AEF">
              <w:rPr>
                <w:rFonts w:ascii="Book Antiqua" w:hAnsi="Book Antiqua"/>
                <w:u w:color="000000"/>
                <w:lang w:eastAsia="ja-JP"/>
              </w:rPr>
              <w:t>4</w:t>
            </w:r>
            <w:r w:rsidRPr="00112AEF">
              <w:rPr>
                <w:rFonts w:ascii="Book Antiqua" w:hAnsi="Book Antiqua"/>
                <w:u w:color="000000"/>
              </w:rPr>
              <w:t xml:space="preserve"> (</w:t>
            </w:r>
            <w:r w:rsidRPr="00112AEF">
              <w:rPr>
                <w:rFonts w:ascii="Book Antiqua" w:hAnsi="Book Antiqua"/>
                <w:u w:color="000000"/>
                <w:lang w:eastAsia="ja-JP"/>
              </w:rPr>
              <w:t>38</w:t>
            </w:r>
            <w:r w:rsidRPr="00112AEF">
              <w:rPr>
                <w:rFonts w:ascii="Book Antiqua" w:hAnsi="Book Antiqua"/>
                <w:u w:color="000000"/>
              </w:rPr>
              <w:t>)</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3 (8)</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lang w:eastAsia="ja-JP"/>
              </w:rPr>
              <w:t>9</w:t>
            </w:r>
            <w:r w:rsidRPr="00112AEF">
              <w:rPr>
                <w:rFonts w:ascii="Book Antiqua" w:hAnsi="Book Antiqua"/>
                <w:u w:color="000000"/>
              </w:rPr>
              <w:t xml:space="preserve"> (2</w:t>
            </w:r>
            <w:r w:rsidRPr="00112AEF">
              <w:rPr>
                <w:rFonts w:ascii="Book Antiqua" w:hAnsi="Book Antiqua"/>
                <w:u w:color="000000"/>
                <w:lang w:eastAsia="ja-JP"/>
              </w:rPr>
              <w:t>4</w:t>
            </w:r>
            <w:r w:rsidRPr="00112AEF">
              <w:rPr>
                <w:rFonts w:ascii="Book Antiqua" w:hAnsi="Book Antiqua"/>
                <w:u w:color="000000"/>
              </w:rPr>
              <w:t>)</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2 (5)</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Hypertension</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13 (35)</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2 (5)</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6 (16)</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5 (14)</w:t>
            </w:r>
          </w:p>
        </w:tc>
      </w:tr>
      <w:tr w:rsidR="00AD473F" w:rsidRPr="00112AEF" w:rsidTr="00871C2A">
        <w:trPr>
          <w:cantSplit/>
          <w:trHeight w:val="320"/>
        </w:trPr>
        <w:tc>
          <w:tcPr>
            <w:tcW w:w="2802"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vertAlign w:val="superscript"/>
                <w:lang w:eastAsia="ja-JP"/>
              </w:rPr>
            </w:pPr>
            <w:r w:rsidRPr="00112AEF">
              <w:rPr>
                <w:rFonts w:ascii="Book Antiqua" w:hAnsi="Book Antiqua"/>
                <w:b/>
                <w:u w:color="000000"/>
              </w:rPr>
              <w:t>Alopecia</w:t>
            </w:r>
          </w:p>
        </w:tc>
        <w:tc>
          <w:tcPr>
            <w:tcW w:w="1734"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13 (35)</w:t>
            </w:r>
          </w:p>
        </w:tc>
        <w:tc>
          <w:tcPr>
            <w:tcW w:w="1701"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5 (14)</w:t>
            </w:r>
          </w:p>
        </w:tc>
        <w:tc>
          <w:tcPr>
            <w:tcW w:w="1560"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rPr>
              <w:t>8 (22)</w:t>
            </w:r>
          </w:p>
        </w:tc>
        <w:tc>
          <w:tcPr>
            <w:tcW w:w="1701" w:type="dxa"/>
            <w:gridSpan w:val="2"/>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 (0)</w:t>
            </w:r>
          </w:p>
        </w:tc>
      </w:tr>
      <w:tr w:rsidR="00AD473F" w:rsidRPr="00112AEF" w:rsidTr="00871C2A">
        <w:trPr>
          <w:cantSplit/>
          <w:trHeight w:val="320"/>
        </w:trPr>
        <w:tc>
          <w:tcPr>
            <w:tcW w:w="2802"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b/>
                <w:u w:color="000000"/>
              </w:rPr>
            </w:pPr>
            <w:r w:rsidRPr="00112AEF">
              <w:rPr>
                <w:rFonts w:ascii="Book Antiqua" w:hAnsi="Book Antiqua"/>
                <w:b/>
                <w:u w:color="000000"/>
              </w:rPr>
              <w:t>Anemia</w:t>
            </w:r>
          </w:p>
        </w:tc>
        <w:tc>
          <w:tcPr>
            <w:tcW w:w="1734"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lang w:eastAsia="ja-JP"/>
              </w:rPr>
              <w:t xml:space="preserve">9 </w:t>
            </w:r>
            <w:r w:rsidRPr="00112AEF">
              <w:rPr>
                <w:rFonts w:ascii="Book Antiqua" w:hAnsi="Book Antiqua"/>
                <w:u w:color="000000"/>
              </w:rPr>
              <w:t>(</w:t>
            </w:r>
            <w:r w:rsidRPr="00112AEF">
              <w:rPr>
                <w:rFonts w:ascii="Book Antiqua" w:hAnsi="Book Antiqua"/>
                <w:u w:color="000000"/>
                <w:lang w:eastAsia="ja-JP"/>
              </w:rPr>
              <w:t>24</w:t>
            </w:r>
            <w:r w:rsidRPr="00112AEF">
              <w:rPr>
                <w:rFonts w:ascii="Book Antiqua" w:hAnsi="Book Antiqua"/>
                <w:u w:color="000000"/>
              </w:rPr>
              <w:t>)</w:t>
            </w:r>
          </w:p>
        </w:tc>
        <w:tc>
          <w:tcPr>
            <w:tcW w:w="1701"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lang w:eastAsia="ja-JP"/>
              </w:rPr>
              <w:t>4 (</w:t>
            </w:r>
            <w:r w:rsidRPr="00112AEF">
              <w:rPr>
                <w:rFonts w:ascii="Book Antiqua" w:hAnsi="Book Antiqua"/>
                <w:u w:color="000000"/>
              </w:rPr>
              <w:t>11)</w:t>
            </w:r>
          </w:p>
        </w:tc>
        <w:tc>
          <w:tcPr>
            <w:tcW w:w="1560" w:type="dxa"/>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lang w:eastAsia="ja-JP"/>
              </w:rPr>
              <w:t>4</w:t>
            </w:r>
            <w:r w:rsidRPr="00112AEF">
              <w:rPr>
                <w:rFonts w:ascii="Book Antiqua" w:hAnsi="Book Antiqua"/>
                <w:u w:color="000000"/>
              </w:rPr>
              <w:t xml:space="preserve"> (11)</w:t>
            </w:r>
          </w:p>
        </w:tc>
        <w:tc>
          <w:tcPr>
            <w:tcW w:w="1701" w:type="dxa"/>
            <w:gridSpan w:val="2"/>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871C2A">
            <w:pPr>
              <w:spacing w:line="360" w:lineRule="auto"/>
              <w:jc w:val="center"/>
              <w:outlineLvl w:val="0"/>
              <w:rPr>
                <w:rFonts w:ascii="Book Antiqua" w:hAnsi="Book Antiqua"/>
                <w:u w:color="000000"/>
              </w:rPr>
            </w:pPr>
            <w:r w:rsidRPr="00112AEF">
              <w:rPr>
                <w:rFonts w:ascii="Book Antiqua" w:hAnsi="Book Antiqua"/>
                <w:u w:color="000000"/>
                <w:lang w:eastAsia="ja-JP"/>
              </w:rPr>
              <w:t>1</w:t>
            </w:r>
            <w:r w:rsidRPr="00112AEF">
              <w:rPr>
                <w:rFonts w:ascii="Book Antiqua" w:hAnsi="Book Antiqua"/>
                <w:u w:color="000000"/>
              </w:rPr>
              <w:t xml:space="preserve"> (</w:t>
            </w:r>
            <w:r w:rsidRPr="00112AEF">
              <w:rPr>
                <w:rFonts w:ascii="Book Antiqua" w:hAnsi="Book Antiqua"/>
                <w:u w:color="000000"/>
                <w:lang w:eastAsia="ja-JP"/>
              </w:rPr>
              <w:t>3</w:t>
            </w:r>
            <w:r w:rsidRPr="00112AEF">
              <w:rPr>
                <w:rFonts w:ascii="Book Antiqua" w:hAnsi="Book Antiqua"/>
                <w:u w:color="000000"/>
              </w:rPr>
              <w:t>)</w:t>
            </w:r>
          </w:p>
        </w:tc>
      </w:tr>
    </w:tbl>
    <w:p w:rsidR="00AD473F" w:rsidRPr="00112AEF" w:rsidRDefault="00AD473F" w:rsidP="002F5E25">
      <w:pPr>
        <w:widowControl w:val="0"/>
        <w:spacing w:line="360" w:lineRule="auto"/>
        <w:jc w:val="both"/>
        <w:outlineLvl w:val="0"/>
        <w:rPr>
          <w:rFonts w:ascii="Book Antiqua" w:eastAsia="宋体" w:hAnsi="Book Antiqua"/>
          <w:kern w:val="2"/>
          <w:u w:color="000000"/>
          <w:lang w:eastAsia="zh-CN"/>
        </w:rPr>
      </w:pPr>
      <w:r w:rsidRPr="00112AEF">
        <w:rPr>
          <w:rFonts w:ascii="Book Antiqua" w:hAnsi="Book Antiqua"/>
          <w:kern w:val="2"/>
          <w:u w:color="000000"/>
          <w:lang w:eastAsia="ja-JP"/>
        </w:rPr>
        <w:t>Each value represents the number of patients (%)</w:t>
      </w:r>
      <w:r w:rsidRPr="00112AEF">
        <w:rPr>
          <w:rFonts w:ascii="Book Antiqua" w:eastAsia="宋体" w:hAnsi="Book Antiqua"/>
          <w:kern w:val="2"/>
          <w:u w:color="000000"/>
          <w:lang w:eastAsia="zh-CN"/>
        </w:rPr>
        <w:t xml:space="preserve">. </w:t>
      </w:r>
      <w:r w:rsidRPr="00112AEF">
        <w:rPr>
          <w:rFonts w:ascii="Book Antiqua" w:hAnsi="Book Antiqua"/>
          <w:kern w:val="2"/>
          <w:u w:color="000000"/>
          <w:vertAlign w:val="superscript"/>
          <w:lang w:eastAsia="ja-JP"/>
        </w:rPr>
        <w:t>a</w:t>
      </w:r>
      <w:r w:rsidRPr="00112AEF">
        <w:rPr>
          <w:rFonts w:ascii="Book Antiqua" w:hAnsi="Book Antiqua"/>
          <w:kern w:val="2"/>
          <w:u w:color="000000"/>
          <w:lang w:eastAsia="ja-JP"/>
        </w:rPr>
        <w:t>Skin toxicity includes hand–foot skin reaction and any kind of rash.</w:t>
      </w:r>
    </w:p>
    <w:p w:rsidR="00AD473F" w:rsidRPr="00112AEF" w:rsidRDefault="00AD473F" w:rsidP="002F5E25">
      <w:pPr>
        <w:widowControl w:val="0"/>
        <w:spacing w:line="360" w:lineRule="auto"/>
        <w:jc w:val="both"/>
        <w:outlineLvl w:val="0"/>
        <w:rPr>
          <w:rFonts w:ascii="Book Antiqua" w:hAnsi="Book Antiqua"/>
          <w:kern w:val="2"/>
          <w:u w:color="000000"/>
          <w:lang w:eastAsia="ja-JP"/>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eastAsia="宋体" w:hAnsi="Book Antiqua"/>
          <w:u w:color="000000"/>
          <w:lang w:eastAsia="zh-CN"/>
        </w:rPr>
      </w:pPr>
    </w:p>
    <w:p w:rsidR="00AD473F" w:rsidRPr="00112AEF" w:rsidRDefault="00AD473F" w:rsidP="002F5E25">
      <w:pPr>
        <w:widowControl w:val="0"/>
        <w:tabs>
          <w:tab w:val="left" w:pos="2576"/>
        </w:tabs>
        <w:spacing w:line="360" w:lineRule="auto"/>
        <w:jc w:val="both"/>
        <w:outlineLvl w:val="0"/>
        <w:rPr>
          <w:rFonts w:ascii="Book Antiqua" w:hAnsi="Book Antiqua"/>
          <w:kern w:val="2"/>
          <w:u w:color="000000"/>
          <w:lang w:eastAsia="ja-JP"/>
        </w:rPr>
      </w:pPr>
      <w:r w:rsidRPr="00112AEF">
        <w:rPr>
          <w:rFonts w:ascii="Book Antiqua" w:hAnsi="Book Antiqua"/>
          <w:b/>
          <w:kern w:val="2"/>
          <w:u w:color="000000"/>
          <w:lang w:eastAsia="ja-JP"/>
        </w:rPr>
        <w:lastRenderedPageBreak/>
        <w:t>Table 3</w:t>
      </w:r>
      <w:r w:rsidRPr="00112AEF">
        <w:rPr>
          <w:rFonts w:ascii="Book Antiqua" w:eastAsia="宋体" w:hAnsi="Book Antiqua"/>
          <w:b/>
          <w:kern w:val="2"/>
          <w:u w:color="000000"/>
          <w:lang w:eastAsia="zh-CN"/>
        </w:rPr>
        <w:t xml:space="preserve"> </w:t>
      </w:r>
      <w:r w:rsidRPr="00112AEF">
        <w:rPr>
          <w:rFonts w:ascii="Book Antiqua" w:hAnsi="Book Antiqua"/>
          <w:b/>
          <w:kern w:val="2"/>
          <w:u w:color="000000"/>
          <w:lang w:eastAsia="ja-JP"/>
        </w:rPr>
        <w:t>Variables associated with overall survival</w:t>
      </w:r>
    </w:p>
    <w:tbl>
      <w:tblPr>
        <w:tblpPr w:leftFromText="142" w:rightFromText="142" w:vertAnchor="text" w:horzAnchor="margin" w:tblpY="1"/>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524"/>
        <w:gridCol w:w="2198"/>
        <w:gridCol w:w="844"/>
        <w:gridCol w:w="2248"/>
        <w:gridCol w:w="842"/>
      </w:tblGrid>
      <w:tr w:rsidR="00AD473F" w:rsidRPr="00112AEF" w:rsidTr="00501AF7">
        <w:trPr>
          <w:trHeight w:val="443"/>
        </w:trPr>
        <w:tc>
          <w:tcPr>
            <w:tcW w:w="1825" w:type="pct"/>
            <w:vMerge w:val="restart"/>
            <w:tcBorders>
              <w:left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b/>
                <w:lang w:eastAsia="ja-JP"/>
              </w:rPr>
            </w:pPr>
            <w:r w:rsidRPr="00112AEF">
              <w:rPr>
                <w:rFonts w:ascii="Book Antiqua" w:hAnsi="Book Antiqua"/>
                <w:b/>
                <w:kern w:val="2"/>
                <w:u w:color="000000"/>
                <w:lang w:eastAsia="ja-JP"/>
              </w:rPr>
              <w:t>Variables</w:t>
            </w:r>
          </w:p>
        </w:tc>
        <w:tc>
          <w:tcPr>
            <w:tcW w:w="1575" w:type="pct"/>
            <w:gridSpan w:val="2"/>
            <w:tcBorders>
              <w:left w:val="nil"/>
              <w:right w:val="nil"/>
            </w:tcBorders>
            <w:vAlign w:val="center"/>
          </w:tcPr>
          <w:p w:rsidR="00AD473F" w:rsidRPr="00112AEF" w:rsidRDefault="00AD473F" w:rsidP="00150DB3">
            <w:pPr>
              <w:widowControl w:val="0"/>
              <w:spacing w:line="360" w:lineRule="auto"/>
              <w:ind w:firstLineChars="147" w:firstLine="354"/>
              <w:jc w:val="both"/>
              <w:rPr>
                <w:rFonts w:ascii="Book Antiqua" w:eastAsia="MS PGothic" w:hAnsi="Book Antiqua" w:cs="Arial"/>
                <w:b/>
                <w:lang w:eastAsia="ja-JP"/>
              </w:rPr>
            </w:pPr>
            <w:r w:rsidRPr="00112AEF">
              <w:rPr>
                <w:rFonts w:ascii="Book Antiqua" w:eastAsia="MS PGothic" w:hAnsi="Book Antiqua" w:cs="Arial"/>
                <w:b/>
                <w:lang w:eastAsia="ja-JP"/>
              </w:rPr>
              <w:t>Univariate</w:t>
            </w:r>
          </w:p>
        </w:tc>
        <w:tc>
          <w:tcPr>
            <w:tcW w:w="1600" w:type="pct"/>
            <w:gridSpan w:val="2"/>
            <w:tcBorders>
              <w:left w:val="nil"/>
              <w:right w:val="nil"/>
            </w:tcBorders>
            <w:vAlign w:val="center"/>
          </w:tcPr>
          <w:p w:rsidR="00AD473F" w:rsidRPr="00112AEF" w:rsidRDefault="00AD473F" w:rsidP="00150DB3">
            <w:pPr>
              <w:widowControl w:val="0"/>
              <w:spacing w:line="360" w:lineRule="auto"/>
              <w:ind w:firstLineChars="98" w:firstLine="236"/>
              <w:jc w:val="both"/>
              <w:rPr>
                <w:rFonts w:ascii="Book Antiqua" w:eastAsia="MS PGothic" w:hAnsi="Book Antiqua" w:cs="Arial"/>
                <w:b/>
                <w:lang w:eastAsia="ja-JP"/>
              </w:rPr>
            </w:pPr>
            <w:r w:rsidRPr="00112AEF">
              <w:rPr>
                <w:rFonts w:ascii="Book Antiqua" w:eastAsia="MS PGothic" w:hAnsi="Book Antiqua" w:cs="Arial"/>
                <w:b/>
                <w:lang w:eastAsia="ja-JP"/>
              </w:rPr>
              <w:t>Multivariate</w:t>
            </w:r>
          </w:p>
        </w:tc>
      </w:tr>
      <w:tr w:rsidR="00AD473F" w:rsidRPr="00112AEF" w:rsidTr="00501AF7">
        <w:trPr>
          <w:trHeight w:val="422"/>
        </w:trPr>
        <w:tc>
          <w:tcPr>
            <w:tcW w:w="1825" w:type="pct"/>
            <w:vMerge/>
            <w:tcBorders>
              <w:left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1138" w:type="pct"/>
            <w:tcBorders>
              <w:left w:val="nil"/>
              <w:right w:val="nil"/>
            </w:tcBorders>
            <w:vAlign w:val="center"/>
          </w:tcPr>
          <w:p w:rsidR="00AD473F" w:rsidRPr="00112AEF" w:rsidRDefault="00AD473F" w:rsidP="00150DB3">
            <w:pPr>
              <w:widowControl w:val="0"/>
              <w:spacing w:line="360" w:lineRule="auto"/>
              <w:ind w:firstLineChars="150" w:firstLine="361"/>
              <w:jc w:val="both"/>
              <w:rPr>
                <w:rFonts w:ascii="Book Antiqua" w:eastAsia="MS PGothic" w:hAnsi="Book Antiqua" w:cs="Arial"/>
                <w:b/>
                <w:lang w:eastAsia="ja-JP"/>
              </w:rPr>
            </w:pPr>
            <w:r w:rsidRPr="00112AEF">
              <w:rPr>
                <w:rFonts w:ascii="Book Antiqua" w:eastAsia="MS PGothic" w:hAnsi="Book Antiqua" w:cs="Arial"/>
                <w:b/>
                <w:lang w:eastAsia="ja-JP"/>
              </w:rPr>
              <w:t>HR (95%CI)</w:t>
            </w:r>
          </w:p>
        </w:tc>
        <w:tc>
          <w:tcPr>
            <w:tcW w:w="437" w:type="pct"/>
            <w:tcBorders>
              <w:left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b/>
                <w:lang w:eastAsia="ja-JP"/>
              </w:rPr>
            </w:pPr>
            <w:r w:rsidRPr="00112AEF">
              <w:rPr>
                <w:rFonts w:ascii="Book Antiqua" w:eastAsia="MS PGothic" w:hAnsi="Book Antiqua" w:cs="Arial"/>
                <w:b/>
                <w:i/>
                <w:lang w:eastAsia="ja-JP"/>
              </w:rPr>
              <w:t xml:space="preserve">P </w:t>
            </w:r>
            <w:r w:rsidRPr="00112AEF">
              <w:rPr>
                <w:rFonts w:ascii="Book Antiqua" w:eastAsia="MS PGothic" w:hAnsi="Book Antiqua" w:cs="Arial"/>
                <w:b/>
                <w:lang w:eastAsia="ja-JP"/>
              </w:rPr>
              <w:t>value</w:t>
            </w:r>
          </w:p>
        </w:tc>
        <w:tc>
          <w:tcPr>
            <w:tcW w:w="1164" w:type="pct"/>
            <w:tcBorders>
              <w:left w:val="nil"/>
              <w:right w:val="nil"/>
            </w:tcBorders>
            <w:vAlign w:val="center"/>
          </w:tcPr>
          <w:p w:rsidR="00AD473F" w:rsidRPr="00112AEF" w:rsidRDefault="00AD473F" w:rsidP="00150DB3">
            <w:pPr>
              <w:widowControl w:val="0"/>
              <w:spacing w:line="360" w:lineRule="auto"/>
              <w:ind w:firstLineChars="100" w:firstLine="241"/>
              <w:jc w:val="both"/>
              <w:rPr>
                <w:rFonts w:ascii="Book Antiqua" w:eastAsia="MS PGothic" w:hAnsi="Book Antiqua" w:cs="Arial"/>
                <w:b/>
                <w:lang w:eastAsia="ja-JP"/>
              </w:rPr>
            </w:pPr>
            <w:r w:rsidRPr="00112AEF">
              <w:rPr>
                <w:rFonts w:ascii="Book Antiqua" w:eastAsia="MS PGothic" w:hAnsi="Book Antiqua" w:cs="Arial"/>
                <w:b/>
                <w:lang w:eastAsia="ja-JP"/>
              </w:rPr>
              <w:t>HR (95%CI)</w:t>
            </w:r>
          </w:p>
        </w:tc>
        <w:tc>
          <w:tcPr>
            <w:tcW w:w="436" w:type="pct"/>
            <w:tcBorders>
              <w:left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b/>
                <w:lang w:eastAsia="ja-JP"/>
              </w:rPr>
            </w:pPr>
            <w:r w:rsidRPr="00112AEF">
              <w:rPr>
                <w:rFonts w:ascii="Book Antiqua" w:eastAsia="MS PGothic" w:hAnsi="Book Antiqua" w:cs="Arial"/>
                <w:b/>
                <w:i/>
                <w:lang w:eastAsia="ja-JP"/>
              </w:rPr>
              <w:t>P</w:t>
            </w:r>
            <w:r w:rsidRPr="00112AEF">
              <w:rPr>
                <w:rFonts w:ascii="Book Antiqua" w:eastAsia="MS PGothic" w:hAnsi="Book Antiqua" w:cs="Arial"/>
                <w:b/>
                <w:lang w:eastAsia="ja-JP"/>
              </w:rPr>
              <w:t xml:space="preserve"> value</w:t>
            </w:r>
          </w:p>
        </w:tc>
      </w:tr>
      <w:tr w:rsidR="00AD473F" w:rsidRPr="00112AEF" w:rsidTr="00501AF7">
        <w:trPr>
          <w:trHeight w:val="717"/>
        </w:trPr>
        <w:tc>
          <w:tcPr>
            <w:tcW w:w="1825"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Gender, male (</w:t>
            </w:r>
            <w:r w:rsidRPr="00112AEF">
              <w:rPr>
                <w:rFonts w:ascii="Book Antiqua" w:eastAsia="MS PGothic" w:hAnsi="Book Antiqua" w:cs="Arial"/>
                <w:i/>
                <w:lang w:eastAsia="ja-JP"/>
              </w:rPr>
              <w:t xml:space="preserve">vs </w:t>
            </w:r>
            <w:r w:rsidRPr="00112AEF">
              <w:rPr>
                <w:rFonts w:ascii="Book Antiqua" w:eastAsia="MS PGothic" w:hAnsi="Book Antiqua" w:cs="Arial"/>
                <w:lang w:eastAsia="ja-JP"/>
              </w:rPr>
              <w:t>female)</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0.384 (0.147–1.005)</w:t>
            </w: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0.051</w:t>
            </w: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r>
      <w:tr w:rsidR="00AD473F" w:rsidRPr="00112AEF" w:rsidTr="00501AF7">
        <w:trPr>
          <w:trHeight w:val="708"/>
        </w:trPr>
        <w:tc>
          <w:tcPr>
            <w:tcW w:w="1825"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Age, ≤70 years (</w:t>
            </w:r>
            <w:r w:rsidRPr="00112AEF">
              <w:rPr>
                <w:rFonts w:ascii="Book Antiqua" w:eastAsia="MS PGothic" w:hAnsi="Book Antiqua" w:cs="Arial"/>
                <w:i/>
                <w:lang w:eastAsia="ja-JP"/>
              </w:rPr>
              <w:t>vs</w:t>
            </w:r>
            <w:r w:rsidRPr="00112AEF">
              <w:rPr>
                <w:rFonts w:ascii="Book Antiqua" w:eastAsia="宋体" w:hAnsi="Book Antiqua" w:cs="Arial"/>
                <w:i/>
                <w:lang w:eastAsia="zh-CN"/>
              </w:rPr>
              <w:t xml:space="preserve"> </w:t>
            </w:r>
            <w:r w:rsidRPr="00112AEF">
              <w:rPr>
                <w:rFonts w:ascii="Book Antiqua" w:eastAsia="MS PGothic" w:hAnsi="Book Antiqua" w:cs="Arial"/>
                <w:lang w:eastAsia="ja-JP"/>
              </w:rPr>
              <w:t>&gt;70 years)</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0.491 (0.225–1.071)</w:t>
            </w: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0.074</w:t>
            </w: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0.354 (0.135–0.933)</w:t>
            </w: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0.036</w:t>
            </w:r>
          </w:p>
        </w:tc>
      </w:tr>
      <w:tr w:rsidR="00AD473F" w:rsidRPr="00112AEF" w:rsidTr="00501AF7">
        <w:trPr>
          <w:trHeight w:val="718"/>
        </w:trPr>
        <w:tc>
          <w:tcPr>
            <w:tcW w:w="1825"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Previous therapy yes (</w:t>
            </w:r>
            <w:r w:rsidRPr="00112AEF">
              <w:rPr>
                <w:rFonts w:ascii="Book Antiqua" w:eastAsia="MS PGothic" w:hAnsi="Book Antiqua" w:cs="Arial"/>
                <w:i/>
                <w:lang w:eastAsia="ja-JP"/>
              </w:rPr>
              <w:t>vs</w:t>
            </w:r>
            <w:r w:rsidRPr="00112AEF">
              <w:rPr>
                <w:rFonts w:ascii="Book Antiqua" w:eastAsia="MS PGothic" w:hAnsi="Book Antiqua" w:cs="Arial"/>
                <w:lang w:eastAsia="ja-JP"/>
              </w:rPr>
              <w:t xml:space="preserve"> no)</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0.035 (0.128–0.961)</w:t>
            </w: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0.042</w:t>
            </w: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r>
      <w:tr w:rsidR="00AD473F" w:rsidRPr="00112AEF" w:rsidTr="00501AF7">
        <w:trPr>
          <w:trHeight w:val="856"/>
        </w:trPr>
        <w:tc>
          <w:tcPr>
            <w:tcW w:w="1825"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DCP, ≤</w:t>
            </w:r>
            <w:r w:rsidRPr="00112AEF">
              <w:rPr>
                <w:rFonts w:ascii="Book Antiqua" w:eastAsia="宋体" w:hAnsi="Book Antiqua" w:cs="Arial"/>
                <w:lang w:eastAsia="zh-CN"/>
              </w:rPr>
              <w:t xml:space="preserve"> </w:t>
            </w:r>
            <w:r w:rsidRPr="00112AEF">
              <w:rPr>
                <w:rFonts w:ascii="Book Antiqua" w:eastAsia="MS PGothic" w:hAnsi="Book Antiqua" w:cs="Arial"/>
                <w:lang w:eastAsia="ja-JP"/>
              </w:rPr>
              <w:t>1000 mAU/mL (</w:t>
            </w:r>
            <w:r w:rsidRPr="00112AEF">
              <w:rPr>
                <w:rFonts w:ascii="Book Antiqua" w:eastAsia="MS PGothic" w:hAnsi="Book Antiqua" w:cs="Arial"/>
                <w:i/>
                <w:lang w:eastAsia="ja-JP"/>
              </w:rPr>
              <w:t>vs</w:t>
            </w:r>
            <w:r w:rsidRPr="00112AEF">
              <w:rPr>
                <w:rFonts w:ascii="Book Antiqua" w:eastAsia="MS PGothic" w:hAnsi="Book Antiqua" w:cs="Arial"/>
                <w:lang w:eastAsia="ja-JP"/>
              </w:rPr>
              <w:t xml:space="preserve"> &gt;</w:t>
            </w:r>
            <w:r w:rsidRPr="00112AEF">
              <w:rPr>
                <w:rFonts w:ascii="Book Antiqua" w:eastAsia="宋体" w:hAnsi="Book Antiqua" w:cs="Arial"/>
                <w:lang w:eastAsia="zh-CN"/>
              </w:rPr>
              <w:t xml:space="preserve"> </w:t>
            </w:r>
            <w:r w:rsidRPr="00112AEF">
              <w:rPr>
                <w:rFonts w:ascii="Book Antiqua" w:eastAsia="MS PGothic" w:hAnsi="Book Antiqua" w:cs="Arial"/>
                <w:lang w:eastAsia="ja-JP"/>
              </w:rPr>
              <w:t>1000 mAU/mL)</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0.416 (0.178–0.974)</w:t>
            </w: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0.043</w:t>
            </w: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r>
      <w:tr w:rsidR="00AD473F" w:rsidRPr="00112AEF" w:rsidTr="00501AF7">
        <w:trPr>
          <w:trHeight w:val="858"/>
        </w:trPr>
        <w:tc>
          <w:tcPr>
            <w:tcW w:w="1825"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hAnsi="Book Antiqua"/>
                <w:u w:color="000000"/>
                <w:lang w:eastAsia="ja-JP"/>
              </w:rPr>
              <w:t>Initial d</w:t>
            </w:r>
            <w:r w:rsidRPr="00112AEF">
              <w:rPr>
                <w:rFonts w:ascii="Book Antiqua" w:hAnsi="Book Antiqua"/>
                <w:u w:color="000000"/>
              </w:rPr>
              <w:t>ose of sorafenib, 800 mg</w:t>
            </w:r>
            <w:r w:rsidRPr="00112AEF" w:rsidDel="006C7927">
              <w:rPr>
                <w:rFonts w:ascii="Book Antiqua" w:eastAsia="MS PGothic" w:hAnsi="Book Antiqua" w:cs="Arial"/>
                <w:lang w:eastAsia="ja-JP"/>
              </w:rPr>
              <w:t xml:space="preserve"> </w:t>
            </w:r>
            <w:r w:rsidRPr="00112AEF">
              <w:rPr>
                <w:rFonts w:ascii="Book Antiqua" w:eastAsia="MS PGothic" w:hAnsi="Book Antiqua" w:cs="Arial"/>
                <w:lang w:eastAsia="ja-JP"/>
              </w:rPr>
              <w:t>(</w:t>
            </w:r>
            <w:r w:rsidRPr="00112AEF">
              <w:rPr>
                <w:rFonts w:ascii="Book Antiqua" w:eastAsia="MS PGothic" w:hAnsi="Book Antiqua" w:cs="Arial"/>
                <w:i/>
                <w:lang w:eastAsia="ja-JP"/>
              </w:rPr>
              <w:t>vs</w:t>
            </w:r>
            <w:r w:rsidRPr="00112AEF">
              <w:rPr>
                <w:rFonts w:ascii="Book Antiqua" w:eastAsia="MS PGothic" w:hAnsi="Book Antiqua" w:cs="Arial"/>
                <w:lang w:eastAsia="ja-JP"/>
              </w:rPr>
              <w:t xml:space="preserve"> &lt; 800 mg)</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0.405 (0.185–0.888)</w:t>
            </w: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0.024</w:t>
            </w: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r>
      <w:tr w:rsidR="00AD473F" w:rsidRPr="00112AEF" w:rsidTr="00501AF7">
        <w:trPr>
          <w:trHeight w:val="642"/>
        </w:trPr>
        <w:tc>
          <w:tcPr>
            <w:tcW w:w="1825"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Adverse events &gt;</w:t>
            </w:r>
            <w:r w:rsidRPr="00112AEF">
              <w:rPr>
                <w:rFonts w:ascii="Book Antiqua" w:eastAsia="宋体" w:hAnsi="Book Antiqua" w:cs="Arial"/>
                <w:lang w:eastAsia="zh-CN"/>
              </w:rPr>
              <w:t xml:space="preserve"> </w:t>
            </w:r>
            <w:r w:rsidRPr="00112AEF">
              <w:rPr>
                <w:rFonts w:ascii="Book Antiqua" w:eastAsia="MS PGothic" w:hAnsi="Book Antiqua" w:cs="Arial"/>
                <w:lang w:eastAsia="ja-JP"/>
              </w:rPr>
              <w:t>grade 2</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r>
      <w:tr w:rsidR="00AD473F" w:rsidRPr="00112AEF" w:rsidTr="00501AF7">
        <w:trPr>
          <w:trHeight w:val="764"/>
        </w:trPr>
        <w:tc>
          <w:tcPr>
            <w:tcW w:w="1825" w:type="pct"/>
            <w:tcBorders>
              <w:top w:val="nil"/>
              <w:left w:val="nil"/>
              <w:bottom w:val="nil"/>
              <w:right w:val="nil"/>
            </w:tcBorders>
            <w:vAlign w:val="center"/>
          </w:tcPr>
          <w:p w:rsidR="00AD473F" w:rsidRPr="00112AEF" w:rsidRDefault="00AD473F" w:rsidP="00150DB3">
            <w:pPr>
              <w:widowControl w:val="0"/>
              <w:spacing w:line="360" w:lineRule="auto"/>
              <w:ind w:leftChars="92" w:left="221"/>
              <w:jc w:val="both"/>
              <w:rPr>
                <w:rFonts w:ascii="Book Antiqua" w:eastAsia="MS PGothic" w:hAnsi="Book Antiqua" w:cs="Arial"/>
                <w:lang w:eastAsia="ja-JP"/>
              </w:rPr>
            </w:pPr>
            <w:r w:rsidRPr="00112AEF">
              <w:rPr>
                <w:rFonts w:ascii="Book Antiqua" w:eastAsia="MS PGothic" w:hAnsi="Book Antiqua" w:cs="Arial"/>
                <w:lang w:eastAsia="ja-JP"/>
              </w:rPr>
              <w:t>Anorexia − (</w:t>
            </w:r>
            <w:r w:rsidRPr="00112AEF">
              <w:rPr>
                <w:rFonts w:ascii="Book Antiqua" w:eastAsia="MS PGothic" w:hAnsi="Book Antiqua" w:cs="Arial"/>
                <w:i/>
                <w:lang w:eastAsia="ja-JP"/>
              </w:rPr>
              <w:t>vs</w:t>
            </w:r>
            <w:r w:rsidRPr="00112AEF">
              <w:rPr>
                <w:rFonts w:ascii="Book Antiqua" w:eastAsia="MS PGothic" w:hAnsi="Book Antiqua" w:cs="Arial"/>
                <w:lang w:eastAsia="ja-JP"/>
              </w:rPr>
              <w:t xml:space="preserve"> +)</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0.374 (0.158–0.888)</w:t>
            </w: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0.026</w:t>
            </w: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r>
      <w:tr w:rsidR="00AD473F" w:rsidRPr="00112AEF" w:rsidTr="00501AF7">
        <w:trPr>
          <w:trHeight w:val="714"/>
        </w:trPr>
        <w:tc>
          <w:tcPr>
            <w:tcW w:w="1825" w:type="pct"/>
            <w:tcBorders>
              <w:top w:val="nil"/>
              <w:left w:val="nil"/>
              <w:bottom w:val="nil"/>
              <w:right w:val="nil"/>
            </w:tcBorders>
            <w:vAlign w:val="center"/>
          </w:tcPr>
          <w:p w:rsidR="00AD473F" w:rsidRPr="00112AEF" w:rsidRDefault="00AD473F" w:rsidP="00150DB3">
            <w:pPr>
              <w:widowControl w:val="0"/>
              <w:spacing w:line="360" w:lineRule="auto"/>
              <w:ind w:leftChars="92" w:left="221"/>
              <w:jc w:val="both"/>
              <w:rPr>
                <w:rFonts w:ascii="Book Antiqua" w:eastAsia="MS PGothic" w:hAnsi="Book Antiqua" w:cs="Arial"/>
                <w:lang w:eastAsia="ja-JP"/>
              </w:rPr>
            </w:pPr>
            <w:r w:rsidRPr="00112AEF">
              <w:rPr>
                <w:rFonts w:ascii="Book Antiqua" w:eastAsia="MS PGothic" w:hAnsi="Book Antiqua" w:cs="Arial"/>
                <w:lang w:eastAsia="ja-JP"/>
              </w:rPr>
              <w:t>Skin toxicity</w:t>
            </w:r>
            <w:r w:rsidRPr="00112AEF">
              <w:rPr>
                <w:rFonts w:ascii="Book Antiqua" w:eastAsia="MS PGothic" w:hAnsi="Book Antiqua" w:cs="Arial"/>
                <w:vertAlign w:val="superscript"/>
                <w:lang w:eastAsia="ja-JP"/>
              </w:rPr>
              <w:t>a</w:t>
            </w:r>
            <w:r w:rsidRPr="00112AEF">
              <w:rPr>
                <w:rFonts w:ascii="Book Antiqua" w:eastAsia="MS PGothic" w:hAnsi="Book Antiqua" w:cs="Arial"/>
                <w:lang w:eastAsia="ja-JP"/>
              </w:rPr>
              <w:t xml:space="preserve"> + (</w:t>
            </w:r>
            <w:r w:rsidRPr="00112AEF">
              <w:rPr>
                <w:rFonts w:ascii="Book Antiqua" w:eastAsia="MS PGothic" w:hAnsi="Book Antiqua" w:cs="Arial"/>
                <w:i/>
                <w:lang w:eastAsia="ja-JP"/>
              </w:rPr>
              <w:t>vs</w:t>
            </w:r>
            <w:r w:rsidRPr="00112AEF">
              <w:rPr>
                <w:rFonts w:ascii="Book Antiqua" w:eastAsia="宋体" w:hAnsi="Book Antiqua" w:cs="Arial"/>
                <w:i/>
                <w:lang w:eastAsia="zh-CN"/>
              </w:rPr>
              <w:t xml:space="preserve"> </w:t>
            </w:r>
            <w:r w:rsidRPr="00112AEF">
              <w:rPr>
                <w:rFonts w:ascii="Book Antiqua" w:eastAsia="MS PGothic" w:hAnsi="Book Antiqua" w:cs="Arial"/>
                <w:lang w:eastAsia="ja-JP"/>
              </w:rPr>
              <w:t>−)</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0.278 (0.122–0.635)</w:t>
            </w: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0.002</w:t>
            </w: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0.267 (0.102–0.701)</w:t>
            </w: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0.007</w:t>
            </w:r>
          </w:p>
        </w:tc>
      </w:tr>
      <w:tr w:rsidR="00AD473F" w:rsidRPr="00112AEF" w:rsidTr="00501AF7">
        <w:trPr>
          <w:trHeight w:val="622"/>
        </w:trPr>
        <w:tc>
          <w:tcPr>
            <w:tcW w:w="1825" w:type="pct"/>
            <w:tcBorders>
              <w:top w:val="nil"/>
              <w:left w:val="nil"/>
              <w:bottom w:val="nil"/>
              <w:right w:val="nil"/>
            </w:tcBorders>
            <w:vAlign w:val="center"/>
          </w:tcPr>
          <w:p w:rsidR="00AD473F" w:rsidRPr="00112AEF" w:rsidRDefault="00AD473F" w:rsidP="00150DB3">
            <w:pPr>
              <w:widowControl w:val="0"/>
              <w:spacing w:line="360" w:lineRule="auto"/>
              <w:ind w:leftChars="92" w:left="221"/>
              <w:jc w:val="both"/>
              <w:rPr>
                <w:rFonts w:ascii="Book Antiqua" w:eastAsia="MS PGothic" w:hAnsi="Book Antiqua" w:cs="Arial"/>
                <w:lang w:eastAsia="ja-JP"/>
              </w:rPr>
            </w:pPr>
            <w:r w:rsidRPr="00112AEF">
              <w:rPr>
                <w:rFonts w:ascii="Book Antiqua" w:eastAsia="MS PGothic" w:hAnsi="Book Antiqua" w:cs="Arial"/>
                <w:lang w:eastAsia="ja-JP"/>
              </w:rPr>
              <w:t>Fatigue − (</w:t>
            </w:r>
            <w:r w:rsidRPr="00112AEF">
              <w:rPr>
                <w:rFonts w:ascii="Book Antiqua" w:eastAsia="MS PGothic" w:hAnsi="Book Antiqua" w:cs="Arial"/>
                <w:i/>
                <w:lang w:eastAsia="ja-JP"/>
              </w:rPr>
              <w:t xml:space="preserve">vs </w:t>
            </w:r>
            <w:r w:rsidRPr="00112AEF">
              <w:rPr>
                <w:rFonts w:ascii="Book Antiqua" w:eastAsia="MS PGothic" w:hAnsi="Book Antiqua" w:cs="Arial"/>
                <w:lang w:eastAsia="ja-JP"/>
              </w:rPr>
              <w:t xml:space="preserve">+) </w:t>
            </w:r>
          </w:p>
        </w:tc>
        <w:tc>
          <w:tcPr>
            <w:tcW w:w="1138"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0.404 (0.176–0.924)</w:t>
            </w:r>
          </w:p>
        </w:tc>
        <w:tc>
          <w:tcPr>
            <w:tcW w:w="437"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0.032</w:t>
            </w:r>
          </w:p>
        </w:tc>
        <w:tc>
          <w:tcPr>
            <w:tcW w:w="1164"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c>
          <w:tcPr>
            <w:tcW w:w="436" w:type="pct"/>
            <w:tcBorders>
              <w:top w:val="nil"/>
              <w:left w:val="nil"/>
              <w:bottom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p>
        </w:tc>
      </w:tr>
      <w:tr w:rsidR="00AD473F" w:rsidRPr="00112AEF" w:rsidTr="00501AF7">
        <w:trPr>
          <w:trHeight w:val="756"/>
        </w:trPr>
        <w:tc>
          <w:tcPr>
            <w:tcW w:w="1825" w:type="pct"/>
            <w:tcBorders>
              <w:top w:val="nil"/>
              <w:left w:val="nil"/>
              <w:right w:val="nil"/>
            </w:tcBorders>
            <w:vAlign w:val="center"/>
          </w:tcPr>
          <w:p w:rsidR="00AD473F" w:rsidRPr="00112AEF" w:rsidRDefault="00AD473F" w:rsidP="00150DB3">
            <w:pPr>
              <w:widowControl w:val="0"/>
              <w:spacing w:line="360" w:lineRule="auto"/>
              <w:ind w:leftChars="92" w:left="221"/>
              <w:jc w:val="both"/>
              <w:rPr>
                <w:rFonts w:ascii="Book Antiqua" w:eastAsia="MS PGothic" w:hAnsi="Book Antiqua" w:cs="Arial"/>
                <w:lang w:eastAsia="ja-JP"/>
              </w:rPr>
            </w:pPr>
            <w:r w:rsidRPr="00112AEF">
              <w:rPr>
                <w:rFonts w:ascii="Book Antiqua" w:eastAsia="MS PGothic" w:hAnsi="Book Antiqua" w:cs="Arial"/>
                <w:lang w:eastAsia="ja-JP"/>
              </w:rPr>
              <w:t>Hypoalbuminemia − (</w:t>
            </w:r>
            <w:r w:rsidRPr="00112AEF">
              <w:rPr>
                <w:rFonts w:ascii="Book Antiqua" w:eastAsia="MS PGothic" w:hAnsi="Book Antiqua" w:cs="Arial"/>
                <w:i/>
                <w:lang w:eastAsia="ja-JP"/>
              </w:rPr>
              <w:t xml:space="preserve">vs </w:t>
            </w:r>
            <w:r w:rsidRPr="00112AEF">
              <w:rPr>
                <w:rFonts w:ascii="Book Antiqua" w:eastAsia="MS PGothic" w:hAnsi="Book Antiqua" w:cs="Arial"/>
                <w:lang w:eastAsia="ja-JP"/>
              </w:rPr>
              <w:t>+)</w:t>
            </w:r>
          </w:p>
        </w:tc>
        <w:tc>
          <w:tcPr>
            <w:tcW w:w="1138" w:type="pct"/>
            <w:tcBorders>
              <w:top w:val="nil"/>
              <w:left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0.379 (0.170–0.842)</w:t>
            </w:r>
          </w:p>
        </w:tc>
        <w:tc>
          <w:tcPr>
            <w:tcW w:w="437" w:type="pct"/>
            <w:tcBorders>
              <w:top w:val="nil"/>
              <w:left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0.017</w:t>
            </w:r>
          </w:p>
        </w:tc>
        <w:tc>
          <w:tcPr>
            <w:tcW w:w="1164" w:type="pct"/>
            <w:tcBorders>
              <w:top w:val="nil"/>
              <w:left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0.221 (0.085–0.575)</w:t>
            </w:r>
          </w:p>
        </w:tc>
        <w:tc>
          <w:tcPr>
            <w:tcW w:w="436" w:type="pct"/>
            <w:tcBorders>
              <w:top w:val="nil"/>
              <w:left w:val="nil"/>
              <w:right w:val="nil"/>
            </w:tcBorders>
            <w:vAlign w:val="center"/>
          </w:tcPr>
          <w:p w:rsidR="00AD473F" w:rsidRPr="00112AEF" w:rsidRDefault="00AD473F" w:rsidP="002F5E25">
            <w:pPr>
              <w:widowControl w:val="0"/>
              <w:spacing w:line="360" w:lineRule="auto"/>
              <w:jc w:val="both"/>
              <w:rPr>
                <w:rFonts w:ascii="Book Antiqua" w:eastAsia="MS PGothic" w:hAnsi="Book Antiqua" w:cs="Arial"/>
                <w:lang w:eastAsia="ja-JP"/>
              </w:rPr>
            </w:pPr>
            <w:r w:rsidRPr="00112AEF">
              <w:rPr>
                <w:rFonts w:ascii="Book Antiqua" w:eastAsia="MS PGothic" w:hAnsi="Book Antiqua" w:cs="Arial"/>
                <w:lang w:eastAsia="ja-JP"/>
              </w:rPr>
              <w:t>0.002</w:t>
            </w:r>
          </w:p>
        </w:tc>
      </w:tr>
    </w:tbl>
    <w:p w:rsidR="00AD473F" w:rsidRPr="00112AEF" w:rsidRDefault="00AD473F" w:rsidP="002F5E25">
      <w:pPr>
        <w:spacing w:line="360" w:lineRule="auto"/>
        <w:jc w:val="both"/>
        <w:outlineLvl w:val="0"/>
        <w:rPr>
          <w:rFonts w:ascii="Book Antiqua" w:eastAsia="宋体" w:hAnsi="Book Antiqua"/>
          <w:lang w:eastAsia="zh-CN"/>
        </w:rPr>
      </w:pPr>
      <w:r w:rsidRPr="00112AEF">
        <w:rPr>
          <w:rFonts w:ascii="Book Antiqua" w:hAnsi="Book Antiqua" w:cs="Arial"/>
          <w:kern w:val="2"/>
          <w:lang w:eastAsia="ja-JP"/>
        </w:rPr>
        <w:t xml:space="preserve">This table only includes variables with </w:t>
      </w:r>
      <w:r w:rsidRPr="005A176F">
        <w:rPr>
          <w:rFonts w:ascii="Book Antiqua" w:hAnsi="Book Antiqua" w:cs="Arial"/>
          <w:i/>
          <w:kern w:val="2"/>
          <w:lang w:eastAsia="ja-JP"/>
        </w:rPr>
        <w:t>P</w:t>
      </w:r>
      <w:r w:rsidRPr="00112AEF">
        <w:rPr>
          <w:rFonts w:ascii="Book Antiqua" w:hAnsi="Book Antiqua" w:cs="Arial"/>
          <w:kern w:val="2"/>
          <w:lang w:eastAsia="ja-JP"/>
        </w:rPr>
        <w:t xml:space="preserve"> values &lt;</w:t>
      </w:r>
      <w:r w:rsidRPr="00112AEF">
        <w:rPr>
          <w:rFonts w:ascii="Book Antiqua" w:eastAsia="宋体" w:hAnsi="Book Antiqua" w:cs="Arial"/>
          <w:kern w:val="2"/>
          <w:lang w:eastAsia="zh-CN"/>
        </w:rPr>
        <w:t xml:space="preserve"> </w:t>
      </w:r>
      <w:r w:rsidRPr="00112AEF">
        <w:rPr>
          <w:rFonts w:ascii="Book Antiqua" w:hAnsi="Book Antiqua" w:cs="Arial"/>
          <w:kern w:val="2"/>
          <w:lang w:eastAsia="ja-JP"/>
        </w:rPr>
        <w:t>0.15 in univariate analyses</w:t>
      </w:r>
      <w:r w:rsidRPr="00112AEF">
        <w:rPr>
          <w:rFonts w:ascii="Book Antiqua" w:eastAsia="宋体" w:hAnsi="Book Antiqua" w:cs="Arial"/>
          <w:kern w:val="2"/>
          <w:lang w:eastAsia="zh-CN"/>
        </w:rPr>
        <w:t xml:space="preserve">. </w:t>
      </w:r>
      <w:r w:rsidRPr="00112AEF">
        <w:rPr>
          <w:rFonts w:ascii="Book Antiqua" w:hAnsi="Book Antiqua" w:cs="Arial"/>
          <w:kern w:val="2"/>
          <w:vertAlign w:val="superscript"/>
          <w:lang w:eastAsia="ja-JP"/>
        </w:rPr>
        <w:t>a</w:t>
      </w:r>
      <w:r w:rsidRPr="00112AEF">
        <w:rPr>
          <w:rFonts w:ascii="Book Antiqua" w:hAnsi="Book Antiqua" w:cs="Arial"/>
          <w:kern w:val="2"/>
          <w:lang w:eastAsia="ja-JP"/>
        </w:rPr>
        <w:t>Skin toxicity includes hand–foot skin reaction and any kind of rash</w:t>
      </w:r>
      <w:r w:rsidRPr="00112AEF">
        <w:rPr>
          <w:rFonts w:ascii="Book Antiqua" w:eastAsia="宋体" w:hAnsi="Book Antiqua" w:cs="Arial"/>
          <w:kern w:val="2"/>
          <w:lang w:eastAsia="zh-CN"/>
        </w:rPr>
        <w:t xml:space="preserve">. </w:t>
      </w:r>
      <w:r w:rsidRPr="00112AEF">
        <w:rPr>
          <w:rFonts w:ascii="Book Antiqua" w:hAnsi="Book Antiqua" w:cs="Arial"/>
          <w:kern w:val="2"/>
          <w:lang w:eastAsia="ja-JP"/>
        </w:rPr>
        <w:t>HR</w:t>
      </w:r>
      <w:r w:rsidRPr="00112AEF">
        <w:rPr>
          <w:rFonts w:ascii="Book Antiqua" w:eastAsia="宋体" w:hAnsi="Book Antiqua" w:cs="Arial"/>
          <w:kern w:val="2"/>
          <w:lang w:eastAsia="zh-CN"/>
        </w:rPr>
        <w:t xml:space="preserve">: </w:t>
      </w:r>
      <w:r w:rsidRPr="00112AEF">
        <w:rPr>
          <w:rFonts w:ascii="Book Antiqua" w:hAnsi="Book Antiqua" w:cs="Arial"/>
          <w:kern w:val="2"/>
          <w:lang w:eastAsia="ja-JP"/>
        </w:rPr>
        <w:t>Hazard ratio; DCP</w:t>
      </w:r>
      <w:r w:rsidRPr="00112AEF">
        <w:rPr>
          <w:rFonts w:ascii="Book Antiqua" w:eastAsia="宋体" w:hAnsi="Book Antiqua" w:cs="Arial"/>
          <w:kern w:val="2"/>
          <w:lang w:eastAsia="zh-CN"/>
        </w:rPr>
        <w:t>: D</w:t>
      </w:r>
      <w:r w:rsidRPr="00112AEF">
        <w:rPr>
          <w:rFonts w:ascii="Book Antiqua" w:hAnsi="Book Antiqua" w:cs="Arial"/>
          <w:kern w:val="2"/>
          <w:lang w:eastAsia="ja-JP"/>
        </w:rPr>
        <w:t>es-gamma-carboxy prothrombin</w:t>
      </w:r>
      <w:r w:rsidRPr="00112AEF">
        <w:rPr>
          <w:rFonts w:ascii="Book Antiqua" w:eastAsia="宋体" w:hAnsi="Book Antiqua" w:cs="Arial"/>
          <w:kern w:val="2"/>
          <w:lang w:eastAsia="zh-CN"/>
        </w:rPr>
        <w:t>.</w:t>
      </w:r>
    </w:p>
    <w:p w:rsidR="00AD473F" w:rsidRPr="00112AEF" w:rsidRDefault="00AD473F" w:rsidP="002F5E25">
      <w:pPr>
        <w:spacing w:line="360" w:lineRule="auto"/>
        <w:jc w:val="both"/>
        <w:outlineLvl w:val="0"/>
        <w:rPr>
          <w:rFonts w:ascii="Book Antiqua" w:eastAsia="宋体" w:hAnsi="Book Antiqua"/>
          <w:lang w:eastAsia="zh-CN"/>
        </w:rPr>
      </w:pPr>
    </w:p>
    <w:p w:rsidR="00AD473F" w:rsidRPr="00112AEF" w:rsidRDefault="00AD473F" w:rsidP="002F5E25">
      <w:pPr>
        <w:spacing w:line="360" w:lineRule="auto"/>
        <w:jc w:val="both"/>
        <w:outlineLvl w:val="0"/>
        <w:rPr>
          <w:rFonts w:ascii="Book Antiqua" w:eastAsia="宋体" w:hAnsi="Book Antiqua"/>
          <w:lang w:eastAsia="zh-CN"/>
        </w:rPr>
      </w:pPr>
    </w:p>
    <w:p w:rsidR="00AD473F" w:rsidRPr="00112AEF" w:rsidRDefault="00AD473F" w:rsidP="002F5E25">
      <w:pPr>
        <w:spacing w:line="360" w:lineRule="auto"/>
        <w:jc w:val="both"/>
        <w:outlineLvl w:val="0"/>
        <w:rPr>
          <w:rFonts w:ascii="Book Antiqua" w:eastAsia="宋体" w:hAnsi="Book Antiqua"/>
          <w:lang w:eastAsia="zh-CN"/>
        </w:rPr>
      </w:pPr>
    </w:p>
    <w:p w:rsidR="00AD473F" w:rsidRPr="00112AEF" w:rsidRDefault="00AD473F" w:rsidP="002F5E25">
      <w:pPr>
        <w:spacing w:line="360" w:lineRule="auto"/>
        <w:jc w:val="both"/>
        <w:outlineLvl w:val="0"/>
        <w:rPr>
          <w:rFonts w:ascii="Book Antiqua" w:eastAsia="宋体" w:hAnsi="Book Antiqua"/>
          <w:lang w:eastAsia="zh-CN"/>
        </w:rPr>
      </w:pPr>
    </w:p>
    <w:p w:rsidR="00AD473F" w:rsidRPr="00112AEF" w:rsidRDefault="00AD473F" w:rsidP="002F5E25">
      <w:pPr>
        <w:spacing w:line="360" w:lineRule="auto"/>
        <w:jc w:val="both"/>
        <w:outlineLvl w:val="0"/>
        <w:rPr>
          <w:rFonts w:ascii="Book Antiqua" w:eastAsia="宋体" w:hAnsi="Book Antiqua"/>
          <w:lang w:eastAsia="zh-CN"/>
        </w:rPr>
      </w:pPr>
    </w:p>
    <w:p w:rsidR="00AD473F" w:rsidRPr="00112AEF" w:rsidRDefault="00AD473F" w:rsidP="002F5E25">
      <w:pPr>
        <w:spacing w:line="360" w:lineRule="auto"/>
        <w:jc w:val="both"/>
        <w:outlineLvl w:val="0"/>
        <w:rPr>
          <w:rFonts w:ascii="Book Antiqua" w:eastAsia="宋体" w:hAnsi="Book Antiqua"/>
          <w:lang w:eastAsia="zh-CN"/>
        </w:rPr>
      </w:pPr>
    </w:p>
    <w:p w:rsidR="00AD473F" w:rsidRPr="00112AEF" w:rsidRDefault="00AD473F" w:rsidP="002F5E25">
      <w:pPr>
        <w:spacing w:line="360" w:lineRule="auto"/>
        <w:jc w:val="both"/>
        <w:outlineLvl w:val="0"/>
        <w:rPr>
          <w:rFonts w:ascii="Book Antiqua" w:eastAsia="宋体" w:hAnsi="Book Antiqua" w:cs="Arial"/>
          <w:kern w:val="2"/>
          <w:lang w:eastAsia="zh-CN"/>
        </w:rPr>
      </w:pPr>
    </w:p>
    <w:p w:rsidR="00AD473F" w:rsidRPr="00112AEF" w:rsidRDefault="00AD473F" w:rsidP="002F5E25">
      <w:pPr>
        <w:spacing w:line="360" w:lineRule="auto"/>
        <w:jc w:val="both"/>
        <w:outlineLvl w:val="0"/>
        <w:rPr>
          <w:rFonts w:ascii="Book Antiqua" w:eastAsia="宋体" w:hAnsi="Book Antiqua" w:cs="Arial"/>
          <w:kern w:val="2"/>
          <w:lang w:eastAsia="zh-CN"/>
        </w:rPr>
      </w:pPr>
      <w:r w:rsidRPr="00112AEF">
        <w:rPr>
          <w:rFonts w:ascii="Book Antiqua" w:hAnsi="Book Antiqua"/>
          <w:b/>
          <w:u w:color="000000"/>
        </w:rPr>
        <w:lastRenderedPageBreak/>
        <w:t xml:space="preserve">Table </w:t>
      </w:r>
      <w:r w:rsidRPr="00112AEF">
        <w:rPr>
          <w:rFonts w:ascii="Book Antiqua" w:hAnsi="Book Antiqua"/>
          <w:b/>
          <w:u w:color="000000"/>
          <w:lang w:eastAsia="ja-JP"/>
        </w:rPr>
        <w:t>4</w:t>
      </w:r>
      <w:r w:rsidRPr="00112AEF">
        <w:rPr>
          <w:rFonts w:ascii="Book Antiqua" w:eastAsia="宋体" w:hAnsi="Book Antiqua"/>
          <w:b/>
          <w:u w:color="000000"/>
          <w:lang w:eastAsia="zh-CN"/>
        </w:rPr>
        <w:t xml:space="preserve"> </w:t>
      </w:r>
      <w:r w:rsidRPr="00112AEF">
        <w:rPr>
          <w:rFonts w:ascii="Book Antiqua" w:hAnsi="Book Antiqua"/>
          <w:b/>
          <w:u w:color="000000"/>
        </w:rPr>
        <w:t>Variables associated with treatment duration</w:t>
      </w:r>
    </w:p>
    <w:tbl>
      <w:tblPr>
        <w:tblW w:w="9639" w:type="dxa"/>
        <w:tblInd w:w="-108" w:type="dxa"/>
        <w:tblLayout w:type="fixed"/>
        <w:tblLook w:val="0000" w:firstRow="0" w:lastRow="0" w:firstColumn="0" w:lastColumn="0" w:noHBand="0" w:noVBand="0"/>
      </w:tblPr>
      <w:tblGrid>
        <w:gridCol w:w="3828"/>
        <w:gridCol w:w="2268"/>
        <w:gridCol w:w="675"/>
        <w:gridCol w:w="2160"/>
        <w:gridCol w:w="708"/>
      </w:tblGrid>
      <w:tr w:rsidR="00AD473F" w:rsidRPr="00112AEF" w:rsidTr="000E0D4A">
        <w:trPr>
          <w:cantSplit/>
          <w:trHeight w:val="350"/>
        </w:trPr>
        <w:tc>
          <w:tcPr>
            <w:tcW w:w="3828" w:type="dxa"/>
            <w:vMerge w:val="restart"/>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b/>
                <w:u w:color="000000"/>
              </w:rPr>
            </w:pPr>
            <w:r w:rsidRPr="00112AEF">
              <w:rPr>
                <w:rFonts w:ascii="Book Antiqua" w:hAnsi="Book Antiqua"/>
                <w:b/>
                <w:kern w:val="2"/>
                <w:u w:color="000000"/>
                <w:lang w:eastAsia="ja-JP"/>
              </w:rPr>
              <w:t>Variables</w:t>
            </w:r>
          </w:p>
        </w:tc>
        <w:tc>
          <w:tcPr>
            <w:tcW w:w="2943" w:type="dxa"/>
            <w:gridSpan w:val="2"/>
            <w:tcBorders>
              <w:top w:val="single" w:sz="4" w:space="0" w:color="000000"/>
              <w:left w:val="none" w:sz="16" w:space="0" w:color="000000"/>
              <w:bottom w:val="single" w:sz="4"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b/>
                <w:u w:color="000000"/>
              </w:rPr>
            </w:pPr>
            <w:r w:rsidRPr="00112AEF">
              <w:rPr>
                <w:rFonts w:ascii="Book Antiqua" w:hAnsi="Book Antiqua"/>
                <w:b/>
                <w:u w:color="000000"/>
              </w:rPr>
              <w:t>Univariate</w:t>
            </w:r>
          </w:p>
        </w:tc>
        <w:tc>
          <w:tcPr>
            <w:tcW w:w="2868" w:type="dxa"/>
            <w:gridSpan w:val="2"/>
            <w:tcBorders>
              <w:top w:val="single" w:sz="4" w:space="0" w:color="000000"/>
              <w:left w:val="nil"/>
              <w:bottom w:val="single" w:sz="4" w:space="0" w:color="000000"/>
              <w:right w:val="none" w:sz="8"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b/>
                <w:u w:color="000000"/>
              </w:rPr>
            </w:pPr>
            <w:r w:rsidRPr="00112AEF">
              <w:rPr>
                <w:rFonts w:ascii="Book Antiqua" w:hAnsi="Book Antiqua"/>
                <w:b/>
                <w:u w:color="000000"/>
              </w:rPr>
              <w:t>Multivariate</w:t>
            </w:r>
          </w:p>
        </w:tc>
      </w:tr>
      <w:tr w:rsidR="00AD473F" w:rsidRPr="00112AEF" w:rsidTr="000E0D4A">
        <w:trPr>
          <w:cantSplit/>
          <w:trHeight w:val="350"/>
        </w:trPr>
        <w:tc>
          <w:tcPr>
            <w:tcW w:w="3828" w:type="dxa"/>
            <w:vMerge/>
            <w:tcBorders>
              <w:top w:val="single" w:sz="4" w:space="0" w:color="000000"/>
              <w:left w:val="none" w:sz="16" w:space="0" w:color="000000"/>
              <w:bottom w:val="single" w:sz="4" w:space="0" w:color="000000"/>
              <w:right w:val="none" w:sz="16" w:space="0" w:color="000000"/>
            </w:tcBorders>
            <w:shd w:val="clear" w:color="auto" w:fill="FFFFFF"/>
            <w:vAlign w:val="center"/>
          </w:tcPr>
          <w:p w:rsidR="00AD473F" w:rsidRPr="00112AEF" w:rsidRDefault="00AD473F" w:rsidP="000E0D4A">
            <w:pPr>
              <w:spacing w:line="360" w:lineRule="auto"/>
              <w:jc w:val="center"/>
              <w:rPr>
                <w:rFonts w:ascii="Book Antiqua" w:hAnsi="Book Antiqua"/>
                <w:b/>
              </w:rPr>
            </w:pPr>
          </w:p>
        </w:tc>
        <w:tc>
          <w:tcPr>
            <w:tcW w:w="2268" w:type="dxa"/>
            <w:tcBorders>
              <w:top w:val="single" w:sz="4" w:space="0" w:color="000000"/>
              <w:left w:val="none" w:sz="8" w:space="0" w:color="000000"/>
              <w:bottom w:val="single" w:sz="4" w:space="0" w:color="000000"/>
              <w:right w:val="none" w:sz="8"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b/>
                <w:u w:color="000000"/>
              </w:rPr>
            </w:pPr>
            <w:r w:rsidRPr="00112AEF">
              <w:rPr>
                <w:rFonts w:ascii="Book Antiqua" w:hAnsi="Book Antiqua"/>
                <w:b/>
                <w:u w:color="000000"/>
              </w:rPr>
              <w:t>HR</w:t>
            </w:r>
            <w:r w:rsidRPr="00112AEF">
              <w:rPr>
                <w:rFonts w:ascii="Book Antiqua" w:hAnsi="Book Antiqua"/>
                <w:b/>
                <w:u w:color="000000"/>
                <w:lang w:eastAsia="ja-JP"/>
              </w:rPr>
              <w:t xml:space="preserve"> </w:t>
            </w:r>
            <w:r w:rsidRPr="00112AEF">
              <w:rPr>
                <w:rFonts w:ascii="Book Antiqua" w:hAnsi="Book Antiqua"/>
                <w:b/>
                <w:u w:color="000000"/>
              </w:rPr>
              <w:t>(95%CI)</w:t>
            </w:r>
          </w:p>
        </w:tc>
        <w:tc>
          <w:tcPr>
            <w:tcW w:w="675" w:type="dxa"/>
            <w:tcBorders>
              <w:top w:val="single" w:sz="4" w:space="0" w:color="000000"/>
              <w:left w:val="none" w:sz="8" w:space="0" w:color="000000"/>
              <w:bottom w:val="single" w:sz="4"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b/>
                <w:u w:color="000000"/>
              </w:rPr>
            </w:pPr>
            <w:r w:rsidRPr="00112AEF">
              <w:rPr>
                <w:rFonts w:ascii="Book Antiqua" w:hAnsi="Book Antiqua"/>
                <w:b/>
                <w:i/>
                <w:u w:color="000000"/>
              </w:rPr>
              <w:t>P</w:t>
            </w:r>
            <w:r w:rsidRPr="00112AEF">
              <w:rPr>
                <w:rFonts w:ascii="Book Antiqua" w:hAnsi="Book Antiqua"/>
                <w:b/>
                <w:u w:color="000000"/>
              </w:rPr>
              <w:t xml:space="preserve"> value</w:t>
            </w:r>
          </w:p>
        </w:tc>
        <w:tc>
          <w:tcPr>
            <w:tcW w:w="2160" w:type="dxa"/>
            <w:tcBorders>
              <w:top w:val="single" w:sz="4" w:space="0" w:color="000000"/>
              <w:left w:val="nil"/>
              <w:bottom w:val="single" w:sz="4"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b/>
                <w:u w:color="000000"/>
              </w:rPr>
            </w:pPr>
            <w:r w:rsidRPr="00112AEF">
              <w:rPr>
                <w:rFonts w:ascii="Book Antiqua" w:hAnsi="Book Antiqua"/>
                <w:b/>
                <w:u w:color="000000"/>
              </w:rPr>
              <w:t>HR (95%CI)</w:t>
            </w:r>
          </w:p>
        </w:tc>
        <w:tc>
          <w:tcPr>
            <w:tcW w:w="708" w:type="dxa"/>
            <w:tcBorders>
              <w:top w:val="single" w:sz="4" w:space="0" w:color="000000"/>
              <w:left w:val="none" w:sz="16" w:space="0" w:color="000000"/>
              <w:bottom w:val="single" w:sz="4" w:space="0" w:color="000000"/>
              <w:right w:val="none" w:sz="8"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b/>
                <w:u w:color="000000"/>
              </w:rPr>
            </w:pPr>
            <w:r w:rsidRPr="00112AEF">
              <w:rPr>
                <w:rFonts w:ascii="Book Antiqua" w:hAnsi="Book Antiqua"/>
                <w:b/>
                <w:i/>
                <w:u w:color="000000"/>
              </w:rPr>
              <w:t xml:space="preserve">P </w:t>
            </w:r>
            <w:r w:rsidRPr="00112AEF">
              <w:rPr>
                <w:rFonts w:ascii="Book Antiqua" w:hAnsi="Book Antiqua"/>
                <w:b/>
                <w:u w:color="000000"/>
              </w:rPr>
              <w:t>value</w:t>
            </w:r>
          </w:p>
        </w:tc>
      </w:tr>
      <w:tr w:rsidR="00AD473F" w:rsidRPr="00112AEF" w:rsidTr="000E0D4A">
        <w:trPr>
          <w:cantSplit/>
          <w:trHeight w:val="650"/>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rPr>
            </w:pPr>
            <w:r w:rsidRPr="00112AEF">
              <w:rPr>
                <w:rFonts w:ascii="Book Antiqua" w:hAnsi="Book Antiqua"/>
                <w:u w:color="000000"/>
              </w:rPr>
              <w:t>Age ≤</w:t>
            </w:r>
            <w:r w:rsidRPr="00112AEF">
              <w:rPr>
                <w:rFonts w:ascii="Book Antiqua" w:eastAsia="宋体" w:hAnsi="Book Antiqua"/>
                <w:u w:color="000000"/>
                <w:lang w:eastAsia="zh-CN"/>
              </w:rPr>
              <w:t xml:space="preserve"> </w:t>
            </w:r>
            <w:r w:rsidRPr="00112AEF">
              <w:rPr>
                <w:rFonts w:ascii="Book Antiqua" w:hAnsi="Book Antiqua"/>
                <w:u w:color="000000"/>
              </w:rPr>
              <w:t>70 yr (</w:t>
            </w:r>
            <w:r w:rsidRPr="00112AEF">
              <w:rPr>
                <w:rFonts w:ascii="Book Antiqua" w:hAnsi="Book Antiqua"/>
                <w:i/>
                <w:u w:color="000000"/>
              </w:rPr>
              <w:t>vs</w:t>
            </w:r>
            <w:r w:rsidRPr="00112AEF">
              <w:rPr>
                <w:rFonts w:ascii="Book Antiqua" w:eastAsia="宋体" w:hAnsi="Book Antiqua"/>
                <w:i/>
                <w:u w:color="000000"/>
                <w:lang w:eastAsia="zh-CN"/>
              </w:rPr>
              <w:t xml:space="preserve"> </w:t>
            </w:r>
            <w:r w:rsidRPr="00112AEF">
              <w:rPr>
                <w:rFonts w:ascii="Book Antiqua" w:hAnsi="Book Antiqua"/>
                <w:u w:color="000000"/>
              </w:rPr>
              <w:t>&gt;70 yr)</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0.543 (0.257–1.147)</w:t>
            </w: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r w:rsidRPr="00112AEF">
              <w:rPr>
                <w:rFonts w:ascii="Book Antiqua" w:hAnsi="Book Antiqua"/>
                <w:u w:color="000000"/>
                <w:lang w:eastAsia="ja-JP"/>
              </w:rPr>
              <w:t>0</w:t>
            </w:r>
            <w:r w:rsidRPr="00112AEF">
              <w:rPr>
                <w:rFonts w:ascii="Book Antiqua" w:hAnsi="Book Antiqua"/>
                <w:u w:color="000000"/>
              </w:rPr>
              <w:t>.110</w:t>
            </w: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r>
      <w:tr w:rsidR="00AD473F" w:rsidRPr="00112AEF" w:rsidTr="000E0D4A">
        <w:trPr>
          <w:cantSplit/>
          <w:trHeight w:val="547"/>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Other etiologies (</w:t>
            </w:r>
            <w:r w:rsidRPr="00112AEF">
              <w:rPr>
                <w:rFonts w:ascii="Book Antiqua" w:hAnsi="Book Antiqua"/>
                <w:i/>
                <w:u w:color="000000"/>
                <w:lang w:eastAsia="ja-JP"/>
              </w:rPr>
              <w:t>vs</w:t>
            </w:r>
            <w:r w:rsidRPr="00112AEF">
              <w:rPr>
                <w:rFonts w:ascii="Book Antiqua" w:eastAsia="宋体" w:hAnsi="Book Antiqua"/>
                <w:i/>
                <w:u w:color="000000"/>
                <w:lang w:eastAsia="zh-CN"/>
              </w:rPr>
              <w:t xml:space="preserve"> </w:t>
            </w:r>
            <w:r w:rsidRPr="00112AEF">
              <w:rPr>
                <w:rFonts w:ascii="Book Antiqua" w:hAnsi="Book Antiqua"/>
                <w:u w:color="000000"/>
                <w:lang w:eastAsia="ja-JP"/>
              </w:rPr>
              <w:t>HCV infection)</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0.411 (0.191–0.886)</w:t>
            </w: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w:t>
            </w:r>
            <w:r w:rsidRPr="00112AEF">
              <w:rPr>
                <w:rFonts w:ascii="Book Antiqua" w:hAnsi="Book Antiqua"/>
                <w:u w:color="000000"/>
              </w:rPr>
              <w:t>.023</w:t>
            </w: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r>
      <w:tr w:rsidR="00AD473F" w:rsidRPr="00112AEF" w:rsidTr="000E0D4A">
        <w:trPr>
          <w:cantSplit/>
          <w:trHeight w:val="699"/>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rPr>
            </w:pPr>
            <w:r w:rsidRPr="00112AEF">
              <w:rPr>
                <w:rFonts w:ascii="Book Antiqua" w:hAnsi="Book Antiqua"/>
                <w:u w:color="000000"/>
              </w:rPr>
              <w:t>DCP ≤ 1000 mAU/mL (</w:t>
            </w:r>
            <w:r w:rsidRPr="00112AEF">
              <w:rPr>
                <w:rFonts w:ascii="Book Antiqua" w:hAnsi="Book Antiqua"/>
                <w:i/>
                <w:u w:color="000000"/>
              </w:rPr>
              <w:t xml:space="preserve">vs </w:t>
            </w:r>
            <w:r w:rsidRPr="00112AEF">
              <w:rPr>
                <w:rFonts w:ascii="Book Antiqua" w:hAnsi="Book Antiqua"/>
                <w:u w:color="000000"/>
              </w:rPr>
              <w:t>&gt;</w:t>
            </w:r>
            <w:r w:rsidRPr="00112AEF">
              <w:rPr>
                <w:rFonts w:ascii="Book Antiqua" w:eastAsia="宋体" w:hAnsi="Book Antiqua"/>
                <w:u w:color="000000"/>
                <w:lang w:eastAsia="zh-CN"/>
              </w:rPr>
              <w:t xml:space="preserve"> </w:t>
            </w:r>
            <w:r w:rsidRPr="00112AEF">
              <w:rPr>
                <w:rFonts w:ascii="Book Antiqua" w:hAnsi="Book Antiqua"/>
                <w:u w:color="000000"/>
              </w:rPr>
              <w:t>1000 mAU/mL)</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0.402 (0.190–0.851)</w:t>
            </w: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r w:rsidRPr="00112AEF">
              <w:rPr>
                <w:rFonts w:ascii="Book Antiqua" w:hAnsi="Book Antiqua"/>
                <w:u w:color="000000"/>
                <w:lang w:eastAsia="ja-JP"/>
              </w:rPr>
              <w:t>0</w:t>
            </w:r>
            <w:r w:rsidRPr="00112AEF">
              <w:rPr>
                <w:rFonts w:ascii="Book Antiqua" w:hAnsi="Book Antiqua"/>
                <w:u w:color="000000"/>
              </w:rPr>
              <w:t>.017</w:t>
            </w: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r>
      <w:tr w:rsidR="00AD473F" w:rsidRPr="00112AEF" w:rsidTr="000E0D4A">
        <w:trPr>
          <w:cantSplit/>
          <w:trHeight w:val="699"/>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rPr>
              <w:t xml:space="preserve">Nursing intervention </w:t>
            </w:r>
            <w:r w:rsidRPr="00112AEF">
              <w:rPr>
                <w:rFonts w:ascii="Book Antiqua" w:eastAsia="MS PGothic" w:hAnsi="Book Antiqua" w:cs="Arial"/>
                <w:lang w:eastAsia="ja-JP"/>
              </w:rPr>
              <w:t>yes (</w:t>
            </w:r>
            <w:r w:rsidRPr="00112AEF">
              <w:rPr>
                <w:rFonts w:ascii="Book Antiqua" w:eastAsia="MS PGothic" w:hAnsi="Book Antiqua" w:cs="Arial"/>
                <w:i/>
                <w:lang w:eastAsia="ja-JP"/>
              </w:rPr>
              <w:t>vs</w:t>
            </w:r>
            <w:r w:rsidRPr="00112AEF">
              <w:rPr>
                <w:rFonts w:ascii="Book Antiqua" w:eastAsia="宋体" w:hAnsi="Book Antiqua" w:cs="Arial"/>
                <w:i/>
                <w:lang w:eastAsia="zh-CN"/>
              </w:rPr>
              <w:t xml:space="preserve"> </w:t>
            </w:r>
            <w:r w:rsidRPr="00112AEF">
              <w:rPr>
                <w:rFonts w:ascii="Book Antiqua" w:eastAsia="MS PGothic" w:hAnsi="Book Antiqua" w:cs="Arial"/>
                <w:lang w:eastAsia="ja-JP"/>
              </w:rPr>
              <w:t>no)</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rPr>
            </w:pPr>
            <w:r w:rsidRPr="00112AEF">
              <w:rPr>
                <w:rFonts w:ascii="Book Antiqua" w:hAnsi="Book Antiqua"/>
                <w:u w:color="000000"/>
              </w:rPr>
              <w:t>0.577(0.278–1.198)</w:t>
            </w: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rPr>
              <w:t>0.140</w:t>
            </w: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r w:rsidRPr="00112AEF">
              <w:rPr>
                <w:rFonts w:ascii="Book Antiqua" w:hAnsi="Book Antiqua"/>
                <w:u w:color="000000"/>
              </w:rPr>
              <w:t>0.</w:t>
            </w:r>
            <w:r w:rsidRPr="00112AEF">
              <w:rPr>
                <w:rFonts w:ascii="Book Antiqua" w:hAnsi="Book Antiqua"/>
                <w:u w:color="000000"/>
                <w:lang w:eastAsia="ja-JP"/>
              </w:rPr>
              <w:t xml:space="preserve">398 </w:t>
            </w:r>
            <w:r w:rsidRPr="00112AEF">
              <w:rPr>
                <w:rFonts w:ascii="Book Antiqua" w:hAnsi="Book Antiqua"/>
                <w:u w:color="000000"/>
              </w:rPr>
              <w:t>(0.1</w:t>
            </w:r>
            <w:r w:rsidRPr="00112AEF">
              <w:rPr>
                <w:rFonts w:ascii="Book Antiqua" w:hAnsi="Book Antiqua"/>
                <w:u w:color="000000"/>
                <w:lang w:eastAsia="ja-JP"/>
              </w:rPr>
              <w:t>81</w:t>
            </w:r>
            <w:r w:rsidRPr="00112AEF">
              <w:rPr>
                <w:rFonts w:ascii="Book Antiqua" w:hAnsi="Book Antiqua"/>
                <w:u w:color="000000"/>
              </w:rPr>
              <w:t>–0.8</w:t>
            </w:r>
            <w:r w:rsidRPr="00112AEF">
              <w:rPr>
                <w:rFonts w:ascii="Book Antiqua" w:hAnsi="Book Antiqua"/>
                <w:u w:color="000000"/>
                <w:lang w:eastAsia="ja-JP"/>
              </w:rPr>
              <w:t>74</w:t>
            </w:r>
            <w:r w:rsidRPr="00112AEF">
              <w:rPr>
                <w:rFonts w:ascii="Book Antiqua" w:hAnsi="Book Antiqua"/>
                <w:u w:color="000000"/>
              </w:rPr>
              <w:t>)</w:t>
            </w: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rPr>
              <w:t>0.02</w:t>
            </w:r>
            <w:r w:rsidRPr="00112AEF">
              <w:rPr>
                <w:rFonts w:ascii="Book Antiqua" w:hAnsi="Book Antiqua"/>
                <w:u w:color="000000"/>
                <w:lang w:eastAsia="ja-JP"/>
              </w:rPr>
              <w:t>2</w:t>
            </w:r>
          </w:p>
        </w:tc>
      </w:tr>
      <w:tr w:rsidR="00AD473F" w:rsidRPr="00112AEF" w:rsidTr="000E0D4A">
        <w:trPr>
          <w:cantSplit/>
          <w:trHeight w:val="670"/>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Efficacy, disease control (</w:t>
            </w:r>
            <w:r w:rsidRPr="00112AEF">
              <w:rPr>
                <w:rFonts w:ascii="Book Antiqua" w:hAnsi="Book Antiqua"/>
                <w:i/>
                <w:u w:color="000000"/>
                <w:lang w:eastAsia="ja-JP"/>
              </w:rPr>
              <w:t>vs</w:t>
            </w:r>
            <w:r w:rsidRPr="00112AEF">
              <w:rPr>
                <w:rFonts w:ascii="Book Antiqua" w:eastAsia="宋体" w:hAnsi="Book Antiqua"/>
                <w:i/>
                <w:u w:color="000000"/>
                <w:lang w:eastAsia="zh-CN"/>
              </w:rPr>
              <w:t xml:space="preserve"> </w:t>
            </w:r>
            <w:r w:rsidRPr="00112AEF">
              <w:rPr>
                <w:rFonts w:ascii="Book Antiqua" w:hAnsi="Book Antiqua"/>
                <w:u w:color="000000"/>
                <w:lang w:eastAsia="ja-JP"/>
              </w:rPr>
              <w:t>PD)</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0.431 (0.206–0.903)</w:t>
            </w: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0.026</w:t>
            </w: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r>
      <w:tr w:rsidR="00AD473F" w:rsidRPr="00112AEF" w:rsidTr="000E0D4A">
        <w:trPr>
          <w:cantSplit/>
          <w:trHeight w:val="734"/>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p>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Adverse events &gt;grade 2 + (</w:t>
            </w:r>
            <w:r w:rsidRPr="00112AEF">
              <w:rPr>
                <w:rFonts w:ascii="Book Antiqua" w:hAnsi="Book Antiqua"/>
                <w:i/>
                <w:u w:color="000000"/>
                <w:lang w:eastAsia="ja-JP"/>
              </w:rPr>
              <w:t>vs</w:t>
            </w:r>
            <w:r w:rsidRPr="00112AEF">
              <w:rPr>
                <w:rFonts w:ascii="Book Antiqua" w:eastAsia="宋体" w:hAnsi="Book Antiqua"/>
                <w:i/>
                <w:u w:color="000000"/>
                <w:lang w:eastAsia="zh-CN"/>
              </w:rPr>
              <w:t xml:space="preserve"> </w:t>
            </w:r>
            <w:r w:rsidRPr="00112AEF">
              <w:rPr>
                <w:rFonts w:ascii="Book Antiqua" w:hAnsi="Book Antiqua"/>
                <w:u w:color="000000"/>
                <w:lang w:eastAsia="ja-JP"/>
              </w:rPr>
              <w:t>−)</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rPr>
            </w:pP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p>
        </w:tc>
      </w:tr>
      <w:tr w:rsidR="00AD473F" w:rsidRPr="00112AEF" w:rsidTr="000E0D4A">
        <w:trPr>
          <w:cantSplit/>
          <w:trHeight w:val="605"/>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150DB3">
            <w:pPr>
              <w:widowControl w:val="0"/>
              <w:spacing w:line="360" w:lineRule="auto"/>
              <w:ind w:firstLineChars="50" w:firstLine="120"/>
              <w:jc w:val="center"/>
              <w:rPr>
                <w:rFonts w:ascii="Book Antiqua" w:eastAsia="MS PGothic" w:hAnsi="Book Antiqua" w:cs="Arial"/>
                <w:lang w:eastAsia="ja-JP"/>
              </w:rPr>
            </w:pPr>
            <w:r w:rsidRPr="00112AEF">
              <w:rPr>
                <w:rFonts w:ascii="Book Antiqua" w:hAnsi="Book Antiqua"/>
                <w:u w:color="000000"/>
              </w:rPr>
              <w:t xml:space="preserve">Skin </w:t>
            </w:r>
            <w:r w:rsidRPr="00112AEF">
              <w:rPr>
                <w:rFonts w:ascii="Book Antiqua" w:hAnsi="Book Antiqua"/>
                <w:u w:color="000000"/>
                <w:lang w:eastAsia="ja-JP"/>
              </w:rPr>
              <w:t>toxicity</w:t>
            </w:r>
            <w:r w:rsidRPr="00112AEF">
              <w:rPr>
                <w:rFonts w:ascii="Book Antiqua" w:eastAsia="MS PGothic" w:hAnsi="Book Antiqua" w:cs="Arial"/>
                <w:vertAlign w:val="superscript"/>
                <w:lang w:eastAsia="ja-JP"/>
              </w:rPr>
              <w:t>a</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rPr>
            </w:pPr>
            <w:r w:rsidRPr="00112AEF">
              <w:rPr>
                <w:rFonts w:ascii="Book Antiqua" w:hAnsi="Book Antiqua"/>
                <w:u w:color="000000"/>
              </w:rPr>
              <w:t>0.306 (0.139–0.675)</w:t>
            </w: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rPr>
              <w:t>0.003</w:t>
            </w: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r w:rsidRPr="00112AEF">
              <w:rPr>
                <w:rFonts w:ascii="Book Antiqua" w:hAnsi="Book Antiqua"/>
                <w:u w:color="000000"/>
              </w:rPr>
              <w:t>0.2</w:t>
            </w:r>
            <w:r w:rsidRPr="00112AEF">
              <w:rPr>
                <w:rFonts w:ascii="Book Antiqua" w:hAnsi="Book Antiqua"/>
                <w:u w:color="000000"/>
                <w:lang w:eastAsia="ja-JP"/>
              </w:rPr>
              <w:t xml:space="preserve">25 </w:t>
            </w:r>
            <w:r w:rsidRPr="00112AEF">
              <w:rPr>
                <w:rFonts w:ascii="Book Antiqua" w:hAnsi="Book Antiqua"/>
                <w:u w:color="000000"/>
              </w:rPr>
              <w:t>(0.</w:t>
            </w:r>
            <w:r w:rsidRPr="00112AEF">
              <w:rPr>
                <w:rFonts w:ascii="Book Antiqua" w:hAnsi="Book Antiqua"/>
                <w:u w:color="000000"/>
                <w:lang w:eastAsia="ja-JP"/>
              </w:rPr>
              <w:t>095</w:t>
            </w:r>
            <w:r w:rsidRPr="00112AEF">
              <w:rPr>
                <w:rFonts w:ascii="Book Antiqua" w:hAnsi="Book Antiqua"/>
                <w:u w:color="000000"/>
              </w:rPr>
              <w:t>–0.5</w:t>
            </w:r>
            <w:r w:rsidRPr="00112AEF">
              <w:rPr>
                <w:rFonts w:ascii="Book Antiqua" w:hAnsi="Book Antiqua"/>
                <w:u w:color="000000"/>
                <w:lang w:eastAsia="ja-JP"/>
              </w:rPr>
              <w:t>34</w:t>
            </w:r>
            <w:r w:rsidRPr="00112AEF">
              <w:rPr>
                <w:rFonts w:ascii="Book Antiqua" w:hAnsi="Book Antiqua"/>
                <w:u w:color="000000"/>
              </w:rPr>
              <w:t>)</w:t>
            </w: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rPr>
              <w:t>0.001</w:t>
            </w:r>
          </w:p>
        </w:tc>
      </w:tr>
      <w:tr w:rsidR="00AD473F" w:rsidRPr="00112AEF" w:rsidTr="000E0D4A">
        <w:trPr>
          <w:cantSplit/>
          <w:trHeight w:val="546"/>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150DB3">
            <w:pPr>
              <w:spacing w:line="360" w:lineRule="auto"/>
              <w:ind w:firstLineChars="50" w:firstLine="120"/>
              <w:jc w:val="center"/>
              <w:outlineLvl w:val="0"/>
              <w:rPr>
                <w:rFonts w:ascii="Book Antiqua" w:hAnsi="Book Antiqua"/>
                <w:u w:color="000000"/>
                <w:lang w:eastAsia="ja-JP"/>
              </w:rPr>
            </w:pPr>
            <w:r w:rsidRPr="00112AEF">
              <w:rPr>
                <w:rFonts w:ascii="Book Antiqua" w:hAnsi="Book Antiqua"/>
                <w:u w:color="000000"/>
                <w:lang w:eastAsia="ja-JP"/>
              </w:rPr>
              <w:t>Diarrhea</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w:t>
            </w:r>
            <w:r w:rsidRPr="00112AEF">
              <w:rPr>
                <w:rFonts w:ascii="Book Antiqua" w:hAnsi="Book Antiqua"/>
                <w:u w:color="000000"/>
              </w:rPr>
              <w:t>.352</w:t>
            </w:r>
            <w:r w:rsidRPr="00112AEF">
              <w:rPr>
                <w:rFonts w:ascii="Book Antiqua" w:hAnsi="Book Antiqua"/>
                <w:u w:color="000000"/>
                <w:lang w:eastAsia="ja-JP"/>
              </w:rPr>
              <w:t xml:space="preserve"> (0</w:t>
            </w:r>
            <w:r w:rsidRPr="00112AEF">
              <w:rPr>
                <w:rFonts w:ascii="Book Antiqua" w:hAnsi="Book Antiqua"/>
                <w:u w:color="000000"/>
              </w:rPr>
              <w:t>.156</w:t>
            </w:r>
            <w:r w:rsidRPr="00112AEF">
              <w:rPr>
                <w:rFonts w:ascii="Book Antiqua" w:hAnsi="Book Antiqua"/>
                <w:u w:color="000000"/>
                <w:lang w:eastAsia="ja-JP"/>
              </w:rPr>
              <w:t>–0</w:t>
            </w:r>
            <w:r w:rsidRPr="00112AEF">
              <w:rPr>
                <w:rFonts w:ascii="Book Antiqua" w:hAnsi="Book Antiqua"/>
                <w:u w:color="000000"/>
              </w:rPr>
              <w:t>.796</w:t>
            </w:r>
            <w:r w:rsidRPr="00112AEF">
              <w:rPr>
                <w:rFonts w:ascii="Book Antiqua" w:hAnsi="Book Antiqua"/>
                <w:u w:color="000000"/>
                <w:lang w:eastAsia="ja-JP"/>
              </w:rPr>
              <w:t>)</w:t>
            </w: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w:t>
            </w:r>
            <w:r w:rsidRPr="00112AEF">
              <w:rPr>
                <w:rFonts w:ascii="Book Antiqua" w:hAnsi="Book Antiqua"/>
                <w:u w:color="000000"/>
              </w:rPr>
              <w:t>.012</w:t>
            </w: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p>
        </w:tc>
      </w:tr>
      <w:tr w:rsidR="00AD473F" w:rsidRPr="00112AEF" w:rsidTr="000E0D4A">
        <w:trPr>
          <w:cantSplit/>
          <w:trHeight w:val="556"/>
        </w:trPr>
        <w:tc>
          <w:tcPr>
            <w:tcW w:w="382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150DB3">
            <w:pPr>
              <w:spacing w:line="360" w:lineRule="auto"/>
              <w:ind w:firstLineChars="50" w:firstLine="120"/>
              <w:jc w:val="center"/>
              <w:outlineLvl w:val="0"/>
              <w:rPr>
                <w:rFonts w:ascii="Book Antiqua" w:hAnsi="Book Antiqua"/>
                <w:u w:color="000000"/>
                <w:lang w:eastAsia="ja-JP"/>
              </w:rPr>
            </w:pPr>
            <w:r w:rsidRPr="00112AEF">
              <w:rPr>
                <w:rFonts w:ascii="Book Antiqua" w:hAnsi="Book Antiqua"/>
                <w:u w:color="000000"/>
                <w:lang w:eastAsia="ja-JP"/>
              </w:rPr>
              <w:t>Weight loss</w:t>
            </w:r>
          </w:p>
        </w:tc>
        <w:tc>
          <w:tcPr>
            <w:tcW w:w="2268" w:type="dxa"/>
            <w:tcBorders>
              <w:top w:val="none" w:sz="16" w:space="0" w:color="000000"/>
              <w:left w:val="none" w:sz="16" w:space="0" w:color="000000"/>
              <w:bottom w:val="none" w:sz="16" w:space="0" w:color="000000"/>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w:t>
            </w:r>
            <w:r w:rsidRPr="00112AEF">
              <w:rPr>
                <w:rFonts w:ascii="Book Antiqua" w:hAnsi="Book Antiqua"/>
                <w:u w:color="000000"/>
              </w:rPr>
              <w:t>.555</w:t>
            </w:r>
            <w:r w:rsidRPr="00112AEF">
              <w:rPr>
                <w:rFonts w:ascii="Book Antiqua" w:hAnsi="Book Antiqua"/>
                <w:u w:color="000000"/>
                <w:lang w:eastAsia="ja-JP"/>
              </w:rPr>
              <w:t xml:space="preserve"> (0</w:t>
            </w:r>
            <w:r w:rsidRPr="00112AEF">
              <w:rPr>
                <w:rFonts w:ascii="Book Antiqua" w:hAnsi="Book Antiqua"/>
                <w:u w:color="000000"/>
              </w:rPr>
              <w:t>.254</w:t>
            </w:r>
            <w:r w:rsidRPr="00112AEF">
              <w:rPr>
                <w:rFonts w:ascii="Book Antiqua" w:hAnsi="Book Antiqua"/>
                <w:u w:color="000000"/>
                <w:lang w:eastAsia="ja-JP"/>
              </w:rPr>
              <w:t>–</w:t>
            </w:r>
            <w:r w:rsidRPr="00112AEF">
              <w:rPr>
                <w:rFonts w:ascii="Book Antiqua" w:hAnsi="Book Antiqua"/>
                <w:u w:color="000000"/>
              </w:rPr>
              <w:t>1.213</w:t>
            </w:r>
            <w:r w:rsidRPr="00112AEF">
              <w:rPr>
                <w:rFonts w:ascii="Book Antiqua" w:hAnsi="Book Antiqua"/>
                <w:u w:color="000000"/>
                <w:lang w:eastAsia="ja-JP"/>
              </w:rPr>
              <w:t>)</w:t>
            </w:r>
          </w:p>
        </w:tc>
        <w:tc>
          <w:tcPr>
            <w:tcW w:w="675" w:type="dxa"/>
            <w:tcBorders>
              <w:top w:val="none" w:sz="16" w:space="0" w:color="000000"/>
              <w:left w:val="none" w:sz="16" w:space="0" w:color="000000"/>
              <w:bottom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w:t>
            </w:r>
            <w:r w:rsidRPr="00112AEF">
              <w:rPr>
                <w:rFonts w:ascii="Book Antiqua" w:hAnsi="Book Antiqua"/>
                <w:u w:color="000000"/>
              </w:rPr>
              <w:t>.140</w:t>
            </w:r>
          </w:p>
        </w:tc>
        <w:tc>
          <w:tcPr>
            <w:tcW w:w="2160" w:type="dxa"/>
            <w:tcBorders>
              <w:top w:val="none" w:sz="16" w:space="0" w:color="000000"/>
              <w:left w:val="nil"/>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c>
          <w:tcPr>
            <w:tcW w:w="708" w:type="dxa"/>
            <w:tcBorders>
              <w:top w:val="none" w:sz="16" w:space="0" w:color="000000"/>
              <w:left w:val="none" w:sz="16" w:space="0" w:color="000000"/>
              <w:bottom w:val="none" w:sz="16" w:space="0" w:color="000000"/>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p>
        </w:tc>
      </w:tr>
      <w:tr w:rsidR="00AD473F" w:rsidRPr="00112AEF" w:rsidTr="000E0D4A">
        <w:trPr>
          <w:cantSplit/>
          <w:trHeight w:val="553"/>
        </w:trPr>
        <w:tc>
          <w:tcPr>
            <w:tcW w:w="3828" w:type="dxa"/>
            <w:tcBorders>
              <w:top w:val="none" w:sz="16" w:space="0" w:color="000000"/>
              <w:left w:val="none" w:sz="16" w:space="0" w:color="000000"/>
              <w:bottom w:val="single" w:sz="4" w:space="0" w:color="auto"/>
              <w:right w:val="none" w:sz="16" w:space="0" w:color="000000"/>
            </w:tcBorders>
            <w:shd w:val="clear" w:color="auto" w:fill="FFFFFF"/>
            <w:vAlign w:val="center"/>
          </w:tcPr>
          <w:p w:rsidR="00AD473F" w:rsidRPr="00112AEF" w:rsidRDefault="00AD473F" w:rsidP="000E0D4A">
            <w:pPr>
              <w:widowControl w:val="0"/>
              <w:spacing w:line="360" w:lineRule="auto"/>
              <w:jc w:val="center"/>
              <w:rPr>
                <w:rFonts w:ascii="Book Antiqua" w:eastAsia="MS PGothic" w:hAnsi="Book Antiqua" w:cs="Arial"/>
                <w:lang w:eastAsia="ja-JP"/>
              </w:rPr>
            </w:pPr>
            <w:r w:rsidRPr="00112AEF">
              <w:rPr>
                <w:rFonts w:ascii="Book Antiqua" w:eastAsia="MS PGothic" w:hAnsi="Book Antiqua" w:cs="Arial"/>
                <w:lang w:eastAsia="ja-JP"/>
              </w:rPr>
              <w:t>Alopecia</w:t>
            </w:r>
          </w:p>
        </w:tc>
        <w:tc>
          <w:tcPr>
            <w:tcW w:w="2268" w:type="dxa"/>
            <w:tcBorders>
              <w:top w:val="none" w:sz="16" w:space="0" w:color="000000"/>
              <w:left w:val="none" w:sz="16" w:space="0" w:color="000000"/>
              <w:bottom w:val="single" w:sz="4" w:space="0" w:color="auto"/>
              <w:right w:val="none" w:sz="16" w:space="0" w:color="000000"/>
            </w:tcBorders>
            <w:shd w:val="clear" w:color="auto" w:fill="FFFFFF"/>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w:t>
            </w:r>
            <w:r w:rsidRPr="00112AEF">
              <w:rPr>
                <w:rFonts w:ascii="Book Antiqua" w:hAnsi="Book Antiqua"/>
                <w:u w:color="000000"/>
              </w:rPr>
              <w:t>.236</w:t>
            </w:r>
            <w:r w:rsidRPr="00112AEF">
              <w:rPr>
                <w:rFonts w:ascii="Book Antiqua" w:hAnsi="Book Antiqua"/>
                <w:u w:color="000000"/>
                <w:lang w:eastAsia="ja-JP"/>
              </w:rPr>
              <w:t xml:space="preserve"> (0</w:t>
            </w:r>
            <w:r w:rsidRPr="00112AEF">
              <w:rPr>
                <w:rFonts w:ascii="Book Antiqua" w:hAnsi="Book Antiqua"/>
                <w:u w:color="000000"/>
              </w:rPr>
              <w:t>.081</w:t>
            </w:r>
            <w:r w:rsidRPr="00112AEF">
              <w:rPr>
                <w:rFonts w:ascii="Book Antiqua" w:hAnsi="Book Antiqua"/>
                <w:u w:color="000000"/>
                <w:lang w:eastAsia="ja-JP"/>
              </w:rPr>
              <w:t>–0</w:t>
            </w:r>
            <w:r w:rsidRPr="00112AEF">
              <w:rPr>
                <w:rFonts w:ascii="Book Antiqua" w:hAnsi="Book Antiqua"/>
                <w:u w:color="000000"/>
              </w:rPr>
              <w:t>.686</w:t>
            </w:r>
            <w:r w:rsidRPr="00112AEF">
              <w:rPr>
                <w:rFonts w:ascii="Book Antiqua" w:hAnsi="Book Antiqua"/>
                <w:u w:color="000000"/>
                <w:lang w:eastAsia="ja-JP"/>
              </w:rPr>
              <w:t>)</w:t>
            </w:r>
          </w:p>
        </w:tc>
        <w:tc>
          <w:tcPr>
            <w:tcW w:w="675" w:type="dxa"/>
            <w:tcBorders>
              <w:top w:val="none" w:sz="16" w:space="0" w:color="000000"/>
              <w:left w:val="none" w:sz="16" w:space="0" w:color="000000"/>
              <w:bottom w:val="single" w:sz="4" w:space="0" w:color="auto"/>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r w:rsidRPr="00112AEF">
              <w:rPr>
                <w:rFonts w:ascii="Book Antiqua" w:hAnsi="Book Antiqua"/>
                <w:u w:color="000000"/>
                <w:lang w:eastAsia="ja-JP"/>
              </w:rPr>
              <w:t>0</w:t>
            </w:r>
            <w:r w:rsidRPr="00112AEF">
              <w:rPr>
                <w:rFonts w:ascii="Book Antiqua" w:hAnsi="Book Antiqua"/>
                <w:u w:color="000000"/>
              </w:rPr>
              <w:t>.008</w:t>
            </w:r>
          </w:p>
        </w:tc>
        <w:tc>
          <w:tcPr>
            <w:tcW w:w="2160" w:type="dxa"/>
            <w:tcBorders>
              <w:top w:val="none" w:sz="16" w:space="0" w:color="000000"/>
              <w:left w:val="nil"/>
              <w:bottom w:val="single" w:sz="4" w:space="0" w:color="auto"/>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rPr>
            </w:pPr>
          </w:p>
        </w:tc>
        <w:tc>
          <w:tcPr>
            <w:tcW w:w="708" w:type="dxa"/>
            <w:tcBorders>
              <w:top w:val="none" w:sz="16" w:space="0" w:color="000000"/>
              <w:left w:val="none" w:sz="16" w:space="0" w:color="000000"/>
              <w:bottom w:val="single" w:sz="4" w:space="0" w:color="auto"/>
              <w:right w:val="none" w:sz="16" w:space="0" w:color="000000"/>
            </w:tcBorders>
            <w:shd w:val="clear" w:color="auto" w:fill="FFFFFF"/>
            <w:tcMar>
              <w:top w:w="80" w:type="dxa"/>
              <w:left w:w="0" w:type="dxa"/>
              <w:bottom w:w="80" w:type="dxa"/>
              <w:right w:w="0" w:type="dxa"/>
            </w:tcMar>
            <w:vAlign w:val="center"/>
          </w:tcPr>
          <w:p w:rsidR="00AD473F" w:rsidRPr="00112AEF" w:rsidRDefault="00AD473F" w:rsidP="000E0D4A">
            <w:pPr>
              <w:spacing w:line="360" w:lineRule="auto"/>
              <w:jc w:val="center"/>
              <w:outlineLvl w:val="0"/>
              <w:rPr>
                <w:rFonts w:ascii="Book Antiqua" w:hAnsi="Book Antiqua"/>
                <w:u w:color="000000"/>
                <w:lang w:eastAsia="ja-JP"/>
              </w:rPr>
            </w:pPr>
          </w:p>
        </w:tc>
      </w:tr>
    </w:tbl>
    <w:p w:rsidR="00AD473F" w:rsidRPr="00112AEF" w:rsidRDefault="00AD473F" w:rsidP="000E0D4A">
      <w:pPr>
        <w:spacing w:line="360" w:lineRule="auto"/>
        <w:jc w:val="both"/>
        <w:outlineLvl w:val="0"/>
        <w:rPr>
          <w:rFonts w:ascii="Book Antiqua" w:eastAsia="宋体" w:hAnsi="Book Antiqua" w:cs="Arial"/>
          <w:kern w:val="2"/>
          <w:lang w:eastAsia="zh-CN"/>
        </w:rPr>
      </w:pPr>
      <w:r w:rsidRPr="00112AEF">
        <w:rPr>
          <w:rFonts w:ascii="Book Antiqua" w:hAnsi="Book Antiqua" w:cs="Arial"/>
          <w:kern w:val="2"/>
          <w:lang w:eastAsia="ja-JP"/>
        </w:rPr>
        <w:t xml:space="preserve">This table only includes variables with </w:t>
      </w:r>
      <w:r w:rsidRPr="00C25B8B">
        <w:rPr>
          <w:rFonts w:ascii="Book Antiqua" w:hAnsi="Book Antiqua" w:cs="Arial"/>
          <w:i/>
          <w:kern w:val="2"/>
          <w:lang w:eastAsia="ja-JP"/>
        </w:rPr>
        <w:t>P</w:t>
      </w:r>
      <w:r w:rsidRPr="00112AEF">
        <w:rPr>
          <w:rFonts w:ascii="Book Antiqua" w:hAnsi="Book Antiqua" w:cs="Arial"/>
          <w:kern w:val="2"/>
          <w:lang w:eastAsia="ja-JP"/>
        </w:rPr>
        <w:t xml:space="preserve"> values &lt;</w:t>
      </w:r>
      <w:r w:rsidRPr="00112AEF">
        <w:rPr>
          <w:rFonts w:ascii="Book Antiqua" w:eastAsia="宋体" w:hAnsi="Book Antiqua" w:cs="Arial"/>
          <w:kern w:val="2"/>
          <w:lang w:eastAsia="zh-CN"/>
        </w:rPr>
        <w:t xml:space="preserve"> </w:t>
      </w:r>
      <w:r w:rsidRPr="00112AEF">
        <w:rPr>
          <w:rFonts w:ascii="Book Antiqua" w:hAnsi="Book Antiqua" w:cs="Arial"/>
          <w:kern w:val="2"/>
          <w:lang w:eastAsia="ja-JP"/>
        </w:rPr>
        <w:t>0.15 in univariate analyses</w:t>
      </w:r>
      <w:r w:rsidRPr="00112AEF">
        <w:rPr>
          <w:rFonts w:ascii="Book Antiqua" w:eastAsia="宋体" w:hAnsi="Book Antiqua" w:cs="Arial"/>
          <w:kern w:val="2"/>
          <w:lang w:eastAsia="zh-CN"/>
        </w:rPr>
        <w:t xml:space="preserve">. </w:t>
      </w:r>
      <w:r w:rsidRPr="00112AEF">
        <w:rPr>
          <w:rFonts w:ascii="Book Antiqua" w:hAnsi="Book Antiqua" w:cs="Arial"/>
          <w:kern w:val="2"/>
          <w:vertAlign w:val="superscript"/>
          <w:lang w:eastAsia="ja-JP"/>
        </w:rPr>
        <w:t>a</w:t>
      </w:r>
      <w:r w:rsidRPr="00112AEF">
        <w:rPr>
          <w:rFonts w:ascii="Book Antiqua" w:hAnsi="Book Antiqua" w:cs="Arial"/>
          <w:kern w:val="2"/>
          <w:lang w:eastAsia="ja-JP"/>
        </w:rPr>
        <w:t>Skin toxicity includes hand–foot skin reaction and any kind of rash</w:t>
      </w:r>
      <w:r w:rsidRPr="00112AEF">
        <w:rPr>
          <w:rFonts w:ascii="Book Antiqua" w:eastAsia="宋体" w:hAnsi="Book Antiqua" w:cs="Arial"/>
          <w:kern w:val="2"/>
          <w:lang w:eastAsia="zh-CN"/>
        </w:rPr>
        <w:t xml:space="preserve">. </w:t>
      </w:r>
      <w:r w:rsidRPr="00112AEF">
        <w:rPr>
          <w:rFonts w:ascii="Book Antiqua" w:hAnsi="Book Antiqua"/>
          <w:kern w:val="2"/>
          <w:u w:color="000000"/>
        </w:rPr>
        <w:t>HR</w:t>
      </w:r>
      <w:r w:rsidRPr="00112AEF">
        <w:rPr>
          <w:rFonts w:ascii="Book Antiqua" w:eastAsia="宋体" w:hAnsi="Book Antiqua"/>
          <w:kern w:val="2"/>
          <w:u w:color="000000"/>
          <w:lang w:eastAsia="zh-CN"/>
        </w:rPr>
        <w:t xml:space="preserve">: </w:t>
      </w:r>
      <w:r w:rsidRPr="00112AEF">
        <w:rPr>
          <w:rFonts w:ascii="Book Antiqua" w:hAnsi="Book Antiqua"/>
          <w:kern w:val="2"/>
          <w:u w:color="000000"/>
        </w:rPr>
        <w:t>Hazard ratio</w:t>
      </w:r>
      <w:r w:rsidRPr="00112AEF">
        <w:rPr>
          <w:rFonts w:ascii="Book Antiqua" w:hAnsi="Book Antiqua"/>
          <w:kern w:val="2"/>
          <w:u w:color="000000"/>
          <w:lang w:eastAsia="ja-JP"/>
        </w:rPr>
        <w:t>;</w:t>
      </w:r>
      <w:r w:rsidRPr="00112AEF">
        <w:rPr>
          <w:rFonts w:ascii="Book Antiqua" w:hAnsi="Book Antiqua"/>
          <w:kern w:val="2"/>
          <w:u w:color="000000"/>
        </w:rPr>
        <w:t xml:space="preserve"> </w:t>
      </w:r>
      <w:r w:rsidRPr="00112AEF">
        <w:rPr>
          <w:rFonts w:ascii="Book Antiqua" w:eastAsia="宋体" w:hAnsi="Book Antiqua"/>
          <w:kern w:val="2"/>
          <w:u w:color="000000"/>
          <w:lang w:eastAsia="zh-CN"/>
        </w:rPr>
        <w:t xml:space="preserve">HCV: </w:t>
      </w:r>
      <w:r w:rsidRPr="00112AEF">
        <w:rPr>
          <w:rFonts w:ascii="Book Antiqua" w:eastAsia="宋体" w:hAnsi="Book Antiqua" w:cs="Arial"/>
          <w:kern w:val="2"/>
          <w:lang w:eastAsia="zh-CN"/>
        </w:rPr>
        <w:t>H</w:t>
      </w:r>
      <w:r w:rsidRPr="00112AEF">
        <w:rPr>
          <w:rFonts w:ascii="Book Antiqua" w:hAnsi="Book Antiqua" w:cs="Arial"/>
          <w:kern w:val="2"/>
          <w:lang w:eastAsia="ja-JP"/>
        </w:rPr>
        <w:t>epatitis C virus</w:t>
      </w:r>
      <w:r w:rsidRPr="00112AEF">
        <w:rPr>
          <w:rFonts w:ascii="Book Antiqua" w:eastAsia="宋体" w:hAnsi="Book Antiqua" w:cs="Arial"/>
          <w:kern w:val="2"/>
          <w:lang w:eastAsia="zh-CN"/>
        </w:rPr>
        <w:t>;</w:t>
      </w:r>
      <w:r w:rsidRPr="00112AEF">
        <w:rPr>
          <w:rFonts w:ascii="Book Antiqua" w:hAnsi="Book Antiqua" w:cs="Arial"/>
          <w:kern w:val="2"/>
          <w:lang w:eastAsia="ja-JP"/>
        </w:rPr>
        <w:t xml:space="preserve"> </w:t>
      </w:r>
      <w:r w:rsidRPr="00112AEF">
        <w:rPr>
          <w:rFonts w:ascii="Book Antiqua" w:hAnsi="Book Antiqua"/>
          <w:kern w:val="2"/>
          <w:u w:color="000000"/>
        </w:rPr>
        <w:t>DCP</w:t>
      </w:r>
      <w:r w:rsidRPr="00112AEF">
        <w:rPr>
          <w:rFonts w:ascii="Book Antiqua" w:eastAsia="宋体" w:hAnsi="Book Antiqua"/>
          <w:kern w:val="2"/>
          <w:u w:color="000000"/>
          <w:lang w:eastAsia="zh-CN"/>
        </w:rPr>
        <w:t>: D</w:t>
      </w:r>
      <w:r w:rsidRPr="00112AEF">
        <w:rPr>
          <w:rFonts w:ascii="Book Antiqua" w:hAnsi="Book Antiqua"/>
          <w:kern w:val="2"/>
          <w:u w:color="000000"/>
        </w:rPr>
        <w:t>es-gamma-carboxy prothrombin</w:t>
      </w:r>
      <w:r w:rsidRPr="00112AEF">
        <w:rPr>
          <w:rFonts w:ascii="Book Antiqua" w:eastAsia="宋体" w:hAnsi="Book Antiqua"/>
          <w:kern w:val="2"/>
          <w:u w:color="000000"/>
          <w:lang w:eastAsia="zh-CN"/>
        </w:rPr>
        <w:t>.</w:t>
      </w:r>
    </w:p>
    <w:sectPr w:rsidR="00AD473F" w:rsidRPr="00112AEF" w:rsidSect="00067E62">
      <w:footerReference w:type="default" r:id="rId11"/>
      <w:pgSz w:w="11900" w:h="16840"/>
      <w:pgMar w:top="1440" w:right="1230" w:bottom="1440" w:left="1230" w:header="851"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99" w:rsidRDefault="009A6D99">
      <w:r>
        <w:separator/>
      </w:r>
    </w:p>
  </w:endnote>
  <w:endnote w:type="continuationSeparator" w:id="0">
    <w:p w:rsidR="009A6D99" w:rsidRDefault="009A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3F" w:rsidRDefault="00E104ED">
    <w:pPr>
      <w:pStyle w:val="a7"/>
      <w:jc w:val="right"/>
    </w:pPr>
    <w:r>
      <w:fldChar w:fldCharType="begin"/>
    </w:r>
    <w:r>
      <w:instrText>PAGE   \* MERGEFORMAT</w:instrText>
    </w:r>
    <w:r>
      <w:fldChar w:fldCharType="separate"/>
    </w:r>
    <w:r w:rsidR="00F524C3" w:rsidRPr="00F524C3">
      <w:rPr>
        <w:noProof/>
        <w:lang w:val="ja-JP" w:eastAsia="ja-JP"/>
      </w:rPr>
      <w:t>19</w:t>
    </w:r>
    <w:r>
      <w:rPr>
        <w:noProof/>
        <w:lang w:val="ja-JP" w:eastAsia="ja-JP"/>
      </w:rPr>
      <w:fldChar w:fldCharType="end"/>
    </w:r>
  </w:p>
  <w:p w:rsidR="00AD473F" w:rsidRDefault="00AD473F">
    <w:pPr>
      <w:widowControl w:val="0"/>
      <w:tabs>
        <w:tab w:val="left" w:pos="0"/>
        <w:tab w:val="center" w:pos="4252"/>
        <w:tab w:val="center" w:pos="5230"/>
        <w:tab w:val="right" w:pos="8504"/>
        <w:tab w:val="right" w:pos="10460"/>
      </w:tabs>
      <w:outlineLvl w:val="0"/>
      <w:rPr>
        <w:rFonts w:eastAsia="Times New Roman"/>
        <w:sz w:val="20"/>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99" w:rsidRDefault="009A6D99">
      <w:r>
        <w:separator/>
      </w:r>
    </w:p>
  </w:footnote>
  <w:footnote w:type="continuationSeparator" w:id="0">
    <w:p w:rsidR="009A6D99" w:rsidRDefault="009A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3CD"/>
    <w:multiLevelType w:val="hybridMultilevel"/>
    <w:tmpl w:val="C0AE46B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D622C04"/>
    <w:multiLevelType w:val="multilevel"/>
    <w:tmpl w:val="86423C2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B47C61"/>
    <w:rsid w:val="00005059"/>
    <w:rsid w:val="00007095"/>
    <w:rsid w:val="00011A89"/>
    <w:rsid w:val="00012491"/>
    <w:rsid w:val="0001316A"/>
    <w:rsid w:val="00014A47"/>
    <w:rsid w:val="0001721F"/>
    <w:rsid w:val="00021023"/>
    <w:rsid w:val="00024916"/>
    <w:rsid w:val="00025434"/>
    <w:rsid w:val="00027C80"/>
    <w:rsid w:val="00027D43"/>
    <w:rsid w:val="00035758"/>
    <w:rsid w:val="00041726"/>
    <w:rsid w:val="00046558"/>
    <w:rsid w:val="000474DE"/>
    <w:rsid w:val="000554DD"/>
    <w:rsid w:val="0006152E"/>
    <w:rsid w:val="00067D55"/>
    <w:rsid w:val="00067E62"/>
    <w:rsid w:val="000713C1"/>
    <w:rsid w:val="0007190F"/>
    <w:rsid w:val="0008150F"/>
    <w:rsid w:val="00085E6B"/>
    <w:rsid w:val="00090EB0"/>
    <w:rsid w:val="00096BE7"/>
    <w:rsid w:val="000B3B94"/>
    <w:rsid w:val="000B56A4"/>
    <w:rsid w:val="000B5F4E"/>
    <w:rsid w:val="000B73A3"/>
    <w:rsid w:val="000C68B7"/>
    <w:rsid w:val="000C766C"/>
    <w:rsid w:val="000D1CB3"/>
    <w:rsid w:val="000D57B8"/>
    <w:rsid w:val="000D732C"/>
    <w:rsid w:val="000E04D0"/>
    <w:rsid w:val="000E0D4A"/>
    <w:rsid w:val="000E1562"/>
    <w:rsid w:val="000F1127"/>
    <w:rsid w:val="000F2C0E"/>
    <w:rsid w:val="0010030E"/>
    <w:rsid w:val="001019D2"/>
    <w:rsid w:val="00102448"/>
    <w:rsid w:val="0010278E"/>
    <w:rsid w:val="001056E6"/>
    <w:rsid w:val="001118A1"/>
    <w:rsid w:val="00112AEF"/>
    <w:rsid w:val="00117791"/>
    <w:rsid w:val="00121ADE"/>
    <w:rsid w:val="0013137C"/>
    <w:rsid w:val="00131827"/>
    <w:rsid w:val="0014112B"/>
    <w:rsid w:val="00144F82"/>
    <w:rsid w:val="00147672"/>
    <w:rsid w:val="00147A4A"/>
    <w:rsid w:val="00150DB3"/>
    <w:rsid w:val="001529A4"/>
    <w:rsid w:val="001538C8"/>
    <w:rsid w:val="00155FA7"/>
    <w:rsid w:val="00156ABD"/>
    <w:rsid w:val="00157734"/>
    <w:rsid w:val="00161455"/>
    <w:rsid w:val="00164CE2"/>
    <w:rsid w:val="0017473B"/>
    <w:rsid w:val="00177D85"/>
    <w:rsid w:val="00190FE1"/>
    <w:rsid w:val="001924C5"/>
    <w:rsid w:val="00193935"/>
    <w:rsid w:val="00193BD1"/>
    <w:rsid w:val="001A368D"/>
    <w:rsid w:val="001A45C8"/>
    <w:rsid w:val="001A7023"/>
    <w:rsid w:val="001B7610"/>
    <w:rsid w:val="001C14AF"/>
    <w:rsid w:val="001C1ABC"/>
    <w:rsid w:val="001C45DB"/>
    <w:rsid w:val="001C50BE"/>
    <w:rsid w:val="001D15A3"/>
    <w:rsid w:val="001E0C8F"/>
    <w:rsid w:val="001E5257"/>
    <w:rsid w:val="001E6392"/>
    <w:rsid w:val="001F325E"/>
    <w:rsid w:val="001F7449"/>
    <w:rsid w:val="00206482"/>
    <w:rsid w:val="002132DB"/>
    <w:rsid w:val="00214CA1"/>
    <w:rsid w:val="00220D93"/>
    <w:rsid w:val="00221F36"/>
    <w:rsid w:val="00222A37"/>
    <w:rsid w:val="00224B3B"/>
    <w:rsid w:val="00227AE0"/>
    <w:rsid w:val="00232B04"/>
    <w:rsid w:val="002374F7"/>
    <w:rsid w:val="00240B42"/>
    <w:rsid w:val="00250769"/>
    <w:rsid w:val="00251EE7"/>
    <w:rsid w:val="00255746"/>
    <w:rsid w:val="00256F39"/>
    <w:rsid w:val="00257B9D"/>
    <w:rsid w:val="0026414C"/>
    <w:rsid w:val="00265AC2"/>
    <w:rsid w:val="002728C6"/>
    <w:rsid w:val="00273D86"/>
    <w:rsid w:val="00274C50"/>
    <w:rsid w:val="0027610A"/>
    <w:rsid w:val="00294054"/>
    <w:rsid w:val="002948F1"/>
    <w:rsid w:val="002B74EF"/>
    <w:rsid w:val="002B7644"/>
    <w:rsid w:val="002C0045"/>
    <w:rsid w:val="002C7BC2"/>
    <w:rsid w:val="002D11B4"/>
    <w:rsid w:val="002D1564"/>
    <w:rsid w:val="002D1935"/>
    <w:rsid w:val="002D2180"/>
    <w:rsid w:val="002E26C3"/>
    <w:rsid w:val="002E2821"/>
    <w:rsid w:val="002E5080"/>
    <w:rsid w:val="002E6947"/>
    <w:rsid w:val="002F1D14"/>
    <w:rsid w:val="002F539F"/>
    <w:rsid w:val="002F5E25"/>
    <w:rsid w:val="0030051C"/>
    <w:rsid w:val="003042FD"/>
    <w:rsid w:val="00306295"/>
    <w:rsid w:val="00310661"/>
    <w:rsid w:val="00310DBA"/>
    <w:rsid w:val="00311317"/>
    <w:rsid w:val="00312216"/>
    <w:rsid w:val="00314681"/>
    <w:rsid w:val="00320A5F"/>
    <w:rsid w:val="00321A0D"/>
    <w:rsid w:val="0032273C"/>
    <w:rsid w:val="00332BC2"/>
    <w:rsid w:val="0033595C"/>
    <w:rsid w:val="00335E8C"/>
    <w:rsid w:val="0034008D"/>
    <w:rsid w:val="00340EE9"/>
    <w:rsid w:val="0034123C"/>
    <w:rsid w:val="003416F4"/>
    <w:rsid w:val="00343A39"/>
    <w:rsid w:val="00343BAA"/>
    <w:rsid w:val="0035059A"/>
    <w:rsid w:val="003516F7"/>
    <w:rsid w:val="00352A27"/>
    <w:rsid w:val="00352F20"/>
    <w:rsid w:val="003534A7"/>
    <w:rsid w:val="00353D00"/>
    <w:rsid w:val="00356EDB"/>
    <w:rsid w:val="0036466D"/>
    <w:rsid w:val="00370E7E"/>
    <w:rsid w:val="003723E0"/>
    <w:rsid w:val="003803E5"/>
    <w:rsid w:val="003862A2"/>
    <w:rsid w:val="00386B21"/>
    <w:rsid w:val="0039064C"/>
    <w:rsid w:val="00395B49"/>
    <w:rsid w:val="00396089"/>
    <w:rsid w:val="003962DD"/>
    <w:rsid w:val="003A4637"/>
    <w:rsid w:val="003A515F"/>
    <w:rsid w:val="003A6133"/>
    <w:rsid w:val="003B0BF0"/>
    <w:rsid w:val="003B1800"/>
    <w:rsid w:val="003B37B0"/>
    <w:rsid w:val="003C5A32"/>
    <w:rsid w:val="003D0E6E"/>
    <w:rsid w:val="003D12E5"/>
    <w:rsid w:val="003D59A1"/>
    <w:rsid w:val="003E24B4"/>
    <w:rsid w:val="003E3566"/>
    <w:rsid w:val="003E4E8E"/>
    <w:rsid w:val="003E741C"/>
    <w:rsid w:val="003F062B"/>
    <w:rsid w:val="003F19E3"/>
    <w:rsid w:val="003F1DFC"/>
    <w:rsid w:val="003F2DF4"/>
    <w:rsid w:val="004003C2"/>
    <w:rsid w:val="0041192A"/>
    <w:rsid w:val="004122FA"/>
    <w:rsid w:val="00415F26"/>
    <w:rsid w:val="0042770A"/>
    <w:rsid w:val="00431FE2"/>
    <w:rsid w:val="00443F91"/>
    <w:rsid w:val="00450842"/>
    <w:rsid w:val="004562E8"/>
    <w:rsid w:val="00457150"/>
    <w:rsid w:val="00460E17"/>
    <w:rsid w:val="004641FB"/>
    <w:rsid w:val="00464C6B"/>
    <w:rsid w:val="00466026"/>
    <w:rsid w:val="00470EB6"/>
    <w:rsid w:val="004746E5"/>
    <w:rsid w:val="004856FD"/>
    <w:rsid w:val="004924EE"/>
    <w:rsid w:val="00492553"/>
    <w:rsid w:val="00495E88"/>
    <w:rsid w:val="0049747B"/>
    <w:rsid w:val="004A1101"/>
    <w:rsid w:val="004A4A0F"/>
    <w:rsid w:val="004B2B5E"/>
    <w:rsid w:val="004C1E5B"/>
    <w:rsid w:val="004C343A"/>
    <w:rsid w:val="004C5F95"/>
    <w:rsid w:val="004D020C"/>
    <w:rsid w:val="004D5236"/>
    <w:rsid w:val="004D691C"/>
    <w:rsid w:val="004D6F5E"/>
    <w:rsid w:val="004E0B2A"/>
    <w:rsid w:val="004E513B"/>
    <w:rsid w:val="004E775E"/>
    <w:rsid w:val="004F59D3"/>
    <w:rsid w:val="004F6518"/>
    <w:rsid w:val="004F72C5"/>
    <w:rsid w:val="00501AF7"/>
    <w:rsid w:val="00511AD3"/>
    <w:rsid w:val="00513763"/>
    <w:rsid w:val="005238E4"/>
    <w:rsid w:val="00537670"/>
    <w:rsid w:val="00540184"/>
    <w:rsid w:val="00545D5E"/>
    <w:rsid w:val="00546D5A"/>
    <w:rsid w:val="0055062A"/>
    <w:rsid w:val="005541D1"/>
    <w:rsid w:val="00555328"/>
    <w:rsid w:val="00561546"/>
    <w:rsid w:val="00562247"/>
    <w:rsid w:val="00563036"/>
    <w:rsid w:val="00564117"/>
    <w:rsid w:val="00573707"/>
    <w:rsid w:val="00577AA9"/>
    <w:rsid w:val="00577E3A"/>
    <w:rsid w:val="005842C2"/>
    <w:rsid w:val="00584B6B"/>
    <w:rsid w:val="0059733E"/>
    <w:rsid w:val="005A0DA7"/>
    <w:rsid w:val="005A176F"/>
    <w:rsid w:val="005A195C"/>
    <w:rsid w:val="005A204A"/>
    <w:rsid w:val="005B1855"/>
    <w:rsid w:val="005B2469"/>
    <w:rsid w:val="005B30C5"/>
    <w:rsid w:val="005B4BD4"/>
    <w:rsid w:val="005B569B"/>
    <w:rsid w:val="005C0C67"/>
    <w:rsid w:val="005C2FEB"/>
    <w:rsid w:val="005C453B"/>
    <w:rsid w:val="005C6F0B"/>
    <w:rsid w:val="005D326B"/>
    <w:rsid w:val="005D43DB"/>
    <w:rsid w:val="005D48A9"/>
    <w:rsid w:val="005D4B20"/>
    <w:rsid w:val="005D5C86"/>
    <w:rsid w:val="005D6A49"/>
    <w:rsid w:val="005E0F5D"/>
    <w:rsid w:val="005E4CF8"/>
    <w:rsid w:val="005F1107"/>
    <w:rsid w:val="005F27B2"/>
    <w:rsid w:val="005F2D34"/>
    <w:rsid w:val="005F37BE"/>
    <w:rsid w:val="005F5069"/>
    <w:rsid w:val="006028C4"/>
    <w:rsid w:val="00614040"/>
    <w:rsid w:val="00617F93"/>
    <w:rsid w:val="00622770"/>
    <w:rsid w:val="006369CD"/>
    <w:rsid w:val="006369F1"/>
    <w:rsid w:val="00660224"/>
    <w:rsid w:val="00661D3D"/>
    <w:rsid w:val="00661E83"/>
    <w:rsid w:val="006703C1"/>
    <w:rsid w:val="006755A6"/>
    <w:rsid w:val="006779EE"/>
    <w:rsid w:val="006805E9"/>
    <w:rsid w:val="00683A99"/>
    <w:rsid w:val="006907C4"/>
    <w:rsid w:val="00692F59"/>
    <w:rsid w:val="00693610"/>
    <w:rsid w:val="006970EF"/>
    <w:rsid w:val="006A3D6F"/>
    <w:rsid w:val="006A6025"/>
    <w:rsid w:val="006A68E7"/>
    <w:rsid w:val="006B0BCB"/>
    <w:rsid w:val="006B163C"/>
    <w:rsid w:val="006B3E09"/>
    <w:rsid w:val="006B4F42"/>
    <w:rsid w:val="006B5CAD"/>
    <w:rsid w:val="006B72B2"/>
    <w:rsid w:val="006C030F"/>
    <w:rsid w:val="006C247B"/>
    <w:rsid w:val="006C3192"/>
    <w:rsid w:val="006C6492"/>
    <w:rsid w:val="006C7927"/>
    <w:rsid w:val="006C7D95"/>
    <w:rsid w:val="006D6BAA"/>
    <w:rsid w:val="006E503B"/>
    <w:rsid w:val="006F0B8E"/>
    <w:rsid w:val="006F3ACD"/>
    <w:rsid w:val="006F5244"/>
    <w:rsid w:val="006F7B33"/>
    <w:rsid w:val="006F7DBF"/>
    <w:rsid w:val="007024F7"/>
    <w:rsid w:val="00702AF6"/>
    <w:rsid w:val="00702DAE"/>
    <w:rsid w:val="00706E65"/>
    <w:rsid w:val="00707679"/>
    <w:rsid w:val="00710233"/>
    <w:rsid w:val="00715CEB"/>
    <w:rsid w:val="007163DD"/>
    <w:rsid w:val="00716E8F"/>
    <w:rsid w:val="00717A4D"/>
    <w:rsid w:val="00720D9D"/>
    <w:rsid w:val="00720E07"/>
    <w:rsid w:val="0072132F"/>
    <w:rsid w:val="007243DC"/>
    <w:rsid w:val="00725CCA"/>
    <w:rsid w:val="00734F36"/>
    <w:rsid w:val="0074160E"/>
    <w:rsid w:val="007452B7"/>
    <w:rsid w:val="00747159"/>
    <w:rsid w:val="00760123"/>
    <w:rsid w:val="007601C8"/>
    <w:rsid w:val="0076025B"/>
    <w:rsid w:val="00762B45"/>
    <w:rsid w:val="007639AA"/>
    <w:rsid w:val="00764A4A"/>
    <w:rsid w:val="007665A7"/>
    <w:rsid w:val="00772C50"/>
    <w:rsid w:val="0077358F"/>
    <w:rsid w:val="00777182"/>
    <w:rsid w:val="007876BD"/>
    <w:rsid w:val="00790CB5"/>
    <w:rsid w:val="00793223"/>
    <w:rsid w:val="00795516"/>
    <w:rsid w:val="007A13C1"/>
    <w:rsid w:val="007A2D36"/>
    <w:rsid w:val="007A3F0D"/>
    <w:rsid w:val="007A4081"/>
    <w:rsid w:val="007A6CCD"/>
    <w:rsid w:val="007B3C10"/>
    <w:rsid w:val="007B6A88"/>
    <w:rsid w:val="007C2EAB"/>
    <w:rsid w:val="007C64BE"/>
    <w:rsid w:val="007D1754"/>
    <w:rsid w:val="007D310F"/>
    <w:rsid w:val="007D5D14"/>
    <w:rsid w:val="007E7D16"/>
    <w:rsid w:val="00805C0A"/>
    <w:rsid w:val="008109A2"/>
    <w:rsid w:val="00811436"/>
    <w:rsid w:val="008121ED"/>
    <w:rsid w:val="00812C4E"/>
    <w:rsid w:val="0081322B"/>
    <w:rsid w:val="00814A47"/>
    <w:rsid w:val="00814C10"/>
    <w:rsid w:val="00817A31"/>
    <w:rsid w:val="00822293"/>
    <w:rsid w:val="00825D32"/>
    <w:rsid w:val="00831DAB"/>
    <w:rsid w:val="00834541"/>
    <w:rsid w:val="00834FCF"/>
    <w:rsid w:val="008406C1"/>
    <w:rsid w:val="00843C40"/>
    <w:rsid w:val="0084799F"/>
    <w:rsid w:val="008517CA"/>
    <w:rsid w:val="0086581C"/>
    <w:rsid w:val="00867426"/>
    <w:rsid w:val="00870E69"/>
    <w:rsid w:val="00871C2A"/>
    <w:rsid w:val="008737B4"/>
    <w:rsid w:val="00874D29"/>
    <w:rsid w:val="00877CF9"/>
    <w:rsid w:val="00877D8D"/>
    <w:rsid w:val="008813F9"/>
    <w:rsid w:val="00882B2D"/>
    <w:rsid w:val="00887CC5"/>
    <w:rsid w:val="0089124C"/>
    <w:rsid w:val="008918DE"/>
    <w:rsid w:val="0089376A"/>
    <w:rsid w:val="00895C36"/>
    <w:rsid w:val="008A0A79"/>
    <w:rsid w:val="008A3068"/>
    <w:rsid w:val="008B3D49"/>
    <w:rsid w:val="008B4A75"/>
    <w:rsid w:val="008B7B3E"/>
    <w:rsid w:val="008C051A"/>
    <w:rsid w:val="008C0BBA"/>
    <w:rsid w:val="008D0926"/>
    <w:rsid w:val="008D3EC1"/>
    <w:rsid w:val="008E335E"/>
    <w:rsid w:val="008E41A7"/>
    <w:rsid w:val="008F1643"/>
    <w:rsid w:val="008F4292"/>
    <w:rsid w:val="008F72DB"/>
    <w:rsid w:val="008F7334"/>
    <w:rsid w:val="00903040"/>
    <w:rsid w:val="009043C0"/>
    <w:rsid w:val="00906E36"/>
    <w:rsid w:val="00911A83"/>
    <w:rsid w:val="00913331"/>
    <w:rsid w:val="00915FF2"/>
    <w:rsid w:val="00920B64"/>
    <w:rsid w:val="009212A4"/>
    <w:rsid w:val="00925D13"/>
    <w:rsid w:val="00927606"/>
    <w:rsid w:val="0092787B"/>
    <w:rsid w:val="00931297"/>
    <w:rsid w:val="0093562C"/>
    <w:rsid w:val="0093659D"/>
    <w:rsid w:val="0094137F"/>
    <w:rsid w:val="009417C7"/>
    <w:rsid w:val="00942A06"/>
    <w:rsid w:val="00943529"/>
    <w:rsid w:val="00943D85"/>
    <w:rsid w:val="0094497D"/>
    <w:rsid w:val="00945410"/>
    <w:rsid w:val="00946789"/>
    <w:rsid w:val="00947614"/>
    <w:rsid w:val="00956E30"/>
    <w:rsid w:val="009618E9"/>
    <w:rsid w:val="00962F57"/>
    <w:rsid w:val="00966A26"/>
    <w:rsid w:val="009702D6"/>
    <w:rsid w:val="00974A7F"/>
    <w:rsid w:val="00976313"/>
    <w:rsid w:val="00983340"/>
    <w:rsid w:val="00985552"/>
    <w:rsid w:val="009864D6"/>
    <w:rsid w:val="0098686F"/>
    <w:rsid w:val="00987446"/>
    <w:rsid w:val="009922A0"/>
    <w:rsid w:val="00996FE8"/>
    <w:rsid w:val="009A0DC5"/>
    <w:rsid w:val="009A2A59"/>
    <w:rsid w:val="009A6D99"/>
    <w:rsid w:val="009B1322"/>
    <w:rsid w:val="009B2799"/>
    <w:rsid w:val="009B6411"/>
    <w:rsid w:val="009B75D5"/>
    <w:rsid w:val="009D2FB3"/>
    <w:rsid w:val="009D5EFF"/>
    <w:rsid w:val="009D615D"/>
    <w:rsid w:val="009E1D76"/>
    <w:rsid w:val="009E4BBB"/>
    <w:rsid w:val="009E6563"/>
    <w:rsid w:val="009F61A8"/>
    <w:rsid w:val="009F7A5A"/>
    <w:rsid w:val="00A0390A"/>
    <w:rsid w:val="00A043E2"/>
    <w:rsid w:val="00A2415A"/>
    <w:rsid w:val="00A24932"/>
    <w:rsid w:val="00A26299"/>
    <w:rsid w:val="00A270AB"/>
    <w:rsid w:val="00A30FFB"/>
    <w:rsid w:val="00A32FDD"/>
    <w:rsid w:val="00A45DB3"/>
    <w:rsid w:val="00A46E1D"/>
    <w:rsid w:val="00A51AFB"/>
    <w:rsid w:val="00A775BC"/>
    <w:rsid w:val="00A82A99"/>
    <w:rsid w:val="00A8346A"/>
    <w:rsid w:val="00A837C1"/>
    <w:rsid w:val="00A840A0"/>
    <w:rsid w:val="00A878AA"/>
    <w:rsid w:val="00A91310"/>
    <w:rsid w:val="00A91F49"/>
    <w:rsid w:val="00A92C7E"/>
    <w:rsid w:val="00AA11A0"/>
    <w:rsid w:val="00AA1495"/>
    <w:rsid w:val="00AB49B5"/>
    <w:rsid w:val="00AB678E"/>
    <w:rsid w:val="00AC4E55"/>
    <w:rsid w:val="00AD473F"/>
    <w:rsid w:val="00AE08D2"/>
    <w:rsid w:val="00AE29EC"/>
    <w:rsid w:val="00AE2EC1"/>
    <w:rsid w:val="00AF153F"/>
    <w:rsid w:val="00AF1745"/>
    <w:rsid w:val="00AF1A6D"/>
    <w:rsid w:val="00AF5C74"/>
    <w:rsid w:val="00AF616A"/>
    <w:rsid w:val="00B017F4"/>
    <w:rsid w:val="00B027E7"/>
    <w:rsid w:val="00B06AE0"/>
    <w:rsid w:val="00B100AD"/>
    <w:rsid w:val="00B16488"/>
    <w:rsid w:val="00B17F60"/>
    <w:rsid w:val="00B2071A"/>
    <w:rsid w:val="00B2071F"/>
    <w:rsid w:val="00B24168"/>
    <w:rsid w:val="00B27BAF"/>
    <w:rsid w:val="00B334A5"/>
    <w:rsid w:val="00B4222D"/>
    <w:rsid w:val="00B47C61"/>
    <w:rsid w:val="00B47D7B"/>
    <w:rsid w:val="00B50352"/>
    <w:rsid w:val="00B5564D"/>
    <w:rsid w:val="00B55721"/>
    <w:rsid w:val="00B55939"/>
    <w:rsid w:val="00B60686"/>
    <w:rsid w:val="00B639CC"/>
    <w:rsid w:val="00B64AF5"/>
    <w:rsid w:val="00B66EBF"/>
    <w:rsid w:val="00B67805"/>
    <w:rsid w:val="00B7003E"/>
    <w:rsid w:val="00B73F45"/>
    <w:rsid w:val="00B75481"/>
    <w:rsid w:val="00B87BD2"/>
    <w:rsid w:val="00B918AA"/>
    <w:rsid w:val="00B95170"/>
    <w:rsid w:val="00B956EC"/>
    <w:rsid w:val="00B969DC"/>
    <w:rsid w:val="00BA0173"/>
    <w:rsid w:val="00BA4307"/>
    <w:rsid w:val="00BA4E78"/>
    <w:rsid w:val="00BB1B09"/>
    <w:rsid w:val="00BB1DD1"/>
    <w:rsid w:val="00BB7202"/>
    <w:rsid w:val="00BC0E06"/>
    <w:rsid w:val="00BC2322"/>
    <w:rsid w:val="00BC2C9A"/>
    <w:rsid w:val="00BC611B"/>
    <w:rsid w:val="00BD2DAA"/>
    <w:rsid w:val="00BD3DBA"/>
    <w:rsid w:val="00BD42AD"/>
    <w:rsid w:val="00BE40D3"/>
    <w:rsid w:val="00BE634B"/>
    <w:rsid w:val="00BF4CA7"/>
    <w:rsid w:val="00BF771C"/>
    <w:rsid w:val="00BF7DA2"/>
    <w:rsid w:val="00C013B0"/>
    <w:rsid w:val="00C03FC3"/>
    <w:rsid w:val="00C14C71"/>
    <w:rsid w:val="00C25B8B"/>
    <w:rsid w:val="00C26929"/>
    <w:rsid w:val="00C341A0"/>
    <w:rsid w:val="00C34BAF"/>
    <w:rsid w:val="00C3611D"/>
    <w:rsid w:val="00C44D6B"/>
    <w:rsid w:val="00C47D1E"/>
    <w:rsid w:val="00C5188D"/>
    <w:rsid w:val="00C52CDB"/>
    <w:rsid w:val="00C53CCC"/>
    <w:rsid w:val="00C556F8"/>
    <w:rsid w:val="00C63762"/>
    <w:rsid w:val="00C65066"/>
    <w:rsid w:val="00C72E64"/>
    <w:rsid w:val="00C7370D"/>
    <w:rsid w:val="00C817EE"/>
    <w:rsid w:val="00C835B7"/>
    <w:rsid w:val="00C8453D"/>
    <w:rsid w:val="00C8467D"/>
    <w:rsid w:val="00C85899"/>
    <w:rsid w:val="00C86333"/>
    <w:rsid w:val="00C86BAC"/>
    <w:rsid w:val="00C9066F"/>
    <w:rsid w:val="00C91E21"/>
    <w:rsid w:val="00C9270E"/>
    <w:rsid w:val="00C92B9A"/>
    <w:rsid w:val="00CA02F5"/>
    <w:rsid w:val="00CA0F5D"/>
    <w:rsid w:val="00CA1EC4"/>
    <w:rsid w:val="00CA46BC"/>
    <w:rsid w:val="00CA48BC"/>
    <w:rsid w:val="00CA7C60"/>
    <w:rsid w:val="00CB233D"/>
    <w:rsid w:val="00CB3482"/>
    <w:rsid w:val="00CB496D"/>
    <w:rsid w:val="00CC555D"/>
    <w:rsid w:val="00CC7514"/>
    <w:rsid w:val="00CE5CF5"/>
    <w:rsid w:val="00CF1916"/>
    <w:rsid w:val="00CF311C"/>
    <w:rsid w:val="00D0151B"/>
    <w:rsid w:val="00D03B19"/>
    <w:rsid w:val="00D06FBD"/>
    <w:rsid w:val="00D0783C"/>
    <w:rsid w:val="00D07F1D"/>
    <w:rsid w:val="00D10118"/>
    <w:rsid w:val="00D1429B"/>
    <w:rsid w:val="00D26319"/>
    <w:rsid w:val="00D273DC"/>
    <w:rsid w:val="00D30DE4"/>
    <w:rsid w:val="00D31A11"/>
    <w:rsid w:val="00D336DF"/>
    <w:rsid w:val="00D344F6"/>
    <w:rsid w:val="00D355AC"/>
    <w:rsid w:val="00D446A0"/>
    <w:rsid w:val="00D45283"/>
    <w:rsid w:val="00D468F8"/>
    <w:rsid w:val="00D47BF5"/>
    <w:rsid w:val="00D52AC8"/>
    <w:rsid w:val="00D572AD"/>
    <w:rsid w:val="00D638C4"/>
    <w:rsid w:val="00D63D5A"/>
    <w:rsid w:val="00D66B18"/>
    <w:rsid w:val="00D7396A"/>
    <w:rsid w:val="00D73DBC"/>
    <w:rsid w:val="00D759EA"/>
    <w:rsid w:val="00D80786"/>
    <w:rsid w:val="00D82943"/>
    <w:rsid w:val="00D90B8F"/>
    <w:rsid w:val="00D914D2"/>
    <w:rsid w:val="00D920B9"/>
    <w:rsid w:val="00DA3862"/>
    <w:rsid w:val="00DA38AA"/>
    <w:rsid w:val="00DA49EF"/>
    <w:rsid w:val="00DB2D7E"/>
    <w:rsid w:val="00DB603D"/>
    <w:rsid w:val="00DB7258"/>
    <w:rsid w:val="00DD2D27"/>
    <w:rsid w:val="00DD30E7"/>
    <w:rsid w:val="00DD5228"/>
    <w:rsid w:val="00DE4925"/>
    <w:rsid w:val="00DE62FB"/>
    <w:rsid w:val="00DF07C6"/>
    <w:rsid w:val="00DF3BB1"/>
    <w:rsid w:val="00E05285"/>
    <w:rsid w:val="00E061E6"/>
    <w:rsid w:val="00E0744A"/>
    <w:rsid w:val="00E104ED"/>
    <w:rsid w:val="00E25C91"/>
    <w:rsid w:val="00E31FAF"/>
    <w:rsid w:val="00E32A54"/>
    <w:rsid w:val="00E3378B"/>
    <w:rsid w:val="00E36AB7"/>
    <w:rsid w:val="00E36BCC"/>
    <w:rsid w:val="00E41C18"/>
    <w:rsid w:val="00E53CC9"/>
    <w:rsid w:val="00E55817"/>
    <w:rsid w:val="00E558D6"/>
    <w:rsid w:val="00E55F97"/>
    <w:rsid w:val="00E56BD8"/>
    <w:rsid w:val="00E56BDB"/>
    <w:rsid w:val="00E56E9C"/>
    <w:rsid w:val="00E615B2"/>
    <w:rsid w:val="00E66797"/>
    <w:rsid w:val="00E7117F"/>
    <w:rsid w:val="00E71BD6"/>
    <w:rsid w:val="00E77DD0"/>
    <w:rsid w:val="00E8249D"/>
    <w:rsid w:val="00E8408C"/>
    <w:rsid w:val="00EA286C"/>
    <w:rsid w:val="00EB3659"/>
    <w:rsid w:val="00EB393F"/>
    <w:rsid w:val="00EB625F"/>
    <w:rsid w:val="00EB7A91"/>
    <w:rsid w:val="00EC11A6"/>
    <w:rsid w:val="00EC3A6D"/>
    <w:rsid w:val="00EC49DE"/>
    <w:rsid w:val="00ED2081"/>
    <w:rsid w:val="00ED5C5A"/>
    <w:rsid w:val="00ED7E17"/>
    <w:rsid w:val="00EE0DD1"/>
    <w:rsid w:val="00EE1F4F"/>
    <w:rsid w:val="00EF080C"/>
    <w:rsid w:val="00EF5DF8"/>
    <w:rsid w:val="00F01B76"/>
    <w:rsid w:val="00F029B1"/>
    <w:rsid w:val="00F06AA1"/>
    <w:rsid w:val="00F11838"/>
    <w:rsid w:val="00F1567C"/>
    <w:rsid w:val="00F16912"/>
    <w:rsid w:val="00F170F9"/>
    <w:rsid w:val="00F17FB1"/>
    <w:rsid w:val="00F25F8E"/>
    <w:rsid w:val="00F30713"/>
    <w:rsid w:val="00F323DF"/>
    <w:rsid w:val="00F439D4"/>
    <w:rsid w:val="00F46A68"/>
    <w:rsid w:val="00F46DCA"/>
    <w:rsid w:val="00F511FD"/>
    <w:rsid w:val="00F524C3"/>
    <w:rsid w:val="00F5368A"/>
    <w:rsid w:val="00F53F16"/>
    <w:rsid w:val="00F72838"/>
    <w:rsid w:val="00F73F68"/>
    <w:rsid w:val="00F80737"/>
    <w:rsid w:val="00F82EC4"/>
    <w:rsid w:val="00F84D6F"/>
    <w:rsid w:val="00F8551D"/>
    <w:rsid w:val="00F85BB7"/>
    <w:rsid w:val="00F9278B"/>
    <w:rsid w:val="00F92D59"/>
    <w:rsid w:val="00FA0377"/>
    <w:rsid w:val="00FA2F38"/>
    <w:rsid w:val="00FA534D"/>
    <w:rsid w:val="00FA7040"/>
    <w:rsid w:val="00FB4619"/>
    <w:rsid w:val="00FC02B0"/>
    <w:rsid w:val="00FC1118"/>
    <w:rsid w:val="00FE06F8"/>
    <w:rsid w:val="00FE0A42"/>
    <w:rsid w:val="00FF1870"/>
    <w:rsid w:val="00FF2084"/>
    <w:rsid w:val="00FF4559"/>
    <w:rsid w:val="00FF4628"/>
    <w:rsid w:val="00FF50F9"/>
    <w:rsid w:val="00FF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0051C"/>
    <w:rPr>
      <w:sz w:val="24"/>
      <w:szCs w:val="24"/>
      <w:lang w:eastAsia="en-US"/>
    </w:rPr>
  </w:style>
  <w:style w:type="paragraph" w:styleId="1">
    <w:name w:val="heading 1"/>
    <w:basedOn w:val="a"/>
    <w:next w:val="a"/>
    <w:link w:val="1Char"/>
    <w:uiPriority w:val="99"/>
    <w:qFormat/>
    <w:locked/>
    <w:rsid w:val="00396089"/>
    <w:pPr>
      <w:keepNext/>
      <w:spacing w:before="240" w:after="60"/>
      <w:outlineLvl w:val="0"/>
    </w:pPr>
    <w:rPr>
      <w:rFonts w:ascii="Cambria" w:eastAsia="MS Gothic"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96089"/>
    <w:rPr>
      <w:rFonts w:ascii="Cambria" w:eastAsia="MS Gothic" w:hAnsi="Cambria" w:cs="Times New Roman"/>
      <w:b/>
      <w:kern w:val="32"/>
      <w:sz w:val="32"/>
      <w:lang w:eastAsia="en-US"/>
    </w:rPr>
  </w:style>
  <w:style w:type="character" w:styleId="a3">
    <w:name w:val="Hyperlink"/>
    <w:uiPriority w:val="99"/>
    <w:rsid w:val="0030051C"/>
    <w:rPr>
      <w:rFonts w:cs="Times New Roman"/>
      <w:color w:val="2D0039"/>
      <w:kern w:val="2"/>
      <w:u w:color="000000"/>
    </w:rPr>
  </w:style>
  <w:style w:type="character" w:styleId="a4">
    <w:name w:val="FollowedHyperlink"/>
    <w:uiPriority w:val="99"/>
    <w:locked/>
    <w:rsid w:val="00911A83"/>
    <w:rPr>
      <w:rFonts w:cs="Times New Roman"/>
      <w:color w:val="800080"/>
      <w:u w:val="single"/>
    </w:rPr>
  </w:style>
  <w:style w:type="character" w:customStyle="1" w:styleId="highlight">
    <w:name w:val="highlight"/>
    <w:uiPriority w:val="99"/>
    <w:rsid w:val="00513763"/>
    <w:rPr>
      <w:rFonts w:cs="Times New Roman"/>
    </w:rPr>
  </w:style>
  <w:style w:type="character" w:customStyle="1" w:styleId="apple-converted-space">
    <w:name w:val="apple-converted-space"/>
    <w:uiPriority w:val="99"/>
    <w:rsid w:val="00513763"/>
    <w:rPr>
      <w:rFonts w:cs="Times New Roman"/>
    </w:rPr>
  </w:style>
  <w:style w:type="paragraph" w:styleId="a5">
    <w:name w:val="Balloon Text"/>
    <w:basedOn w:val="a"/>
    <w:link w:val="Char"/>
    <w:uiPriority w:val="99"/>
    <w:locked/>
    <w:rsid w:val="004E513B"/>
    <w:rPr>
      <w:rFonts w:ascii="Tahoma" w:hAnsi="Tahoma"/>
      <w:sz w:val="16"/>
      <w:szCs w:val="16"/>
    </w:rPr>
  </w:style>
  <w:style w:type="character" w:customStyle="1" w:styleId="Char">
    <w:name w:val="批注框文本 Char"/>
    <w:link w:val="a5"/>
    <w:uiPriority w:val="99"/>
    <w:locked/>
    <w:rsid w:val="004E513B"/>
    <w:rPr>
      <w:rFonts w:ascii="Tahoma" w:hAnsi="Tahoma" w:cs="Times New Roman"/>
      <w:sz w:val="16"/>
      <w:lang w:eastAsia="en-US"/>
    </w:rPr>
  </w:style>
  <w:style w:type="paragraph" w:styleId="a6">
    <w:name w:val="header"/>
    <w:basedOn w:val="a"/>
    <w:link w:val="Char0"/>
    <w:uiPriority w:val="99"/>
    <w:locked/>
    <w:rsid w:val="00046558"/>
    <w:pPr>
      <w:tabs>
        <w:tab w:val="center" w:pos="4680"/>
        <w:tab w:val="right" w:pos="9360"/>
      </w:tabs>
    </w:pPr>
  </w:style>
  <w:style w:type="character" w:customStyle="1" w:styleId="Char0">
    <w:name w:val="页眉 Char"/>
    <w:link w:val="a6"/>
    <w:uiPriority w:val="99"/>
    <w:locked/>
    <w:rsid w:val="00046558"/>
    <w:rPr>
      <w:rFonts w:cs="Times New Roman"/>
      <w:sz w:val="24"/>
      <w:lang w:eastAsia="en-US"/>
    </w:rPr>
  </w:style>
  <w:style w:type="paragraph" w:styleId="a7">
    <w:name w:val="footer"/>
    <w:basedOn w:val="a"/>
    <w:link w:val="Char1"/>
    <w:uiPriority w:val="99"/>
    <w:locked/>
    <w:rsid w:val="00046558"/>
    <w:pPr>
      <w:tabs>
        <w:tab w:val="center" w:pos="4680"/>
        <w:tab w:val="right" w:pos="9360"/>
      </w:tabs>
    </w:pPr>
  </w:style>
  <w:style w:type="character" w:customStyle="1" w:styleId="Char1">
    <w:name w:val="页脚 Char"/>
    <w:link w:val="a7"/>
    <w:uiPriority w:val="99"/>
    <w:locked/>
    <w:rsid w:val="00046558"/>
    <w:rPr>
      <w:rFonts w:cs="Times New Roman"/>
      <w:sz w:val="24"/>
      <w:lang w:eastAsia="en-US"/>
    </w:rPr>
  </w:style>
  <w:style w:type="character" w:styleId="a8">
    <w:name w:val="annotation reference"/>
    <w:uiPriority w:val="99"/>
    <w:locked/>
    <w:rsid w:val="00147672"/>
    <w:rPr>
      <w:rFonts w:cs="Times New Roman"/>
      <w:sz w:val="16"/>
    </w:rPr>
  </w:style>
  <w:style w:type="paragraph" w:styleId="a9">
    <w:name w:val="annotation text"/>
    <w:basedOn w:val="a"/>
    <w:link w:val="Char2"/>
    <w:uiPriority w:val="99"/>
    <w:locked/>
    <w:rsid w:val="00147672"/>
    <w:rPr>
      <w:sz w:val="20"/>
      <w:szCs w:val="20"/>
    </w:rPr>
  </w:style>
  <w:style w:type="character" w:customStyle="1" w:styleId="Char2">
    <w:name w:val="批注文字 Char"/>
    <w:link w:val="a9"/>
    <w:uiPriority w:val="99"/>
    <w:locked/>
    <w:rsid w:val="00147672"/>
    <w:rPr>
      <w:rFonts w:cs="Times New Roman"/>
      <w:lang w:eastAsia="en-US"/>
    </w:rPr>
  </w:style>
  <w:style w:type="paragraph" w:styleId="aa">
    <w:name w:val="annotation subject"/>
    <w:basedOn w:val="a9"/>
    <w:next w:val="a9"/>
    <w:link w:val="Char3"/>
    <w:uiPriority w:val="99"/>
    <w:locked/>
    <w:rsid w:val="00147672"/>
    <w:rPr>
      <w:b/>
      <w:bCs/>
    </w:rPr>
  </w:style>
  <w:style w:type="character" w:customStyle="1" w:styleId="Char3">
    <w:name w:val="批注主题 Char"/>
    <w:link w:val="aa"/>
    <w:uiPriority w:val="99"/>
    <w:locked/>
    <w:rsid w:val="00147672"/>
    <w:rPr>
      <w:rFonts w:cs="Times New Roman"/>
      <w:b/>
      <w:lang w:eastAsia="en-US"/>
    </w:rPr>
  </w:style>
  <w:style w:type="paragraph" w:styleId="ab">
    <w:name w:val="Normal (Web)"/>
    <w:basedOn w:val="a"/>
    <w:uiPriority w:val="99"/>
    <w:locked/>
    <w:rsid w:val="006F7DBF"/>
    <w:pPr>
      <w:spacing w:before="100" w:beforeAutospacing="1" w:after="100" w:afterAutospacing="1"/>
    </w:pPr>
    <w:rPr>
      <w:rFonts w:ascii="MS PGothic" w:eastAsia="MS PGothic" w:hAnsi="MS PGothic" w:cs="MS PGothic"/>
      <w:lang w:eastAsia="ja-JP"/>
    </w:rPr>
  </w:style>
  <w:style w:type="paragraph" w:styleId="ac">
    <w:name w:val="List Paragraph"/>
    <w:basedOn w:val="a"/>
    <w:uiPriority w:val="99"/>
    <w:qFormat/>
    <w:rsid w:val="00D0783C"/>
    <w:pPr>
      <w:ind w:leftChars="400" w:left="840"/>
    </w:pPr>
  </w:style>
  <w:style w:type="paragraph" w:customStyle="1" w:styleId="p0">
    <w:name w:val="p0"/>
    <w:basedOn w:val="a"/>
    <w:uiPriority w:val="99"/>
    <w:rsid w:val="00A91F49"/>
    <w:pPr>
      <w:spacing w:line="240" w:lineRule="atLeast"/>
    </w:pPr>
    <w:rPr>
      <w:rFonts w:ascii="Century" w:eastAsia="宋体" w:hAnsi="Century" w:cs="宋体"/>
      <w:sz w:val="21"/>
      <w:szCs w:val="21"/>
      <w:lang w:eastAsia="zh-CN"/>
    </w:rPr>
  </w:style>
  <w:style w:type="character" w:customStyle="1" w:styleId="st1">
    <w:name w:val="st1"/>
    <w:uiPriority w:val="99"/>
    <w:rsid w:val="00E558D6"/>
    <w:rPr>
      <w:rFonts w:cs="Times New Roman"/>
    </w:rPr>
  </w:style>
  <w:style w:type="character" w:styleId="HTML">
    <w:name w:val="HTML Cite"/>
    <w:uiPriority w:val="99"/>
    <w:locked/>
    <w:rsid w:val="004F6518"/>
    <w:rPr>
      <w:rFonts w:cs="Times New Roman"/>
      <w:color w:val="006621"/>
    </w:rPr>
  </w:style>
  <w:style w:type="character" w:styleId="ad">
    <w:name w:val="Emphasis"/>
    <w:uiPriority w:val="99"/>
    <w:qFormat/>
    <w:locked/>
    <w:rsid w:val="0013137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0051C"/>
    <w:rPr>
      <w:sz w:val="24"/>
      <w:szCs w:val="24"/>
      <w:lang w:eastAsia="en-US"/>
    </w:rPr>
  </w:style>
  <w:style w:type="paragraph" w:styleId="1">
    <w:name w:val="heading 1"/>
    <w:basedOn w:val="a"/>
    <w:next w:val="a"/>
    <w:link w:val="1Char"/>
    <w:uiPriority w:val="99"/>
    <w:qFormat/>
    <w:locked/>
    <w:rsid w:val="00396089"/>
    <w:pPr>
      <w:keepNext/>
      <w:spacing w:before="240" w:after="60"/>
      <w:outlineLvl w:val="0"/>
    </w:pPr>
    <w:rPr>
      <w:rFonts w:ascii="Cambria" w:eastAsia="MS Gothic"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96089"/>
    <w:rPr>
      <w:rFonts w:ascii="Cambria" w:eastAsia="MS Gothic" w:hAnsi="Cambria" w:cs="Times New Roman"/>
      <w:b/>
      <w:kern w:val="32"/>
      <w:sz w:val="32"/>
      <w:lang w:eastAsia="en-US"/>
    </w:rPr>
  </w:style>
  <w:style w:type="character" w:styleId="a3">
    <w:name w:val="Hyperlink"/>
    <w:uiPriority w:val="99"/>
    <w:rsid w:val="0030051C"/>
    <w:rPr>
      <w:rFonts w:cs="Times New Roman"/>
      <w:color w:val="2D0039"/>
      <w:kern w:val="2"/>
      <w:u w:color="000000"/>
    </w:rPr>
  </w:style>
  <w:style w:type="character" w:styleId="a4">
    <w:name w:val="FollowedHyperlink"/>
    <w:uiPriority w:val="99"/>
    <w:locked/>
    <w:rsid w:val="00911A83"/>
    <w:rPr>
      <w:rFonts w:cs="Times New Roman"/>
      <w:color w:val="800080"/>
      <w:u w:val="single"/>
    </w:rPr>
  </w:style>
  <w:style w:type="character" w:customStyle="1" w:styleId="highlight">
    <w:name w:val="highlight"/>
    <w:uiPriority w:val="99"/>
    <w:rsid w:val="00513763"/>
    <w:rPr>
      <w:rFonts w:cs="Times New Roman"/>
    </w:rPr>
  </w:style>
  <w:style w:type="character" w:customStyle="1" w:styleId="apple-converted-space">
    <w:name w:val="apple-converted-space"/>
    <w:uiPriority w:val="99"/>
    <w:rsid w:val="00513763"/>
    <w:rPr>
      <w:rFonts w:cs="Times New Roman"/>
    </w:rPr>
  </w:style>
  <w:style w:type="paragraph" w:styleId="a5">
    <w:name w:val="Balloon Text"/>
    <w:basedOn w:val="a"/>
    <w:link w:val="Char"/>
    <w:uiPriority w:val="99"/>
    <w:locked/>
    <w:rsid w:val="004E513B"/>
    <w:rPr>
      <w:rFonts w:ascii="Tahoma" w:hAnsi="Tahoma"/>
      <w:sz w:val="16"/>
      <w:szCs w:val="16"/>
    </w:rPr>
  </w:style>
  <w:style w:type="character" w:customStyle="1" w:styleId="Char">
    <w:name w:val="批注框文本 Char"/>
    <w:link w:val="a5"/>
    <w:uiPriority w:val="99"/>
    <w:locked/>
    <w:rsid w:val="004E513B"/>
    <w:rPr>
      <w:rFonts w:ascii="Tahoma" w:hAnsi="Tahoma" w:cs="Times New Roman"/>
      <w:sz w:val="16"/>
      <w:lang w:eastAsia="en-US"/>
    </w:rPr>
  </w:style>
  <w:style w:type="paragraph" w:styleId="a6">
    <w:name w:val="header"/>
    <w:basedOn w:val="a"/>
    <w:link w:val="Char0"/>
    <w:uiPriority w:val="99"/>
    <w:locked/>
    <w:rsid w:val="00046558"/>
    <w:pPr>
      <w:tabs>
        <w:tab w:val="center" w:pos="4680"/>
        <w:tab w:val="right" w:pos="9360"/>
      </w:tabs>
    </w:pPr>
  </w:style>
  <w:style w:type="character" w:customStyle="1" w:styleId="Char0">
    <w:name w:val="页眉 Char"/>
    <w:link w:val="a6"/>
    <w:uiPriority w:val="99"/>
    <w:locked/>
    <w:rsid w:val="00046558"/>
    <w:rPr>
      <w:rFonts w:cs="Times New Roman"/>
      <w:sz w:val="24"/>
      <w:lang w:eastAsia="en-US"/>
    </w:rPr>
  </w:style>
  <w:style w:type="paragraph" w:styleId="a7">
    <w:name w:val="footer"/>
    <w:basedOn w:val="a"/>
    <w:link w:val="Char1"/>
    <w:uiPriority w:val="99"/>
    <w:locked/>
    <w:rsid w:val="00046558"/>
    <w:pPr>
      <w:tabs>
        <w:tab w:val="center" w:pos="4680"/>
        <w:tab w:val="right" w:pos="9360"/>
      </w:tabs>
    </w:pPr>
  </w:style>
  <w:style w:type="character" w:customStyle="1" w:styleId="Char1">
    <w:name w:val="页脚 Char"/>
    <w:link w:val="a7"/>
    <w:uiPriority w:val="99"/>
    <w:locked/>
    <w:rsid w:val="00046558"/>
    <w:rPr>
      <w:rFonts w:cs="Times New Roman"/>
      <w:sz w:val="24"/>
      <w:lang w:eastAsia="en-US"/>
    </w:rPr>
  </w:style>
  <w:style w:type="character" w:styleId="a8">
    <w:name w:val="annotation reference"/>
    <w:uiPriority w:val="99"/>
    <w:locked/>
    <w:rsid w:val="00147672"/>
    <w:rPr>
      <w:rFonts w:cs="Times New Roman"/>
      <w:sz w:val="16"/>
    </w:rPr>
  </w:style>
  <w:style w:type="paragraph" w:styleId="a9">
    <w:name w:val="annotation text"/>
    <w:basedOn w:val="a"/>
    <w:link w:val="Char2"/>
    <w:uiPriority w:val="99"/>
    <w:locked/>
    <w:rsid w:val="00147672"/>
    <w:rPr>
      <w:sz w:val="20"/>
      <w:szCs w:val="20"/>
    </w:rPr>
  </w:style>
  <w:style w:type="character" w:customStyle="1" w:styleId="Char2">
    <w:name w:val="批注文字 Char"/>
    <w:link w:val="a9"/>
    <w:uiPriority w:val="99"/>
    <w:locked/>
    <w:rsid w:val="00147672"/>
    <w:rPr>
      <w:rFonts w:cs="Times New Roman"/>
      <w:lang w:eastAsia="en-US"/>
    </w:rPr>
  </w:style>
  <w:style w:type="paragraph" w:styleId="aa">
    <w:name w:val="annotation subject"/>
    <w:basedOn w:val="a9"/>
    <w:next w:val="a9"/>
    <w:link w:val="Char3"/>
    <w:uiPriority w:val="99"/>
    <w:locked/>
    <w:rsid w:val="00147672"/>
    <w:rPr>
      <w:b/>
      <w:bCs/>
    </w:rPr>
  </w:style>
  <w:style w:type="character" w:customStyle="1" w:styleId="Char3">
    <w:name w:val="批注主题 Char"/>
    <w:link w:val="aa"/>
    <w:uiPriority w:val="99"/>
    <w:locked/>
    <w:rsid w:val="00147672"/>
    <w:rPr>
      <w:rFonts w:cs="Times New Roman"/>
      <w:b/>
      <w:lang w:eastAsia="en-US"/>
    </w:rPr>
  </w:style>
  <w:style w:type="paragraph" w:styleId="ab">
    <w:name w:val="Normal (Web)"/>
    <w:basedOn w:val="a"/>
    <w:uiPriority w:val="99"/>
    <w:locked/>
    <w:rsid w:val="006F7DBF"/>
    <w:pPr>
      <w:spacing w:before="100" w:beforeAutospacing="1" w:after="100" w:afterAutospacing="1"/>
    </w:pPr>
    <w:rPr>
      <w:rFonts w:ascii="MS PGothic" w:eastAsia="MS PGothic" w:hAnsi="MS PGothic" w:cs="MS PGothic"/>
      <w:lang w:eastAsia="ja-JP"/>
    </w:rPr>
  </w:style>
  <w:style w:type="paragraph" w:styleId="ac">
    <w:name w:val="List Paragraph"/>
    <w:basedOn w:val="a"/>
    <w:uiPriority w:val="99"/>
    <w:qFormat/>
    <w:rsid w:val="00D0783C"/>
    <w:pPr>
      <w:ind w:leftChars="400" w:left="840"/>
    </w:pPr>
  </w:style>
  <w:style w:type="paragraph" w:customStyle="1" w:styleId="p0">
    <w:name w:val="p0"/>
    <w:basedOn w:val="a"/>
    <w:uiPriority w:val="99"/>
    <w:rsid w:val="00A91F49"/>
    <w:pPr>
      <w:spacing w:line="240" w:lineRule="atLeast"/>
    </w:pPr>
    <w:rPr>
      <w:rFonts w:ascii="Century" w:eastAsia="宋体" w:hAnsi="Century" w:cs="宋体"/>
      <w:sz w:val="21"/>
      <w:szCs w:val="21"/>
      <w:lang w:eastAsia="zh-CN"/>
    </w:rPr>
  </w:style>
  <w:style w:type="character" w:customStyle="1" w:styleId="st1">
    <w:name w:val="st1"/>
    <w:uiPriority w:val="99"/>
    <w:rsid w:val="00E558D6"/>
    <w:rPr>
      <w:rFonts w:cs="Times New Roman"/>
    </w:rPr>
  </w:style>
  <w:style w:type="character" w:styleId="HTML">
    <w:name w:val="HTML Cite"/>
    <w:uiPriority w:val="99"/>
    <w:locked/>
    <w:rsid w:val="004F6518"/>
    <w:rPr>
      <w:rFonts w:cs="Times New Roman"/>
      <w:color w:val="006621"/>
    </w:rPr>
  </w:style>
  <w:style w:type="character" w:styleId="ad">
    <w:name w:val="Emphasis"/>
    <w:uiPriority w:val="99"/>
    <w:qFormat/>
    <w:locked/>
    <w:rsid w:val="001313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20743">
      <w:marLeft w:val="0"/>
      <w:marRight w:val="0"/>
      <w:marTop w:val="0"/>
      <w:marBottom w:val="0"/>
      <w:divBdr>
        <w:top w:val="none" w:sz="0" w:space="0" w:color="auto"/>
        <w:left w:val="none" w:sz="0" w:space="0" w:color="auto"/>
        <w:bottom w:val="none" w:sz="0" w:space="0" w:color="auto"/>
        <w:right w:val="none" w:sz="0" w:space="0" w:color="auto"/>
      </w:divBdr>
    </w:div>
    <w:div w:id="2015720744">
      <w:marLeft w:val="0"/>
      <w:marRight w:val="0"/>
      <w:marTop w:val="0"/>
      <w:marBottom w:val="0"/>
      <w:divBdr>
        <w:top w:val="none" w:sz="0" w:space="0" w:color="auto"/>
        <w:left w:val="none" w:sz="0" w:space="0" w:color="auto"/>
        <w:bottom w:val="none" w:sz="0" w:space="0" w:color="auto"/>
        <w:right w:val="none" w:sz="0" w:space="0" w:color="auto"/>
      </w:divBdr>
    </w:div>
    <w:div w:id="2015720745">
      <w:marLeft w:val="0"/>
      <w:marRight w:val="0"/>
      <w:marTop w:val="0"/>
      <w:marBottom w:val="0"/>
      <w:divBdr>
        <w:top w:val="none" w:sz="0" w:space="0" w:color="auto"/>
        <w:left w:val="none" w:sz="0" w:space="0" w:color="auto"/>
        <w:bottom w:val="none" w:sz="0" w:space="0" w:color="auto"/>
        <w:right w:val="none" w:sz="0" w:space="0" w:color="auto"/>
      </w:divBdr>
    </w:div>
    <w:div w:id="2015720747">
      <w:marLeft w:val="0"/>
      <w:marRight w:val="0"/>
      <w:marTop w:val="0"/>
      <w:marBottom w:val="0"/>
      <w:divBdr>
        <w:top w:val="none" w:sz="0" w:space="0" w:color="auto"/>
        <w:left w:val="none" w:sz="0" w:space="0" w:color="auto"/>
        <w:bottom w:val="none" w:sz="0" w:space="0" w:color="auto"/>
        <w:right w:val="none" w:sz="0" w:space="0" w:color="auto"/>
      </w:divBdr>
    </w:div>
    <w:div w:id="2015720749">
      <w:marLeft w:val="0"/>
      <w:marRight w:val="0"/>
      <w:marTop w:val="0"/>
      <w:marBottom w:val="0"/>
      <w:divBdr>
        <w:top w:val="none" w:sz="0" w:space="0" w:color="auto"/>
        <w:left w:val="none" w:sz="0" w:space="0" w:color="auto"/>
        <w:bottom w:val="none" w:sz="0" w:space="0" w:color="auto"/>
        <w:right w:val="none" w:sz="0" w:space="0" w:color="auto"/>
      </w:divBdr>
    </w:div>
    <w:div w:id="2015720750">
      <w:marLeft w:val="0"/>
      <w:marRight w:val="0"/>
      <w:marTop w:val="0"/>
      <w:marBottom w:val="0"/>
      <w:divBdr>
        <w:top w:val="none" w:sz="0" w:space="0" w:color="auto"/>
        <w:left w:val="none" w:sz="0" w:space="0" w:color="auto"/>
        <w:bottom w:val="none" w:sz="0" w:space="0" w:color="auto"/>
        <w:right w:val="none" w:sz="0" w:space="0" w:color="auto"/>
      </w:divBdr>
    </w:div>
    <w:div w:id="2015720751">
      <w:marLeft w:val="0"/>
      <w:marRight w:val="0"/>
      <w:marTop w:val="0"/>
      <w:marBottom w:val="0"/>
      <w:divBdr>
        <w:top w:val="none" w:sz="0" w:space="0" w:color="auto"/>
        <w:left w:val="none" w:sz="0" w:space="0" w:color="auto"/>
        <w:bottom w:val="none" w:sz="0" w:space="0" w:color="auto"/>
        <w:right w:val="none" w:sz="0" w:space="0" w:color="auto"/>
      </w:divBdr>
      <w:divsChild>
        <w:div w:id="2015720746">
          <w:marLeft w:val="0"/>
          <w:marRight w:val="0"/>
          <w:marTop w:val="0"/>
          <w:marBottom w:val="0"/>
          <w:divBdr>
            <w:top w:val="none" w:sz="0" w:space="0" w:color="auto"/>
            <w:left w:val="none" w:sz="0" w:space="0" w:color="auto"/>
            <w:bottom w:val="none" w:sz="0" w:space="0" w:color="auto"/>
            <w:right w:val="none" w:sz="0" w:space="0" w:color="auto"/>
          </w:divBdr>
          <w:divsChild>
            <w:div w:id="2015720748">
              <w:marLeft w:val="0"/>
              <w:marRight w:val="0"/>
              <w:marTop w:val="0"/>
              <w:marBottom w:val="0"/>
              <w:divBdr>
                <w:top w:val="none" w:sz="0" w:space="0" w:color="auto"/>
                <w:left w:val="none" w:sz="0" w:space="0" w:color="auto"/>
                <w:bottom w:val="none" w:sz="0" w:space="0" w:color="auto"/>
                <w:right w:val="none" w:sz="0" w:space="0" w:color="auto"/>
              </w:divBdr>
              <w:divsChild>
                <w:div w:id="20157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752">
      <w:marLeft w:val="0"/>
      <w:marRight w:val="0"/>
      <w:marTop w:val="0"/>
      <w:marBottom w:val="0"/>
      <w:divBdr>
        <w:top w:val="none" w:sz="0" w:space="0" w:color="auto"/>
        <w:left w:val="none" w:sz="0" w:space="0" w:color="auto"/>
        <w:bottom w:val="none" w:sz="0" w:space="0" w:color="auto"/>
        <w:right w:val="none" w:sz="0" w:space="0" w:color="auto"/>
      </w:divBdr>
    </w:div>
    <w:div w:id="2015720754">
      <w:marLeft w:val="0"/>
      <w:marRight w:val="0"/>
      <w:marTop w:val="0"/>
      <w:marBottom w:val="0"/>
      <w:divBdr>
        <w:top w:val="none" w:sz="0" w:space="0" w:color="auto"/>
        <w:left w:val="none" w:sz="0" w:space="0" w:color="auto"/>
        <w:bottom w:val="none" w:sz="0" w:space="0" w:color="auto"/>
        <w:right w:val="none" w:sz="0" w:space="0" w:color="auto"/>
      </w:divBdr>
    </w:div>
    <w:div w:id="2015720755">
      <w:marLeft w:val="0"/>
      <w:marRight w:val="0"/>
      <w:marTop w:val="0"/>
      <w:marBottom w:val="0"/>
      <w:divBdr>
        <w:top w:val="none" w:sz="0" w:space="0" w:color="auto"/>
        <w:left w:val="none" w:sz="0" w:space="0" w:color="auto"/>
        <w:bottom w:val="none" w:sz="0" w:space="0" w:color="auto"/>
        <w:right w:val="none" w:sz="0" w:space="0" w:color="auto"/>
      </w:divBdr>
    </w:div>
    <w:div w:id="2015720765">
      <w:marLeft w:val="0"/>
      <w:marRight w:val="0"/>
      <w:marTop w:val="0"/>
      <w:marBottom w:val="0"/>
      <w:divBdr>
        <w:top w:val="none" w:sz="0" w:space="0" w:color="auto"/>
        <w:left w:val="none" w:sz="0" w:space="0" w:color="auto"/>
        <w:bottom w:val="none" w:sz="0" w:space="0" w:color="auto"/>
        <w:right w:val="none" w:sz="0" w:space="0" w:color="auto"/>
      </w:divBdr>
      <w:divsChild>
        <w:div w:id="2015720756">
          <w:marLeft w:val="0"/>
          <w:marRight w:val="0"/>
          <w:marTop w:val="0"/>
          <w:marBottom w:val="0"/>
          <w:divBdr>
            <w:top w:val="none" w:sz="0" w:space="0" w:color="auto"/>
            <w:left w:val="none" w:sz="0" w:space="0" w:color="auto"/>
            <w:bottom w:val="none" w:sz="0" w:space="0" w:color="auto"/>
            <w:right w:val="none" w:sz="0" w:space="0" w:color="auto"/>
          </w:divBdr>
          <w:divsChild>
            <w:div w:id="2015720757">
              <w:marLeft w:val="0"/>
              <w:marRight w:val="0"/>
              <w:marTop w:val="0"/>
              <w:marBottom w:val="0"/>
              <w:divBdr>
                <w:top w:val="none" w:sz="0" w:space="0" w:color="auto"/>
                <w:left w:val="none" w:sz="0" w:space="0" w:color="auto"/>
                <w:bottom w:val="none" w:sz="0" w:space="0" w:color="auto"/>
                <w:right w:val="none" w:sz="0" w:space="0" w:color="auto"/>
              </w:divBdr>
            </w:div>
            <w:div w:id="2015720761">
              <w:marLeft w:val="0"/>
              <w:marRight w:val="0"/>
              <w:marTop w:val="0"/>
              <w:marBottom w:val="0"/>
              <w:divBdr>
                <w:top w:val="none" w:sz="0" w:space="0" w:color="auto"/>
                <w:left w:val="none" w:sz="0" w:space="0" w:color="auto"/>
                <w:bottom w:val="none" w:sz="0" w:space="0" w:color="auto"/>
                <w:right w:val="none" w:sz="0" w:space="0" w:color="auto"/>
              </w:divBdr>
            </w:div>
            <w:div w:id="2015720762">
              <w:marLeft w:val="0"/>
              <w:marRight w:val="0"/>
              <w:marTop w:val="0"/>
              <w:marBottom w:val="0"/>
              <w:divBdr>
                <w:top w:val="none" w:sz="0" w:space="0" w:color="auto"/>
                <w:left w:val="none" w:sz="0" w:space="0" w:color="auto"/>
                <w:bottom w:val="none" w:sz="0" w:space="0" w:color="auto"/>
                <w:right w:val="none" w:sz="0" w:space="0" w:color="auto"/>
              </w:divBdr>
            </w:div>
            <w:div w:id="2015720763">
              <w:marLeft w:val="0"/>
              <w:marRight w:val="0"/>
              <w:marTop w:val="0"/>
              <w:marBottom w:val="0"/>
              <w:divBdr>
                <w:top w:val="none" w:sz="0" w:space="0" w:color="auto"/>
                <w:left w:val="none" w:sz="0" w:space="0" w:color="auto"/>
                <w:bottom w:val="none" w:sz="0" w:space="0" w:color="auto"/>
                <w:right w:val="none" w:sz="0" w:space="0" w:color="auto"/>
              </w:divBdr>
            </w:div>
            <w:div w:id="2015720764">
              <w:marLeft w:val="0"/>
              <w:marRight w:val="0"/>
              <w:marTop w:val="0"/>
              <w:marBottom w:val="0"/>
              <w:divBdr>
                <w:top w:val="none" w:sz="0" w:space="0" w:color="auto"/>
                <w:left w:val="none" w:sz="0" w:space="0" w:color="auto"/>
                <w:bottom w:val="none" w:sz="0" w:space="0" w:color="auto"/>
                <w:right w:val="none" w:sz="0" w:space="0" w:color="auto"/>
              </w:divBdr>
            </w:div>
            <w:div w:id="2015720766">
              <w:marLeft w:val="0"/>
              <w:marRight w:val="0"/>
              <w:marTop w:val="0"/>
              <w:marBottom w:val="0"/>
              <w:divBdr>
                <w:top w:val="none" w:sz="0" w:space="0" w:color="auto"/>
                <w:left w:val="none" w:sz="0" w:space="0" w:color="auto"/>
                <w:bottom w:val="none" w:sz="0" w:space="0" w:color="auto"/>
                <w:right w:val="none" w:sz="0" w:space="0" w:color="auto"/>
              </w:divBdr>
            </w:div>
            <w:div w:id="2015720767">
              <w:marLeft w:val="0"/>
              <w:marRight w:val="0"/>
              <w:marTop w:val="0"/>
              <w:marBottom w:val="0"/>
              <w:divBdr>
                <w:top w:val="none" w:sz="0" w:space="0" w:color="auto"/>
                <w:left w:val="none" w:sz="0" w:space="0" w:color="auto"/>
                <w:bottom w:val="none" w:sz="0" w:space="0" w:color="auto"/>
                <w:right w:val="none" w:sz="0" w:space="0" w:color="auto"/>
              </w:divBdr>
            </w:div>
            <w:div w:id="2015720768">
              <w:marLeft w:val="0"/>
              <w:marRight w:val="0"/>
              <w:marTop w:val="0"/>
              <w:marBottom w:val="0"/>
              <w:divBdr>
                <w:top w:val="none" w:sz="0" w:space="0" w:color="auto"/>
                <w:left w:val="none" w:sz="0" w:space="0" w:color="auto"/>
                <w:bottom w:val="none" w:sz="0" w:space="0" w:color="auto"/>
                <w:right w:val="none" w:sz="0" w:space="0" w:color="auto"/>
              </w:divBdr>
            </w:div>
            <w:div w:id="2015720769">
              <w:marLeft w:val="0"/>
              <w:marRight w:val="0"/>
              <w:marTop w:val="0"/>
              <w:marBottom w:val="0"/>
              <w:divBdr>
                <w:top w:val="none" w:sz="0" w:space="0" w:color="auto"/>
                <w:left w:val="none" w:sz="0" w:space="0" w:color="auto"/>
                <w:bottom w:val="none" w:sz="0" w:space="0" w:color="auto"/>
                <w:right w:val="none" w:sz="0" w:space="0" w:color="auto"/>
              </w:divBdr>
            </w:div>
            <w:div w:id="2015720770">
              <w:marLeft w:val="0"/>
              <w:marRight w:val="0"/>
              <w:marTop w:val="0"/>
              <w:marBottom w:val="0"/>
              <w:divBdr>
                <w:top w:val="none" w:sz="0" w:space="0" w:color="auto"/>
                <w:left w:val="none" w:sz="0" w:space="0" w:color="auto"/>
                <w:bottom w:val="none" w:sz="0" w:space="0" w:color="auto"/>
                <w:right w:val="none" w:sz="0" w:space="0" w:color="auto"/>
              </w:divBdr>
            </w:div>
            <w:div w:id="2015720771">
              <w:marLeft w:val="0"/>
              <w:marRight w:val="0"/>
              <w:marTop w:val="0"/>
              <w:marBottom w:val="0"/>
              <w:divBdr>
                <w:top w:val="none" w:sz="0" w:space="0" w:color="auto"/>
                <w:left w:val="none" w:sz="0" w:space="0" w:color="auto"/>
                <w:bottom w:val="none" w:sz="0" w:space="0" w:color="auto"/>
                <w:right w:val="none" w:sz="0" w:space="0" w:color="auto"/>
              </w:divBdr>
            </w:div>
            <w:div w:id="2015720772">
              <w:marLeft w:val="0"/>
              <w:marRight w:val="0"/>
              <w:marTop w:val="0"/>
              <w:marBottom w:val="0"/>
              <w:divBdr>
                <w:top w:val="none" w:sz="0" w:space="0" w:color="auto"/>
                <w:left w:val="none" w:sz="0" w:space="0" w:color="auto"/>
                <w:bottom w:val="none" w:sz="0" w:space="0" w:color="auto"/>
                <w:right w:val="none" w:sz="0" w:space="0" w:color="auto"/>
              </w:divBdr>
            </w:div>
            <w:div w:id="2015720773">
              <w:marLeft w:val="0"/>
              <w:marRight w:val="0"/>
              <w:marTop w:val="0"/>
              <w:marBottom w:val="0"/>
              <w:divBdr>
                <w:top w:val="none" w:sz="0" w:space="0" w:color="auto"/>
                <w:left w:val="none" w:sz="0" w:space="0" w:color="auto"/>
                <w:bottom w:val="none" w:sz="0" w:space="0" w:color="auto"/>
                <w:right w:val="none" w:sz="0" w:space="0" w:color="auto"/>
              </w:divBdr>
            </w:div>
            <w:div w:id="2015720774">
              <w:marLeft w:val="0"/>
              <w:marRight w:val="0"/>
              <w:marTop w:val="0"/>
              <w:marBottom w:val="0"/>
              <w:divBdr>
                <w:top w:val="none" w:sz="0" w:space="0" w:color="auto"/>
                <w:left w:val="none" w:sz="0" w:space="0" w:color="auto"/>
                <w:bottom w:val="none" w:sz="0" w:space="0" w:color="auto"/>
                <w:right w:val="none" w:sz="0" w:space="0" w:color="auto"/>
              </w:divBdr>
            </w:div>
            <w:div w:id="2015720775">
              <w:marLeft w:val="0"/>
              <w:marRight w:val="0"/>
              <w:marTop w:val="0"/>
              <w:marBottom w:val="0"/>
              <w:divBdr>
                <w:top w:val="none" w:sz="0" w:space="0" w:color="auto"/>
                <w:left w:val="none" w:sz="0" w:space="0" w:color="auto"/>
                <w:bottom w:val="none" w:sz="0" w:space="0" w:color="auto"/>
                <w:right w:val="none" w:sz="0" w:space="0" w:color="auto"/>
              </w:divBdr>
            </w:div>
            <w:div w:id="2015720776">
              <w:marLeft w:val="0"/>
              <w:marRight w:val="0"/>
              <w:marTop w:val="0"/>
              <w:marBottom w:val="0"/>
              <w:divBdr>
                <w:top w:val="none" w:sz="0" w:space="0" w:color="auto"/>
                <w:left w:val="none" w:sz="0" w:space="0" w:color="auto"/>
                <w:bottom w:val="none" w:sz="0" w:space="0" w:color="auto"/>
                <w:right w:val="none" w:sz="0" w:space="0" w:color="auto"/>
              </w:divBdr>
            </w:div>
            <w:div w:id="2015720777">
              <w:marLeft w:val="0"/>
              <w:marRight w:val="0"/>
              <w:marTop w:val="0"/>
              <w:marBottom w:val="0"/>
              <w:divBdr>
                <w:top w:val="none" w:sz="0" w:space="0" w:color="auto"/>
                <w:left w:val="none" w:sz="0" w:space="0" w:color="auto"/>
                <w:bottom w:val="none" w:sz="0" w:space="0" w:color="auto"/>
                <w:right w:val="none" w:sz="0" w:space="0" w:color="auto"/>
              </w:divBdr>
            </w:div>
            <w:div w:id="2015720778">
              <w:marLeft w:val="0"/>
              <w:marRight w:val="0"/>
              <w:marTop w:val="0"/>
              <w:marBottom w:val="0"/>
              <w:divBdr>
                <w:top w:val="none" w:sz="0" w:space="0" w:color="auto"/>
                <w:left w:val="none" w:sz="0" w:space="0" w:color="auto"/>
                <w:bottom w:val="none" w:sz="0" w:space="0" w:color="auto"/>
                <w:right w:val="none" w:sz="0" w:space="0" w:color="auto"/>
              </w:divBdr>
            </w:div>
            <w:div w:id="2015720779">
              <w:marLeft w:val="0"/>
              <w:marRight w:val="0"/>
              <w:marTop w:val="0"/>
              <w:marBottom w:val="0"/>
              <w:divBdr>
                <w:top w:val="none" w:sz="0" w:space="0" w:color="auto"/>
                <w:left w:val="none" w:sz="0" w:space="0" w:color="auto"/>
                <w:bottom w:val="none" w:sz="0" w:space="0" w:color="auto"/>
                <w:right w:val="none" w:sz="0" w:space="0" w:color="auto"/>
              </w:divBdr>
            </w:div>
            <w:div w:id="2015720780">
              <w:marLeft w:val="0"/>
              <w:marRight w:val="0"/>
              <w:marTop w:val="0"/>
              <w:marBottom w:val="0"/>
              <w:divBdr>
                <w:top w:val="none" w:sz="0" w:space="0" w:color="auto"/>
                <w:left w:val="none" w:sz="0" w:space="0" w:color="auto"/>
                <w:bottom w:val="none" w:sz="0" w:space="0" w:color="auto"/>
                <w:right w:val="none" w:sz="0" w:space="0" w:color="auto"/>
              </w:divBdr>
            </w:div>
            <w:div w:id="2015720781">
              <w:marLeft w:val="0"/>
              <w:marRight w:val="0"/>
              <w:marTop w:val="0"/>
              <w:marBottom w:val="0"/>
              <w:divBdr>
                <w:top w:val="none" w:sz="0" w:space="0" w:color="auto"/>
                <w:left w:val="none" w:sz="0" w:space="0" w:color="auto"/>
                <w:bottom w:val="none" w:sz="0" w:space="0" w:color="auto"/>
                <w:right w:val="none" w:sz="0" w:space="0" w:color="auto"/>
              </w:divBdr>
            </w:div>
            <w:div w:id="2015720782">
              <w:marLeft w:val="0"/>
              <w:marRight w:val="0"/>
              <w:marTop w:val="0"/>
              <w:marBottom w:val="0"/>
              <w:divBdr>
                <w:top w:val="none" w:sz="0" w:space="0" w:color="auto"/>
                <w:left w:val="none" w:sz="0" w:space="0" w:color="auto"/>
                <w:bottom w:val="none" w:sz="0" w:space="0" w:color="auto"/>
                <w:right w:val="none" w:sz="0" w:space="0" w:color="auto"/>
              </w:divBdr>
            </w:div>
            <w:div w:id="2015720783">
              <w:marLeft w:val="0"/>
              <w:marRight w:val="0"/>
              <w:marTop w:val="0"/>
              <w:marBottom w:val="0"/>
              <w:divBdr>
                <w:top w:val="none" w:sz="0" w:space="0" w:color="auto"/>
                <w:left w:val="none" w:sz="0" w:space="0" w:color="auto"/>
                <w:bottom w:val="none" w:sz="0" w:space="0" w:color="auto"/>
                <w:right w:val="none" w:sz="0" w:space="0" w:color="auto"/>
              </w:divBdr>
            </w:div>
            <w:div w:id="2015720784">
              <w:marLeft w:val="0"/>
              <w:marRight w:val="0"/>
              <w:marTop w:val="0"/>
              <w:marBottom w:val="0"/>
              <w:divBdr>
                <w:top w:val="none" w:sz="0" w:space="0" w:color="auto"/>
                <w:left w:val="none" w:sz="0" w:space="0" w:color="auto"/>
                <w:bottom w:val="none" w:sz="0" w:space="0" w:color="auto"/>
                <w:right w:val="none" w:sz="0" w:space="0" w:color="auto"/>
              </w:divBdr>
            </w:div>
            <w:div w:id="2015720785">
              <w:marLeft w:val="0"/>
              <w:marRight w:val="0"/>
              <w:marTop w:val="0"/>
              <w:marBottom w:val="0"/>
              <w:divBdr>
                <w:top w:val="none" w:sz="0" w:space="0" w:color="auto"/>
                <w:left w:val="none" w:sz="0" w:space="0" w:color="auto"/>
                <w:bottom w:val="none" w:sz="0" w:space="0" w:color="auto"/>
                <w:right w:val="none" w:sz="0" w:space="0" w:color="auto"/>
              </w:divBdr>
            </w:div>
            <w:div w:id="2015720786">
              <w:marLeft w:val="0"/>
              <w:marRight w:val="0"/>
              <w:marTop w:val="0"/>
              <w:marBottom w:val="0"/>
              <w:divBdr>
                <w:top w:val="none" w:sz="0" w:space="0" w:color="auto"/>
                <w:left w:val="none" w:sz="0" w:space="0" w:color="auto"/>
                <w:bottom w:val="none" w:sz="0" w:space="0" w:color="auto"/>
                <w:right w:val="none" w:sz="0" w:space="0" w:color="auto"/>
              </w:divBdr>
            </w:div>
            <w:div w:id="2015720787">
              <w:marLeft w:val="0"/>
              <w:marRight w:val="0"/>
              <w:marTop w:val="0"/>
              <w:marBottom w:val="0"/>
              <w:divBdr>
                <w:top w:val="none" w:sz="0" w:space="0" w:color="auto"/>
                <w:left w:val="none" w:sz="0" w:space="0" w:color="auto"/>
                <w:bottom w:val="none" w:sz="0" w:space="0" w:color="auto"/>
                <w:right w:val="none" w:sz="0" w:space="0" w:color="auto"/>
              </w:divBdr>
            </w:div>
            <w:div w:id="2015720789">
              <w:marLeft w:val="0"/>
              <w:marRight w:val="0"/>
              <w:marTop w:val="0"/>
              <w:marBottom w:val="0"/>
              <w:divBdr>
                <w:top w:val="none" w:sz="0" w:space="0" w:color="auto"/>
                <w:left w:val="none" w:sz="0" w:space="0" w:color="auto"/>
                <w:bottom w:val="none" w:sz="0" w:space="0" w:color="auto"/>
                <w:right w:val="none" w:sz="0" w:space="0" w:color="auto"/>
              </w:divBdr>
            </w:div>
            <w:div w:id="2015720791">
              <w:marLeft w:val="0"/>
              <w:marRight w:val="0"/>
              <w:marTop w:val="0"/>
              <w:marBottom w:val="0"/>
              <w:divBdr>
                <w:top w:val="none" w:sz="0" w:space="0" w:color="auto"/>
                <w:left w:val="none" w:sz="0" w:space="0" w:color="auto"/>
                <w:bottom w:val="none" w:sz="0" w:space="0" w:color="auto"/>
                <w:right w:val="none" w:sz="0" w:space="0" w:color="auto"/>
              </w:divBdr>
            </w:div>
            <w:div w:id="2015720793">
              <w:marLeft w:val="0"/>
              <w:marRight w:val="0"/>
              <w:marTop w:val="0"/>
              <w:marBottom w:val="0"/>
              <w:divBdr>
                <w:top w:val="none" w:sz="0" w:space="0" w:color="auto"/>
                <w:left w:val="none" w:sz="0" w:space="0" w:color="auto"/>
                <w:bottom w:val="none" w:sz="0" w:space="0" w:color="auto"/>
                <w:right w:val="none" w:sz="0" w:space="0" w:color="auto"/>
              </w:divBdr>
            </w:div>
            <w:div w:id="2015720794">
              <w:marLeft w:val="0"/>
              <w:marRight w:val="0"/>
              <w:marTop w:val="0"/>
              <w:marBottom w:val="0"/>
              <w:divBdr>
                <w:top w:val="none" w:sz="0" w:space="0" w:color="auto"/>
                <w:left w:val="none" w:sz="0" w:space="0" w:color="auto"/>
                <w:bottom w:val="none" w:sz="0" w:space="0" w:color="auto"/>
                <w:right w:val="none" w:sz="0" w:space="0" w:color="auto"/>
              </w:divBdr>
            </w:div>
            <w:div w:id="2015720796">
              <w:marLeft w:val="0"/>
              <w:marRight w:val="0"/>
              <w:marTop w:val="0"/>
              <w:marBottom w:val="0"/>
              <w:divBdr>
                <w:top w:val="none" w:sz="0" w:space="0" w:color="auto"/>
                <w:left w:val="none" w:sz="0" w:space="0" w:color="auto"/>
                <w:bottom w:val="none" w:sz="0" w:space="0" w:color="auto"/>
                <w:right w:val="none" w:sz="0" w:space="0" w:color="auto"/>
              </w:divBdr>
            </w:div>
            <w:div w:id="2015720797">
              <w:marLeft w:val="0"/>
              <w:marRight w:val="0"/>
              <w:marTop w:val="0"/>
              <w:marBottom w:val="0"/>
              <w:divBdr>
                <w:top w:val="none" w:sz="0" w:space="0" w:color="auto"/>
                <w:left w:val="none" w:sz="0" w:space="0" w:color="auto"/>
                <w:bottom w:val="none" w:sz="0" w:space="0" w:color="auto"/>
                <w:right w:val="none" w:sz="0" w:space="0" w:color="auto"/>
              </w:divBdr>
            </w:div>
            <w:div w:id="2015720798">
              <w:marLeft w:val="0"/>
              <w:marRight w:val="0"/>
              <w:marTop w:val="0"/>
              <w:marBottom w:val="0"/>
              <w:divBdr>
                <w:top w:val="none" w:sz="0" w:space="0" w:color="auto"/>
                <w:left w:val="none" w:sz="0" w:space="0" w:color="auto"/>
                <w:bottom w:val="none" w:sz="0" w:space="0" w:color="auto"/>
                <w:right w:val="none" w:sz="0" w:space="0" w:color="auto"/>
              </w:divBdr>
            </w:div>
            <w:div w:id="2015720799">
              <w:marLeft w:val="0"/>
              <w:marRight w:val="0"/>
              <w:marTop w:val="0"/>
              <w:marBottom w:val="0"/>
              <w:divBdr>
                <w:top w:val="none" w:sz="0" w:space="0" w:color="auto"/>
                <w:left w:val="none" w:sz="0" w:space="0" w:color="auto"/>
                <w:bottom w:val="none" w:sz="0" w:space="0" w:color="auto"/>
                <w:right w:val="none" w:sz="0" w:space="0" w:color="auto"/>
              </w:divBdr>
            </w:div>
            <w:div w:id="2015720801">
              <w:marLeft w:val="0"/>
              <w:marRight w:val="0"/>
              <w:marTop w:val="0"/>
              <w:marBottom w:val="0"/>
              <w:divBdr>
                <w:top w:val="none" w:sz="0" w:space="0" w:color="auto"/>
                <w:left w:val="none" w:sz="0" w:space="0" w:color="auto"/>
                <w:bottom w:val="none" w:sz="0" w:space="0" w:color="auto"/>
                <w:right w:val="none" w:sz="0" w:space="0" w:color="auto"/>
              </w:divBdr>
            </w:div>
            <w:div w:id="20157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788">
      <w:marLeft w:val="0"/>
      <w:marRight w:val="0"/>
      <w:marTop w:val="0"/>
      <w:marBottom w:val="0"/>
      <w:divBdr>
        <w:top w:val="none" w:sz="0" w:space="0" w:color="auto"/>
        <w:left w:val="none" w:sz="0" w:space="0" w:color="auto"/>
        <w:bottom w:val="none" w:sz="0" w:space="0" w:color="auto"/>
        <w:right w:val="none" w:sz="0" w:space="0" w:color="auto"/>
      </w:divBdr>
    </w:div>
    <w:div w:id="2015720800">
      <w:marLeft w:val="0"/>
      <w:marRight w:val="0"/>
      <w:marTop w:val="0"/>
      <w:marBottom w:val="0"/>
      <w:divBdr>
        <w:top w:val="none" w:sz="0" w:space="0" w:color="auto"/>
        <w:left w:val="none" w:sz="0" w:space="0" w:color="auto"/>
        <w:bottom w:val="none" w:sz="0" w:space="0" w:color="auto"/>
        <w:right w:val="none" w:sz="0" w:space="0" w:color="auto"/>
      </w:divBdr>
      <w:divsChild>
        <w:div w:id="2015720803">
          <w:marLeft w:val="0"/>
          <w:marRight w:val="0"/>
          <w:marTop w:val="0"/>
          <w:marBottom w:val="0"/>
          <w:divBdr>
            <w:top w:val="none" w:sz="0" w:space="0" w:color="auto"/>
            <w:left w:val="none" w:sz="0" w:space="0" w:color="auto"/>
            <w:bottom w:val="none" w:sz="0" w:space="0" w:color="auto"/>
            <w:right w:val="none" w:sz="0" w:space="0" w:color="auto"/>
          </w:divBdr>
          <w:divsChild>
            <w:div w:id="2015720758">
              <w:marLeft w:val="0"/>
              <w:marRight w:val="0"/>
              <w:marTop w:val="0"/>
              <w:marBottom w:val="0"/>
              <w:divBdr>
                <w:top w:val="none" w:sz="0" w:space="0" w:color="auto"/>
                <w:left w:val="none" w:sz="0" w:space="0" w:color="auto"/>
                <w:bottom w:val="none" w:sz="0" w:space="0" w:color="auto"/>
                <w:right w:val="none" w:sz="0" w:space="0" w:color="auto"/>
              </w:divBdr>
              <w:divsChild>
                <w:div w:id="2015720804">
                  <w:marLeft w:val="0"/>
                  <w:marRight w:val="0"/>
                  <w:marTop w:val="0"/>
                  <w:marBottom w:val="0"/>
                  <w:divBdr>
                    <w:top w:val="none" w:sz="0" w:space="0" w:color="auto"/>
                    <w:left w:val="none" w:sz="0" w:space="0" w:color="auto"/>
                    <w:bottom w:val="none" w:sz="0" w:space="0" w:color="auto"/>
                    <w:right w:val="none" w:sz="0" w:space="0" w:color="auto"/>
                  </w:divBdr>
                  <w:divsChild>
                    <w:div w:id="2015720790">
                      <w:marLeft w:val="0"/>
                      <w:marRight w:val="0"/>
                      <w:marTop w:val="0"/>
                      <w:marBottom w:val="0"/>
                      <w:divBdr>
                        <w:top w:val="none" w:sz="0" w:space="0" w:color="auto"/>
                        <w:left w:val="none" w:sz="0" w:space="0" w:color="auto"/>
                        <w:bottom w:val="none" w:sz="0" w:space="0" w:color="auto"/>
                        <w:right w:val="none" w:sz="0" w:space="0" w:color="auto"/>
                      </w:divBdr>
                      <w:divsChild>
                        <w:div w:id="2015720759">
                          <w:marLeft w:val="0"/>
                          <w:marRight w:val="0"/>
                          <w:marTop w:val="0"/>
                          <w:marBottom w:val="0"/>
                          <w:divBdr>
                            <w:top w:val="none" w:sz="0" w:space="0" w:color="auto"/>
                            <w:left w:val="none" w:sz="0" w:space="0" w:color="auto"/>
                            <w:bottom w:val="none" w:sz="0" w:space="0" w:color="auto"/>
                            <w:right w:val="none" w:sz="0" w:space="0" w:color="auto"/>
                          </w:divBdr>
                        </w:div>
                        <w:div w:id="2015720792">
                          <w:marLeft w:val="0"/>
                          <w:marRight w:val="0"/>
                          <w:marTop w:val="0"/>
                          <w:marBottom w:val="0"/>
                          <w:divBdr>
                            <w:top w:val="none" w:sz="0" w:space="0" w:color="auto"/>
                            <w:left w:val="none" w:sz="0" w:space="0" w:color="auto"/>
                            <w:bottom w:val="none" w:sz="0" w:space="0" w:color="auto"/>
                            <w:right w:val="none" w:sz="0" w:space="0" w:color="auto"/>
                          </w:divBdr>
                          <w:divsChild>
                            <w:div w:id="2015720795">
                              <w:marLeft w:val="0"/>
                              <w:marRight w:val="0"/>
                              <w:marTop w:val="0"/>
                              <w:marBottom w:val="25"/>
                              <w:divBdr>
                                <w:top w:val="none" w:sz="0" w:space="0" w:color="auto"/>
                                <w:left w:val="none" w:sz="0" w:space="0" w:color="auto"/>
                                <w:bottom w:val="none" w:sz="0" w:space="0" w:color="auto"/>
                                <w:right w:val="none" w:sz="0" w:space="0" w:color="auto"/>
                              </w:divBdr>
                              <w:divsChild>
                                <w:div w:id="2015720760">
                                  <w:marLeft w:val="38"/>
                                  <w:marRight w:val="38"/>
                                  <w:marTop w:val="0"/>
                                  <w:marBottom w:val="0"/>
                                  <w:divBdr>
                                    <w:top w:val="none" w:sz="0" w:space="0" w:color="auto"/>
                                    <w:left w:val="none" w:sz="0" w:space="0" w:color="auto"/>
                                    <w:bottom w:val="none" w:sz="0" w:space="0" w:color="auto"/>
                                    <w:right w:val="none" w:sz="0" w:space="0" w:color="auto"/>
                                  </w:divBdr>
                                  <w:divsChild>
                                    <w:div w:id="2015720805">
                                      <w:marLeft w:val="0"/>
                                      <w:marRight w:val="0"/>
                                      <w:marTop w:val="0"/>
                                      <w:marBottom w:val="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y36j@is.icc.u-tokai.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91.213.30.151/url?q=http://www.gideononline.com/&amp;sa=U&amp;ei=dK3QU9fEJIab1AXDtoHoCw&amp;ved=0CD0QFjAK&amp;usg=AFQjCNGWDt7xAFrkjMvZSBsOZhja-jT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5210</Words>
  <Characters>29699</Characters>
  <Application>Microsoft Office Word</Application>
  <DocSecurity>0</DocSecurity>
  <Lines>247</Lines>
  <Paragraphs>69</Paragraphs>
  <ScaleCrop>false</ScaleCrop>
  <Company>Hewlett-Packard</Company>
  <LinksUpToDate>false</LinksUpToDate>
  <CharactersWithSpaces>34840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LS Ma</cp:lastModifiedBy>
  <cp:revision>2</cp:revision>
  <cp:lastPrinted>2014-05-16T07:37:00Z</cp:lastPrinted>
  <dcterms:created xsi:type="dcterms:W3CDTF">2014-08-27T21:28:00Z</dcterms:created>
  <dcterms:modified xsi:type="dcterms:W3CDTF">2014-08-27T21:28:00Z</dcterms:modified>
</cp:coreProperties>
</file>