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7B" w:rsidRPr="00324BBD" w:rsidRDefault="0052727B" w:rsidP="008759E1">
      <w:pPr>
        <w:snapToGrid w:val="0"/>
        <w:spacing w:line="360" w:lineRule="auto"/>
        <w:jc w:val="both"/>
        <w:rPr>
          <w:rFonts w:ascii="Book Antiqua" w:hAnsi="Book Antiqua" w:cs="Tahoma"/>
          <w:b/>
          <w:color w:val="0000FF"/>
          <w:sz w:val="24"/>
          <w:szCs w:val="24"/>
        </w:rPr>
      </w:pPr>
      <w:r w:rsidRPr="00324BBD">
        <w:rPr>
          <w:rFonts w:ascii="Book Antiqua" w:hAnsi="Book Antiqua" w:cs="Tahoma"/>
          <w:b/>
          <w:color w:val="0000FF"/>
          <w:sz w:val="24"/>
          <w:szCs w:val="24"/>
        </w:rPr>
        <w:t xml:space="preserve">Name of journal: </w:t>
      </w:r>
      <w:r w:rsidRPr="00324BBD">
        <w:rPr>
          <w:rFonts w:ascii="Book Antiqua" w:hAnsi="Book Antiqua" w:cs="Tahoma"/>
          <w:i/>
          <w:sz w:val="24"/>
          <w:szCs w:val="24"/>
        </w:rPr>
        <w:t>World Journal of Gastroenterology</w:t>
      </w:r>
    </w:p>
    <w:p w:rsidR="0052727B" w:rsidRPr="00324BBD" w:rsidRDefault="0052727B" w:rsidP="008759E1">
      <w:pPr>
        <w:snapToGrid w:val="0"/>
        <w:spacing w:line="360" w:lineRule="auto"/>
        <w:jc w:val="both"/>
        <w:rPr>
          <w:rFonts w:ascii="Book Antiqua" w:hAnsi="Book Antiqua" w:cs="Tahoma"/>
          <w:b/>
          <w:sz w:val="24"/>
          <w:szCs w:val="24"/>
          <w:lang w:eastAsia="zh-CN"/>
        </w:rPr>
      </w:pPr>
      <w:r w:rsidRPr="00324BBD">
        <w:rPr>
          <w:rFonts w:ascii="Book Antiqua" w:hAnsi="Book Antiqua" w:cs="Tahoma"/>
          <w:b/>
          <w:color w:val="0000FF"/>
          <w:sz w:val="24"/>
          <w:szCs w:val="24"/>
        </w:rPr>
        <w:t xml:space="preserve">ESPS Manuscript NO: </w:t>
      </w:r>
      <w:r w:rsidRPr="00324BBD">
        <w:rPr>
          <w:rFonts w:ascii="Book Antiqua" w:hAnsi="Book Antiqua" w:cs="Tahoma"/>
          <w:b/>
          <w:sz w:val="24"/>
          <w:szCs w:val="24"/>
        </w:rPr>
        <w:t>11456</w:t>
      </w:r>
    </w:p>
    <w:p w:rsidR="006F7379" w:rsidRPr="00324BBD" w:rsidRDefault="006F7379" w:rsidP="008759E1">
      <w:pPr>
        <w:suppressAutoHyphens/>
        <w:autoSpaceDE w:val="0"/>
        <w:autoSpaceDN w:val="0"/>
        <w:adjustRightInd w:val="0"/>
        <w:snapToGrid w:val="0"/>
        <w:spacing w:line="360" w:lineRule="auto"/>
        <w:rPr>
          <w:rFonts w:ascii="Book Antiqua" w:hAnsi="Book Antiqua" w:cs="Tahoma"/>
          <w:b/>
          <w:color w:val="0000FF"/>
          <w:sz w:val="24"/>
          <w:szCs w:val="24"/>
          <w:lang w:eastAsia="zh-CN"/>
        </w:rPr>
      </w:pPr>
      <w:r w:rsidRPr="00324BBD">
        <w:rPr>
          <w:rFonts w:ascii="Book Antiqua" w:hAnsi="Book Antiqua" w:cs="Tahoma"/>
          <w:b/>
          <w:color w:val="0000FF"/>
          <w:sz w:val="24"/>
          <w:szCs w:val="24"/>
        </w:rPr>
        <w:t xml:space="preserve">Columns: </w:t>
      </w:r>
      <w:r w:rsidR="00C33202" w:rsidRPr="00324BBD">
        <w:rPr>
          <w:rFonts w:ascii="Book Antiqua" w:hAnsi="Book Antiqua" w:cs="Tahoma"/>
          <w:b/>
          <w:color w:val="000000" w:themeColor="text1"/>
          <w:sz w:val="24"/>
          <w:szCs w:val="24"/>
          <w:lang w:eastAsia="zh-CN"/>
        </w:rPr>
        <w:t>MINI</w:t>
      </w:r>
      <w:r w:rsidRPr="00324BBD">
        <w:rPr>
          <w:rFonts w:ascii="Book Antiqua" w:hAnsi="Book Antiqua" w:cs="Tahoma"/>
          <w:b/>
          <w:color w:val="000000" w:themeColor="text1"/>
          <w:sz w:val="24"/>
          <w:szCs w:val="24"/>
          <w:lang w:eastAsia="zh-CN"/>
        </w:rPr>
        <w:t>REVIEW</w:t>
      </w:r>
      <w:r w:rsidR="00714F71">
        <w:rPr>
          <w:rFonts w:ascii="Book Antiqua" w:hAnsi="Book Antiqua" w:cs="Tahoma" w:hint="eastAsia"/>
          <w:b/>
          <w:color w:val="000000" w:themeColor="text1"/>
          <w:sz w:val="24"/>
          <w:szCs w:val="24"/>
          <w:lang w:eastAsia="zh-CN"/>
        </w:rPr>
        <w:t>S</w:t>
      </w:r>
    </w:p>
    <w:p w:rsidR="00316140" w:rsidRPr="00324BBD" w:rsidRDefault="00316140" w:rsidP="008759E1">
      <w:pPr>
        <w:snapToGrid w:val="0"/>
        <w:spacing w:line="360" w:lineRule="auto"/>
        <w:jc w:val="both"/>
        <w:rPr>
          <w:rFonts w:ascii="Book Antiqua" w:hAnsi="Book Antiqua" w:cs="Tahoma"/>
          <w:b/>
          <w:sz w:val="24"/>
          <w:szCs w:val="24"/>
          <w:lang w:eastAsia="zh-CN"/>
        </w:rPr>
      </w:pPr>
    </w:p>
    <w:p w:rsidR="00316140" w:rsidRPr="00324BBD" w:rsidRDefault="00316140" w:rsidP="008759E1">
      <w:pPr>
        <w:snapToGrid w:val="0"/>
        <w:spacing w:line="360" w:lineRule="auto"/>
        <w:jc w:val="both"/>
        <w:rPr>
          <w:rFonts w:ascii="Book Antiqua" w:hAnsi="Book Antiqua" w:cs="Tahoma"/>
          <w:b/>
          <w:sz w:val="24"/>
          <w:szCs w:val="24"/>
        </w:rPr>
      </w:pPr>
      <w:r w:rsidRPr="00324BBD">
        <w:rPr>
          <w:rFonts w:ascii="Book Antiqua" w:hAnsi="Book Antiqua" w:cs="Tahoma"/>
          <w:b/>
          <w:sz w:val="24"/>
          <w:szCs w:val="24"/>
        </w:rPr>
        <w:t xml:space="preserve">Ribavirin </w:t>
      </w:r>
      <w:r w:rsidR="006F7379" w:rsidRPr="00324BBD">
        <w:rPr>
          <w:rFonts w:ascii="Book Antiqua" w:hAnsi="Book Antiqua" w:cs="Tahoma"/>
          <w:b/>
          <w:sz w:val="24"/>
          <w:szCs w:val="24"/>
        </w:rPr>
        <w:t>induced hemolysis</w:t>
      </w:r>
      <w:r w:rsidRPr="00324BBD">
        <w:rPr>
          <w:rFonts w:ascii="Book Antiqua" w:hAnsi="Book Antiqua" w:cs="Tahoma"/>
          <w:b/>
          <w:sz w:val="24"/>
          <w:szCs w:val="24"/>
        </w:rPr>
        <w:t xml:space="preserve">: A </w:t>
      </w:r>
      <w:r w:rsidR="006F7379" w:rsidRPr="00324BBD">
        <w:rPr>
          <w:rFonts w:ascii="Book Antiqua" w:hAnsi="Book Antiqua" w:cs="Tahoma"/>
          <w:b/>
          <w:sz w:val="24"/>
          <w:szCs w:val="24"/>
        </w:rPr>
        <w:t xml:space="preserve">novel mechanism of action against chronic </w:t>
      </w:r>
      <w:r w:rsidR="008759E1" w:rsidRPr="00324BBD">
        <w:rPr>
          <w:rFonts w:ascii="Book Antiqua" w:hAnsi="Book Antiqua"/>
          <w:b/>
          <w:sz w:val="24"/>
          <w:szCs w:val="24"/>
        </w:rPr>
        <w:t xml:space="preserve">hepatitis C virus </w:t>
      </w:r>
      <w:r w:rsidR="006F7379" w:rsidRPr="00324BBD">
        <w:rPr>
          <w:rFonts w:ascii="Book Antiqua" w:hAnsi="Book Antiqua" w:cs="Tahoma"/>
          <w:b/>
          <w:sz w:val="24"/>
          <w:szCs w:val="24"/>
        </w:rPr>
        <w:t>i</w:t>
      </w:r>
      <w:r w:rsidRPr="00324BBD">
        <w:rPr>
          <w:rFonts w:ascii="Book Antiqua" w:hAnsi="Book Antiqua" w:cs="Tahoma"/>
          <w:b/>
          <w:sz w:val="24"/>
          <w:szCs w:val="24"/>
        </w:rPr>
        <w:t>nfection</w:t>
      </w:r>
    </w:p>
    <w:p w:rsidR="00316140" w:rsidRPr="00324BBD" w:rsidRDefault="00316140" w:rsidP="008759E1">
      <w:pPr>
        <w:snapToGrid w:val="0"/>
        <w:spacing w:line="360" w:lineRule="auto"/>
        <w:jc w:val="both"/>
        <w:rPr>
          <w:rFonts w:ascii="Book Antiqua" w:hAnsi="Book Antiqua" w:cs="Tahoma"/>
          <w:b/>
          <w:sz w:val="24"/>
          <w:szCs w:val="24"/>
        </w:rPr>
      </w:pPr>
    </w:p>
    <w:p w:rsidR="00316140" w:rsidRPr="00324BBD" w:rsidRDefault="00316140" w:rsidP="008759E1">
      <w:pPr>
        <w:snapToGrid w:val="0"/>
        <w:spacing w:line="360" w:lineRule="auto"/>
        <w:jc w:val="both"/>
        <w:rPr>
          <w:rFonts w:ascii="Book Antiqua" w:hAnsi="Book Antiqua" w:cs="Tahoma"/>
          <w:sz w:val="24"/>
          <w:szCs w:val="24"/>
        </w:rPr>
      </w:pPr>
      <w:r w:rsidRPr="00324BBD">
        <w:rPr>
          <w:rFonts w:ascii="Book Antiqua" w:hAnsi="Book Antiqua" w:cs="Tahoma"/>
          <w:sz w:val="24"/>
          <w:szCs w:val="24"/>
        </w:rPr>
        <w:t xml:space="preserve">Soota K </w:t>
      </w:r>
      <w:r w:rsidRPr="00324BBD">
        <w:rPr>
          <w:rFonts w:ascii="Book Antiqua" w:hAnsi="Book Antiqua" w:cs="Tahoma"/>
          <w:i/>
          <w:sz w:val="24"/>
          <w:szCs w:val="24"/>
        </w:rPr>
        <w:t>et al</w:t>
      </w:r>
      <w:r w:rsidRPr="00324BBD">
        <w:rPr>
          <w:rFonts w:ascii="Book Antiqua" w:hAnsi="Book Antiqua" w:cs="Tahoma"/>
          <w:sz w:val="24"/>
          <w:szCs w:val="24"/>
        </w:rPr>
        <w:t xml:space="preserve">. Ribavirin </w:t>
      </w:r>
      <w:r w:rsidR="006F7379" w:rsidRPr="00324BBD">
        <w:rPr>
          <w:rFonts w:ascii="Book Antiqua" w:hAnsi="Book Antiqua" w:cs="Tahoma"/>
          <w:sz w:val="24"/>
          <w:szCs w:val="24"/>
        </w:rPr>
        <w:t xml:space="preserve">induced hemolysis in chronic </w:t>
      </w:r>
      <w:r w:rsidRPr="00324BBD">
        <w:rPr>
          <w:rFonts w:ascii="Book Antiqua" w:hAnsi="Book Antiqua" w:cs="Tahoma"/>
          <w:sz w:val="24"/>
          <w:szCs w:val="24"/>
        </w:rPr>
        <w:t>HCV</w:t>
      </w:r>
    </w:p>
    <w:p w:rsidR="00316140" w:rsidRPr="00324BBD" w:rsidRDefault="00316140" w:rsidP="008759E1">
      <w:pPr>
        <w:snapToGrid w:val="0"/>
        <w:spacing w:line="360" w:lineRule="auto"/>
        <w:jc w:val="both"/>
        <w:rPr>
          <w:rFonts w:ascii="Book Antiqua" w:hAnsi="Book Antiqua" w:cs="Tahoma"/>
          <w:b/>
          <w:sz w:val="24"/>
          <w:szCs w:val="24"/>
        </w:rPr>
      </w:pPr>
    </w:p>
    <w:p w:rsidR="00316140" w:rsidRPr="00324BBD" w:rsidRDefault="00316140" w:rsidP="008759E1">
      <w:pPr>
        <w:snapToGrid w:val="0"/>
        <w:spacing w:line="360" w:lineRule="auto"/>
        <w:jc w:val="both"/>
        <w:rPr>
          <w:rFonts w:ascii="Book Antiqua" w:hAnsi="Book Antiqua" w:cs="Tahoma"/>
          <w:sz w:val="24"/>
          <w:szCs w:val="24"/>
        </w:rPr>
      </w:pPr>
      <w:r w:rsidRPr="00324BBD">
        <w:rPr>
          <w:rFonts w:ascii="Book Antiqua" w:hAnsi="Book Antiqua" w:cs="Tahoma"/>
          <w:sz w:val="24"/>
          <w:szCs w:val="24"/>
        </w:rPr>
        <w:t>Kaartik Soota, Benedict Maliakkal</w:t>
      </w:r>
    </w:p>
    <w:p w:rsidR="00F92193" w:rsidRPr="00324BBD" w:rsidRDefault="00353F5B" w:rsidP="008759E1">
      <w:pPr>
        <w:snapToGrid w:val="0"/>
        <w:spacing w:line="360" w:lineRule="auto"/>
        <w:jc w:val="both"/>
        <w:rPr>
          <w:rFonts w:ascii="Book Antiqua" w:hAnsi="Book Antiqua"/>
          <w:sz w:val="24"/>
          <w:szCs w:val="24"/>
        </w:rPr>
      </w:pPr>
      <w:r>
        <w:rPr>
          <w:rFonts w:ascii="Book Antiqua" w:hAnsi="Book Antiqua"/>
          <w:noProof/>
          <w:sz w:val="24"/>
          <w:szCs w:val="24"/>
          <w:lang w:eastAsia="zh-CN"/>
        </w:rPr>
        <mc:AlternateContent>
          <mc:Choice Requires="wps">
            <w:drawing>
              <wp:anchor distT="4294967294" distB="4294967294" distL="114300" distR="114300" simplePos="0" relativeHeight="251663360" behindDoc="0" locked="0" layoutInCell="1" allowOverlap="1">
                <wp:simplePos x="0" y="0"/>
                <wp:positionH relativeFrom="column">
                  <wp:posOffset>0</wp:posOffset>
                </wp:positionH>
                <wp:positionV relativeFrom="paragraph">
                  <wp:posOffset>198119</wp:posOffset>
                </wp:positionV>
                <wp:extent cx="6057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5.6pt" to="47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" strokecolor="gray" strokeweight="3pt"/>
            </w:pict>
          </mc:Fallback>
        </mc:AlternateContent>
      </w:r>
    </w:p>
    <w:p w:rsidR="00F92193" w:rsidRPr="00324BBD" w:rsidRDefault="00F92193" w:rsidP="008759E1">
      <w:pPr>
        <w:snapToGrid w:val="0"/>
        <w:spacing w:line="360" w:lineRule="auto"/>
        <w:jc w:val="both"/>
        <w:rPr>
          <w:rFonts w:ascii="Book Antiqua" w:hAnsi="Book Antiqua"/>
          <w:sz w:val="24"/>
          <w:szCs w:val="24"/>
          <w:lang w:eastAsia="zh-CN"/>
        </w:rPr>
      </w:pPr>
      <w:r w:rsidRPr="00324BBD">
        <w:rPr>
          <w:rFonts w:ascii="Book Antiqua" w:hAnsi="Book Antiqua"/>
          <w:b/>
          <w:sz w:val="24"/>
          <w:szCs w:val="24"/>
        </w:rPr>
        <w:t xml:space="preserve">Kaartik Soota, </w:t>
      </w:r>
      <w:r w:rsidRPr="00324BBD">
        <w:rPr>
          <w:rFonts w:ascii="Book Antiqua" w:hAnsi="Book Antiqua"/>
          <w:sz w:val="24"/>
          <w:szCs w:val="24"/>
        </w:rPr>
        <w:t>Department of Internal Medicine, Unity Health System, Rochest</w:t>
      </w:r>
      <w:r w:rsidR="006F7379" w:rsidRPr="00324BBD">
        <w:rPr>
          <w:rFonts w:ascii="Book Antiqua" w:hAnsi="Book Antiqua"/>
          <w:sz w:val="24"/>
          <w:szCs w:val="24"/>
        </w:rPr>
        <w:t xml:space="preserve">er, NY 14626, United States </w:t>
      </w:r>
    </w:p>
    <w:p w:rsidR="006F7379" w:rsidRPr="00324BBD" w:rsidRDefault="006F7379" w:rsidP="008759E1">
      <w:pPr>
        <w:snapToGrid w:val="0"/>
        <w:spacing w:line="360" w:lineRule="auto"/>
        <w:jc w:val="both"/>
        <w:rPr>
          <w:rFonts w:ascii="Book Antiqua" w:hAnsi="Book Antiqua"/>
          <w:b/>
          <w:sz w:val="24"/>
          <w:szCs w:val="24"/>
          <w:lang w:eastAsia="zh-CN"/>
        </w:rPr>
      </w:pPr>
    </w:p>
    <w:p w:rsidR="00F92193" w:rsidRPr="00324BBD" w:rsidRDefault="00F92193" w:rsidP="008759E1">
      <w:pPr>
        <w:snapToGrid w:val="0"/>
        <w:spacing w:line="360" w:lineRule="auto"/>
        <w:jc w:val="both"/>
        <w:rPr>
          <w:rFonts w:ascii="Book Antiqua" w:hAnsi="Book Antiqua"/>
          <w:sz w:val="24"/>
          <w:szCs w:val="24"/>
          <w:lang w:eastAsia="zh-CN"/>
        </w:rPr>
      </w:pPr>
      <w:r w:rsidRPr="00324BBD">
        <w:rPr>
          <w:rFonts w:ascii="Book Antiqua" w:hAnsi="Book Antiqua"/>
          <w:b/>
          <w:sz w:val="24"/>
          <w:szCs w:val="24"/>
        </w:rPr>
        <w:t xml:space="preserve">Benedict Maliakkal, </w:t>
      </w:r>
      <w:r w:rsidRPr="00324BBD">
        <w:rPr>
          <w:rFonts w:ascii="Book Antiqua" w:hAnsi="Book Antiqua"/>
          <w:sz w:val="24"/>
          <w:szCs w:val="24"/>
        </w:rPr>
        <w:t xml:space="preserve">Department of Gastroenterology and Hepatology, </w:t>
      </w:r>
      <w:r w:rsidR="00931B2D" w:rsidRPr="00324BBD">
        <w:rPr>
          <w:rFonts w:ascii="Book Antiqua" w:hAnsi="Book Antiqua"/>
          <w:sz w:val="24"/>
          <w:szCs w:val="24"/>
        </w:rPr>
        <w:t>University of Rochester Medical Center</w:t>
      </w:r>
      <w:r w:rsidR="00931B2D" w:rsidRPr="00324BBD">
        <w:rPr>
          <w:rFonts w:ascii="Book Antiqua" w:hAnsi="Book Antiqua"/>
          <w:sz w:val="24"/>
          <w:szCs w:val="24"/>
          <w:lang w:eastAsia="zh-CN"/>
        </w:rPr>
        <w:t xml:space="preserve">, </w:t>
      </w:r>
      <w:r w:rsidRPr="00324BBD">
        <w:rPr>
          <w:rFonts w:ascii="Book Antiqua" w:hAnsi="Book Antiqua"/>
          <w:sz w:val="24"/>
          <w:szCs w:val="24"/>
        </w:rPr>
        <w:t>Rochester, NY 14642, United States</w:t>
      </w:r>
      <w:r w:rsidR="00967670" w:rsidRPr="00324BBD">
        <w:rPr>
          <w:rFonts w:ascii="Book Antiqua" w:hAnsi="Book Antiqua"/>
          <w:sz w:val="24"/>
          <w:szCs w:val="24"/>
        </w:rPr>
        <w:t xml:space="preserve"> </w:t>
      </w:r>
    </w:p>
    <w:p w:rsidR="006F7379" w:rsidRPr="00324BBD" w:rsidRDefault="006F7379" w:rsidP="008759E1">
      <w:pPr>
        <w:snapToGrid w:val="0"/>
        <w:spacing w:line="360" w:lineRule="auto"/>
        <w:jc w:val="both"/>
        <w:rPr>
          <w:rFonts w:ascii="Book Antiqua" w:hAnsi="Book Antiqua"/>
          <w:b/>
          <w:sz w:val="24"/>
          <w:szCs w:val="24"/>
          <w:lang w:eastAsia="zh-CN"/>
        </w:rPr>
      </w:pPr>
    </w:p>
    <w:p w:rsidR="00F92193" w:rsidRPr="00324BBD" w:rsidRDefault="00F92193" w:rsidP="008759E1">
      <w:pPr>
        <w:snapToGrid w:val="0"/>
        <w:spacing w:line="360" w:lineRule="auto"/>
        <w:jc w:val="both"/>
        <w:rPr>
          <w:rFonts w:ascii="Book Antiqua" w:hAnsi="Book Antiqua" w:cs="Tahoma"/>
          <w:spacing w:val="-5"/>
          <w:sz w:val="24"/>
          <w:szCs w:val="24"/>
        </w:rPr>
      </w:pPr>
      <w:r w:rsidRPr="00324BBD">
        <w:rPr>
          <w:rFonts w:ascii="Book Antiqua" w:hAnsi="Book Antiqua"/>
          <w:b/>
          <w:sz w:val="24"/>
          <w:szCs w:val="24"/>
        </w:rPr>
        <w:t xml:space="preserve">Author contributions: </w:t>
      </w:r>
      <w:r w:rsidRPr="00324BBD">
        <w:rPr>
          <w:rFonts w:ascii="Book Antiqua" w:hAnsi="Book Antiqua"/>
          <w:sz w:val="24"/>
          <w:szCs w:val="24"/>
        </w:rPr>
        <w:t>Soota</w:t>
      </w:r>
      <w:r w:rsidR="00967670" w:rsidRPr="00324BBD">
        <w:rPr>
          <w:rFonts w:ascii="Book Antiqua" w:hAnsi="Book Antiqua"/>
          <w:sz w:val="24"/>
          <w:szCs w:val="24"/>
        </w:rPr>
        <w:t xml:space="preserve"> </w:t>
      </w:r>
      <w:r w:rsidRPr="00324BBD">
        <w:rPr>
          <w:rFonts w:ascii="Book Antiqua" w:hAnsi="Book Antiqua"/>
          <w:sz w:val="24"/>
          <w:szCs w:val="24"/>
        </w:rPr>
        <w:t xml:space="preserve">K and Maliakkal B </w:t>
      </w:r>
      <w:r w:rsidRPr="00324BBD">
        <w:rPr>
          <w:rFonts w:ascii="Book Antiqua" w:hAnsi="Book Antiqua" w:cs="Tahoma"/>
          <w:spacing w:val="-5"/>
          <w:sz w:val="24"/>
          <w:szCs w:val="24"/>
        </w:rPr>
        <w:t>solely contributed to this paper.</w:t>
      </w:r>
    </w:p>
    <w:p w:rsidR="00F92193" w:rsidRPr="00324BBD" w:rsidRDefault="00F92193" w:rsidP="008759E1">
      <w:pPr>
        <w:snapToGrid w:val="0"/>
        <w:spacing w:line="360" w:lineRule="auto"/>
        <w:jc w:val="both"/>
        <w:rPr>
          <w:rFonts w:ascii="Book Antiqua" w:hAnsi="Book Antiqua" w:cs="Tahoma"/>
          <w:spacing w:val="-5"/>
          <w:sz w:val="24"/>
          <w:szCs w:val="24"/>
        </w:rPr>
      </w:pPr>
    </w:p>
    <w:p w:rsidR="00F92193" w:rsidRPr="00324BBD" w:rsidRDefault="00F92193" w:rsidP="008759E1">
      <w:pPr>
        <w:snapToGrid w:val="0"/>
        <w:spacing w:line="360" w:lineRule="auto"/>
        <w:jc w:val="both"/>
        <w:rPr>
          <w:rFonts w:ascii="Book Antiqua" w:hAnsi="Book Antiqua"/>
          <w:sz w:val="24"/>
          <w:szCs w:val="24"/>
          <w:lang w:eastAsia="zh-CN"/>
        </w:rPr>
      </w:pPr>
      <w:r w:rsidRPr="00324BBD">
        <w:rPr>
          <w:rFonts w:ascii="Book Antiqua" w:hAnsi="Book Antiqua"/>
          <w:b/>
          <w:sz w:val="24"/>
          <w:szCs w:val="24"/>
        </w:rPr>
        <w:t xml:space="preserve">Correspondence to: Benedict Maliakkal, MD, </w:t>
      </w:r>
      <w:r w:rsidRPr="00324BBD">
        <w:rPr>
          <w:rFonts w:ascii="Book Antiqua" w:hAnsi="Book Antiqua"/>
          <w:sz w:val="24"/>
          <w:szCs w:val="24"/>
        </w:rPr>
        <w:t xml:space="preserve">Department of Gastroenterology and Hepatology, University of Rochester Medical Center, 601 Elmwood Avenue, Rochester, NY 14642, United States. </w:t>
      </w:r>
      <w:hyperlink r:id="rId8" w:history="1">
        <w:r w:rsidR="006F7379" w:rsidRPr="00324BBD">
          <w:rPr>
            <w:rStyle w:val="a9"/>
            <w:rFonts w:ascii="Book Antiqua" w:hAnsi="Book Antiqua"/>
            <w:sz w:val="24"/>
            <w:szCs w:val="24"/>
            <w:u w:val="none"/>
          </w:rPr>
          <w:t>benedict_maliakkal@urmc.rochester.edu</w:t>
        </w:r>
      </w:hyperlink>
    </w:p>
    <w:p w:rsidR="006F7379" w:rsidRPr="00324BBD" w:rsidRDefault="006F7379" w:rsidP="008759E1">
      <w:pPr>
        <w:snapToGrid w:val="0"/>
        <w:spacing w:line="360" w:lineRule="auto"/>
        <w:jc w:val="both"/>
        <w:rPr>
          <w:rFonts w:ascii="Book Antiqua" w:hAnsi="Book Antiqua"/>
          <w:sz w:val="24"/>
          <w:szCs w:val="24"/>
          <w:lang w:eastAsia="zh-CN"/>
        </w:rPr>
      </w:pPr>
    </w:p>
    <w:p w:rsidR="00F92193" w:rsidRPr="00324BBD" w:rsidRDefault="00F92193" w:rsidP="008759E1">
      <w:pPr>
        <w:snapToGrid w:val="0"/>
        <w:spacing w:line="360" w:lineRule="auto"/>
        <w:jc w:val="both"/>
        <w:rPr>
          <w:rFonts w:ascii="Book Antiqua" w:hAnsi="Book Antiqua"/>
          <w:sz w:val="24"/>
          <w:szCs w:val="24"/>
        </w:rPr>
      </w:pPr>
      <w:r w:rsidRPr="00324BBD">
        <w:rPr>
          <w:rFonts w:ascii="Book Antiqua" w:hAnsi="Book Antiqua"/>
          <w:b/>
          <w:sz w:val="24"/>
          <w:szCs w:val="24"/>
        </w:rPr>
        <w:t>Telephone:</w:t>
      </w:r>
      <w:r w:rsidR="006F7379" w:rsidRPr="00324BBD">
        <w:rPr>
          <w:rFonts w:ascii="Book Antiqua" w:hAnsi="Book Antiqua"/>
          <w:sz w:val="24"/>
          <w:szCs w:val="24"/>
        </w:rPr>
        <w:t xml:space="preserve"> +1-585-275</w:t>
      </w:r>
      <w:r w:rsidRPr="00324BBD">
        <w:rPr>
          <w:rFonts w:ascii="Book Antiqua" w:hAnsi="Book Antiqua"/>
          <w:sz w:val="24"/>
          <w:szCs w:val="24"/>
        </w:rPr>
        <w:t>4711</w:t>
      </w:r>
      <w:r w:rsidR="00931B2D" w:rsidRPr="00324BBD">
        <w:rPr>
          <w:rFonts w:ascii="Book Antiqua" w:hAnsi="Book Antiqua"/>
          <w:sz w:val="24"/>
          <w:szCs w:val="24"/>
          <w:lang w:eastAsia="zh-CN"/>
        </w:rPr>
        <w:t xml:space="preserve">     </w:t>
      </w:r>
      <w:r w:rsidR="00967670" w:rsidRPr="00324BBD">
        <w:rPr>
          <w:rFonts w:ascii="Book Antiqua" w:hAnsi="Book Antiqua"/>
          <w:b/>
          <w:sz w:val="24"/>
          <w:szCs w:val="24"/>
        </w:rPr>
        <w:t>Fax</w:t>
      </w:r>
      <w:r w:rsidRPr="00324BBD">
        <w:rPr>
          <w:rFonts w:ascii="Book Antiqua" w:hAnsi="Book Antiqua"/>
          <w:b/>
          <w:sz w:val="24"/>
          <w:szCs w:val="24"/>
        </w:rPr>
        <w:t>:</w:t>
      </w:r>
      <w:r w:rsidR="006F7379" w:rsidRPr="00324BBD">
        <w:rPr>
          <w:rFonts w:ascii="Book Antiqua" w:hAnsi="Book Antiqua"/>
          <w:sz w:val="24"/>
          <w:szCs w:val="24"/>
        </w:rPr>
        <w:t xml:space="preserve"> +1-585-276</w:t>
      </w:r>
      <w:r w:rsidRPr="00324BBD">
        <w:rPr>
          <w:rFonts w:ascii="Book Antiqua" w:hAnsi="Book Antiqua"/>
          <w:sz w:val="24"/>
          <w:szCs w:val="24"/>
        </w:rPr>
        <w:t>1285</w:t>
      </w:r>
    </w:p>
    <w:p w:rsidR="00F92193" w:rsidRPr="00324BBD" w:rsidRDefault="00F92193" w:rsidP="008759E1">
      <w:pPr>
        <w:snapToGrid w:val="0"/>
        <w:spacing w:line="360" w:lineRule="auto"/>
        <w:jc w:val="both"/>
        <w:rPr>
          <w:rFonts w:ascii="Book Antiqua" w:hAnsi="Book Antiqua"/>
          <w:sz w:val="24"/>
          <w:szCs w:val="24"/>
          <w:lang w:eastAsia="zh-CN"/>
        </w:rPr>
      </w:pPr>
      <w:r w:rsidRPr="00324BBD">
        <w:rPr>
          <w:rFonts w:ascii="Book Antiqua" w:hAnsi="Book Antiqua"/>
          <w:b/>
          <w:sz w:val="24"/>
          <w:szCs w:val="24"/>
        </w:rPr>
        <w:t xml:space="preserve">Received: </w:t>
      </w:r>
      <w:r w:rsidR="008759E1" w:rsidRPr="00324BBD">
        <w:rPr>
          <w:rFonts w:ascii="Book Antiqua" w:hAnsi="Book Antiqua"/>
          <w:sz w:val="24"/>
          <w:szCs w:val="24"/>
          <w:lang w:eastAsia="zh-CN"/>
        </w:rPr>
        <w:t>May 22, 2014</w:t>
      </w:r>
      <w:r w:rsidR="008759E1" w:rsidRPr="00324BBD">
        <w:rPr>
          <w:rFonts w:ascii="Book Antiqua" w:hAnsi="Book Antiqua"/>
          <w:b/>
          <w:sz w:val="24"/>
          <w:szCs w:val="24"/>
          <w:lang w:eastAsia="zh-CN"/>
        </w:rPr>
        <w:t xml:space="preserve">         </w:t>
      </w:r>
      <w:r w:rsidRPr="00324BBD">
        <w:rPr>
          <w:rFonts w:ascii="Book Antiqua" w:hAnsi="Book Antiqua"/>
          <w:b/>
          <w:sz w:val="24"/>
          <w:szCs w:val="24"/>
        </w:rPr>
        <w:t xml:space="preserve">  </w:t>
      </w:r>
      <w:r w:rsidR="008759E1" w:rsidRPr="00324BBD">
        <w:rPr>
          <w:rFonts w:ascii="Book Antiqua" w:hAnsi="Book Antiqua"/>
          <w:b/>
          <w:sz w:val="24"/>
          <w:szCs w:val="24"/>
        </w:rPr>
        <w:t>Revised:</w:t>
      </w:r>
      <w:r w:rsidR="008759E1" w:rsidRPr="00324BBD">
        <w:rPr>
          <w:rFonts w:ascii="Book Antiqua" w:hAnsi="Book Antiqua"/>
          <w:sz w:val="24"/>
          <w:szCs w:val="24"/>
        </w:rPr>
        <w:t xml:space="preserve"> </w:t>
      </w:r>
      <w:r w:rsidR="008759E1" w:rsidRPr="00324BBD">
        <w:rPr>
          <w:rFonts w:ascii="Book Antiqua" w:hAnsi="Book Antiqua"/>
          <w:sz w:val="24"/>
          <w:szCs w:val="24"/>
          <w:lang w:eastAsia="zh-CN"/>
        </w:rPr>
        <w:t>July 11, 2014</w:t>
      </w:r>
    </w:p>
    <w:p w:rsidR="00EB5194" w:rsidRDefault="00F92193" w:rsidP="00EB5194">
      <w:pPr>
        <w:rPr>
          <w:rFonts w:ascii="Book Antiqua" w:hAnsi="Book Antiqua"/>
          <w:color w:val="000000"/>
          <w:sz w:val="24"/>
        </w:rPr>
      </w:pPr>
      <w:r w:rsidRPr="00324BBD">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r w:rsidR="00EB5194">
        <w:rPr>
          <w:rFonts w:ascii="Book Antiqua" w:hAnsi="Book Antiqua"/>
          <w:color w:val="000000"/>
          <w:sz w:val="24"/>
        </w:rPr>
        <w:t>July 24, 2014</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8759E1" w:rsidRPr="00324BBD" w:rsidRDefault="00F92193" w:rsidP="008759E1">
      <w:pPr>
        <w:snapToGrid w:val="0"/>
        <w:spacing w:line="360" w:lineRule="auto"/>
        <w:jc w:val="both"/>
        <w:rPr>
          <w:rFonts w:ascii="Book Antiqua" w:hAnsi="Book Antiqua"/>
          <w:b/>
          <w:sz w:val="24"/>
          <w:szCs w:val="24"/>
          <w:lang w:eastAsia="zh-CN"/>
        </w:rPr>
      </w:pPr>
      <w:r w:rsidRPr="00324BBD">
        <w:rPr>
          <w:rFonts w:ascii="Book Antiqua" w:hAnsi="Book Antiqua"/>
          <w:b/>
          <w:sz w:val="24"/>
          <w:szCs w:val="24"/>
        </w:rPr>
        <w:t xml:space="preserve"> </w:t>
      </w:r>
    </w:p>
    <w:p w:rsidR="00F92193" w:rsidRPr="00324BBD" w:rsidRDefault="00F92193" w:rsidP="008759E1">
      <w:pPr>
        <w:snapToGrid w:val="0"/>
        <w:spacing w:line="360" w:lineRule="auto"/>
        <w:jc w:val="both"/>
        <w:rPr>
          <w:rFonts w:ascii="Book Antiqua" w:hAnsi="Book Antiqua"/>
          <w:b/>
          <w:sz w:val="24"/>
          <w:szCs w:val="24"/>
        </w:rPr>
      </w:pPr>
      <w:r w:rsidRPr="00324BBD">
        <w:rPr>
          <w:rFonts w:ascii="Book Antiqua" w:hAnsi="Book Antiqua"/>
          <w:b/>
          <w:sz w:val="24"/>
          <w:szCs w:val="24"/>
        </w:rPr>
        <w:t>Published online:</w:t>
      </w:r>
    </w:p>
    <w:p w:rsidR="00F92193" w:rsidRPr="00324BBD" w:rsidRDefault="00F92193" w:rsidP="008759E1">
      <w:pPr>
        <w:snapToGrid w:val="0"/>
        <w:spacing w:line="360" w:lineRule="auto"/>
        <w:jc w:val="both"/>
        <w:rPr>
          <w:rFonts w:ascii="Book Antiqua" w:hAnsi="Book Antiqua"/>
          <w:sz w:val="24"/>
          <w:szCs w:val="24"/>
        </w:rPr>
      </w:pPr>
    </w:p>
    <w:p w:rsidR="00F92193" w:rsidRPr="00324BBD" w:rsidRDefault="00F92193" w:rsidP="008759E1">
      <w:pPr>
        <w:snapToGrid w:val="0"/>
        <w:spacing w:line="360" w:lineRule="auto"/>
        <w:jc w:val="both"/>
        <w:rPr>
          <w:rFonts w:ascii="Book Antiqua" w:hAnsi="Book Antiqua"/>
          <w:sz w:val="24"/>
          <w:szCs w:val="24"/>
          <w:lang w:eastAsia="zh-CN"/>
        </w:rPr>
      </w:pPr>
    </w:p>
    <w:p w:rsidR="00F92193" w:rsidRPr="00324BBD" w:rsidRDefault="00F92193" w:rsidP="008759E1">
      <w:pPr>
        <w:snapToGrid w:val="0"/>
        <w:spacing w:line="360" w:lineRule="auto"/>
        <w:jc w:val="both"/>
        <w:rPr>
          <w:rFonts w:ascii="Book Antiqua" w:hAnsi="Book Antiqua"/>
          <w:b/>
          <w:sz w:val="24"/>
          <w:szCs w:val="24"/>
          <w:lang w:eastAsia="zh-CN"/>
        </w:rPr>
      </w:pPr>
      <w:r w:rsidRPr="00324BBD">
        <w:rPr>
          <w:rFonts w:ascii="Book Antiqua" w:hAnsi="Book Antiqua"/>
          <w:b/>
          <w:sz w:val="24"/>
          <w:szCs w:val="24"/>
        </w:rPr>
        <w:t>Abstract</w:t>
      </w:r>
    </w:p>
    <w:p w:rsidR="00F92193" w:rsidRPr="00324BBD" w:rsidRDefault="00F92193" w:rsidP="008759E1">
      <w:pPr>
        <w:snapToGrid w:val="0"/>
        <w:spacing w:line="360" w:lineRule="auto"/>
        <w:jc w:val="both"/>
        <w:rPr>
          <w:rFonts w:ascii="Book Antiqua" w:hAnsi="Book Antiqua"/>
          <w:sz w:val="24"/>
          <w:szCs w:val="24"/>
        </w:rPr>
      </w:pPr>
      <w:r w:rsidRPr="00324BBD">
        <w:rPr>
          <w:rFonts w:ascii="Book Antiqua" w:hAnsi="Book Antiqua"/>
          <w:sz w:val="24"/>
          <w:szCs w:val="24"/>
        </w:rPr>
        <w:t xml:space="preserve">Hepatitis C </w:t>
      </w:r>
      <w:r w:rsidR="00967670" w:rsidRPr="00324BBD">
        <w:rPr>
          <w:rFonts w:ascii="Book Antiqua" w:hAnsi="Book Antiqua"/>
          <w:sz w:val="24"/>
          <w:szCs w:val="24"/>
        </w:rPr>
        <w:t>v</w:t>
      </w:r>
      <w:r w:rsidRPr="00324BBD">
        <w:rPr>
          <w:rFonts w:ascii="Book Antiqua" w:hAnsi="Book Antiqua"/>
          <w:sz w:val="24"/>
          <w:szCs w:val="24"/>
        </w:rPr>
        <w:t xml:space="preserve">irus (HCV) is </w:t>
      </w:r>
      <w:r w:rsidR="00967670" w:rsidRPr="00324BBD">
        <w:rPr>
          <w:rFonts w:ascii="Book Antiqua" w:hAnsi="Book Antiqua"/>
          <w:sz w:val="24"/>
          <w:szCs w:val="24"/>
        </w:rPr>
        <w:t xml:space="preserve">not </w:t>
      </w:r>
      <w:r w:rsidRPr="00324BBD">
        <w:rPr>
          <w:rFonts w:ascii="Book Antiqua" w:hAnsi="Book Antiqua"/>
          <w:sz w:val="24"/>
          <w:szCs w:val="24"/>
        </w:rPr>
        <w:t>usually cleared by our immune system</w:t>
      </w:r>
      <w:r w:rsidR="00967670" w:rsidRPr="00324BBD">
        <w:rPr>
          <w:rFonts w:ascii="Book Antiqua" w:hAnsi="Book Antiqua"/>
          <w:sz w:val="24"/>
          <w:szCs w:val="24"/>
        </w:rPr>
        <w:t>,</w:t>
      </w:r>
      <w:r w:rsidRPr="00324BBD">
        <w:rPr>
          <w:rFonts w:ascii="Book Antiqua" w:hAnsi="Book Antiqua"/>
          <w:sz w:val="24"/>
          <w:szCs w:val="24"/>
        </w:rPr>
        <w:t xml:space="preserve"> leading to </w:t>
      </w:r>
      <w:r w:rsidR="00967670" w:rsidRPr="00324BBD">
        <w:rPr>
          <w:rFonts w:ascii="Book Antiqua" w:hAnsi="Book Antiqua"/>
          <w:sz w:val="24"/>
          <w:szCs w:val="24"/>
        </w:rPr>
        <w:t xml:space="preserve">the </w:t>
      </w:r>
      <w:r w:rsidRPr="00324BBD">
        <w:rPr>
          <w:rFonts w:ascii="Book Antiqua" w:hAnsi="Book Antiqua"/>
          <w:sz w:val="24"/>
          <w:szCs w:val="24"/>
        </w:rPr>
        <w:t xml:space="preserve">development of chronic hepatitis C infection. </w:t>
      </w:r>
      <w:r w:rsidR="00967670" w:rsidRPr="00324BBD">
        <w:rPr>
          <w:rFonts w:ascii="Book Antiqua" w:hAnsi="Book Antiqua"/>
          <w:sz w:val="24"/>
          <w:szCs w:val="24"/>
        </w:rPr>
        <w:t xml:space="preserve">Chronic HCV </w:t>
      </w:r>
      <w:r w:rsidRPr="00324BBD">
        <w:rPr>
          <w:rFonts w:ascii="Book Antiqua" w:hAnsi="Book Antiqua"/>
          <w:sz w:val="24"/>
          <w:szCs w:val="24"/>
        </w:rPr>
        <w:t xml:space="preserve">induces the production of various cytokines, predominantly by </w:t>
      </w:r>
      <w:r w:rsidR="00967670" w:rsidRPr="00324BBD">
        <w:rPr>
          <w:rFonts w:ascii="Book Antiqua" w:hAnsi="Book Antiqua"/>
          <w:sz w:val="24"/>
          <w:szCs w:val="24"/>
        </w:rPr>
        <w:t>Kupffer</w:t>
      </w:r>
      <w:r w:rsidRPr="00324BBD">
        <w:rPr>
          <w:rFonts w:ascii="Book Antiqua" w:hAnsi="Book Antiqua"/>
          <w:sz w:val="24"/>
          <w:szCs w:val="24"/>
        </w:rPr>
        <w:t xml:space="preserve"> cells (KCs), and creates a pro-inflammatory state in the liver. </w:t>
      </w:r>
      <w:r w:rsidR="002137C7" w:rsidRPr="00324BBD">
        <w:rPr>
          <w:rFonts w:ascii="Book Antiqua" w:hAnsi="Book Antiqua"/>
          <w:sz w:val="24"/>
          <w:szCs w:val="24"/>
        </w:rPr>
        <w:t>The c</w:t>
      </w:r>
      <w:r w:rsidRPr="00324BBD">
        <w:rPr>
          <w:rFonts w:ascii="Book Antiqua" w:hAnsi="Book Antiqua"/>
          <w:sz w:val="24"/>
          <w:szCs w:val="24"/>
        </w:rPr>
        <w:t>hronic dysregulated</w:t>
      </w:r>
      <w:r w:rsidR="002137C7" w:rsidRPr="00324BBD">
        <w:rPr>
          <w:rFonts w:ascii="Book Antiqua" w:hAnsi="Book Antiqua"/>
          <w:sz w:val="24"/>
          <w:szCs w:val="24"/>
        </w:rPr>
        <w:t xml:space="preserve"> production of</w:t>
      </w:r>
      <w:r w:rsidRPr="00324BBD">
        <w:rPr>
          <w:rFonts w:ascii="Book Antiqua" w:hAnsi="Book Antiqua"/>
          <w:sz w:val="24"/>
          <w:szCs w:val="24"/>
        </w:rPr>
        <w:t xml:space="preserve"> interferon (IFN) and other cytokine</w:t>
      </w:r>
      <w:r w:rsidR="00967670" w:rsidRPr="00324BBD">
        <w:rPr>
          <w:rFonts w:ascii="Book Antiqua" w:hAnsi="Book Antiqua"/>
          <w:sz w:val="24"/>
          <w:szCs w:val="24"/>
        </w:rPr>
        <w:t>s</w:t>
      </w:r>
      <w:r w:rsidRPr="00324BBD">
        <w:rPr>
          <w:rFonts w:ascii="Book Antiqua" w:hAnsi="Book Antiqua"/>
          <w:sz w:val="24"/>
          <w:szCs w:val="24"/>
        </w:rPr>
        <w:t xml:space="preserve"> by KCs promote innate immune tolerance. </w:t>
      </w:r>
      <w:r w:rsidR="00967670" w:rsidRPr="00324BBD">
        <w:rPr>
          <w:rFonts w:ascii="Book Antiqua" w:hAnsi="Book Antiqua"/>
          <w:sz w:val="24"/>
          <w:szCs w:val="24"/>
        </w:rPr>
        <w:t>A c</w:t>
      </w:r>
      <w:r w:rsidRPr="00324BBD">
        <w:rPr>
          <w:rFonts w:ascii="Book Antiqua" w:hAnsi="Book Antiqua"/>
          <w:sz w:val="24"/>
          <w:szCs w:val="24"/>
        </w:rPr>
        <w:t xml:space="preserve">ombination therapy </w:t>
      </w:r>
      <w:r w:rsidR="00967670" w:rsidRPr="00324BBD">
        <w:rPr>
          <w:rFonts w:ascii="Book Antiqua" w:hAnsi="Book Antiqua"/>
          <w:sz w:val="24"/>
          <w:szCs w:val="24"/>
        </w:rPr>
        <w:t xml:space="preserve">using </w:t>
      </w:r>
      <w:r w:rsidRPr="00324BBD">
        <w:rPr>
          <w:rFonts w:ascii="Book Antiqua" w:hAnsi="Book Antiqua"/>
          <w:sz w:val="24"/>
          <w:szCs w:val="24"/>
        </w:rPr>
        <w:t>ribavirin (RBV) and IFN-</w:t>
      </w:r>
      <w:r w:rsidR="00D57181" w:rsidRPr="00324BBD">
        <w:rPr>
          <w:rFonts w:ascii="Book Antiqua" w:hAnsi="Book Antiqua"/>
          <w:sz w:val="24"/>
          <w:szCs w:val="24"/>
          <w:lang w:eastAsia="zh-CN"/>
        </w:rPr>
        <w:t>γ</w:t>
      </w:r>
      <w:r w:rsidRPr="00324BBD">
        <w:rPr>
          <w:rFonts w:ascii="Book Antiqua" w:hAnsi="Book Antiqua"/>
          <w:sz w:val="24"/>
          <w:szCs w:val="24"/>
        </w:rPr>
        <w:t xml:space="preserve"> decreases inflammation only in patients who respond to </w:t>
      </w:r>
      <w:r w:rsidR="00967670" w:rsidRPr="00324BBD">
        <w:rPr>
          <w:rFonts w:ascii="Book Antiqua" w:hAnsi="Book Antiqua"/>
          <w:sz w:val="24"/>
          <w:szCs w:val="24"/>
        </w:rPr>
        <w:t xml:space="preserve">this </w:t>
      </w:r>
      <w:r w:rsidRPr="00324BBD">
        <w:rPr>
          <w:rFonts w:ascii="Book Antiqua" w:hAnsi="Book Antiqua"/>
          <w:sz w:val="24"/>
          <w:szCs w:val="24"/>
        </w:rPr>
        <w:t>treatment</w:t>
      </w:r>
      <w:r w:rsidR="00491C7D" w:rsidRPr="00324BBD">
        <w:rPr>
          <w:rFonts w:ascii="Book Antiqua" w:hAnsi="Book Antiqua"/>
          <w:sz w:val="24"/>
          <w:szCs w:val="24"/>
        </w:rPr>
        <w:t>.</w:t>
      </w:r>
      <w:r w:rsidR="0017203D" w:rsidRPr="00324BBD">
        <w:rPr>
          <w:rFonts w:ascii="Book Antiqua" w:hAnsi="Book Antiqua"/>
          <w:sz w:val="24"/>
          <w:szCs w:val="24"/>
        </w:rPr>
        <w:t xml:space="preserve"> </w:t>
      </w:r>
      <w:r w:rsidRPr="00324BBD">
        <w:rPr>
          <w:rFonts w:ascii="Book Antiqua" w:hAnsi="Book Antiqua"/>
          <w:sz w:val="24"/>
          <w:szCs w:val="24"/>
        </w:rPr>
        <w:t>Sustained virologic</w:t>
      </w:r>
      <w:r w:rsidR="00CD1799" w:rsidRPr="00324BBD">
        <w:rPr>
          <w:rFonts w:ascii="Book Antiqua" w:hAnsi="Book Antiqua"/>
          <w:sz w:val="24"/>
          <w:szCs w:val="24"/>
        </w:rPr>
        <w:t>al</w:t>
      </w:r>
      <w:r w:rsidRPr="00324BBD">
        <w:rPr>
          <w:rFonts w:ascii="Book Antiqua" w:hAnsi="Book Antiqua"/>
          <w:sz w:val="24"/>
          <w:szCs w:val="24"/>
        </w:rPr>
        <w:t xml:space="preserve"> response (SVR) is significantly higher when IFN is combined with RBV in chronic HCV (cHCV) infection. However, the mechanism of their synergy </w:t>
      </w:r>
      <w:r w:rsidR="00967670" w:rsidRPr="00324BBD">
        <w:rPr>
          <w:rFonts w:ascii="Book Antiqua" w:hAnsi="Book Antiqua"/>
          <w:sz w:val="24"/>
          <w:szCs w:val="24"/>
        </w:rPr>
        <w:t>remains unclear</w:t>
      </w:r>
      <w:r w:rsidRPr="00324BBD">
        <w:rPr>
          <w:rFonts w:ascii="Book Antiqua" w:hAnsi="Book Antiqua"/>
          <w:sz w:val="24"/>
          <w:szCs w:val="24"/>
        </w:rPr>
        <w:t xml:space="preserve">. Previous theories have </w:t>
      </w:r>
      <w:r w:rsidR="00967670" w:rsidRPr="00324BBD">
        <w:rPr>
          <w:rFonts w:ascii="Book Antiqua" w:hAnsi="Book Antiqua"/>
          <w:sz w:val="24"/>
          <w:szCs w:val="24"/>
        </w:rPr>
        <w:t xml:space="preserve">attempted </w:t>
      </w:r>
      <w:r w:rsidRPr="00324BBD">
        <w:rPr>
          <w:rFonts w:ascii="Book Antiqua" w:hAnsi="Book Antiqua"/>
          <w:sz w:val="24"/>
          <w:szCs w:val="24"/>
        </w:rPr>
        <w:t xml:space="preserve">to explain the </w:t>
      </w:r>
      <w:r w:rsidR="00967670" w:rsidRPr="00324BBD">
        <w:rPr>
          <w:rFonts w:ascii="Book Antiqua" w:hAnsi="Book Antiqua"/>
          <w:sz w:val="24"/>
          <w:szCs w:val="24"/>
        </w:rPr>
        <w:t>anti-HCV</w:t>
      </w:r>
      <w:r w:rsidRPr="00324BBD">
        <w:rPr>
          <w:rFonts w:ascii="Book Antiqua" w:hAnsi="Book Antiqua"/>
          <w:sz w:val="24"/>
          <w:szCs w:val="24"/>
        </w:rPr>
        <w:t xml:space="preserve"> effect based on direct action of RBV </w:t>
      </w:r>
      <w:r w:rsidR="002137C7" w:rsidRPr="00324BBD">
        <w:rPr>
          <w:rFonts w:ascii="Book Antiqua" w:hAnsi="Book Antiqua"/>
          <w:sz w:val="24"/>
          <w:szCs w:val="24"/>
        </w:rPr>
        <w:t xml:space="preserve">alone </w:t>
      </w:r>
      <w:r w:rsidRPr="00324BBD">
        <w:rPr>
          <w:rFonts w:ascii="Book Antiqua" w:hAnsi="Book Antiqua"/>
          <w:sz w:val="24"/>
          <w:szCs w:val="24"/>
        </w:rPr>
        <w:t>on the virus or</w:t>
      </w:r>
      <w:r w:rsidR="002137C7" w:rsidRPr="00324BBD">
        <w:rPr>
          <w:rFonts w:ascii="Book Antiqua" w:hAnsi="Book Antiqua"/>
          <w:sz w:val="24"/>
          <w:szCs w:val="24"/>
        </w:rPr>
        <w:t xml:space="preserve"> on</w:t>
      </w:r>
      <w:r w:rsidRPr="00324BBD">
        <w:rPr>
          <w:rFonts w:ascii="Book Antiqua" w:hAnsi="Book Antiqua"/>
          <w:sz w:val="24"/>
          <w:szCs w:val="24"/>
        </w:rPr>
        <w:t xml:space="preserve"> the immune system</w:t>
      </w:r>
      <w:r w:rsidR="002137C7" w:rsidRPr="00324BBD">
        <w:rPr>
          <w:rFonts w:ascii="Book Antiqua" w:hAnsi="Book Antiqua"/>
          <w:sz w:val="24"/>
          <w:szCs w:val="24"/>
        </w:rPr>
        <w:t>;</w:t>
      </w:r>
      <w:r w:rsidRPr="00324BBD">
        <w:rPr>
          <w:rFonts w:ascii="Book Antiqua" w:hAnsi="Book Antiqua"/>
          <w:sz w:val="24"/>
          <w:szCs w:val="24"/>
        </w:rPr>
        <w:t xml:space="preserve"> </w:t>
      </w:r>
      <w:r w:rsidR="002137C7" w:rsidRPr="00324BBD">
        <w:rPr>
          <w:rFonts w:ascii="Book Antiqua" w:hAnsi="Book Antiqua"/>
          <w:sz w:val="24"/>
          <w:szCs w:val="24"/>
        </w:rPr>
        <w:t xml:space="preserve">however, these theories </w:t>
      </w:r>
      <w:r w:rsidRPr="00324BBD">
        <w:rPr>
          <w:rFonts w:ascii="Book Antiqua" w:hAnsi="Book Antiqua"/>
          <w:sz w:val="24"/>
          <w:szCs w:val="24"/>
        </w:rPr>
        <w:t xml:space="preserve">have serious shortcomings. We propose that hemolysis, which universally </w:t>
      </w:r>
      <w:r w:rsidR="002137C7" w:rsidRPr="00324BBD">
        <w:rPr>
          <w:rFonts w:ascii="Book Antiqua" w:hAnsi="Book Antiqua"/>
          <w:sz w:val="24"/>
          <w:szCs w:val="24"/>
        </w:rPr>
        <w:t xml:space="preserve">occurs </w:t>
      </w:r>
      <w:r w:rsidRPr="00324BBD">
        <w:rPr>
          <w:rFonts w:ascii="Book Antiqua" w:hAnsi="Book Antiqua"/>
          <w:sz w:val="24"/>
          <w:szCs w:val="24"/>
        </w:rPr>
        <w:t xml:space="preserve">with RBV therapy and </w:t>
      </w:r>
      <w:r w:rsidR="002137C7" w:rsidRPr="00324BBD">
        <w:rPr>
          <w:rFonts w:ascii="Book Antiqua" w:hAnsi="Book Antiqua"/>
          <w:sz w:val="24"/>
          <w:szCs w:val="24"/>
        </w:rPr>
        <w:t>which is</w:t>
      </w:r>
      <w:r w:rsidRPr="00324BBD">
        <w:rPr>
          <w:rFonts w:ascii="Book Antiqua" w:hAnsi="Book Antiqua"/>
          <w:sz w:val="24"/>
          <w:szCs w:val="24"/>
        </w:rPr>
        <w:t xml:space="preserve"> </w:t>
      </w:r>
      <w:r w:rsidR="002137C7" w:rsidRPr="00324BBD">
        <w:rPr>
          <w:rFonts w:ascii="Book Antiqua" w:hAnsi="Book Antiqua"/>
          <w:sz w:val="24"/>
          <w:szCs w:val="24"/>
        </w:rPr>
        <w:t>considered</w:t>
      </w:r>
      <w:r w:rsidRPr="00324BBD">
        <w:rPr>
          <w:rFonts w:ascii="Book Antiqua" w:hAnsi="Book Antiqua"/>
          <w:sz w:val="24"/>
          <w:szCs w:val="24"/>
        </w:rPr>
        <w:t xml:space="preserve"> a limiting side effect, is precisely the mechanism by which </w:t>
      </w:r>
      <w:r w:rsidR="002137C7" w:rsidRPr="00324BBD">
        <w:rPr>
          <w:rFonts w:ascii="Book Antiqua" w:hAnsi="Book Antiqua"/>
          <w:sz w:val="24"/>
          <w:szCs w:val="24"/>
        </w:rPr>
        <w:t xml:space="preserve">the anti-HCV effect is </w:t>
      </w:r>
      <w:r w:rsidRPr="00324BBD">
        <w:rPr>
          <w:rFonts w:ascii="Book Antiqua" w:hAnsi="Book Antiqua"/>
          <w:sz w:val="24"/>
          <w:szCs w:val="24"/>
        </w:rPr>
        <w:t>exert</w:t>
      </w:r>
      <w:r w:rsidR="002137C7" w:rsidRPr="00324BBD">
        <w:rPr>
          <w:rFonts w:ascii="Book Antiqua" w:hAnsi="Book Antiqua"/>
          <w:sz w:val="24"/>
          <w:szCs w:val="24"/>
        </w:rPr>
        <w:t>ed</w:t>
      </w:r>
      <w:r w:rsidRPr="00324BBD">
        <w:rPr>
          <w:rFonts w:ascii="Book Antiqua" w:hAnsi="Book Antiqua"/>
          <w:sz w:val="24"/>
          <w:szCs w:val="24"/>
        </w:rPr>
        <w:t>. Passive hemolysis results in anti-inflammatory/antiviral actions within the liver that disrupt the innate immune tolerance</w:t>
      </w:r>
      <w:r w:rsidR="002137C7" w:rsidRPr="00324BBD">
        <w:rPr>
          <w:rFonts w:ascii="Book Antiqua" w:hAnsi="Book Antiqua"/>
          <w:sz w:val="24"/>
          <w:szCs w:val="24"/>
        </w:rPr>
        <w:t>,</w:t>
      </w:r>
      <w:r w:rsidRPr="00324BBD">
        <w:rPr>
          <w:rFonts w:ascii="Book Antiqua" w:hAnsi="Book Antiqua"/>
          <w:sz w:val="24"/>
          <w:szCs w:val="24"/>
        </w:rPr>
        <w:t xml:space="preserve"> leading to its synergy with IFN.</w:t>
      </w:r>
      <w:r w:rsidR="006F7379" w:rsidRPr="00324BBD">
        <w:rPr>
          <w:rFonts w:ascii="Book Antiqua" w:hAnsi="Book Antiqua"/>
          <w:sz w:val="24"/>
          <w:szCs w:val="24"/>
          <w:lang w:eastAsia="zh-CN"/>
        </w:rPr>
        <w:t xml:space="preserve"> </w:t>
      </w:r>
      <w:r w:rsidRPr="00324BBD">
        <w:rPr>
          <w:rFonts w:ascii="Book Antiqua" w:hAnsi="Book Antiqua"/>
          <w:sz w:val="24"/>
          <w:szCs w:val="24"/>
        </w:rPr>
        <w:t>Ribavirin</w:t>
      </w:r>
      <w:r w:rsidR="002137C7" w:rsidRPr="00324BBD">
        <w:rPr>
          <w:rFonts w:ascii="Book Antiqua" w:hAnsi="Book Antiqua"/>
          <w:sz w:val="24"/>
          <w:szCs w:val="24"/>
        </w:rPr>
        <w:t>-</w:t>
      </w:r>
      <w:r w:rsidRPr="00324BBD">
        <w:rPr>
          <w:rFonts w:ascii="Book Antiqua" w:hAnsi="Book Antiqua"/>
          <w:sz w:val="24"/>
          <w:szCs w:val="24"/>
        </w:rPr>
        <w:t>induced hemolysis floods the hepatocytes and KCs with heme</w:t>
      </w:r>
      <w:r w:rsidR="002137C7" w:rsidRPr="00324BBD">
        <w:rPr>
          <w:rFonts w:ascii="Book Antiqua" w:hAnsi="Book Antiqua"/>
          <w:sz w:val="24"/>
          <w:szCs w:val="24"/>
        </w:rPr>
        <w:t>,</w:t>
      </w:r>
      <w:r w:rsidRPr="00324BBD">
        <w:rPr>
          <w:rFonts w:ascii="Book Antiqua" w:hAnsi="Book Antiqua"/>
          <w:sz w:val="24"/>
          <w:szCs w:val="24"/>
        </w:rPr>
        <w:t xml:space="preserve"> which is metabolized and detoxified by heme oxygenase-1</w:t>
      </w:r>
      <w:r w:rsidR="00D57181" w:rsidRPr="00324BBD">
        <w:rPr>
          <w:rFonts w:ascii="Book Antiqua" w:hAnsi="Book Antiqua"/>
          <w:sz w:val="24"/>
          <w:szCs w:val="24"/>
        </w:rPr>
        <w:t xml:space="preserve"> (HMOX1) to carbon monoxide</w:t>
      </w:r>
      <w:r w:rsidRPr="00324BBD">
        <w:rPr>
          <w:rFonts w:ascii="Book Antiqua" w:hAnsi="Book Antiqua"/>
          <w:sz w:val="24"/>
          <w:szCs w:val="24"/>
        </w:rPr>
        <w:t>, biliverdin and free iron</w:t>
      </w:r>
      <w:r w:rsidR="002137C7" w:rsidRPr="00324BBD">
        <w:rPr>
          <w:rFonts w:ascii="Book Antiqua" w:hAnsi="Book Antiqua"/>
          <w:sz w:val="24"/>
          <w:szCs w:val="24"/>
        </w:rPr>
        <w:t>,</w:t>
      </w:r>
      <w:r w:rsidRPr="00324BBD">
        <w:rPr>
          <w:rFonts w:ascii="Book Antiqua" w:hAnsi="Book Antiqua"/>
          <w:sz w:val="24"/>
          <w:szCs w:val="24"/>
        </w:rPr>
        <w:t xml:space="preserve"> induc</w:t>
      </w:r>
      <w:r w:rsidR="002137C7" w:rsidRPr="00324BBD">
        <w:rPr>
          <w:rFonts w:ascii="Book Antiqua" w:hAnsi="Book Antiqua"/>
          <w:sz w:val="24"/>
          <w:szCs w:val="24"/>
        </w:rPr>
        <w:t>ing</w:t>
      </w:r>
      <w:r w:rsidRPr="00324BBD">
        <w:rPr>
          <w:rFonts w:ascii="Book Antiqua" w:hAnsi="Book Antiqua"/>
          <w:sz w:val="24"/>
          <w:szCs w:val="24"/>
        </w:rPr>
        <w:t xml:space="preserve"> ferritin </w:t>
      </w:r>
      <w:r w:rsidR="002137C7" w:rsidRPr="00324BBD">
        <w:rPr>
          <w:rFonts w:ascii="Book Antiqua" w:hAnsi="Book Antiqua"/>
          <w:sz w:val="24"/>
          <w:szCs w:val="24"/>
        </w:rPr>
        <w:t>production;</w:t>
      </w:r>
      <w:r w:rsidRPr="00324BBD">
        <w:rPr>
          <w:rFonts w:ascii="Book Antiqua" w:hAnsi="Book Antiqua"/>
          <w:sz w:val="24"/>
          <w:szCs w:val="24"/>
        </w:rPr>
        <w:t xml:space="preserve"> all of </w:t>
      </w:r>
      <w:r w:rsidR="002137C7" w:rsidRPr="00324BBD">
        <w:rPr>
          <w:rFonts w:ascii="Book Antiqua" w:hAnsi="Book Antiqua"/>
          <w:sz w:val="24"/>
          <w:szCs w:val="24"/>
        </w:rPr>
        <w:t xml:space="preserve">these metabolites </w:t>
      </w:r>
      <w:r w:rsidRPr="00324BBD">
        <w:rPr>
          <w:rFonts w:ascii="Book Antiqua" w:hAnsi="Book Antiqua"/>
          <w:sz w:val="24"/>
          <w:szCs w:val="24"/>
        </w:rPr>
        <w:t xml:space="preserve">possess anti-inflammatory and antioxidant properties. </w:t>
      </w:r>
      <w:r w:rsidR="002137C7" w:rsidRPr="00324BBD">
        <w:rPr>
          <w:rFonts w:ascii="Book Antiqua" w:hAnsi="Book Antiqua"/>
          <w:sz w:val="24"/>
          <w:szCs w:val="24"/>
        </w:rPr>
        <w:t xml:space="preserve">Thus, </w:t>
      </w:r>
      <w:r w:rsidRPr="00324BBD">
        <w:rPr>
          <w:rFonts w:ascii="Book Antiqua" w:hAnsi="Book Antiqua"/>
          <w:sz w:val="24"/>
          <w:szCs w:val="24"/>
        </w:rPr>
        <w:t>HMOX1 plays a</w:t>
      </w:r>
      <w:r w:rsidR="003649B1" w:rsidRPr="00324BBD">
        <w:rPr>
          <w:rFonts w:ascii="Book Antiqua" w:hAnsi="Book Antiqua"/>
          <w:sz w:val="24"/>
          <w:szCs w:val="24"/>
        </w:rPr>
        <w:t>n</w:t>
      </w:r>
      <w:r w:rsidRPr="00324BBD">
        <w:rPr>
          <w:rFonts w:ascii="Book Antiqua" w:hAnsi="Book Antiqua"/>
          <w:sz w:val="24"/>
          <w:szCs w:val="24"/>
        </w:rPr>
        <w:t xml:space="preserve"> </w:t>
      </w:r>
      <w:r w:rsidR="003649B1" w:rsidRPr="00324BBD">
        <w:rPr>
          <w:rFonts w:ascii="Book Antiqua" w:hAnsi="Book Antiqua"/>
          <w:sz w:val="24"/>
          <w:szCs w:val="24"/>
        </w:rPr>
        <w:t>extremely</w:t>
      </w:r>
      <w:r w:rsidRPr="00324BBD">
        <w:rPr>
          <w:rFonts w:ascii="Book Antiqua" w:hAnsi="Book Antiqua"/>
          <w:sz w:val="24"/>
          <w:szCs w:val="24"/>
        </w:rPr>
        <w:t xml:space="preserve"> important anti-oxidant, anti-inflammatory and cytoprotective role</w:t>
      </w:r>
      <w:r w:rsidR="002137C7" w:rsidRPr="00324BBD">
        <w:rPr>
          <w:rFonts w:ascii="Book Antiqua" w:hAnsi="Book Antiqua"/>
          <w:sz w:val="24"/>
          <w:szCs w:val="24"/>
        </w:rPr>
        <w:t>,</w:t>
      </w:r>
      <w:r w:rsidRPr="00324BBD">
        <w:rPr>
          <w:rFonts w:ascii="Book Antiqua" w:hAnsi="Book Antiqua"/>
          <w:sz w:val="24"/>
          <w:szCs w:val="24"/>
        </w:rPr>
        <w:t xml:space="preserve"> </w:t>
      </w:r>
      <w:r w:rsidR="003649B1" w:rsidRPr="00324BBD">
        <w:rPr>
          <w:rFonts w:ascii="Book Antiqua" w:hAnsi="Book Antiqua"/>
          <w:sz w:val="24"/>
          <w:szCs w:val="24"/>
        </w:rPr>
        <w:t>particularly</w:t>
      </w:r>
      <w:r w:rsidRPr="00324BBD">
        <w:rPr>
          <w:rFonts w:ascii="Book Antiqua" w:hAnsi="Book Antiqua"/>
          <w:sz w:val="24"/>
          <w:szCs w:val="24"/>
        </w:rPr>
        <w:t xml:space="preserve"> in macrophages and hepatocytes. </w:t>
      </w:r>
      <w:r w:rsidR="00EA1B11" w:rsidRPr="00324BBD">
        <w:rPr>
          <w:rFonts w:ascii="Book Antiqua" w:hAnsi="Book Antiqua"/>
          <w:sz w:val="24"/>
          <w:szCs w:val="24"/>
        </w:rPr>
        <w:t>Additionally,</w:t>
      </w:r>
      <w:r w:rsidRPr="00324BBD">
        <w:rPr>
          <w:rFonts w:ascii="Book Antiqua" w:hAnsi="Book Antiqua"/>
          <w:sz w:val="24"/>
          <w:szCs w:val="24"/>
        </w:rPr>
        <w:t xml:space="preserve"> HMOX1 has been found to be beneficial in cHCV infection</w:t>
      </w:r>
      <w:r w:rsidR="002137C7" w:rsidRPr="00324BBD">
        <w:rPr>
          <w:rFonts w:ascii="Book Antiqua" w:hAnsi="Book Antiqua"/>
          <w:sz w:val="24"/>
          <w:szCs w:val="24"/>
        </w:rPr>
        <w:t>,</w:t>
      </w:r>
      <w:r w:rsidRPr="00324BBD">
        <w:rPr>
          <w:rFonts w:ascii="Book Antiqua" w:hAnsi="Book Antiqua"/>
          <w:sz w:val="24"/>
          <w:szCs w:val="24"/>
        </w:rPr>
        <w:t xml:space="preserve"> where </w:t>
      </w:r>
      <w:r w:rsidR="002137C7" w:rsidRPr="00324BBD">
        <w:rPr>
          <w:rFonts w:ascii="Book Antiqua" w:hAnsi="Book Antiqua"/>
          <w:sz w:val="24"/>
          <w:szCs w:val="24"/>
        </w:rPr>
        <w:t xml:space="preserve">HMOX1 </w:t>
      </w:r>
      <w:r w:rsidRPr="00324BBD">
        <w:rPr>
          <w:rFonts w:ascii="Book Antiqua" w:hAnsi="Book Antiqua"/>
          <w:sz w:val="24"/>
          <w:szCs w:val="24"/>
        </w:rPr>
        <w:t xml:space="preserve">disrupts the immune tolerance and enhances </w:t>
      </w:r>
      <w:r w:rsidR="002137C7" w:rsidRPr="00324BBD">
        <w:rPr>
          <w:rFonts w:ascii="Book Antiqua" w:hAnsi="Book Antiqua"/>
          <w:sz w:val="24"/>
          <w:szCs w:val="24"/>
        </w:rPr>
        <w:t xml:space="preserve">the </w:t>
      </w:r>
      <w:r w:rsidRPr="00324BBD">
        <w:rPr>
          <w:rFonts w:ascii="Book Antiqua" w:hAnsi="Book Antiqua"/>
          <w:sz w:val="24"/>
          <w:szCs w:val="24"/>
        </w:rPr>
        <w:t>response to IFN therapy by restoring interferon</w:t>
      </w:r>
      <w:r w:rsidR="002137C7" w:rsidRPr="00324BBD">
        <w:rPr>
          <w:rFonts w:ascii="Book Antiqua" w:hAnsi="Book Antiqua"/>
          <w:sz w:val="24"/>
          <w:szCs w:val="24"/>
        </w:rPr>
        <w:t>-</w:t>
      </w:r>
      <w:r w:rsidRPr="00324BBD">
        <w:rPr>
          <w:rFonts w:ascii="Book Antiqua" w:hAnsi="Book Antiqua"/>
          <w:sz w:val="24"/>
          <w:szCs w:val="24"/>
        </w:rPr>
        <w:t>stimulated gen</w:t>
      </w:r>
      <w:r w:rsidR="00D57181" w:rsidRPr="00324BBD">
        <w:rPr>
          <w:rFonts w:ascii="Book Antiqua" w:hAnsi="Book Antiqua"/>
          <w:sz w:val="24"/>
          <w:szCs w:val="24"/>
        </w:rPr>
        <w:t>es</w:t>
      </w:r>
      <w:r w:rsidRPr="00324BBD">
        <w:rPr>
          <w:rFonts w:ascii="Book Antiqua" w:hAnsi="Book Antiqua"/>
          <w:sz w:val="24"/>
          <w:szCs w:val="24"/>
        </w:rPr>
        <w:t xml:space="preserve">. This </w:t>
      </w:r>
      <w:r w:rsidR="002137C7" w:rsidRPr="00324BBD">
        <w:rPr>
          <w:rFonts w:ascii="Book Antiqua" w:hAnsi="Book Antiqua"/>
          <w:sz w:val="24"/>
          <w:szCs w:val="24"/>
        </w:rPr>
        <w:t xml:space="preserve">mechanism </w:t>
      </w:r>
      <w:r w:rsidRPr="00324BBD">
        <w:rPr>
          <w:rFonts w:ascii="Book Antiqua" w:hAnsi="Book Antiqua"/>
          <w:sz w:val="24"/>
          <w:szCs w:val="24"/>
        </w:rPr>
        <w:t xml:space="preserve">can be clinically corroborated by </w:t>
      </w:r>
      <w:r w:rsidR="002137C7" w:rsidRPr="00324BBD">
        <w:rPr>
          <w:rFonts w:ascii="Book Antiqua" w:hAnsi="Book Antiqua"/>
          <w:sz w:val="24"/>
          <w:szCs w:val="24"/>
        </w:rPr>
        <w:t xml:space="preserve">the following </w:t>
      </w:r>
      <w:r w:rsidR="00CD1799" w:rsidRPr="00324BBD">
        <w:rPr>
          <w:rFonts w:ascii="Book Antiqua" w:hAnsi="Book Antiqua"/>
          <w:sz w:val="24"/>
          <w:szCs w:val="24"/>
        </w:rPr>
        <w:t xml:space="preserve">observations </w:t>
      </w:r>
      <w:r w:rsidR="002137C7" w:rsidRPr="00324BBD">
        <w:rPr>
          <w:rFonts w:ascii="Book Antiqua" w:hAnsi="Book Antiqua"/>
          <w:sz w:val="24"/>
          <w:szCs w:val="24"/>
        </w:rPr>
        <w:t xml:space="preserve">that </w:t>
      </w:r>
      <w:r w:rsidRPr="00324BBD">
        <w:rPr>
          <w:rFonts w:ascii="Book Antiqua" w:hAnsi="Book Antiqua"/>
          <w:sz w:val="24"/>
          <w:szCs w:val="24"/>
        </w:rPr>
        <w:t xml:space="preserve">have been </w:t>
      </w:r>
      <w:r w:rsidR="00CD1799" w:rsidRPr="00324BBD">
        <w:rPr>
          <w:rFonts w:ascii="Book Antiqua" w:hAnsi="Book Antiqua"/>
          <w:sz w:val="24"/>
          <w:szCs w:val="24"/>
        </w:rPr>
        <w:t xml:space="preserve">found </w:t>
      </w:r>
      <w:r w:rsidRPr="00324BBD">
        <w:rPr>
          <w:rFonts w:ascii="Book Antiqua" w:hAnsi="Book Antiqua"/>
          <w:sz w:val="24"/>
          <w:szCs w:val="24"/>
        </w:rPr>
        <w:t>in patients undergoing RBV/IFN combination therapy for cHCV</w:t>
      </w:r>
      <w:r w:rsidR="002137C7" w:rsidRPr="00324BBD">
        <w:rPr>
          <w:rFonts w:ascii="Book Antiqua" w:hAnsi="Book Antiqua"/>
          <w:sz w:val="24"/>
          <w:szCs w:val="24"/>
        </w:rPr>
        <w:t>:</w:t>
      </w:r>
      <w:r w:rsidRPr="00324BBD">
        <w:rPr>
          <w:rFonts w:ascii="Book Antiqua" w:hAnsi="Book Antiqua"/>
          <w:sz w:val="24"/>
          <w:szCs w:val="24"/>
        </w:rPr>
        <w:t xml:space="preserve"> </w:t>
      </w:r>
      <w:r w:rsidR="00D57181" w:rsidRPr="00324BBD">
        <w:rPr>
          <w:rFonts w:ascii="Book Antiqua" w:hAnsi="Book Antiqua"/>
          <w:sz w:val="24"/>
          <w:szCs w:val="24"/>
          <w:lang w:eastAsia="zh-CN"/>
        </w:rPr>
        <w:t>(</w:t>
      </w:r>
      <w:r w:rsidRPr="00324BBD">
        <w:rPr>
          <w:rFonts w:ascii="Book Antiqua" w:hAnsi="Book Antiqua"/>
          <w:sz w:val="24"/>
          <w:szCs w:val="24"/>
        </w:rPr>
        <w:t>1) sustained viral response (SVR) rates are higher in patients who develop anemia</w:t>
      </w:r>
      <w:r w:rsidR="002137C7" w:rsidRPr="00324BBD">
        <w:rPr>
          <w:rFonts w:ascii="Book Antiqua" w:hAnsi="Book Antiqua"/>
          <w:sz w:val="24"/>
          <w:szCs w:val="24"/>
        </w:rPr>
        <w:t>;</w:t>
      </w:r>
      <w:r w:rsidRPr="00324BBD">
        <w:rPr>
          <w:rFonts w:ascii="Book Antiqua" w:hAnsi="Book Antiqua"/>
          <w:sz w:val="24"/>
          <w:szCs w:val="24"/>
        </w:rPr>
        <w:t xml:space="preserve"> </w:t>
      </w:r>
      <w:r w:rsidR="00D57181" w:rsidRPr="00324BBD">
        <w:rPr>
          <w:rFonts w:ascii="Book Antiqua" w:hAnsi="Book Antiqua"/>
          <w:sz w:val="24"/>
          <w:szCs w:val="24"/>
          <w:lang w:eastAsia="zh-CN"/>
        </w:rPr>
        <w:t>(</w:t>
      </w:r>
      <w:r w:rsidRPr="00324BBD">
        <w:rPr>
          <w:rFonts w:ascii="Book Antiqua" w:hAnsi="Book Antiqua"/>
          <w:sz w:val="24"/>
          <w:szCs w:val="24"/>
        </w:rPr>
        <w:t xml:space="preserve">2) </w:t>
      </w:r>
      <w:r w:rsidR="002137C7" w:rsidRPr="00324BBD">
        <w:rPr>
          <w:rFonts w:ascii="Book Antiqua" w:hAnsi="Book Antiqua"/>
          <w:sz w:val="24"/>
          <w:szCs w:val="24"/>
        </w:rPr>
        <w:t xml:space="preserve">once </w:t>
      </w:r>
      <w:r w:rsidRPr="00324BBD">
        <w:rPr>
          <w:rFonts w:ascii="Book Antiqua" w:hAnsi="Book Antiqua"/>
          <w:sz w:val="24"/>
          <w:szCs w:val="24"/>
        </w:rPr>
        <w:t xml:space="preserve">anemia (due to hemolysis) occurs, </w:t>
      </w:r>
      <w:r w:rsidR="002137C7" w:rsidRPr="00324BBD">
        <w:rPr>
          <w:rFonts w:ascii="Book Antiqua" w:hAnsi="Book Antiqua"/>
          <w:sz w:val="24"/>
          <w:szCs w:val="24"/>
        </w:rPr>
        <w:t xml:space="preserve">the </w:t>
      </w:r>
      <w:r w:rsidRPr="00324BBD">
        <w:rPr>
          <w:rFonts w:ascii="Book Antiqua" w:hAnsi="Book Antiqua"/>
          <w:sz w:val="24"/>
          <w:szCs w:val="24"/>
        </w:rPr>
        <w:t>SVR rate does not depend on the treatment utilized to manage anemia</w:t>
      </w:r>
      <w:r w:rsidR="002137C7" w:rsidRPr="00324BBD">
        <w:rPr>
          <w:rFonts w:ascii="Book Antiqua" w:hAnsi="Book Antiqua"/>
          <w:sz w:val="24"/>
          <w:szCs w:val="24"/>
        </w:rPr>
        <w:t>;</w:t>
      </w:r>
      <w:r w:rsidRPr="00324BBD">
        <w:rPr>
          <w:rFonts w:ascii="Book Antiqua" w:hAnsi="Book Antiqua"/>
          <w:sz w:val="24"/>
          <w:szCs w:val="24"/>
        </w:rPr>
        <w:t xml:space="preserve"> and </w:t>
      </w:r>
      <w:r w:rsidR="00D57181" w:rsidRPr="00324BBD">
        <w:rPr>
          <w:rFonts w:ascii="Book Antiqua" w:hAnsi="Book Antiqua"/>
          <w:sz w:val="24"/>
          <w:szCs w:val="24"/>
          <w:lang w:eastAsia="zh-CN"/>
        </w:rPr>
        <w:t>(</w:t>
      </w:r>
      <w:r w:rsidRPr="00324BBD">
        <w:rPr>
          <w:rFonts w:ascii="Book Antiqua" w:hAnsi="Book Antiqua"/>
          <w:sz w:val="24"/>
          <w:szCs w:val="24"/>
        </w:rPr>
        <w:t>3) ribavirin analogs</w:t>
      </w:r>
      <w:r w:rsidR="002137C7" w:rsidRPr="00324BBD">
        <w:rPr>
          <w:rFonts w:ascii="Book Antiqua" w:hAnsi="Book Antiqua"/>
          <w:sz w:val="24"/>
          <w:szCs w:val="24"/>
        </w:rPr>
        <w:t xml:space="preserve">, </w:t>
      </w:r>
      <w:r w:rsidR="002137C7" w:rsidRPr="00324BBD">
        <w:rPr>
          <w:rFonts w:ascii="Book Antiqua" w:hAnsi="Book Antiqua"/>
          <w:sz w:val="24"/>
          <w:szCs w:val="24"/>
        </w:rPr>
        <w:lastRenderedPageBreak/>
        <w:t>such as</w:t>
      </w:r>
      <w:r w:rsidRPr="00324BBD">
        <w:rPr>
          <w:rFonts w:ascii="Book Antiqua" w:hAnsi="Book Antiqua"/>
          <w:sz w:val="24"/>
          <w:szCs w:val="24"/>
        </w:rPr>
        <w:t xml:space="preserve"> taribavirin and levovirin</w:t>
      </w:r>
      <w:r w:rsidR="002137C7" w:rsidRPr="00324BBD">
        <w:rPr>
          <w:rFonts w:ascii="Book Antiqua" w:hAnsi="Book Antiqua"/>
          <w:sz w:val="24"/>
          <w:szCs w:val="24"/>
        </w:rPr>
        <w:t>,</w:t>
      </w:r>
      <w:r w:rsidRPr="00324BBD">
        <w:rPr>
          <w:rFonts w:ascii="Book Antiqua" w:hAnsi="Book Antiqua"/>
          <w:sz w:val="24"/>
          <w:szCs w:val="24"/>
        </w:rPr>
        <w:t xml:space="preserve"> which increase intrahepatic ribavirin levels and </w:t>
      </w:r>
      <w:r w:rsidR="002137C7" w:rsidRPr="00324BBD">
        <w:rPr>
          <w:rFonts w:ascii="Book Antiqua" w:hAnsi="Book Antiqua"/>
          <w:sz w:val="24"/>
          <w:szCs w:val="24"/>
        </w:rPr>
        <w:t xml:space="preserve">which </w:t>
      </w:r>
      <w:r w:rsidRPr="00324BBD">
        <w:rPr>
          <w:rFonts w:ascii="Book Antiqua" w:hAnsi="Book Antiqua"/>
          <w:sz w:val="24"/>
          <w:szCs w:val="24"/>
        </w:rPr>
        <w:t>produce lesser hemolysis</w:t>
      </w:r>
      <w:r w:rsidR="002137C7" w:rsidRPr="00324BBD">
        <w:rPr>
          <w:rFonts w:ascii="Book Antiqua" w:hAnsi="Book Antiqua"/>
          <w:sz w:val="24"/>
          <w:szCs w:val="24"/>
        </w:rPr>
        <w:t>,</w:t>
      </w:r>
      <w:r w:rsidRPr="00324BBD">
        <w:rPr>
          <w:rFonts w:ascii="Book Antiqua" w:hAnsi="Book Antiqua"/>
          <w:sz w:val="24"/>
          <w:szCs w:val="24"/>
        </w:rPr>
        <w:t xml:space="preserve"> are inferior to ribavirin for </w:t>
      </w:r>
      <w:r w:rsidR="002137C7" w:rsidRPr="00324BBD">
        <w:rPr>
          <w:rFonts w:ascii="Book Antiqua" w:hAnsi="Book Antiqua"/>
          <w:sz w:val="24"/>
          <w:szCs w:val="24"/>
        </w:rPr>
        <w:t>treating</w:t>
      </w:r>
      <w:r w:rsidRPr="00324BBD">
        <w:rPr>
          <w:rFonts w:ascii="Book Antiqua" w:hAnsi="Book Antiqua"/>
          <w:sz w:val="24"/>
          <w:szCs w:val="24"/>
        </w:rPr>
        <w:t xml:space="preserve"> cHCV.</w:t>
      </w:r>
      <w:r w:rsidRPr="00324BBD">
        <w:rPr>
          <w:rFonts w:ascii="Book Antiqua" w:hAnsi="Book Antiqua"/>
          <w:sz w:val="24"/>
          <w:szCs w:val="24"/>
          <w:vertAlign w:val="superscript"/>
        </w:rPr>
        <w:t xml:space="preserve"> </w:t>
      </w:r>
      <w:r w:rsidRPr="00324BBD">
        <w:rPr>
          <w:rFonts w:ascii="Book Antiqua" w:hAnsi="Book Antiqua"/>
          <w:sz w:val="24"/>
          <w:szCs w:val="24"/>
        </w:rPr>
        <w:t xml:space="preserve">This mechanism can also explain the </w:t>
      </w:r>
      <w:r w:rsidR="002137C7" w:rsidRPr="00324BBD">
        <w:rPr>
          <w:rFonts w:ascii="Book Antiqua" w:hAnsi="Book Antiqua"/>
          <w:sz w:val="24"/>
          <w:szCs w:val="24"/>
        </w:rPr>
        <w:t xml:space="preserve">observed </w:t>
      </w:r>
      <w:r w:rsidRPr="00324BBD">
        <w:rPr>
          <w:rFonts w:ascii="Book Antiqua" w:hAnsi="Book Antiqua"/>
          <w:sz w:val="24"/>
          <w:szCs w:val="24"/>
        </w:rPr>
        <w:t>RBV synergy wit</w:t>
      </w:r>
      <w:r w:rsidR="00262F4A" w:rsidRPr="00324BBD">
        <w:rPr>
          <w:rFonts w:ascii="Book Antiqua" w:hAnsi="Book Antiqua"/>
          <w:sz w:val="24"/>
          <w:szCs w:val="24"/>
        </w:rPr>
        <w:t>h direct antiviral agents</w:t>
      </w:r>
      <w:r w:rsidRPr="00324BBD">
        <w:rPr>
          <w:rFonts w:ascii="Book Antiqua" w:hAnsi="Book Antiqua"/>
          <w:sz w:val="24"/>
          <w:szCs w:val="24"/>
        </w:rPr>
        <w:t>. This hypothesis is testable and may lead to newer and safer medications for treat</w:t>
      </w:r>
      <w:r w:rsidR="002137C7" w:rsidRPr="00324BBD">
        <w:rPr>
          <w:rFonts w:ascii="Book Antiqua" w:hAnsi="Book Antiqua"/>
          <w:sz w:val="24"/>
          <w:szCs w:val="24"/>
        </w:rPr>
        <w:t>ing</w:t>
      </w:r>
      <w:r w:rsidRPr="00324BBD">
        <w:rPr>
          <w:rFonts w:ascii="Book Antiqua" w:hAnsi="Book Antiqua"/>
          <w:sz w:val="24"/>
          <w:szCs w:val="24"/>
        </w:rPr>
        <w:t xml:space="preserve"> cHCV infection.</w:t>
      </w:r>
    </w:p>
    <w:p w:rsidR="00F92193" w:rsidRPr="00324BBD" w:rsidRDefault="00F92193" w:rsidP="008759E1">
      <w:pPr>
        <w:snapToGrid w:val="0"/>
        <w:spacing w:line="360" w:lineRule="auto"/>
        <w:jc w:val="both"/>
        <w:rPr>
          <w:rFonts w:ascii="Book Antiqua" w:hAnsi="Book Antiqua"/>
          <w:sz w:val="24"/>
          <w:szCs w:val="24"/>
          <w:lang w:eastAsia="zh-CN"/>
        </w:rPr>
      </w:pPr>
    </w:p>
    <w:p w:rsidR="00262F4A" w:rsidRPr="00324BBD" w:rsidRDefault="00262F4A" w:rsidP="00262F4A">
      <w:pPr>
        <w:adjustRightInd w:val="0"/>
        <w:snapToGrid w:val="0"/>
        <w:spacing w:line="360" w:lineRule="auto"/>
        <w:rPr>
          <w:rFonts w:ascii="Book Antiqua" w:hAnsi="Book Antiqua"/>
          <w:sz w:val="24"/>
          <w:szCs w:val="24"/>
        </w:rPr>
      </w:pPr>
      <w:bookmarkStart w:id="51" w:name="OLE_LINK98"/>
      <w:bookmarkStart w:id="52" w:name="OLE_LINK156"/>
      <w:bookmarkStart w:id="53" w:name="OLE_LINK196"/>
      <w:bookmarkStart w:id="54" w:name="OLE_LINK217"/>
      <w:bookmarkStart w:id="55" w:name="OLE_LINK242"/>
      <w:bookmarkStart w:id="56" w:name="OLE_LINK247"/>
      <w:bookmarkStart w:id="57" w:name="OLE_LINK311"/>
      <w:bookmarkStart w:id="58" w:name="OLE_LINK312"/>
      <w:bookmarkStart w:id="59" w:name="OLE_LINK325"/>
      <w:bookmarkStart w:id="60" w:name="OLE_LINK330"/>
      <w:bookmarkStart w:id="61" w:name="OLE_LINK513"/>
      <w:bookmarkStart w:id="62" w:name="OLE_LINK514"/>
      <w:bookmarkStart w:id="63" w:name="OLE_LINK464"/>
      <w:bookmarkStart w:id="64" w:name="OLE_LINK465"/>
      <w:bookmarkStart w:id="65" w:name="OLE_LINK466"/>
      <w:bookmarkStart w:id="66" w:name="OLE_LINK470"/>
      <w:bookmarkStart w:id="67" w:name="OLE_LINK471"/>
      <w:bookmarkStart w:id="68" w:name="OLE_LINK472"/>
      <w:bookmarkStart w:id="69" w:name="OLE_LINK474"/>
      <w:bookmarkStart w:id="70" w:name="OLE_LINK512"/>
      <w:bookmarkStart w:id="71" w:name="OLE_LINK800"/>
      <w:bookmarkStart w:id="72" w:name="OLE_LINK982"/>
      <w:bookmarkStart w:id="73" w:name="OLE_LINK1027"/>
      <w:bookmarkStart w:id="74" w:name="OLE_LINK504"/>
      <w:bookmarkStart w:id="75" w:name="OLE_LINK546"/>
      <w:bookmarkStart w:id="76" w:name="OLE_LINK547"/>
      <w:bookmarkStart w:id="77" w:name="OLE_LINK575"/>
      <w:bookmarkStart w:id="78" w:name="OLE_LINK640"/>
      <w:bookmarkStart w:id="79" w:name="OLE_LINK672"/>
      <w:bookmarkStart w:id="80" w:name="OLE_LINK714"/>
      <w:bookmarkStart w:id="81" w:name="OLE_LINK651"/>
      <w:bookmarkStart w:id="82" w:name="OLE_LINK652"/>
      <w:bookmarkStart w:id="83" w:name="OLE_LINK744"/>
      <w:bookmarkStart w:id="84" w:name="OLE_LINK758"/>
      <w:bookmarkStart w:id="85" w:name="OLE_LINK787"/>
      <w:bookmarkStart w:id="86" w:name="OLE_LINK807"/>
      <w:bookmarkStart w:id="87" w:name="OLE_LINK820"/>
      <w:bookmarkStart w:id="88" w:name="OLE_LINK862"/>
      <w:bookmarkStart w:id="89" w:name="OLE_LINK879"/>
      <w:bookmarkStart w:id="90" w:name="OLE_LINK906"/>
      <w:bookmarkStart w:id="91" w:name="OLE_LINK928"/>
      <w:bookmarkStart w:id="92" w:name="OLE_LINK960"/>
      <w:bookmarkStart w:id="93" w:name="OLE_LINK861"/>
      <w:bookmarkStart w:id="94" w:name="OLE_LINK983"/>
      <w:bookmarkStart w:id="95" w:name="OLE_LINK1334"/>
      <w:bookmarkStart w:id="96" w:name="OLE_LINK1029"/>
      <w:bookmarkStart w:id="97" w:name="OLE_LINK1060"/>
      <w:bookmarkStart w:id="98" w:name="OLE_LINK1061"/>
      <w:bookmarkStart w:id="99" w:name="OLE_LINK1348"/>
      <w:bookmarkStart w:id="100" w:name="OLE_LINK1086"/>
      <w:bookmarkStart w:id="101" w:name="OLE_LINK1100"/>
      <w:bookmarkStart w:id="102" w:name="OLE_LINK1125"/>
      <w:bookmarkStart w:id="103" w:name="OLE_LINK1163"/>
      <w:bookmarkStart w:id="104" w:name="OLE_LINK1193"/>
      <w:bookmarkStart w:id="105" w:name="OLE_LINK1219"/>
      <w:bookmarkStart w:id="106" w:name="OLE_LINK1247"/>
      <w:bookmarkStart w:id="107" w:name="OLE_LINK1284"/>
      <w:bookmarkStart w:id="108" w:name="OLE_LINK1313"/>
      <w:bookmarkStart w:id="109" w:name="OLE_LINK1361"/>
      <w:bookmarkStart w:id="110" w:name="OLE_LINK1384"/>
      <w:bookmarkStart w:id="111" w:name="OLE_LINK1403"/>
      <w:bookmarkStart w:id="112" w:name="OLE_LINK1437"/>
      <w:bookmarkStart w:id="113" w:name="OLE_LINK1454"/>
      <w:bookmarkStart w:id="114" w:name="OLE_LINK1480"/>
      <w:bookmarkStart w:id="115" w:name="OLE_LINK1504"/>
      <w:bookmarkStart w:id="116" w:name="OLE_LINK1516"/>
      <w:bookmarkStart w:id="117" w:name="OLE_LINK135"/>
      <w:bookmarkStart w:id="118" w:name="OLE_LINK216"/>
      <w:bookmarkStart w:id="119" w:name="OLE_LINK259"/>
      <w:bookmarkStart w:id="120" w:name="OLE_LINK1186"/>
      <w:bookmarkStart w:id="121" w:name="OLE_LINK1265"/>
      <w:bookmarkStart w:id="122" w:name="OLE_LINK1373"/>
      <w:bookmarkStart w:id="123" w:name="OLE_LINK1478"/>
      <w:bookmarkStart w:id="124" w:name="OLE_LINK1644"/>
      <w:bookmarkStart w:id="125" w:name="OLE_LINK1884"/>
      <w:bookmarkStart w:id="126" w:name="OLE_LINK1885"/>
      <w:bookmarkStart w:id="127" w:name="OLE_LINK1538"/>
      <w:bookmarkStart w:id="128" w:name="OLE_LINK1539"/>
      <w:bookmarkStart w:id="129" w:name="OLE_LINK1543"/>
      <w:bookmarkStart w:id="130" w:name="OLE_LINK1549"/>
      <w:bookmarkStart w:id="131" w:name="OLE_LINK1778"/>
      <w:bookmarkStart w:id="132" w:name="OLE_LINK1756"/>
      <w:bookmarkStart w:id="133" w:name="OLE_LINK1776"/>
      <w:bookmarkStart w:id="134" w:name="OLE_LINK1777"/>
      <w:bookmarkStart w:id="135" w:name="OLE_LINK1868"/>
      <w:bookmarkStart w:id="136" w:name="OLE_LINK1744"/>
      <w:bookmarkStart w:id="137" w:name="OLE_LINK1817"/>
      <w:bookmarkStart w:id="138" w:name="OLE_LINK1835"/>
      <w:bookmarkStart w:id="139" w:name="OLE_LINK1866"/>
      <w:bookmarkStart w:id="140" w:name="OLE_LINK1882"/>
      <w:bookmarkStart w:id="141" w:name="OLE_LINK1901"/>
      <w:bookmarkStart w:id="142" w:name="OLE_LINK1902"/>
      <w:bookmarkStart w:id="143" w:name="OLE_LINK2013"/>
      <w:bookmarkStart w:id="144" w:name="OLE_LINK1894"/>
      <w:bookmarkStart w:id="145" w:name="OLE_LINK1929"/>
      <w:bookmarkStart w:id="146" w:name="OLE_LINK1941"/>
      <w:bookmarkStart w:id="147" w:name="OLE_LINK1995"/>
      <w:bookmarkStart w:id="148" w:name="OLE_LINK1938"/>
      <w:bookmarkStart w:id="149" w:name="OLE_LINK2081"/>
      <w:bookmarkStart w:id="150" w:name="OLE_LINK2082"/>
      <w:bookmarkStart w:id="151" w:name="OLE_LINK2292"/>
      <w:bookmarkStart w:id="152" w:name="OLE_LINK1931"/>
      <w:bookmarkStart w:id="153" w:name="OLE_LINK1964"/>
      <w:bookmarkStart w:id="154" w:name="OLE_LINK2020"/>
      <w:bookmarkStart w:id="155" w:name="OLE_LINK2071"/>
      <w:bookmarkStart w:id="156" w:name="OLE_LINK2134"/>
      <w:bookmarkStart w:id="157" w:name="OLE_LINK2265"/>
      <w:bookmarkStart w:id="158" w:name="OLE_LINK2562"/>
      <w:bookmarkStart w:id="159" w:name="OLE_LINK1923"/>
      <w:bookmarkStart w:id="160" w:name="OLE_LINK2192"/>
      <w:bookmarkStart w:id="161" w:name="OLE_LINK2110"/>
      <w:bookmarkStart w:id="162" w:name="OLE_LINK2445"/>
      <w:bookmarkStart w:id="163" w:name="OLE_LINK2446"/>
      <w:bookmarkStart w:id="164" w:name="OLE_LINK2169"/>
      <w:bookmarkStart w:id="165" w:name="OLE_LINK2190"/>
      <w:bookmarkStart w:id="166" w:name="OLE_LINK2331"/>
      <w:bookmarkStart w:id="167" w:name="OLE_LINK2345"/>
      <w:bookmarkStart w:id="168" w:name="OLE_LINK2467"/>
      <w:bookmarkStart w:id="169" w:name="OLE_LINK2484"/>
      <w:bookmarkStart w:id="170" w:name="OLE_LINK2157"/>
      <w:bookmarkStart w:id="171" w:name="OLE_LINK2221"/>
      <w:bookmarkStart w:id="172" w:name="OLE_LINK2252"/>
      <w:bookmarkStart w:id="173" w:name="OLE_LINK2348"/>
      <w:bookmarkStart w:id="174" w:name="OLE_LINK2451"/>
      <w:bookmarkStart w:id="175" w:name="OLE_LINK2627"/>
      <w:bookmarkStart w:id="176" w:name="OLE_LINK2482"/>
      <w:bookmarkStart w:id="177" w:name="OLE_LINK2663"/>
      <w:bookmarkStart w:id="178" w:name="OLE_LINK2761"/>
      <w:bookmarkStart w:id="179" w:name="OLE_LINK2856"/>
      <w:bookmarkStart w:id="180" w:name="OLE_LINK2993"/>
      <w:bookmarkStart w:id="181" w:name="OLE_LINK2643"/>
      <w:bookmarkStart w:id="182" w:name="OLE_LINK2583"/>
      <w:bookmarkStart w:id="183" w:name="OLE_LINK2762"/>
      <w:bookmarkStart w:id="184" w:name="OLE_LINK2962"/>
      <w:bookmarkStart w:id="185" w:name="OLE_LINK2582"/>
      <w:r w:rsidRPr="00324BBD">
        <w:rPr>
          <w:rFonts w:ascii="Book Antiqua" w:hAnsi="Book Antiqua"/>
          <w:sz w:val="24"/>
          <w:szCs w:val="24"/>
        </w:rPr>
        <w:t xml:space="preserve">© 2014 Baishideng Publishing Group Inc. All rights reserved.  </w:t>
      </w:r>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rsidR="00F92193" w:rsidRPr="00324BBD" w:rsidRDefault="00F92193" w:rsidP="008759E1">
      <w:pPr>
        <w:snapToGrid w:val="0"/>
        <w:spacing w:line="360" w:lineRule="auto"/>
        <w:jc w:val="both"/>
        <w:rPr>
          <w:rFonts w:ascii="Book Antiqua" w:hAnsi="Book Antiqua"/>
          <w:sz w:val="24"/>
          <w:szCs w:val="24"/>
        </w:rPr>
      </w:pPr>
    </w:p>
    <w:p w:rsidR="00AE0BEE" w:rsidRPr="00324BBD" w:rsidRDefault="00AE0BEE" w:rsidP="008759E1">
      <w:pPr>
        <w:snapToGrid w:val="0"/>
        <w:spacing w:line="360" w:lineRule="auto"/>
        <w:jc w:val="both"/>
        <w:rPr>
          <w:rFonts w:ascii="Book Antiqua" w:hAnsi="Book Antiqua"/>
          <w:b/>
          <w:sz w:val="24"/>
          <w:szCs w:val="24"/>
        </w:rPr>
      </w:pPr>
      <w:r w:rsidRPr="00324BBD">
        <w:rPr>
          <w:rFonts w:ascii="Book Antiqua" w:hAnsi="Book Antiqua"/>
          <w:b/>
          <w:sz w:val="24"/>
          <w:szCs w:val="24"/>
        </w:rPr>
        <w:t>Key</w:t>
      </w:r>
      <w:r w:rsidR="006F7379" w:rsidRPr="00324BBD">
        <w:rPr>
          <w:rFonts w:ascii="Book Antiqua" w:hAnsi="Book Antiqua"/>
          <w:b/>
          <w:sz w:val="24"/>
          <w:szCs w:val="24"/>
          <w:lang w:eastAsia="zh-CN"/>
        </w:rPr>
        <w:t xml:space="preserve"> </w:t>
      </w:r>
      <w:r w:rsidRPr="00324BBD">
        <w:rPr>
          <w:rFonts w:ascii="Book Antiqua" w:hAnsi="Book Antiqua"/>
          <w:b/>
          <w:sz w:val="24"/>
          <w:szCs w:val="24"/>
        </w:rPr>
        <w:t xml:space="preserve">words: </w:t>
      </w:r>
      <w:r w:rsidR="00262F4A" w:rsidRPr="00324BBD">
        <w:rPr>
          <w:rFonts w:ascii="Book Antiqua" w:hAnsi="Book Antiqua"/>
          <w:sz w:val="24"/>
          <w:szCs w:val="24"/>
        </w:rPr>
        <w:t>C</w:t>
      </w:r>
      <w:r w:rsidR="002137C7" w:rsidRPr="00324BBD">
        <w:rPr>
          <w:rFonts w:ascii="Book Antiqua" w:hAnsi="Book Antiqua"/>
          <w:sz w:val="24"/>
          <w:szCs w:val="24"/>
        </w:rPr>
        <w:t>hronic</w:t>
      </w:r>
      <w:r w:rsidRPr="00324BBD">
        <w:rPr>
          <w:rFonts w:ascii="Book Antiqua" w:hAnsi="Book Antiqua"/>
          <w:sz w:val="24"/>
          <w:szCs w:val="24"/>
        </w:rPr>
        <w:t xml:space="preserve"> </w:t>
      </w:r>
      <w:r w:rsidR="002137C7" w:rsidRPr="00324BBD">
        <w:rPr>
          <w:rFonts w:ascii="Book Antiqua" w:hAnsi="Book Antiqua"/>
          <w:sz w:val="24"/>
          <w:szCs w:val="24"/>
        </w:rPr>
        <w:t>h</w:t>
      </w:r>
      <w:r w:rsidRPr="00324BBD">
        <w:rPr>
          <w:rFonts w:ascii="Book Antiqua" w:hAnsi="Book Antiqua"/>
          <w:sz w:val="24"/>
          <w:szCs w:val="24"/>
        </w:rPr>
        <w:t>epatitis C</w:t>
      </w:r>
      <w:r w:rsidR="00262F4A" w:rsidRPr="00324BBD">
        <w:rPr>
          <w:rFonts w:ascii="Book Antiqua" w:hAnsi="Book Antiqua"/>
          <w:sz w:val="24"/>
          <w:szCs w:val="24"/>
          <w:lang w:eastAsia="zh-CN"/>
        </w:rPr>
        <w:t>;</w:t>
      </w:r>
      <w:r w:rsidRPr="00324BBD">
        <w:rPr>
          <w:rFonts w:ascii="Book Antiqua" w:hAnsi="Book Antiqua"/>
          <w:sz w:val="24"/>
          <w:szCs w:val="24"/>
        </w:rPr>
        <w:t xml:space="preserve"> </w:t>
      </w:r>
      <w:r w:rsidR="00262F4A" w:rsidRPr="00324BBD">
        <w:rPr>
          <w:rFonts w:ascii="Book Antiqua" w:hAnsi="Book Antiqua"/>
          <w:sz w:val="24"/>
          <w:szCs w:val="24"/>
        </w:rPr>
        <w:t>T</w:t>
      </w:r>
      <w:r w:rsidRPr="00324BBD">
        <w:rPr>
          <w:rFonts w:ascii="Book Antiqua" w:hAnsi="Book Antiqua"/>
          <w:sz w:val="24"/>
          <w:szCs w:val="24"/>
        </w:rPr>
        <w:t>herapy</w:t>
      </w:r>
      <w:r w:rsidR="00262F4A" w:rsidRPr="00324BBD">
        <w:rPr>
          <w:rFonts w:ascii="Book Antiqua" w:hAnsi="Book Antiqua"/>
          <w:sz w:val="24"/>
          <w:szCs w:val="24"/>
          <w:lang w:eastAsia="zh-CN"/>
        </w:rPr>
        <w:t>;</w:t>
      </w:r>
      <w:r w:rsidRPr="00324BBD">
        <w:rPr>
          <w:rFonts w:ascii="Book Antiqua" w:hAnsi="Book Antiqua"/>
          <w:sz w:val="24"/>
          <w:szCs w:val="24"/>
        </w:rPr>
        <w:t xml:space="preserve"> </w:t>
      </w:r>
      <w:r w:rsidR="00262F4A" w:rsidRPr="00324BBD">
        <w:rPr>
          <w:rFonts w:ascii="Book Antiqua" w:hAnsi="Book Antiqua"/>
          <w:sz w:val="24"/>
          <w:szCs w:val="24"/>
        </w:rPr>
        <w:t>Ribavirin</w:t>
      </w:r>
      <w:r w:rsidR="00262F4A" w:rsidRPr="00324BBD">
        <w:rPr>
          <w:rFonts w:ascii="Book Antiqua" w:hAnsi="Book Antiqua"/>
          <w:sz w:val="24"/>
          <w:szCs w:val="24"/>
          <w:lang w:eastAsia="zh-CN"/>
        </w:rPr>
        <w:t>;</w:t>
      </w:r>
      <w:r w:rsidRPr="00324BBD">
        <w:rPr>
          <w:rFonts w:ascii="Book Antiqua" w:hAnsi="Book Antiqua"/>
          <w:sz w:val="24"/>
          <w:szCs w:val="24"/>
        </w:rPr>
        <w:t xml:space="preserve"> </w:t>
      </w:r>
      <w:r w:rsidR="00262F4A" w:rsidRPr="00324BBD">
        <w:rPr>
          <w:rFonts w:ascii="Book Antiqua" w:hAnsi="Book Antiqua"/>
          <w:sz w:val="24"/>
          <w:szCs w:val="24"/>
        </w:rPr>
        <w:t>H</w:t>
      </w:r>
      <w:r w:rsidRPr="00324BBD">
        <w:rPr>
          <w:rFonts w:ascii="Book Antiqua" w:hAnsi="Book Antiqua"/>
          <w:sz w:val="24"/>
          <w:szCs w:val="24"/>
        </w:rPr>
        <w:t>emolysis</w:t>
      </w:r>
      <w:r w:rsidR="00262F4A" w:rsidRPr="00324BBD">
        <w:rPr>
          <w:rFonts w:ascii="Book Antiqua" w:hAnsi="Book Antiqua"/>
          <w:sz w:val="24"/>
          <w:szCs w:val="24"/>
          <w:lang w:eastAsia="zh-CN"/>
        </w:rPr>
        <w:t>;</w:t>
      </w:r>
      <w:r w:rsidRPr="00324BBD">
        <w:rPr>
          <w:rFonts w:ascii="Book Antiqua" w:hAnsi="Book Antiqua"/>
          <w:sz w:val="24"/>
          <w:szCs w:val="24"/>
        </w:rPr>
        <w:t xml:space="preserve"> </w:t>
      </w:r>
      <w:r w:rsidR="00262F4A" w:rsidRPr="00324BBD">
        <w:rPr>
          <w:rFonts w:ascii="Book Antiqua" w:hAnsi="Book Antiqua"/>
          <w:sz w:val="24"/>
          <w:szCs w:val="24"/>
        </w:rPr>
        <w:t>He</w:t>
      </w:r>
      <w:r w:rsidRPr="00324BBD">
        <w:rPr>
          <w:rFonts w:ascii="Book Antiqua" w:hAnsi="Book Antiqua"/>
          <w:sz w:val="24"/>
          <w:szCs w:val="24"/>
        </w:rPr>
        <w:t xml:space="preserve">me </w:t>
      </w:r>
      <w:r w:rsidR="002137C7" w:rsidRPr="00324BBD">
        <w:rPr>
          <w:rFonts w:ascii="Book Antiqua" w:hAnsi="Book Antiqua"/>
          <w:sz w:val="24"/>
          <w:szCs w:val="24"/>
        </w:rPr>
        <w:t>o</w:t>
      </w:r>
      <w:r w:rsidRPr="00324BBD">
        <w:rPr>
          <w:rFonts w:ascii="Book Antiqua" w:hAnsi="Book Antiqua"/>
          <w:sz w:val="24"/>
          <w:szCs w:val="24"/>
        </w:rPr>
        <w:t>xygenase-1</w:t>
      </w:r>
    </w:p>
    <w:p w:rsidR="00AE0BEE" w:rsidRPr="00324BBD" w:rsidRDefault="00AE0BEE" w:rsidP="008759E1">
      <w:pPr>
        <w:snapToGrid w:val="0"/>
        <w:spacing w:line="360" w:lineRule="auto"/>
        <w:jc w:val="both"/>
        <w:rPr>
          <w:rFonts w:ascii="Book Antiqua" w:hAnsi="Book Antiqua"/>
          <w:b/>
          <w:sz w:val="24"/>
          <w:szCs w:val="24"/>
        </w:rPr>
      </w:pPr>
    </w:p>
    <w:p w:rsidR="00AE0BEE" w:rsidRPr="00324BBD" w:rsidRDefault="00AE0BEE" w:rsidP="008759E1">
      <w:pPr>
        <w:snapToGrid w:val="0"/>
        <w:spacing w:line="360" w:lineRule="auto"/>
        <w:jc w:val="both"/>
        <w:rPr>
          <w:rFonts w:ascii="Book Antiqua" w:hAnsi="Book Antiqua"/>
          <w:sz w:val="24"/>
          <w:szCs w:val="24"/>
        </w:rPr>
      </w:pPr>
      <w:r w:rsidRPr="00324BBD">
        <w:rPr>
          <w:rFonts w:ascii="Book Antiqua" w:hAnsi="Book Antiqua"/>
          <w:b/>
          <w:sz w:val="24"/>
          <w:szCs w:val="24"/>
        </w:rPr>
        <w:t>Core tip:</w:t>
      </w:r>
      <w:r w:rsidRPr="00324BBD">
        <w:rPr>
          <w:rFonts w:ascii="Book Antiqua" w:hAnsi="Book Antiqua"/>
          <w:sz w:val="24"/>
          <w:szCs w:val="24"/>
        </w:rPr>
        <w:t xml:space="preserve"> Innate immune tolerance leads to chronic hepatitis C</w:t>
      </w:r>
      <w:r w:rsidR="00262F4A" w:rsidRPr="00324BBD">
        <w:rPr>
          <w:rFonts w:ascii="Book Antiqua" w:hAnsi="Book Antiqua"/>
          <w:sz w:val="24"/>
          <w:szCs w:val="24"/>
          <w:lang w:eastAsia="zh-CN"/>
        </w:rPr>
        <w:t xml:space="preserve"> virus</w:t>
      </w:r>
      <w:r w:rsidRPr="00324BBD">
        <w:rPr>
          <w:rFonts w:ascii="Book Antiqua" w:hAnsi="Book Antiqua"/>
          <w:sz w:val="24"/>
          <w:szCs w:val="24"/>
        </w:rPr>
        <w:t xml:space="preserve"> (cHCV) infection as a pro-inflammatory state develops within the liver. </w:t>
      </w:r>
      <w:r w:rsidR="004E5F74" w:rsidRPr="00324BBD">
        <w:rPr>
          <w:rFonts w:ascii="Book Antiqua" w:hAnsi="Book Antiqua"/>
          <w:sz w:val="24"/>
          <w:szCs w:val="24"/>
        </w:rPr>
        <w:t>The s</w:t>
      </w:r>
      <w:r w:rsidRPr="00324BBD">
        <w:rPr>
          <w:rFonts w:ascii="Book Antiqua" w:hAnsi="Book Antiqua"/>
          <w:sz w:val="24"/>
          <w:szCs w:val="24"/>
        </w:rPr>
        <w:t>uppression of heme oxygenase-1 (HMOX1) by HCV plays a major role in perpetuating the infection and inflammation. Ribavirin (RBV) therapy</w:t>
      </w:r>
      <w:r w:rsidR="004E5F74" w:rsidRPr="00324BBD">
        <w:rPr>
          <w:rFonts w:ascii="Book Antiqua" w:hAnsi="Book Antiqua"/>
          <w:sz w:val="24"/>
          <w:szCs w:val="24"/>
        </w:rPr>
        <w:t>,</w:t>
      </w:r>
      <w:r w:rsidRPr="00324BBD">
        <w:rPr>
          <w:rFonts w:ascii="Book Antiqua" w:hAnsi="Book Antiqua"/>
          <w:sz w:val="24"/>
          <w:szCs w:val="24"/>
        </w:rPr>
        <w:t xml:space="preserve"> which increases heme delivery to the liver</w:t>
      </w:r>
      <w:r w:rsidR="004E5F74" w:rsidRPr="00324BBD">
        <w:rPr>
          <w:rFonts w:ascii="Book Antiqua" w:hAnsi="Book Antiqua"/>
          <w:sz w:val="24"/>
          <w:szCs w:val="24"/>
        </w:rPr>
        <w:t>,</w:t>
      </w:r>
      <w:r w:rsidRPr="00324BBD">
        <w:rPr>
          <w:rFonts w:ascii="Book Antiqua" w:hAnsi="Book Antiqua"/>
          <w:sz w:val="24"/>
          <w:szCs w:val="24"/>
        </w:rPr>
        <w:t xml:space="preserve"> can overcome this inhibition. HMOX1 </w:t>
      </w:r>
      <w:r w:rsidR="004E5F74" w:rsidRPr="00324BBD">
        <w:rPr>
          <w:rFonts w:ascii="Book Antiqua" w:hAnsi="Book Antiqua"/>
          <w:sz w:val="24"/>
          <w:szCs w:val="24"/>
        </w:rPr>
        <w:t xml:space="preserve">induction </w:t>
      </w:r>
      <w:r w:rsidRPr="00324BBD">
        <w:rPr>
          <w:rFonts w:ascii="Book Antiqua" w:hAnsi="Book Antiqua"/>
          <w:sz w:val="24"/>
          <w:szCs w:val="24"/>
        </w:rPr>
        <w:t xml:space="preserve">in </w:t>
      </w:r>
      <w:r w:rsidR="00967670" w:rsidRPr="00324BBD">
        <w:rPr>
          <w:rFonts w:ascii="Book Antiqua" w:hAnsi="Book Antiqua"/>
          <w:sz w:val="24"/>
          <w:szCs w:val="24"/>
        </w:rPr>
        <w:t>Kupffer</w:t>
      </w:r>
      <w:r w:rsidRPr="00324BBD">
        <w:rPr>
          <w:rFonts w:ascii="Book Antiqua" w:hAnsi="Book Antiqua"/>
          <w:sz w:val="24"/>
          <w:szCs w:val="24"/>
        </w:rPr>
        <w:t xml:space="preserve"> cells reduces the pro-inflammatory state produced by HCV, whereas </w:t>
      </w:r>
      <w:r w:rsidR="004E5F74" w:rsidRPr="00324BBD">
        <w:rPr>
          <w:rFonts w:ascii="Book Antiqua" w:hAnsi="Book Antiqua"/>
          <w:sz w:val="24"/>
          <w:szCs w:val="24"/>
        </w:rPr>
        <w:t xml:space="preserve">HMOX1 induction </w:t>
      </w:r>
      <w:r w:rsidRPr="00324BBD">
        <w:rPr>
          <w:rFonts w:ascii="Book Antiqua" w:hAnsi="Book Antiqua"/>
          <w:sz w:val="24"/>
          <w:szCs w:val="24"/>
        </w:rPr>
        <w:t>in hepatocytes decreases viral multiplication and apoptosis. HMOX1</w:t>
      </w:r>
      <w:r w:rsidR="004E5F74" w:rsidRPr="00324BBD">
        <w:rPr>
          <w:rFonts w:ascii="Book Antiqua" w:hAnsi="Book Antiqua"/>
          <w:sz w:val="24"/>
          <w:szCs w:val="24"/>
        </w:rPr>
        <w:t xml:space="preserve">-induced hemolysis </w:t>
      </w:r>
      <w:r w:rsidRPr="00324BBD">
        <w:rPr>
          <w:rFonts w:ascii="Book Antiqua" w:hAnsi="Book Antiqua"/>
          <w:sz w:val="24"/>
          <w:szCs w:val="24"/>
        </w:rPr>
        <w:t>in the liver results in h</w:t>
      </w:r>
      <w:r w:rsidR="008561CC" w:rsidRPr="00324BBD">
        <w:rPr>
          <w:rFonts w:ascii="Book Antiqua" w:hAnsi="Book Antiqua"/>
          <w:sz w:val="24"/>
          <w:szCs w:val="24"/>
        </w:rPr>
        <w:t xml:space="preserve">igher sustained viral response </w:t>
      </w:r>
      <w:r w:rsidRPr="00324BBD">
        <w:rPr>
          <w:rFonts w:ascii="Book Antiqua" w:hAnsi="Book Antiqua"/>
          <w:sz w:val="24"/>
          <w:szCs w:val="24"/>
        </w:rPr>
        <w:t>rates when RBV is used with interferon in the treatment of cHCV.</w:t>
      </w:r>
      <w:bookmarkStart w:id="186" w:name="_GoBack"/>
      <w:bookmarkEnd w:id="186"/>
    </w:p>
    <w:p w:rsidR="00D74803" w:rsidRPr="00324BBD" w:rsidRDefault="00D74803" w:rsidP="008759E1">
      <w:pPr>
        <w:snapToGrid w:val="0"/>
        <w:spacing w:line="360" w:lineRule="auto"/>
        <w:jc w:val="both"/>
        <w:rPr>
          <w:rFonts w:ascii="Book Antiqua" w:hAnsi="Book Antiqua"/>
          <w:sz w:val="24"/>
          <w:szCs w:val="24"/>
          <w:lang w:eastAsia="zh-CN"/>
        </w:rPr>
      </w:pPr>
    </w:p>
    <w:p w:rsidR="008561CC" w:rsidRPr="00324BBD" w:rsidRDefault="00D74803" w:rsidP="008561CC">
      <w:pPr>
        <w:snapToGrid w:val="0"/>
        <w:spacing w:line="360" w:lineRule="auto"/>
        <w:jc w:val="both"/>
        <w:rPr>
          <w:rFonts w:ascii="Book Antiqua" w:hAnsi="Book Antiqua" w:cs="Tahoma"/>
          <w:sz w:val="24"/>
          <w:szCs w:val="24"/>
          <w:lang w:eastAsia="zh-CN"/>
        </w:rPr>
      </w:pPr>
      <w:r w:rsidRPr="00324BBD">
        <w:rPr>
          <w:rFonts w:ascii="Book Antiqua" w:hAnsi="Book Antiqua"/>
          <w:sz w:val="24"/>
          <w:szCs w:val="24"/>
        </w:rPr>
        <w:t>Soota K, Maliakkal B</w:t>
      </w:r>
      <w:r w:rsidR="008561CC" w:rsidRPr="00324BBD">
        <w:rPr>
          <w:rFonts w:ascii="Book Antiqua" w:hAnsi="Book Antiqua"/>
          <w:sz w:val="24"/>
          <w:szCs w:val="24"/>
          <w:lang w:eastAsia="zh-CN"/>
        </w:rPr>
        <w:t>.</w:t>
      </w:r>
      <w:r w:rsidR="008561CC" w:rsidRPr="00324BBD">
        <w:rPr>
          <w:rFonts w:ascii="Book Antiqua" w:hAnsi="Book Antiqua" w:cs="Tahoma"/>
          <w:sz w:val="24"/>
          <w:szCs w:val="24"/>
        </w:rPr>
        <w:t xml:space="preserve"> Ribavirin induced hemolysis: A novel mechanism of action against chronic </w:t>
      </w:r>
      <w:r w:rsidR="008561CC" w:rsidRPr="00324BBD">
        <w:rPr>
          <w:rFonts w:ascii="Book Antiqua" w:hAnsi="Book Antiqua"/>
          <w:sz w:val="24"/>
          <w:szCs w:val="24"/>
        </w:rPr>
        <w:t xml:space="preserve">hepatitis C virus </w:t>
      </w:r>
      <w:r w:rsidR="008561CC" w:rsidRPr="00324BBD">
        <w:rPr>
          <w:rFonts w:ascii="Book Antiqua" w:hAnsi="Book Antiqua" w:cs="Tahoma"/>
          <w:sz w:val="24"/>
          <w:szCs w:val="24"/>
        </w:rPr>
        <w:t>infection</w:t>
      </w:r>
      <w:r w:rsidR="008561CC" w:rsidRPr="00324BBD">
        <w:rPr>
          <w:rFonts w:ascii="Book Antiqua" w:hAnsi="Book Antiqua" w:cs="Tahoma"/>
          <w:sz w:val="24"/>
          <w:szCs w:val="24"/>
          <w:lang w:eastAsia="zh-CN"/>
        </w:rPr>
        <w:t>.</w:t>
      </w:r>
      <w:bookmarkStart w:id="187" w:name="OLE_LINK335"/>
      <w:bookmarkStart w:id="188" w:name="OLE_LINK336"/>
      <w:bookmarkStart w:id="189" w:name="OLE_LINK87"/>
      <w:bookmarkStart w:id="190" w:name="OLE_LINK97"/>
      <w:bookmarkStart w:id="191" w:name="OLE_LINK144"/>
      <w:bookmarkStart w:id="192" w:name="OLE_LINK152"/>
      <w:bookmarkStart w:id="193" w:name="OLE_LINK163"/>
      <w:bookmarkStart w:id="194" w:name="OLE_LINK1297"/>
      <w:bookmarkStart w:id="195" w:name="OLE_LINK1298"/>
      <w:bookmarkStart w:id="196" w:name="OLE_LINK1689"/>
      <w:bookmarkStart w:id="197" w:name="OLE_LINK1895"/>
      <w:bookmarkStart w:id="198" w:name="OLE_LINK1897"/>
      <w:bookmarkStart w:id="199" w:name="OLE_LINK1937"/>
      <w:bookmarkStart w:id="200" w:name="OLE_LINK2087"/>
      <w:bookmarkStart w:id="201" w:name="OLE_LINK2088"/>
      <w:bookmarkStart w:id="202" w:name="OLE_LINK2569"/>
      <w:bookmarkStart w:id="203" w:name="OLE_LINK2570"/>
      <w:bookmarkStart w:id="204" w:name="OLE_LINK2127"/>
      <w:bookmarkStart w:id="205" w:name="OLE_LINK2128"/>
      <w:bookmarkStart w:id="206" w:name="OLE_LINK2200"/>
      <w:bookmarkStart w:id="207" w:name="OLE_LINK2113"/>
      <w:bookmarkStart w:id="208" w:name="OLE_LINK2391"/>
      <w:bookmarkStart w:id="209" w:name="OLE_LINK2392"/>
      <w:bookmarkStart w:id="210" w:name="OLE_LINK2499"/>
      <w:bookmarkStart w:id="211" w:name="OLE_LINK2782"/>
      <w:bookmarkStart w:id="212" w:name="OLE_LINK2783"/>
      <w:bookmarkStart w:id="213" w:name="OLE_LINK2667"/>
      <w:bookmarkStart w:id="214" w:name="OLE_LINK2668"/>
      <w:bookmarkStart w:id="215" w:name="OLE_LINK2766"/>
      <w:bookmarkStart w:id="216" w:name="OLE_LINK3008"/>
      <w:bookmarkStart w:id="217" w:name="OLE_LINK3156"/>
      <w:bookmarkStart w:id="218" w:name="OLE_LINK3303"/>
      <w:bookmarkStart w:id="219" w:name="OLE_LINK3304"/>
      <w:bookmarkStart w:id="220" w:name="OLE_LINK2689"/>
      <w:bookmarkStart w:id="221" w:name="OLE_LINK2588"/>
      <w:bookmarkStart w:id="222" w:name="OLE_LINK2769"/>
      <w:bookmarkStart w:id="223" w:name="OLE_LINK3019"/>
      <w:bookmarkStart w:id="224" w:name="OLE_LINK3020"/>
      <w:r w:rsidR="008561CC" w:rsidRPr="00324BBD">
        <w:rPr>
          <w:rFonts w:ascii="Book Antiqua" w:hAnsi="Book Antiqua"/>
          <w:i/>
          <w:sz w:val="24"/>
          <w:szCs w:val="24"/>
        </w:rPr>
        <w:t xml:space="preserve"> World J Gastroenterol</w:t>
      </w:r>
      <w:r w:rsidR="008561CC" w:rsidRPr="00324BBD">
        <w:rPr>
          <w:rFonts w:ascii="Book Antiqua" w:hAnsi="Book Antiqua"/>
          <w:sz w:val="24"/>
          <w:szCs w:val="24"/>
        </w:rPr>
        <w:t xml:space="preserve"> </w:t>
      </w:r>
      <w:bookmarkEnd w:id="187"/>
      <w:bookmarkEnd w:id="188"/>
      <w:r w:rsidR="008561CC" w:rsidRPr="00324BBD">
        <w:rPr>
          <w:rFonts w:ascii="Book Antiqua" w:hAnsi="Book Antiqua"/>
          <w:sz w:val="24"/>
          <w:szCs w:val="24"/>
        </w:rPr>
        <w:t>2014;</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008561CC" w:rsidRPr="00324BBD">
        <w:rPr>
          <w:rFonts w:ascii="Book Antiqua" w:hAnsi="Book Antiqua"/>
          <w:sz w:val="24"/>
          <w:szCs w:val="24"/>
        </w:rPr>
        <w:t xml:space="preserve"> In press</w:t>
      </w:r>
    </w:p>
    <w:p w:rsidR="00D74803" w:rsidRPr="00324BBD" w:rsidRDefault="00D74803" w:rsidP="008759E1">
      <w:pPr>
        <w:snapToGrid w:val="0"/>
        <w:spacing w:line="360" w:lineRule="auto"/>
        <w:jc w:val="both"/>
        <w:rPr>
          <w:rFonts w:ascii="Book Antiqua" w:hAnsi="Book Antiqua" w:cs="Tahoma"/>
          <w:b/>
          <w:sz w:val="24"/>
          <w:szCs w:val="24"/>
        </w:rPr>
      </w:pPr>
    </w:p>
    <w:p w:rsidR="00D74803" w:rsidRPr="00324BBD" w:rsidRDefault="00D74803" w:rsidP="008759E1">
      <w:pPr>
        <w:snapToGrid w:val="0"/>
        <w:spacing w:line="360" w:lineRule="auto"/>
        <w:jc w:val="both"/>
        <w:rPr>
          <w:rFonts w:ascii="Book Antiqua" w:hAnsi="Book Antiqua"/>
          <w:sz w:val="24"/>
          <w:szCs w:val="24"/>
        </w:rPr>
      </w:pPr>
    </w:p>
    <w:p w:rsidR="00AE0BEE" w:rsidRPr="00324BBD" w:rsidRDefault="00AE0BEE" w:rsidP="008759E1">
      <w:pPr>
        <w:snapToGrid w:val="0"/>
        <w:spacing w:line="360" w:lineRule="auto"/>
        <w:jc w:val="both"/>
        <w:rPr>
          <w:rFonts w:ascii="Book Antiqua" w:hAnsi="Book Antiqua"/>
          <w:sz w:val="24"/>
          <w:szCs w:val="24"/>
        </w:rPr>
      </w:pPr>
    </w:p>
    <w:p w:rsidR="00AE0BEE" w:rsidRPr="00324BBD" w:rsidRDefault="00AE0BEE" w:rsidP="008759E1">
      <w:pPr>
        <w:snapToGrid w:val="0"/>
        <w:spacing w:line="360" w:lineRule="auto"/>
        <w:jc w:val="both"/>
        <w:rPr>
          <w:rFonts w:ascii="Book Antiqua" w:hAnsi="Book Antiqua"/>
          <w:sz w:val="24"/>
          <w:szCs w:val="24"/>
        </w:rPr>
      </w:pPr>
    </w:p>
    <w:p w:rsidR="00AE0BEE" w:rsidRPr="00324BBD" w:rsidRDefault="00AE0BEE" w:rsidP="008759E1">
      <w:pPr>
        <w:snapToGrid w:val="0"/>
        <w:spacing w:line="360" w:lineRule="auto"/>
        <w:jc w:val="both"/>
        <w:rPr>
          <w:rFonts w:ascii="Book Antiqua" w:hAnsi="Book Antiqua"/>
          <w:sz w:val="24"/>
          <w:szCs w:val="24"/>
        </w:rPr>
      </w:pPr>
    </w:p>
    <w:p w:rsidR="00AE0BEE" w:rsidRPr="00324BBD" w:rsidRDefault="00AE0BEE" w:rsidP="008759E1">
      <w:pPr>
        <w:snapToGrid w:val="0"/>
        <w:spacing w:line="360" w:lineRule="auto"/>
        <w:jc w:val="both"/>
        <w:rPr>
          <w:rFonts w:ascii="Book Antiqua" w:hAnsi="Book Antiqua"/>
          <w:sz w:val="24"/>
          <w:szCs w:val="24"/>
        </w:rPr>
      </w:pPr>
    </w:p>
    <w:p w:rsidR="00AE0BEE" w:rsidRPr="00324BBD" w:rsidRDefault="00AE0BEE" w:rsidP="008759E1">
      <w:pPr>
        <w:snapToGrid w:val="0"/>
        <w:spacing w:line="360" w:lineRule="auto"/>
        <w:jc w:val="both"/>
        <w:rPr>
          <w:rFonts w:ascii="Book Antiqua" w:hAnsi="Book Antiqua"/>
          <w:sz w:val="24"/>
          <w:szCs w:val="24"/>
        </w:rPr>
      </w:pPr>
    </w:p>
    <w:p w:rsidR="00AE0BEE" w:rsidRPr="00324BBD" w:rsidRDefault="00AE0BEE" w:rsidP="008759E1">
      <w:pPr>
        <w:snapToGrid w:val="0"/>
        <w:spacing w:line="360" w:lineRule="auto"/>
        <w:jc w:val="both"/>
        <w:rPr>
          <w:rFonts w:ascii="Book Antiqua" w:hAnsi="Book Antiqua"/>
          <w:sz w:val="24"/>
          <w:szCs w:val="24"/>
        </w:rPr>
      </w:pPr>
    </w:p>
    <w:p w:rsidR="00AE0BEE" w:rsidRPr="00324BBD" w:rsidRDefault="00AE0BEE" w:rsidP="008759E1">
      <w:pPr>
        <w:snapToGrid w:val="0"/>
        <w:spacing w:line="360" w:lineRule="auto"/>
        <w:jc w:val="both"/>
        <w:rPr>
          <w:rFonts w:ascii="Book Antiqua" w:hAnsi="Book Antiqua"/>
          <w:sz w:val="24"/>
          <w:szCs w:val="24"/>
          <w:lang w:eastAsia="zh-CN"/>
        </w:rPr>
      </w:pPr>
    </w:p>
    <w:p w:rsidR="00D74803" w:rsidRPr="00324BBD" w:rsidRDefault="00D74803" w:rsidP="008759E1">
      <w:pPr>
        <w:snapToGrid w:val="0"/>
        <w:spacing w:line="360" w:lineRule="auto"/>
        <w:jc w:val="both"/>
        <w:rPr>
          <w:rFonts w:ascii="Book Antiqua" w:hAnsi="Book Antiqua"/>
          <w:b/>
          <w:sz w:val="24"/>
          <w:szCs w:val="24"/>
        </w:rPr>
      </w:pPr>
      <w:r w:rsidRPr="00324BBD">
        <w:rPr>
          <w:rFonts w:ascii="Book Antiqua" w:hAnsi="Book Antiqua"/>
          <w:b/>
          <w:sz w:val="24"/>
          <w:szCs w:val="24"/>
        </w:rPr>
        <w:t>INTRODUCTION</w:t>
      </w:r>
    </w:p>
    <w:p w:rsidR="00D40421" w:rsidRPr="00324BBD" w:rsidRDefault="00D40421" w:rsidP="008759E1">
      <w:pPr>
        <w:snapToGrid w:val="0"/>
        <w:spacing w:line="360" w:lineRule="auto"/>
        <w:jc w:val="both"/>
        <w:rPr>
          <w:rFonts w:ascii="Book Antiqua" w:hAnsi="Book Antiqua"/>
          <w:sz w:val="24"/>
          <w:szCs w:val="24"/>
        </w:rPr>
      </w:pPr>
      <w:r w:rsidRPr="00324BBD">
        <w:rPr>
          <w:rFonts w:ascii="Book Antiqua" w:hAnsi="Book Antiqua"/>
          <w:sz w:val="24"/>
          <w:szCs w:val="24"/>
        </w:rPr>
        <w:t xml:space="preserve">Hepatitis C is a major public health problem affecting </w:t>
      </w:r>
      <w:r w:rsidR="00EA1B11" w:rsidRPr="00324BBD">
        <w:rPr>
          <w:rFonts w:ascii="Book Antiqua" w:hAnsi="Book Antiqua"/>
          <w:sz w:val="24"/>
          <w:szCs w:val="24"/>
        </w:rPr>
        <w:t>approximately 2</w:t>
      </w:r>
      <w:r w:rsidRPr="00324BBD">
        <w:rPr>
          <w:rFonts w:ascii="Book Antiqua" w:hAnsi="Book Antiqua"/>
          <w:sz w:val="24"/>
          <w:szCs w:val="24"/>
        </w:rPr>
        <w:t>% of the world’s population</w:t>
      </w:r>
      <w:r w:rsidR="004E5F74" w:rsidRPr="00324BBD">
        <w:rPr>
          <w:rFonts w:ascii="Book Antiqua" w:hAnsi="Book Antiqua"/>
          <w:sz w:val="24"/>
          <w:szCs w:val="24"/>
        </w:rPr>
        <w:t>,</w:t>
      </w:r>
      <w:r w:rsidRPr="00324BBD">
        <w:rPr>
          <w:rFonts w:ascii="Book Antiqua" w:hAnsi="Book Antiqua"/>
          <w:sz w:val="24"/>
          <w:szCs w:val="24"/>
        </w:rPr>
        <w:t xml:space="preserve"> which constitutes almost 170 million people</w:t>
      </w:r>
      <w:r w:rsidR="00EB5F99" w:rsidRPr="00324BBD">
        <w:rPr>
          <w:rFonts w:ascii="Book Antiqua" w:hAnsi="Book Antiqua"/>
          <w:sz w:val="24"/>
          <w:szCs w:val="24"/>
        </w:rPr>
        <w:fldChar w:fldCharType="begin"/>
      </w:r>
      <w:r w:rsidR="00EF3DEE" w:rsidRPr="00324BBD">
        <w:rPr>
          <w:rFonts w:ascii="Book Antiqua" w:hAnsi="Book Antiqua"/>
          <w:sz w:val="24"/>
          <w:szCs w:val="24"/>
        </w:rPr>
        <w:instrText xml:space="preserve"> ADDIN ZOTERO_ITEM CSL_CITATION {"citationID":"6gJULdUg","properties":{"formattedCitation":"{\\rtf \\super [4]\\nosupersub{}}","plainCitation":"[4]","dontUpdate":true},"citationItems":[{"id":42,"uris":["http://zotero.org/users/1747505/items/QRZ2JWJU"],"uri":["http://zotero.org/users/1747505/items/QRZ2JWJU"],"itemData":{"id":42,"type":"article-journal","title":"Hepatitis C Virus Infection","container-title":"New England Journal of Medicine","page":"41-52","volume":"345","issue":"1","source":"Taylor and Francis+NEJM","abstract":"Hepatitis C virus (HCV) infects an estimated 170 million persons worldwide and thus represents a viral pandemic, one that is five times as widespread as infection with the human immunodeficiency virus type 1 (HIV-1). The institution of blood-screening measures in developed countries has decreased the risk of transfusion-associated hepatitis to a negligible level, but new cases continue to occur mainly as a result of injection-drug use and, to a lesser degree, through other means of percutaneous or mucous-membrane exposure. Progression to chronic disease occurs in the majority of HCV-infected persons, and infection with the virus has become the main indication . . .","DOI":"10.1056/NEJM200107053450107","ISSN":"0028-4793","note":"PMID: 11439948","author":[{"family":"Lauer","given":"Georg M."},{"family":"Walker","given":"Bruce D."}],"issued":{"date-parts":[["2001"]]},"accessed":{"date-parts":[["2014",1,11]],"season":"19:50:59"},"PMID":"11439948"}}],"schema":"https://github.com/citation-style-language/schema/raw/master/csl-citation.json"} </w:instrText>
      </w:r>
      <w:r w:rsidR="00EB5F99" w:rsidRPr="00324BBD">
        <w:rPr>
          <w:rFonts w:ascii="Book Antiqua" w:hAnsi="Book Antiqua"/>
          <w:sz w:val="24"/>
          <w:szCs w:val="24"/>
        </w:rPr>
        <w:fldChar w:fldCharType="separate"/>
      </w:r>
      <w:r w:rsidR="00565765" w:rsidRPr="00324BBD">
        <w:rPr>
          <w:rFonts w:ascii="Book Antiqua" w:hAnsi="Book Antiqua" w:cs="Times New Roman"/>
          <w:sz w:val="24"/>
          <w:szCs w:val="24"/>
          <w:vertAlign w:val="superscript"/>
        </w:rPr>
        <w:t>[1]</w:t>
      </w:r>
      <w:r w:rsidR="00EB5F99" w:rsidRPr="00324BBD">
        <w:rPr>
          <w:rFonts w:ascii="Book Antiqua" w:hAnsi="Book Antiqua"/>
          <w:sz w:val="24"/>
          <w:szCs w:val="24"/>
        </w:rPr>
        <w:fldChar w:fldCharType="end"/>
      </w:r>
      <w:r w:rsidRPr="00324BBD">
        <w:rPr>
          <w:rFonts w:ascii="Book Antiqua" w:hAnsi="Book Antiqua"/>
          <w:sz w:val="24"/>
          <w:szCs w:val="24"/>
        </w:rPr>
        <w:t xml:space="preserve">. Most of the infections are due to hepatitis C </w:t>
      </w:r>
      <w:r w:rsidR="004E5F74" w:rsidRPr="00324BBD">
        <w:rPr>
          <w:rFonts w:ascii="Book Antiqua" w:hAnsi="Book Antiqua"/>
          <w:sz w:val="24"/>
          <w:szCs w:val="24"/>
        </w:rPr>
        <w:t>v</w:t>
      </w:r>
      <w:r w:rsidRPr="00324BBD">
        <w:rPr>
          <w:rFonts w:ascii="Book Antiqua" w:hAnsi="Book Antiqua"/>
          <w:sz w:val="24"/>
          <w:szCs w:val="24"/>
        </w:rPr>
        <w:t xml:space="preserve">irus (HCV) </w:t>
      </w:r>
      <w:r w:rsidR="004E5F74" w:rsidRPr="00324BBD">
        <w:rPr>
          <w:rFonts w:ascii="Book Antiqua" w:hAnsi="Book Antiqua"/>
          <w:sz w:val="24"/>
          <w:szCs w:val="24"/>
        </w:rPr>
        <w:t xml:space="preserve">genotype 1, </w:t>
      </w:r>
      <w:r w:rsidRPr="00324BBD">
        <w:rPr>
          <w:rFonts w:ascii="Book Antiqua" w:hAnsi="Book Antiqua"/>
          <w:sz w:val="24"/>
          <w:szCs w:val="24"/>
        </w:rPr>
        <w:t>which responded poorly to therapy until the advent of direct</w:t>
      </w:r>
      <w:r w:rsidR="004E5F74" w:rsidRPr="00324BBD">
        <w:rPr>
          <w:rFonts w:ascii="Book Antiqua" w:hAnsi="Book Antiqua"/>
          <w:sz w:val="24"/>
          <w:szCs w:val="24"/>
        </w:rPr>
        <w:t>-</w:t>
      </w:r>
      <w:r w:rsidRPr="00324BBD">
        <w:rPr>
          <w:rFonts w:ascii="Book Antiqua" w:hAnsi="Book Antiqua"/>
          <w:sz w:val="24"/>
          <w:szCs w:val="24"/>
        </w:rPr>
        <w:t>acting agents (DAAs)</w:t>
      </w:r>
      <w:r w:rsidR="00EB5F99" w:rsidRPr="00324BBD">
        <w:rPr>
          <w:rFonts w:ascii="Book Antiqua" w:hAnsi="Book Antiqua"/>
          <w:sz w:val="24"/>
          <w:szCs w:val="24"/>
        </w:rPr>
        <w:fldChar w:fldCharType="begin"/>
      </w:r>
      <w:r w:rsidR="00EF3DEE" w:rsidRPr="00324BBD">
        <w:rPr>
          <w:rFonts w:ascii="Book Antiqua" w:hAnsi="Book Antiqua"/>
          <w:sz w:val="24"/>
          <w:szCs w:val="24"/>
        </w:rPr>
        <w:instrText xml:space="preserve"> ADDIN ZOTERO_ITEM CSL_CITATION {"citationID":"7Ph7Dk5W","properties":{"formattedCitation":"{\\rtf \\super [1]\\nosupersub{}}","plainCitation":"[1]","dontUpdate":true},"citationItems":[{"id":1116,"uris":["http://zotero.org/users/1747505/items/WXFH86J6"],"uri":["http://zotero.org/users/1747505/items/WXFH86J6"],"itemData":{"id":1116,"type":"article-journal","title":"Direct acting antivirals for the treatment of chronic hepatitis C: one pill a day for tomorrow","container-title":"Liver international: official journal of the International Association for the Study of the Liver","page":"88-102","volume":"32 Suppl 1","source":"NCBI PubMed","abstract":"Chronic hepatitis C is one of the leading causes of chronic liver disease with approximately 170 million people infected worldwide. Sustained virological response (SVR) is equivalent to viral eradication and associated with a reduction in the risk of cirrhosis. Nowadays the treatment for hepatitis C virus (HCV) genotype 1 chronic infection is the addition of direct acting antivirals (DAA) with a protease inhibitor (telaprevir or boceprevir) to the pegylated interferon (PEG-IFN) plus ribavirin (RBV) regimen. The future management of patients with these new molecules will require good clinical practice, knowledge of indications, management of side effects and monitoring for antiviral resistance. Certain major medical needs are still unmet and require studies in special populations (HIV-HCV coinfected patients, transplanted patients, etc.…) and also in HCV non-1 genotype patients and in non-responders. Second generation DAA are in development. Combinations of antivirals with additive potency that lack cross resistance and with a good safety profile may provide new regimens in the future to make HCV the first chronic viral infection eradicated worldwide with a finite duration of combination DAA therapy without IFN. The aim of this review is to summarize mechanisms of action and results obtained with DAAs.","DOI":"10.1111/j.1478-3231.2011.02699.x","ISSN":"1478-3231","note":"PMID: 22212578","shortTitle":"Direct acting antivirals for the treatment of chronic hepatitis C","journalAbbreviation":"Liver Int.","language":"eng","author":[{"family":"Asselah","given":"Tarik"},{"family":"Marcellin","given":"Patrick"}],"issued":{"date-parts":[["2012",2]]},"PMID":"22212578"}}],"schema":"https://github.com/citation-style-language/schema/raw/master/csl-citation.json"} </w:instrText>
      </w:r>
      <w:r w:rsidR="00EB5F99" w:rsidRPr="00324BBD">
        <w:rPr>
          <w:rFonts w:ascii="Book Antiqua" w:hAnsi="Book Antiqua"/>
          <w:sz w:val="24"/>
          <w:szCs w:val="24"/>
        </w:rPr>
        <w:fldChar w:fldCharType="separate"/>
      </w:r>
      <w:r w:rsidR="00565765" w:rsidRPr="00324BBD">
        <w:rPr>
          <w:rFonts w:ascii="Book Antiqua" w:hAnsi="Book Antiqua" w:cs="Times New Roman"/>
          <w:sz w:val="24"/>
          <w:szCs w:val="24"/>
          <w:vertAlign w:val="superscript"/>
        </w:rPr>
        <w:t>[2]</w:t>
      </w:r>
      <w:r w:rsidR="00EB5F99" w:rsidRPr="00324BBD">
        <w:rPr>
          <w:rFonts w:ascii="Book Antiqua" w:hAnsi="Book Antiqua"/>
          <w:sz w:val="24"/>
          <w:szCs w:val="24"/>
        </w:rPr>
        <w:fldChar w:fldCharType="end"/>
      </w:r>
      <w:r w:rsidRPr="00324BBD">
        <w:rPr>
          <w:rFonts w:ascii="Book Antiqua" w:hAnsi="Book Antiqua"/>
          <w:sz w:val="24"/>
          <w:szCs w:val="24"/>
        </w:rPr>
        <w:t>.</w:t>
      </w:r>
      <w:r w:rsidR="00EB5F99" w:rsidRPr="00324BBD">
        <w:rPr>
          <w:rFonts w:ascii="Book Antiqua" w:hAnsi="Book Antiqua"/>
          <w:sz w:val="24"/>
          <w:szCs w:val="24"/>
        </w:rPr>
        <w:fldChar w:fldCharType="begin"/>
      </w:r>
      <w:r w:rsidRPr="00324BBD">
        <w:rPr>
          <w:rFonts w:ascii="Book Antiqua" w:hAnsi="Book Antiqua"/>
          <w:sz w:val="24"/>
          <w:szCs w:val="24"/>
        </w:rPr>
        <w:instrText xml:space="preserve"> ADDIN ZOTERO_ITEM CSL_CITATION {"citationID":"16vjt3dm3n","properties":{"custom":"(2)","formattedCitation":"(2)","plainCitation":"(2)"},"citationItems":[{"id":3,"uris":["http://zotero.org/users/1747505/items/HABHZS3H"],"uri":["http://zotero.org/users/1747505/items/HABHZS3H"],"itemData":{"id":3,"type":"article-journal","title":"The Changing Epidemiology of Hepatitis C Virus Infection in the United States: National Health and Nutrition Examination Survey 2001 Through 2010","container-title":"Journal of hepatology","source":"NCBI PubMed","abstract":"BACKGROUND: In light of dramatically changing hepatitis C therapeutic landscape, knowledge of the current burden of HCV infection in the general population of the United States is critical.\nMETHODS AND PARTICIPANTS: The National Health and Nutrition Examination survey collects nationally representative data on HCV infection in the civilian population of the United States. Data from 2001 to 2010 were combined for this study. HCV testing was completed in 38,025 participants.\nRESULTS: The prevalence of anti-HCV in the United Sates decreased from 1.9% (95% CI1.5%-2.5%) in 2001-2002 to 1.3% (95% CI 0.9%-1.8%) in 2005-2006, and remained stable up to 2010. About 67% of all infected persons were positive for HCV RNA, indicating 2.3 million people with chronic HCV infection, of whom 68% have genotype 1. Seventy percent of infected persons were born between 1945 and 1965, with prevalence of 3.5% (95% CI 2.2%-4.8%). The stable rate since 2006 is mostly related to prevalent cases and foreign born persons migrating into US. Other important risk factors include less education and low economic status. Race, HIV status, number of sexual partners and blood transfusions are no longer associated with HCV infection.\nCONCLUSIONS: As of 2010, approximately 2.3 million persons were chronically infected with Hepatitis C in the US. Most of those infected are prevalent, rather than incident cases. The prevalence of HCV was on the decline, but has stabilized since 2006. Future studies should explore reasons for no decline in HCV prevalence since 2006.","DOI":"10.1016/j.jhep.2013.11.014","ISSN":"1600-0641","note":"PMID: 24291324","shortTitle":"The Changing Epidemiology of Hepatitis C Virus Infection in the United States","journalAbbreviation":"J. Hepatol.","language":"ENG","author":[{"family":"Ditah","given":"Ivo"},{"family":"Ditah","given":"Fausta"},{"family":"Devaki","given":"Pardha"},{"family":"Ewelukwa","given":"Oforbuike"},{"family":"Ditah","given":"Chobufo"},{"family":"Njei","given":"Basile"},{"family":"Luma","given":"Henry N"}],"issued":{"date-parts":[["2013",11,27]]},"PMID":"24291324"}}],"schema":"https://github.com/citation-style-language/schema/raw/master/csl-citation.json"} </w:instrText>
      </w:r>
      <w:r w:rsidR="00EB5F99" w:rsidRPr="00324BBD">
        <w:rPr>
          <w:rFonts w:ascii="Book Antiqua" w:hAnsi="Book Antiqua"/>
          <w:sz w:val="24"/>
          <w:szCs w:val="24"/>
        </w:rPr>
        <w:fldChar w:fldCharType="end"/>
      </w:r>
      <w:r w:rsidRPr="00324BBD">
        <w:rPr>
          <w:rFonts w:ascii="Book Antiqua" w:hAnsi="Book Antiqua"/>
          <w:sz w:val="24"/>
          <w:szCs w:val="24"/>
        </w:rPr>
        <w:t xml:space="preserve"> With such a </w:t>
      </w:r>
      <w:r w:rsidR="004E5F74" w:rsidRPr="00324BBD">
        <w:rPr>
          <w:rFonts w:ascii="Book Antiqua" w:hAnsi="Book Antiqua"/>
          <w:sz w:val="24"/>
          <w:szCs w:val="24"/>
        </w:rPr>
        <w:t xml:space="preserve">large </w:t>
      </w:r>
      <w:r w:rsidR="002B215C" w:rsidRPr="00324BBD">
        <w:rPr>
          <w:rFonts w:ascii="Book Antiqua" w:hAnsi="Book Antiqua"/>
          <w:sz w:val="24"/>
          <w:szCs w:val="24"/>
        </w:rPr>
        <w:t>disease</w:t>
      </w:r>
      <w:r w:rsidRPr="00324BBD">
        <w:rPr>
          <w:rFonts w:ascii="Book Antiqua" w:hAnsi="Book Antiqua"/>
          <w:sz w:val="24"/>
          <w:szCs w:val="24"/>
        </w:rPr>
        <w:t xml:space="preserve"> burden, </w:t>
      </w:r>
      <w:r w:rsidR="004E5F74" w:rsidRPr="00324BBD">
        <w:rPr>
          <w:rFonts w:ascii="Book Antiqua" w:hAnsi="Book Antiqua"/>
          <w:sz w:val="24"/>
          <w:szCs w:val="24"/>
        </w:rPr>
        <w:t xml:space="preserve">HCV </w:t>
      </w:r>
      <w:r w:rsidRPr="00324BBD">
        <w:rPr>
          <w:rFonts w:ascii="Book Antiqua" w:hAnsi="Book Antiqua"/>
          <w:sz w:val="24"/>
          <w:szCs w:val="24"/>
        </w:rPr>
        <w:t>is currently the most common cause of hepatocellular cancer and liver transplantation in the United States and Europe</w:t>
      </w:r>
      <w:r w:rsidR="00EB5F99" w:rsidRPr="00324BBD">
        <w:rPr>
          <w:rFonts w:ascii="Book Antiqua" w:hAnsi="Book Antiqua"/>
          <w:sz w:val="24"/>
          <w:szCs w:val="24"/>
        </w:rPr>
        <w:fldChar w:fldCharType="begin"/>
      </w:r>
      <w:r w:rsidR="00EF3DEE" w:rsidRPr="00324BBD">
        <w:rPr>
          <w:rFonts w:ascii="Book Antiqua" w:hAnsi="Book Antiqua"/>
          <w:sz w:val="24"/>
          <w:szCs w:val="24"/>
        </w:rPr>
        <w:instrText xml:space="preserve"> ADDIN ZOTERO_ITEM CSL_CITATION {"citationID":"TuaMWTjQ","properties":{"formattedCitation":"{\\rtf \\super [2]\\nosupersub{}}","plainCitation":"[2]","dontUpdate":true},"citationItems":[{"id":182,"uris":["http://zotero.org/users/1747505/items/5XUEFKWW"],"uri":["http://zotero.org/users/1747505/items/5XUEFKWW"],"itemData":{"id":182,"type":"article-journal","title":"Viral Hepatitis in Liver Transplantation","container-title":"Gastroenterology","page":"1373-1383.e1","volume":"142","issue":"6","source":"ScienceDirect","abstract":"Liver transplantation is the only alternative for patients with end-stage liver disease. Viral hepatitis B and C are among the most common causes of cirrhosis and hepatocellular carcinoma and a frequent indication for liver transplantation. Hepatitis B virus immunoglobulin and nucleot(s)ide analogues have facilitated the management of patients with hepatitis B who have received liver transplants and resulted in excellent long-term outcomes. On the contrary, recurrence of hepatitis C is the main cause of graft loss in most transplant programs. Current therapeutic approaches are far from optimal, because sustained virologic responses are only achieved in one-third of treated patients, and adverse effects are common and severe. However, the rapid development of direct-acting antivirals against hepatitis C virus will change the management of this disease and in a few years prevent graft infection with this virus.","DOI":"10.1053/j.gastro.2012.02.011","ISSN":"0016-5085","journalAbbreviation":"Gastroenterology","author":[{"family":"Crespo","given":"Gonzalo"},{"family":"Mariño","given":"Zoe"},{"family":"Navasa","given":"Miquel"},{"family":"Forns","given":"Xavier"}],"issued":{"date-parts":[["2012",5]]},"accessed":{"date-parts":[["2014",1,19]],"season":"02:25:50"}}}],"schema":"https://github.com/citation-style-language/schema/raw/master/csl-citation.json"} </w:instrText>
      </w:r>
      <w:r w:rsidR="00EB5F99" w:rsidRPr="00324BBD">
        <w:rPr>
          <w:rFonts w:ascii="Book Antiqua" w:hAnsi="Book Antiqua"/>
          <w:sz w:val="24"/>
          <w:szCs w:val="24"/>
        </w:rPr>
        <w:fldChar w:fldCharType="separate"/>
      </w:r>
      <w:r w:rsidR="00565765" w:rsidRPr="00324BBD">
        <w:rPr>
          <w:rFonts w:ascii="Book Antiqua" w:hAnsi="Book Antiqua" w:cs="Times New Roman"/>
          <w:sz w:val="24"/>
          <w:szCs w:val="24"/>
          <w:vertAlign w:val="superscript"/>
        </w:rPr>
        <w:t>[3]</w:t>
      </w:r>
      <w:r w:rsidR="00EB5F99" w:rsidRPr="00324BBD">
        <w:rPr>
          <w:rFonts w:ascii="Book Antiqua" w:hAnsi="Book Antiqua"/>
          <w:sz w:val="24"/>
          <w:szCs w:val="24"/>
        </w:rPr>
        <w:fldChar w:fldCharType="end"/>
      </w:r>
      <w:r w:rsidRPr="00324BBD">
        <w:rPr>
          <w:rFonts w:ascii="Book Antiqua" w:hAnsi="Book Antiqua"/>
          <w:sz w:val="24"/>
          <w:szCs w:val="24"/>
        </w:rPr>
        <w:t>.</w:t>
      </w:r>
    </w:p>
    <w:p w:rsidR="00565765" w:rsidRPr="00324BBD" w:rsidRDefault="00565765" w:rsidP="008759E1">
      <w:pPr>
        <w:snapToGrid w:val="0"/>
        <w:spacing w:line="360" w:lineRule="auto"/>
        <w:jc w:val="both"/>
        <w:rPr>
          <w:rFonts w:ascii="Book Antiqua" w:hAnsi="Book Antiqua"/>
          <w:sz w:val="24"/>
          <w:szCs w:val="24"/>
        </w:rPr>
      </w:pPr>
    </w:p>
    <w:p w:rsidR="00565765" w:rsidRPr="00324BBD" w:rsidRDefault="00565765" w:rsidP="008759E1">
      <w:pPr>
        <w:snapToGrid w:val="0"/>
        <w:spacing w:line="360" w:lineRule="auto"/>
        <w:jc w:val="both"/>
        <w:rPr>
          <w:rFonts w:ascii="Book Antiqua" w:hAnsi="Book Antiqua"/>
          <w:b/>
          <w:sz w:val="24"/>
          <w:szCs w:val="24"/>
        </w:rPr>
      </w:pPr>
      <w:r w:rsidRPr="00324BBD">
        <w:rPr>
          <w:rFonts w:ascii="Book Antiqua" w:hAnsi="Book Antiqua"/>
          <w:b/>
          <w:sz w:val="24"/>
          <w:szCs w:val="24"/>
        </w:rPr>
        <w:t>PATHOPHYSIOLOGY</w:t>
      </w:r>
    </w:p>
    <w:p w:rsidR="00565765" w:rsidRPr="00324BBD" w:rsidRDefault="00565765" w:rsidP="008759E1">
      <w:pPr>
        <w:pStyle w:val="a3"/>
        <w:tabs>
          <w:tab w:val="left" w:pos="0"/>
        </w:tabs>
        <w:snapToGrid w:val="0"/>
        <w:spacing w:after="0" w:line="360" w:lineRule="auto"/>
        <w:ind w:left="0" w:firstLine="0"/>
        <w:jc w:val="both"/>
        <w:rPr>
          <w:rFonts w:ascii="Book Antiqua" w:hAnsi="Book Antiqua"/>
          <w:sz w:val="24"/>
          <w:szCs w:val="24"/>
        </w:rPr>
      </w:pPr>
      <w:r w:rsidRPr="00324BBD">
        <w:rPr>
          <w:rFonts w:ascii="Book Antiqua" w:hAnsi="Book Antiqua"/>
          <w:sz w:val="24"/>
          <w:szCs w:val="24"/>
        </w:rPr>
        <w:t>HCV is a positive single</w:t>
      </w:r>
      <w:r w:rsidR="004E5F74" w:rsidRPr="00324BBD">
        <w:rPr>
          <w:rFonts w:ascii="Book Antiqua" w:hAnsi="Book Antiqua"/>
          <w:sz w:val="24"/>
          <w:szCs w:val="24"/>
        </w:rPr>
        <w:t>-</w:t>
      </w:r>
      <w:r w:rsidRPr="00324BBD">
        <w:rPr>
          <w:rFonts w:ascii="Book Antiqua" w:hAnsi="Book Antiqua"/>
          <w:sz w:val="24"/>
          <w:szCs w:val="24"/>
        </w:rPr>
        <w:t xml:space="preserve">stranded RNA virus </w:t>
      </w:r>
      <w:r w:rsidR="004E5F74" w:rsidRPr="00324BBD">
        <w:rPr>
          <w:rFonts w:ascii="Book Antiqua" w:hAnsi="Book Antiqua"/>
          <w:sz w:val="24"/>
          <w:szCs w:val="24"/>
        </w:rPr>
        <w:t xml:space="preserve">that </w:t>
      </w:r>
      <w:r w:rsidRPr="00324BBD">
        <w:rPr>
          <w:rFonts w:ascii="Book Antiqua" w:hAnsi="Book Antiqua"/>
          <w:sz w:val="24"/>
          <w:szCs w:val="24"/>
        </w:rPr>
        <w:t xml:space="preserve">exists in 6 different genotypes, </w:t>
      </w:r>
      <w:r w:rsidR="004E5F74" w:rsidRPr="00324BBD">
        <w:rPr>
          <w:rFonts w:ascii="Book Antiqua" w:hAnsi="Book Antiqua"/>
          <w:sz w:val="24"/>
          <w:szCs w:val="24"/>
        </w:rPr>
        <w:t xml:space="preserve">with </w:t>
      </w:r>
      <w:r w:rsidRPr="00324BBD">
        <w:rPr>
          <w:rFonts w:ascii="Book Antiqua" w:hAnsi="Book Antiqua"/>
          <w:sz w:val="24"/>
          <w:szCs w:val="24"/>
        </w:rPr>
        <w:t xml:space="preserve">genotype 1 being </w:t>
      </w:r>
      <w:r w:rsidR="004E5F74" w:rsidRPr="00324BBD">
        <w:rPr>
          <w:rFonts w:ascii="Book Antiqua" w:hAnsi="Book Antiqua"/>
          <w:sz w:val="24"/>
          <w:szCs w:val="24"/>
        </w:rPr>
        <w:t xml:space="preserve">the </w:t>
      </w:r>
      <w:r w:rsidRPr="00324BBD">
        <w:rPr>
          <w:rFonts w:ascii="Book Antiqua" w:hAnsi="Book Antiqua"/>
          <w:sz w:val="24"/>
          <w:szCs w:val="24"/>
        </w:rPr>
        <w:t xml:space="preserve">most common. </w:t>
      </w:r>
      <w:r w:rsidR="004E5F74" w:rsidRPr="00324BBD">
        <w:rPr>
          <w:rFonts w:ascii="Book Antiqua" w:hAnsi="Book Antiqua"/>
          <w:sz w:val="24"/>
          <w:szCs w:val="24"/>
        </w:rPr>
        <w:t>Virus r</w:t>
      </w:r>
      <w:r w:rsidRPr="00324BBD">
        <w:rPr>
          <w:rFonts w:ascii="Book Antiqua" w:hAnsi="Book Antiqua"/>
          <w:sz w:val="24"/>
          <w:szCs w:val="24"/>
        </w:rPr>
        <w:t>eplication occurs through an RNA</w:t>
      </w:r>
      <w:r w:rsidR="004E5F74" w:rsidRPr="00324BBD">
        <w:rPr>
          <w:rFonts w:ascii="Book Antiqua" w:hAnsi="Book Antiqua"/>
          <w:sz w:val="24"/>
          <w:szCs w:val="24"/>
        </w:rPr>
        <w:t>-</w:t>
      </w:r>
      <w:r w:rsidRPr="00324BBD">
        <w:rPr>
          <w:rFonts w:ascii="Book Antiqua" w:hAnsi="Book Antiqua"/>
          <w:sz w:val="24"/>
          <w:szCs w:val="24"/>
        </w:rPr>
        <w:t>dependent RNA polymerase lack</w:t>
      </w:r>
      <w:r w:rsidR="004E5F74" w:rsidRPr="00324BBD">
        <w:rPr>
          <w:rFonts w:ascii="Book Antiqua" w:hAnsi="Book Antiqua"/>
          <w:sz w:val="24"/>
          <w:szCs w:val="24"/>
        </w:rPr>
        <w:t>ing</w:t>
      </w:r>
      <w:r w:rsidRPr="00324BBD">
        <w:rPr>
          <w:rFonts w:ascii="Book Antiqua" w:hAnsi="Book Antiqua"/>
          <w:sz w:val="24"/>
          <w:szCs w:val="24"/>
        </w:rPr>
        <w:t xml:space="preserve"> the proofreading function</w:t>
      </w:r>
      <w:r w:rsidR="004E5F74" w:rsidRPr="00324BBD">
        <w:rPr>
          <w:rFonts w:ascii="Book Antiqua" w:hAnsi="Book Antiqua"/>
          <w:sz w:val="24"/>
          <w:szCs w:val="24"/>
        </w:rPr>
        <w:t>,</w:t>
      </w:r>
      <w:r w:rsidRPr="00324BBD">
        <w:rPr>
          <w:rFonts w:ascii="Book Antiqua" w:hAnsi="Book Antiqua"/>
          <w:sz w:val="24"/>
          <w:szCs w:val="24"/>
        </w:rPr>
        <w:t xml:space="preserve"> thereby producing </w:t>
      </w:r>
      <w:r w:rsidR="004E5F74" w:rsidRPr="00324BBD">
        <w:rPr>
          <w:rFonts w:ascii="Book Antiqua" w:hAnsi="Book Antiqua"/>
          <w:sz w:val="24"/>
          <w:szCs w:val="24"/>
        </w:rPr>
        <w:t>many</w:t>
      </w:r>
      <w:r w:rsidRPr="00324BBD">
        <w:rPr>
          <w:rFonts w:ascii="Book Antiqua" w:hAnsi="Book Antiqua"/>
          <w:sz w:val="24"/>
          <w:szCs w:val="24"/>
        </w:rPr>
        <w:t xml:space="preserve"> quasispecies in an infected person. This</w:t>
      </w:r>
      <w:r w:rsidR="004E5F74" w:rsidRPr="00324BBD">
        <w:rPr>
          <w:rFonts w:ascii="Book Antiqua" w:hAnsi="Book Antiqua"/>
          <w:sz w:val="24"/>
          <w:szCs w:val="24"/>
        </w:rPr>
        <w:t xml:space="preserve"> virus production is</w:t>
      </w:r>
      <w:r w:rsidRPr="00324BBD">
        <w:rPr>
          <w:rFonts w:ascii="Book Antiqua" w:hAnsi="Book Antiqua"/>
          <w:sz w:val="24"/>
          <w:szCs w:val="24"/>
        </w:rPr>
        <w:t xml:space="preserve"> likely one of the </w:t>
      </w:r>
      <w:r w:rsidR="003649B1" w:rsidRPr="00324BBD">
        <w:rPr>
          <w:rFonts w:ascii="Book Antiqua" w:hAnsi="Book Antiqua"/>
          <w:sz w:val="24"/>
          <w:szCs w:val="24"/>
        </w:rPr>
        <w:t>primary</w:t>
      </w:r>
      <w:r w:rsidRPr="00324BBD">
        <w:rPr>
          <w:rFonts w:ascii="Book Antiqua" w:hAnsi="Book Antiqua"/>
          <w:sz w:val="24"/>
          <w:szCs w:val="24"/>
        </w:rPr>
        <w:t xml:space="preserve"> causes for the limited immune</w:t>
      </w:r>
      <w:r w:rsidR="004E5F74" w:rsidRPr="00324BBD">
        <w:rPr>
          <w:rFonts w:ascii="Book Antiqua" w:hAnsi="Book Antiqua"/>
          <w:sz w:val="24"/>
          <w:szCs w:val="24"/>
        </w:rPr>
        <w:t>-</w:t>
      </w:r>
      <w:r w:rsidRPr="00324BBD">
        <w:rPr>
          <w:rFonts w:ascii="Book Antiqua" w:hAnsi="Book Antiqua"/>
          <w:sz w:val="24"/>
          <w:szCs w:val="24"/>
        </w:rPr>
        <w:t>mediated control over HCV</w:t>
      </w:r>
      <w:r w:rsidR="00EB5F99" w:rsidRPr="00324BBD">
        <w:rPr>
          <w:rFonts w:ascii="Book Antiqua" w:hAnsi="Book Antiqua"/>
          <w:sz w:val="24"/>
          <w:szCs w:val="24"/>
        </w:rPr>
        <w:fldChar w:fldCharType="begin"/>
      </w:r>
      <w:r w:rsidR="00EF3DEE" w:rsidRPr="00324BBD">
        <w:rPr>
          <w:rFonts w:ascii="Book Antiqua" w:hAnsi="Book Antiqua"/>
          <w:sz w:val="24"/>
          <w:szCs w:val="24"/>
        </w:rPr>
        <w:instrText xml:space="preserve"> ADDIN ZOTERO_ITEM CSL_CITATION {"citationID":"REX4V57v","properties":{"formattedCitation":"{\\rtf \\super [4]\\nosupersub{}}","plainCitation":"[4]","dontUpdate":true},"citationItems":[{"id":42,"uris":["http://zotero.org/users/1747505/items/QRZ2JWJU"],"uri":["http://zotero.org/users/1747505/items/QRZ2JWJU"],"itemData":{"id":42,"type":"article-journal","title":"Hepatitis C Virus Infection","container-title":"New England Journal of Medicine","page":"41-52","volume":"345","issue":"1","source":"Taylor and Francis+NEJM","abstract":"Hepatitis C virus (HCV) infects an estimated 170 million persons worldwide and thus represents a viral pandemic, one that is five times as widespread as infection with the human immunodeficiency virus type 1 (HIV-1). The institution of blood-screening measures in developed countries has decreased the risk of transfusion-associated hepatitis to a negligible level, but new cases continue to occur mainly as a result of injection-drug use and, to a lesser degree, through other means of percutaneous or mucous-membrane exposure. Progression to chronic disease occurs in the majority of HCV-infected persons, and infection with the virus has become the main indication . . .","DOI":"10.1056/NEJM200107053450107","ISSN":"0028-4793","note":"PMID: 11439948","author":[{"family":"Lauer","given":"Georg M."},{"family":"Walker","given":"Bruce D."}],"issued":{"date-parts":[["2001"]]},"accessed":{"date-parts":[["2014",1,11]],"season":"19:50:59"},"PMID":"11439948"}}],"schema":"https://github.com/citation-style-language/schema/raw/master/csl-citation.json"} </w:instrText>
      </w:r>
      <w:r w:rsidR="00EB5F99" w:rsidRPr="00324BBD">
        <w:rPr>
          <w:rFonts w:ascii="Book Antiqua" w:hAnsi="Book Antiqua"/>
          <w:sz w:val="24"/>
          <w:szCs w:val="24"/>
        </w:rPr>
        <w:fldChar w:fldCharType="separate"/>
      </w:r>
      <w:r w:rsidR="00087A0C" w:rsidRPr="00324BBD">
        <w:rPr>
          <w:rFonts w:ascii="Book Antiqua" w:hAnsi="Book Antiqua" w:cs="Times New Roman"/>
          <w:sz w:val="24"/>
          <w:szCs w:val="24"/>
          <w:vertAlign w:val="superscript"/>
        </w:rPr>
        <w:t>[1]</w:t>
      </w:r>
      <w:r w:rsidR="00EB5F99" w:rsidRPr="00324BBD">
        <w:rPr>
          <w:rFonts w:ascii="Book Antiqua" w:hAnsi="Book Antiqua"/>
          <w:sz w:val="24"/>
          <w:szCs w:val="24"/>
        </w:rPr>
        <w:fldChar w:fldCharType="end"/>
      </w:r>
      <w:r w:rsidRPr="00324BBD">
        <w:rPr>
          <w:rFonts w:ascii="Book Antiqua" w:hAnsi="Book Antiqua"/>
          <w:sz w:val="24"/>
          <w:szCs w:val="24"/>
        </w:rPr>
        <w:t>. Spontaneous recovery from chronic infection (beyond 6 mo after acute infection) is rare</w:t>
      </w:r>
      <w:r w:rsidR="00303A86" w:rsidRPr="00324BBD">
        <w:rPr>
          <w:rFonts w:ascii="Book Antiqua" w:hAnsi="Book Antiqua"/>
          <w:sz w:val="24"/>
          <w:szCs w:val="24"/>
        </w:rPr>
        <w:t xml:space="preserve"> and can</w:t>
      </w:r>
      <w:r w:rsidR="00087A0C" w:rsidRPr="00324BBD">
        <w:rPr>
          <w:rFonts w:ascii="Book Antiqua" w:hAnsi="Book Antiqua"/>
          <w:sz w:val="24"/>
          <w:szCs w:val="24"/>
        </w:rPr>
        <w:t xml:space="preserve"> lead </w:t>
      </w:r>
      <w:r w:rsidRPr="00324BBD">
        <w:rPr>
          <w:rFonts w:ascii="Book Antiqua" w:hAnsi="Book Antiqua"/>
          <w:sz w:val="24"/>
          <w:szCs w:val="24"/>
        </w:rPr>
        <w:t>to the development of liver cirrhosis</w:t>
      </w:r>
      <w:r w:rsidR="004E5F74" w:rsidRPr="00324BBD">
        <w:rPr>
          <w:rFonts w:ascii="Book Antiqua" w:hAnsi="Book Antiqua"/>
          <w:sz w:val="24"/>
          <w:szCs w:val="24"/>
        </w:rPr>
        <w:t>,</w:t>
      </w:r>
      <w:r w:rsidRPr="00324BBD">
        <w:rPr>
          <w:rFonts w:ascii="Book Antiqua" w:hAnsi="Book Antiqua"/>
          <w:sz w:val="24"/>
          <w:szCs w:val="24"/>
        </w:rPr>
        <w:t xml:space="preserve"> and</w:t>
      </w:r>
      <w:r w:rsidR="00303A86" w:rsidRPr="00324BBD">
        <w:rPr>
          <w:rFonts w:ascii="Book Antiqua" w:hAnsi="Book Antiqua"/>
          <w:sz w:val="24"/>
          <w:szCs w:val="24"/>
        </w:rPr>
        <w:t xml:space="preserve"> liver failure and</w:t>
      </w:r>
      <w:r w:rsidR="00D42D46" w:rsidRPr="00324BBD">
        <w:rPr>
          <w:rFonts w:ascii="Book Antiqua" w:hAnsi="Book Antiqua"/>
          <w:sz w:val="24"/>
          <w:szCs w:val="24"/>
        </w:rPr>
        <w:t xml:space="preserve">/or hepatocellular carcinoma </w:t>
      </w:r>
      <w:r w:rsidRPr="00324BBD">
        <w:rPr>
          <w:rFonts w:ascii="Book Antiqua" w:hAnsi="Book Antiqua"/>
          <w:sz w:val="24"/>
          <w:szCs w:val="24"/>
        </w:rPr>
        <w:t>in a substantial number of patients.</w:t>
      </w:r>
    </w:p>
    <w:p w:rsidR="00087A0C" w:rsidRPr="00324BBD" w:rsidRDefault="00087A0C" w:rsidP="008759E1">
      <w:pPr>
        <w:snapToGrid w:val="0"/>
        <w:spacing w:line="360" w:lineRule="auto"/>
        <w:jc w:val="both"/>
        <w:rPr>
          <w:rFonts w:ascii="Book Antiqua" w:hAnsi="Book Antiqua"/>
          <w:sz w:val="24"/>
          <w:szCs w:val="24"/>
        </w:rPr>
      </w:pPr>
    </w:p>
    <w:p w:rsidR="00087A0C" w:rsidRPr="00324BBD" w:rsidRDefault="00087A0C" w:rsidP="008759E1">
      <w:pPr>
        <w:snapToGrid w:val="0"/>
        <w:spacing w:line="360" w:lineRule="auto"/>
        <w:jc w:val="both"/>
        <w:rPr>
          <w:rStyle w:val="apple-converted-space"/>
          <w:rFonts w:ascii="Book Antiqua" w:hAnsi="Book Antiqua"/>
          <w:b/>
          <w:sz w:val="24"/>
          <w:szCs w:val="24"/>
        </w:rPr>
      </w:pPr>
      <w:r w:rsidRPr="00324BBD">
        <w:rPr>
          <w:rFonts w:ascii="Book Antiqua" w:hAnsi="Book Antiqua"/>
          <w:b/>
          <w:sz w:val="24"/>
          <w:szCs w:val="24"/>
        </w:rPr>
        <w:t>INFLAMMATORY MILIEU IN CHRONIC HEPATITIS C INFECTION</w:t>
      </w:r>
    </w:p>
    <w:p w:rsidR="00087A0C" w:rsidRPr="00324BBD" w:rsidRDefault="005E41F5" w:rsidP="008759E1">
      <w:pPr>
        <w:snapToGrid w:val="0"/>
        <w:spacing w:line="360" w:lineRule="auto"/>
        <w:jc w:val="both"/>
        <w:rPr>
          <w:rFonts w:ascii="Book Antiqua" w:hAnsi="Book Antiqua"/>
          <w:sz w:val="24"/>
          <w:szCs w:val="24"/>
        </w:rPr>
      </w:pPr>
      <w:r w:rsidRPr="00324BBD">
        <w:rPr>
          <w:rFonts w:ascii="Book Antiqua" w:hAnsi="Book Antiqua"/>
          <w:sz w:val="24"/>
          <w:szCs w:val="24"/>
        </w:rPr>
        <w:t>Chronic HCV (</w:t>
      </w:r>
      <w:r w:rsidR="00087A0C" w:rsidRPr="00324BBD">
        <w:rPr>
          <w:rFonts w:ascii="Book Antiqua" w:hAnsi="Book Antiqua"/>
          <w:sz w:val="24"/>
          <w:szCs w:val="24"/>
        </w:rPr>
        <w:t>cHCV</w:t>
      </w:r>
      <w:r w:rsidRPr="00324BBD">
        <w:rPr>
          <w:rFonts w:ascii="Book Antiqua" w:hAnsi="Book Antiqua"/>
          <w:sz w:val="24"/>
          <w:szCs w:val="24"/>
        </w:rPr>
        <w:t>)</w:t>
      </w:r>
      <w:r w:rsidR="00087A0C" w:rsidRPr="00324BBD">
        <w:rPr>
          <w:rFonts w:ascii="Book Antiqua" w:hAnsi="Book Antiqua"/>
          <w:sz w:val="24"/>
          <w:szCs w:val="24"/>
        </w:rPr>
        <w:t xml:space="preserve"> infection is a state of persistent inflammation</w:t>
      </w:r>
      <w:r w:rsidR="00C70C3A" w:rsidRPr="00324BBD">
        <w:rPr>
          <w:rFonts w:ascii="Book Antiqua" w:hAnsi="Book Antiqua"/>
          <w:sz w:val="24"/>
          <w:szCs w:val="24"/>
        </w:rPr>
        <w:t xml:space="preserve"> in the liver</w:t>
      </w:r>
      <w:r w:rsidR="004E5F74" w:rsidRPr="00324BBD">
        <w:rPr>
          <w:rFonts w:ascii="Book Antiqua" w:hAnsi="Book Antiqua"/>
          <w:sz w:val="24"/>
          <w:szCs w:val="24"/>
        </w:rPr>
        <w:t>,</w:t>
      </w:r>
      <w:r w:rsidR="00087A0C" w:rsidRPr="00324BBD">
        <w:rPr>
          <w:rFonts w:ascii="Book Antiqua" w:hAnsi="Book Antiqua"/>
          <w:sz w:val="24"/>
          <w:szCs w:val="24"/>
        </w:rPr>
        <w:t xml:space="preserve"> although the exact mechanism</w:t>
      </w:r>
      <w:r w:rsidR="00C70C3A" w:rsidRPr="00324BBD">
        <w:rPr>
          <w:rFonts w:ascii="Book Antiqua" w:hAnsi="Book Antiqua"/>
          <w:sz w:val="24"/>
          <w:szCs w:val="24"/>
        </w:rPr>
        <w:t xml:space="preserve"> for its pathogenesis</w:t>
      </w:r>
      <w:r w:rsidR="00087A0C" w:rsidRPr="00324BBD">
        <w:rPr>
          <w:rFonts w:ascii="Book Antiqua" w:hAnsi="Book Antiqua"/>
          <w:sz w:val="24"/>
          <w:szCs w:val="24"/>
        </w:rPr>
        <w:t xml:space="preserve"> </w:t>
      </w:r>
      <w:r w:rsidR="004E5F74" w:rsidRPr="00324BBD">
        <w:rPr>
          <w:rFonts w:ascii="Book Antiqua" w:hAnsi="Book Antiqua"/>
          <w:sz w:val="24"/>
          <w:szCs w:val="24"/>
        </w:rPr>
        <w:t>remains unclear</w:t>
      </w:r>
      <w:r w:rsidR="00087A0C" w:rsidRPr="00324BBD">
        <w:rPr>
          <w:rFonts w:ascii="Book Antiqua" w:hAnsi="Book Antiqua"/>
          <w:sz w:val="24"/>
          <w:szCs w:val="24"/>
        </w:rPr>
        <w:t xml:space="preserve">. Patients with cHCV have altered monocyte functions and are known to produce higher levels of </w:t>
      </w:r>
      <w:r w:rsidR="00D42D46" w:rsidRPr="00324BBD">
        <w:rPr>
          <w:rFonts w:ascii="Book Antiqua" w:hAnsi="Book Antiqua"/>
          <w:sz w:val="24"/>
          <w:szCs w:val="24"/>
        </w:rPr>
        <w:t xml:space="preserve">tumor necrosis factor-α (TNF-α) </w:t>
      </w:r>
      <w:r w:rsidR="00087A0C" w:rsidRPr="00324BBD">
        <w:rPr>
          <w:rFonts w:ascii="Book Antiqua" w:hAnsi="Book Antiqua"/>
          <w:sz w:val="24"/>
          <w:szCs w:val="24"/>
        </w:rPr>
        <w:t xml:space="preserve">and </w:t>
      </w:r>
      <w:r w:rsidR="00D42D46" w:rsidRPr="00324BBD">
        <w:rPr>
          <w:rFonts w:ascii="Book Antiqua" w:hAnsi="Book Antiqua"/>
          <w:sz w:val="24"/>
          <w:szCs w:val="24"/>
        </w:rPr>
        <w:t>interferon-γ</w:t>
      </w:r>
      <w:r w:rsidR="00D42D46" w:rsidRPr="00324BBD">
        <w:rPr>
          <w:rFonts w:ascii="Book Antiqua" w:hAnsi="Book Antiqua"/>
          <w:sz w:val="24"/>
          <w:szCs w:val="24"/>
          <w:lang w:eastAsia="zh-CN"/>
        </w:rPr>
        <w:t xml:space="preserve"> (</w:t>
      </w:r>
      <w:r w:rsidR="00087A0C" w:rsidRPr="00324BBD">
        <w:rPr>
          <w:rFonts w:ascii="Book Antiqua" w:hAnsi="Book Antiqua"/>
          <w:sz w:val="24"/>
          <w:szCs w:val="24"/>
        </w:rPr>
        <w:t>IFN-</w:t>
      </w:r>
      <w:r w:rsidR="00D42D46" w:rsidRPr="00324BBD">
        <w:rPr>
          <w:rFonts w:ascii="Book Antiqua" w:hAnsi="Book Antiqua"/>
          <w:sz w:val="24"/>
          <w:szCs w:val="24"/>
          <w:lang w:eastAsia="zh-CN"/>
        </w:rPr>
        <w:t>γ)</w:t>
      </w:r>
      <w:r w:rsidR="00EB5F99" w:rsidRPr="00324BBD">
        <w:rPr>
          <w:rFonts w:ascii="Book Antiqua" w:hAnsi="Book Antiqua"/>
          <w:sz w:val="24"/>
          <w:szCs w:val="24"/>
        </w:rPr>
        <w:fldChar w:fldCharType="begin"/>
      </w:r>
      <w:r w:rsidR="00EF3DEE" w:rsidRPr="00324BBD">
        <w:rPr>
          <w:rFonts w:ascii="Book Antiqua" w:hAnsi="Book Antiqua"/>
          <w:sz w:val="24"/>
          <w:szCs w:val="24"/>
        </w:rPr>
        <w:instrText xml:space="preserve"> ADDIN ZOTERO_ITEM CSL_CITATION {"citationID":"1sA55RId","properties":{"formattedCitation":"{\\rtf \\super [5]\\nosupersub{}}","plainCitation":"[5]","dontUpdate":true},"citationItems":[{"id":262,"uris":["http://zotero.org/users/1747505/items/4NEMRMUN"],"uri":["http://zotero.org/users/1747505/items/4NEMRMUN"],"itemData":{"id":262,"type":"article-journal","title":"Kinetics of serum cytokines reflect changes in the severity of chronic hepatitis C presenting minimal fibrosis","container-title":"Journal of viral hepatitis","page":"134-140","volume":"9","issue":"2","source":"NCBI PubMed","abstract":"Our aims were to measure the kinetics of serum tumour necrosis alpha (TNF-alpha) and transforming growth factor beta (TGF-beta) levels as markers of progression of disease in nontreated chronic hepatitis C virus (HCV)-infected patients with minimal or no fibrosis and minimal histology activity index (HAI) scores. Our study group consisted of 56 patients diagnosed with minimal (1) or no fibrosis (0) and minimal HAI (0-1) on their first biopsy as defined by Knodell and METAVIR scores. We compared their initial (entry of study) cytokine levels with a group of 103 HCV controls with minimal (0-1) to mild fibrosis (0-3) and mild HAI (5.5). Serum TNF-alpha and TGF-beta levels were measured by enzyme-linked-immunosorbent-assay. A significant difference was seen in TNF-alpha levels at baseline in the study group vs. controls. Regardless of their HAI, there was a correlation between TGF-beta and degree of fibrosis. As shown by their biopsies, during the 3 years (from entry to follow up), many of the patients that initially had minimal fibrosis progressed to higher degree of fibrosis. This progression is paralleled by an increase in TGF-beta levels when comparing initial and follow-up levels. In conclusion, serum TNF-alpha reflects the progression of inflammation as seen in liver biopsies and TGF-beta reflects the degree of fibrosis in HCV patients.","ISSN":"1352-0504","note":"PMID: 11876796","journalAbbreviation":"J. Viral Hepat.","language":"eng","author":[{"family":"Neuman","given":"Manuela G"},{"family":"Benhamou","given":"J P"},{"family":"Malkiewicz","given":"I M"},{"family":"Ibrahim","given":"A"},{"family":"Valla","given":"D C"},{"family":"Martinot-Peignoux","given":"M"},{"family":"Asselah","given":"T"},{"family":"Bourliere","given":"M"},{"family":"Katz","given":"G G"},{"family":"Shear","given":"N H"},{"family":"Marcellin","given":"P"}],"issued":{"date-parts":[["2002",3]]},"PMID":"11876796"}}],"schema":"https://github.com/citation-style-language/schema/raw/master/csl-citation.json"} </w:instrText>
      </w:r>
      <w:r w:rsidR="00EB5F99" w:rsidRPr="00324BBD">
        <w:rPr>
          <w:rFonts w:ascii="Book Antiqua" w:hAnsi="Book Antiqua"/>
          <w:sz w:val="24"/>
          <w:szCs w:val="24"/>
        </w:rPr>
        <w:fldChar w:fldCharType="separate"/>
      </w:r>
      <w:r w:rsidR="00EF3DEE" w:rsidRPr="00324BBD">
        <w:rPr>
          <w:rFonts w:ascii="Book Antiqua" w:hAnsi="Book Antiqua" w:cs="Times New Roman"/>
          <w:sz w:val="24"/>
          <w:szCs w:val="24"/>
          <w:vertAlign w:val="superscript"/>
        </w:rPr>
        <w:t>[4]</w:t>
      </w:r>
      <w:r w:rsidR="00EB5F99" w:rsidRPr="00324BBD">
        <w:rPr>
          <w:rFonts w:ascii="Book Antiqua" w:hAnsi="Book Antiqua"/>
          <w:sz w:val="24"/>
          <w:szCs w:val="24"/>
        </w:rPr>
        <w:fldChar w:fldCharType="end"/>
      </w:r>
      <w:r w:rsidR="00087A0C" w:rsidRPr="00324BBD">
        <w:rPr>
          <w:rFonts w:ascii="Book Antiqua" w:hAnsi="Book Antiqua"/>
          <w:sz w:val="24"/>
          <w:szCs w:val="24"/>
        </w:rPr>
        <w:t>.</w:t>
      </w:r>
      <w:r w:rsidR="002B215C" w:rsidRPr="00324BBD">
        <w:rPr>
          <w:rFonts w:ascii="Book Antiqua" w:hAnsi="Book Antiqua"/>
          <w:sz w:val="24"/>
          <w:szCs w:val="24"/>
        </w:rPr>
        <w:t xml:space="preserve"> When</w:t>
      </w:r>
      <w:r w:rsidR="00087A0C" w:rsidRPr="00324BBD">
        <w:rPr>
          <w:rFonts w:ascii="Book Antiqua" w:hAnsi="Book Antiqua"/>
          <w:sz w:val="24"/>
          <w:szCs w:val="24"/>
        </w:rPr>
        <w:t xml:space="preserve"> </w:t>
      </w:r>
      <w:r w:rsidR="00EC2F8E" w:rsidRPr="00324BBD">
        <w:rPr>
          <w:rFonts w:ascii="Book Antiqua" w:hAnsi="Book Antiqua"/>
          <w:sz w:val="24"/>
          <w:szCs w:val="24"/>
        </w:rPr>
        <w:t>acute</w:t>
      </w:r>
      <w:r w:rsidR="00087A0C" w:rsidRPr="00324BBD">
        <w:rPr>
          <w:rFonts w:ascii="Book Antiqua" w:hAnsi="Book Antiqua"/>
          <w:sz w:val="24"/>
          <w:szCs w:val="24"/>
        </w:rPr>
        <w:t xml:space="preserve"> infection</w:t>
      </w:r>
      <w:r w:rsidR="00EC2F8E" w:rsidRPr="00324BBD">
        <w:rPr>
          <w:rFonts w:ascii="Book Antiqua" w:hAnsi="Book Antiqua"/>
          <w:sz w:val="24"/>
          <w:szCs w:val="24"/>
        </w:rPr>
        <w:t>/</w:t>
      </w:r>
      <w:r w:rsidR="007A3874" w:rsidRPr="00324BBD">
        <w:rPr>
          <w:rFonts w:ascii="Book Antiqua" w:hAnsi="Book Antiqua"/>
          <w:sz w:val="24"/>
          <w:szCs w:val="24"/>
          <w:lang w:eastAsia="zh-CN"/>
        </w:rPr>
        <w:t xml:space="preserve"> </w:t>
      </w:r>
      <w:r w:rsidR="00EC2F8E" w:rsidRPr="00324BBD">
        <w:rPr>
          <w:rFonts w:ascii="Book Antiqua" w:hAnsi="Book Antiqua"/>
          <w:sz w:val="24"/>
          <w:szCs w:val="24"/>
        </w:rPr>
        <w:t xml:space="preserve">inflammation becomes chronic, </w:t>
      </w:r>
      <w:r w:rsidR="004E5F74" w:rsidRPr="00324BBD">
        <w:rPr>
          <w:rFonts w:ascii="Book Antiqua" w:hAnsi="Book Antiqua"/>
          <w:sz w:val="24"/>
          <w:szCs w:val="24"/>
        </w:rPr>
        <w:t>the</w:t>
      </w:r>
      <w:r w:rsidR="00EC2F8E" w:rsidRPr="00324BBD">
        <w:rPr>
          <w:rFonts w:ascii="Book Antiqua" w:hAnsi="Book Antiqua"/>
          <w:sz w:val="24"/>
          <w:szCs w:val="24"/>
        </w:rPr>
        <w:t xml:space="preserve"> mechanisms that</w:t>
      </w:r>
      <w:r w:rsidR="005B26E9" w:rsidRPr="00324BBD">
        <w:rPr>
          <w:rFonts w:ascii="Book Antiqua" w:hAnsi="Book Antiqua"/>
          <w:sz w:val="24"/>
          <w:szCs w:val="24"/>
        </w:rPr>
        <w:t xml:space="preserve"> dampen</w:t>
      </w:r>
      <w:r w:rsidR="00EC2F8E" w:rsidRPr="00324BBD">
        <w:rPr>
          <w:rFonts w:ascii="Book Antiqua" w:hAnsi="Book Antiqua"/>
          <w:sz w:val="24"/>
          <w:szCs w:val="24"/>
        </w:rPr>
        <w:t xml:space="preserve"> the inflammation</w:t>
      </w:r>
      <w:r w:rsidR="004E5F74" w:rsidRPr="00324BBD">
        <w:rPr>
          <w:rFonts w:ascii="Book Antiqua" w:hAnsi="Book Antiqua"/>
          <w:sz w:val="24"/>
          <w:szCs w:val="24"/>
        </w:rPr>
        <w:t xml:space="preserve"> are impaired</w:t>
      </w:r>
      <w:r w:rsidR="00091A5D" w:rsidRPr="00324BBD">
        <w:rPr>
          <w:rFonts w:ascii="Book Antiqua" w:hAnsi="Book Antiqua"/>
          <w:sz w:val="24"/>
          <w:szCs w:val="24"/>
          <w:vertAlign w:val="superscript"/>
        </w:rPr>
        <w:t>[5</w:t>
      </w:r>
      <w:r w:rsidR="008103ED" w:rsidRPr="00324BBD">
        <w:rPr>
          <w:rFonts w:ascii="Book Antiqua" w:hAnsi="Book Antiqua"/>
          <w:sz w:val="24"/>
          <w:szCs w:val="24"/>
          <w:vertAlign w:val="superscript"/>
        </w:rPr>
        <w:t>,6</w:t>
      </w:r>
      <w:r w:rsidR="00091A5D" w:rsidRPr="00324BBD">
        <w:rPr>
          <w:rFonts w:ascii="Book Antiqua" w:hAnsi="Book Antiqua"/>
          <w:sz w:val="24"/>
          <w:szCs w:val="24"/>
          <w:vertAlign w:val="superscript"/>
        </w:rPr>
        <w:t>]</w:t>
      </w:r>
      <w:r w:rsidR="00EC2F8E" w:rsidRPr="00324BBD">
        <w:rPr>
          <w:rFonts w:ascii="Book Antiqua" w:hAnsi="Book Antiqua"/>
          <w:sz w:val="24"/>
          <w:szCs w:val="24"/>
        </w:rPr>
        <w:t>.</w:t>
      </w:r>
      <w:r w:rsidR="00087A0C" w:rsidRPr="00324BBD">
        <w:rPr>
          <w:rFonts w:ascii="Book Antiqua" w:hAnsi="Book Antiqua"/>
          <w:sz w:val="24"/>
          <w:szCs w:val="24"/>
        </w:rPr>
        <w:t xml:space="preserve"> </w:t>
      </w:r>
      <w:r w:rsidR="00EC2F8E" w:rsidRPr="00324BBD">
        <w:rPr>
          <w:rFonts w:ascii="Book Antiqua" w:hAnsi="Book Antiqua"/>
          <w:sz w:val="24"/>
          <w:szCs w:val="24"/>
        </w:rPr>
        <w:t xml:space="preserve">This </w:t>
      </w:r>
      <w:r w:rsidR="004E5F74" w:rsidRPr="00324BBD">
        <w:rPr>
          <w:rFonts w:ascii="Book Antiqua" w:hAnsi="Book Antiqua"/>
          <w:sz w:val="24"/>
          <w:szCs w:val="24"/>
        </w:rPr>
        <w:t xml:space="preserve">impairment </w:t>
      </w:r>
      <w:r w:rsidR="00EC2F8E" w:rsidRPr="00324BBD">
        <w:rPr>
          <w:rFonts w:ascii="Book Antiqua" w:hAnsi="Book Antiqua"/>
          <w:sz w:val="24"/>
          <w:szCs w:val="24"/>
        </w:rPr>
        <w:t>leads to end</w:t>
      </w:r>
      <w:r w:rsidR="004E5F74" w:rsidRPr="00324BBD">
        <w:rPr>
          <w:rFonts w:ascii="Book Antiqua" w:hAnsi="Book Antiqua"/>
          <w:sz w:val="24"/>
          <w:szCs w:val="24"/>
        </w:rPr>
        <w:t>-</w:t>
      </w:r>
      <w:r w:rsidR="00EC2F8E" w:rsidRPr="00324BBD">
        <w:rPr>
          <w:rFonts w:ascii="Book Antiqua" w:hAnsi="Book Antiqua"/>
          <w:sz w:val="24"/>
          <w:szCs w:val="24"/>
        </w:rPr>
        <w:t xml:space="preserve">organ damage over time. </w:t>
      </w:r>
      <w:r w:rsidR="00091A5D" w:rsidRPr="00324BBD">
        <w:rPr>
          <w:rFonts w:ascii="Book Antiqua" w:hAnsi="Book Antiqua"/>
          <w:sz w:val="24"/>
          <w:szCs w:val="24"/>
        </w:rPr>
        <w:t>A s</w:t>
      </w:r>
      <w:r w:rsidR="00EC2F8E" w:rsidRPr="00324BBD">
        <w:rPr>
          <w:rFonts w:ascii="Book Antiqua" w:hAnsi="Book Antiqua"/>
          <w:sz w:val="24"/>
          <w:szCs w:val="24"/>
        </w:rPr>
        <w:t>imilar process occurs when acute HCV infection becomes chronic</w:t>
      </w:r>
      <w:r w:rsidR="004E5F74" w:rsidRPr="00324BBD">
        <w:rPr>
          <w:rFonts w:ascii="Book Antiqua" w:hAnsi="Book Antiqua"/>
          <w:sz w:val="24"/>
          <w:szCs w:val="24"/>
        </w:rPr>
        <w:t>,</w:t>
      </w:r>
      <w:r w:rsidR="00091A5D" w:rsidRPr="00324BBD">
        <w:rPr>
          <w:rFonts w:ascii="Book Antiqua" w:hAnsi="Book Antiqua"/>
          <w:sz w:val="24"/>
          <w:szCs w:val="24"/>
        </w:rPr>
        <w:t xml:space="preserve"> leading to liver damage/fibrosis and</w:t>
      </w:r>
      <w:r w:rsidR="004E5F74" w:rsidRPr="00324BBD">
        <w:rPr>
          <w:rFonts w:ascii="Book Antiqua" w:hAnsi="Book Antiqua"/>
          <w:sz w:val="24"/>
          <w:szCs w:val="24"/>
        </w:rPr>
        <w:t>,</w:t>
      </w:r>
      <w:r w:rsidR="00091A5D" w:rsidRPr="00324BBD">
        <w:rPr>
          <w:rFonts w:ascii="Book Antiqua" w:hAnsi="Book Antiqua"/>
          <w:sz w:val="24"/>
          <w:szCs w:val="24"/>
        </w:rPr>
        <w:t xml:space="preserve"> eventually</w:t>
      </w:r>
      <w:r w:rsidR="004E5F74" w:rsidRPr="00324BBD">
        <w:rPr>
          <w:rFonts w:ascii="Book Antiqua" w:hAnsi="Book Antiqua"/>
          <w:sz w:val="24"/>
          <w:szCs w:val="24"/>
        </w:rPr>
        <w:t>,</w:t>
      </w:r>
      <w:r w:rsidR="00091A5D" w:rsidRPr="00324BBD">
        <w:rPr>
          <w:rFonts w:ascii="Book Antiqua" w:hAnsi="Book Antiqua"/>
          <w:sz w:val="24"/>
          <w:szCs w:val="24"/>
        </w:rPr>
        <w:t xml:space="preserve"> cirrhosis of the liver</w:t>
      </w:r>
      <w:r w:rsidR="007B6748" w:rsidRPr="00324BBD">
        <w:rPr>
          <w:rFonts w:ascii="Book Antiqua" w:hAnsi="Book Antiqua"/>
          <w:sz w:val="24"/>
          <w:szCs w:val="24"/>
          <w:vertAlign w:val="superscript"/>
        </w:rPr>
        <w:t>[6</w:t>
      </w:r>
      <w:r w:rsidR="00091A5D" w:rsidRPr="00324BBD">
        <w:rPr>
          <w:rFonts w:ascii="Book Antiqua" w:hAnsi="Book Antiqua"/>
          <w:sz w:val="24"/>
          <w:szCs w:val="24"/>
          <w:vertAlign w:val="superscript"/>
        </w:rPr>
        <w:t>]</w:t>
      </w:r>
      <w:r w:rsidR="00EC2F8E" w:rsidRPr="00324BBD">
        <w:rPr>
          <w:rFonts w:ascii="Book Antiqua" w:hAnsi="Book Antiqua"/>
          <w:sz w:val="24"/>
          <w:szCs w:val="24"/>
        </w:rPr>
        <w:t xml:space="preserve">. </w:t>
      </w:r>
    </w:p>
    <w:p w:rsidR="00087A0C" w:rsidRPr="00324BBD" w:rsidRDefault="00087A0C" w:rsidP="008428F2">
      <w:pPr>
        <w:pStyle w:val="a3"/>
        <w:tabs>
          <w:tab w:val="left" w:pos="0"/>
        </w:tabs>
        <w:snapToGrid w:val="0"/>
        <w:spacing w:after="0" w:line="360" w:lineRule="auto"/>
        <w:ind w:left="0" w:firstLineChars="50" w:firstLine="120"/>
        <w:jc w:val="both"/>
        <w:rPr>
          <w:rFonts w:ascii="Book Antiqua" w:hAnsi="Book Antiqua"/>
          <w:sz w:val="24"/>
          <w:szCs w:val="24"/>
        </w:rPr>
      </w:pPr>
      <w:r w:rsidRPr="00324BBD">
        <w:rPr>
          <w:rFonts w:ascii="Book Antiqua" w:hAnsi="Book Antiqua"/>
          <w:sz w:val="24"/>
          <w:szCs w:val="24"/>
        </w:rPr>
        <w:lastRenderedPageBreak/>
        <w:t xml:space="preserve">Kupffer cells (KCs) are resident macrophages in the liver </w:t>
      </w:r>
      <w:r w:rsidR="004E5F74" w:rsidRPr="00324BBD">
        <w:rPr>
          <w:rFonts w:ascii="Book Antiqua" w:hAnsi="Book Antiqua"/>
          <w:sz w:val="24"/>
          <w:szCs w:val="24"/>
        </w:rPr>
        <w:t xml:space="preserve">that </w:t>
      </w:r>
      <w:r w:rsidRPr="00324BBD">
        <w:rPr>
          <w:rFonts w:ascii="Book Antiqua" w:hAnsi="Book Antiqua"/>
          <w:sz w:val="24"/>
          <w:szCs w:val="24"/>
        </w:rPr>
        <w:t xml:space="preserve">appear to originate from bone marrow. </w:t>
      </w:r>
      <w:r w:rsidR="004E5F74" w:rsidRPr="00324BBD">
        <w:rPr>
          <w:rFonts w:ascii="Book Antiqua" w:hAnsi="Book Antiqua"/>
          <w:sz w:val="24"/>
          <w:szCs w:val="24"/>
        </w:rPr>
        <w:t>C</w:t>
      </w:r>
      <w:r w:rsidRPr="00324BBD">
        <w:rPr>
          <w:rFonts w:ascii="Book Antiqua" w:hAnsi="Book Antiqua"/>
          <w:sz w:val="24"/>
          <w:szCs w:val="24"/>
        </w:rPr>
        <w:t>hronic non-specific activation of these cells</w:t>
      </w:r>
      <w:r w:rsidR="004E5F74" w:rsidRPr="00324BBD">
        <w:rPr>
          <w:rFonts w:ascii="Book Antiqua" w:hAnsi="Book Antiqua"/>
          <w:sz w:val="24"/>
          <w:szCs w:val="24"/>
        </w:rPr>
        <w:t xml:space="preserve"> occurs in cHCV,</w:t>
      </w:r>
      <w:r w:rsidRPr="00324BBD">
        <w:rPr>
          <w:rFonts w:ascii="Book Antiqua" w:hAnsi="Book Antiqua"/>
          <w:sz w:val="24"/>
          <w:szCs w:val="24"/>
        </w:rPr>
        <w:t xml:space="preserve"> leading to heightened production of </w:t>
      </w:r>
      <w:r w:rsidR="007A3874" w:rsidRPr="00324BBD">
        <w:rPr>
          <w:rFonts w:ascii="Book Antiqua" w:hAnsi="Book Antiqua"/>
          <w:sz w:val="24"/>
          <w:szCs w:val="24"/>
        </w:rPr>
        <w:t>IFN-</w:t>
      </w:r>
      <w:r w:rsidR="007A3874" w:rsidRPr="00324BBD">
        <w:rPr>
          <w:rFonts w:ascii="Book Antiqua" w:hAnsi="Book Antiqua"/>
          <w:sz w:val="24"/>
          <w:szCs w:val="24"/>
          <w:lang w:eastAsia="zh-CN"/>
        </w:rPr>
        <w:t xml:space="preserve">γ, </w:t>
      </w:r>
      <w:r w:rsidR="007A3874" w:rsidRPr="00324BBD">
        <w:rPr>
          <w:rFonts w:ascii="Book Antiqua" w:hAnsi="Book Antiqua"/>
          <w:sz w:val="24"/>
          <w:szCs w:val="24"/>
        </w:rPr>
        <w:t>TNF-α</w:t>
      </w:r>
      <w:r w:rsidR="008428F2">
        <w:rPr>
          <w:rFonts w:ascii="Book Antiqua" w:hAnsi="Book Antiqua" w:hint="eastAsia"/>
          <w:sz w:val="24"/>
          <w:szCs w:val="24"/>
          <w:lang w:eastAsia="zh-CN"/>
        </w:rPr>
        <w:t xml:space="preserve"> </w:t>
      </w:r>
      <w:r w:rsidR="00791347" w:rsidRPr="00324BBD">
        <w:rPr>
          <w:rFonts w:ascii="Book Antiqua" w:hAnsi="Book Antiqua"/>
          <w:sz w:val="24"/>
          <w:szCs w:val="24"/>
        </w:rPr>
        <w:t>and other inflammatory cytokines</w:t>
      </w:r>
      <w:r w:rsidR="00F96619" w:rsidRPr="00324BBD">
        <w:rPr>
          <w:rFonts w:ascii="Book Antiqua" w:hAnsi="Book Antiqua"/>
          <w:sz w:val="24"/>
          <w:szCs w:val="24"/>
        </w:rPr>
        <w:t xml:space="preserve">. </w:t>
      </w:r>
      <w:r w:rsidR="003F3F1F" w:rsidRPr="00324BBD">
        <w:rPr>
          <w:rFonts w:ascii="Book Antiqua" w:hAnsi="Book Antiqua"/>
          <w:sz w:val="24"/>
          <w:szCs w:val="24"/>
        </w:rPr>
        <w:t xml:space="preserve">CD163 </w:t>
      </w:r>
      <w:r w:rsidR="002B215C" w:rsidRPr="00324BBD">
        <w:rPr>
          <w:rFonts w:ascii="Book Antiqua" w:hAnsi="Book Antiqua"/>
          <w:sz w:val="24"/>
          <w:szCs w:val="24"/>
        </w:rPr>
        <w:t>receptors on the liver cells</w:t>
      </w:r>
      <w:r w:rsidR="00577BFD" w:rsidRPr="00324BBD">
        <w:rPr>
          <w:rFonts w:ascii="Book Antiqua" w:hAnsi="Book Antiqua"/>
          <w:sz w:val="24"/>
          <w:szCs w:val="24"/>
        </w:rPr>
        <w:t xml:space="preserve"> also have concomitantly increased expression,</w:t>
      </w:r>
      <w:r w:rsidR="002B215C" w:rsidRPr="00324BBD">
        <w:rPr>
          <w:rFonts w:ascii="Book Antiqua" w:hAnsi="Book Antiqua"/>
          <w:sz w:val="24"/>
          <w:szCs w:val="24"/>
        </w:rPr>
        <w:t xml:space="preserve"> which appears to be an effort to suppress/resolve the inflammation</w:t>
      </w:r>
      <w:r w:rsidR="00946B8F" w:rsidRPr="00324BBD">
        <w:rPr>
          <w:rFonts w:ascii="Book Antiqua" w:hAnsi="Book Antiqua"/>
          <w:sz w:val="24"/>
          <w:szCs w:val="24"/>
          <w:vertAlign w:val="superscript"/>
        </w:rPr>
        <w:t>[7]</w:t>
      </w:r>
      <w:r w:rsidR="002B215C" w:rsidRPr="00324BBD">
        <w:rPr>
          <w:rFonts w:ascii="Book Antiqua" w:hAnsi="Book Antiqua"/>
          <w:sz w:val="24"/>
          <w:szCs w:val="24"/>
        </w:rPr>
        <w:t>.</w:t>
      </w:r>
      <w:r w:rsidR="00862DD8" w:rsidRPr="00324BBD">
        <w:rPr>
          <w:rFonts w:ascii="Book Antiqua" w:hAnsi="Book Antiqua"/>
          <w:sz w:val="24"/>
          <w:szCs w:val="24"/>
        </w:rPr>
        <w:t xml:space="preserve"> </w:t>
      </w:r>
      <w:r w:rsidR="005B26E9" w:rsidRPr="00324BBD">
        <w:rPr>
          <w:rFonts w:ascii="Book Antiqua" w:hAnsi="Book Antiqua"/>
          <w:sz w:val="24"/>
          <w:szCs w:val="24"/>
        </w:rPr>
        <w:t>CD163 is a hemoglobin scavenger receptor</w:t>
      </w:r>
      <w:r w:rsidR="00577BFD" w:rsidRPr="00324BBD">
        <w:rPr>
          <w:rFonts w:ascii="Book Antiqua" w:hAnsi="Book Antiqua"/>
          <w:sz w:val="24"/>
          <w:szCs w:val="24"/>
        </w:rPr>
        <w:t>,</w:t>
      </w:r>
      <w:r w:rsidR="005B26E9" w:rsidRPr="00324BBD">
        <w:rPr>
          <w:rFonts w:ascii="Book Antiqua" w:hAnsi="Book Antiqua"/>
          <w:sz w:val="24"/>
          <w:szCs w:val="24"/>
        </w:rPr>
        <w:t xml:space="preserve"> which</w:t>
      </w:r>
      <w:r w:rsidR="00577BFD" w:rsidRPr="00324BBD">
        <w:rPr>
          <w:rFonts w:ascii="Book Antiqua" w:hAnsi="Book Antiqua"/>
          <w:sz w:val="24"/>
          <w:szCs w:val="24"/>
        </w:rPr>
        <w:t>,</w:t>
      </w:r>
      <w:r w:rsidR="0004702A" w:rsidRPr="00324BBD">
        <w:rPr>
          <w:rFonts w:ascii="Book Antiqua" w:hAnsi="Book Antiqua"/>
          <w:sz w:val="24"/>
          <w:szCs w:val="24"/>
        </w:rPr>
        <w:t xml:space="preserve"> </w:t>
      </w:r>
      <w:r w:rsidR="00577BFD" w:rsidRPr="00324BBD">
        <w:rPr>
          <w:rFonts w:ascii="Book Antiqua" w:hAnsi="Book Antiqua"/>
          <w:sz w:val="24"/>
          <w:szCs w:val="24"/>
        </w:rPr>
        <w:t>under normal</w:t>
      </w:r>
      <w:r w:rsidR="0004702A" w:rsidRPr="00324BBD">
        <w:rPr>
          <w:rFonts w:ascii="Book Antiqua" w:hAnsi="Book Antiqua"/>
          <w:sz w:val="24"/>
          <w:szCs w:val="24"/>
        </w:rPr>
        <w:t xml:space="preserve"> circumstances</w:t>
      </w:r>
      <w:r w:rsidR="00577BFD" w:rsidRPr="00324BBD">
        <w:rPr>
          <w:rFonts w:ascii="Book Antiqua" w:hAnsi="Book Antiqua"/>
          <w:sz w:val="24"/>
          <w:szCs w:val="24"/>
        </w:rPr>
        <w:t>,</w:t>
      </w:r>
      <w:r w:rsidR="005B26E9" w:rsidRPr="00324BBD">
        <w:rPr>
          <w:rFonts w:ascii="Book Antiqua" w:hAnsi="Book Antiqua"/>
          <w:sz w:val="24"/>
          <w:szCs w:val="24"/>
        </w:rPr>
        <w:t xml:space="preserve"> promotes anti-inflammatory response</w:t>
      </w:r>
      <w:r w:rsidR="0004702A" w:rsidRPr="00324BBD">
        <w:rPr>
          <w:rFonts w:ascii="Book Antiqua" w:hAnsi="Book Antiqua"/>
          <w:sz w:val="24"/>
          <w:szCs w:val="24"/>
        </w:rPr>
        <w:t xml:space="preserve"> by upregulating </w:t>
      </w:r>
      <w:r w:rsidR="00286BDB" w:rsidRPr="00324BBD">
        <w:rPr>
          <w:rFonts w:ascii="Book Antiqua" w:hAnsi="Book Antiqua"/>
          <w:sz w:val="24"/>
          <w:szCs w:val="24"/>
        </w:rPr>
        <w:t>metabolized and detoxified by heme oxygenase-1 (HMOX1)</w:t>
      </w:r>
      <w:r w:rsidR="0004702A" w:rsidRPr="00324BBD">
        <w:rPr>
          <w:rFonts w:ascii="Book Antiqua" w:hAnsi="Book Antiqua"/>
          <w:sz w:val="24"/>
          <w:szCs w:val="24"/>
        </w:rPr>
        <w:t>.</w:t>
      </w:r>
      <w:r w:rsidR="005B26E9" w:rsidRPr="00324BBD">
        <w:rPr>
          <w:rFonts w:ascii="Book Antiqua" w:hAnsi="Book Antiqua"/>
          <w:sz w:val="24"/>
          <w:szCs w:val="24"/>
        </w:rPr>
        <w:t xml:space="preserve"> </w:t>
      </w:r>
      <w:r w:rsidR="0004702A" w:rsidRPr="00324BBD">
        <w:rPr>
          <w:rFonts w:ascii="Book Antiqua" w:hAnsi="Book Antiqua"/>
          <w:sz w:val="24"/>
          <w:szCs w:val="24"/>
        </w:rPr>
        <w:t>H</w:t>
      </w:r>
      <w:r w:rsidR="00862DD8" w:rsidRPr="00324BBD">
        <w:rPr>
          <w:rFonts w:ascii="Book Antiqua" w:hAnsi="Book Antiqua"/>
          <w:sz w:val="24"/>
          <w:szCs w:val="24"/>
        </w:rPr>
        <w:t>owever, patients with cHCV have reduced levels of HMOX1</w:t>
      </w:r>
      <w:r w:rsidR="00577BFD" w:rsidRPr="00324BBD">
        <w:rPr>
          <w:rFonts w:ascii="Book Antiqua" w:hAnsi="Book Antiqua"/>
          <w:sz w:val="24"/>
          <w:szCs w:val="24"/>
        </w:rPr>
        <w:t>,</w:t>
      </w:r>
      <w:r w:rsidR="0004702A" w:rsidRPr="00324BBD">
        <w:rPr>
          <w:rFonts w:ascii="Book Antiqua" w:hAnsi="Book Antiqua"/>
          <w:sz w:val="24"/>
          <w:szCs w:val="24"/>
        </w:rPr>
        <w:t xml:space="preserve"> even with high levels of CD163</w:t>
      </w:r>
      <w:r w:rsidR="00946B8F" w:rsidRPr="00324BBD">
        <w:rPr>
          <w:rFonts w:ascii="Book Antiqua" w:hAnsi="Book Antiqua"/>
          <w:sz w:val="24"/>
          <w:szCs w:val="24"/>
          <w:vertAlign w:val="superscript"/>
        </w:rPr>
        <w:t>[8</w:t>
      </w:r>
      <w:r w:rsidR="0004702A" w:rsidRPr="00324BBD">
        <w:rPr>
          <w:rFonts w:ascii="Book Antiqua" w:hAnsi="Book Antiqua"/>
          <w:sz w:val="24"/>
          <w:szCs w:val="24"/>
          <w:vertAlign w:val="superscript"/>
        </w:rPr>
        <w:t>]</w:t>
      </w:r>
      <w:r w:rsidR="00862DD8" w:rsidRPr="00324BBD">
        <w:rPr>
          <w:rFonts w:ascii="Book Antiqua" w:hAnsi="Book Antiqua"/>
          <w:sz w:val="24"/>
          <w:szCs w:val="24"/>
        </w:rPr>
        <w:t>. These seemingly opposing actions help to perpetuate viremia and chronic inflammation in the liver</w:t>
      </w:r>
      <w:r w:rsidR="00577BFD" w:rsidRPr="00324BBD">
        <w:rPr>
          <w:rFonts w:ascii="Book Antiqua" w:hAnsi="Book Antiqua"/>
          <w:sz w:val="24"/>
          <w:szCs w:val="24"/>
        </w:rPr>
        <w:t>,</w:t>
      </w:r>
      <w:r w:rsidR="00862DD8" w:rsidRPr="00324BBD">
        <w:rPr>
          <w:rFonts w:ascii="Book Antiqua" w:hAnsi="Book Antiqua"/>
          <w:sz w:val="24"/>
          <w:szCs w:val="24"/>
        </w:rPr>
        <w:t xml:space="preserve"> along with a state of immune tolerance </w:t>
      </w:r>
      <w:r w:rsidR="002B215C" w:rsidRPr="00324BBD">
        <w:rPr>
          <w:rFonts w:ascii="Book Antiqua" w:hAnsi="Book Antiqua"/>
          <w:sz w:val="24"/>
          <w:szCs w:val="24"/>
        </w:rPr>
        <w:t xml:space="preserve">to HCV </w:t>
      </w:r>
      <w:r w:rsidR="00862DD8" w:rsidRPr="00324BBD">
        <w:rPr>
          <w:rFonts w:ascii="Book Antiqua" w:hAnsi="Book Antiqua"/>
          <w:sz w:val="24"/>
          <w:szCs w:val="24"/>
        </w:rPr>
        <w:t>that decreases the effectiveness of exogenous i</w:t>
      </w:r>
      <w:r w:rsidR="002B215C" w:rsidRPr="00324BBD">
        <w:rPr>
          <w:rFonts w:ascii="Book Antiqua" w:hAnsi="Book Antiqua"/>
          <w:sz w:val="24"/>
          <w:szCs w:val="24"/>
        </w:rPr>
        <w:t>nterferon in clearing the virus</w:t>
      </w:r>
      <w:r w:rsidR="0004702A" w:rsidRPr="00324BBD">
        <w:rPr>
          <w:rFonts w:ascii="Book Antiqua" w:hAnsi="Book Antiqua"/>
          <w:sz w:val="24"/>
          <w:szCs w:val="24"/>
          <w:vertAlign w:val="superscript"/>
        </w:rPr>
        <w:t>[9</w:t>
      </w:r>
      <w:r w:rsidR="005B26E9" w:rsidRPr="00324BBD">
        <w:rPr>
          <w:rFonts w:ascii="Book Antiqua" w:hAnsi="Book Antiqua"/>
          <w:sz w:val="24"/>
          <w:szCs w:val="24"/>
          <w:vertAlign w:val="superscript"/>
        </w:rPr>
        <w:t>]</w:t>
      </w:r>
      <w:r w:rsidR="00862DD8" w:rsidRPr="00324BBD">
        <w:rPr>
          <w:rFonts w:ascii="Book Antiqua" w:hAnsi="Book Antiqua"/>
          <w:sz w:val="24"/>
          <w:szCs w:val="24"/>
        </w:rPr>
        <w:t xml:space="preserve"> (Figure 1)</w:t>
      </w:r>
      <w:r w:rsidR="00577BFD" w:rsidRPr="00324BBD">
        <w:rPr>
          <w:rFonts w:ascii="Book Antiqua" w:hAnsi="Book Antiqua"/>
          <w:sz w:val="24"/>
          <w:szCs w:val="24"/>
        </w:rPr>
        <w:t>.</w:t>
      </w:r>
    </w:p>
    <w:p w:rsidR="00087A0C" w:rsidRPr="00324BBD" w:rsidRDefault="00087A0C" w:rsidP="008759E1">
      <w:pPr>
        <w:snapToGrid w:val="0"/>
        <w:spacing w:line="360" w:lineRule="auto"/>
        <w:jc w:val="both"/>
        <w:rPr>
          <w:rFonts w:ascii="Book Antiqua" w:hAnsi="Book Antiqua"/>
          <w:sz w:val="24"/>
          <w:szCs w:val="24"/>
          <w:lang w:eastAsia="zh-CN"/>
        </w:rPr>
      </w:pPr>
    </w:p>
    <w:p w:rsidR="00C67F0A" w:rsidRPr="00324BBD" w:rsidRDefault="00C67F0A" w:rsidP="008759E1">
      <w:pPr>
        <w:snapToGrid w:val="0"/>
        <w:spacing w:line="360" w:lineRule="auto"/>
        <w:jc w:val="both"/>
        <w:rPr>
          <w:rFonts w:ascii="Book Antiqua" w:hAnsi="Book Antiqua"/>
          <w:b/>
          <w:sz w:val="24"/>
          <w:szCs w:val="24"/>
        </w:rPr>
      </w:pPr>
      <w:r w:rsidRPr="00324BBD">
        <w:rPr>
          <w:rFonts w:ascii="Book Antiqua" w:hAnsi="Book Antiqua"/>
          <w:b/>
          <w:sz w:val="24"/>
          <w:szCs w:val="24"/>
        </w:rPr>
        <w:t xml:space="preserve">CURRENT </w:t>
      </w:r>
      <w:r w:rsidR="00577BFD" w:rsidRPr="00324BBD">
        <w:rPr>
          <w:rFonts w:ascii="Book Antiqua" w:hAnsi="Book Antiqua"/>
          <w:b/>
          <w:sz w:val="24"/>
          <w:szCs w:val="24"/>
        </w:rPr>
        <w:t xml:space="preserve">cHCV </w:t>
      </w:r>
      <w:r w:rsidRPr="00324BBD">
        <w:rPr>
          <w:rFonts w:ascii="Book Antiqua" w:hAnsi="Book Antiqua"/>
          <w:b/>
          <w:sz w:val="24"/>
          <w:szCs w:val="24"/>
        </w:rPr>
        <w:t>TREATMENT OPTIONS</w:t>
      </w:r>
    </w:p>
    <w:p w:rsidR="00C67F0A" w:rsidRPr="00324BBD" w:rsidRDefault="00577BFD" w:rsidP="008759E1">
      <w:pPr>
        <w:pStyle w:val="a3"/>
        <w:tabs>
          <w:tab w:val="left" w:pos="0"/>
        </w:tabs>
        <w:snapToGrid w:val="0"/>
        <w:spacing w:after="0" w:line="360" w:lineRule="auto"/>
        <w:ind w:left="0" w:firstLine="0"/>
        <w:jc w:val="both"/>
        <w:rPr>
          <w:rFonts w:ascii="Book Antiqua" w:hAnsi="Book Antiqua"/>
          <w:sz w:val="24"/>
          <w:szCs w:val="24"/>
        </w:rPr>
      </w:pPr>
      <w:r w:rsidRPr="00324BBD">
        <w:rPr>
          <w:rFonts w:ascii="Book Antiqua" w:hAnsi="Book Antiqua"/>
          <w:sz w:val="24"/>
          <w:szCs w:val="24"/>
        </w:rPr>
        <w:t xml:space="preserve">Since the early 1990s, </w:t>
      </w:r>
      <w:r w:rsidR="00C67F0A" w:rsidRPr="00324BBD">
        <w:rPr>
          <w:rFonts w:ascii="Book Antiqua" w:hAnsi="Book Antiqua"/>
          <w:sz w:val="24"/>
          <w:szCs w:val="24"/>
        </w:rPr>
        <w:t>IFN-</w:t>
      </w:r>
      <w:r w:rsidR="00286BDB" w:rsidRPr="00324BBD">
        <w:rPr>
          <w:rFonts w:ascii="Book Antiqua" w:hAnsi="Book Antiqua"/>
          <w:sz w:val="24"/>
          <w:szCs w:val="24"/>
          <w:lang w:eastAsia="zh-CN"/>
        </w:rPr>
        <w:t xml:space="preserve">α </w:t>
      </w:r>
      <w:r w:rsidR="00C67F0A" w:rsidRPr="00324BBD">
        <w:rPr>
          <w:rFonts w:ascii="Book Antiqua" w:hAnsi="Book Antiqua"/>
          <w:sz w:val="24"/>
          <w:szCs w:val="24"/>
        </w:rPr>
        <w:t>has been the mainstay of treatment for cHCV. Introduc</w:t>
      </w:r>
      <w:r w:rsidRPr="00324BBD">
        <w:rPr>
          <w:rFonts w:ascii="Book Antiqua" w:hAnsi="Book Antiqua"/>
          <w:sz w:val="24"/>
          <w:szCs w:val="24"/>
        </w:rPr>
        <w:t>ing</w:t>
      </w:r>
      <w:r w:rsidR="00C67F0A" w:rsidRPr="00324BBD">
        <w:rPr>
          <w:rFonts w:ascii="Book Antiqua" w:hAnsi="Book Antiqua"/>
          <w:sz w:val="24"/>
          <w:szCs w:val="24"/>
        </w:rPr>
        <w:t xml:space="preserve"> ribavirin (RBV) to the anti-HCV therapy greatly improved the sustained virologic</w:t>
      </w:r>
      <w:r w:rsidR="00CD1799" w:rsidRPr="00324BBD">
        <w:rPr>
          <w:rFonts w:ascii="Book Antiqua" w:hAnsi="Book Antiqua"/>
          <w:sz w:val="24"/>
          <w:szCs w:val="24"/>
        </w:rPr>
        <w:t>al</w:t>
      </w:r>
      <w:r w:rsidR="00C67F0A" w:rsidRPr="00324BBD">
        <w:rPr>
          <w:rFonts w:ascii="Book Antiqua" w:hAnsi="Book Antiqua"/>
          <w:sz w:val="24"/>
          <w:szCs w:val="24"/>
        </w:rPr>
        <w:t xml:space="preserve"> response (SVR) or cure rates. Major trials have concluded that RBV </w:t>
      </w:r>
      <w:r w:rsidRPr="00324BBD">
        <w:rPr>
          <w:rFonts w:ascii="Book Antiqua" w:hAnsi="Book Antiqua"/>
          <w:sz w:val="24"/>
          <w:szCs w:val="24"/>
        </w:rPr>
        <w:t xml:space="preserve">addition </w:t>
      </w:r>
      <w:r w:rsidR="00C67F0A" w:rsidRPr="00324BBD">
        <w:rPr>
          <w:rFonts w:ascii="Book Antiqua" w:hAnsi="Book Antiqua"/>
          <w:sz w:val="24"/>
          <w:szCs w:val="24"/>
        </w:rPr>
        <w:t>to interferon therapy improves SVR to 40</w:t>
      </w:r>
      <w:r w:rsidR="00286BDB" w:rsidRPr="00324BBD">
        <w:rPr>
          <w:rFonts w:ascii="Book Antiqua" w:hAnsi="Book Antiqua"/>
          <w:sz w:val="24"/>
          <w:szCs w:val="24"/>
        </w:rPr>
        <w:t>%</w:t>
      </w:r>
      <w:r w:rsidR="00C67F0A" w:rsidRPr="00324BBD">
        <w:rPr>
          <w:rFonts w:ascii="Book Antiqua" w:hAnsi="Book Antiqua"/>
          <w:sz w:val="24"/>
          <w:szCs w:val="24"/>
        </w:rPr>
        <w:t>-50% in patients with genotype 1</w:t>
      </w:r>
      <w:r w:rsidRPr="00324BBD">
        <w:rPr>
          <w:rFonts w:ascii="Book Antiqua" w:hAnsi="Book Antiqua"/>
          <w:sz w:val="24"/>
          <w:szCs w:val="24"/>
        </w:rPr>
        <w:t>,</w:t>
      </w:r>
      <w:r w:rsidR="00C67F0A" w:rsidRPr="00324BBD">
        <w:rPr>
          <w:rFonts w:ascii="Book Antiqua" w:hAnsi="Book Antiqua"/>
          <w:sz w:val="24"/>
          <w:szCs w:val="24"/>
        </w:rPr>
        <w:t xml:space="preserve"> which is </w:t>
      </w:r>
      <w:r w:rsidRPr="00324BBD">
        <w:rPr>
          <w:rFonts w:ascii="Book Antiqua" w:hAnsi="Book Antiqua"/>
          <w:sz w:val="24"/>
          <w:szCs w:val="24"/>
        </w:rPr>
        <w:t xml:space="preserve">far </w:t>
      </w:r>
      <w:r w:rsidR="00C67F0A" w:rsidRPr="00324BBD">
        <w:rPr>
          <w:rFonts w:ascii="Book Antiqua" w:hAnsi="Book Antiqua"/>
          <w:sz w:val="24"/>
          <w:szCs w:val="24"/>
        </w:rPr>
        <w:t xml:space="preserve">superior to therapy with </w:t>
      </w:r>
      <w:r w:rsidRPr="00324BBD">
        <w:rPr>
          <w:rFonts w:ascii="Book Antiqua" w:hAnsi="Book Antiqua"/>
          <w:sz w:val="24"/>
          <w:szCs w:val="24"/>
        </w:rPr>
        <w:t>p</w:t>
      </w:r>
      <w:r w:rsidR="00C67F0A" w:rsidRPr="00324BBD">
        <w:rPr>
          <w:rFonts w:ascii="Book Antiqua" w:hAnsi="Book Antiqua"/>
          <w:sz w:val="24"/>
          <w:szCs w:val="24"/>
        </w:rPr>
        <w:t>egylated interferon alone (15</w:t>
      </w:r>
      <w:r w:rsidR="00286BDB" w:rsidRPr="00324BBD">
        <w:rPr>
          <w:rFonts w:ascii="Book Antiqua" w:hAnsi="Book Antiqua"/>
          <w:sz w:val="24"/>
          <w:szCs w:val="24"/>
        </w:rPr>
        <w:t>%</w:t>
      </w:r>
      <w:r w:rsidR="00C67F0A" w:rsidRPr="00324BBD">
        <w:rPr>
          <w:rFonts w:ascii="Book Antiqua" w:hAnsi="Book Antiqua"/>
          <w:sz w:val="24"/>
          <w:szCs w:val="24"/>
        </w:rPr>
        <w:t>-20%)</w:t>
      </w:r>
      <w:r w:rsidR="00EB5F99" w:rsidRPr="00324BBD">
        <w:rPr>
          <w:rFonts w:ascii="Book Antiqua" w:hAnsi="Book Antiqua"/>
          <w:sz w:val="24"/>
          <w:szCs w:val="24"/>
        </w:rPr>
        <w:fldChar w:fldCharType="begin"/>
      </w:r>
      <w:r w:rsidR="00CC166C" w:rsidRPr="00324BBD">
        <w:rPr>
          <w:rFonts w:ascii="Book Antiqua" w:hAnsi="Book Antiqua"/>
          <w:sz w:val="24"/>
          <w:szCs w:val="24"/>
        </w:rPr>
        <w:instrText xml:space="preserve"> ADDIN ZOTERO_ITEM CSL_CITATION {"citationID":"xMpRrntg","properties":{"formattedCitation":"{\\rtf \\super [12]\\nosupersub{}}","plainCitation":"[12]","dontUpdate":true},"citationItems":[{"id":27,"uris":["http://zotero.org/users/1747505/items/V9XD54NW"],"uri":["http://zotero.org/users/1747505/items/V9XD54NW"],"itemData":{"id":27,"type":"article-journal","title":"Peginterferon Alfa-2a plus Ribavirin for Chronic Hepatitis C Virus Infection","container-title":"New England Journal of Medicine","page":"975-982","volume":"347","issue":"13","source":"Taylor and Francis+NEJM","abstract":"Although the mechanism of action of ribavirin remains speculative,1 the current standard of care for patients with chronic hepatitis C is the addition of ribavirin to interferon-based therapies.2–7 Unfortunately, some patients, particularly those with more resistant hepatitis C virus (HCV) genotypes, do not respond to these agents. Two types of pegylated interferon, which differ in their pharmacokinetic and chemical properties, have been developed. Both have demonstrated significantly superior efficacy to non-pegylated interferons in several controlled clinical trials.8–12 Peginterferon alfa-2b (a 12-kD linear polyethylene glycol moiety) plus ribavirin produced significantly improved sustained virologic responses as compared with interferon alfa-2b . . .","DOI":"10.1056/NEJMoa020047","ISSN":"0028-4793","note":"PMID: 12324553","author":[{"family":"Fried","given":"Michael W."},{"family":"Shiffman","given":"Mitchell L."},{"family":"Reddy","given":"K. Rajender"},{"family":"Smith","given":"Coleman"},{"family":"Marinos","given":"George"},{"family":"Gonçales","given":"Fernando L."},{"family":"Häussinger","given":"Dieter"},{"family":"Diago","given":"Moises"},{"family":"Carosi","given":"Giampiero"},{"family":"Dhumeaux","given":"Daniel"},{"family":"Craxi","given":"Antonio"},{"family":"Lin","given":"Amy"},{"family":"Hoffman","given":"Joseph"},{"family":"Yu","given":"Jian"}],"issued":{"date-parts":[["2002"]]},"accessed":{"date-parts":[["2014",1,11]],"season":"18:39:06"},"PMID":"12324553"}}],"schema":"https://github.com/citation-style-language/schema/raw/master/csl-citation.json"} </w:instrText>
      </w:r>
      <w:r w:rsidR="00EB5F99" w:rsidRPr="00324BBD">
        <w:rPr>
          <w:rFonts w:ascii="Book Antiqua" w:hAnsi="Book Antiqua"/>
          <w:sz w:val="24"/>
          <w:szCs w:val="24"/>
        </w:rPr>
        <w:fldChar w:fldCharType="separate"/>
      </w:r>
      <w:r w:rsidR="00DF5B2A" w:rsidRPr="00324BBD">
        <w:rPr>
          <w:rFonts w:ascii="Book Antiqua" w:hAnsi="Book Antiqua" w:cs="Times New Roman"/>
          <w:sz w:val="24"/>
          <w:szCs w:val="24"/>
          <w:vertAlign w:val="superscript"/>
        </w:rPr>
        <w:t>[10</w:t>
      </w:r>
      <w:r w:rsidR="00415204" w:rsidRPr="00324BBD">
        <w:rPr>
          <w:rFonts w:ascii="Book Antiqua" w:hAnsi="Book Antiqua" w:cs="Times New Roman"/>
          <w:sz w:val="24"/>
          <w:szCs w:val="24"/>
          <w:vertAlign w:val="superscript"/>
        </w:rPr>
        <w:t>]</w:t>
      </w:r>
      <w:r w:rsidR="00EB5F99" w:rsidRPr="00324BBD">
        <w:rPr>
          <w:rFonts w:ascii="Book Antiqua" w:hAnsi="Book Antiqua"/>
          <w:sz w:val="24"/>
          <w:szCs w:val="24"/>
        </w:rPr>
        <w:fldChar w:fldCharType="end"/>
      </w:r>
      <w:r w:rsidR="00C67F0A" w:rsidRPr="00324BBD">
        <w:rPr>
          <w:rFonts w:ascii="Book Antiqua" w:hAnsi="Book Antiqua"/>
          <w:sz w:val="24"/>
          <w:szCs w:val="24"/>
        </w:rPr>
        <w:t xml:space="preserve">. </w:t>
      </w:r>
      <w:r w:rsidRPr="00324BBD">
        <w:rPr>
          <w:rFonts w:ascii="Book Antiqua" w:hAnsi="Book Antiqua"/>
          <w:sz w:val="24"/>
          <w:szCs w:val="24"/>
        </w:rPr>
        <w:t xml:space="preserve">The following </w:t>
      </w:r>
      <w:r w:rsidR="00C67F0A" w:rsidRPr="00324BBD">
        <w:rPr>
          <w:rFonts w:ascii="Book Antiqua" w:hAnsi="Book Antiqua"/>
          <w:sz w:val="24"/>
          <w:szCs w:val="24"/>
        </w:rPr>
        <w:t xml:space="preserve">disparate hypotheses have been proposed to explain the synergy of </w:t>
      </w:r>
      <w:r w:rsidRPr="00324BBD">
        <w:rPr>
          <w:rFonts w:ascii="Book Antiqua" w:hAnsi="Book Antiqua"/>
          <w:sz w:val="24"/>
          <w:szCs w:val="24"/>
        </w:rPr>
        <w:t>r</w:t>
      </w:r>
      <w:r w:rsidR="00C67F0A" w:rsidRPr="00324BBD">
        <w:rPr>
          <w:rFonts w:ascii="Book Antiqua" w:hAnsi="Book Antiqua"/>
          <w:sz w:val="24"/>
          <w:szCs w:val="24"/>
        </w:rPr>
        <w:t xml:space="preserve">ibavirin with </w:t>
      </w:r>
      <w:r w:rsidRPr="00324BBD">
        <w:rPr>
          <w:rFonts w:ascii="Book Antiqua" w:hAnsi="Book Antiqua"/>
          <w:sz w:val="24"/>
          <w:szCs w:val="24"/>
        </w:rPr>
        <w:t>i</w:t>
      </w:r>
      <w:r w:rsidR="00C67F0A" w:rsidRPr="00324BBD">
        <w:rPr>
          <w:rFonts w:ascii="Book Antiqua" w:hAnsi="Book Antiqua"/>
          <w:sz w:val="24"/>
          <w:szCs w:val="24"/>
        </w:rPr>
        <w:t>nterferon in increasing the SVR</w:t>
      </w:r>
      <w:r w:rsidRPr="00324BBD">
        <w:rPr>
          <w:rFonts w:ascii="Book Antiqua" w:hAnsi="Book Antiqua"/>
          <w:sz w:val="24"/>
          <w:szCs w:val="24"/>
        </w:rPr>
        <w:t>:</w:t>
      </w:r>
      <w:r w:rsidR="00C67F0A" w:rsidRPr="00324BBD">
        <w:rPr>
          <w:rFonts w:ascii="Book Antiqua" w:hAnsi="Book Antiqua"/>
          <w:sz w:val="24"/>
          <w:szCs w:val="24"/>
        </w:rPr>
        <w:t xml:space="preserve"> (1) direct inhibition of HCV replication</w:t>
      </w:r>
      <w:r w:rsidRPr="00324BBD">
        <w:rPr>
          <w:rFonts w:ascii="Book Antiqua" w:hAnsi="Book Antiqua"/>
          <w:sz w:val="24"/>
          <w:szCs w:val="24"/>
        </w:rPr>
        <w:t>;</w:t>
      </w:r>
      <w:r w:rsidR="00C67F0A" w:rsidRPr="00324BBD">
        <w:rPr>
          <w:rFonts w:ascii="Book Antiqua" w:hAnsi="Book Antiqua"/>
          <w:sz w:val="24"/>
          <w:szCs w:val="24"/>
        </w:rPr>
        <w:t xml:space="preserve"> (2) inhibition of host inosine mon</w:t>
      </w:r>
      <w:r w:rsidR="00286BDB" w:rsidRPr="00324BBD">
        <w:rPr>
          <w:rFonts w:ascii="Book Antiqua" w:hAnsi="Book Antiqua"/>
          <w:sz w:val="24"/>
          <w:szCs w:val="24"/>
        </w:rPr>
        <w:t>ophosphate dehydrogenase</w:t>
      </w:r>
      <w:r w:rsidRPr="00324BBD">
        <w:rPr>
          <w:rFonts w:ascii="Book Antiqua" w:hAnsi="Book Antiqua"/>
          <w:sz w:val="24"/>
          <w:szCs w:val="24"/>
        </w:rPr>
        <w:t>;</w:t>
      </w:r>
      <w:r w:rsidR="00C67F0A" w:rsidRPr="00324BBD">
        <w:rPr>
          <w:rFonts w:ascii="Book Antiqua" w:hAnsi="Book Antiqua"/>
          <w:sz w:val="24"/>
          <w:szCs w:val="24"/>
        </w:rPr>
        <w:t xml:space="preserve"> (3) mutagenesis induction in rapidly replicating virus</w:t>
      </w:r>
      <w:r w:rsidRPr="00324BBD">
        <w:rPr>
          <w:rFonts w:ascii="Book Antiqua" w:hAnsi="Book Antiqua"/>
          <w:sz w:val="24"/>
          <w:szCs w:val="24"/>
        </w:rPr>
        <w:t>,</w:t>
      </w:r>
      <w:r w:rsidR="00C67F0A" w:rsidRPr="00324BBD">
        <w:rPr>
          <w:rFonts w:ascii="Book Antiqua" w:hAnsi="Book Antiqua"/>
          <w:sz w:val="24"/>
          <w:szCs w:val="24"/>
        </w:rPr>
        <w:t xml:space="preserve"> inducing error catastrophe</w:t>
      </w:r>
      <w:r w:rsidRPr="00324BBD">
        <w:rPr>
          <w:rFonts w:ascii="Book Antiqua" w:hAnsi="Book Antiqua"/>
          <w:sz w:val="24"/>
          <w:szCs w:val="24"/>
        </w:rPr>
        <w:t>;</w:t>
      </w:r>
      <w:r w:rsidR="00C67F0A" w:rsidRPr="00324BBD">
        <w:rPr>
          <w:rFonts w:ascii="Book Antiqua" w:hAnsi="Book Antiqua"/>
          <w:sz w:val="24"/>
          <w:szCs w:val="24"/>
        </w:rPr>
        <w:t xml:space="preserve"> (4) immunomodulation by inducing </w:t>
      </w:r>
      <w:r w:rsidRPr="00324BBD">
        <w:rPr>
          <w:rFonts w:ascii="Book Antiqua" w:hAnsi="Book Antiqua"/>
          <w:sz w:val="24"/>
          <w:szCs w:val="24"/>
        </w:rPr>
        <w:t xml:space="preserve">the </w:t>
      </w:r>
      <w:r w:rsidR="00C67F0A" w:rsidRPr="00324BBD">
        <w:rPr>
          <w:rFonts w:ascii="Book Antiqua" w:hAnsi="Book Antiqua"/>
          <w:sz w:val="24"/>
          <w:szCs w:val="24"/>
        </w:rPr>
        <w:t>Th1 response</w:t>
      </w:r>
      <w:r w:rsidRPr="00324BBD">
        <w:rPr>
          <w:rFonts w:ascii="Book Antiqua" w:hAnsi="Book Antiqua"/>
          <w:sz w:val="24"/>
          <w:szCs w:val="24"/>
        </w:rPr>
        <w:t>;</w:t>
      </w:r>
      <w:r w:rsidR="00C67F0A" w:rsidRPr="00324BBD">
        <w:rPr>
          <w:rFonts w:ascii="Book Antiqua" w:hAnsi="Book Antiqua"/>
          <w:sz w:val="24"/>
          <w:szCs w:val="24"/>
        </w:rPr>
        <w:t xml:space="preserve"> and (5) modulation of Th1 (cell mediated immunity) and Th2 (humoral immunity) lymphocyte balance</w:t>
      </w:r>
      <w:r w:rsidR="00EB5F99" w:rsidRPr="00324BBD">
        <w:rPr>
          <w:rFonts w:ascii="Book Antiqua" w:hAnsi="Book Antiqua"/>
          <w:sz w:val="24"/>
          <w:szCs w:val="24"/>
        </w:rPr>
        <w:fldChar w:fldCharType="begin"/>
      </w:r>
      <w:r w:rsidR="00C732AF" w:rsidRPr="00324BBD">
        <w:rPr>
          <w:rFonts w:ascii="Book Antiqua" w:hAnsi="Book Antiqua"/>
          <w:sz w:val="24"/>
          <w:szCs w:val="24"/>
        </w:rPr>
        <w:instrText xml:space="preserve"> ADDIN ZOTERO_ITEM CSL_CITATION {"citationID":"sKopPchb","properties":{"formattedCitation":"{\\rtf \\super [6]\\nosupersub{}}","plainCitation":"[6]","dontUpdate":true},"citationItems":[{"id":48,"uris":["http://zotero.org/users/1747505/items/D7XIUUAF"],"uri":["http://zotero.org/users/1747505/items/D7XIUUAF"],"itemData":{"id":48,"type":"article-journal","title":"Mechanisms of Action of Interferon and Ribavirin in Chronic Hepatitis C: Summary of a Workshop","container-title":"Hepatology (Baltimore, Md.)","page":"306-320","volume":"47","issue":"1","source":"PubMed Central","DOI":"10.1002/hep.22070","ISSN":"0270-9139","note":"PMID: 18161743\nPMCID: PMC2799164","shortTitle":"Mechanisms of Action of Interferon and Ribavirin in Chronic Hepatitis C","journalAbbreviation":"Hepatology","author":[{"family":"Chung","given":"Raymond T."},{"family":"Gale","given":"Michael"},{"family":"Polyak","given":"Stephen J."},{"family":"Lemon","given":"Stanley M."},{"family":"Liang","given":"T. Jake"},{"family":"Hoofnagle","given":"Jay H."}],"issued":{"date-parts":[["2008",1]]},"accessed":{"date-parts":[["2014",1,11]],"season":"21:38:26"},"PMID":"18161743","PMCID":"PMC2799164"}}],"schema":"https://github.com/citation-style-language/schema/raw/master/csl-citation.json"} </w:instrText>
      </w:r>
      <w:r w:rsidR="00EB5F99" w:rsidRPr="00324BBD">
        <w:rPr>
          <w:rFonts w:ascii="Book Antiqua" w:hAnsi="Book Antiqua"/>
          <w:sz w:val="24"/>
          <w:szCs w:val="24"/>
        </w:rPr>
        <w:fldChar w:fldCharType="separate"/>
      </w:r>
      <w:r w:rsidR="00DF5B2A" w:rsidRPr="00324BBD">
        <w:rPr>
          <w:rFonts w:ascii="Book Antiqua" w:hAnsi="Book Antiqua" w:cs="Times New Roman"/>
          <w:sz w:val="24"/>
          <w:szCs w:val="24"/>
          <w:vertAlign w:val="superscript"/>
        </w:rPr>
        <w:t>[11</w:t>
      </w:r>
      <w:r w:rsidR="00415204" w:rsidRPr="00324BBD">
        <w:rPr>
          <w:rFonts w:ascii="Book Antiqua" w:hAnsi="Book Antiqua" w:cs="Times New Roman"/>
          <w:sz w:val="24"/>
          <w:szCs w:val="24"/>
          <w:vertAlign w:val="superscript"/>
        </w:rPr>
        <w:t>]</w:t>
      </w:r>
      <w:r w:rsidR="00EB5F99" w:rsidRPr="00324BBD">
        <w:rPr>
          <w:rFonts w:ascii="Book Antiqua" w:hAnsi="Book Antiqua"/>
          <w:sz w:val="24"/>
          <w:szCs w:val="24"/>
        </w:rPr>
        <w:fldChar w:fldCharType="end"/>
      </w:r>
      <w:r w:rsidR="00C67F0A" w:rsidRPr="00324BBD">
        <w:rPr>
          <w:rFonts w:ascii="Book Antiqua" w:hAnsi="Book Antiqua"/>
          <w:sz w:val="24"/>
          <w:szCs w:val="24"/>
        </w:rPr>
        <w:t xml:space="preserve">. None of these </w:t>
      </w:r>
      <w:r w:rsidR="00CD1799" w:rsidRPr="00324BBD">
        <w:rPr>
          <w:rFonts w:ascii="Book Antiqua" w:hAnsi="Book Antiqua"/>
          <w:sz w:val="24"/>
          <w:szCs w:val="24"/>
        </w:rPr>
        <w:t>hypotheses</w:t>
      </w:r>
      <w:r w:rsidRPr="00324BBD">
        <w:rPr>
          <w:rFonts w:ascii="Book Antiqua" w:hAnsi="Book Antiqua"/>
          <w:sz w:val="24"/>
          <w:szCs w:val="24"/>
        </w:rPr>
        <w:t xml:space="preserve"> has</w:t>
      </w:r>
      <w:r w:rsidR="00C67F0A" w:rsidRPr="00324BBD">
        <w:rPr>
          <w:rFonts w:ascii="Book Antiqua" w:hAnsi="Book Antiqua"/>
          <w:sz w:val="24"/>
          <w:szCs w:val="24"/>
        </w:rPr>
        <w:t xml:space="preserve"> convincingly explained t</w:t>
      </w:r>
      <w:r w:rsidR="00193C00" w:rsidRPr="00324BBD">
        <w:rPr>
          <w:rFonts w:ascii="Book Antiqua" w:hAnsi="Book Antiqua"/>
          <w:sz w:val="24"/>
          <w:szCs w:val="24"/>
        </w:rPr>
        <w:t>he synergistic anti</w:t>
      </w:r>
      <w:r w:rsidR="00C67F0A" w:rsidRPr="00324BBD">
        <w:rPr>
          <w:rFonts w:ascii="Book Antiqua" w:hAnsi="Book Antiqua"/>
          <w:sz w:val="24"/>
          <w:szCs w:val="24"/>
        </w:rPr>
        <w:t>viral effects</w:t>
      </w:r>
      <w:r w:rsidR="00FF79BF" w:rsidRPr="00324BBD">
        <w:rPr>
          <w:rFonts w:ascii="Book Antiqua" w:hAnsi="Book Antiqua"/>
          <w:sz w:val="24"/>
          <w:szCs w:val="24"/>
        </w:rPr>
        <w:t xml:space="preserve"> of the combined</w:t>
      </w:r>
      <w:r w:rsidR="0004702A" w:rsidRPr="00324BBD">
        <w:rPr>
          <w:rFonts w:ascii="Book Antiqua" w:hAnsi="Book Antiqua"/>
          <w:sz w:val="24"/>
          <w:szCs w:val="24"/>
        </w:rPr>
        <w:t xml:space="preserve"> </w:t>
      </w:r>
      <w:r w:rsidR="002B215C" w:rsidRPr="00324BBD">
        <w:rPr>
          <w:rFonts w:ascii="Book Antiqua" w:hAnsi="Book Antiqua"/>
          <w:sz w:val="24"/>
          <w:szCs w:val="24"/>
        </w:rPr>
        <w:t xml:space="preserve">therapy with </w:t>
      </w:r>
      <w:r w:rsidR="0004702A" w:rsidRPr="00324BBD">
        <w:rPr>
          <w:rFonts w:ascii="Book Antiqua" w:hAnsi="Book Antiqua"/>
          <w:sz w:val="24"/>
          <w:szCs w:val="24"/>
        </w:rPr>
        <w:t>IFN</w:t>
      </w:r>
      <w:r w:rsidR="002B215C" w:rsidRPr="00324BBD">
        <w:rPr>
          <w:rFonts w:ascii="Book Antiqua" w:hAnsi="Book Antiqua"/>
          <w:sz w:val="24"/>
          <w:szCs w:val="24"/>
        </w:rPr>
        <w:t xml:space="preserve"> and </w:t>
      </w:r>
      <w:r w:rsidR="0004702A" w:rsidRPr="00324BBD">
        <w:rPr>
          <w:rFonts w:ascii="Book Antiqua" w:hAnsi="Book Antiqua"/>
          <w:sz w:val="24"/>
          <w:szCs w:val="24"/>
        </w:rPr>
        <w:t xml:space="preserve">RBV </w:t>
      </w:r>
      <w:r w:rsidR="002B215C" w:rsidRPr="00324BBD">
        <w:rPr>
          <w:rFonts w:ascii="Book Antiqua" w:hAnsi="Book Antiqua"/>
          <w:sz w:val="24"/>
          <w:szCs w:val="24"/>
        </w:rPr>
        <w:t>o</w:t>
      </w:r>
      <w:r w:rsidR="0004702A" w:rsidRPr="00324BBD">
        <w:rPr>
          <w:rFonts w:ascii="Book Antiqua" w:hAnsi="Book Antiqua"/>
          <w:sz w:val="24"/>
          <w:szCs w:val="24"/>
        </w:rPr>
        <w:t xml:space="preserve">n </w:t>
      </w:r>
      <w:r w:rsidR="002B215C" w:rsidRPr="00324BBD">
        <w:rPr>
          <w:rFonts w:ascii="Book Antiqua" w:hAnsi="Book Antiqua"/>
          <w:sz w:val="24"/>
          <w:szCs w:val="24"/>
        </w:rPr>
        <w:t>hepatitis C</w:t>
      </w:r>
      <w:r w:rsidR="00C67F0A" w:rsidRPr="00324BBD">
        <w:rPr>
          <w:rFonts w:ascii="Book Antiqua" w:hAnsi="Book Antiqua"/>
          <w:sz w:val="24"/>
          <w:szCs w:val="24"/>
        </w:rPr>
        <w:t xml:space="preserve">. </w:t>
      </w:r>
    </w:p>
    <w:p w:rsidR="00C67F0A" w:rsidRPr="00324BBD" w:rsidRDefault="00C67F0A" w:rsidP="001A73C7">
      <w:pPr>
        <w:pStyle w:val="a3"/>
        <w:tabs>
          <w:tab w:val="left" w:pos="0"/>
        </w:tabs>
        <w:snapToGrid w:val="0"/>
        <w:spacing w:after="0" w:line="360" w:lineRule="auto"/>
        <w:ind w:left="0" w:firstLineChars="50" w:firstLine="120"/>
        <w:jc w:val="both"/>
        <w:rPr>
          <w:rFonts w:ascii="Book Antiqua" w:hAnsi="Book Antiqua"/>
          <w:sz w:val="24"/>
          <w:szCs w:val="24"/>
        </w:rPr>
      </w:pPr>
      <w:r w:rsidRPr="00324BBD">
        <w:rPr>
          <w:rFonts w:ascii="Book Antiqua" w:hAnsi="Book Antiqua"/>
          <w:sz w:val="24"/>
          <w:szCs w:val="24"/>
        </w:rPr>
        <w:t>RBV alone does not have any appreciable direct anti-HCV effects</w:t>
      </w:r>
      <w:r w:rsidR="00577BFD" w:rsidRPr="00324BBD">
        <w:rPr>
          <w:rFonts w:ascii="Book Antiqua" w:hAnsi="Book Antiqua"/>
          <w:sz w:val="24"/>
          <w:szCs w:val="24"/>
        </w:rPr>
        <w:t>,</w:t>
      </w:r>
      <w:r w:rsidRPr="00324BBD">
        <w:rPr>
          <w:rFonts w:ascii="Book Antiqua" w:hAnsi="Book Antiqua"/>
          <w:sz w:val="24"/>
          <w:szCs w:val="24"/>
        </w:rPr>
        <w:t xml:space="preserve"> and the exact mechanism of action in cHCV therapy </w:t>
      </w:r>
      <w:r w:rsidR="00577BFD" w:rsidRPr="00324BBD">
        <w:rPr>
          <w:rFonts w:ascii="Book Antiqua" w:hAnsi="Book Antiqua"/>
          <w:sz w:val="24"/>
          <w:szCs w:val="24"/>
        </w:rPr>
        <w:t>remains</w:t>
      </w:r>
      <w:r w:rsidRPr="00324BBD">
        <w:rPr>
          <w:rFonts w:ascii="Book Antiqua" w:hAnsi="Book Antiqua"/>
          <w:sz w:val="24"/>
          <w:szCs w:val="24"/>
        </w:rPr>
        <w:t xml:space="preserve"> a mystery. Although various new </w:t>
      </w:r>
      <w:r w:rsidR="00FF79BF" w:rsidRPr="00324BBD">
        <w:rPr>
          <w:rFonts w:ascii="Book Antiqua" w:hAnsi="Book Antiqua"/>
          <w:sz w:val="24"/>
          <w:szCs w:val="24"/>
        </w:rPr>
        <w:t>direct</w:t>
      </w:r>
      <w:r w:rsidR="00577BFD" w:rsidRPr="00324BBD">
        <w:rPr>
          <w:rFonts w:ascii="Book Antiqua" w:hAnsi="Book Antiqua"/>
          <w:sz w:val="24"/>
          <w:szCs w:val="24"/>
        </w:rPr>
        <w:t>-</w:t>
      </w:r>
      <w:r w:rsidR="00FF79BF" w:rsidRPr="00324BBD">
        <w:rPr>
          <w:rFonts w:ascii="Book Antiqua" w:hAnsi="Book Antiqua"/>
          <w:sz w:val="24"/>
          <w:szCs w:val="24"/>
        </w:rPr>
        <w:t xml:space="preserve">acting </w:t>
      </w:r>
      <w:r w:rsidR="002B215C" w:rsidRPr="00324BBD">
        <w:rPr>
          <w:rFonts w:ascii="Book Antiqua" w:hAnsi="Book Antiqua"/>
          <w:sz w:val="24"/>
          <w:szCs w:val="24"/>
        </w:rPr>
        <w:t xml:space="preserve">antiviral </w:t>
      </w:r>
      <w:r w:rsidR="00FF79BF" w:rsidRPr="00324BBD">
        <w:rPr>
          <w:rFonts w:ascii="Book Antiqua" w:hAnsi="Book Antiqua"/>
          <w:sz w:val="24"/>
          <w:szCs w:val="24"/>
        </w:rPr>
        <w:t xml:space="preserve">agents </w:t>
      </w:r>
      <w:r w:rsidR="00577BFD" w:rsidRPr="00324BBD">
        <w:rPr>
          <w:rFonts w:ascii="Book Antiqua" w:hAnsi="Book Antiqua"/>
          <w:sz w:val="24"/>
          <w:szCs w:val="24"/>
        </w:rPr>
        <w:t xml:space="preserve">with far superior SVR compared with the present treatment </w:t>
      </w:r>
      <w:r w:rsidR="00577BFD" w:rsidRPr="00324BBD">
        <w:rPr>
          <w:rFonts w:ascii="Book Antiqua" w:hAnsi="Book Antiqua"/>
          <w:sz w:val="24"/>
          <w:szCs w:val="24"/>
        </w:rPr>
        <w:lastRenderedPageBreak/>
        <w:t xml:space="preserve">options </w:t>
      </w:r>
      <w:r w:rsidR="00FF79BF" w:rsidRPr="00324BBD">
        <w:rPr>
          <w:rFonts w:ascii="Book Antiqua" w:hAnsi="Book Antiqua"/>
          <w:sz w:val="24"/>
          <w:szCs w:val="24"/>
        </w:rPr>
        <w:t xml:space="preserve">are being developed and </w:t>
      </w:r>
      <w:r w:rsidRPr="00324BBD">
        <w:rPr>
          <w:rFonts w:ascii="Book Antiqua" w:hAnsi="Book Antiqua"/>
          <w:sz w:val="24"/>
          <w:szCs w:val="24"/>
        </w:rPr>
        <w:t xml:space="preserve">approved for the treatment of chronic HCV, RBV remains an integral </w:t>
      </w:r>
      <w:r w:rsidR="00193C00" w:rsidRPr="00324BBD">
        <w:rPr>
          <w:rFonts w:ascii="Book Antiqua" w:hAnsi="Book Antiqua"/>
          <w:sz w:val="24"/>
          <w:szCs w:val="24"/>
        </w:rPr>
        <w:t>part of several of the new anti</w:t>
      </w:r>
      <w:r w:rsidRPr="00324BBD">
        <w:rPr>
          <w:rFonts w:ascii="Book Antiqua" w:hAnsi="Book Antiqua"/>
          <w:sz w:val="24"/>
          <w:szCs w:val="24"/>
        </w:rPr>
        <w:t xml:space="preserve">viral regimens. </w:t>
      </w:r>
      <w:r w:rsidR="00577BFD" w:rsidRPr="00324BBD">
        <w:rPr>
          <w:rFonts w:ascii="Book Antiqua" w:hAnsi="Book Antiqua"/>
          <w:sz w:val="24"/>
          <w:szCs w:val="24"/>
        </w:rPr>
        <w:t>Thus,</w:t>
      </w:r>
      <w:r w:rsidRPr="00324BBD">
        <w:rPr>
          <w:rFonts w:ascii="Book Antiqua" w:hAnsi="Book Antiqua"/>
          <w:sz w:val="24"/>
          <w:szCs w:val="24"/>
        </w:rPr>
        <w:t xml:space="preserve"> decipher</w:t>
      </w:r>
      <w:r w:rsidR="00BA3BA1" w:rsidRPr="00324BBD">
        <w:rPr>
          <w:rFonts w:ascii="Book Antiqua" w:hAnsi="Book Antiqua"/>
          <w:sz w:val="24"/>
          <w:szCs w:val="24"/>
        </w:rPr>
        <w:t>ing</w:t>
      </w:r>
      <w:r w:rsidRPr="00324BBD">
        <w:rPr>
          <w:rFonts w:ascii="Book Antiqua" w:hAnsi="Book Antiqua"/>
          <w:sz w:val="24"/>
          <w:szCs w:val="24"/>
        </w:rPr>
        <w:t xml:space="preserve"> the mechanism of RBV in chronic HCV </w:t>
      </w:r>
      <w:r w:rsidR="00BA3BA1" w:rsidRPr="00324BBD">
        <w:rPr>
          <w:rFonts w:ascii="Book Antiqua" w:hAnsi="Book Antiqua"/>
          <w:sz w:val="24"/>
          <w:szCs w:val="24"/>
        </w:rPr>
        <w:t>therapy is important for</w:t>
      </w:r>
      <w:r w:rsidRPr="00324BBD">
        <w:rPr>
          <w:rFonts w:ascii="Book Antiqua" w:hAnsi="Book Antiqua"/>
          <w:sz w:val="24"/>
          <w:szCs w:val="24"/>
        </w:rPr>
        <w:t xml:space="preserve"> continu</w:t>
      </w:r>
      <w:r w:rsidR="00BA3BA1" w:rsidRPr="00324BBD">
        <w:rPr>
          <w:rFonts w:ascii="Book Antiqua" w:hAnsi="Book Antiqua"/>
          <w:sz w:val="24"/>
          <w:szCs w:val="24"/>
        </w:rPr>
        <w:t>ing</w:t>
      </w:r>
      <w:r w:rsidRPr="00324BBD">
        <w:rPr>
          <w:rFonts w:ascii="Book Antiqua" w:hAnsi="Book Antiqua"/>
          <w:sz w:val="24"/>
          <w:szCs w:val="24"/>
        </w:rPr>
        <w:t xml:space="preserve"> further research in this field for therapeutic purposes and </w:t>
      </w:r>
      <w:r w:rsidR="00BA3BA1" w:rsidRPr="00324BBD">
        <w:rPr>
          <w:rFonts w:ascii="Book Antiqua" w:hAnsi="Book Antiqua"/>
          <w:sz w:val="24"/>
          <w:szCs w:val="24"/>
        </w:rPr>
        <w:t xml:space="preserve">for </w:t>
      </w:r>
      <w:r w:rsidRPr="00324BBD">
        <w:rPr>
          <w:rFonts w:ascii="Book Antiqua" w:hAnsi="Book Antiqua"/>
          <w:sz w:val="24"/>
          <w:szCs w:val="24"/>
        </w:rPr>
        <w:t>learn</w:t>
      </w:r>
      <w:r w:rsidR="00BA3BA1" w:rsidRPr="00324BBD">
        <w:rPr>
          <w:rFonts w:ascii="Book Antiqua" w:hAnsi="Book Antiqua"/>
          <w:sz w:val="24"/>
          <w:szCs w:val="24"/>
        </w:rPr>
        <w:t>ing</w:t>
      </w:r>
      <w:r w:rsidRPr="00324BBD">
        <w:rPr>
          <w:rFonts w:ascii="Book Antiqua" w:hAnsi="Book Antiqua"/>
          <w:sz w:val="24"/>
          <w:szCs w:val="24"/>
        </w:rPr>
        <w:t xml:space="preserve"> more </w:t>
      </w:r>
      <w:r w:rsidR="003649B1" w:rsidRPr="00324BBD">
        <w:rPr>
          <w:rFonts w:ascii="Book Antiqua" w:hAnsi="Book Antiqua"/>
          <w:sz w:val="24"/>
          <w:szCs w:val="24"/>
        </w:rPr>
        <w:t>concerning</w:t>
      </w:r>
      <w:r w:rsidRPr="00324BBD">
        <w:rPr>
          <w:rFonts w:ascii="Book Antiqua" w:hAnsi="Book Antiqua"/>
          <w:sz w:val="24"/>
          <w:szCs w:val="24"/>
        </w:rPr>
        <w:t xml:space="preserve"> the</w:t>
      </w:r>
      <w:r w:rsidR="00FF79BF" w:rsidRPr="00324BBD">
        <w:rPr>
          <w:rFonts w:ascii="Book Antiqua" w:hAnsi="Book Antiqua"/>
          <w:sz w:val="24"/>
          <w:szCs w:val="24"/>
        </w:rPr>
        <w:t xml:space="preserve"> pathogenesis of liver disease in</w:t>
      </w:r>
      <w:r w:rsidR="00CD1799" w:rsidRPr="00324BBD">
        <w:rPr>
          <w:rFonts w:ascii="Book Antiqua" w:hAnsi="Book Antiqua"/>
          <w:sz w:val="24"/>
          <w:szCs w:val="24"/>
        </w:rPr>
        <w:t xml:space="preserve"> </w:t>
      </w:r>
      <w:r w:rsidRPr="00324BBD">
        <w:rPr>
          <w:rFonts w:ascii="Book Antiqua" w:hAnsi="Book Antiqua"/>
          <w:sz w:val="24"/>
          <w:szCs w:val="24"/>
        </w:rPr>
        <w:t>cHCV infection.</w:t>
      </w:r>
    </w:p>
    <w:p w:rsidR="000C4D4E" w:rsidRPr="00324BBD" w:rsidRDefault="000C4D4E" w:rsidP="008759E1">
      <w:pPr>
        <w:snapToGrid w:val="0"/>
        <w:spacing w:line="360" w:lineRule="auto"/>
        <w:jc w:val="both"/>
        <w:rPr>
          <w:rFonts w:ascii="Book Antiqua" w:hAnsi="Book Antiqua"/>
          <w:i/>
          <w:sz w:val="24"/>
          <w:szCs w:val="24"/>
          <w:lang w:eastAsia="zh-CN"/>
        </w:rPr>
      </w:pPr>
    </w:p>
    <w:p w:rsidR="00C67F0A" w:rsidRPr="00324BBD" w:rsidRDefault="00C67F0A" w:rsidP="008759E1">
      <w:pPr>
        <w:snapToGrid w:val="0"/>
        <w:spacing w:line="360" w:lineRule="auto"/>
        <w:jc w:val="both"/>
        <w:rPr>
          <w:rFonts w:ascii="Book Antiqua" w:hAnsi="Book Antiqua"/>
          <w:b/>
          <w:i/>
          <w:sz w:val="24"/>
          <w:szCs w:val="24"/>
        </w:rPr>
      </w:pPr>
      <w:r w:rsidRPr="00324BBD">
        <w:rPr>
          <w:rFonts w:ascii="Book Antiqua" w:hAnsi="Book Antiqua"/>
          <w:b/>
          <w:i/>
          <w:sz w:val="24"/>
          <w:szCs w:val="24"/>
        </w:rPr>
        <w:t>Use of IFN-</w:t>
      </w:r>
      <w:r w:rsidR="001A73C7" w:rsidRPr="00324BBD">
        <w:rPr>
          <w:rFonts w:ascii="Book Antiqua" w:hAnsi="Book Antiqua"/>
          <w:b/>
          <w:i/>
          <w:sz w:val="24"/>
          <w:szCs w:val="24"/>
        </w:rPr>
        <w:t>α</w:t>
      </w:r>
      <w:r w:rsidRPr="00324BBD">
        <w:rPr>
          <w:rFonts w:ascii="Book Antiqua" w:hAnsi="Book Antiqua"/>
          <w:b/>
          <w:i/>
          <w:sz w:val="24"/>
          <w:szCs w:val="24"/>
        </w:rPr>
        <w:t xml:space="preserve"> in cHCV</w:t>
      </w:r>
    </w:p>
    <w:p w:rsidR="00C67F0A" w:rsidRPr="00324BBD" w:rsidRDefault="00C67F0A" w:rsidP="008759E1">
      <w:pPr>
        <w:snapToGrid w:val="0"/>
        <w:spacing w:line="360" w:lineRule="auto"/>
        <w:jc w:val="both"/>
        <w:rPr>
          <w:rFonts w:ascii="Book Antiqua" w:hAnsi="Book Antiqua"/>
          <w:sz w:val="24"/>
          <w:szCs w:val="24"/>
        </w:rPr>
      </w:pPr>
      <w:r w:rsidRPr="00324BBD">
        <w:rPr>
          <w:rFonts w:ascii="Book Antiqua" w:hAnsi="Book Antiqua"/>
          <w:sz w:val="24"/>
          <w:szCs w:val="24"/>
        </w:rPr>
        <w:t>Treatment with IFN</w:t>
      </w:r>
      <w:r w:rsidR="00193C00" w:rsidRPr="00324BBD">
        <w:rPr>
          <w:rFonts w:ascii="Book Antiqua" w:hAnsi="Book Antiqua"/>
          <w:sz w:val="24"/>
          <w:szCs w:val="24"/>
        </w:rPr>
        <w:t>-</w:t>
      </w:r>
      <w:r w:rsidR="001A73C7" w:rsidRPr="00324BBD">
        <w:rPr>
          <w:rFonts w:ascii="Book Antiqua" w:hAnsi="Book Antiqua"/>
          <w:sz w:val="24"/>
          <w:szCs w:val="24"/>
        </w:rPr>
        <w:t>α</w:t>
      </w:r>
      <w:r w:rsidRPr="00324BBD">
        <w:rPr>
          <w:rFonts w:ascii="Book Antiqua" w:hAnsi="Book Antiqua"/>
          <w:sz w:val="24"/>
          <w:szCs w:val="24"/>
        </w:rPr>
        <w:t xml:space="preserve"> induces </w:t>
      </w:r>
      <w:r w:rsidR="00BA3BA1" w:rsidRPr="00324BBD">
        <w:rPr>
          <w:rFonts w:ascii="Book Antiqua" w:hAnsi="Book Antiqua"/>
          <w:sz w:val="24"/>
          <w:szCs w:val="24"/>
        </w:rPr>
        <w:t xml:space="preserve">the expression of </w:t>
      </w:r>
      <w:r w:rsidRPr="00324BBD">
        <w:rPr>
          <w:rFonts w:ascii="Book Antiqua" w:hAnsi="Book Antiqua"/>
          <w:sz w:val="24"/>
          <w:szCs w:val="24"/>
        </w:rPr>
        <w:t>specific genes on liver cells known as interferon</w:t>
      </w:r>
      <w:r w:rsidR="00BA3BA1" w:rsidRPr="00324BBD">
        <w:rPr>
          <w:rFonts w:ascii="Book Antiqua" w:hAnsi="Book Antiqua"/>
          <w:sz w:val="24"/>
          <w:szCs w:val="24"/>
        </w:rPr>
        <w:t>-</w:t>
      </w:r>
      <w:r w:rsidRPr="00324BBD">
        <w:rPr>
          <w:rFonts w:ascii="Book Antiqua" w:hAnsi="Book Antiqua"/>
          <w:sz w:val="24"/>
          <w:szCs w:val="24"/>
        </w:rPr>
        <w:t>stimulated genes (ISGs)</w:t>
      </w:r>
      <w:r w:rsidR="00EB5F99" w:rsidRPr="00324BBD">
        <w:rPr>
          <w:rFonts w:ascii="Book Antiqua" w:hAnsi="Book Antiqua"/>
          <w:sz w:val="24"/>
          <w:szCs w:val="24"/>
        </w:rPr>
        <w:fldChar w:fldCharType="begin"/>
      </w:r>
      <w:r w:rsidR="00C732AF" w:rsidRPr="00324BBD">
        <w:rPr>
          <w:rFonts w:ascii="Book Antiqua" w:hAnsi="Book Antiqua"/>
          <w:sz w:val="24"/>
          <w:szCs w:val="24"/>
        </w:rPr>
        <w:instrText xml:space="preserve"> ADDIN ZOTERO_ITEM CSL_CITATION {"citationID":"vAb9Zrd3","properties":{"formattedCitation":"{\\rtf \\super [19]\\nosupersub{}}","plainCitation":"[19]","dontUpdate":true},"citationItems":[{"id":71,"uris":["http://zotero.org/users/1747505/items/642HRMPR"],"uri":["http://zotero.org/users/1747505/items/642HRMPR"],"itemData":{"id":71,"type":"article-journal","title":"A diverse array of gene products are effectors of the type I interferon antiviral response","container-title":"Nature","page":"481-485","volume":"472","issue":"7344","source":"PubMed Central","abstract":"The type I interferon (IFN) response protects cells from invading viral pathogens. The cellular factors that mediate this defense are the products of interferon-stimulated genes (ISGs). Although hundreds of ISGs have been identified since their discovery over 25 years ago,,, only few have been characterized with respect to antiviral activity. For most, little is known about their antiviral potential, their target specificity, and their mechanisms of action. Using an overexpression screening approach, we show that different viruses are targeted by unique sets of ISGs, with each viral species susceptible to multiple antiviral genes with a range of inhibitory activities. To conduct the screen, over 380 ISGs were tested for their ability to inhibit the replication of several important viruses including hepatitis C virus (HCV), yellow fever virus (YFV), West Nile virus (WNV), chikungunya virus (CHIKV), Venezuelan equine encephalitis virus (VEEV), and human immunodeficiency virus (HIV-1). Broadly acting effectors included IRF1, C6orf150, HPSE, RIG-I, MDA5, and IFITM3, while more targeted antiviral specificity was observed with DDX60, IFI44L, IFI6, IFITM2, MAP3K14, MOV10, NAMPT, OASL, RTP4, TREX1, and UNC84B. Combined expression of two-ISG pairs showed additive antiviral effects similar to moderate IFN doses. Mechanistic studies revealed a common theme of translational inhibition for numerous effectors. Several ISGs, including ADAR, FAM46C, LY6E, and MCOLN2, enhanced replication of certain viruses, highlighting another layer of complexity in the highly pleiotropic IFN system.","DOI":"10.1038/nature09907","ISSN":"0028-0836","note":"PMID: 21478870\nPMCID: PMC3409588","journalAbbreviation":"Nature","author":[{"family":"Schoggins","given":"John W."},{"family":"Wilson","given":"Sam J."},{"family":"Panis","given":"Maryline"},{"family":"Murphy","given":"Mary Y."},{"family":"Jones","given":"Christopher T."},{"family":"Bieniasz","given":"Paul"},{"family":"Rice","given":"Charles M."}],"issued":{"date-parts":[["2011",4,28]]},"accessed":{"date-parts":[["2014",1,12]],"season":"04:26:44"},"PMID":"21478870","PMCID":"PMC3409588"}}],"schema":"https://github.com/citation-style-language/schema/raw/master/csl-citation.json"} </w:instrText>
      </w:r>
      <w:r w:rsidR="00EB5F99" w:rsidRPr="00324BBD">
        <w:rPr>
          <w:rFonts w:ascii="Book Antiqua" w:hAnsi="Book Antiqua"/>
          <w:sz w:val="24"/>
          <w:szCs w:val="24"/>
        </w:rPr>
        <w:fldChar w:fldCharType="separate"/>
      </w:r>
      <w:r w:rsidR="00DF5B2A" w:rsidRPr="00324BBD">
        <w:rPr>
          <w:rFonts w:ascii="Book Antiqua" w:hAnsi="Book Antiqua" w:cs="Times New Roman"/>
          <w:sz w:val="24"/>
          <w:szCs w:val="24"/>
          <w:vertAlign w:val="superscript"/>
        </w:rPr>
        <w:t>[12</w:t>
      </w:r>
      <w:r w:rsidR="00CC166C" w:rsidRPr="00324BBD">
        <w:rPr>
          <w:rFonts w:ascii="Book Antiqua" w:hAnsi="Book Antiqua" w:cs="Times New Roman"/>
          <w:sz w:val="24"/>
          <w:szCs w:val="24"/>
          <w:vertAlign w:val="superscript"/>
        </w:rPr>
        <w:t>]</w:t>
      </w:r>
      <w:r w:rsidR="00EB5F99" w:rsidRPr="00324BBD">
        <w:rPr>
          <w:rFonts w:ascii="Book Antiqua" w:hAnsi="Book Antiqua"/>
          <w:sz w:val="24"/>
          <w:szCs w:val="24"/>
        </w:rPr>
        <w:fldChar w:fldCharType="end"/>
      </w:r>
      <w:r w:rsidRPr="00324BBD">
        <w:rPr>
          <w:rFonts w:ascii="Book Antiqua" w:hAnsi="Book Antiqua"/>
          <w:sz w:val="24"/>
          <w:szCs w:val="24"/>
        </w:rPr>
        <w:t xml:space="preserve">. These genes serve as mediators </w:t>
      </w:r>
      <w:r w:rsidR="00BA3BA1" w:rsidRPr="00324BBD">
        <w:rPr>
          <w:rFonts w:ascii="Book Antiqua" w:hAnsi="Book Antiqua"/>
          <w:sz w:val="24"/>
          <w:szCs w:val="24"/>
        </w:rPr>
        <w:t xml:space="preserve">for </w:t>
      </w:r>
      <w:r w:rsidRPr="00324BBD">
        <w:rPr>
          <w:rFonts w:ascii="Book Antiqua" w:hAnsi="Book Antiqua"/>
          <w:sz w:val="24"/>
          <w:szCs w:val="24"/>
        </w:rPr>
        <w:t>exert</w:t>
      </w:r>
      <w:r w:rsidR="00BA3BA1" w:rsidRPr="00324BBD">
        <w:rPr>
          <w:rFonts w:ascii="Book Antiqua" w:hAnsi="Book Antiqua"/>
          <w:sz w:val="24"/>
          <w:szCs w:val="24"/>
        </w:rPr>
        <w:t>ing</w:t>
      </w:r>
      <w:r w:rsidRPr="00324BBD">
        <w:rPr>
          <w:rFonts w:ascii="Book Antiqua" w:hAnsi="Book Antiqua"/>
          <w:sz w:val="24"/>
          <w:szCs w:val="24"/>
        </w:rPr>
        <w:t xml:space="preserve"> the antiviral response of IFN. </w:t>
      </w:r>
      <w:r w:rsidR="0004702A" w:rsidRPr="00324BBD">
        <w:rPr>
          <w:rFonts w:ascii="Book Antiqua" w:hAnsi="Book Antiqua"/>
          <w:sz w:val="24"/>
          <w:szCs w:val="24"/>
        </w:rPr>
        <w:t xml:space="preserve">Patients with </w:t>
      </w:r>
      <w:r w:rsidR="00155EE6" w:rsidRPr="00324BBD">
        <w:rPr>
          <w:rFonts w:ascii="Book Antiqua" w:hAnsi="Book Antiqua"/>
          <w:sz w:val="24"/>
          <w:szCs w:val="24"/>
        </w:rPr>
        <w:t>low baseline level</w:t>
      </w:r>
      <w:r w:rsidR="00BA3BA1" w:rsidRPr="00324BBD">
        <w:rPr>
          <w:rFonts w:ascii="Book Antiqua" w:hAnsi="Book Antiqua"/>
          <w:sz w:val="24"/>
          <w:szCs w:val="24"/>
        </w:rPr>
        <w:t>s</w:t>
      </w:r>
      <w:r w:rsidR="00155EE6" w:rsidRPr="00324BBD">
        <w:rPr>
          <w:rFonts w:ascii="Book Antiqua" w:hAnsi="Book Antiqua"/>
          <w:sz w:val="24"/>
          <w:szCs w:val="24"/>
        </w:rPr>
        <w:t xml:space="preserve"> of ISGs show good response to endogenous IFN</w:t>
      </w:r>
      <w:r w:rsidR="00155EE6" w:rsidRPr="00324BBD">
        <w:rPr>
          <w:rFonts w:ascii="Book Antiqua" w:hAnsi="Book Antiqua"/>
          <w:sz w:val="24"/>
          <w:szCs w:val="24"/>
          <w:vertAlign w:val="superscript"/>
        </w:rPr>
        <w:t>[9]</w:t>
      </w:r>
      <w:r w:rsidR="00155EE6" w:rsidRPr="00324BBD">
        <w:rPr>
          <w:rFonts w:ascii="Book Antiqua" w:hAnsi="Book Antiqua"/>
          <w:sz w:val="24"/>
          <w:szCs w:val="24"/>
        </w:rPr>
        <w:t xml:space="preserve">. </w:t>
      </w:r>
      <w:r w:rsidRPr="00324BBD">
        <w:rPr>
          <w:rFonts w:ascii="Book Antiqua" w:hAnsi="Book Antiqua"/>
          <w:sz w:val="24"/>
          <w:szCs w:val="24"/>
        </w:rPr>
        <w:t xml:space="preserve">However, </w:t>
      </w:r>
      <w:r w:rsidR="00FE08FA" w:rsidRPr="00324BBD">
        <w:rPr>
          <w:rFonts w:ascii="Book Antiqua" w:hAnsi="Book Antiqua"/>
          <w:sz w:val="24"/>
          <w:szCs w:val="24"/>
        </w:rPr>
        <w:t xml:space="preserve">high pre-treatment </w:t>
      </w:r>
      <w:r w:rsidR="00BA3BA1" w:rsidRPr="00324BBD">
        <w:rPr>
          <w:rFonts w:ascii="Book Antiqua" w:hAnsi="Book Antiqua"/>
          <w:sz w:val="24"/>
          <w:szCs w:val="24"/>
        </w:rPr>
        <w:t xml:space="preserve">with </w:t>
      </w:r>
      <w:r w:rsidR="00FE08FA" w:rsidRPr="00324BBD">
        <w:rPr>
          <w:rFonts w:ascii="Book Antiqua" w:hAnsi="Book Antiqua"/>
          <w:sz w:val="24"/>
          <w:szCs w:val="24"/>
        </w:rPr>
        <w:t>endogenous IFN and ISG production</w:t>
      </w:r>
      <w:r w:rsidRPr="00324BBD">
        <w:rPr>
          <w:rFonts w:ascii="Book Antiqua" w:hAnsi="Book Antiqua"/>
          <w:sz w:val="24"/>
          <w:szCs w:val="24"/>
        </w:rPr>
        <w:t xml:space="preserve"> by KCs </w:t>
      </w:r>
      <w:r w:rsidR="00FE08FA" w:rsidRPr="00324BBD">
        <w:rPr>
          <w:rFonts w:ascii="Book Antiqua" w:hAnsi="Book Antiqua"/>
          <w:sz w:val="24"/>
          <w:szCs w:val="24"/>
        </w:rPr>
        <w:t>and peripheral blood mononuclear cells</w:t>
      </w:r>
      <w:r w:rsidR="001A73C7" w:rsidRPr="00324BBD">
        <w:rPr>
          <w:rFonts w:ascii="Book Antiqua" w:hAnsi="Book Antiqua"/>
          <w:sz w:val="24"/>
          <w:szCs w:val="24"/>
        </w:rPr>
        <w:t xml:space="preserve"> </w:t>
      </w:r>
      <w:r w:rsidR="00FE08FA" w:rsidRPr="00324BBD">
        <w:rPr>
          <w:rFonts w:ascii="Book Antiqua" w:hAnsi="Book Antiqua"/>
          <w:sz w:val="24"/>
          <w:szCs w:val="24"/>
        </w:rPr>
        <w:t>has been associated with reduced SVR rates with combination therapy</w:t>
      </w:r>
      <w:r w:rsidR="00B55E8E" w:rsidRPr="00324BBD">
        <w:rPr>
          <w:rFonts w:ascii="Book Antiqua" w:hAnsi="Book Antiqua"/>
          <w:sz w:val="24"/>
          <w:szCs w:val="24"/>
          <w:vertAlign w:val="superscript"/>
        </w:rPr>
        <w:t>[13</w:t>
      </w:r>
      <w:r w:rsidR="00FE08FA" w:rsidRPr="00324BBD">
        <w:rPr>
          <w:rFonts w:ascii="Book Antiqua" w:hAnsi="Book Antiqua"/>
          <w:sz w:val="24"/>
          <w:szCs w:val="24"/>
          <w:vertAlign w:val="superscript"/>
        </w:rPr>
        <w:t>]</w:t>
      </w:r>
      <w:r w:rsidRPr="00324BBD">
        <w:rPr>
          <w:rFonts w:ascii="Book Antiqua" w:hAnsi="Book Antiqua"/>
          <w:sz w:val="24"/>
          <w:szCs w:val="24"/>
        </w:rPr>
        <w:t xml:space="preserve">. A recent study concluded that if this chronic local production of IFN by Kupffer cells is disrupted, </w:t>
      </w:r>
      <w:r w:rsidR="00BA3BA1" w:rsidRPr="00324BBD">
        <w:rPr>
          <w:rFonts w:ascii="Book Antiqua" w:hAnsi="Book Antiqua"/>
          <w:sz w:val="24"/>
          <w:szCs w:val="24"/>
        </w:rPr>
        <w:t>then</w:t>
      </w:r>
      <w:r w:rsidRPr="00324BBD">
        <w:rPr>
          <w:rFonts w:ascii="Book Antiqua" w:hAnsi="Book Antiqua"/>
          <w:sz w:val="24"/>
          <w:szCs w:val="24"/>
        </w:rPr>
        <w:t xml:space="preserve"> a break in tolerance and improved outcomes </w:t>
      </w:r>
      <w:r w:rsidR="00BA3BA1" w:rsidRPr="00324BBD">
        <w:rPr>
          <w:rFonts w:ascii="Book Antiqua" w:hAnsi="Book Antiqua"/>
          <w:sz w:val="24"/>
          <w:szCs w:val="24"/>
        </w:rPr>
        <w:t xml:space="preserve">may occur </w:t>
      </w:r>
      <w:r w:rsidRPr="00324BBD">
        <w:rPr>
          <w:rFonts w:ascii="Book Antiqua" w:hAnsi="Book Antiqua"/>
          <w:sz w:val="24"/>
          <w:szCs w:val="24"/>
        </w:rPr>
        <w:t xml:space="preserve">in chronic HCV patients </w:t>
      </w:r>
      <w:r w:rsidR="00BA3BA1" w:rsidRPr="00324BBD">
        <w:rPr>
          <w:rFonts w:ascii="Book Antiqua" w:hAnsi="Book Antiqua"/>
          <w:sz w:val="24"/>
          <w:szCs w:val="24"/>
        </w:rPr>
        <w:t>receiving</w:t>
      </w:r>
      <w:r w:rsidRPr="00324BBD">
        <w:rPr>
          <w:rFonts w:ascii="Book Antiqua" w:hAnsi="Book Antiqua"/>
          <w:sz w:val="24"/>
          <w:szCs w:val="24"/>
        </w:rPr>
        <w:t xml:space="preserve"> combined IFN-</w:t>
      </w:r>
      <w:r w:rsidR="00FE5DB7" w:rsidRPr="00324BBD">
        <w:rPr>
          <w:rFonts w:ascii="Book Antiqua" w:hAnsi="Book Antiqua"/>
          <w:sz w:val="24"/>
          <w:szCs w:val="24"/>
        </w:rPr>
        <w:t>α</w:t>
      </w:r>
      <w:r w:rsidR="00FE5DB7" w:rsidRPr="00324BBD">
        <w:rPr>
          <w:rFonts w:ascii="Book Antiqua" w:hAnsi="Book Antiqua"/>
          <w:sz w:val="24"/>
          <w:szCs w:val="24"/>
          <w:lang w:eastAsia="zh-CN"/>
        </w:rPr>
        <w:t xml:space="preserve"> </w:t>
      </w:r>
      <w:r w:rsidRPr="00324BBD">
        <w:rPr>
          <w:rFonts w:ascii="Book Antiqua" w:hAnsi="Book Antiqua"/>
          <w:sz w:val="24"/>
          <w:szCs w:val="24"/>
        </w:rPr>
        <w:t>RBV therapy</w:t>
      </w:r>
      <w:r w:rsidR="00EB5F99" w:rsidRPr="00324BBD">
        <w:rPr>
          <w:rFonts w:ascii="Book Antiqua" w:hAnsi="Book Antiqua"/>
          <w:sz w:val="24"/>
          <w:szCs w:val="24"/>
        </w:rPr>
        <w:fldChar w:fldCharType="begin"/>
      </w:r>
      <w:r w:rsidR="00C732AF" w:rsidRPr="00324BBD">
        <w:rPr>
          <w:rFonts w:ascii="Book Antiqua" w:hAnsi="Book Antiqua"/>
          <w:sz w:val="24"/>
          <w:szCs w:val="24"/>
        </w:rPr>
        <w:instrText xml:space="preserve"> ADDIN ZOTERO_ITEM CSL_CITATION {"citationID":"17MoCcxS","properties":{"formattedCitation":"{\\rtf \\super [14]\\nosupersub{}}","plainCitation":"[14]","dontUpdate":true},"citationItems":[{"id":89,"uris":["http://zotero.org/users/1747505/items/SDHNEXKD"],"uri":["http://zotero.org/users/1747505/items/SDHNEXKD"],"itemData":{"id":89,"type":"article-journal","title":"Innate immune tolerance and the role of kupffer cells in differential responses to interferon therapy among patients with HCV genotype 1 infection","container-title":"Gastroenterology","page":"402-413.e12","volume":"144","issue":"2","source":"NCBI PubMed","abstract":"BACKGROUND &amp; AIMS: In patients with hepatitis C virus (HCV) infection, interferon alfa (IFN-</w:instrText>
      </w:r>
      <w:r w:rsidR="00C732AF" w:rsidRPr="00324BBD">
        <w:rPr>
          <w:rFonts w:ascii="Book Antiqua" w:hAnsi="Book Antiqua" w:cs="Times New Roman"/>
          <w:sz w:val="24"/>
          <w:szCs w:val="24"/>
        </w:rPr>
        <w:instrText>α</w:instrText>
      </w:r>
      <w:r w:rsidR="00C732AF" w:rsidRPr="00324BBD">
        <w:rPr>
          <w:rFonts w:ascii="Book Antiqua" w:hAnsi="Book Antiqua"/>
          <w:sz w:val="24"/>
          <w:szCs w:val="24"/>
        </w:rPr>
        <w:instrText>) alters expression of IFN-stimulated genes (ISGs), but little is understood about factors that determine outcomes of therapy. We used a systems biology approach to evaluate the acute response of patients with chronic hepatitis C to IFN-</w:instrText>
      </w:r>
      <w:r w:rsidR="00C732AF" w:rsidRPr="00324BBD">
        <w:rPr>
          <w:rFonts w:ascii="Book Antiqua" w:hAnsi="Book Antiqua" w:cs="Times New Roman"/>
          <w:sz w:val="24"/>
          <w:szCs w:val="24"/>
        </w:rPr>
        <w:instrText>α</w:instrText>
      </w:r>
      <w:r w:rsidR="00C732AF" w:rsidRPr="00324BBD">
        <w:rPr>
          <w:rFonts w:ascii="Book Antiqua" w:hAnsi="Book Antiqua"/>
          <w:sz w:val="24"/>
          <w:szCs w:val="24"/>
        </w:rPr>
        <w:instrText xml:space="preserve"> therapy.\nMETHODS: We collected liver biopsy samples from 8 treatment-naïve patients with chronic HCV genotype 1 infection at baseline and 24 hours after treatment with IFN-</w:instrText>
      </w:r>
      <w:r w:rsidR="00C732AF" w:rsidRPr="00324BBD">
        <w:rPr>
          <w:rFonts w:ascii="Book Antiqua" w:hAnsi="Book Antiqua" w:cs="Times New Roman"/>
          <w:sz w:val="24"/>
          <w:szCs w:val="24"/>
        </w:rPr>
        <w:instrText>α</w:instrText>
      </w:r>
      <w:r w:rsidR="00C732AF" w:rsidRPr="00324BBD">
        <w:rPr>
          <w:rFonts w:ascii="Book Antiqua" w:hAnsi="Book Antiqua"/>
          <w:sz w:val="24"/>
          <w:szCs w:val="24"/>
        </w:rPr>
        <w:instrText>-2a (10 MU subcutaneously). Blood samples were collected before and up to 48 hours after administration of IFN-</w:instrText>
      </w:r>
      <w:r w:rsidR="00C732AF" w:rsidRPr="00324BBD">
        <w:rPr>
          <w:rFonts w:ascii="Book Antiqua" w:hAnsi="Book Antiqua" w:cs="Times New Roman"/>
          <w:sz w:val="24"/>
          <w:szCs w:val="24"/>
        </w:rPr>
        <w:instrText>α</w:instrText>
      </w:r>
      <w:r w:rsidR="00C732AF" w:rsidRPr="00324BBD">
        <w:rPr>
          <w:rFonts w:ascii="Book Antiqua" w:hAnsi="Book Antiqua"/>
          <w:sz w:val="24"/>
          <w:szCs w:val="24"/>
        </w:rPr>
        <w:instrText>-2a to measure HCV RNA levels and for gene expression analysis. Patients then received pegylated IFN-</w:instrText>
      </w:r>
      <w:r w:rsidR="00C732AF" w:rsidRPr="00324BBD">
        <w:rPr>
          <w:rFonts w:ascii="Book Antiqua" w:hAnsi="Book Antiqua" w:cs="Times New Roman"/>
          <w:sz w:val="24"/>
          <w:szCs w:val="24"/>
        </w:rPr>
        <w:instrText>α</w:instrText>
      </w:r>
      <w:r w:rsidR="00C732AF" w:rsidRPr="00324BBD">
        <w:rPr>
          <w:rFonts w:ascii="Book Antiqua" w:hAnsi="Book Antiqua"/>
          <w:sz w:val="24"/>
          <w:szCs w:val="24"/>
        </w:rPr>
        <w:instrText>-2a and ribavirin on day 5 of the study; therapy continued for up to 48 weeks.\nRESULTS: Based on the kinetics of HCV RNA during the first 12 weeks of therapy, 2 patients were rapid virologic responders, 4 were early virologic responders, and 2 did not respond to therapy (nonresponders). Nonresponders had high pretreatment levels of ISG expression in the liver but not in peripheral blood mononuclear cells. In responders, after administration of IFN-</w:instrText>
      </w:r>
      <w:r w:rsidR="00C732AF" w:rsidRPr="00324BBD">
        <w:rPr>
          <w:rFonts w:ascii="Book Antiqua" w:hAnsi="Book Antiqua" w:cs="Times New Roman"/>
          <w:sz w:val="24"/>
          <w:szCs w:val="24"/>
        </w:rPr>
        <w:instrText>α</w:instrText>
      </w:r>
      <w:r w:rsidR="00C732AF" w:rsidRPr="00324BBD">
        <w:rPr>
          <w:rFonts w:ascii="Book Antiqua" w:hAnsi="Book Antiqua"/>
          <w:sz w:val="24"/>
          <w:szCs w:val="24"/>
        </w:rPr>
        <w:instrText>, intrahepatic ISG expression increased significantly from baseline and was associated with a rapid phase 1 decrease in HCV. We identified distinct hepatic expression and tissue distribution patterns of ISGs that segregated with treatment outcome. Importantly, Kupffer cells were a local source of IFN that promoted basal expression of ISG in hepatocytes of nonresponders. This finding was validated in cultured THP1 human macrophages that expressed IFN-</w:instrText>
      </w:r>
      <w:r w:rsidR="00C732AF" w:rsidRPr="00324BBD">
        <w:rPr>
          <w:rFonts w:ascii="Book Antiqua" w:hAnsi="Book Antiqua" w:cs="Times New Roman"/>
          <w:sz w:val="24"/>
          <w:szCs w:val="24"/>
        </w:rPr>
        <w:instrText>β</w:instrText>
      </w:r>
      <w:r w:rsidR="00C732AF" w:rsidRPr="00324BBD">
        <w:rPr>
          <w:rFonts w:ascii="Book Antiqua" w:hAnsi="Book Antiqua"/>
          <w:sz w:val="24"/>
          <w:szCs w:val="24"/>
        </w:rPr>
        <w:instrText xml:space="preserve"> after exposure to viable HCV 2a. When Huh7 K2040 and Huh7 L2198S hepatoma cells were incubated with IFN-</w:instrText>
      </w:r>
      <w:r w:rsidR="00C732AF" w:rsidRPr="00324BBD">
        <w:rPr>
          <w:rFonts w:ascii="Book Antiqua" w:hAnsi="Book Antiqua" w:cs="Times New Roman"/>
          <w:sz w:val="24"/>
          <w:szCs w:val="24"/>
        </w:rPr>
        <w:instrText>α</w:instrText>
      </w:r>
      <w:r w:rsidR="00C732AF" w:rsidRPr="00324BBD">
        <w:rPr>
          <w:rFonts w:ascii="Book Antiqua" w:hAnsi="Book Antiqua"/>
          <w:sz w:val="24"/>
          <w:szCs w:val="24"/>
        </w:rPr>
        <w:instrText xml:space="preserve">-2a, expression of ISGs peaked by 4 hours and decreased by 72 hours, associated with an increase in level of HCV RNA. This indicates that constitutive exposure to IFN causes hepatoma cells to become tolerant of ISG function.\nCONCLUSIONS: In patients with chronic HCV infection, IFN production by Kupffer cells might promote innate immune tolerance, characterized by a lack of response to IFN therapy. Strategies to disrupt the virus-host interactions that induce innate immune tolerance should improve therapy.","DOI":"10.1053/j.gastro.2012.10.044","ISSN":"1528-0012","note":"PMID: 23123437 \nPMCID: PMC3822610","journalAbbreviation":"Gastroenterology","language":"eng","author":[{"family":"Lau","given":"Daryl T-Y"},{"family":"Negash","given":"Amina"},{"family":"Chen","given":"Jie"},{"family":"Crochet","given":"Nanette"},{"family":"Sinha","given":"Mala"},{"family":"Zhang","given":"Yuhong"},{"family":"Guedj","given":"Jeremie"},{"family":"Holder","given":"Sharon"},{"family":"Saito","given":"Takeshi"},{"family":"Lemon","given":"Stanley M"},{"family":"Luxon","given":"Bruce A"},{"family":"Perelson","given":"Alan S"},{"family":"Gale","given":"Michael, Jr"}],"issued":{"date-parts":[["2013",2]]},"PMID":"23123437","PMCID":"PMC3822610"}}],"schema":"https://github.com/citation-style-language/schema/raw/master/csl-citation.json"} </w:instrText>
      </w:r>
      <w:r w:rsidR="00EB5F99" w:rsidRPr="00324BBD">
        <w:rPr>
          <w:rFonts w:ascii="Book Antiqua" w:hAnsi="Book Antiqua"/>
          <w:sz w:val="24"/>
          <w:szCs w:val="24"/>
        </w:rPr>
        <w:fldChar w:fldCharType="separate"/>
      </w:r>
      <w:r w:rsidR="00155EE6" w:rsidRPr="00324BBD">
        <w:rPr>
          <w:rFonts w:ascii="Book Antiqua" w:hAnsi="Book Antiqua" w:cs="Times New Roman"/>
          <w:sz w:val="24"/>
          <w:szCs w:val="24"/>
          <w:vertAlign w:val="superscript"/>
        </w:rPr>
        <w:t>[9</w:t>
      </w:r>
      <w:r w:rsidR="003C4C31" w:rsidRPr="00324BBD">
        <w:rPr>
          <w:rFonts w:ascii="Book Antiqua" w:hAnsi="Book Antiqua" w:cs="Times New Roman"/>
          <w:sz w:val="24"/>
          <w:szCs w:val="24"/>
          <w:vertAlign w:val="superscript"/>
        </w:rPr>
        <w:t>]</w:t>
      </w:r>
      <w:r w:rsidR="00EB5F99" w:rsidRPr="00324BBD">
        <w:rPr>
          <w:rFonts w:ascii="Book Antiqua" w:hAnsi="Book Antiqua"/>
          <w:sz w:val="24"/>
          <w:szCs w:val="24"/>
        </w:rPr>
        <w:fldChar w:fldCharType="end"/>
      </w:r>
      <w:r w:rsidRPr="00324BBD">
        <w:rPr>
          <w:rFonts w:ascii="Book Antiqua" w:hAnsi="Book Antiqua"/>
          <w:sz w:val="24"/>
          <w:szCs w:val="24"/>
        </w:rPr>
        <w:t xml:space="preserve">. </w:t>
      </w:r>
    </w:p>
    <w:p w:rsidR="000C4D4E" w:rsidRPr="00324BBD" w:rsidRDefault="000C4D4E" w:rsidP="008759E1">
      <w:pPr>
        <w:snapToGrid w:val="0"/>
        <w:spacing w:line="360" w:lineRule="auto"/>
        <w:jc w:val="both"/>
        <w:rPr>
          <w:rFonts w:ascii="Book Antiqua" w:hAnsi="Book Antiqua"/>
          <w:b/>
          <w:i/>
          <w:sz w:val="24"/>
          <w:szCs w:val="24"/>
          <w:lang w:eastAsia="zh-CN"/>
        </w:rPr>
      </w:pPr>
    </w:p>
    <w:p w:rsidR="00C67F0A" w:rsidRPr="00324BBD" w:rsidRDefault="00C67F0A" w:rsidP="008759E1">
      <w:pPr>
        <w:snapToGrid w:val="0"/>
        <w:spacing w:line="360" w:lineRule="auto"/>
        <w:jc w:val="both"/>
        <w:rPr>
          <w:rFonts w:ascii="Book Antiqua" w:hAnsi="Book Antiqua"/>
          <w:b/>
          <w:i/>
          <w:sz w:val="24"/>
          <w:szCs w:val="24"/>
        </w:rPr>
      </w:pPr>
      <w:r w:rsidRPr="00324BBD">
        <w:rPr>
          <w:rFonts w:ascii="Book Antiqua" w:hAnsi="Book Antiqua"/>
          <w:b/>
          <w:i/>
          <w:sz w:val="24"/>
          <w:szCs w:val="24"/>
        </w:rPr>
        <w:t>Use of RBV in cHCV</w:t>
      </w:r>
    </w:p>
    <w:p w:rsidR="00087A0C" w:rsidRPr="00324BBD" w:rsidRDefault="00BA3BA1" w:rsidP="008759E1">
      <w:pPr>
        <w:snapToGrid w:val="0"/>
        <w:spacing w:line="360" w:lineRule="auto"/>
        <w:jc w:val="both"/>
        <w:rPr>
          <w:rFonts w:ascii="Book Antiqua" w:hAnsi="Book Antiqua"/>
          <w:sz w:val="24"/>
          <w:szCs w:val="24"/>
        </w:rPr>
      </w:pPr>
      <w:r w:rsidRPr="00324BBD">
        <w:rPr>
          <w:rFonts w:ascii="Book Antiqua" w:hAnsi="Book Antiqua"/>
          <w:sz w:val="24"/>
          <w:szCs w:val="24"/>
        </w:rPr>
        <w:t>The u</w:t>
      </w:r>
      <w:r w:rsidR="00C67F0A" w:rsidRPr="00324BBD">
        <w:rPr>
          <w:rFonts w:ascii="Book Antiqua" w:hAnsi="Book Antiqua"/>
          <w:sz w:val="24"/>
          <w:szCs w:val="24"/>
        </w:rPr>
        <w:t>se</w:t>
      </w:r>
      <w:r w:rsidR="00C732AF" w:rsidRPr="00324BBD">
        <w:rPr>
          <w:rFonts w:ascii="Book Antiqua" w:hAnsi="Book Antiqua"/>
          <w:sz w:val="24"/>
          <w:szCs w:val="24"/>
        </w:rPr>
        <w:t xml:space="preserve"> of RBV</w:t>
      </w:r>
      <w:r w:rsidR="00C67F0A" w:rsidRPr="00324BBD">
        <w:rPr>
          <w:rFonts w:ascii="Book Antiqua" w:hAnsi="Book Antiqua"/>
          <w:sz w:val="24"/>
          <w:szCs w:val="24"/>
        </w:rPr>
        <w:t xml:space="preserve"> in chronic HCV patients was first discovered in </w:t>
      </w:r>
      <w:r w:rsidRPr="00324BBD">
        <w:rPr>
          <w:rFonts w:ascii="Book Antiqua" w:hAnsi="Book Antiqua"/>
          <w:sz w:val="24"/>
          <w:szCs w:val="24"/>
        </w:rPr>
        <w:t xml:space="preserve">the </w:t>
      </w:r>
      <w:r w:rsidR="00C67F0A" w:rsidRPr="00324BBD">
        <w:rPr>
          <w:rFonts w:ascii="Book Antiqua" w:hAnsi="Book Antiqua"/>
          <w:sz w:val="24"/>
          <w:szCs w:val="24"/>
        </w:rPr>
        <w:t xml:space="preserve">early 1990s as a combination therapy with IFN. </w:t>
      </w:r>
      <w:r w:rsidR="005E41F5" w:rsidRPr="00324BBD">
        <w:rPr>
          <w:rFonts w:ascii="Book Antiqua" w:hAnsi="Book Antiqua"/>
          <w:sz w:val="24"/>
          <w:szCs w:val="24"/>
        </w:rPr>
        <w:t>Various studies conducted to evaluate the role of RBV in cHCV infection have shown that RBV monotherapy has minimal effect</w:t>
      </w:r>
      <w:r w:rsidRPr="00324BBD">
        <w:rPr>
          <w:rFonts w:ascii="Book Antiqua" w:hAnsi="Book Antiqua"/>
          <w:sz w:val="24"/>
          <w:szCs w:val="24"/>
        </w:rPr>
        <w:t>s</w:t>
      </w:r>
      <w:r w:rsidR="005E41F5" w:rsidRPr="00324BBD">
        <w:rPr>
          <w:rFonts w:ascii="Book Antiqua" w:hAnsi="Book Antiqua"/>
          <w:sz w:val="24"/>
          <w:szCs w:val="24"/>
        </w:rPr>
        <w:t xml:space="preserve"> on viremia</w:t>
      </w:r>
      <w:r w:rsidRPr="00324BBD">
        <w:rPr>
          <w:rFonts w:ascii="Book Antiqua" w:hAnsi="Book Antiqua"/>
          <w:sz w:val="24"/>
          <w:szCs w:val="24"/>
        </w:rPr>
        <w:t>;</w:t>
      </w:r>
      <w:r w:rsidR="005E41F5" w:rsidRPr="00324BBD">
        <w:rPr>
          <w:rFonts w:ascii="Book Antiqua" w:hAnsi="Book Antiqua"/>
          <w:sz w:val="24"/>
          <w:szCs w:val="24"/>
        </w:rPr>
        <w:t xml:space="preserve"> </w:t>
      </w:r>
      <w:r w:rsidRPr="00324BBD">
        <w:rPr>
          <w:rFonts w:ascii="Book Antiqua" w:hAnsi="Book Antiqua"/>
          <w:sz w:val="24"/>
          <w:szCs w:val="24"/>
        </w:rPr>
        <w:t>however</w:t>
      </w:r>
      <w:r w:rsidR="00CD1799" w:rsidRPr="00324BBD">
        <w:rPr>
          <w:rFonts w:ascii="Book Antiqua" w:hAnsi="Book Antiqua"/>
          <w:sz w:val="24"/>
          <w:szCs w:val="24"/>
        </w:rPr>
        <w:t>, RBV monotherap</w:t>
      </w:r>
      <w:r w:rsidRPr="00324BBD">
        <w:rPr>
          <w:rFonts w:ascii="Book Antiqua" w:hAnsi="Book Antiqua"/>
          <w:sz w:val="24"/>
          <w:szCs w:val="24"/>
        </w:rPr>
        <w:t>y</w:t>
      </w:r>
      <w:r w:rsidR="005E41F5" w:rsidRPr="00324BBD">
        <w:rPr>
          <w:rFonts w:ascii="Book Antiqua" w:hAnsi="Book Antiqua"/>
          <w:sz w:val="24"/>
          <w:szCs w:val="24"/>
        </w:rPr>
        <w:t xml:space="preserve"> decreases inflammation in these patients</w:t>
      </w:r>
      <w:r w:rsidRPr="00324BBD">
        <w:rPr>
          <w:rFonts w:ascii="Book Antiqua" w:hAnsi="Book Antiqua"/>
          <w:sz w:val="24"/>
          <w:szCs w:val="24"/>
        </w:rPr>
        <w:t>,</w:t>
      </w:r>
      <w:r w:rsidR="005E41F5" w:rsidRPr="00324BBD">
        <w:rPr>
          <w:rFonts w:ascii="Book Antiqua" w:hAnsi="Book Antiqua"/>
          <w:sz w:val="24"/>
          <w:szCs w:val="24"/>
        </w:rPr>
        <w:t xml:space="preserve"> as evidenced on serial liver biopsies and by </w:t>
      </w:r>
      <w:r w:rsidRPr="00324BBD">
        <w:rPr>
          <w:rFonts w:ascii="Book Antiqua" w:hAnsi="Book Antiqua"/>
          <w:sz w:val="24"/>
          <w:szCs w:val="24"/>
        </w:rPr>
        <w:t>reduced</w:t>
      </w:r>
      <w:r w:rsidR="005E41F5" w:rsidRPr="00324BBD">
        <w:rPr>
          <w:rFonts w:ascii="Book Antiqua" w:hAnsi="Book Antiqua"/>
          <w:sz w:val="24"/>
          <w:szCs w:val="24"/>
        </w:rPr>
        <w:t xml:space="preserve"> transaminase</w:t>
      </w:r>
      <w:r w:rsidRPr="00324BBD">
        <w:rPr>
          <w:rFonts w:ascii="Book Antiqua" w:hAnsi="Book Antiqua"/>
          <w:sz w:val="24"/>
          <w:szCs w:val="24"/>
        </w:rPr>
        <w:t xml:space="preserve"> level</w:t>
      </w:r>
      <w:r w:rsidR="005E41F5" w:rsidRPr="00324BBD">
        <w:rPr>
          <w:rFonts w:ascii="Book Antiqua" w:hAnsi="Book Antiqua"/>
          <w:sz w:val="24"/>
          <w:szCs w:val="24"/>
        </w:rPr>
        <w:t>s</w:t>
      </w:r>
      <w:r w:rsidR="00EB5F99" w:rsidRPr="00324BBD">
        <w:rPr>
          <w:rFonts w:ascii="Book Antiqua" w:hAnsi="Book Antiqua"/>
          <w:sz w:val="24"/>
          <w:szCs w:val="24"/>
        </w:rPr>
        <w:fldChar w:fldCharType="begin"/>
      </w:r>
      <w:r w:rsidR="00D310EF" w:rsidRPr="00324BBD">
        <w:rPr>
          <w:rFonts w:ascii="Book Antiqua" w:hAnsi="Book Antiqua"/>
          <w:sz w:val="24"/>
          <w:szCs w:val="24"/>
        </w:rPr>
        <w:instrText xml:space="preserve"> ADDIN ZOTERO_ITEM CSL_CITATION {"citationID":"23lii2lv","properties":{"formattedCitation":"{\\rtf \\super [4,17]\\nosupersub{}}","plainCitation":"[4,17]","dontUpdate":true},"citationItems":[{"id":101,"uris":["http://zotero.org/users/1747505/items/ZK6Z8JRS"],"uri":["http://zotero.org/users/1747505/items/ZK6Z8JRS"],"itemData":{"id":101,"type":"article-journal","title":"Ribavirin monotherapy for chronic hepatitis C","container-title":"The Cochrane database of systematic reviews","page":"CD005527","issue":"4","source":"NCBI PubMed","abstract":"BACKGROUND: Hepatitis C is a major cause of liver-related morbidity and mortality. A high proportion of patients never experience symptoms. Peginterferon plus ribavirin is the recommended treatment for chronic hepatitis C. However, ribavirin monotherapy may be considered for some patients.\nOBJECTIVES: To assess the beneficial and harmful effects of ribavirin monotherapy for patients with chronic hepatitis C.\nSEARCH STRATEGY: We identified trials through electronic databases, manual searches of bibliographies and journals, authors of trials, and pharmaceutical companies until March 2009.\nSELECTION CRITERIA: We included all randomised trials irrespective of blinding, language, or publication status comparing ribavirin versus no intervention, placebo, or interferon for chronic hepatitis C.\nDATA COLLECTION AND ANALYSIS: The primary outcome measures were serum sustained virological response (loss of hepatitis C virus RNA at least six months after treatment), liver-related morbidity plus all-cause mortality, and adverse events. Secondary outcome measures were end of treatment virological response, biochemical response (transaminase activity), and histological response. Randomisation methods, blinding, data handling, and funding were extracted as measures of bias control. Random-effects and fixed-effect meta-analyses were performed for all outcomes. We only present the results of the fixed-effect model if both models provide the same result regarding statistical significance. We present data as risk difference (RD) with 95% confidence intervals (CI).\nMAIN RESULTS: We included 14 randomised trials with 657 patients. The majority of trials had unclear control of bias. Compared with placebo or no intervention, ribavirin had no significant effect on the sustained virological response (RD 0%, 95% CI -2% to 3%, five trials) or end of treatment virological response (RD 0% 95% CI -3% to 3%, ten trials). Ribavirin had no significant effect on liver-related morbidity plus mortality (RD 0%, 95% CI -2% to 3%, 11 trials). Ribavirin significantly increased the risk of adverse reactions, including anaemia. Ribavirin significantly improved end of treatment biochemical and histological response but not the sustained biochemical response. Ribavirin was significantly inferior to interferon regarding virological and biochemical responses (five trials).\nAUTHORS' CONCLUSIONS: Ribavirin seems without beneficial effects on serum virological response and liver-related morbidity or mortality, and significantly increased the risk of adverse reactions. Ribavirin monotherapy seems significantly inferior to interferon monotherapy. The total number of included patients is small, and more trials are perhaps needed. The use of ribavirin monotherapy for chronic hepatitis C cannot be recommended outside randomised trials.","DOI":"10.1002/14651858.CD005527.pub2","ISSN":"1469-493X","note":"PMID: 19821346","journalAbbreviation":"Cochrane Database Syst Rev","language":"eng","author":[{"family":"Brok","given":"Jesper"},{"family":"Gluud","given":"Lise Lotte"},{"family":"Gluud","given":"Christian"}],"issued":{"date-parts":[["2009"]]},"PMID":"19821346"},"label":"page"},{"id":133,"uris":["http://zotero.org/users/1747505/items/PJF64NZW"],"uri":["http://zotero.org/users/1747505/items/PJF64NZW"],"itemData":{"id":133,"type":"article-journal","title":"Correlation of serum HCV RNA and alanine aminotransferase levels in chronic hepatitis C patients during treatment with ribavirin","container-title":"Journal of gastroenterology and hepatology","page":"587-591","volume":"9","issue":"6","source":"NCBI PubMed","abstract":"To evaluate the effect of ribavirin on serum hepatitis C virus (HCV) RNA and alanine aminotransferase (ALT) levels, 22 patients with chronic HCV infection were treated with oral ribavirin 1200 mg daily in three divided doses for 4 weeks. At the end of 4 weeks treatment, the serum ALT decreased in all but one patient and became normal in three individuals. The mean pretreatment serum ALT was reduced significantly from 193 +/- 45 i.u./L to 95 +/- 16 i.u./L after 4 weeks therapy (P = 0.009). However, 8 weeks after cessation of treatment, the serum ALT rose to a mean value of 154 +/- 21 i.u./L. The mean pretreatment serum HCV RNA was not significantly decreased at the end of 4 weeks treatment (7.0 x 10(5) vs. 4.1 x 10(5) copies/mL, P &gt; 0.05). However, serum HCV RNA levels were decreased in 12 and increased in 10 patients at the end of 4 weeks therapy. Eight weeks after cessation of therapy, the serum HCV RNA of 22 patients rose to a mean value of 4.9 +/- 10(5) copies/mL. Six patients who continued to have elevated serum ALT and positive HCV RNA after the initial 4 weeks treatment received oral ribavirin at the same dosage for an additional 24 weeks. The serum ALT again decreased in all six patients during therapy, but rose to pretreatment values by 8 weeks after cessation of the treatment. In addition, no significant changes were noted in the mean serum HCV RNA levels during and after 24 weeks of ribavirin therapy.(ABSTRACT TRUNCATED AT 250 WORDS)","ISSN":"0815-9319","note":"PMID: 7865717","journalAbbreviation":"J. Gastroenterol. Hepatol.","language":"eng","author":[{"family":"Tong","given":"M J"},{"family":"Hwang","given":"S J"},{"family":"Lefkowitz","given":"M"},{"family":"Lee","given":"S D"},{"family":"Co","given":"R L"},{"family":"Conrad","given":"A"},{"family":"Schmid","given":"P"},{"family":"Lo","given":"K J"}],"issued":{"date-parts":[["1994",12]]},"PMID":"7865717"},"label":"page"}],"schema":"https://github.com/citation-style-language/schema/raw/master/csl-citation.json"} </w:instrText>
      </w:r>
      <w:r w:rsidR="00EB5F99" w:rsidRPr="00324BBD">
        <w:rPr>
          <w:rFonts w:ascii="Book Antiqua" w:hAnsi="Book Antiqua"/>
          <w:sz w:val="24"/>
          <w:szCs w:val="24"/>
        </w:rPr>
        <w:fldChar w:fldCharType="separate"/>
      </w:r>
      <w:r w:rsidR="00B55E8E" w:rsidRPr="00324BBD">
        <w:rPr>
          <w:rFonts w:ascii="Book Antiqua" w:hAnsi="Book Antiqua" w:cs="Times New Roman"/>
          <w:sz w:val="24"/>
          <w:szCs w:val="24"/>
          <w:vertAlign w:val="superscript"/>
        </w:rPr>
        <w:t>[14,15</w:t>
      </w:r>
      <w:r w:rsidR="00A20B65" w:rsidRPr="00324BBD">
        <w:rPr>
          <w:rFonts w:ascii="Book Antiqua" w:hAnsi="Book Antiqua" w:cs="Times New Roman"/>
          <w:sz w:val="24"/>
          <w:szCs w:val="24"/>
          <w:vertAlign w:val="superscript"/>
        </w:rPr>
        <w:t>]</w:t>
      </w:r>
      <w:r w:rsidR="00EB5F99" w:rsidRPr="00324BBD">
        <w:rPr>
          <w:rFonts w:ascii="Book Antiqua" w:hAnsi="Book Antiqua"/>
          <w:sz w:val="24"/>
          <w:szCs w:val="24"/>
        </w:rPr>
        <w:fldChar w:fldCharType="end"/>
      </w:r>
      <w:r w:rsidR="005E41F5" w:rsidRPr="00324BBD">
        <w:rPr>
          <w:rFonts w:ascii="Book Antiqua" w:hAnsi="Book Antiqua"/>
          <w:sz w:val="24"/>
          <w:szCs w:val="24"/>
        </w:rPr>
        <w:t xml:space="preserve">. </w:t>
      </w:r>
      <w:r w:rsidRPr="00324BBD">
        <w:rPr>
          <w:rFonts w:ascii="Book Antiqua" w:hAnsi="Book Antiqua"/>
          <w:sz w:val="24"/>
          <w:szCs w:val="24"/>
        </w:rPr>
        <w:t>However, t</w:t>
      </w:r>
      <w:r w:rsidR="005E41F5" w:rsidRPr="00324BBD">
        <w:rPr>
          <w:rFonts w:ascii="Book Antiqua" w:hAnsi="Book Antiqua"/>
          <w:sz w:val="24"/>
          <w:szCs w:val="24"/>
        </w:rPr>
        <w:t xml:space="preserve">he biochemical response to RBV appears to accurately predict the response to subsequent combination therapy with </w:t>
      </w:r>
      <w:r w:rsidRPr="00324BBD">
        <w:rPr>
          <w:rFonts w:ascii="Book Antiqua" w:hAnsi="Book Antiqua"/>
          <w:sz w:val="24"/>
          <w:szCs w:val="24"/>
        </w:rPr>
        <w:t>interferon-</w:t>
      </w:r>
      <w:r w:rsidR="00193C00" w:rsidRPr="00324BBD">
        <w:rPr>
          <w:rFonts w:ascii="Book Antiqua" w:hAnsi="Book Antiqua"/>
          <w:sz w:val="24"/>
          <w:szCs w:val="24"/>
        </w:rPr>
        <w:t></w:t>
      </w:r>
      <w:r w:rsidRPr="00324BBD">
        <w:rPr>
          <w:rFonts w:ascii="Book Antiqua" w:hAnsi="Book Antiqua"/>
          <w:sz w:val="24"/>
          <w:szCs w:val="24"/>
        </w:rPr>
        <w:t>,</w:t>
      </w:r>
      <w:r w:rsidR="005E41F5" w:rsidRPr="00324BBD">
        <w:rPr>
          <w:rFonts w:ascii="Book Antiqua" w:hAnsi="Book Antiqua"/>
          <w:sz w:val="24"/>
          <w:szCs w:val="24"/>
        </w:rPr>
        <w:t xml:space="preserve"> as shown by Rotman </w:t>
      </w:r>
      <w:r w:rsidR="00FE5DB7" w:rsidRPr="00324BBD">
        <w:rPr>
          <w:rFonts w:ascii="Book Antiqua" w:hAnsi="Book Antiqua"/>
          <w:i/>
          <w:sz w:val="24"/>
          <w:szCs w:val="24"/>
        </w:rPr>
        <w:t>et al</w:t>
      </w:r>
      <w:r w:rsidR="00EB5F99" w:rsidRPr="00324BBD">
        <w:rPr>
          <w:rFonts w:ascii="Book Antiqua" w:hAnsi="Book Antiqua"/>
          <w:sz w:val="24"/>
          <w:szCs w:val="24"/>
        </w:rPr>
        <w:fldChar w:fldCharType="begin"/>
      </w:r>
      <w:r w:rsidR="00D310EF" w:rsidRPr="00324BBD">
        <w:rPr>
          <w:rFonts w:ascii="Book Antiqua" w:hAnsi="Book Antiqua"/>
          <w:sz w:val="24"/>
          <w:szCs w:val="24"/>
        </w:rPr>
        <w:instrText xml:space="preserve"> ADDIN ZOTERO_ITEM CSL_CITATION {"citationID":"ij3yYB9P","properties":{"formattedCitation":"{\\rtf \\super [15]\\nosupersub{}}","plainCitation":"[15]","dontUpdate":true},"citationItems":[{"id":135,"uris":["http://zotero.org/users/1747505/items/H6KCA2X9"],"uri":["http://zotero.org/users/1747505/items/H6KCA2X9"],"itemData":{"id":135,"type":"article-journal","title":"Effect of ribavirin on viral kinetics and liver gene expression in chronic hepatitis C","container-title":"Gut","page":"161-169","volume":"63","issue":"1","source":"NCBI PubMed","abstract":"OBJECTIVE: Ribavirin improves treatment response to pegylated-interferon (PEG-IFN) in chronic hepatitis C but the mechanism remains controversial. We studied correlates of response and mechanism of action of ribavirin in treatment of hepatitis C.\nDESIGN: 70 treatment-naive patients were randomised to 4 weeks of ribavirin (1000-1200 mg/d) or none, followed by PEG-IFN</w:instrText>
      </w:r>
      <w:r w:rsidR="00D310EF" w:rsidRPr="00324BBD">
        <w:rPr>
          <w:rFonts w:ascii="Book Antiqua" w:hAnsi="Book Antiqua" w:cs="Times New Roman"/>
          <w:sz w:val="24"/>
          <w:szCs w:val="24"/>
        </w:rPr>
        <w:instrText>α</w:instrText>
      </w:r>
      <w:r w:rsidR="00D310EF" w:rsidRPr="00324BBD">
        <w:rPr>
          <w:rFonts w:ascii="Book Antiqua" w:hAnsi="Book Antiqua"/>
          <w:sz w:val="24"/>
          <w:szCs w:val="24"/>
        </w:rPr>
        <w:instrText xml:space="preserve">-2a and ribavirin at standard doses and durations. Patients were also randomised to a liver biopsy 24 h before or 6 h after starting PEG-IFN. Hepatic gene expression was assessed by microarray and interferon-stimulated gene (ISG) expression quantified by nCounter platform. Temporal changes in ISG expression were assessed by qPCR in peripheral-blood mononuclear cells (PBMC) and by serum levels of IP-10.\nRESULTS: After 4 weeks of ribavirin monotherapy, hepatitis C virus (HCV) levels decreased by 0.5±0.5 log10 (p=0.009 vs controls) and ALT by 33% (p&lt;0.001). Ribavirin pretreatment, while modestly augmenting ISG induction by PEG-IFN, did not modify the virological response to subsequent PEG-IFN and ribavirin treatment. However, biochemical, but not virological, response to ribavirin monotherapy predicted response to subsequent combination treatment (rapid virological response, 71% in biochemical responders vs 22% non-responders, p=0.01; early virological response, 100% vs 68%, p=0.03; sustained virological response 83% vs 41%, p=0.053). Ribavirin monotherapy lowered serum IP-10 levels but had no effect on ISG expression in PBMC.\nCONCLUSIONS: Ribavirin is a weak antiviral but its clinical effect seems to be mediated by a separate, indirect mechanism, which may act to reset IFN-responsiveness in HCV-infected liver.","DOI":"10.1136/gutjnl-2012-303852","ISSN":"1468-3288","note":"PMID: 23396509 \nPMCID: PMC3778097","journalAbbreviation":"Gut","language":"eng","author":[{"family":"Rotman","given":"Yaron"},{"family":"Noureddin","given":"Mazen"},{"family":"Feld","given":"Jordan J"},{"family":"Guedj","given":"Jeremie"},{"family":"Witthaus","given":"Michael"},{"family":"Han","given":"Hwalih"},{"family":"Park","given":"Yoon J"},{"family":"Park","given":"Su-Hyung"},{"family":"Heller","given":"Theo"},{"family":"Ghany","given":"Marc G"},{"family":"Doo","given":"Edward"},{"family":"Koh","given":"Christopher"},{"family":"Abdalla","given":"Adil"},{"family":"Gara","given":"Naveen"},{"family":"Sarkar","given":"Souvik"},{"family":"Thomas","given":"Emmanuel"},{"family":"Ahlenstiel","given":"Golo"},{"family":"Edlich","given":"Birgit"},{"family":"Titerence","given":"Rachel"},{"family":"Hogdal","given":"Leah"},{"family":"Rehermann","given":"Barbara"},{"family":"Dahari","given":"Harel"},{"family":"Perelson","given":"Alan S"},{"family":"Hoofnagle","given":"Jay H"},{"family":"Liang","given":"T Jake"}],"issued":{"date-parts":[["2014",1]]},"PMID":"23396509","PMCID":"PMC3778097"}}],"schema":"https://github.com/citation-style-language/schema/raw/master/csl-citation.json"} </w:instrText>
      </w:r>
      <w:r w:rsidR="00EB5F99" w:rsidRPr="00324BBD">
        <w:rPr>
          <w:rFonts w:ascii="Book Antiqua" w:hAnsi="Book Antiqua"/>
          <w:sz w:val="24"/>
          <w:szCs w:val="24"/>
        </w:rPr>
        <w:fldChar w:fldCharType="separate"/>
      </w:r>
      <w:r w:rsidR="00B55E8E" w:rsidRPr="00324BBD">
        <w:rPr>
          <w:rFonts w:ascii="Book Antiqua" w:hAnsi="Book Antiqua" w:cs="Times New Roman"/>
          <w:sz w:val="24"/>
          <w:szCs w:val="24"/>
          <w:vertAlign w:val="superscript"/>
        </w:rPr>
        <w:t>[16</w:t>
      </w:r>
      <w:r w:rsidR="005E41F5" w:rsidRPr="00324BBD">
        <w:rPr>
          <w:rFonts w:ascii="Book Antiqua" w:hAnsi="Book Antiqua" w:cs="Times New Roman"/>
          <w:sz w:val="24"/>
          <w:szCs w:val="24"/>
          <w:vertAlign w:val="superscript"/>
        </w:rPr>
        <w:t>]</w:t>
      </w:r>
      <w:r w:rsidR="00EB5F99" w:rsidRPr="00324BBD">
        <w:rPr>
          <w:rFonts w:ascii="Book Antiqua" w:hAnsi="Book Antiqua"/>
          <w:sz w:val="24"/>
          <w:szCs w:val="24"/>
        </w:rPr>
        <w:fldChar w:fldCharType="end"/>
      </w:r>
      <w:r w:rsidR="005E41F5" w:rsidRPr="00324BBD">
        <w:rPr>
          <w:rFonts w:ascii="Book Antiqua" w:hAnsi="Book Antiqua"/>
          <w:sz w:val="24"/>
          <w:szCs w:val="24"/>
        </w:rPr>
        <w:t xml:space="preserve"> This </w:t>
      </w:r>
      <w:r w:rsidRPr="00324BBD">
        <w:rPr>
          <w:rFonts w:ascii="Book Antiqua" w:hAnsi="Book Antiqua"/>
          <w:sz w:val="24"/>
          <w:szCs w:val="24"/>
        </w:rPr>
        <w:t xml:space="preserve">finding </w:t>
      </w:r>
      <w:r w:rsidR="005E41F5" w:rsidRPr="00324BBD">
        <w:rPr>
          <w:rFonts w:ascii="Book Antiqua" w:hAnsi="Book Antiqua"/>
          <w:sz w:val="24"/>
          <w:szCs w:val="24"/>
        </w:rPr>
        <w:t xml:space="preserve">suggests that the anti-inflammatory activity of </w:t>
      </w:r>
      <w:r w:rsidRPr="00324BBD">
        <w:rPr>
          <w:rFonts w:ascii="Book Antiqua" w:hAnsi="Book Antiqua"/>
          <w:sz w:val="24"/>
          <w:szCs w:val="24"/>
        </w:rPr>
        <w:t>r</w:t>
      </w:r>
      <w:r w:rsidR="005E41F5" w:rsidRPr="00324BBD">
        <w:rPr>
          <w:rFonts w:ascii="Book Antiqua" w:hAnsi="Book Antiqua"/>
          <w:sz w:val="24"/>
          <w:szCs w:val="24"/>
        </w:rPr>
        <w:t xml:space="preserve">ibavirin plays a critical role in its synergy with </w:t>
      </w:r>
      <w:r w:rsidRPr="00324BBD">
        <w:rPr>
          <w:rFonts w:ascii="Book Antiqua" w:hAnsi="Book Antiqua"/>
          <w:sz w:val="24"/>
          <w:szCs w:val="24"/>
        </w:rPr>
        <w:t>i</w:t>
      </w:r>
      <w:r w:rsidR="005E41F5" w:rsidRPr="00324BBD">
        <w:rPr>
          <w:rFonts w:ascii="Book Antiqua" w:hAnsi="Book Antiqua"/>
          <w:sz w:val="24"/>
          <w:szCs w:val="24"/>
        </w:rPr>
        <w:t xml:space="preserve">nterferon against HCV. </w:t>
      </w:r>
      <w:r w:rsidRPr="00324BBD">
        <w:rPr>
          <w:rFonts w:ascii="Book Antiqua" w:hAnsi="Book Antiqua"/>
          <w:sz w:val="24"/>
          <w:szCs w:val="24"/>
        </w:rPr>
        <w:t>As mentioned earlier, s</w:t>
      </w:r>
      <w:r w:rsidR="003D0325" w:rsidRPr="00324BBD">
        <w:rPr>
          <w:rFonts w:ascii="Book Antiqua" w:hAnsi="Book Antiqua"/>
          <w:sz w:val="24"/>
          <w:szCs w:val="24"/>
        </w:rPr>
        <w:t xml:space="preserve">everal different mechanisms have </w:t>
      </w:r>
      <w:r w:rsidRPr="00324BBD">
        <w:rPr>
          <w:rFonts w:ascii="Book Antiqua" w:hAnsi="Book Antiqua"/>
          <w:sz w:val="24"/>
          <w:szCs w:val="24"/>
        </w:rPr>
        <w:t xml:space="preserve">unsuccessfully </w:t>
      </w:r>
      <w:r w:rsidR="003D0325" w:rsidRPr="00324BBD">
        <w:rPr>
          <w:rFonts w:ascii="Book Antiqua" w:hAnsi="Book Antiqua"/>
          <w:sz w:val="24"/>
          <w:szCs w:val="24"/>
        </w:rPr>
        <w:t>been explored</w:t>
      </w:r>
      <w:r w:rsidR="000377C2" w:rsidRPr="00324BBD">
        <w:rPr>
          <w:rFonts w:ascii="Book Antiqua" w:hAnsi="Book Antiqua"/>
          <w:sz w:val="24"/>
          <w:szCs w:val="24"/>
        </w:rPr>
        <w:t xml:space="preserve"> to explain this synergy</w:t>
      </w:r>
      <w:r w:rsidR="00FE08FA" w:rsidRPr="00324BBD">
        <w:rPr>
          <w:rFonts w:ascii="Book Antiqua" w:hAnsi="Book Antiqua"/>
          <w:sz w:val="24"/>
          <w:szCs w:val="24"/>
        </w:rPr>
        <w:t>.</w:t>
      </w:r>
    </w:p>
    <w:p w:rsidR="00FE572C" w:rsidRPr="00324BBD" w:rsidRDefault="00FE572C" w:rsidP="008759E1">
      <w:pPr>
        <w:snapToGrid w:val="0"/>
        <w:spacing w:line="360" w:lineRule="auto"/>
        <w:jc w:val="both"/>
        <w:rPr>
          <w:rFonts w:ascii="Book Antiqua" w:hAnsi="Book Antiqua"/>
          <w:sz w:val="24"/>
          <w:szCs w:val="24"/>
        </w:rPr>
      </w:pPr>
    </w:p>
    <w:p w:rsidR="00FE572C" w:rsidRPr="00324BBD" w:rsidRDefault="00BD3F9D" w:rsidP="008759E1">
      <w:pPr>
        <w:snapToGrid w:val="0"/>
        <w:spacing w:line="360" w:lineRule="auto"/>
        <w:jc w:val="both"/>
        <w:rPr>
          <w:rFonts w:ascii="Book Antiqua" w:hAnsi="Book Antiqua"/>
          <w:b/>
          <w:i/>
          <w:sz w:val="24"/>
          <w:szCs w:val="24"/>
        </w:rPr>
      </w:pPr>
      <w:r w:rsidRPr="00324BBD">
        <w:rPr>
          <w:rFonts w:ascii="Book Antiqua" w:hAnsi="Book Antiqua"/>
          <w:b/>
          <w:i/>
          <w:sz w:val="24"/>
          <w:szCs w:val="24"/>
        </w:rPr>
        <w:lastRenderedPageBreak/>
        <w:t>Combination therapy</w:t>
      </w:r>
      <w:r w:rsidRPr="00324BBD">
        <w:rPr>
          <w:rFonts w:ascii="Book Antiqua" w:hAnsi="Book Antiqua"/>
          <w:b/>
          <w:i/>
          <w:sz w:val="24"/>
          <w:szCs w:val="24"/>
          <w:lang w:eastAsia="zh-CN"/>
        </w:rPr>
        <w:t xml:space="preserve">: </w:t>
      </w:r>
      <w:r w:rsidR="00FE572C" w:rsidRPr="00324BBD">
        <w:rPr>
          <w:rFonts w:ascii="Book Antiqua" w:hAnsi="Book Antiqua"/>
          <w:b/>
          <w:i/>
          <w:sz w:val="24"/>
          <w:szCs w:val="24"/>
        </w:rPr>
        <w:t>RBV and IFN</w:t>
      </w:r>
    </w:p>
    <w:p w:rsidR="00FE572C" w:rsidRPr="00324BBD" w:rsidRDefault="00FE572C" w:rsidP="008759E1">
      <w:pPr>
        <w:snapToGrid w:val="0"/>
        <w:spacing w:line="360" w:lineRule="auto"/>
        <w:jc w:val="both"/>
        <w:rPr>
          <w:rFonts w:ascii="Book Antiqua" w:hAnsi="Book Antiqua"/>
          <w:sz w:val="24"/>
          <w:szCs w:val="24"/>
        </w:rPr>
      </w:pPr>
      <w:r w:rsidRPr="00324BBD">
        <w:rPr>
          <w:rFonts w:ascii="Book Antiqua" w:hAnsi="Book Antiqua"/>
          <w:sz w:val="24"/>
          <w:szCs w:val="24"/>
        </w:rPr>
        <w:t>Combination therapy with RBV and IFN leads to decrease</w:t>
      </w:r>
      <w:r w:rsidR="00BA3BA1" w:rsidRPr="00324BBD">
        <w:rPr>
          <w:rFonts w:ascii="Book Antiqua" w:hAnsi="Book Antiqua"/>
          <w:sz w:val="24"/>
          <w:szCs w:val="24"/>
        </w:rPr>
        <w:t>d</w:t>
      </w:r>
      <w:r w:rsidRPr="00324BBD">
        <w:rPr>
          <w:rFonts w:ascii="Book Antiqua" w:hAnsi="Book Antiqua"/>
          <w:sz w:val="24"/>
          <w:szCs w:val="24"/>
        </w:rPr>
        <w:t xml:space="preserve"> inflammation, as measured by the reduction in the levels of pro-inflammatory cytokines </w:t>
      </w:r>
      <w:r w:rsidR="00BA3BA1" w:rsidRPr="00324BBD">
        <w:rPr>
          <w:rFonts w:ascii="Book Antiqua" w:hAnsi="Book Antiqua"/>
          <w:sz w:val="24"/>
          <w:szCs w:val="24"/>
        </w:rPr>
        <w:t>and</w:t>
      </w:r>
      <w:r w:rsidRPr="00324BBD">
        <w:rPr>
          <w:rFonts w:ascii="Book Antiqua" w:hAnsi="Book Antiqua"/>
          <w:sz w:val="24"/>
          <w:szCs w:val="24"/>
        </w:rPr>
        <w:t xml:space="preserve"> transaminases in patients who respond to the treatment (responders) </w:t>
      </w:r>
      <w:r w:rsidR="00071D6A" w:rsidRPr="00324BBD">
        <w:rPr>
          <w:rFonts w:ascii="Book Antiqua" w:hAnsi="Book Antiqua"/>
          <w:sz w:val="24"/>
          <w:szCs w:val="24"/>
        </w:rPr>
        <w:t>compared with</w:t>
      </w:r>
      <w:r w:rsidRPr="00324BBD">
        <w:rPr>
          <w:rFonts w:ascii="Book Antiqua" w:hAnsi="Book Antiqua"/>
          <w:sz w:val="24"/>
          <w:szCs w:val="24"/>
        </w:rPr>
        <w:t xml:space="preserve"> those </w:t>
      </w:r>
      <w:r w:rsidR="00071D6A" w:rsidRPr="00324BBD">
        <w:rPr>
          <w:rFonts w:ascii="Book Antiqua" w:hAnsi="Book Antiqua"/>
          <w:sz w:val="24"/>
          <w:szCs w:val="24"/>
        </w:rPr>
        <w:t xml:space="preserve">patients </w:t>
      </w:r>
      <w:r w:rsidRPr="00324BBD">
        <w:rPr>
          <w:rFonts w:ascii="Book Antiqua" w:hAnsi="Book Antiqua"/>
          <w:sz w:val="24"/>
          <w:szCs w:val="24"/>
        </w:rPr>
        <w:t>who do not</w:t>
      </w:r>
      <w:r w:rsidR="00071D6A" w:rsidRPr="00324BBD">
        <w:rPr>
          <w:rFonts w:ascii="Book Antiqua" w:hAnsi="Book Antiqua"/>
          <w:sz w:val="24"/>
          <w:szCs w:val="24"/>
        </w:rPr>
        <w:t xml:space="preserve"> respond to the treatment</w:t>
      </w:r>
      <w:r w:rsidR="00EB5F99" w:rsidRPr="00324BBD">
        <w:rPr>
          <w:rFonts w:ascii="Book Antiqua" w:hAnsi="Book Antiqua"/>
          <w:sz w:val="24"/>
          <w:szCs w:val="24"/>
        </w:rPr>
        <w:fldChar w:fldCharType="begin"/>
      </w:r>
      <w:r w:rsidR="00D310EF" w:rsidRPr="00324BBD">
        <w:rPr>
          <w:rFonts w:ascii="Book Antiqua" w:hAnsi="Book Antiqua"/>
          <w:sz w:val="24"/>
          <w:szCs w:val="24"/>
        </w:rPr>
        <w:instrText xml:space="preserve"> ADDIN ZOTERO_ITEM CSL_CITATION {"citationID":"2a5daab036","properties":{"formattedCitation":"{\\rtf \\super [14,19]\\nosupersub{}}","plainCitation":"[14,19]"},"citationItems":[{"id":63,"uris":["http://zotero.org/users/1747505/items/CSZWNIQJ"],"uri":["http://zotero.org/users/1747505/items/CSZWNIQJ"],"itemData":{"id":63,"type":"article-journal","title":"Cytokines as predictors for sustained response and as markers for immunomodulation in patients with chronic hepatitis C","container-title":"Clinical biochemistry","page":"173-182","volume":"34","issue":"3","source":"NCBI PubMed","abstract":"OBJECTIVES: (i) To characterize serum cytokine levels of tumor necrosis factor alpha (TNF alpha), interleukin 6 (IL 6), IL 8 and IL 12 in non-cirrhotic patients with chronic hepatitis C, (ii) to correlate the levels of these cytokines with the degree of the disease at the basal level, (iii) to correlate these levels with the response to therapy, (iv) to compare profiles of cytokines in monotherapy (MT) versus combination therapy (CT), and (v) to compare the immunomodulatory effects of MT versus CT.\nDESIGN AND METHODS: 47 patients were enrolled in the study. The controls were 120 volunteers (recruited from students and staff) that did not present HCV RNA positive and were not known to suffer any other metabolic disease. Thirty patients formed the other group of controls, with alcoholic liver disease (ALD). Serum cytokine levels were assessed using enzyme-linked immunosorbent assay (ELISA).\nRESULTS: The sustained responders (SRs) have basal values much lower than relapsed responders (RRs) and non-responders (NRs) regardless of the therapy.\nCONCLUSIONS: Cytokines can be used as non-invasive markers for sustained response and as monitors for the outcome of therapy.","ISSN":"0009-9120","note":"PMID: 11408014","journalAbbreviation":"Clin. Biochem.","language":"eng","author":[{"family":"Neuman","given":"M G"},{"family":"Benhamou","given":"J P"},{"family":"Malkiewicz","given":"I M"},{"family":"Akremi","given":"R"},{"family":"Shear","given":"N H"},{"family":"Asselah","given":"T"},{"family":"Ibrahim","given":"A"},{"family":"Boyer","given":"N"},{"family":"Martinot-Peignoux","given":"M"},{"family":"Jacobson-Brown","given":"P"},{"family":"Katz","given":"G G"},{"family":"Le Breton","given":"V"},{"family":"Le Guludec","given":"G"},{"family":"Suneja","given":"A"},{"family":"Marcellin","given":"P"}],"issued":{"date-parts":[["2001",5]]},"PMID":"11408014"},"label":"page"},{"id":59,"uris":["http://zotero.org/users/1747505/items/RBDG3Q4C"],"uri":["http://zotero.org/users/1747505/items/RBDG3Q4C"],"itemData":{"id":59,"type":"article-journal","title":"Multiplex cytokine profiling of initial therapeutic response in patients with chronic hepatitis C virus infection","container-title":"Digestive diseases and sciences","page":"1793-1803","volume":"50","issue":"10","source":"NCBI PubMed","abstract":"Currently available prognostic tools are inadequate to discern the molecular basis of the heterogenic response in hepatitis C virus (HCV)-infected patients treated with the current standard of therapy. The expression and biological function of immune mediators have been shown to be critical in all phases of the immune response to HCV infection and likely therefore influence host response. Herein, a biometric multiplex serum cytokine assay was utilized to characterize the immunomodulatory effects of host response in 10 HCV patients. Serum levels of 17 cytokines were compared before and after 1 month of treatment and against controls. Overall serum cytokine levels were significantly higher in patients (P &lt; 0.05) than controls. Additionally, viral titers decreased in all patients after 1 month of therapy, as did overall serum cytokine levels in the cohort (P &lt; 0.05). To assess relationships between changes in cytokine levels and changes in viral titer, the cohort was divided into three statistically distinct subgroups based on changes in viral titers. Specific sets of cytokines decreased in each group: decreases in CCL4, interleukin (IL)-2, CXCL8, and IL-1beta correlated with the greatest drops in viral titer, decreases in IL-5, granulocyte colony stimulating factor (G-CSF), and CCL4 correlated with moderate drops in viral titer, and only CCL2 correlated with the lowest drops in viral titer. Interestingly, decreases in CCL4 levels correlated with decreases in viral titers in all patients. CCL4 controls leukocyte influx and thus propagates inflammation. In conclusion, these data raise the possibility that characteristic changes in host response modulate the therapeutic response, demonstrating the prognostic power of serum cytokine profiling in chronic HCV.","DOI":"10.1007/s10620-005-2940-y","ISSN":"0163-2116","note":"PMID: 16187176","journalAbbreviation":"Dig. Dis. Sci.","language":"eng","author":[{"family":"Wright","given":"Harlan"},{"family":"Alex","given":"Philip"},{"family":"Nguyen","given":"Thuan"},{"family":"Bader","given":"Teddy"},{"family":"Gurakar","given":"Ahmet"},{"family":"Sebastian","given":"Anthony"},{"family":"Gonzales","given":"Liberty"},{"family":"Wallis","given":"Gemma"},{"family":"Naylor","given":"Mark"},{"family":"Dozmorov","given":"Igor"},{"family":"Centola","given":"Michael"},{"family":"Nour","given":"Bakr"}],"issued":{"date-parts":[["2005",10]]},"PMID":"16187176"},"label":"page"}],"schema":"https://github.com/citation-style-language/schema/raw/master/csl-citation.json"} </w:instrText>
      </w:r>
      <w:r w:rsidR="00EB5F99" w:rsidRPr="00324BBD">
        <w:rPr>
          <w:rFonts w:ascii="Book Antiqua" w:hAnsi="Book Antiqua"/>
          <w:sz w:val="24"/>
          <w:szCs w:val="24"/>
        </w:rPr>
        <w:fldChar w:fldCharType="separate"/>
      </w:r>
      <w:r w:rsidR="00B55E8E" w:rsidRPr="00324BBD">
        <w:rPr>
          <w:rFonts w:ascii="Book Antiqua" w:hAnsi="Book Antiqua" w:cs="Times New Roman"/>
          <w:sz w:val="24"/>
          <w:szCs w:val="24"/>
          <w:vertAlign w:val="superscript"/>
        </w:rPr>
        <w:t>[17,18</w:t>
      </w:r>
      <w:r w:rsidR="00D310EF" w:rsidRPr="00324BBD">
        <w:rPr>
          <w:rFonts w:ascii="Book Antiqua" w:hAnsi="Book Antiqua" w:cs="Times New Roman"/>
          <w:sz w:val="24"/>
          <w:szCs w:val="24"/>
          <w:vertAlign w:val="superscript"/>
        </w:rPr>
        <w:t>]</w:t>
      </w:r>
      <w:r w:rsidR="00EB5F99" w:rsidRPr="00324BBD">
        <w:rPr>
          <w:rFonts w:ascii="Book Antiqua" w:hAnsi="Book Antiqua"/>
          <w:sz w:val="24"/>
          <w:szCs w:val="24"/>
        </w:rPr>
        <w:fldChar w:fldCharType="end"/>
      </w:r>
      <w:r w:rsidRPr="00324BBD">
        <w:rPr>
          <w:rFonts w:ascii="Book Antiqua" w:hAnsi="Book Antiqua"/>
          <w:sz w:val="24"/>
          <w:szCs w:val="24"/>
        </w:rPr>
        <w:t>. Inhibiti</w:t>
      </w:r>
      <w:r w:rsidR="00071D6A" w:rsidRPr="00324BBD">
        <w:rPr>
          <w:rFonts w:ascii="Book Antiqua" w:hAnsi="Book Antiqua"/>
          <w:sz w:val="24"/>
          <w:szCs w:val="24"/>
        </w:rPr>
        <w:t>ng</w:t>
      </w:r>
      <w:r w:rsidRPr="00324BBD">
        <w:rPr>
          <w:rFonts w:ascii="Book Antiqua" w:hAnsi="Book Antiqua"/>
          <w:sz w:val="24"/>
          <w:szCs w:val="24"/>
        </w:rPr>
        <w:t xml:space="preserve"> this inflammation before or during IFN therapy may improve outcomes</w:t>
      </w:r>
      <w:r w:rsidR="00071D6A" w:rsidRPr="00324BBD">
        <w:rPr>
          <w:rFonts w:ascii="Book Antiqua" w:hAnsi="Book Antiqua"/>
          <w:sz w:val="24"/>
          <w:szCs w:val="24"/>
        </w:rPr>
        <w:t>,</w:t>
      </w:r>
      <w:r w:rsidRPr="00324BBD">
        <w:rPr>
          <w:rFonts w:ascii="Book Antiqua" w:hAnsi="Book Antiqua"/>
          <w:sz w:val="24"/>
          <w:szCs w:val="24"/>
        </w:rPr>
        <w:t xml:space="preserve"> as concluded by Lau </w:t>
      </w:r>
      <w:r w:rsidR="00FE5DB7" w:rsidRPr="00324BBD">
        <w:rPr>
          <w:rFonts w:ascii="Book Antiqua" w:hAnsi="Book Antiqua"/>
          <w:i/>
          <w:sz w:val="24"/>
          <w:szCs w:val="24"/>
        </w:rPr>
        <w:t>et al</w:t>
      </w:r>
      <w:r w:rsidR="00BD3F9D" w:rsidRPr="00324BBD">
        <w:rPr>
          <w:rFonts w:ascii="Book Antiqua" w:hAnsi="Book Antiqua"/>
          <w:sz w:val="24"/>
          <w:szCs w:val="24"/>
          <w:vertAlign w:val="superscript"/>
        </w:rPr>
        <w:t>[9]</w:t>
      </w:r>
      <w:r w:rsidRPr="00324BBD">
        <w:rPr>
          <w:rFonts w:ascii="Book Antiqua" w:hAnsi="Book Antiqua"/>
          <w:sz w:val="24"/>
          <w:szCs w:val="24"/>
        </w:rPr>
        <w:t xml:space="preserve"> after studying </w:t>
      </w:r>
      <w:r w:rsidR="00AC717C" w:rsidRPr="00324BBD">
        <w:rPr>
          <w:rFonts w:ascii="Book Antiqua" w:hAnsi="Book Antiqua"/>
          <w:sz w:val="24"/>
          <w:szCs w:val="24"/>
        </w:rPr>
        <w:t xml:space="preserve">the effect of combination therapy on </w:t>
      </w:r>
      <w:r w:rsidRPr="00324BBD">
        <w:rPr>
          <w:rFonts w:ascii="Book Antiqua" w:hAnsi="Book Antiqua"/>
          <w:sz w:val="24"/>
          <w:szCs w:val="24"/>
        </w:rPr>
        <w:t>rapid responders and non-</w:t>
      </w:r>
      <w:r w:rsidR="00AC717C" w:rsidRPr="00324BBD">
        <w:rPr>
          <w:rFonts w:ascii="Book Antiqua" w:hAnsi="Book Antiqua"/>
          <w:sz w:val="24"/>
          <w:szCs w:val="24"/>
        </w:rPr>
        <w:t>responders</w:t>
      </w:r>
      <w:r w:rsidRPr="00324BBD">
        <w:rPr>
          <w:rFonts w:ascii="Book Antiqua" w:hAnsi="Book Antiqua"/>
          <w:sz w:val="24"/>
          <w:szCs w:val="24"/>
        </w:rPr>
        <w:t xml:space="preserve">. We propose that this </w:t>
      </w:r>
      <w:r w:rsidR="00071D6A" w:rsidRPr="00324BBD">
        <w:rPr>
          <w:rFonts w:ascii="Book Antiqua" w:hAnsi="Book Antiqua"/>
          <w:sz w:val="24"/>
          <w:szCs w:val="24"/>
        </w:rPr>
        <w:t xml:space="preserve">mechanism </w:t>
      </w:r>
      <w:r w:rsidRPr="00324BBD">
        <w:rPr>
          <w:rFonts w:ascii="Book Antiqua" w:hAnsi="Book Antiqua"/>
          <w:sz w:val="24"/>
          <w:szCs w:val="24"/>
        </w:rPr>
        <w:t xml:space="preserve">is </w:t>
      </w:r>
      <w:r w:rsidR="00D310EF" w:rsidRPr="00324BBD">
        <w:rPr>
          <w:rFonts w:ascii="Book Antiqua" w:hAnsi="Book Antiqua"/>
          <w:sz w:val="24"/>
          <w:szCs w:val="24"/>
        </w:rPr>
        <w:t xml:space="preserve">precisely the role </w:t>
      </w:r>
      <w:r w:rsidRPr="00324BBD">
        <w:rPr>
          <w:rFonts w:ascii="Book Antiqua" w:hAnsi="Book Antiqua"/>
          <w:sz w:val="24"/>
          <w:szCs w:val="24"/>
        </w:rPr>
        <w:t xml:space="preserve">played by ribavirin alone or in combination with exogenous IFN in cHCV patients. </w:t>
      </w:r>
    </w:p>
    <w:p w:rsidR="000C4D4E" w:rsidRPr="00324BBD" w:rsidRDefault="000C4D4E" w:rsidP="008759E1">
      <w:pPr>
        <w:snapToGrid w:val="0"/>
        <w:spacing w:line="360" w:lineRule="auto"/>
        <w:jc w:val="both"/>
        <w:rPr>
          <w:rFonts w:ascii="Book Antiqua" w:hAnsi="Book Antiqua"/>
          <w:sz w:val="24"/>
          <w:szCs w:val="24"/>
          <w:lang w:eastAsia="zh-CN"/>
        </w:rPr>
      </w:pPr>
    </w:p>
    <w:p w:rsidR="00AC717C" w:rsidRPr="00324BBD" w:rsidRDefault="00AC717C" w:rsidP="008759E1">
      <w:pPr>
        <w:snapToGrid w:val="0"/>
        <w:spacing w:line="360" w:lineRule="auto"/>
        <w:jc w:val="both"/>
        <w:rPr>
          <w:rFonts w:ascii="Book Antiqua" w:hAnsi="Book Antiqua"/>
          <w:b/>
          <w:sz w:val="24"/>
          <w:szCs w:val="24"/>
        </w:rPr>
      </w:pPr>
      <w:r w:rsidRPr="00324BBD">
        <w:rPr>
          <w:rFonts w:ascii="Book Antiqua" w:hAnsi="Book Antiqua"/>
          <w:b/>
          <w:sz w:val="24"/>
          <w:szCs w:val="24"/>
        </w:rPr>
        <w:t>HEMOLYTIC ANEMIA IN RBV THERAPY</w:t>
      </w:r>
    </w:p>
    <w:p w:rsidR="00AC717C" w:rsidRPr="00324BBD" w:rsidRDefault="00AC717C" w:rsidP="008759E1">
      <w:pPr>
        <w:snapToGrid w:val="0"/>
        <w:spacing w:line="360" w:lineRule="auto"/>
        <w:jc w:val="both"/>
        <w:rPr>
          <w:rFonts w:ascii="Book Antiqua" w:hAnsi="Book Antiqua"/>
          <w:b/>
          <w:sz w:val="24"/>
          <w:szCs w:val="24"/>
        </w:rPr>
      </w:pPr>
      <w:r w:rsidRPr="00324BBD">
        <w:rPr>
          <w:rFonts w:ascii="Book Antiqua" w:hAnsi="Book Antiqua"/>
          <w:sz w:val="24"/>
          <w:szCs w:val="24"/>
        </w:rPr>
        <w:t xml:space="preserve">Therapy with RBV results in </w:t>
      </w:r>
      <w:r w:rsidR="00457CBD" w:rsidRPr="00324BBD">
        <w:rPr>
          <w:rFonts w:ascii="Book Antiqua" w:hAnsi="Book Antiqua"/>
          <w:sz w:val="24"/>
          <w:szCs w:val="24"/>
        </w:rPr>
        <w:t xml:space="preserve">hemolytic </w:t>
      </w:r>
      <w:r w:rsidRPr="00324BBD">
        <w:rPr>
          <w:rFonts w:ascii="Book Antiqua" w:hAnsi="Book Antiqua"/>
          <w:sz w:val="24"/>
          <w:szCs w:val="24"/>
        </w:rPr>
        <w:t>anemia</w:t>
      </w:r>
      <w:r w:rsidR="00457CBD" w:rsidRPr="00324BBD">
        <w:rPr>
          <w:rFonts w:ascii="Book Antiqua" w:hAnsi="Book Antiqua"/>
          <w:sz w:val="24"/>
          <w:szCs w:val="24"/>
        </w:rPr>
        <w:t xml:space="preserve"> due to </w:t>
      </w:r>
      <w:r w:rsidR="00071D6A" w:rsidRPr="00324BBD">
        <w:rPr>
          <w:rFonts w:ascii="Book Antiqua" w:hAnsi="Book Antiqua"/>
          <w:sz w:val="24"/>
          <w:szCs w:val="24"/>
        </w:rPr>
        <w:t xml:space="preserve">the </w:t>
      </w:r>
      <w:r w:rsidR="00457CBD" w:rsidRPr="00324BBD">
        <w:rPr>
          <w:rFonts w:ascii="Book Antiqua" w:hAnsi="Book Antiqua"/>
          <w:sz w:val="24"/>
          <w:szCs w:val="24"/>
        </w:rPr>
        <w:t xml:space="preserve">accumulation of the drug in the </w:t>
      </w:r>
      <w:r w:rsidR="00BD3F9D" w:rsidRPr="00324BBD">
        <w:rPr>
          <w:rFonts w:ascii="Book Antiqua" w:hAnsi="Book Antiqua"/>
          <w:sz w:val="24"/>
          <w:szCs w:val="24"/>
          <w:lang w:eastAsia="zh-CN"/>
        </w:rPr>
        <w:t>red blood cells (</w:t>
      </w:r>
      <w:r w:rsidR="00457CBD" w:rsidRPr="00324BBD">
        <w:rPr>
          <w:rFonts w:ascii="Book Antiqua" w:hAnsi="Book Antiqua"/>
          <w:sz w:val="24"/>
          <w:szCs w:val="24"/>
        </w:rPr>
        <w:t>RBCs</w:t>
      </w:r>
      <w:r w:rsidR="00BD3F9D" w:rsidRPr="00324BBD">
        <w:rPr>
          <w:rFonts w:ascii="Book Antiqua" w:hAnsi="Book Antiqua"/>
          <w:sz w:val="24"/>
          <w:szCs w:val="24"/>
          <w:lang w:eastAsia="zh-CN"/>
        </w:rPr>
        <w:t>)</w:t>
      </w:r>
      <w:r w:rsidR="00457CBD" w:rsidRPr="00324BBD">
        <w:rPr>
          <w:rFonts w:ascii="Book Antiqua" w:hAnsi="Book Antiqua"/>
          <w:sz w:val="24"/>
          <w:szCs w:val="24"/>
        </w:rPr>
        <w:t>,</w:t>
      </w:r>
      <w:r w:rsidRPr="00324BBD">
        <w:rPr>
          <w:rFonts w:ascii="Book Antiqua" w:hAnsi="Book Antiqua"/>
          <w:sz w:val="24"/>
          <w:szCs w:val="24"/>
        </w:rPr>
        <w:t xml:space="preserve"> frequently leading to adjustment of the dosage </w:t>
      </w:r>
      <w:r w:rsidR="00457CBD" w:rsidRPr="00324BBD">
        <w:rPr>
          <w:rFonts w:ascii="Book Antiqua" w:hAnsi="Book Antiqua"/>
          <w:sz w:val="24"/>
          <w:szCs w:val="24"/>
        </w:rPr>
        <w:t>and/</w:t>
      </w:r>
      <w:r w:rsidRPr="00324BBD">
        <w:rPr>
          <w:rFonts w:ascii="Book Antiqua" w:hAnsi="Book Antiqua"/>
          <w:sz w:val="24"/>
          <w:szCs w:val="24"/>
        </w:rPr>
        <w:t>or discontinuation of therapy</w:t>
      </w:r>
      <w:r w:rsidR="00071D6A" w:rsidRPr="00324BBD">
        <w:rPr>
          <w:rFonts w:ascii="Book Antiqua" w:hAnsi="Book Antiqua"/>
          <w:sz w:val="24"/>
          <w:szCs w:val="24"/>
        </w:rPr>
        <w:t>,</w:t>
      </w:r>
      <w:r w:rsidRPr="00324BBD">
        <w:rPr>
          <w:rFonts w:ascii="Book Antiqua" w:hAnsi="Book Antiqua"/>
          <w:sz w:val="24"/>
          <w:szCs w:val="24"/>
        </w:rPr>
        <w:t xml:space="preserve"> which</w:t>
      </w:r>
      <w:r w:rsidR="00071D6A" w:rsidRPr="00324BBD">
        <w:rPr>
          <w:rFonts w:ascii="Book Antiqua" w:hAnsi="Book Antiqua"/>
          <w:sz w:val="24"/>
          <w:szCs w:val="24"/>
        </w:rPr>
        <w:t>,</w:t>
      </w:r>
      <w:r w:rsidRPr="00324BBD">
        <w:rPr>
          <w:rFonts w:ascii="Book Antiqua" w:hAnsi="Book Antiqua"/>
          <w:sz w:val="24"/>
          <w:szCs w:val="24"/>
        </w:rPr>
        <w:t xml:space="preserve"> in turn</w:t>
      </w:r>
      <w:r w:rsidR="00071D6A" w:rsidRPr="00324BBD">
        <w:rPr>
          <w:rFonts w:ascii="Book Antiqua" w:hAnsi="Book Antiqua"/>
          <w:sz w:val="24"/>
          <w:szCs w:val="24"/>
        </w:rPr>
        <w:t>,</w:t>
      </w:r>
      <w:r w:rsidR="0069051E" w:rsidRPr="00324BBD">
        <w:rPr>
          <w:rFonts w:ascii="Book Antiqua" w:hAnsi="Book Antiqua"/>
          <w:sz w:val="24"/>
          <w:szCs w:val="24"/>
        </w:rPr>
        <w:t xml:space="preserve"> can</w:t>
      </w:r>
      <w:r w:rsidRPr="00324BBD">
        <w:rPr>
          <w:rFonts w:ascii="Book Antiqua" w:hAnsi="Book Antiqua"/>
          <w:sz w:val="24"/>
          <w:szCs w:val="24"/>
        </w:rPr>
        <w:t xml:space="preserve"> affect</w:t>
      </w:r>
      <w:r w:rsidR="0069051E" w:rsidRPr="00324BBD">
        <w:rPr>
          <w:rFonts w:ascii="Book Antiqua" w:hAnsi="Book Antiqua"/>
          <w:sz w:val="24"/>
          <w:szCs w:val="24"/>
        </w:rPr>
        <w:t xml:space="preserve"> the</w:t>
      </w:r>
      <w:r w:rsidRPr="00324BBD">
        <w:rPr>
          <w:rFonts w:ascii="Book Antiqua" w:hAnsi="Book Antiqua"/>
          <w:sz w:val="24"/>
          <w:szCs w:val="24"/>
        </w:rPr>
        <w:t xml:space="preserve"> SVR. </w:t>
      </w:r>
      <w:r w:rsidR="00071D6A" w:rsidRPr="00324BBD">
        <w:rPr>
          <w:rFonts w:ascii="Book Antiqua" w:hAnsi="Book Antiqua"/>
          <w:sz w:val="24"/>
          <w:szCs w:val="24"/>
        </w:rPr>
        <w:t xml:space="preserve">Ribavirin-induced </w:t>
      </w:r>
      <w:r w:rsidRPr="00324BBD">
        <w:rPr>
          <w:rFonts w:ascii="Book Antiqua" w:hAnsi="Book Antiqua"/>
          <w:sz w:val="24"/>
          <w:szCs w:val="24"/>
        </w:rPr>
        <w:t xml:space="preserve">hemolysis </w:t>
      </w:r>
      <w:r w:rsidR="00714BF8" w:rsidRPr="00324BBD">
        <w:rPr>
          <w:rFonts w:ascii="Book Antiqua" w:hAnsi="Book Antiqua"/>
          <w:sz w:val="24"/>
          <w:szCs w:val="24"/>
        </w:rPr>
        <w:t>is passive and non-inflammatory</w:t>
      </w:r>
      <w:r w:rsidR="00071D6A" w:rsidRPr="00324BBD">
        <w:rPr>
          <w:rFonts w:ascii="Book Antiqua" w:hAnsi="Book Antiqua"/>
          <w:sz w:val="24"/>
          <w:szCs w:val="24"/>
        </w:rPr>
        <w:t>-</w:t>
      </w:r>
      <w:r w:rsidR="00714BF8" w:rsidRPr="00324BBD">
        <w:rPr>
          <w:rFonts w:ascii="Book Antiqua" w:hAnsi="Book Antiqua"/>
          <w:sz w:val="24"/>
          <w:szCs w:val="24"/>
        </w:rPr>
        <w:t>/</w:t>
      </w:r>
      <w:r w:rsidRPr="00324BBD">
        <w:rPr>
          <w:rFonts w:ascii="Book Antiqua" w:hAnsi="Book Antiqua"/>
          <w:sz w:val="24"/>
          <w:szCs w:val="24"/>
        </w:rPr>
        <w:t>non-immune</w:t>
      </w:r>
      <w:r w:rsidR="00071D6A" w:rsidRPr="00324BBD">
        <w:rPr>
          <w:rFonts w:ascii="Book Antiqua" w:hAnsi="Book Antiqua"/>
          <w:sz w:val="24"/>
          <w:szCs w:val="24"/>
        </w:rPr>
        <w:t>-</w:t>
      </w:r>
      <w:r w:rsidRPr="00324BBD">
        <w:rPr>
          <w:rFonts w:ascii="Book Antiqua" w:hAnsi="Book Antiqua"/>
          <w:sz w:val="24"/>
          <w:szCs w:val="24"/>
        </w:rPr>
        <w:t xml:space="preserve">mediated. </w:t>
      </w:r>
      <w:r w:rsidR="00850C34" w:rsidRPr="00324BBD">
        <w:rPr>
          <w:rFonts w:ascii="Book Antiqua" w:hAnsi="Book Antiqua"/>
          <w:sz w:val="24"/>
          <w:szCs w:val="24"/>
        </w:rPr>
        <w:t>Ribavirin-induced hemolysis</w:t>
      </w:r>
      <w:r w:rsidRPr="00324BBD">
        <w:rPr>
          <w:rFonts w:ascii="Book Antiqua" w:hAnsi="Book Antiqua"/>
          <w:sz w:val="24"/>
          <w:szCs w:val="24"/>
        </w:rPr>
        <w:t xml:space="preserve"> is also dose</w:t>
      </w:r>
      <w:r w:rsidR="00850C34" w:rsidRPr="00324BBD">
        <w:rPr>
          <w:rFonts w:ascii="Book Antiqua" w:hAnsi="Book Antiqua"/>
          <w:sz w:val="24"/>
          <w:szCs w:val="24"/>
        </w:rPr>
        <w:t>-</w:t>
      </w:r>
      <w:r w:rsidRPr="00324BBD">
        <w:rPr>
          <w:rFonts w:ascii="Book Antiqua" w:hAnsi="Book Antiqua"/>
          <w:sz w:val="24"/>
          <w:szCs w:val="24"/>
        </w:rPr>
        <w:t xml:space="preserve">related </w:t>
      </w:r>
      <w:r w:rsidR="002718D7" w:rsidRPr="00324BBD">
        <w:rPr>
          <w:rFonts w:ascii="Book Antiqua" w:hAnsi="Book Antiqua"/>
          <w:sz w:val="24"/>
          <w:szCs w:val="24"/>
        </w:rPr>
        <w:t>and sustained</w:t>
      </w:r>
      <w:r w:rsidR="00850C34" w:rsidRPr="00324BBD">
        <w:rPr>
          <w:rFonts w:ascii="Book Antiqua" w:hAnsi="Book Antiqua"/>
          <w:sz w:val="24"/>
          <w:szCs w:val="24"/>
        </w:rPr>
        <w:t>,</w:t>
      </w:r>
      <w:r w:rsidR="002718D7" w:rsidRPr="00324BBD">
        <w:rPr>
          <w:rFonts w:ascii="Book Antiqua" w:hAnsi="Book Antiqua"/>
          <w:sz w:val="24"/>
          <w:szCs w:val="24"/>
        </w:rPr>
        <w:t xml:space="preserve"> </w:t>
      </w:r>
      <w:r w:rsidRPr="00324BBD">
        <w:rPr>
          <w:rFonts w:ascii="Book Antiqua" w:hAnsi="Book Antiqua"/>
          <w:sz w:val="24"/>
          <w:szCs w:val="24"/>
        </w:rPr>
        <w:t xml:space="preserve">unlike hemolysis in G-6-PD deficiency situations. </w:t>
      </w:r>
      <w:r w:rsidR="00457CBD" w:rsidRPr="00324BBD">
        <w:rPr>
          <w:rFonts w:ascii="Book Antiqua" w:hAnsi="Book Antiqua"/>
          <w:sz w:val="24"/>
          <w:szCs w:val="24"/>
        </w:rPr>
        <w:t xml:space="preserve">The </w:t>
      </w:r>
      <w:r w:rsidR="00850C34" w:rsidRPr="00324BBD">
        <w:rPr>
          <w:rFonts w:ascii="Book Antiqua" w:hAnsi="Book Antiqua"/>
          <w:sz w:val="24"/>
          <w:szCs w:val="24"/>
        </w:rPr>
        <w:t xml:space="preserve">reduction </w:t>
      </w:r>
      <w:r w:rsidR="00457CBD" w:rsidRPr="00324BBD">
        <w:rPr>
          <w:rFonts w:ascii="Book Antiqua" w:hAnsi="Book Antiqua"/>
          <w:sz w:val="24"/>
          <w:szCs w:val="24"/>
        </w:rPr>
        <w:t xml:space="preserve">in hemoglobin </w:t>
      </w:r>
      <w:r w:rsidR="00850C34" w:rsidRPr="00324BBD">
        <w:rPr>
          <w:rFonts w:ascii="Book Antiqua" w:hAnsi="Book Antiqua"/>
          <w:sz w:val="24"/>
          <w:szCs w:val="24"/>
        </w:rPr>
        <w:t xml:space="preserve">levels </w:t>
      </w:r>
      <w:r w:rsidR="00457CBD" w:rsidRPr="00324BBD">
        <w:rPr>
          <w:rFonts w:ascii="Book Antiqua" w:hAnsi="Book Antiqua"/>
          <w:sz w:val="24"/>
          <w:szCs w:val="24"/>
        </w:rPr>
        <w:t xml:space="preserve">appears to correlate </w:t>
      </w:r>
      <w:r w:rsidR="002718D7" w:rsidRPr="00324BBD">
        <w:rPr>
          <w:rFonts w:ascii="Book Antiqua" w:hAnsi="Book Antiqua"/>
          <w:sz w:val="24"/>
          <w:szCs w:val="24"/>
        </w:rPr>
        <w:t xml:space="preserve">directly </w:t>
      </w:r>
      <w:r w:rsidR="00457CBD" w:rsidRPr="00324BBD">
        <w:rPr>
          <w:rFonts w:ascii="Book Antiqua" w:hAnsi="Book Antiqua"/>
          <w:sz w:val="24"/>
          <w:szCs w:val="24"/>
        </w:rPr>
        <w:t xml:space="preserve">with the degree of hemolysis and </w:t>
      </w:r>
      <w:r w:rsidR="002718D7" w:rsidRPr="00324BBD">
        <w:rPr>
          <w:rFonts w:ascii="Book Antiqua" w:hAnsi="Book Antiqua"/>
          <w:sz w:val="24"/>
          <w:szCs w:val="24"/>
        </w:rPr>
        <w:t xml:space="preserve">inversely with </w:t>
      </w:r>
      <w:r w:rsidR="00457CBD" w:rsidRPr="00324BBD">
        <w:rPr>
          <w:rFonts w:ascii="Book Antiqua" w:hAnsi="Book Antiqua"/>
          <w:sz w:val="24"/>
          <w:szCs w:val="24"/>
        </w:rPr>
        <w:t xml:space="preserve">the erythropoetic ability of the bone marrow. </w:t>
      </w:r>
      <w:r w:rsidRPr="00324BBD">
        <w:rPr>
          <w:rFonts w:ascii="Book Antiqua" w:hAnsi="Book Antiqua"/>
          <w:sz w:val="24"/>
          <w:szCs w:val="24"/>
        </w:rPr>
        <w:t xml:space="preserve">Hemolysis and </w:t>
      </w:r>
      <w:r w:rsidR="00850C34" w:rsidRPr="00324BBD">
        <w:rPr>
          <w:rFonts w:ascii="Book Antiqua" w:hAnsi="Book Antiqua"/>
          <w:sz w:val="24"/>
          <w:szCs w:val="24"/>
        </w:rPr>
        <w:t>reduced</w:t>
      </w:r>
      <w:r w:rsidRPr="00324BBD">
        <w:rPr>
          <w:rFonts w:ascii="Book Antiqua" w:hAnsi="Book Antiqua"/>
          <w:sz w:val="24"/>
          <w:szCs w:val="24"/>
        </w:rPr>
        <w:t xml:space="preserve"> hemoglobin can lead to major side effects</w:t>
      </w:r>
      <w:r w:rsidR="00850C34" w:rsidRPr="00324BBD">
        <w:rPr>
          <w:rFonts w:ascii="Book Antiqua" w:hAnsi="Book Antiqua"/>
          <w:sz w:val="24"/>
          <w:szCs w:val="24"/>
        </w:rPr>
        <w:t>;</w:t>
      </w:r>
      <w:r w:rsidRPr="00324BBD">
        <w:rPr>
          <w:rFonts w:ascii="Book Antiqua" w:hAnsi="Book Antiqua"/>
          <w:sz w:val="24"/>
          <w:szCs w:val="24"/>
        </w:rPr>
        <w:t xml:space="preserve"> however</w:t>
      </w:r>
      <w:r w:rsidR="00DA31C2" w:rsidRPr="00324BBD">
        <w:rPr>
          <w:rFonts w:ascii="Book Antiqua" w:hAnsi="Book Antiqua"/>
          <w:sz w:val="24"/>
          <w:szCs w:val="24"/>
        </w:rPr>
        <w:t>,</w:t>
      </w:r>
      <w:r w:rsidRPr="00324BBD">
        <w:rPr>
          <w:rFonts w:ascii="Book Antiqua" w:hAnsi="Book Antiqua"/>
          <w:sz w:val="24"/>
          <w:szCs w:val="24"/>
        </w:rPr>
        <w:t xml:space="preserve"> treatment</w:t>
      </w:r>
      <w:r w:rsidR="00850C34" w:rsidRPr="00324BBD">
        <w:rPr>
          <w:rFonts w:ascii="Book Antiqua" w:hAnsi="Book Antiqua"/>
          <w:sz w:val="24"/>
          <w:szCs w:val="24"/>
        </w:rPr>
        <w:t>-</w:t>
      </w:r>
      <w:r w:rsidRPr="00324BBD">
        <w:rPr>
          <w:rFonts w:ascii="Book Antiqua" w:hAnsi="Book Antiqua"/>
          <w:sz w:val="24"/>
          <w:szCs w:val="24"/>
        </w:rPr>
        <w:t>related anemia</w:t>
      </w:r>
      <w:r w:rsidR="00850C34" w:rsidRPr="00324BBD">
        <w:rPr>
          <w:rFonts w:ascii="Book Antiqua" w:hAnsi="Book Antiqua"/>
          <w:sz w:val="24"/>
          <w:szCs w:val="24"/>
        </w:rPr>
        <w:t>,</w:t>
      </w:r>
      <w:r w:rsidRPr="00324BBD">
        <w:rPr>
          <w:rFonts w:ascii="Book Antiqua" w:hAnsi="Book Antiqua"/>
          <w:sz w:val="24"/>
          <w:szCs w:val="24"/>
        </w:rPr>
        <w:t xml:space="preserve"> </w:t>
      </w:r>
      <w:r w:rsidR="003649B1" w:rsidRPr="00324BBD">
        <w:rPr>
          <w:rFonts w:ascii="Book Antiqua" w:hAnsi="Book Antiqua"/>
          <w:sz w:val="24"/>
          <w:szCs w:val="24"/>
        </w:rPr>
        <w:t>particularly</w:t>
      </w:r>
      <w:r w:rsidRPr="00324BBD">
        <w:rPr>
          <w:rFonts w:ascii="Book Antiqua" w:hAnsi="Book Antiqua"/>
          <w:sz w:val="24"/>
          <w:szCs w:val="24"/>
        </w:rPr>
        <w:t xml:space="preserve"> </w:t>
      </w:r>
      <w:r w:rsidR="00850C34" w:rsidRPr="00324BBD">
        <w:rPr>
          <w:rFonts w:ascii="Book Antiqua" w:hAnsi="Book Antiqua"/>
          <w:sz w:val="24"/>
          <w:szCs w:val="24"/>
        </w:rPr>
        <w:t>during</w:t>
      </w:r>
      <w:r w:rsidRPr="00324BBD">
        <w:rPr>
          <w:rFonts w:ascii="Book Antiqua" w:hAnsi="Book Antiqua"/>
          <w:sz w:val="24"/>
          <w:szCs w:val="24"/>
        </w:rPr>
        <w:t xml:space="preserve"> the first 4-8 </w:t>
      </w:r>
      <w:r w:rsidR="00854723" w:rsidRPr="00324BBD">
        <w:rPr>
          <w:rFonts w:ascii="Book Antiqua" w:hAnsi="Book Antiqua"/>
          <w:sz w:val="24"/>
          <w:szCs w:val="24"/>
        </w:rPr>
        <w:t>wk</w:t>
      </w:r>
      <w:r w:rsidR="00850C34" w:rsidRPr="00324BBD">
        <w:rPr>
          <w:rFonts w:ascii="Book Antiqua" w:hAnsi="Book Antiqua"/>
          <w:sz w:val="24"/>
          <w:szCs w:val="24"/>
        </w:rPr>
        <w:t>,</w:t>
      </w:r>
      <w:r w:rsidRPr="00324BBD">
        <w:rPr>
          <w:rFonts w:ascii="Book Antiqua" w:hAnsi="Book Antiqua"/>
          <w:sz w:val="24"/>
          <w:szCs w:val="24"/>
        </w:rPr>
        <w:t xml:space="preserve"> correlates well with the efficacy (SVR rate) of the combination therapy</w:t>
      </w:r>
      <w:r w:rsidR="00EB5F99" w:rsidRPr="00324BBD">
        <w:rPr>
          <w:rFonts w:ascii="Book Antiqua" w:hAnsi="Book Antiqua"/>
          <w:sz w:val="24"/>
          <w:szCs w:val="24"/>
        </w:rPr>
        <w:fldChar w:fldCharType="begin"/>
      </w:r>
      <w:r w:rsidRPr="00324BBD">
        <w:rPr>
          <w:rFonts w:ascii="Book Antiqua" w:hAnsi="Book Antiqua"/>
          <w:sz w:val="24"/>
          <w:szCs w:val="24"/>
        </w:rPr>
        <w:instrText xml:space="preserve"> ADDIN ZOTERO_ITEM CSL_CITATION {"citationID":"3m2nokl1","properties":{"formattedCitation":"{\\rtf \\super [44]\\nosupersub{}}","plainCitation":"[44]"},"citationItems":[{"id":565,"uris":["http://zotero.org/users/1747505/items/9MRNWC3Z"],"uri":["http://zotero.org/users/1747505/items/9MRNWC3Z"],"itemData":{"id":565,"type":"article-journal","title":"Hepatitis C Virus Treatment-Related Anemia Is Associated With Higher Sustained Virologic Response Rate","container-title":"Gastroenterology","page":"1602-1611.e1","volume":"139","issue":"5","source":"www.gastrojournal.org","abstract":"Background &amp; Aims\nHepatitis C virus (HCV) treatment is frequently complicated by anemia from ribavirin (RBV)-related hemolysis and peginterferon-alfa (PEG-IFN)-related bone marrow suppression. We investigated the relationships among treatment outcomes, anemia, and their management with RBV dose reduction and/or erythropoiesis-stimulating agents (ESAs).\nMethods\nWe analyzed data from a trial conducted at 118 United States academic and community centers in treatment-naïve patients with HCV genotype 1. Patients were treated for as many as 48 weeks with 1 of 3 PEG-IFN/RBV regimens. ESAs were permitted for anemic patients (hemoglobin [Hb] &lt;10 g/dL) after RBV dose reduction. Sustained virologic responses (SVR) were assessed based on decreases in Hb, anemia, and ESA use.\nResults\nWhile patients received treatment, 3023 had their Hb levels measured at least once. An SVR was associated with the magnitude of Hb decrease: &gt;3 g/dL, 43.7%; ≤3 g/dL, 29.9% (P &lt; .001). Anemia occurred in 865 patients (28.6%); 449 of these (51.9%) used ESAs. In patients with early-onset anemia (≤ 8 weeks of treatment), ESAs were associated with higher SVR rate (45.0% vs 25.9%; P &lt; .001) and reduced discontinuation of treatment because of adverse events (12.6% vs 30.1%, P &lt; .001). ESAs did not affect SVR or discontinuation rates among patients with late-stage anemia.\nConclusions\nAmong HCV genotype 1-infected patients treated with PEG-IFN/RBV, anemia was associated with higher rates of SVR. The effect of ESAs varied by time to anemia; patients with early-onset anemia had higher rates of SVR with ESA use, whereas no effect was observed in those with late-onset anemia. Prospective trials are needed to assess the role of ESAs in HCV treatment.\n\nHepatitis C virus (HCV) chronically infects </w:instrText>
      </w:r>
      <w:r w:rsidRPr="00324BBD">
        <w:rPr>
          <w:rFonts w:ascii="Cambria Math" w:hAnsi="Cambria Math" w:cs="Cambria Math"/>
          <w:sz w:val="24"/>
          <w:szCs w:val="24"/>
        </w:rPr>
        <w:instrText>∼</w:instrText>
      </w:r>
      <w:r w:rsidRPr="00324BBD">
        <w:rPr>
          <w:rFonts w:ascii="Book Antiqua" w:hAnsi="Book Antiqua"/>
          <w:sz w:val="24"/>
          <w:szCs w:val="24"/>
        </w:rPr>
        <w:instrText xml:space="preserve">180 million people worldwide and is a frequent cause of serious liver disease.1, 2, 3 HCV treatment with peginterferon alfa-2b (PEG-IFN alfa-2b) or alfa-2a (PEG-IFN alfa-2a) plus ribavirin (RBV) is recommended for persons at the greatest risk for liver disease progression.3, 4 Although effective, these regimens cause decreased hemoglobin (Hb) concentrations and anemia as a result of suppression of hematopoiesis because of PEG-IFN and hemolysis because of RBV.5, 6, 7, 8 Anemia has been observed in up to 30% of treated patients, often leading to symptoms (eg, fatigue), RBV dose reduction, and/or treatment discontinuation.9, 10, 11 In some studies, RBV dose reduction has been linked to lower sustained virologic response (SVR) rates. Based on clinical trials demonstrating recovery of Hb levels, maintenance of RBV dosing, and improvement in symptoms, erythropoiesis-stimulating agents (ESAs) are used for the management of anemia in up to 15% of patients undergoing HCV treatment.12, 13, 14, 15, 16, 17, 18, 19, 20\nDespite the routine “off-label” use of ESAs for the management of anemia, the impact of ESAs on HCV treatment outcomes has not been defined. Furthermore, the US Food and Drug Administration has issued several Public Safety Advisories on potential adverse effects related to ESAs, including thrombovascular events, shortened time to tumor progression or recurrence, shortened survival time in patients with cancer, and pure red blood cell aplasia.21, 22, 23, 24 As such, considerable uncertainty exists regarding the role of adjuvant ESAs during HCV treatment.3, 18, 25 The primary objective of this analysis was to evaluate the relationship of treatment-associated anemia, ESA use, and treatment outcomes in HCV genotype 1-infected patients treated with PEG-IFN/RBV in the Individualized Dosing Efficacy vs Flat Dosing to Assess OptimaL Pegylated Interferon Therapy (IDEAL) study.26\nBack to Article Outline\nPatients \nPatients were enrolled from 118 academic and community centers in the United States. Eligible patients were ≥ 18 years old with compensated liver disease because of chronic HCV genotype 1 infection who had not been previously treated. Patients had an absolute neutrophil count ≥ 1500/mm3, a platelet count ≥ 80,000/mm3, and Hb ≥ 12 g/dL for females and ≥ 13 g/dL for males. Patients were excluded if they had human immunodeficiency virus or hepatitis B coinfection, any other cause of significant liver disease, poorly controlled diabetes, morbid obesity, severe depression or other psychiatric disorders, and/or active substance abuse. Patients underwent liver biopsy within 3 years prior to screening with review of biopsy slides by a pathologist at a central site.\nStudy Design \nPatients received 1 of 3 treatment regimens: arm 1, PEG-IFN alfa-2b 1.5 </w:instrText>
      </w:r>
      <w:r w:rsidRPr="00324BBD">
        <w:rPr>
          <w:rFonts w:ascii="Book Antiqua" w:hAnsi="Book Antiqua" w:cs="Times New Roman"/>
          <w:sz w:val="24"/>
          <w:szCs w:val="24"/>
        </w:rPr>
        <w:instrText>μ</w:instrText>
      </w:r>
      <w:r w:rsidRPr="00324BBD">
        <w:rPr>
          <w:rFonts w:ascii="Book Antiqua" w:hAnsi="Book Antiqua"/>
          <w:sz w:val="24"/>
          <w:szCs w:val="24"/>
        </w:rPr>
        <w:instrText xml:space="preserve">g/kg/week (wk) (standard dose) or arm 2, PEG-IFN alfa-2b 1.0 </w:instrText>
      </w:r>
      <w:r w:rsidRPr="00324BBD">
        <w:rPr>
          <w:rFonts w:ascii="Book Antiqua" w:hAnsi="Book Antiqua" w:cs="Times New Roman"/>
          <w:sz w:val="24"/>
          <w:szCs w:val="24"/>
        </w:rPr>
        <w:instrText>μ</w:instrText>
      </w:r>
      <w:r w:rsidRPr="00324BBD">
        <w:rPr>
          <w:rFonts w:ascii="Book Antiqua" w:hAnsi="Book Antiqua"/>
          <w:sz w:val="24"/>
          <w:szCs w:val="24"/>
        </w:rPr>
        <w:instrText xml:space="preserve">g/kg/wk (low dose), both in combination with oral RBV dosed by body weight (40–65 kg, 800 mg/day; &gt;65–85 kg, 1000 mg/day; &gt;85–105 kg, 1200 mg/day; &gt;105–125 kg, 1400 mg/day); or arm 3, PEG-IFN alfa-2a 180 </w:instrText>
      </w:r>
      <w:r w:rsidRPr="00324BBD">
        <w:rPr>
          <w:rFonts w:ascii="Book Antiqua" w:hAnsi="Book Antiqua" w:cs="Times New Roman"/>
          <w:sz w:val="24"/>
          <w:szCs w:val="24"/>
        </w:rPr>
        <w:instrText>μ</w:instrText>
      </w:r>
      <w:r w:rsidRPr="00324BBD">
        <w:rPr>
          <w:rFonts w:ascii="Book Antiqua" w:hAnsi="Book Antiqua"/>
          <w:sz w:val="24"/>
          <w:szCs w:val="24"/>
        </w:rPr>
        <w:instrText>g/wk plus oral RBV 1000–1200 mg/day dosed by body weight (&lt;75 kg, 1000 mg/day; ≥75 kg, 1200 mg/day). HCV RNA levels were measured (screening visits 1 and 2 [baseline]; treatment weeks 2, 4, 12, 24, and 48; and follow-up weeks 4, 12, and 24) using the COBAS TaqMan assay (Roche Diagnostics, Indianapolis, IN), with a lower limit of quantitation at 27 IU/mL. Patients with an insufficient viral response at 12 weeks (detectable HCV RNA with &lt; 2-log10 decrease in HCV RNA from baseline) or at 24 weeks (detectable HCV RNA) were considered to have treatment failure and discontinued therapy. Hb concentrations were assessed at screening visits 1 and 2 (baseline); treatment weeks 2, 4, 8, 12, 18, 24, 30, 36, 42, and 48; and follow-up weeks 4, 12, and 24.\nNon–life-threatening adverse events (AEs) were managed by dose reduction of PEG-IFN and/or RBV. For patients receiving PEG-IFN alfa-2b, RBV dose reduction occurred in 2 steps: step 1 was reduction by either 200 mg (patients receiving 800–1200 mg/day) or 400 mg (patients receiving 1400 mg/day); step 2 was reduction by another 200 mg, if required. For patients receiving PEG-IFN alfa-2a, RBV was reduced to 600 mg/day based on the prescribing information. For all patients, RBV dose reduction was required for Hb &lt; 10 g/dL; treatment was permanently discontinued for &lt; 8.5 g/dL. In patients with Hb &lt; 10 g/dL, ESAs could be used at the discretion of the investigator after RBV dose reduction. ESAs were not provided by the study sponsor, and the use of supplemental iron, folic acid, and/or other adjuvant was not mandated. The RBV dose could be increased after resolution of the anemia (Hb ≥ 10 g/dL). The clinical study was approved by the Institutional Review Board or Ethics Committee at each participating center and was conducted in accordance with the provisions of the Declaration of Helsinki and Good Clinical Practice guidelines.\nEnd Points and Statistical Analyses \nAnalyses are based on all randomized patients (all 3 treatment regimens combined) who received at least 1 dose of study medication and underwent Hb measurement at baseline and at least once during the treatment phase. Although the statistical analysis plan for the study stated that the relationship among change in Hb, the development of anemia, and the use of ESAs would be explored, the analyses were not prospectively specified. In addition, because the primary treatment regimen comparisons identified in the statistical analysis plan were not statistically significant, the results of any additional analyses could not be considered statistically significant based on the prespecified strategy for handling multiplicity. Consequently, the analyses presented are retrospective, and nominal (2-sided) P values are included to describe the results of these analyses.\nPatients were divided into 3 groups: those who never developed anemia, those who developed anemia but did not receive ESAs, and those who developed anemia and received ESAs. Because patients did or did not develop anemia after receiving their randomized treatment assignment (ie, anemia status is not a baseline characteristic) and investigators made the decision to use or not use ESAs for an individual patient, comparisons among these groups are not randomized comparisons.\n</w:instrText>
      </w:r>
      <w:r w:rsidRPr="00324BBD">
        <w:rPr>
          <w:rFonts w:ascii="Book Antiqua" w:hAnsi="Book Antiqua" w:cs="Times New Roman"/>
          <w:sz w:val="24"/>
          <w:szCs w:val="24"/>
        </w:rPr>
        <w:instrText>χ</w:instrText>
      </w:r>
      <w:r w:rsidRPr="00324BBD">
        <w:rPr>
          <w:rFonts w:ascii="Book Antiqua" w:hAnsi="Book Antiqua"/>
          <w:sz w:val="24"/>
          <w:szCs w:val="24"/>
        </w:rPr>
        <w:instrText>2 Tests (for categorical variables) or t tests (for continuous variables) were used to make pair-wise comparisons of these groups with respect to baseline characteristics, virologic outcomes (end of treatment [EOT] response rates, SVR rates, and relapse rates), discontinuations, and AE rates. Patients who did not develop anemia were also compared with patients who did develop anemia (regardless of ESA use) with respect to virologic outcomes and discontinuation rates (</w:instrText>
      </w:r>
      <w:r w:rsidRPr="00324BBD">
        <w:rPr>
          <w:rFonts w:ascii="Book Antiqua" w:hAnsi="Book Antiqua" w:cs="Times New Roman"/>
          <w:sz w:val="24"/>
          <w:szCs w:val="24"/>
        </w:rPr>
        <w:instrText>χ</w:instrText>
      </w:r>
      <w:r w:rsidRPr="00324BBD">
        <w:rPr>
          <w:rFonts w:ascii="Book Antiqua" w:hAnsi="Book Antiqua"/>
          <w:sz w:val="24"/>
          <w:szCs w:val="24"/>
        </w:rPr>
        <w:instrText xml:space="preserve">2 tests). Similar comparisons were made between patients with and without a maximum absolute Hb decline &gt; 3 g/dL and between patients with and without a maximum relative Hb decline &gt; 21% (regardless of ESA use).\nSeparate comparisons of ESA use vs no ESA use in anemic patients were made for patients who developed anemia early (by week 8) and for patients who developed anemia later (after week 8). In addition, because the comparisons of anemic patients who received or did not receive ESAs are not randomized comparisons and because there are baseline differences between the groups, logistic regression analyses were performed to compare SVR rates, controlling for potentially confounding factors. Two approaches were used: (1) control for all potentially confounding factors simultaneously to obtain an adjusted odds ratio for ESA vs no ESA use and (2) first use a stepwise procedure to select factors that are related to SVR (P ≤ .05 required for factors to enter and stay in the final model) and then include the selected factors as covariates in a logistic regression of SVR on ESA use to obtain an adjusted odds ratio (selected factors listed are as follows: age, gender, race, body mass index, baseline viral load, fibrosis, steatosis, fasting glucose, alanine aminotransferase, hemoglobin, platelet count, ribavirin [mg/kg/day] assigned, genotype [1a, 1b], and body weight).\nBack to Article Outline\nPatient Characteristics \nBetween March 2004 and June 2006, 3070 patients were randomized and treated; of these, 3023 patients had baseline and at least 1 Hb measurement during therapy. Anemia (Hb &lt; 10 g/dL) was observed in 865 (28.6%) patients, of whom, 449 (51.9%) were prescribed ESAs. Compared with patients without anemia, patients who had an Hb level &lt; 10 g/dL were more likely to be female, older, have lower body weight, lower baseline Hb level, and lower estimated creatinine clearance (Table 1). Although the median maximum Hb decline was higher and nadir Hb levels were lower in anemic patients than nonanemic patients, no difference in Hb decline was observed according to ESA use. However, ESA recipients were older, reached their nadir Hb level more rapidly, and were more likely to have a high baseline HCV RNA level (&gt;600,000 IU/mL) than patients who did not receive ESAs. Changes in Hb level, incidence of anemia, and ESA use were similar for patients treated with each of the 3 treatment regimens (data not shown).\nNOTE. Roche COBAS TaqMan assay—lower limit of quantitation, 27 IU/mL. Percentages are rounded up to the nearest whole number.\nHCV, hepatitis C virus; IQR, interquartile range (first to third quartiles); PEG-IFN, peginterferon alfa: RBV, ribavirin; SD, standard deviation.\nThe median and mean RBV exposure (mg/kg/day) during the treatment period was lower in anemic patients; ESA use was not associated with higher RBV exposure (Supplementary Figure 1). In ESA recipients, the median (interquartile range) increase in Hb level from the nadir was 2.8 g/dL (1.8–3.8 g/dL) compared with 1.4 g/dL (0.8–2.1 g/dL) in anemic patients managed with dose reduction alone. Among patients with Hb levels &lt; 10 g/dL who had a subsequent Hb level on treatment, hemoglobin levels ≥ 12 g/dL occurred in 63.7% (279/438) of patients treated with ESAs compared with 16.8% (59/352) of those anemic patients managed without ESAs. The median (interquartile range) length of ESA exposure during treatment was 120 days (43–215 days).\nHemoglobin Decline and Treatment Outcomes \nVirologic response rates (HCV RNA &lt; 27 IU/mL) at EOT and end of follow-up (SVR) were significantly higher among patients who developed anemia (EOT, 65.5% [567/865]; SVR, 48.8% [422/865]) compared with those who did not (EOT, 52.9% [1142/2158]; SVR, 36.7% [793/2158]) (P &lt; .001) (Figure 1A–C). Estimates of the differences in EOT response and SVR rates between anemic and nonanemic patients were as follows: EOT, 12.6% (95% confidence interval [CI]: 8.8%–16.4%; P &lt; .001); SVR, 12.0% (95% CI: 8.1%–15.9%; P &lt; .001). Lower nadir Hb level on treatment was associated with a higher probability of achieving SVR (Supplementary Figure 2). The treatment discontinuation rate because of virologic failure was lower among patients experiencing anemia (ESA use, 19%; no ESA use, 20%) compared with nonanemic patients (31%). Whereas the rates of EOT response and viral relapse were higher in patients treated with the PEG-IFN alfa-2a/RBV regimen, the SVR rate did not differ significantly between the 3 PEG-IFN/RBV treatment regimens according to anemia status (Figure 1A–C).\nSVR rates also varied according to the maximum Hb decline during treatment, measured as the absolute Hb decline from baseline and as the relative decrease in Hb level from baseline (1 </w:instrText>
      </w:r>
      <w:r w:rsidRPr="00324BBD">
        <w:rPr>
          <w:rFonts w:ascii="Book Antiqua" w:hAnsi="Book Antiqua" w:cs="Times New Roman"/>
          <w:sz w:val="24"/>
          <w:szCs w:val="24"/>
        </w:rPr>
        <w:instrText>−</w:instrText>
      </w:r>
      <w:r w:rsidRPr="00324BBD">
        <w:rPr>
          <w:rFonts w:ascii="Book Antiqua" w:hAnsi="Book Antiqua"/>
          <w:sz w:val="24"/>
          <w:szCs w:val="24"/>
        </w:rPr>
        <w:instrText xml:space="preserve"> nadir Hb level/baseline Hb level × 100) (Table 2; Supplementary Figure 3). SVR rates were significantly higher for patients with an absolute Hb decline &gt; 3 g/dL (43.7%, 984/2250) compared with those with maximum declines ≤ 3 g/dL (29.9%, 231/773) (Supplementary Figure 4). Estimates of the difference in SVR rates between patients with or without an absolute Hb decline &gt; 3 g/dL were as follows: 13.9% (95% CI: 10.1%–17.7%; P &lt; .001). Similarly, a small relative decline in Hb ≤ 21% was associated with a significantly lower SVR rate; estimate of the difference in SVR rate between patients with or without a relative Hb decline &gt; 21% was as follows: 15.3% (95% CI: 11.6%–19.2%; P &lt; .001).\nAs shown in Table 3, the different strategies of 1-step (PEG-IFN alfa-2a) and 2-step dose reduction (PEG-IFN alfa-2b) had similar safety and virologic outcomes. Treatment discontinuation because of AE, incidence of SAE, and ESA use was similar for both strategies. Furthermore, there was no significant difference in the SVR rate for patients with RBV dose reduction according to strategy: PEG-IFN alfa-2a, 47.3% (all 1-step to 600 mg/day), and PEG-IFN 1.5 </w:instrText>
      </w:r>
      <w:r w:rsidRPr="00324BBD">
        <w:rPr>
          <w:rFonts w:ascii="Book Antiqua" w:hAnsi="Book Antiqua" w:cs="Times New Roman"/>
          <w:sz w:val="24"/>
          <w:szCs w:val="24"/>
        </w:rPr>
        <w:instrText>μ</w:instrText>
      </w:r>
      <w:r w:rsidRPr="00324BBD">
        <w:rPr>
          <w:rFonts w:ascii="Book Antiqua" w:hAnsi="Book Antiqua"/>
          <w:sz w:val="24"/>
          <w:szCs w:val="24"/>
        </w:rPr>
        <w:instrText xml:space="preserve">g/kg/wk, 49.6%, combined 1- and 2-step (1-step only, 47.7%; 1- and 2-step, 52.0%). For persons treated with PEG-IFN alfa-2b (1.5 </w:instrText>
      </w:r>
      <w:r w:rsidRPr="00324BBD">
        <w:rPr>
          <w:rFonts w:ascii="Book Antiqua" w:hAnsi="Book Antiqua" w:cs="Times New Roman"/>
          <w:sz w:val="24"/>
          <w:szCs w:val="24"/>
        </w:rPr>
        <w:instrText>μ</w:instrText>
      </w:r>
      <w:r w:rsidRPr="00324BBD">
        <w:rPr>
          <w:rFonts w:ascii="Book Antiqua" w:hAnsi="Book Antiqua"/>
          <w:sz w:val="24"/>
          <w:szCs w:val="24"/>
        </w:rPr>
        <w:instrText xml:space="preserve">g/kg/week) who underwent a 1-step (200 mg or 400 mg/day) RBV dose reduction, the relapse rate was 25.8% compared with 24.3% for those who did not have RBV dose reduction, representing an increase of 1.5%. For persons treated with PEG-IFN alfa-2a who underwent a larger 1-step (400 mg or 600 mg/day) RBV dose reduction, the relapse rate was 30.7% compared with 31.9% for those who did not have RBV dose reduction, representing a decrease of 1.2%. Thus, compared with the 2-step strategy for PEG-IFN alfa-2b, the 1-step strategy for PEG-IFN alfa-2a was not associated with lower SVR rate, higher relapse rate, or improved safety outcomes.\nNOTE. N = 3023 patients.\nSVR, sustained virologic response; ESA, erythropoiesis-stimulating agents; SAE, serious adverse event; AE, adverse event; PEG-IFN, peginterferon alfa; RBV, ribavirin.\nESA Use and Treatment Outcomes \nAnemic patients treated with ESAs had higher EOT response rates than patients who did not receive ESAs (ESA, 69.9%; no ESA, 60.8%), but only a small difference was observed in SVR rates (ESA, 49.7%; no ESA, 47.8%). The overall estimates of the differences in EOT response and SVR rates between anemic patients with or without ESA use were as follows: EOT, 9.1% (95% CI: 2.8%–15.4%; P &lt; .005), and SVR, 1.8% (95% CI: </w:instrText>
      </w:r>
      <w:r w:rsidRPr="00324BBD">
        <w:rPr>
          <w:rFonts w:ascii="Book Antiqua" w:hAnsi="Book Antiqua" w:cs="Times New Roman"/>
          <w:sz w:val="24"/>
          <w:szCs w:val="24"/>
        </w:rPr>
        <w:instrText>−</w:instrText>
      </w:r>
      <w:r w:rsidRPr="00324BBD">
        <w:rPr>
          <w:rFonts w:ascii="Book Antiqua" w:hAnsi="Book Antiqua"/>
          <w:sz w:val="24"/>
          <w:szCs w:val="24"/>
        </w:rPr>
        <w:instrText xml:space="preserve">4.8% to 8.5%; P = .59). The relationship of ESA use and SVR varied according to the time of onset to the anemia (Table 4A; Supplementary Table 1; Supplementary Figure 5). For patients with early-onset anemia (≤8 weeks of treatment), ESA use was associated with a higher SVR rate (estimate of the difference in SVR rates between patients with early anemia with or without ESAs was 19.1% [95% CI: 9.5%–28.6%; P &lt; .001]). In patients with early-onset anemia, ESA use was associated with significantly less treatment discontinuation because of AEs, greater treatment duration, and proportion of intended medication doses delivered. For patients with late-onset anemia (&gt;8 weeks of treatment), no difference was detected between ESA users and nonusers for on-treatment RBV exposure, treatment discontinuation because of AEs, treatment duration, or SVR rate (Table 4A). In multivariate logistic regression analysis, ESA use was significantly associated with SVR in patients with early-onset (but not late-onset) anemia after adjusting for potential confounders (Table 4B).\nESA, erythropoiesis-stimulating agent; cEVR, complete early virologic response; EOT, end-of-treatment; SVR, sustained virologic response; SD, standard deviation; IQR, interquartile range.\nAnemia, ESAs, and Safety \nThe proportions of patients who met the discontinuation criteria (Hb &lt; 8.5 g/dL) were low in all treatment arms: 2% to 4%. Among anemic patients, ESA use was associated with lower rates of discontinuation prior to treatment week 12 (ESA, 1%; no ESA, 8%) (Figure 2). SAEs occurred more frequently in anemic patients (12%–14%) compared with those who were not anemic (9%) (Table 5). The incidence of AEs related to the cardiovascular system and malignancy was low among all patients including those who received ESAs. Pure red blood cell aplasia was not observed. Thromboembolic events (n = 9) including pulmonary embolus and deep venous thrombosis were observed in 8 patients; of these, 4 patients were receiving ESAs or within 2 weeks of its discontinuation. One or more risk factors for thromboemboli (overweight/obesity, 4 patients; tobacco use, 2; estrogen therapy, 2; prolonged immobility, 1) were noted in each of the ESA users. Among these patients, the maximum Hb level prior to the event ranged from 11.5 to 14.7 g/dL with an increase in Hb level after starting ESA of 1.8 to 4.8 g/dL. No deaths occurred in patients with thromboemboli; 5 achieved SVR. Among anemic patients, no deaths occurred in patients who used ESAs, whereas 4 deaths occurred in those who did not use ESAs including 1 patient with a &gt; 5-g/dL Hb decline who suffered a fatal myocardial infarction at treatment week 8.\nBack to Article Outline\nPEG-IFN plus RBV is the standard treatment for chronic HCV and will likely continue to be used in combination with direct-acting antiviral agents.3, 27, 28, 29 Anemia is a frequent complication of PEG-IFN/RBV therapy for which RBV dose reduction is the primary management strategy. However, because lower SVR rates have been reported in patients who undergo RBV dose reduction, many clinicians and patients prefer to avoid this strategy and instead use ESAs to improve anemia-related symptoms while maintaining RBV dose.11, 30, 31 Despite this routine practice, the safety and effectiveness of ESAs in this setting have not been established. As such, these findings from this large clinical trial have notable implications for the management of HCV treatment-related anemia.\nAnemia developed in </w:instrText>
      </w:r>
      <w:r w:rsidRPr="00324BBD">
        <w:rPr>
          <w:rFonts w:ascii="Cambria Math" w:hAnsi="Cambria Math" w:cs="Cambria Math"/>
          <w:sz w:val="24"/>
          <w:szCs w:val="24"/>
        </w:rPr>
        <w:instrText>∼</w:instrText>
      </w:r>
      <w:r w:rsidRPr="00324BBD">
        <w:rPr>
          <w:rFonts w:ascii="Book Antiqua" w:hAnsi="Book Antiqua"/>
          <w:sz w:val="24"/>
          <w:szCs w:val="24"/>
        </w:rPr>
        <w:instrText xml:space="preserve">28% of patients, of whom, the majority underwent protocol-defined RBV dose reduction. Because of dose reduction, on-treatment RBV exposure was lower in anemic patients compared with nonanemic patients. Unexpectedly, the SVR rate was significantly higher in anemic patients independent of ESA use compared with nonanemic patients (difference, +12% for anemic patients). Importantly, 1-step RBV dose reduction by 400 or 600 mg/day used with PEG-IFN alfa-2a was not associated with lower SVR rate, higher relapse rate, or improved safety outcomes compared with the more gradual 2-step RBV dose reduction strategy used with PEG-IFN alfa-2b. Furthermore, patients who experienced only modest declines in Hb (≤3 g/dL or ≤21% of baseline Hb level) had significantly lower SVR rates compared with those with larger declines in Hb concentration. Together, these data do not support the hypothesis that RBV dose reduction as a consequence of anemia leads to decreased SVR rates; instead, the data suggest an alternative hypothesis: The magnitude of Hb loss is a pharmacodynamic marker of RBV exposure, correlating more closely with antiviral effect than the ingested RBV dose. Although this relationship could be the result of an impaired physiologic response to RBV in nonanemic patients, the drug exposure hypothesis is strengthened by other research demonstrating that higher plasma RBV concentrations (as early as day 1 and week 4) are associated with higher Hb decline and virologic response in IFN/RBV-treated patients.32, 33, 34, 35 Prospective research is needed to test the hypothesis that increasing the RBV dose in persons with an insufficient on-treatment Hb decline will increase SVR rates in HCV genotype 1-infected patients.\nIn this study, the relationship of anemia and SVR is confounded by ESA use; </w:instrText>
      </w:r>
      <w:r w:rsidRPr="00324BBD">
        <w:rPr>
          <w:rFonts w:ascii="Cambria Math" w:hAnsi="Cambria Math" w:cs="Cambria Math"/>
          <w:sz w:val="24"/>
          <w:szCs w:val="24"/>
        </w:rPr>
        <w:instrText>∼</w:instrText>
      </w:r>
      <w:r w:rsidRPr="00324BBD">
        <w:rPr>
          <w:rFonts w:ascii="Book Antiqua" w:hAnsi="Book Antiqua"/>
          <w:sz w:val="24"/>
          <w:szCs w:val="24"/>
        </w:rPr>
        <w:instrText xml:space="preserve">50% of anemic patients were prescribed ESAs. Previous studies reported that ESAs increased Hb levels and maintained RBV dose; surprisingly, in this study, ESAs led to correction of anemia, but on-treatment RBV exposure was not significantly increased with adjuvant ESAs compared with that of anemic patients not treated with ESAs. This discordant observation is likely explained by differences in the definition of RBV dose maintenance applied in this study compared with earlier studies. In the study by Afdhal et al, 88% of HCV-treated patients randomized to receive epoetin alfa maintained their RBV dose compared with 60% of those receiving sham injections.12 Failure to maintain RBV dose included on-treatment dose reduction and HCV treatment discontinuation before study week 4 or because of anemia; in this study, on-treatment RBV exposure and HCV treatment discontinuation were considered as unique outcomes.\nWhereas on-treatment RBV exposure was similar, ESA use was associated with significantly lower treatment discontinuation rates in patients with early-onset anemia. In these patients, ESA use was associated with significantly higher SVR rates, largely through its effect on preventing treatment discontinuation. In contrast, ESA use in patients with late-onset anemia (&gt;8 weeks) was not associated with lower discontinuation or higher SVR rates. Because early treatment discontinuation precludes SVR for most genotype 1-infected patients, the differential effect of ESA use on SVR according to time to anemia is not unexpected. These data support the conceptual framework that HCV genotype 1-infected patients who have greater treatment effect (anemia) are more likely to achieve SVR than those with less RBV effect if anemia-related symptoms do not lead to treatment discontinuation. Within the context of this model, ESAs may prevent treatment discontinuation in patients who rapidly develop anemia; more importantly, these data suggest that patients with late-onset anemia are not likely to benefit from adjuvant ESAs, representing 56% of all anemic patients and 47% of those prescribed ESAs. Furthermore, on-treatment RBV dose reduction was not associated with lower SVR rates. Taken together, these data support the use of RBV dose reduction as the primary strategy for the management of anemia related to PEG-IFN/RBV therapy; importantly, ESAs should not be used solely to avoid RBV dose reduction in anemic patients.\nIn other patient populations, ESAs have been linked to increased risk of serious cardiovascular events, tumor progression, thrombosis, and death. Additionally, pure red blood cell aplasia because of neutralizing antibodies to native erythropoietin has been reported during HCV treatment.21, 22, 23, 24 Many of those populations are at high risk for many of these events because of their underlying disease (eg, cancer, renal failure secondary to diabetes mellitus). In previous published studies, Shiffman et al and Costiniuk et al did not observe an increase in these events in patients treated with ESAs during HCV therapy.16, 36 Among patients exposed to ESAs (median duration, 120 days), this study did not detect a signal for ESA toxicity related to malignancy or cardiovascular events; however, 4 patients experienced thromboemboli during ESA use, of whom, each had one or more additional thrombosis risk factors. No deaths were observed in patients receiving ESAs; 4 deaths including 1 fatal myocardial infarction occurred in anemic patients who did not receive an ESA. The relatively small number of HCV-infected patients exposed to ESAs and nonrandomized nature of ESA use in this study does not permit a confident estimation of risk of these relatively uncommon adverse events; nonetheless, these data suggest that clinicians should attend to traditional thrombosis risk factors in patients prescribed ESAs. Prospective research is needed to define the safety and impact of ESAs on virologic treatment outcomes in patients treated with PEG-IFN/RBV. Furthermore, active and passive pharmacovigilance strategies should be employed to detect AEs, which may occur in HCV-infected patients who receive ESAs as part of routine medical care.\nIn conclusion, among HCV genotype 1-infected patients treated with PEG-IFN/RBV, the magnitude of Hb decline is associated with the likelihood of SVR, and anemic patients were more likely to achieve SVR than those without anemia despite decreased RBV dosing following Hb decline. Furthermore, the virologic relapse rate was not increased in patients with RBV dose reduction, including those who followed the strategy of a single reduction to RBV dose of 600 mg per day. Accordingly, these data firmly underscore the recommendation for RBV dose reduction as the primary strategy for management of treatment-related anemia. Furthermore, ESA use was not associated with increased RBV exposure but did minimize treatment discontinuation in patients with early-onset anemia, leading to a higher SVR rate in this subset of patients. No benefit was observed with ESAs in those who first developed anemia after 8 weeks of HCV therapy. The safety of ESA use in this clinical setting remains incompletely defined, thus its use may be best limited to patients likely to benefit, namely those with early-onset anemia. Prospective, randomized controlled trials are needed to define the optimal role of adjuvant ESAs during HCV treatment regimens that include PEG-IFN/RBV.\nBack to Article Outline\nThe authors thank the study coordinators, nurses, and patients involved in the study and Michael Geffner, Richard Valanzola, Andrew Baczkowski, Navdeep Boparai, Karen Kelly, Misti Linaberry, Helen Nguyen, Peter Savino, Jianmin Long, and Rachael Steiner of Schering-Plough Research Institute for their contributions to the conduct of the study.\nThe study sponsor played a major role in the study design, data collection, and analysis in conjunction with the academic principal investigators: Drs Sulkowski and McHutchison. The corresponding author had full access to all of the data and takes full responsibility for the veracity of the data and analysis.\n\nBack to Article Outline\n\n\nBack to Article Outline\nIn addition to the authors, the participants and members of this study group include the following: Abdullah Al-Osaimi, Bruce Bacon, Luis Balart, Michael Bennett, David Bernstein, Edmund Bini, Martin Black, Joseph Bloomer, Hector Bonilla, Terry Box, Thomas Boyer, Norbert Brau, Kimberly Brown, Robert Brown, Christine Bruno, William Cassidy, Raymond Chung, David Clain, Jeffrey Crippin, Douglas Dalke, Charles Davis, Gary Davis, Mitchell Davis, Franco Felizarta, Roberto Firpi-Morell, Steven Flamm, Jose Franco, Bradley Freilich, Joseph Galati, Greg Wayne Galler, Reem Ghalib, Alexandra Gibas, Eliot Godofsky, Fredric Gordon, John Gross, Jorge Herrera, Robert Herring, Ke-Qin Hu, Jonathan Israel, Ira Jacobson, Shobha Joshi, Mandana Khalili, Alan Kilby, John King, Paul King, Alvaro Koch, Edward Krawitt, Marcelo Kugelmas, Paul Kwo, Louis Lambiase, Eric Lawitz, Edward Lebovics, James Levin, Robert Levine, Steven Lidofsky, Michael Lucey, Mark Mailliard, Luis Marsano, Paul Martin, Thomas McGarrity, Dennis Mikolich, Timothy Morgan, Andrew Muir, Kevin Mullen, Santiago Munoz, Donald Nelson, Frederick Nunes, Anders Nyberg, Lisa Nyberg, Sangik Oh, Prashant Pandya, Mary Pat Pauly, Craig Peine, Robert Perrillo, Gary Poleynard, Anthony Post, John Poulos, David Pound, Mordechai Rabinovitz, Natarajan Ravendhran, Joanna Ready, Robert Reindollar, Adrian Reuben, Lorenzo Rossaro, Lawrence Rothman, Raymond Rubin, Vinod Rustgi, Michael Ryan, Eugene Schiff, Warren Schmidt, William Semon, Thomas Sepe, Kenneth Sherman, Maria Sjogren, Robert Sjogren, Coleman Smith, Lawrence Stein, Robert Strauss, Mark Swaim, Gyongnyi Szabo, Joseph Thurn, Myron Tong, John Vierling, George Wu, Rockford Yapp, Ziad Younes, Atif Zaman.\n\n\nBack to Article Outline","DOI":"10.1053/j.gastro.2010.07.059","ISSN":"0016-5085","author":[{"family":"Sulkowski","given":"Mark S."},{"family":"Shiffman","given":"Mitchell L."},{"family":"Afdhal","given":"Nezam H."},{"family":"Reddy","given":"K. Rajender"},{"family":"McCone","given":"Jonathan"},{"family":"Lee","given":"William M."},{"family":"Herrine","given":"Steven K."},{"family":"Harrison","given":"Stephen A."},{"family":"Poordad","given":"F. Fred"},{"family":"Koury","given":"Kenneth"},{"family":"Deng","given":"Weiping"},{"family":"Noviello","given":"Stephanie"},{"family":"Pedicone","given":"Lisa D."},{"family":"Brass","given":"Clifford A."},{"family":"Albrecht","given":"Janice K."},{"family":"McHutchison","given":"John G."},{"family":"IDEAL Study Team","given":""}],"issued":{"date-parts":[["2010",11]]},"accessed":{"date-parts":[["2014",4,25]]}}}],"schema":"https://github.com/citation-style-language/schema/raw/master/csl-citation.json"} </w:instrText>
      </w:r>
      <w:r w:rsidR="00EB5F99" w:rsidRPr="00324BBD">
        <w:rPr>
          <w:rFonts w:ascii="Book Antiqua" w:hAnsi="Book Antiqua"/>
          <w:sz w:val="24"/>
          <w:szCs w:val="24"/>
        </w:rPr>
        <w:fldChar w:fldCharType="separate"/>
      </w:r>
      <w:r w:rsidR="00B55E8E" w:rsidRPr="00324BBD">
        <w:rPr>
          <w:rFonts w:ascii="Book Antiqua" w:hAnsi="Book Antiqua" w:cs="Times New Roman"/>
          <w:sz w:val="24"/>
          <w:szCs w:val="24"/>
          <w:vertAlign w:val="superscript"/>
        </w:rPr>
        <w:t>[19</w:t>
      </w:r>
      <w:r w:rsidRPr="00324BBD">
        <w:rPr>
          <w:rFonts w:ascii="Book Antiqua" w:hAnsi="Book Antiqua" w:cs="Times New Roman"/>
          <w:sz w:val="24"/>
          <w:szCs w:val="24"/>
          <w:vertAlign w:val="superscript"/>
        </w:rPr>
        <w:t>]</w:t>
      </w:r>
      <w:r w:rsidR="00EB5F99" w:rsidRPr="00324BBD">
        <w:rPr>
          <w:rFonts w:ascii="Book Antiqua" w:hAnsi="Book Antiqua"/>
          <w:sz w:val="24"/>
          <w:szCs w:val="24"/>
        </w:rPr>
        <w:fldChar w:fldCharType="end"/>
      </w:r>
      <w:r w:rsidRPr="00324BBD">
        <w:rPr>
          <w:rFonts w:ascii="Book Antiqua" w:hAnsi="Book Antiqua"/>
          <w:sz w:val="24"/>
          <w:szCs w:val="24"/>
        </w:rPr>
        <w:t>.</w:t>
      </w:r>
    </w:p>
    <w:p w:rsidR="000C4D4E" w:rsidRPr="00324BBD" w:rsidRDefault="000C4D4E" w:rsidP="008759E1">
      <w:pPr>
        <w:snapToGrid w:val="0"/>
        <w:spacing w:line="360" w:lineRule="auto"/>
        <w:jc w:val="both"/>
        <w:rPr>
          <w:rFonts w:ascii="Book Antiqua" w:hAnsi="Book Antiqua"/>
          <w:b/>
          <w:sz w:val="24"/>
          <w:szCs w:val="24"/>
          <w:lang w:eastAsia="zh-CN"/>
        </w:rPr>
      </w:pPr>
    </w:p>
    <w:p w:rsidR="00AC717C" w:rsidRPr="00324BBD" w:rsidRDefault="00AC717C" w:rsidP="008759E1">
      <w:pPr>
        <w:snapToGrid w:val="0"/>
        <w:spacing w:line="360" w:lineRule="auto"/>
        <w:jc w:val="both"/>
        <w:rPr>
          <w:rFonts w:ascii="Book Antiqua" w:hAnsi="Book Antiqua"/>
          <w:b/>
          <w:sz w:val="24"/>
          <w:szCs w:val="24"/>
        </w:rPr>
      </w:pPr>
      <w:r w:rsidRPr="00324BBD">
        <w:rPr>
          <w:rFonts w:ascii="Book Antiqua" w:hAnsi="Book Antiqua"/>
          <w:b/>
          <w:sz w:val="24"/>
          <w:szCs w:val="24"/>
        </w:rPr>
        <w:t>HEME OXYGENASE</w:t>
      </w:r>
      <w:r w:rsidR="00FE08FA" w:rsidRPr="00324BBD">
        <w:rPr>
          <w:rFonts w:ascii="Book Antiqua" w:hAnsi="Book Antiqua"/>
          <w:b/>
          <w:sz w:val="24"/>
          <w:szCs w:val="24"/>
        </w:rPr>
        <w:t>-1</w:t>
      </w:r>
      <w:r w:rsidRPr="00324BBD">
        <w:rPr>
          <w:rFonts w:ascii="Book Antiqua" w:hAnsi="Book Antiqua"/>
          <w:b/>
          <w:sz w:val="24"/>
          <w:szCs w:val="24"/>
        </w:rPr>
        <w:t xml:space="preserve">: </w:t>
      </w:r>
      <w:r w:rsidR="00FE08FA" w:rsidRPr="00324BBD">
        <w:rPr>
          <w:rFonts w:ascii="Book Antiqua" w:hAnsi="Book Antiqua"/>
          <w:b/>
          <w:sz w:val="24"/>
          <w:szCs w:val="24"/>
        </w:rPr>
        <w:t xml:space="preserve">A MIRACULOUS </w:t>
      </w:r>
      <w:r w:rsidRPr="00324BBD">
        <w:rPr>
          <w:rFonts w:ascii="Book Antiqua" w:hAnsi="Book Antiqua"/>
          <w:b/>
          <w:sz w:val="24"/>
          <w:szCs w:val="24"/>
        </w:rPr>
        <w:t>ANTI-INFLAMMATORY</w:t>
      </w:r>
      <w:r w:rsidR="00714BF8" w:rsidRPr="00324BBD">
        <w:rPr>
          <w:rFonts w:ascii="Book Antiqua" w:hAnsi="Book Antiqua"/>
          <w:b/>
          <w:sz w:val="24"/>
          <w:szCs w:val="24"/>
        </w:rPr>
        <w:t xml:space="preserve"> ENZYME</w:t>
      </w:r>
      <w:r w:rsidRPr="00324BBD">
        <w:rPr>
          <w:rFonts w:ascii="Book Antiqua" w:hAnsi="Book Antiqua"/>
          <w:b/>
          <w:sz w:val="24"/>
          <w:szCs w:val="24"/>
        </w:rPr>
        <w:t xml:space="preserve"> </w:t>
      </w:r>
    </w:p>
    <w:p w:rsidR="00AC717C" w:rsidRPr="00324BBD" w:rsidRDefault="0062304E" w:rsidP="008759E1">
      <w:pPr>
        <w:snapToGrid w:val="0"/>
        <w:spacing w:line="360" w:lineRule="auto"/>
        <w:jc w:val="both"/>
        <w:rPr>
          <w:rFonts w:ascii="Book Antiqua" w:hAnsi="Book Antiqua"/>
          <w:sz w:val="24"/>
          <w:szCs w:val="24"/>
        </w:rPr>
      </w:pPr>
      <w:r w:rsidRPr="00324BBD">
        <w:rPr>
          <w:rFonts w:ascii="Book Antiqua" w:hAnsi="Book Antiqua"/>
          <w:sz w:val="24"/>
          <w:szCs w:val="24"/>
        </w:rPr>
        <w:t>HMOX1 is one of the most potent intracellular anti-inflammatory mediators in humans.</w:t>
      </w:r>
      <w:r w:rsidR="000C4D4E" w:rsidRPr="00324BBD">
        <w:rPr>
          <w:rFonts w:ascii="Book Antiqua" w:hAnsi="Book Antiqua"/>
          <w:sz w:val="24"/>
          <w:szCs w:val="24"/>
        </w:rPr>
        <w:t xml:space="preserve"> </w:t>
      </w:r>
      <w:r w:rsidR="00850C34" w:rsidRPr="00324BBD">
        <w:rPr>
          <w:rFonts w:ascii="Book Antiqua" w:hAnsi="Book Antiqua"/>
          <w:sz w:val="24"/>
          <w:szCs w:val="24"/>
        </w:rPr>
        <w:t xml:space="preserve">HMOX1 </w:t>
      </w:r>
      <w:r w:rsidR="00AC717C" w:rsidRPr="00324BBD">
        <w:rPr>
          <w:rFonts w:ascii="Book Antiqua" w:hAnsi="Book Antiqua"/>
          <w:sz w:val="24"/>
          <w:szCs w:val="24"/>
        </w:rPr>
        <w:t xml:space="preserve">was first characterized by Tenhunen </w:t>
      </w:r>
      <w:r w:rsidR="00B27255" w:rsidRPr="00324BBD">
        <w:rPr>
          <w:rFonts w:ascii="Book Antiqua" w:hAnsi="Book Antiqua"/>
          <w:i/>
          <w:sz w:val="24"/>
          <w:szCs w:val="24"/>
          <w:lang w:eastAsia="zh-CN"/>
        </w:rPr>
        <w:t>et al</w:t>
      </w:r>
      <w:r w:rsidR="00EB5F99" w:rsidRPr="00324BBD">
        <w:rPr>
          <w:rFonts w:ascii="Book Antiqua" w:hAnsi="Book Antiqua"/>
          <w:sz w:val="24"/>
          <w:szCs w:val="24"/>
        </w:rPr>
        <w:fldChar w:fldCharType="begin"/>
      </w:r>
      <w:r w:rsidR="00B27255" w:rsidRPr="00324BBD">
        <w:rPr>
          <w:rFonts w:ascii="Book Antiqua" w:hAnsi="Book Antiqua"/>
          <w:sz w:val="24"/>
          <w:szCs w:val="24"/>
        </w:rPr>
        <w:instrText xml:space="preserve"> ADDIN ZOTERO_ITEM CSL_CITATION {"citationID":"1s68c59pt2","properties":{"formattedCitation":"{\\rtf \\super [45\\uc0\\u8211{}47]\\nosupersub{}}","plainCitation":"[45–47]"},"citationItems":[{"id":361,"uris":["http://zotero.org/users/1747505/items/3UANAJKZ"],"uri":["http://zotero.org/users/1747505/items/3UANAJKZ"],"itemData":{"id":361,"type":"article-journal","title":"The enzymatic conversion of heme to bilirubin by microsomal heme oxygenase.","container-title":"Proceedings of the National Academy of Sciences of the United States of America","page":"748-755","volume":"61","issue":"2","source":"PubMed Central","ISSN":"0027-8424","note":"PMID: 4386763\nPMCID: PMC225223","journalAbbreviation":"Proc Natl Acad Sci U S A","author":[{"family":"Tenhunen","given":"R"},{"family":"Marver","given":"H S"},{"family":"Schmid","given":"R"}],"issued":{"date-parts":[["1968",10]]},"accessed":{"date-parts":[["2014",1,26]],"season":"06:30:48"},"PMID":"4386763","PMCID":"PMC225223"},"label":"page"},{"id":358,"uris":["http://zotero.org/users/1747505/items/JXDV37V7"],"uri":["http://zotero.org/users/1747505/items/JXDV37V7"],"itemData":{"id":358,"type":"article-journal","title":"The enzymatic catabolism of hemoglobin: stimulation of microsomal heme oxygenase by hemin","container-title":"The Journal of laboratory and clinical medicine","page":"410-421","volume":"75","issue":"3","source":"NCBI PubMed","ISSN":"0022-2143","note":"PMID: 4392030","shortTitle":"The enzymatic catabolism of hemoglobin","journalAbbreviation":"J. Lab. Clin. Med.","language":"eng","author":[{"family":"Tenhunen","given":"R"},{"family":"Marver","given":"H S"},{"family":"Schmid","given":"R"}],"issued":{"date-parts":[["1970",3]]},"PMID":"4392030"},"label":"page"},{"id":355,"uris":["http://zotero.org/users/1747505/items/FZIWIG33"],"uri":["http://zotero.org/users/1747505/items/FZIWIG33"],"itemData":{"id":355,"type":"article-journal","title":"Microsomal heme oxygenase. Characterization of the enzyme","container-title":"The Journal of biological chemistry","page":"6388-6394","volume":"244","issue":"23","source":"NCBI PubMed","ISSN":"0021-9258","note":"PMID: 4390967","journalAbbreviation":"J. Biol. Chem.","language":"eng","author":[{"family":"Tenhunen","given":"R"},{"family":"Marver","given":"H S"},{"family":"Schmid","given":"R"}],"issued":{"date-parts":[["1969",12,10]]},"PMID":"4390967"},"label":"page"}],"schema":"https://github.com/citation-style-language/schema/raw/master/csl-citation.json"} </w:instrText>
      </w:r>
      <w:r w:rsidR="00EB5F99" w:rsidRPr="00324BBD">
        <w:rPr>
          <w:rFonts w:ascii="Book Antiqua" w:hAnsi="Book Antiqua"/>
          <w:sz w:val="24"/>
          <w:szCs w:val="24"/>
        </w:rPr>
        <w:fldChar w:fldCharType="separate"/>
      </w:r>
      <w:r w:rsidR="00B27255" w:rsidRPr="00324BBD">
        <w:rPr>
          <w:rFonts w:ascii="Book Antiqua" w:hAnsi="Book Antiqua" w:cs="Times New Roman"/>
          <w:sz w:val="24"/>
          <w:szCs w:val="24"/>
          <w:vertAlign w:val="superscript"/>
        </w:rPr>
        <w:t>[20]</w:t>
      </w:r>
      <w:r w:rsidR="00EB5F99" w:rsidRPr="00324BBD">
        <w:rPr>
          <w:rFonts w:ascii="Book Antiqua" w:hAnsi="Book Antiqua"/>
          <w:sz w:val="24"/>
          <w:szCs w:val="24"/>
        </w:rPr>
        <w:fldChar w:fldCharType="end"/>
      </w:r>
      <w:r w:rsidR="00B27255" w:rsidRPr="00324BBD">
        <w:rPr>
          <w:rFonts w:ascii="Book Antiqua" w:hAnsi="Book Antiqua"/>
          <w:sz w:val="24"/>
          <w:szCs w:val="24"/>
          <w:lang w:eastAsia="zh-CN"/>
        </w:rPr>
        <w:t xml:space="preserve"> </w:t>
      </w:r>
      <w:r w:rsidR="00AC717C" w:rsidRPr="00324BBD">
        <w:rPr>
          <w:rFonts w:ascii="Book Antiqua" w:hAnsi="Book Antiqua"/>
          <w:sz w:val="24"/>
          <w:szCs w:val="24"/>
        </w:rPr>
        <w:t xml:space="preserve">in 1968 as an enzyme responsible for </w:t>
      </w:r>
      <w:r w:rsidR="00850C34" w:rsidRPr="00324BBD">
        <w:rPr>
          <w:rFonts w:ascii="Book Antiqua" w:hAnsi="Book Antiqua"/>
          <w:sz w:val="24"/>
          <w:szCs w:val="24"/>
        </w:rPr>
        <w:t xml:space="preserve">the </w:t>
      </w:r>
      <w:r w:rsidR="00AC717C" w:rsidRPr="00324BBD">
        <w:rPr>
          <w:rFonts w:ascii="Book Antiqua" w:hAnsi="Book Antiqua"/>
          <w:sz w:val="24"/>
          <w:szCs w:val="24"/>
        </w:rPr>
        <w:t xml:space="preserve">breakdown </w:t>
      </w:r>
      <w:r w:rsidR="00457CBD" w:rsidRPr="00324BBD">
        <w:rPr>
          <w:rFonts w:ascii="Book Antiqua" w:hAnsi="Book Antiqua"/>
          <w:sz w:val="24"/>
          <w:szCs w:val="24"/>
        </w:rPr>
        <w:t xml:space="preserve">and detoxification </w:t>
      </w:r>
      <w:r w:rsidR="00AC717C" w:rsidRPr="00324BBD">
        <w:rPr>
          <w:rFonts w:ascii="Book Antiqua" w:hAnsi="Book Antiqua"/>
          <w:sz w:val="24"/>
          <w:szCs w:val="24"/>
        </w:rPr>
        <w:t xml:space="preserve">of heme in humans. </w:t>
      </w:r>
      <w:r w:rsidR="00850C34" w:rsidRPr="00324BBD">
        <w:rPr>
          <w:rFonts w:ascii="Book Antiqua" w:hAnsi="Book Antiqua"/>
          <w:sz w:val="24"/>
          <w:szCs w:val="24"/>
        </w:rPr>
        <w:t>HMOX1</w:t>
      </w:r>
      <w:r w:rsidR="00AC717C" w:rsidRPr="00324BBD">
        <w:rPr>
          <w:rFonts w:ascii="Book Antiqua" w:hAnsi="Book Antiqua"/>
          <w:sz w:val="24"/>
          <w:szCs w:val="24"/>
        </w:rPr>
        <w:t xml:space="preserve"> is the rate</w:t>
      </w:r>
      <w:r w:rsidR="00DA31C2" w:rsidRPr="00324BBD">
        <w:rPr>
          <w:rFonts w:ascii="Book Antiqua" w:hAnsi="Book Antiqua"/>
          <w:sz w:val="24"/>
          <w:szCs w:val="24"/>
        </w:rPr>
        <w:t>-</w:t>
      </w:r>
      <w:r w:rsidR="00AC717C" w:rsidRPr="00324BBD">
        <w:rPr>
          <w:rFonts w:ascii="Book Antiqua" w:hAnsi="Book Antiqua"/>
          <w:sz w:val="24"/>
          <w:szCs w:val="24"/>
        </w:rPr>
        <w:t xml:space="preserve">limiting enzyme and step that catabolizes heme to produce equimolar concentrations of biliverdin, carbon monoxide and iron. </w:t>
      </w:r>
      <w:r w:rsidR="00850C34" w:rsidRPr="00324BBD">
        <w:rPr>
          <w:rFonts w:ascii="Book Antiqua" w:hAnsi="Book Antiqua"/>
          <w:sz w:val="24"/>
          <w:szCs w:val="24"/>
        </w:rPr>
        <w:t xml:space="preserve">HMOX1 </w:t>
      </w:r>
      <w:r w:rsidR="00AC717C" w:rsidRPr="00324BBD">
        <w:rPr>
          <w:rFonts w:ascii="Book Antiqua" w:hAnsi="Book Antiqua"/>
          <w:sz w:val="24"/>
          <w:szCs w:val="24"/>
        </w:rPr>
        <w:t xml:space="preserve">is present in </w:t>
      </w:r>
      <w:r w:rsidR="00DA31C2" w:rsidRPr="00324BBD">
        <w:rPr>
          <w:rFonts w:ascii="Book Antiqua" w:hAnsi="Book Antiqua"/>
          <w:sz w:val="24"/>
          <w:szCs w:val="24"/>
        </w:rPr>
        <w:t xml:space="preserve">three </w:t>
      </w:r>
      <w:r w:rsidR="00AC717C" w:rsidRPr="00324BBD">
        <w:rPr>
          <w:rFonts w:ascii="Book Antiqua" w:hAnsi="Book Antiqua"/>
          <w:sz w:val="24"/>
          <w:szCs w:val="24"/>
        </w:rPr>
        <w:t>isoforms</w:t>
      </w:r>
      <w:r w:rsidR="00850C34" w:rsidRPr="00324BBD">
        <w:rPr>
          <w:rFonts w:ascii="Book Antiqua" w:hAnsi="Book Antiqua"/>
          <w:sz w:val="24"/>
          <w:szCs w:val="24"/>
        </w:rPr>
        <w:t>:</w:t>
      </w:r>
      <w:r w:rsidR="00AC717C" w:rsidRPr="00324BBD">
        <w:rPr>
          <w:rFonts w:ascii="Book Antiqua" w:hAnsi="Book Antiqua"/>
          <w:sz w:val="24"/>
          <w:szCs w:val="24"/>
        </w:rPr>
        <w:t xml:space="preserve"> </w:t>
      </w:r>
      <w:r w:rsidR="00CB3FBA" w:rsidRPr="00324BBD">
        <w:rPr>
          <w:rFonts w:ascii="Book Antiqua" w:hAnsi="Book Antiqua"/>
          <w:sz w:val="24"/>
          <w:szCs w:val="24"/>
        </w:rPr>
        <w:t>HO-1</w:t>
      </w:r>
      <w:r w:rsidR="00AC717C" w:rsidRPr="00324BBD">
        <w:rPr>
          <w:rFonts w:ascii="Book Antiqua" w:hAnsi="Book Antiqua"/>
          <w:sz w:val="24"/>
          <w:szCs w:val="24"/>
        </w:rPr>
        <w:t>, HO-2 and HO-3</w:t>
      </w:r>
      <w:r w:rsidR="00EB5F99" w:rsidRPr="00324BBD">
        <w:rPr>
          <w:rFonts w:ascii="Book Antiqua" w:hAnsi="Book Antiqua"/>
          <w:sz w:val="24"/>
          <w:szCs w:val="24"/>
        </w:rPr>
        <w:fldChar w:fldCharType="begin"/>
      </w:r>
      <w:r w:rsidR="00AC717C" w:rsidRPr="00324BBD">
        <w:rPr>
          <w:rFonts w:ascii="Book Antiqua" w:hAnsi="Book Antiqua"/>
          <w:sz w:val="24"/>
          <w:szCs w:val="24"/>
        </w:rPr>
        <w:instrText xml:space="preserve"> ADDIN ZOTERO_ITEM CSL_CITATION {"citationID":"2cse9a6don","properties":{"formattedCitation":"{\\rtf \\super [48\\uc0\\u8211{}50]\\nosupersub{}}","plainCitation":"[48–50]"},"citationItems":[{"id":369,"uris":["http://zotero.org/users/1747505/items/8GCKCX5G"],"uri":["http://zotero.org/users/1747505/items/8GCKCX5G"],"itemData":{"id":369,"type":"article-journal","title":"Gene regulation of heme oxygenase-1 as a therapeutic target","container-title":"Biochemical pharmacology","page":"1121-1128","volume":"60","issue":"8","source":"NCBI PubMed","abstract":"Heme oxygenase (HO)-1 is the inducible isoform of the rate-limiting enzyme of heme degradation. HO regulates the cellular content of the pro-oxidant heme and produces catabolites with physiological functions. HO-1 is induced by a host of oxidative stress stimuli, and the activation of HO-1 gene expression is considered to be an adaptive cellular response to survive exposure to environmental stresses. Since overexpression of the HO-1 gene is also protective against the deleterious effects of experimental injuries, the specific induction of HO-1 by 'non-stressful' stimuli, eg. stimuli that are not associated with oxidative stress, such as adenosine 3', 5'-cyclic monophosphate or cyclic guanosine 3',5'-monophosphate, may have important clinical implications. This review summarizes recent advances in the understanding of regulatory mechanisms of HO-1 gene expression, in particular the role of various redox-dependent and redox-independent signaling pathways. Models of experimental injuries are highlighted in which specific overexpression of the HO-1 gene either by targeted gene transfer or by pharmacological modulation has been demonstrated to provide therapeutic effects.","ISSN":"0006-2952","note":"PMID: 11007950","journalAbbreviation":"Biochem. Pharmacol.","language":"eng","author":[{"family":"Immenschuh","given":"S"},{"family":"Ramadori","given":"G"}],"issued":{"date-parts":[["2000",10,15]]},"PMID":"11007950"},"label":"page"},{"id":365,"uris":["http://zotero.org/users/1747505/items/8FQMNUV6"],"uri":["http://zotero.org/users/1747505/items/8FQMNUV6"],"itemData":{"id":365,"type":"article-journal","title":"Purification and characterization of the major constitutive form of testicular heme oxygenase. The noninducible isoform","container-title":"The Journal of biological chemistry","page":"11131-11137","volume":"261","issue":"24","source":"NCBI PubMed","abstract":"Recently we reported on the presence of two isoforms of heme oxygenase in rat liver microsomes, referred to as HO-1 and HO-2, and that only HO-1 is inducible (Maines, M. D., Trakshel, G. M., and Kutty, R. K. (1986) J. Biol. Chem. 261, 411-419). Presently we report on the detection of two isoforms of the enzyme in rat testis and purification to near homogeneity of the noninducible isoform, HO-2. A comparative characterization of the liver HO-1 and the testicular HO-2 is also provided. The relative abundance of the isoforms in the two organs was dissimilar. In the testis, the predominant form was HO-2, and only minute amounts of HO-1 were detected. In the liver, however, a 1:2 ratio of HO-1 to HO-2 was noted. The activity of HO-2 in both organs was refractory to cadmium, an inducer of the hepatic HO-1. Under nondenaturing electrophoresis conditions, HO-2 showed a higher mobility than HO-1; on a sodium dodecyl sulfate-polyacrylamide gel, HO-2 displayed a higher monomeric Mr. The apparent Mr values for HO-2 and HO-1 were 36,000 and 30,000, respectively. The isoforms differed in immunochemical properties. Antiserum to the liver HO-1 did not recognize the testicular HO-2 when examined by double immunodiffusion or by Western immunoblotting. HO-2 was more sensitive to heat inactivation than HO-1. When exposed at 65 degrees C (10 min), 70% of HO-1 activity was retained; however, nearly 80% of HO-2 activity was lost. The apparent Km values for heme for HO-1 and HO-2 were 0.24 and 0.40 microM, respectively. HO-1 and HO-2 had similar requirements for cofactor and flavoprotein reductase and were inhibited by heme-ligands (CO, KCN, NaN3). HO-2 utilized as substrate, Fe-protoporphyrin, Fe-hematoporphyrin, and Fe-hematoporphyrin acetate; it did not degrade intact purified rat liver cytochromes b5 and P-450 LM2, catalase, cytochrome c, hemoglobin, or myoglobin.","ISSN":"0021-9258","note":"PMID: 3525562","journalAbbreviation":"J. Biol. Chem.","language":"eng","author":[{"family":"Trakshel","given":"G M"},{"family":"Kutty","given":"R K"},{"family":"Maines","given":"M D"}],"issued":{"date-parts":[["1986",8,25]]},"PMID":"3525562"},"label":"page"},{"id":352,"uris":["http://zotero.org/users/1747505/items/2473CM7M"],"uri":["http://zotero.org/users/1747505/items/2473CM7M"],"itemData":{"id":352,"type":"article-journal","title":"Isolation and characterization of a cDNA from the rat brain that encodes hemoprotein heme oxygenase-3","container-title":"European journal of biochemistry / FEBS","page":"725-732","volume":"247","issue":"2","source":"NCBI PubMed","abstract":"Two isozymes of heme oxygenase (HO), HO-1 or HSP32 and the constitutive form HO-2, have been characterized to date. We report the discovery of a third protein species and refer to it as HO-3. HO-3 is the product of a single transcript of approximately 2.4 kb and can encode a protein of approximately 33 kDa. The HO-3 transcript is found in the spleen, liver, thymus, prostate, heart, kidney, brain and testis and is the product of a single-copy gene. The predicted amino acid structure of HO-3 differs from both HO-1 (HSP32) and HO-2 but is closely related to HO-2 (approximately 90%). Escherichia coli expressed and purified HO-3 protein does not cross react with polyclonal antibodies to either rat HO-1 or HO-2, is a poor heme catalyst, and displays hemoprotein spectral characteristics. The predicted protein has two heme regulatory motifs that may be involved in heme binding. These motifs and the hemoprotein nature of HO-3 suggest a potential regulatory role for the protein in cellular processes which are heme-dependent.","ISSN":"0014-2956","note":"PMID: 9266719","journalAbbreviation":"Eur. J. Biochem.","language":"eng","author":[{"family":"McCoubrey","given":"W K, Jr"},{"family":"Huang","given":"T J"},{"family":"Maines","given":"M D"}],"issued":{"date-parts":[["1997",7,15]]},"PMID":"9266719"},"label":"page"}],"schema":"https://github.com/citation-style-language/schema/raw/master/csl-citation.json"} </w:instrText>
      </w:r>
      <w:r w:rsidR="00EB5F99" w:rsidRPr="00324BBD">
        <w:rPr>
          <w:rFonts w:ascii="Book Antiqua" w:hAnsi="Book Antiqua"/>
          <w:sz w:val="24"/>
          <w:szCs w:val="24"/>
        </w:rPr>
        <w:fldChar w:fldCharType="separate"/>
      </w:r>
      <w:r w:rsidR="00714BF8" w:rsidRPr="00324BBD">
        <w:rPr>
          <w:rFonts w:ascii="Book Antiqua" w:hAnsi="Book Antiqua" w:cs="Times New Roman"/>
          <w:sz w:val="24"/>
          <w:szCs w:val="24"/>
          <w:vertAlign w:val="superscript"/>
        </w:rPr>
        <w:t>[21</w:t>
      </w:r>
      <w:r w:rsidR="00AC717C" w:rsidRPr="00324BBD">
        <w:rPr>
          <w:rFonts w:ascii="Book Antiqua" w:hAnsi="Book Antiqua" w:cs="Times New Roman"/>
          <w:sz w:val="24"/>
          <w:szCs w:val="24"/>
          <w:vertAlign w:val="superscript"/>
        </w:rPr>
        <w:t>]</w:t>
      </w:r>
      <w:r w:rsidR="00EB5F99" w:rsidRPr="00324BBD">
        <w:rPr>
          <w:rFonts w:ascii="Book Antiqua" w:hAnsi="Book Antiqua"/>
          <w:sz w:val="24"/>
          <w:szCs w:val="24"/>
        </w:rPr>
        <w:fldChar w:fldCharType="end"/>
      </w:r>
      <w:r w:rsidR="00AC717C" w:rsidRPr="00324BBD">
        <w:rPr>
          <w:rFonts w:ascii="Book Antiqua" w:hAnsi="Book Antiqua"/>
          <w:sz w:val="24"/>
          <w:szCs w:val="24"/>
        </w:rPr>
        <w:t>. HO-2 and HO-3</w:t>
      </w:r>
      <w:r w:rsidR="00850C34" w:rsidRPr="00324BBD">
        <w:rPr>
          <w:rFonts w:ascii="Book Antiqua" w:hAnsi="Book Antiqua"/>
          <w:sz w:val="24"/>
          <w:szCs w:val="24"/>
        </w:rPr>
        <w:t xml:space="preserve"> are </w:t>
      </w:r>
      <w:r w:rsidR="00AC717C" w:rsidRPr="00324BBD">
        <w:rPr>
          <w:rFonts w:ascii="Book Antiqua" w:hAnsi="Book Antiqua"/>
          <w:sz w:val="24"/>
          <w:szCs w:val="24"/>
        </w:rPr>
        <w:t>constitutive</w:t>
      </w:r>
      <w:r w:rsidR="00850C34" w:rsidRPr="00324BBD">
        <w:rPr>
          <w:rFonts w:ascii="Book Antiqua" w:hAnsi="Book Antiqua"/>
          <w:sz w:val="24"/>
          <w:szCs w:val="24"/>
        </w:rPr>
        <w:t>ly</w:t>
      </w:r>
      <w:r w:rsidR="00AC717C" w:rsidRPr="00324BBD">
        <w:rPr>
          <w:rFonts w:ascii="Book Antiqua" w:hAnsi="Book Antiqua"/>
          <w:sz w:val="24"/>
          <w:szCs w:val="24"/>
        </w:rPr>
        <w:t xml:space="preserve"> </w:t>
      </w:r>
      <w:r w:rsidR="00850C34" w:rsidRPr="00324BBD">
        <w:rPr>
          <w:rFonts w:ascii="Book Antiqua" w:hAnsi="Book Antiqua"/>
          <w:sz w:val="24"/>
          <w:szCs w:val="24"/>
        </w:rPr>
        <w:t xml:space="preserve">expressed, </w:t>
      </w:r>
      <w:r w:rsidR="00AC717C" w:rsidRPr="00324BBD">
        <w:rPr>
          <w:rFonts w:ascii="Book Antiqua" w:hAnsi="Book Antiqua"/>
          <w:sz w:val="24"/>
          <w:szCs w:val="24"/>
        </w:rPr>
        <w:t xml:space="preserve">whereas </w:t>
      </w:r>
      <w:r w:rsidR="00E32E66" w:rsidRPr="00324BBD">
        <w:rPr>
          <w:rFonts w:ascii="Book Antiqua" w:hAnsi="Book Antiqua"/>
          <w:sz w:val="24"/>
          <w:szCs w:val="24"/>
        </w:rPr>
        <w:t>HMOX1</w:t>
      </w:r>
      <w:r w:rsidR="00193C00" w:rsidRPr="00324BBD">
        <w:rPr>
          <w:rFonts w:ascii="Book Antiqua" w:hAnsi="Book Antiqua"/>
          <w:sz w:val="24"/>
          <w:szCs w:val="24"/>
        </w:rPr>
        <w:t xml:space="preserve"> </w:t>
      </w:r>
      <w:r w:rsidR="00AC717C" w:rsidRPr="00324BBD">
        <w:rPr>
          <w:rFonts w:ascii="Book Antiqua" w:hAnsi="Book Antiqua"/>
          <w:sz w:val="24"/>
          <w:szCs w:val="24"/>
        </w:rPr>
        <w:t xml:space="preserve">is the </w:t>
      </w:r>
      <w:r w:rsidR="00850C34" w:rsidRPr="00324BBD">
        <w:rPr>
          <w:rFonts w:ascii="Book Antiqua" w:hAnsi="Book Antiqua"/>
          <w:sz w:val="24"/>
          <w:szCs w:val="24"/>
        </w:rPr>
        <w:lastRenderedPageBreak/>
        <w:t xml:space="preserve">primary </w:t>
      </w:r>
      <w:r w:rsidR="00AC717C" w:rsidRPr="00324BBD">
        <w:rPr>
          <w:rFonts w:ascii="Book Antiqua" w:hAnsi="Book Antiqua"/>
          <w:sz w:val="24"/>
          <w:szCs w:val="24"/>
        </w:rPr>
        <w:t>inducible form responsible for heme catabolism. H</w:t>
      </w:r>
      <w:r w:rsidR="00B76436" w:rsidRPr="00324BBD">
        <w:rPr>
          <w:rFonts w:ascii="Book Antiqua" w:hAnsi="Book Antiqua"/>
          <w:sz w:val="24"/>
          <w:szCs w:val="24"/>
        </w:rPr>
        <w:t>MOX1</w:t>
      </w:r>
      <w:r w:rsidR="00AC717C" w:rsidRPr="00324BBD">
        <w:rPr>
          <w:rFonts w:ascii="Book Antiqua" w:hAnsi="Book Antiqua"/>
          <w:sz w:val="24"/>
          <w:szCs w:val="24"/>
        </w:rPr>
        <w:t xml:space="preserve"> can be induced by its substrate heme and by numerous oxidative stress stimuli including</w:t>
      </w:r>
      <w:r w:rsidR="00850C34" w:rsidRPr="00324BBD">
        <w:rPr>
          <w:rFonts w:ascii="Book Antiqua" w:hAnsi="Book Antiqua"/>
          <w:sz w:val="24"/>
          <w:szCs w:val="24"/>
        </w:rPr>
        <w:t>,</w:t>
      </w:r>
      <w:r w:rsidR="00AC717C" w:rsidRPr="00324BBD">
        <w:rPr>
          <w:rFonts w:ascii="Book Antiqua" w:hAnsi="Book Antiqua"/>
          <w:sz w:val="24"/>
          <w:szCs w:val="24"/>
        </w:rPr>
        <w:t xml:space="preserve"> but not limited to</w:t>
      </w:r>
      <w:r w:rsidR="00850C34" w:rsidRPr="00324BBD">
        <w:rPr>
          <w:rFonts w:ascii="Book Antiqua" w:hAnsi="Book Antiqua"/>
          <w:sz w:val="24"/>
          <w:szCs w:val="24"/>
        </w:rPr>
        <w:t>,</w:t>
      </w:r>
      <w:r w:rsidR="00AC717C" w:rsidRPr="00324BBD">
        <w:rPr>
          <w:rFonts w:ascii="Book Antiqua" w:hAnsi="Book Antiqua"/>
          <w:sz w:val="24"/>
          <w:szCs w:val="24"/>
        </w:rPr>
        <w:t xml:space="preserve"> UV</w:t>
      </w:r>
      <w:r w:rsidR="00B27255" w:rsidRPr="00324BBD">
        <w:rPr>
          <w:rFonts w:ascii="Book Antiqua" w:hAnsi="Book Antiqua"/>
          <w:sz w:val="24"/>
          <w:szCs w:val="24"/>
        </w:rPr>
        <w:t xml:space="preserve"> light, lipopolysaccharide</w:t>
      </w:r>
      <w:r w:rsidR="00AC717C" w:rsidRPr="00324BBD">
        <w:rPr>
          <w:rFonts w:ascii="Book Antiqua" w:hAnsi="Book Antiqua"/>
          <w:sz w:val="24"/>
          <w:szCs w:val="24"/>
        </w:rPr>
        <w:t xml:space="preserve">, heat shock or hyperoxia. Since the discovery of this property, multiple researchers have shown its benefit as an </w:t>
      </w:r>
      <w:r w:rsidR="005E2186" w:rsidRPr="00324BBD">
        <w:rPr>
          <w:rFonts w:ascii="Book Antiqua" w:hAnsi="Book Antiqua"/>
          <w:sz w:val="24"/>
          <w:szCs w:val="24"/>
        </w:rPr>
        <w:t xml:space="preserve">anti-oxidant, </w:t>
      </w:r>
      <w:r w:rsidR="00AC717C" w:rsidRPr="00324BBD">
        <w:rPr>
          <w:rFonts w:ascii="Book Antiqua" w:hAnsi="Book Antiqua"/>
          <w:sz w:val="24"/>
          <w:szCs w:val="24"/>
        </w:rPr>
        <w:t>anti-inflammatory, anti-apoptotic and anti-proliferative agent</w:t>
      </w:r>
      <w:r w:rsidR="00EB5F99" w:rsidRPr="00324BBD">
        <w:rPr>
          <w:rFonts w:ascii="Book Antiqua" w:hAnsi="Book Antiqua"/>
          <w:sz w:val="24"/>
          <w:szCs w:val="24"/>
        </w:rPr>
        <w:fldChar w:fldCharType="begin"/>
      </w:r>
      <w:r w:rsidR="00AC717C" w:rsidRPr="00324BBD">
        <w:rPr>
          <w:rFonts w:ascii="Book Antiqua" w:hAnsi="Book Antiqua"/>
          <w:sz w:val="24"/>
          <w:szCs w:val="24"/>
        </w:rPr>
        <w:instrText xml:space="preserve"> ADDIN ZOTERO_ITEM CSL_CITATION {"citationID":"2hektq7mfm","properties":{"formattedCitation":"{\\rtf \\super [48,52\\uc0\\u8211{}54]\\nosupersub{}}","plainCitation":"[48,52–54]"},"citationItems":[{"id":376,"uris":["http://zotero.org/users/1747505/items/QUTDXKK8"],"uri":["http://zotero.org/users/1747505/items/QUTDXKK8"],"itemData":{"id":376,"type":"article-journal","title":"Modulation of heme oxygenase in tissue injury and its implication in protection against gastrointestinal diseases","container-title":"Life sciences","page":"3113-3119","volume":"69","issue":"25-26","source":"NCBI PubMed","abstract":"Heme oxygenase (HO) is the rate-limiting enzyme in the catabolism of heme, followed by production of biliverdin, free iron and carbon monoxide (CO). There are three isoforms of HO: HO-1 is highly inducible, whereas HO-2 and HO-3 are constitutively expressed. In addition to heme, a variety of nonheme compounds, including heavy metals, cytokines, endotoxins and heat shock stress are strong inducers of HO-1 expression. Many studies indicated that induction of HO-1 is associated with a protective response due to the removal of free heme, which is shown to be toxic. However, recent studies demonstrated that the expression of HO-1 in response to different inflammatory mediators could contribute in part to the resolution of inflammation and have protective effects on brain, liver, kidney and lung against injuries. These beneficial effects seem to be due to the production of bile pigment biliverdin and bilirubin that is a potent antioxidant, as well as the release of iron and CO. However, there are few studies concerning the relationship between HO-1 and inflammation as well as injury in the gut. Interestingly, a preliminary study implicated that induction of HO-1 expression in a colonic damage model induced by trinitrobenzene sulfonic acid played a critical protective role, indicating that activation of HO-1 could act as a natural defensive mechanism to alleviate inflammation and tissue injury in the gastrointestinal tract.","ISSN":"0024-3205","note":"PMID: 11758836","journalAbbreviation":"Life Sci.","language":"eng","author":[{"family":"Guo","given":"X"},{"family":"Shin","given":"V Y"},{"family":"Cho","given":"C H"}],"issued":{"date-parts":[["2001",11,9]]},"PMID":"11758836"},"label":"page"},{"id":382,"uris":["http://zotero.org/users/1747505/items/JUM9SSFE"],"uri":["http://zotero.org/users/1747505/items/JUM9SSFE"],"itemData":{"id":382,"type":"article-journal","title":"Heme oxygenase-1: a therapeutic amplification funnel","container-title":"The FASEB Journal","page":"1216-1219","volume":"19","issue":"10","source":"www.fasebj.org","DOI":"10.1096/fj.04-3485cmt","ISSN":"0892-6638, 1530-6860","note":"PMID: 16051687","shortTitle":"Heme oxygenase-1","journalAbbreviation":"FASEB J","language":"en","author":[{"family":"Bach","given":"Fritz H."}],"issued":{"date-parts":[["2005",8,1]]},"accessed":{"date-parts":[["2014",1,26]],"season":"07:21:12"},"PMID":"16051687"},"label":"page"},{"id":379,"uris":["http://zotero.org/users/1747505/items/EXEJIQ74"],"uri":["http://zotero.org/users/1747505/items/EXEJIQ74"],"itemData":{"id":379,"type":"article-journal","title":"Heme oxygenase-1: unleashing the protective properties of heme","container-title":"Trends in immunology","page":"449-455","volume":"24","issue":"8","source":"NCBI PubMed","abstract":"Heme oxygenase (HO)-1 catabolizes heme into three products: carbon monoxide (CO), biliverdin (which is rapidly converted to bilirubin) and free iron (which leads to the induction of ferritin, an iron-binding protein). HO-1 serves as a \"protective\" gene by virtue of the anti-inflammatory, anti-apoptotic and anti-proliferative actions of one or more of these three products. Administration of CO, biliverdin, bilirubin or iron-binding compounds is protective in rodent disease models of ischemia-reperfusion injury, allograft and xenograft survival, intimal hyperplasia following balloon injury or as seen in chronic graft rejection and others. We suggest that the products of HO-1 action could be valuable therapeutic agents and speculate that HO-1 functions as a \"therapeutic funnel\", mediating the beneficial effects attributed to other molecules, such as interleukin-10 (IL-10), inducible nitric oxide synthase (NOS2; iNOS) and prostaglandins. This Review is the third in a series on the regulation of the immune system by metabolic pathways.","ISSN":"1471-4906","note":"PMID: 12909459","shortTitle":"Heme oxygenase-1","journalAbbreviation":"Trends Immunol.","language":"eng","author":[{"family":"Otterbein","given":"Leo E"},{"family":"Soares","given":"Miguel P"},{"family":"Yamashita","given":"Kenichiro"},{"family":"Bach","given":"Fritz H"}],"issued":{"date-parts":[["2003",8]]},"PMID":"12909459"},"label":"page"},{"id":369,"uris":["http://zotero.org/users/1747505/items/8GCKCX5G"],"uri":["http://zotero.org/users/1747505/items/8GCKCX5G"],"itemData":{"id":369,"type":"article-journal","title":"Gene regulation of heme oxygenase-1 as a therapeutic target","container-title":"Biochemical pharmacology","page":"1121-1128","volume":"60","issue":"8","source":"NCBI PubMed","abstract":"Heme oxygenase (HO)-1 is the inducible isoform of the rate-limiting enzyme of heme degradation. HO regulates the cellular content of the pro-oxidant heme and produces catabolites with physiological functions. HO-1 is induced by a host of oxidative stress stimuli, and the activation of HO-1 gene expression is considered to be an adaptive cellular response to survive exposure to environmental stresses. Since overexpression of the HO-1 gene is also protective against the deleterious effects of experimental injuries, the specific induction of HO-1 by 'non-stressful' stimuli, eg. stimuli that are not associated with oxidative stress, such as adenosine 3', 5'-cyclic monophosphate or cyclic guanosine 3',5'-monophosphate, may have important clinical implications. This review summarizes recent advances in the understanding of regulatory mechanisms of HO-1 gene expression, in particular the role of various redox-dependent and redox-independent signaling pathways. Models of experimental injuries are highlighted in which specific overexpression of the HO-1 gene either by targeted gene transfer or by pharmacological modulation has been demonstrated to provide therapeutic effects.","ISSN":"0006-2952","note":"PMID: 11007950","journalAbbreviation":"Biochem. Pharmacol.","language":"eng","author":[{"family":"Immenschuh","given":"S"},{"family":"Ramadori","given":"G"}],"issued":{"date-parts":[["2000",10,15]]},"PMID":"11007950"},"label":"page"}],"schema":"https://github.com/citation-style-language/schema/raw/master/csl-citation.json"} </w:instrText>
      </w:r>
      <w:r w:rsidR="00EB5F99" w:rsidRPr="00324BBD">
        <w:rPr>
          <w:rFonts w:ascii="Book Antiqua" w:hAnsi="Book Antiqua"/>
          <w:sz w:val="24"/>
          <w:szCs w:val="24"/>
        </w:rPr>
        <w:fldChar w:fldCharType="separate"/>
      </w:r>
      <w:r w:rsidR="00714BF8" w:rsidRPr="00324BBD">
        <w:rPr>
          <w:rFonts w:ascii="Book Antiqua" w:hAnsi="Book Antiqua" w:cs="Times New Roman"/>
          <w:sz w:val="24"/>
          <w:szCs w:val="24"/>
          <w:vertAlign w:val="superscript"/>
        </w:rPr>
        <w:t>[22,23</w:t>
      </w:r>
      <w:r w:rsidR="00AC717C" w:rsidRPr="00324BBD">
        <w:rPr>
          <w:rFonts w:ascii="Book Antiqua" w:hAnsi="Book Antiqua" w:cs="Times New Roman"/>
          <w:sz w:val="24"/>
          <w:szCs w:val="24"/>
          <w:vertAlign w:val="superscript"/>
        </w:rPr>
        <w:t>]</w:t>
      </w:r>
      <w:r w:rsidR="00EB5F99" w:rsidRPr="00324BBD">
        <w:rPr>
          <w:rFonts w:ascii="Book Antiqua" w:hAnsi="Book Antiqua"/>
          <w:sz w:val="24"/>
          <w:szCs w:val="24"/>
        </w:rPr>
        <w:fldChar w:fldCharType="end"/>
      </w:r>
      <w:r w:rsidR="00AC717C" w:rsidRPr="00324BBD">
        <w:rPr>
          <w:rFonts w:ascii="Book Antiqua" w:hAnsi="Book Antiqua"/>
          <w:sz w:val="24"/>
          <w:szCs w:val="24"/>
        </w:rPr>
        <w:t>. E</w:t>
      </w:r>
      <w:r w:rsidR="00AC717C" w:rsidRPr="00324BBD">
        <w:rPr>
          <w:rFonts w:ascii="Book Antiqua" w:hAnsi="Book Antiqua" w:cs="Arial"/>
          <w:color w:val="000000"/>
          <w:sz w:val="24"/>
          <w:szCs w:val="24"/>
          <w:shd w:val="clear" w:color="auto" w:fill="FFFFFF"/>
        </w:rPr>
        <w:t>xperiments in knockout mice (</w:t>
      </w:r>
      <w:r w:rsidR="00CB3FBA" w:rsidRPr="00324BBD">
        <w:rPr>
          <w:rFonts w:ascii="Book Antiqua" w:hAnsi="Book Antiqua" w:cs="Arial"/>
          <w:color w:val="000000"/>
          <w:sz w:val="24"/>
          <w:szCs w:val="24"/>
          <w:shd w:val="clear" w:color="auto" w:fill="FFFFFF"/>
        </w:rPr>
        <w:t>HMOX1</w:t>
      </w:r>
      <w:r w:rsidR="00AC717C" w:rsidRPr="00324BBD">
        <w:rPr>
          <w:rFonts w:ascii="Book Antiqua" w:hAnsi="Book Antiqua" w:cs="Arial"/>
          <w:color w:val="000000"/>
          <w:sz w:val="24"/>
          <w:szCs w:val="24"/>
          <w:shd w:val="clear" w:color="auto" w:fill="FFFFFF"/>
          <w:vertAlign w:val="superscript"/>
        </w:rPr>
        <w:t>-/-</w:t>
      </w:r>
      <w:r w:rsidR="00AC717C" w:rsidRPr="00324BBD">
        <w:rPr>
          <w:rFonts w:ascii="Book Antiqua" w:hAnsi="Book Antiqua" w:cs="Arial"/>
          <w:color w:val="000000"/>
          <w:sz w:val="24"/>
          <w:szCs w:val="24"/>
          <w:shd w:val="clear" w:color="auto" w:fill="FFFFFF"/>
        </w:rPr>
        <w:t>) demonstrated significant</w:t>
      </w:r>
      <w:r w:rsidR="00850C34" w:rsidRPr="00324BBD">
        <w:rPr>
          <w:rFonts w:ascii="Book Antiqua" w:hAnsi="Book Antiqua" w:cs="Arial"/>
          <w:color w:val="000000"/>
          <w:sz w:val="24"/>
          <w:szCs w:val="24"/>
          <w:shd w:val="clear" w:color="auto" w:fill="FFFFFF"/>
        </w:rPr>
        <w:t>ly</w:t>
      </w:r>
      <w:r w:rsidR="00AC717C" w:rsidRPr="00324BBD">
        <w:rPr>
          <w:rFonts w:ascii="Book Antiqua" w:hAnsi="Book Antiqua" w:cs="Arial"/>
          <w:color w:val="000000"/>
          <w:sz w:val="24"/>
          <w:szCs w:val="24"/>
          <w:shd w:val="clear" w:color="auto" w:fill="FFFFFF"/>
        </w:rPr>
        <w:t xml:space="preserve"> higher cytokine responses</w:t>
      </w:r>
      <w:r w:rsidR="00850C34" w:rsidRPr="00324BBD">
        <w:rPr>
          <w:rFonts w:ascii="Book Antiqua" w:hAnsi="Book Antiqua" w:cs="Arial"/>
          <w:color w:val="000000"/>
          <w:sz w:val="24"/>
          <w:szCs w:val="24"/>
          <w:shd w:val="clear" w:color="auto" w:fill="FFFFFF"/>
        </w:rPr>
        <w:t>,</w:t>
      </w:r>
      <w:r w:rsidR="00AC717C" w:rsidRPr="00324BBD">
        <w:rPr>
          <w:rFonts w:ascii="Book Antiqua" w:hAnsi="Book Antiqua" w:cs="Arial"/>
          <w:color w:val="000000"/>
          <w:sz w:val="24"/>
          <w:szCs w:val="24"/>
          <w:shd w:val="clear" w:color="auto" w:fill="FFFFFF"/>
        </w:rPr>
        <w:t xml:space="preserve"> including TNF-</w:t>
      </w:r>
      <w:r w:rsidR="00B27255" w:rsidRPr="00324BBD">
        <w:rPr>
          <w:rFonts w:ascii="Book Antiqua" w:hAnsi="Book Antiqua" w:cs="Arial"/>
          <w:color w:val="000000"/>
          <w:sz w:val="24"/>
          <w:szCs w:val="24"/>
          <w:shd w:val="clear" w:color="auto" w:fill="FFFFFF"/>
          <w:lang w:eastAsia="zh-CN"/>
        </w:rPr>
        <w:t>α</w:t>
      </w:r>
      <w:r w:rsidR="00AC717C" w:rsidRPr="00324BBD">
        <w:rPr>
          <w:rFonts w:ascii="Book Antiqua" w:hAnsi="Book Antiqua" w:cs="Arial"/>
          <w:color w:val="000000"/>
          <w:sz w:val="24"/>
          <w:szCs w:val="24"/>
          <w:shd w:val="clear" w:color="auto" w:fill="FFFFFF"/>
        </w:rPr>
        <w:t xml:space="preserve"> and IFN-</w:t>
      </w:r>
      <w:r w:rsidR="00B27255" w:rsidRPr="00324BBD">
        <w:rPr>
          <w:rFonts w:ascii="Book Antiqua" w:hAnsi="Book Antiqua" w:cs="Arial"/>
          <w:color w:val="000000"/>
          <w:sz w:val="24"/>
          <w:szCs w:val="24"/>
          <w:shd w:val="clear" w:color="auto" w:fill="FFFFFF"/>
        </w:rPr>
        <w:t>γ</w:t>
      </w:r>
      <w:r w:rsidR="00B27255" w:rsidRPr="00324BBD">
        <w:rPr>
          <w:rFonts w:ascii="Book Antiqua" w:hAnsi="Book Antiqua" w:cs="Arial"/>
          <w:color w:val="000000"/>
          <w:sz w:val="24"/>
          <w:szCs w:val="24"/>
          <w:shd w:val="clear" w:color="auto" w:fill="FFFFFF"/>
          <w:lang w:eastAsia="zh-CN"/>
        </w:rPr>
        <w:t xml:space="preserve"> </w:t>
      </w:r>
      <w:r w:rsidR="00AC717C" w:rsidRPr="00324BBD">
        <w:rPr>
          <w:rFonts w:ascii="Book Antiqua" w:hAnsi="Book Antiqua" w:cs="Arial"/>
          <w:color w:val="000000"/>
          <w:sz w:val="24"/>
          <w:szCs w:val="24"/>
          <w:shd w:val="clear" w:color="auto" w:fill="FFFFFF"/>
        </w:rPr>
        <w:t>in comparison to wild type (</w:t>
      </w:r>
      <w:r w:rsidR="00CB3FBA" w:rsidRPr="00324BBD">
        <w:rPr>
          <w:rFonts w:ascii="Book Antiqua" w:hAnsi="Book Antiqua" w:cs="Arial"/>
          <w:color w:val="000000"/>
          <w:sz w:val="24"/>
          <w:szCs w:val="24"/>
          <w:shd w:val="clear" w:color="auto" w:fill="FFFFFF"/>
        </w:rPr>
        <w:t>HMOX1</w:t>
      </w:r>
      <w:r w:rsidR="00AC717C" w:rsidRPr="00324BBD">
        <w:rPr>
          <w:rFonts w:ascii="Book Antiqua" w:hAnsi="Book Antiqua" w:cs="Arial"/>
          <w:color w:val="000000"/>
          <w:sz w:val="24"/>
          <w:szCs w:val="24"/>
          <w:shd w:val="clear" w:color="auto" w:fill="FFFFFF"/>
          <w:vertAlign w:val="superscript"/>
        </w:rPr>
        <w:t>+/+</w:t>
      </w:r>
      <w:r w:rsidR="00AC717C" w:rsidRPr="00324BBD">
        <w:rPr>
          <w:rFonts w:ascii="Book Antiqua" w:hAnsi="Book Antiqua" w:cs="Arial"/>
          <w:color w:val="000000"/>
          <w:sz w:val="24"/>
          <w:szCs w:val="24"/>
          <w:shd w:val="clear" w:color="auto" w:fill="FFFFFF"/>
        </w:rPr>
        <w:t>) when exposed to mitogens</w:t>
      </w:r>
      <w:r w:rsidR="00850C34" w:rsidRPr="00324BBD">
        <w:rPr>
          <w:rFonts w:ascii="Book Antiqua" w:hAnsi="Book Antiqua" w:cs="Arial"/>
          <w:color w:val="000000"/>
          <w:sz w:val="24"/>
          <w:szCs w:val="24"/>
          <w:shd w:val="clear" w:color="auto" w:fill="FFFFFF"/>
        </w:rPr>
        <w:t>,</w:t>
      </w:r>
      <w:r w:rsidR="00AC717C" w:rsidRPr="00324BBD">
        <w:rPr>
          <w:rFonts w:ascii="Book Antiqua" w:hAnsi="Book Antiqua" w:cs="Arial"/>
          <w:color w:val="000000"/>
          <w:sz w:val="24"/>
          <w:szCs w:val="24"/>
          <w:shd w:val="clear" w:color="auto" w:fill="FFFFFF"/>
        </w:rPr>
        <w:t xml:space="preserve"> </w:t>
      </w:r>
      <w:r w:rsidR="00850C34" w:rsidRPr="00324BBD">
        <w:rPr>
          <w:rFonts w:ascii="Book Antiqua" w:hAnsi="Book Antiqua" w:cs="Arial"/>
          <w:color w:val="000000"/>
          <w:sz w:val="24"/>
          <w:szCs w:val="24"/>
          <w:shd w:val="clear" w:color="auto" w:fill="FFFFFF"/>
        </w:rPr>
        <w:t xml:space="preserve">such as </w:t>
      </w:r>
      <w:r w:rsidR="00AC717C" w:rsidRPr="00324BBD">
        <w:rPr>
          <w:rFonts w:ascii="Book Antiqua" w:hAnsi="Book Antiqua" w:cs="Arial"/>
          <w:color w:val="000000"/>
          <w:sz w:val="24"/>
          <w:szCs w:val="24"/>
          <w:shd w:val="clear" w:color="auto" w:fill="FFFFFF"/>
        </w:rPr>
        <w:t>lipopolysaccharide</w:t>
      </w:r>
      <w:r w:rsidR="00EB5F99" w:rsidRPr="00324BBD">
        <w:rPr>
          <w:rFonts w:ascii="Book Antiqua" w:hAnsi="Book Antiqua" w:cs="Arial"/>
          <w:color w:val="000000"/>
          <w:sz w:val="24"/>
          <w:szCs w:val="24"/>
          <w:shd w:val="clear" w:color="auto" w:fill="FFFFFF"/>
        </w:rPr>
        <w:fldChar w:fldCharType="begin"/>
      </w:r>
      <w:r w:rsidR="00AC717C" w:rsidRPr="00324BBD">
        <w:rPr>
          <w:rFonts w:ascii="Book Antiqua" w:hAnsi="Book Antiqua" w:cs="Arial"/>
          <w:color w:val="000000"/>
          <w:sz w:val="24"/>
          <w:szCs w:val="24"/>
          <w:shd w:val="clear" w:color="auto" w:fill="FFFFFF"/>
        </w:rPr>
        <w:instrText xml:space="preserve"> ADDIN ZOTERO_ITEM CSL_CITATION {"citationID":"1L8gYAdy","properties":{"formattedCitation":"{\\rtf \\super [55]\\nosupersub{}}","plainCitation":"[55]"},"citationItems":[{"id":341,"uris":["http://zotero.org/users/1747505/items/WPAU67NG"],"uri":["http://zotero.org/users/1747505/items/WPAU67NG"],"itemData":{"id":341,"type":"article-journal","title":"Heme oxygenase-1 modulates early inflammatory responses: evidence from the heme oxygenase-1-deficient mouse","container-title":"The American journal of pathology","page":"1045-1053","volume":"165","issue":"3","source":"NCBI PubMed","abstract":"Induction of heme oxygenase-1 (HO-1) is protective in tissue injury in models of allograft rejection and vascular inflammation through either prevention of oxidative damage or via immunomodulatory effects. To examine the specific role of HO-1 in modulating the immune response, we examined the differences in immune phenotype between HO-1 knockout (HO-1(-/-)) and wild-type (HO-1(+/+)) mice. Consistent with previous findings, marked splenomegaly and fibrosis were observed in HO-1(-/-) mice. The lymph nodes of HO-1-deficient mice demonstrated a relative paucity of CD3- and B220-positive cells, but no such abnormalities were observed in the thymus. Flow cytometric analysis of isolated splenocytes demonstrated no differences in the proportions of T lymphocytes, B lymphocytes or monocytes/macrophages between the HO-1(-/-) and HO-1(+/+) mice. Significantly higher baseline serum IgM levels were observed in HO-1(-/-) versus HO-1(+/+) mice. Under mitogen stimulation with either lipopolysaccharide or anti-CD3/anti-CD28, HO-1(-/-) splenocytes secreted disproportionately higher levels of pro-inflammatory Th1 cytokines as compared to those from HO-1(+/+) mice. These findings demonstrate significant differences in the immune phenotype between the HO-1(-/-) and the HO-1(+/+) mice. The absence of HO-1 correlates with a Th1-weighted shift in cytokine responses suggesting a general pro-inflammatory tendency associated with HO-1 deficiency.","DOI":"10.1016/S0002-9440(10)63365-2","ISSN":"0002-9440","note":"PMID: 15331427 \nPMCID: PMC1618611","shortTitle":"Heme oxygenase-1 modulates early inflammatory responses","journalAbbreviation":"Am. J. Pathol.","language":"eng","author":[{"family":"Kapturczak","given":"Matthias H"},{"family":"Wasserfall","given":"Clive"},{"family":"Brusko","given":"Todd"},{"family":"Campbell-Thompson","given":"Martha"},{"family":"Ellis","given":"Tamir M"},{"family":"Atkinson","given":"Mark A"},{"family":"Agarwal","given":"Anupam"}],"issued":{"date-parts":[["2004",9]]},"PMID":"15331427","PMCID":"PMC1618611"}}],"schema":"https://github.com/citation-style-language/schema/raw/master/csl-citation.json"} </w:instrText>
      </w:r>
      <w:r w:rsidR="00EB5F99" w:rsidRPr="00324BBD">
        <w:rPr>
          <w:rFonts w:ascii="Book Antiqua" w:hAnsi="Book Antiqua" w:cs="Arial"/>
          <w:color w:val="000000"/>
          <w:sz w:val="24"/>
          <w:szCs w:val="24"/>
          <w:shd w:val="clear" w:color="auto" w:fill="FFFFFF"/>
        </w:rPr>
        <w:fldChar w:fldCharType="separate"/>
      </w:r>
      <w:r w:rsidR="00CB3FBA" w:rsidRPr="00324BBD">
        <w:rPr>
          <w:rFonts w:ascii="Book Antiqua" w:hAnsi="Book Antiqua" w:cs="Times New Roman"/>
          <w:sz w:val="24"/>
          <w:szCs w:val="24"/>
          <w:vertAlign w:val="superscript"/>
        </w:rPr>
        <w:t>[2</w:t>
      </w:r>
      <w:r w:rsidR="00714BF8" w:rsidRPr="00324BBD">
        <w:rPr>
          <w:rFonts w:ascii="Book Antiqua" w:hAnsi="Book Antiqua" w:cs="Times New Roman"/>
          <w:sz w:val="24"/>
          <w:szCs w:val="24"/>
          <w:vertAlign w:val="superscript"/>
        </w:rPr>
        <w:t>4</w:t>
      </w:r>
      <w:r w:rsidR="00AC717C" w:rsidRPr="00324BBD">
        <w:rPr>
          <w:rFonts w:ascii="Book Antiqua" w:hAnsi="Book Antiqua" w:cs="Times New Roman"/>
          <w:sz w:val="24"/>
          <w:szCs w:val="24"/>
          <w:vertAlign w:val="superscript"/>
        </w:rPr>
        <w:t>]</w:t>
      </w:r>
      <w:r w:rsidR="00EB5F99" w:rsidRPr="00324BBD">
        <w:rPr>
          <w:rFonts w:ascii="Book Antiqua" w:hAnsi="Book Antiqua" w:cs="Arial"/>
          <w:color w:val="000000"/>
          <w:sz w:val="24"/>
          <w:szCs w:val="24"/>
          <w:shd w:val="clear" w:color="auto" w:fill="FFFFFF"/>
        </w:rPr>
        <w:fldChar w:fldCharType="end"/>
      </w:r>
      <w:r w:rsidR="00AC717C" w:rsidRPr="00324BBD">
        <w:rPr>
          <w:rFonts w:ascii="Book Antiqua" w:hAnsi="Book Antiqua" w:cs="Arial"/>
          <w:color w:val="000000"/>
          <w:sz w:val="24"/>
          <w:szCs w:val="24"/>
          <w:shd w:val="clear" w:color="auto" w:fill="FFFFFF"/>
        </w:rPr>
        <w:t xml:space="preserve">. These actions of </w:t>
      </w:r>
      <w:r w:rsidR="00CB3FBA" w:rsidRPr="00324BBD">
        <w:rPr>
          <w:rFonts w:ascii="Book Antiqua" w:hAnsi="Book Antiqua" w:cs="Arial"/>
          <w:color w:val="000000"/>
          <w:sz w:val="24"/>
          <w:szCs w:val="24"/>
          <w:shd w:val="clear" w:color="auto" w:fill="FFFFFF"/>
        </w:rPr>
        <w:t>HMOX1</w:t>
      </w:r>
      <w:r w:rsidR="00AC717C" w:rsidRPr="00324BBD">
        <w:rPr>
          <w:rFonts w:ascii="Book Antiqua" w:hAnsi="Book Antiqua" w:cs="Arial"/>
          <w:color w:val="000000"/>
          <w:sz w:val="24"/>
          <w:szCs w:val="24"/>
          <w:shd w:val="clear" w:color="auto" w:fill="FFFFFF"/>
        </w:rPr>
        <w:t xml:space="preserve"> have proven to be protective </w:t>
      </w:r>
      <w:r w:rsidR="00850C34" w:rsidRPr="00324BBD">
        <w:rPr>
          <w:rFonts w:ascii="Book Antiqua" w:hAnsi="Book Antiqua" w:cs="Arial"/>
          <w:color w:val="000000"/>
          <w:sz w:val="24"/>
          <w:szCs w:val="24"/>
          <w:shd w:val="clear" w:color="auto" w:fill="FFFFFF"/>
        </w:rPr>
        <w:t xml:space="preserve">against inflammatory insults to the </w:t>
      </w:r>
      <w:r w:rsidR="00AC717C" w:rsidRPr="00324BBD">
        <w:rPr>
          <w:rFonts w:ascii="Book Antiqua" w:hAnsi="Book Antiqua" w:cs="Arial"/>
          <w:color w:val="000000"/>
          <w:sz w:val="24"/>
          <w:szCs w:val="24"/>
          <w:shd w:val="clear" w:color="auto" w:fill="FFFFFF"/>
        </w:rPr>
        <w:t xml:space="preserve">brain, liver, kidney and lung. </w:t>
      </w:r>
    </w:p>
    <w:p w:rsidR="00AC717C" w:rsidRPr="00324BBD" w:rsidRDefault="00AC717C" w:rsidP="00B27255">
      <w:pPr>
        <w:snapToGrid w:val="0"/>
        <w:spacing w:line="360" w:lineRule="auto"/>
        <w:ind w:firstLineChars="50" w:firstLine="120"/>
        <w:jc w:val="both"/>
        <w:rPr>
          <w:rFonts w:ascii="Book Antiqua" w:hAnsi="Book Antiqua" w:cs="Arial"/>
          <w:color w:val="000000"/>
          <w:sz w:val="24"/>
          <w:szCs w:val="24"/>
          <w:shd w:val="clear" w:color="auto" w:fill="FFFFFF"/>
        </w:rPr>
      </w:pPr>
      <w:r w:rsidRPr="00324BBD">
        <w:rPr>
          <w:rFonts w:ascii="Book Antiqua" w:hAnsi="Book Antiqua"/>
          <w:sz w:val="24"/>
          <w:szCs w:val="24"/>
        </w:rPr>
        <w:t>As mentioned previously, chronic hepatitis C is a state of chronic and persistent inflammation</w:t>
      </w:r>
      <w:r w:rsidR="005E2186" w:rsidRPr="00324BBD">
        <w:rPr>
          <w:rFonts w:ascii="Book Antiqua" w:hAnsi="Book Antiqua"/>
          <w:sz w:val="24"/>
          <w:szCs w:val="24"/>
        </w:rPr>
        <w:t xml:space="preserve"> of the liver</w:t>
      </w:r>
      <w:r w:rsidRPr="00324BBD">
        <w:rPr>
          <w:rFonts w:ascii="Book Antiqua" w:hAnsi="Book Antiqua"/>
          <w:sz w:val="24"/>
          <w:szCs w:val="24"/>
        </w:rPr>
        <w:t xml:space="preserve">. </w:t>
      </w:r>
      <w:r w:rsidR="00850C34" w:rsidRPr="00324BBD">
        <w:rPr>
          <w:rFonts w:ascii="Book Antiqua" w:hAnsi="Book Antiqua"/>
          <w:sz w:val="24"/>
          <w:szCs w:val="24"/>
        </w:rPr>
        <w:t xml:space="preserve">The </w:t>
      </w:r>
      <w:r w:rsidRPr="00324BBD">
        <w:rPr>
          <w:rFonts w:ascii="Book Antiqua" w:hAnsi="Book Antiqua"/>
          <w:sz w:val="24"/>
          <w:szCs w:val="24"/>
        </w:rPr>
        <w:t>HCV genome consists of 10 proteins</w:t>
      </w:r>
      <w:r w:rsidR="00850C34" w:rsidRPr="00324BBD">
        <w:rPr>
          <w:rFonts w:ascii="Book Antiqua" w:hAnsi="Book Antiqua"/>
          <w:sz w:val="24"/>
          <w:szCs w:val="24"/>
        </w:rPr>
        <w:t>,</w:t>
      </w:r>
      <w:r w:rsidRPr="00324BBD">
        <w:rPr>
          <w:rFonts w:ascii="Book Antiqua" w:hAnsi="Book Antiqua"/>
          <w:sz w:val="24"/>
          <w:szCs w:val="24"/>
        </w:rPr>
        <w:t xml:space="preserve"> </w:t>
      </w:r>
      <w:r w:rsidR="00B27255" w:rsidRPr="00324BBD">
        <w:rPr>
          <w:rFonts w:ascii="Book Antiqua" w:hAnsi="Book Antiqua"/>
          <w:sz w:val="24"/>
          <w:szCs w:val="24"/>
        </w:rPr>
        <w:t xml:space="preserve">which include core, envelope, and non-structural </w:t>
      </w:r>
      <w:r w:rsidRPr="00324BBD">
        <w:rPr>
          <w:rFonts w:ascii="Book Antiqua" w:hAnsi="Book Antiqua"/>
          <w:sz w:val="24"/>
          <w:szCs w:val="24"/>
        </w:rPr>
        <w:t>proteins</w:t>
      </w:r>
      <w:r w:rsidR="00EB5F99" w:rsidRPr="00324BBD">
        <w:rPr>
          <w:rFonts w:ascii="Book Antiqua" w:hAnsi="Book Antiqua"/>
          <w:sz w:val="24"/>
          <w:szCs w:val="24"/>
        </w:rPr>
        <w:fldChar w:fldCharType="begin"/>
      </w:r>
      <w:r w:rsidRPr="00324BBD">
        <w:rPr>
          <w:rFonts w:ascii="Book Antiqua" w:hAnsi="Book Antiqua"/>
          <w:sz w:val="24"/>
          <w:szCs w:val="24"/>
        </w:rPr>
        <w:instrText xml:space="preserve"> ADDIN ZOTERO_ITEM CSL_CITATION {"citationID":"I4w0laKM","properties":{"formattedCitation":"{\\rtf \\super [60]\\nosupersub{}}","plainCitation":"[60]"},"citationItems":[{"id":430,"uris":["http://zotero.org/users/1747505/items/67G5RWBT"],"uri":["http://zotero.org/users/1747505/items/67G5RWBT"],"itemData":{"id":430,"type":"article-journal","title":"Hepatitis C virus proteins","container-title":"World journal of gastroenterology: WJG","page":"2406-2415","volume":"13","issue":"17","source":"NCBI PubMed","abstract":"Hepatitis C virus (HCV) encodes a single polyprotein, which is processed by cellular and viral proteases to generate 10 polypeptides. The HCV genome also contains an overlapping +1 reading frame that may lead to the synthesis of an additional protein. Until recently, studies of HCV have been hampered by the lack of a productive cell culture system. Since the identification of HCV genome approximately 17 years ago, structural, biochemical and biological information on HCV proteins has mainly been obtained with proteins produced by heterologous expression systems. In addition, some functional studies have also been confirmed with replicon systems or with retroviral particles pseudotyped with HCV envelope glycoproteins. The data that have accumulated on HCV proteins begin to provide a framework for understanding the molecular mechanisms involved in the major steps of HCV life cycle. Moreover, the knowledge accumulated on HCV proteins is also leading to the development of antiviral drugs among which some are showing promising results in early-phase clinical trials. This review summarizes the current knowledge on the functions and biochemical features of HCV proteins.","ISSN":"1007-9327","note":"PMID: 17552023","journalAbbreviation":"World J. Gastroenterol.","language":"eng","author":[{"family":"Dubuisson","given":"Jean"}],"issued":{"date-parts":[["2007",5,7]]},"PMID":"17552023"}}],"schema":"https://github.com/citation-style-language/schema/raw/master/csl-citation.json"} </w:instrText>
      </w:r>
      <w:r w:rsidR="00EB5F99" w:rsidRPr="00324BBD">
        <w:rPr>
          <w:rFonts w:ascii="Book Antiqua" w:hAnsi="Book Antiqua"/>
          <w:sz w:val="24"/>
          <w:szCs w:val="24"/>
        </w:rPr>
        <w:fldChar w:fldCharType="separate"/>
      </w:r>
      <w:r w:rsidR="00714BF8" w:rsidRPr="00324BBD">
        <w:rPr>
          <w:rFonts w:ascii="Book Antiqua" w:hAnsi="Book Antiqua" w:cs="Times New Roman"/>
          <w:sz w:val="24"/>
          <w:szCs w:val="24"/>
          <w:vertAlign w:val="superscript"/>
        </w:rPr>
        <w:t>[25</w:t>
      </w:r>
      <w:r w:rsidRPr="00324BBD">
        <w:rPr>
          <w:rFonts w:ascii="Book Antiqua" w:hAnsi="Book Antiqua" w:cs="Times New Roman"/>
          <w:sz w:val="24"/>
          <w:szCs w:val="24"/>
          <w:vertAlign w:val="superscript"/>
        </w:rPr>
        <w:t>]</w:t>
      </w:r>
      <w:r w:rsidR="00EB5F99" w:rsidRPr="00324BBD">
        <w:rPr>
          <w:rFonts w:ascii="Book Antiqua" w:hAnsi="Book Antiqua"/>
          <w:sz w:val="24"/>
          <w:szCs w:val="24"/>
        </w:rPr>
        <w:fldChar w:fldCharType="end"/>
      </w:r>
      <w:r w:rsidRPr="00324BBD">
        <w:rPr>
          <w:rFonts w:ascii="Book Antiqua" w:hAnsi="Book Antiqua"/>
          <w:sz w:val="24"/>
          <w:szCs w:val="24"/>
        </w:rPr>
        <w:t>. Of these</w:t>
      </w:r>
      <w:r w:rsidR="00850C34" w:rsidRPr="00324BBD">
        <w:rPr>
          <w:rFonts w:ascii="Book Antiqua" w:hAnsi="Book Antiqua"/>
          <w:sz w:val="24"/>
          <w:szCs w:val="24"/>
        </w:rPr>
        <w:t xml:space="preserve"> proteins</w:t>
      </w:r>
      <w:r w:rsidRPr="00324BBD">
        <w:rPr>
          <w:rFonts w:ascii="Book Antiqua" w:hAnsi="Book Antiqua"/>
          <w:sz w:val="24"/>
          <w:szCs w:val="24"/>
        </w:rPr>
        <w:t xml:space="preserve">, core protein and NS5A are the strongest regulators of oxidative stress in HCV. </w:t>
      </w:r>
      <w:r w:rsidR="00850C34" w:rsidRPr="00324BBD">
        <w:rPr>
          <w:rFonts w:ascii="Book Antiqua" w:hAnsi="Book Antiqua"/>
          <w:sz w:val="24"/>
          <w:szCs w:val="24"/>
        </w:rPr>
        <w:t xml:space="preserve">In 2002, </w:t>
      </w:r>
      <w:r w:rsidRPr="00324BBD">
        <w:rPr>
          <w:rFonts w:ascii="Book Antiqua" w:hAnsi="Book Antiqua"/>
          <w:sz w:val="24"/>
          <w:szCs w:val="24"/>
        </w:rPr>
        <w:t xml:space="preserve">Okuda </w:t>
      </w:r>
      <w:r w:rsidR="00FE5DB7" w:rsidRPr="00324BBD">
        <w:rPr>
          <w:rFonts w:ascii="Book Antiqua" w:hAnsi="Book Antiqua"/>
          <w:i/>
          <w:sz w:val="24"/>
          <w:szCs w:val="24"/>
        </w:rPr>
        <w:t>et al</w:t>
      </w:r>
      <w:r w:rsidR="00714BF8" w:rsidRPr="00324BBD">
        <w:rPr>
          <w:rFonts w:ascii="Book Antiqua" w:hAnsi="Book Antiqua"/>
          <w:sz w:val="24"/>
          <w:szCs w:val="24"/>
          <w:vertAlign w:val="superscript"/>
        </w:rPr>
        <w:t>[26</w:t>
      </w:r>
      <w:r w:rsidRPr="00324BBD">
        <w:rPr>
          <w:rFonts w:ascii="Book Antiqua" w:hAnsi="Book Antiqua"/>
          <w:sz w:val="24"/>
          <w:szCs w:val="24"/>
          <w:vertAlign w:val="superscript"/>
        </w:rPr>
        <w:t>]</w:t>
      </w:r>
      <w:r w:rsidRPr="00324BBD">
        <w:rPr>
          <w:rFonts w:ascii="Book Antiqua" w:hAnsi="Book Antiqua"/>
          <w:sz w:val="24"/>
          <w:szCs w:val="24"/>
        </w:rPr>
        <w:t xml:space="preserve"> and Li </w:t>
      </w:r>
      <w:r w:rsidR="00FE5DB7" w:rsidRPr="00324BBD">
        <w:rPr>
          <w:rFonts w:ascii="Book Antiqua" w:hAnsi="Book Antiqua"/>
          <w:i/>
          <w:sz w:val="24"/>
          <w:szCs w:val="24"/>
        </w:rPr>
        <w:t>et al</w:t>
      </w:r>
      <w:r w:rsidR="00714BF8" w:rsidRPr="00324BBD">
        <w:rPr>
          <w:rFonts w:ascii="Book Antiqua" w:hAnsi="Book Antiqua"/>
          <w:sz w:val="24"/>
          <w:szCs w:val="24"/>
          <w:vertAlign w:val="superscript"/>
        </w:rPr>
        <w:t>[27</w:t>
      </w:r>
      <w:r w:rsidRPr="00324BBD">
        <w:rPr>
          <w:rFonts w:ascii="Book Antiqua" w:hAnsi="Book Antiqua"/>
          <w:sz w:val="24"/>
          <w:szCs w:val="24"/>
          <w:vertAlign w:val="superscript"/>
        </w:rPr>
        <w:t>]</w:t>
      </w:r>
      <w:r w:rsidRPr="00324BBD">
        <w:rPr>
          <w:rFonts w:ascii="Book Antiqua" w:hAnsi="Book Antiqua"/>
          <w:sz w:val="24"/>
          <w:szCs w:val="24"/>
        </w:rPr>
        <w:t xml:space="preserve"> </w:t>
      </w:r>
      <w:r w:rsidR="00850C34" w:rsidRPr="00324BBD">
        <w:rPr>
          <w:rFonts w:ascii="Book Antiqua" w:hAnsi="Book Antiqua"/>
          <w:sz w:val="24"/>
          <w:szCs w:val="24"/>
        </w:rPr>
        <w:t>demonstrated</w:t>
      </w:r>
      <w:r w:rsidRPr="00324BBD">
        <w:rPr>
          <w:rFonts w:ascii="Book Antiqua" w:hAnsi="Book Antiqua"/>
          <w:sz w:val="24"/>
          <w:szCs w:val="24"/>
        </w:rPr>
        <w:t xml:space="preserve"> that core protein is capable of inducing reactive oxygen species (ROS) both </w:t>
      </w:r>
      <w:r w:rsidR="00524ED0" w:rsidRPr="00324BBD">
        <w:rPr>
          <w:rFonts w:ascii="Book Antiqua" w:hAnsi="Book Antiqua"/>
          <w:i/>
          <w:sz w:val="24"/>
          <w:szCs w:val="24"/>
        </w:rPr>
        <w:t>in vivo</w:t>
      </w:r>
      <w:r w:rsidRPr="00324BBD">
        <w:rPr>
          <w:rFonts w:ascii="Book Antiqua" w:hAnsi="Book Antiqua"/>
          <w:sz w:val="24"/>
          <w:szCs w:val="24"/>
        </w:rPr>
        <w:t xml:space="preserve"> and </w:t>
      </w:r>
      <w:r w:rsidR="00524ED0" w:rsidRPr="00324BBD">
        <w:rPr>
          <w:rFonts w:ascii="Book Antiqua" w:hAnsi="Book Antiqua"/>
          <w:i/>
          <w:sz w:val="24"/>
          <w:szCs w:val="24"/>
        </w:rPr>
        <w:t xml:space="preserve">in vitro </w:t>
      </w:r>
      <w:r w:rsidRPr="00324BBD">
        <w:rPr>
          <w:rFonts w:ascii="Book Antiqua" w:hAnsi="Book Antiqua"/>
          <w:sz w:val="24"/>
          <w:szCs w:val="24"/>
        </w:rPr>
        <w:t>in hepatitis C. These ROS activate different proteins</w:t>
      </w:r>
      <w:r w:rsidR="00850C34" w:rsidRPr="00324BBD">
        <w:rPr>
          <w:rFonts w:ascii="Book Antiqua" w:hAnsi="Book Antiqua"/>
          <w:sz w:val="24"/>
          <w:szCs w:val="24"/>
        </w:rPr>
        <w:t>,</w:t>
      </w:r>
      <w:r w:rsidRPr="00324BBD">
        <w:rPr>
          <w:rFonts w:ascii="Book Antiqua" w:hAnsi="Book Antiqua"/>
          <w:sz w:val="24"/>
          <w:szCs w:val="24"/>
        </w:rPr>
        <w:t xml:space="preserve"> including Nrf2</w:t>
      </w:r>
      <w:r w:rsidR="00850C34" w:rsidRPr="00324BBD">
        <w:rPr>
          <w:rFonts w:ascii="Book Antiqua" w:hAnsi="Book Antiqua"/>
          <w:sz w:val="24"/>
          <w:szCs w:val="24"/>
        </w:rPr>
        <w:t>,</w:t>
      </w:r>
      <w:r w:rsidRPr="00324BBD">
        <w:rPr>
          <w:rFonts w:ascii="Book Antiqua" w:hAnsi="Book Antiqua"/>
          <w:sz w:val="24"/>
          <w:szCs w:val="24"/>
        </w:rPr>
        <w:t xml:space="preserve"> which controls the ability of cells to</w:t>
      </w:r>
      <w:r w:rsidR="00EA1B11" w:rsidRPr="00324BBD">
        <w:rPr>
          <w:rFonts w:ascii="Book Antiqua" w:hAnsi="Book Antiqua"/>
          <w:sz w:val="24"/>
          <w:szCs w:val="24"/>
        </w:rPr>
        <w:t xml:space="preserve"> address </w:t>
      </w:r>
      <w:r w:rsidRPr="00324BBD">
        <w:rPr>
          <w:rFonts w:ascii="Book Antiqua" w:hAnsi="Book Antiqua"/>
          <w:sz w:val="24"/>
          <w:szCs w:val="24"/>
        </w:rPr>
        <w:t>oxidative stress</w:t>
      </w:r>
      <w:r w:rsidR="00EB5F99" w:rsidRPr="00324BBD">
        <w:rPr>
          <w:rFonts w:ascii="Book Antiqua" w:hAnsi="Book Antiqua"/>
          <w:sz w:val="24"/>
          <w:szCs w:val="24"/>
        </w:rPr>
        <w:fldChar w:fldCharType="begin"/>
      </w:r>
      <w:r w:rsidRPr="00324BBD">
        <w:rPr>
          <w:rFonts w:ascii="Book Antiqua" w:hAnsi="Book Antiqua"/>
          <w:sz w:val="24"/>
          <w:szCs w:val="24"/>
        </w:rPr>
        <w:instrText xml:space="preserve"> ADDIN ZOTERO_ITEM CSL_CITATION {"citationID":"AOuWj2bQ","properties":{"formattedCitation":"{\\rtf \\super [69]\\nosupersub{}}","plainCitation":"[69]"},"citationItems":[{"id":449,"uris":["http://zotero.org/users/1747505/items/8Q8P3B4P"],"uri":["http://zotero.org/users/1747505/items/8Q8P3B4P"],"itemData":{"id":449,"type":"article-journal","title":"Oxidative stress and hepatitis C virus","container-title":"Virology Journal","page":"251","volume":"10","source":"PubMed Central","abstract":"The disproportionate imbalance between the systemic manifestation of reactive oxygen species and body’s ability to detoxify the reactive intermediates is referred to as oxidative stress. Several biological processes as well as infectious agents, physiological or environmental stress, and perturbed antioxidant response can promote oxidative stress. Oxidative stress usually happens when cells are exposed to more electrically charged reactive oxygen species (ROS) such as H2O2 or O2-. The cells’ ability to handle such pro-oxidant species is impeded by viral infections particularly within liver that plays an important role in metabolism and detoxification of harmful substances. During liver diseases (such as hepatocellular or cholestatic problems), the produced ROS are involved in transcriptional activation of a large number of cytokines and growth factors, and continued production of ROS and Reactive Nitrogen Species (RNS) feed into the vicious cycle. Many human viruses like HCV are evolved to manipulate this delicate pro- and antioxidant balance; thus generating the sustainable oxidative stress that not only causes hepatic damage but also stimulates the processes to reduce treatment of damage. In this review article, the oxidant and antioxidant pathways that are perturbed by HCV genes are discussed. In the first line of risk, the pathways of lipid metabolism present a clear danger in accumulation of viral induced ROS. Viral infection leads to decrease in cellular concentrations of glutathione (GSH) resulting in oxidation of important components of cells such as proteins, DNA and lipids as well as double strand breakage of DNA. These disorders have the tendency to lead the cells toward cirrhosis and hepatocellular carcinoma in adults due to constant insult. We have highlighted the importance of such pathways and revealed differences in the extent of oxidative stress caused by HCV infection.","DOI":"10.1186/1743-422X-10-251","ISSN":"1743-422X","note":"PMID: 23923986\nPMCID: PMC3751576","journalAbbreviation":"Virol J","author":[{"family":"Paracha","given":"Usman Zafar"},{"family":"Fatima","given":"Kaneez"},{"family":"Alqahtani","given":"Mohammad"},{"family":"Chaudhary","given":"Adeel"},{"family":"Abuzenadah","given":"Adel"},{"family":"Damanhouri","given":"Ghazi"},{"family":"Qadri","given":"Ishtiaq"}],"issued":{"date-parts":[["2013",8,7]]},"accessed":{"date-parts":[["2014",1,26]],"season":"20:11:36"},"PMID":"23923986","PMCID":"PMC3751576"}}],"schema":"https://github.com/citation-style-language/schema/raw/master/csl-citation.json"} </w:instrText>
      </w:r>
      <w:r w:rsidR="00EB5F99" w:rsidRPr="00324BBD">
        <w:rPr>
          <w:rFonts w:ascii="Book Antiqua" w:hAnsi="Book Antiqua"/>
          <w:sz w:val="24"/>
          <w:szCs w:val="24"/>
        </w:rPr>
        <w:fldChar w:fldCharType="separate"/>
      </w:r>
      <w:r w:rsidR="00714BF8" w:rsidRPr="00324BBD">
        <w:rPr>
          <w:rFonts w:ascii="Book Antiqua" w:hAnsi="Book Antiqua" w:cs="Times New Roman"/>
          <w:sz w:val="24"/>
          <w:szCs w:val="24"/>
          <w:vertAlign w:val="superscript"/>
        </w:rPr>
        <w:t>[28</w:t>
      </w:r>
      <w:r w:rsidRPr="00324BBD">
        <w:rPr>
          <w:rFonts w:ascii="Book Antiqua" w:hAnsi="Book Antiqua" w:cs="Times New Roman"/>
          <w:sz w:val="24"/>
          <w:szCs w:val="24"/>
          <w:vertAlign w:val="superscript"/>
        </w:rPr>
        <w:t>]</w:t>
      </w:r>
      <w:r w:rsidR="00EB5F99" w:rsidRPr="00324BBD">
        <w:rPr>
          <w:rFonts w:ascii="Book Antiqua" w:hAnsi="Book Antiqua"/>
          <w:sz w:val="24"/>
          <w:szCs w:val="24"/>
        </w:rPr>
        <w:fldChar w:fldCharType="end"/>
      </w:r>
      <w:r w:rsidRPr="00324BBD">
        <w:rPr>
          <w:rFonts w:ascii="Book Antiqua" w:hAnsi="Book Antiqua"/>
          <w:sz w:val="24"/>
          <w:szCs w:val="24"/>
        </w:rPr>
        <w:t xml:space="preserve">. Similarly, </w:t>
      </w:r>
      <w:r w:rsidR="00850C34" w:rsidRPr="00324BBD">
        <w:rPr>
          <w:rFonts w:ascii="Book Antiqua" w:hAnsi="Book Antiqua"/>
          <w:sz w:val="24"/>
          <w:szCs w:val="24"/>
        </w:rPr>
        <w:t>non</w:t>
      </w:r>
      <w:r w:rsidRPr="00324BBD">
        <w:rPr>
          <w:rFonts w:ascii="Book Antiqua" w:hAnsi="Book Antiqua"/>
          <w:sz w:val="24"/>
          <w:szCs w:val="24"/>
        </w:rPr>
        <w:t>-</w:t>
      </w:r>
      <w:r w:rsidR="00850C34" w:rsidRPr="00324BBD">
        <w:rPr>
          <w:rFonts w:ascii="Book Antiqua" w:hAnsi="Book Antiqua"/>
          <w:sz w:val="24"/>
          <w:szCs w:val="24"/>
        </w:rPr>
        <w:t xml:space="preserve">structural </w:t>
      </w:r>
      <w:r w:rsidRPr="00324BBD">
        <w:rPr>
          <w:rFonts w:ascii="Book Antiqua" w:hAnsi="Book Antiqua"/>
          <w:sz w:val="24"/>
          <w:szCs w:val="24"/>
        </w:rPr>
        <w:t>protein NS5A causes Ca</w:t>
      </w:r>
      <w:r w:rsidRPr="00324BBD">
        <w:rPr>
          <w:rFonts w:ascii="Book Antiqua" w:hAnsi="Book Antiqua"/>
          <w:sz w:val="24"/>
          <w:szCs w:val="24"/>
          <w:vertAlign w:val="superscript"/>
        </w:rPr>
        <w:t>2+</w:t>
      </w:r>
      <w:r w:rsidRPr="00324BBD">
        <w:rPr>
          <w:rFonts w:ascii="Book Antiqua" w:hAnsi="Book Antiqua"/>
          <w:sz w:val="24"/>
          <w:szCs w:val="24"/>
        </w:rPr>
        <w:t xml:space="preserve"> </w:t>
      </w:r>
      <w:r w:rsidR="00850C34" w:rsidRPr="00324BBD">
        <w:rPr>
          <w:rFonts w:ascii="Book Antiqua" w:hAnsi="Book Antiqua"/>
          <w:sz w:val="24"/>
          <w:szCs w:val="24"/>
        </w:rPr>
        <w:t xml:space="preserve">release </w:t>
      </w:r>
      <w:r w:rsidRPr="00324BBD">
        <w:rPr>
          <w:rFonts w:ascii="Book Antiqua" w:hAnsi="Book Antiqua"/>
          <w:sz w:val="24"/>
          <w:szCs w:val="24"/>
        </w:rPr>
        <w:t xml:space="preserve">from </w:t>
      </w:r>
      <w:r w:rsidR="00850C34" w:rsidRPr="00324BBD">
        <w:rPr>
          <w:rFonts w:ascii="Book Antiqua" w:hAnsi="Book Antiqua"/>
          <w:sz w:val="24"/>
          <w:szCs w:val="24"/>
        </w:rPr>
        <w:t>the e</w:t>
      </w:r>
      <w:r w:rsidR="00524ED0" w:rsidRPr="00324BBD">
        <w:rPr>
          <w:rFonts w:ascii="Book Antiqua" w:hAnsi="Book Antiqua"/>
          <w:sz w:val="24"/>
          <w:szCs w:val="24"/>
        </w:rPr>
        <w:t>ndoplasmic reticulum</w:t>
      </w:r>
      <w:r w:rsidR="00850C34" w:rsidRPr="00324BBD">
        <w:rPr>
          <w:rFonts w:ascii="Book Antiqua" w:hAnsi="Book Antiqua"/>
          <w:sz w:val="24"/>
          <w:szCs w:val="24"/>
        </w:rPr>
        <w:t>,</w:t>
      </w:r>
      <w:r w:rsidRPr="00324BBD">
        <w:rPr>
          <w:rFonts w:ascii="Book Antiqua" w:hAnsi="Book Antiqua"/>
          <w:sz w:val="24"/>
          <w:szCs w:val="24"/>
        </w:rPr>
        <w:t xml:space="preserve"> which triggers ROS </w:t>
      </w:r>
      <w:r w:rsidR="00850C34" w:rsidRPr="00324BBD">
        <w:rPr>
          <w:rFonts w:ascii="Book Antiqua" w:hAnsi="Book Antiqua"/>
          <w:sz w:val="24"/>
          <w:szCs w:val="24"/>
        </w:rPr>
        <w:t xml:space="preserve">release </w:t>
      </w:r>
      <w:r w:rsidRPr="00324BBD">
        <w:rPr>
          <w:rFonts w:ascii="Book Antiqua" w:hAnsi="Book Antiqua"/>
          <w:sz w:val="24"/>
          <w:szCs w:val="24"/>
        </w:rPr>
        <w:t>in the mitochondria</w:t>
      </w:r>
      <w:r w:rsidR="00850C34" w:rsidRPr="00324BBD">
        <w:rPr>
          <w:rFonts w:ascii="Book Antiqua" w:hAnsi="Book Antiqua"/>
          <w:sz w:val="24"/>
          <w:szCs w:val="24"/>
        </w:rPr>
        <w:t>,</w:t>
      </w:r>
      <w:r w:rsidRPr="00324BBD">
        <w:rPr>
          <w:rFonts w:ascii="Book Antiqua" w:hAnsi="Book Antiqua"/>
          <w:sz w:val="24"/>
          <w:szCs w:val="24"/>
        </w:rPr>
        <w:t xml:space="preserve"> leading to </w:t>
      </w:r>
      <w:r w:rsidR="00850C34" w:rsidRPr="00324BBD">
        <w:rPr>
          <w:rFonts w:ascii="Book Antiqua" w:hAnsi="Book Antiqua"/>
          <w:sz w:val="24"/>
          <w:szCs w:val="24"/>
        </w:rPr>
        <w:t xml:space="preserve">the </w:t>
      </w:r>
      <w:r w:rsidRPr="00324BBD">
        <w:rPr>
          <w:rFonts w:ascii="Book Antiqua" w:hAnsi="Book Antiqua"/>
          <w:sz w:val="24"/>
          <w:szCs w:val="24"/>
        </w:rPr>
        <w:t xml:space="preserve">activation of </w:t>
      </w:r>
      <w:r w:rsidR="008D3842" w:rsidRPr="00324BBD">
        <w:rPr>
          <w:rFonts w:ascii="Book Antiqua" w:hAnsi="Book Antiqua"/>
          <w:sz w:val="24"/>
          <w:szCs w:val="24"/>
        </w:rPr>
        <w:t>nuclear factor kappa</w:t>
      </w:r>
      <w:r w:rsidR="008D3842" w:rsidRPr="00324BBD">
        <w:rPr>
          <w:rFonts w:ascii="Book Antiqua" w:hAnsi="Book Antiqua"/>
          <w:sz w:val="24"/>
          <w:szCs w:val="24"/>
          <w:lang w:eastAsia="zh-CN"/>
        </w:rPr>
        <w:t xml:space="preserve"> </w:t>
      </w:r>
      <w:r w:rsidR="008D3842" w:rsidRPr="00324BBD">
        <w:rPr>
          <w:rFonts w:ascii="Book Antiqua" w:hAnsi="Book Antiqua"/>
          <w:sz w:val="24"/>
          <w:szCs w:val="24"/>
        </w:rPr>
        <w:t>B</w:t>
      </w:r>
      <w:r w:rsidR="008D3842" w:rsidRPr="00324BBD">
        <w:rPr>
          <w:rFonts w:ascii="Book Antiqua" w:hAnsi="Book Antiqua"/>
          <w:sz w:val="24"/>
          <w:szCs w:val="24"/>
          <w:lang w:eastAsia="zh-CN"/>
        </w:rPr>
        <w:t xml:space="preserve"> </w:t>
      </w:r>
      <w:r w:rsidRPr="00324BBD">
        <w:rPr>
          <w:rFonts w:ascii="Book Antiqua" w:hAnsi="Book Antiqua"/>
          <w:sz w:val="24"/>
          <w:szCs w:val="24"/>
        </w:rPr>
        <w:t xml:space="preserve">and </w:t>
      </w:r>
      <w:r w:rsidR="0081623E" w:rsidRPr="00324BBD">
        <w:rPr>
          <w:rFonts w:ascii="Book Antiqua" w:hAnsi="Book Antiqua"/>
          <w:sz w:val="24"/>
          <w:szCs w:val="24"/>
        </w:rPr>
        <w:t>signal transducer and activator of transcription</w:t>
      </w:r>
      <w:r w:rsidRPr="00324BBD">
        <w:rPr>
          <w:rFonts w:ascii="Book Antiqua" w:hAnsi="Book Antiqua"/>
          <w:sz w:val="24"/>
          <w:szCs w:val="24"/>
        </w:rPr>
        <w:t>-3 pathways</w:t>
      </w:r>
      <w:r w:rsidR="00EB5F99" w:rsidRPr="00324BBD">
        <w:rPr>
          <w:rFonts w:ascii="Book Antiqua" w:hAnsi="Book Antiqua"/>
          <w:sz w:val="24"/>
          <w:szCs w:val="24"/>
        </w:rPr>
        <w:fldChar w:fldCharType="begin"/>
      </w:r>
      <w:r w:rsidRPr="00324BBD">
        <w:rPr>
          <w:rFonts w:ascii="Book Antiqua" w:hAnsi="Book Antiqua"/>
          <w:sz w:val="24"/>
          <w:szCs w:val="24"/>
        </w:rPr>
        <w:instrText xml:space="preserve"> ADDIN ZOTERO_ITEM CSL_CITATION {"citationID":"1pki5rkcik","properties":{"formattedCitation":"{\\rtf \\super [70\\uc0\\u8211{}72]\\nosupersub{}}","plainCitation":"[70–72]"},"citationItems":[{"id":433,"uris":["http://zotero.org/users/1747505/items/AETXAE24"],"uri":["http://zotero.org/users/1747505/items/AETXAE24"],"itemData":{"id":433,"type":"article-journal","title":"Is NF-</w:instrText>
      </w:r>
      <w:r w:rsidRPr="00324BBD">
        <w:rPr>
          <w:rFonts w:ascii="Book Antiqua" w:hAnsi="Book Antiqua" w:cs="Times New Roman"/>
          <w:sz w:val="24"/>
          <w:szCs w:val="24"/>
        </w:rPr>
        <w:instrText>κ</w:instrText>
      </w:r>
      <w:r w:rsidRPr="00324BBD">
        <w:rPr>
          <w:rFonts w:ascii="Book Antiqua" w:hAnsi="Book Antiqua"/>
          <w:sz w:val="24"/>
          <w:szCs w:val="24"/>
        </w:rPr>
        <w:instrText>B the sensor of oxidative stress?","container-title":"The FASEB Journal","page":"1137-1143","volume":"13","issue":"10","source":"www.fasebj.org","abstract":"NF-</w:instrText>
      </w:r>
      <w:r w:rsidRPr="00324BBD">
        <w:rPr>
          <w:rFonts w:ascii="Book Antiqua" w:hAnsi="Book Antiqua" w:cs="Times New Roman"/>
          <w:sz w:val="24"/>
          <w:szCs w:val="24"/>
        </w:rPr>
        <w:instrText>κ</w:instrText>
      </w:r>
      <w:r w:rsidRPr="00324BBD">
        <w:rPr>
          <w:rFonts w:ascii="Book Antiqua" w:hAnsi="Book Antiqua"/>
          <w:sz w:val="24"/>
          <w:szCs w:val="24"/>
        </w:rPr>
        <w:instrText>B is a dimeric transcription factor that is involved in the regulation of a large number of genes that control various aspects of the immune and inflammatory response. It is activated by a variety of stimuli ranging from cytokines, to various forms of radiation, to oxidative stress (such as exposure to H2O2). Recent studies have advanced our understanding of the signal transduction pathway leading to NF-</w:instrText>
      </w:r>
      <w:r w:rsidRPr="00324BBD">
        <w:rPr>
          <w:rFonts w:ascii="Book Antiqua" w:hAnsi="Book Antiqua" w:cs="Times New Roman"/>
          <w:sz w:val="24"/>
          <w:szCs w:val="24"/>
        </w:rPr>
        <w:instrText>κ</w:instrText>
      </w:r>
      <w:r w:rsidRPr="00324BBD">
        <w:rPr>
          <w:rFonts w:ascii="Book Antiqua" w:hAnsi="Book Antiqua"/>
          <w:sz w:val="24"/>
          <w:szCs w:val="24"/>
        </w:rPr>
        <w:instrText>B activation by cytokines and will provide insights for the mechanism by which NF-</w:instrText>
      </w:r>
      <w:r w:rsidRPr="00324BBD">
        <w:rPr>
          <w:rFonts w:ascii="Book Antiqua" w:hAnsi="Book Antiqua" w:cs="Times New Roman"/>
          <w:sz w:val="24"/>
          <w:szCs w:val="24"/>
        </w:rPr>
        <w:instrText>κ</w:instrText>
      </w:r>
      <w:r w:rsidRPr="00324BBD">
        <w:rPr>
          <w:rFonts w:ascii="Book Antiqua" w:hAnsi="Book Antiqua"/>
          <w:sz w:val="24"/>
          <w:szCs w:val="24"/>
        </w:rPr>
        <w:instrText>B is regulated by oxidative stress. An important question that is yet to be answered is whether reactive oxygen species play a physiological role in NF-</w:instrText>
      </w:r>
      <w:r w:rsidRPr="00324BBD">
        <w:rPr>
          <w:rFonts w:ascii="Book Antiqua" w:hAnsi="Book Antiqua" w:cs="Times New Roman"/>
          <w:sz w:val="24"/>
          <w:szCs w:val="24"/>
        </w:rPr>
        <w:instrText>κ</w:instrText>
      </w:r>
      <w:r w:rsidRPr="00324BBD">
        <w:rPr>
          <w:rFonts w:ascii="Book Antiqua" w:hAnsi="Book Antiqua"/>
          <w:sz w:val="24"/>
          <w:szCs w:val="24"/>
        </w:rPr>
        <w:instrText>B activation.—Li, N., Karin, M. Is NF-</w:instrText>
      </w:r>
      <w:r w:rsidRPr="00324BBD">
        <w:rPr>
          <w:rFonts w:ascii="Book Antiqua" w:hAnsi="Book Antiqua" w:cs="Times New Roman"/>
          <w:sz w:val="24"/>
          <w:szCs w:val="24"/>
        </w:rPr>
        <w:instrText>κ</w:instrText>
      </w:r>
      <w:r w:rsidRPr="00324BBD">
        <w:rPr>
          <w:rFonts w:ascii="Book Antiqua" w:hAnsi="Book Antiqua"/>
          <w:sz w:val="24"/>
          <w:szCs w:val="24"/>
        </w:rPr>
        <w:instrText xml:space="preserve">B the sensor of oxidative stress?","ISSN":"0892-6638, 1530-6860","note":"PMID: 10385605","journalAbbreviation":"FASEB J","language":"en","author":[{"family":"Li","given":"Nanxin"},{"family":"Karin","given":"Michael"}],"issued":{"date-parts":[["1999",7,1]]},"accessed":{"date-parts":[["2014",1,26]],"season":"09:27:26"},"PMID":"10385605"},"label":"page"},{"id":406,"uris":["http://zotero.org/users/1747505/items/MB2SA7NE"],"uri":["http://zotero.org/users/1747505/items/MB2SA7NE"],"itemData":{"id":406,"type":"article-journal","title":"Down-Regulation of Heme Oxygenase-1 by Hepatitis C Virus Infection In Vivo and by the In Vitro Expression of Hepatitis C Core Protein","container-title":"Journal of Infectious Diseases","page":"1109-1118","volume":"190","issue":"6","source":"jid.oxfordjournals.org","abstract":"Antioxidant enzymes, including heme oxygenase (HO)-1, are an important line of defense against oxidant-mediated liver injury. Because hepatitis C virus (HCV) infection appears to increase the production of oxidants, we evaluated levels of antioxidant enzymes and HO-1 in liver-biopsy samples from HCV-infected patients by immunoblot and semiquantitative reverse-transcriptase polymerase chain reaction. In HCV-infected liver samples, levels of immunoreactive HO-1 and HO-1 mRNA were &gt;4-fold lower than levels in control samples, but levels of superoxide dismutase and catalase were unaffected. Immunohistochemical results confirmed the decreased expression of HO-1 in hepatocytes from liver samples from HCV-infected patients but not in those from patients with other chronic liver diseases. The expression of HO-1 was also reduced in cell lines that stably express HCV core protein, which suggests that core gene products are capable of regulating the expression of HO-1.","DOI":"10.1086/423488","ISSN":"0022-1899, 1537-6613","note":"PMID: 15319861","journalAbbreviation":"J Infect Dis.","language":"en","author":[{"family":"Abdalla","given":"Maher Y."},{"family":"Britigan","given":"Bradley E."},{"family":"Wen","given":"Feng"},{"family":"Icardi","given":"Michael"},{"family":"McCormick","given":"Michael L."},{"family":"LaBrecque","given":"Douglas R."},{"family":"Voigt","given":"Michael"},{"family":"Brown","given":"Kyle E."},{"family":"Schmidt","given":"Warren N."}],"issued":{"date-parts":[["2004",9,15]]},"accessed":{"date-parts":[["2014",1,26]],"season":"08:09:20"},"PMID":"15319861"},"label":"page"},{"id":474,"uris":["http://zotero.org/users/1747505/items/PSQU688S"],"uri":["http://zotero.org/users/1747505/items/PSQU688S"],"itemData":{"id":474,"type":"article-journal","title":"Hepatitis C virus, ER stress, and oxidative stress","container-title":"Trends in microbiology","page":"159-163","volume":"13","issue":"4","source":"NCBI PubMed","abstract":"Hepatitis C virus (HCV) replication is associated with the endoplasmic reticulum (ER), where the virus causes stress. Cells cope with ER stress by activating an adaptive program called the unfolded protein response (UPR), which alleviates this stress by stimulating protein folding and degradation in the ER and down-regulating overall protein synthesis. Recent work suggests that HCV also alters ER calcium homeostasis, inducing oxidative stress. Future progress in understanding the control that HCV exerts over the ER will provide insight into viral strategies for pathogenesis and persistence in chronically infected patients.","DOI":"10.1016/j.tim.2005.02.004","ISSN":"0966-842X","note":"PMID: 15817385","journalAbbreviation":"Trends Microbiol.","language":"eng","author":[{"family":"Tardif","given":"Keith D"},{"family":"Waris","given":"Gulam"},{"family":"Siddiqui","given":"Aleem"}],"issued":{"date-parts":[["2005",4]]},"PMID":"15817385"},"label":"page"}],"schema":"https://github.com/citation-style-language/schema/raw/master/csl-citation.json"} </w:instrText>
      </w:r>
      <w:r w:rsidR="00EB5F99" w:rsidRPr="00324BBD">
        <w:rPr>
          <w:rFonts w:ascii="Book Antiqua" w:hAnsi="Book Antiqua"/>
          <w:sz w:val="24"/>
          <w:szCs w:val="24"/>
        </w:rPr>
        <w:fldChar w:fldCharType="separate"/>
      </w:r>
      <w:r w:rsidR="00714BF8" w:rsidRPr="00324BBD">
        <w:rPr>
          <w:rFonts w:ascii="Book Antiqua" w:hAnsi="Book Antiqua" w:cs="Times New Roman"/>
          <w:sz w:val="24"/>
          <w:szCs w:val="24"/>
          <w:vertAlign w:val="superscript"/>
        </w:rPr>
        <w:t>[29</w:t>
      </w:r>
      <w:r w:rsidRPr="00324BBD">
        <w:rPr>
          <w:rFonts w:ascii="Book Antiqua" w:hAnsi="Book Antiqua" w:cs="Times New Roman"/>
          <w:sz w:val="24"/>
          <w:szCs w:val="24"/>
          <w:vertAlign w:val="superscript"/>
        </w:rPr>
        <w:t>]</w:t>
      </w:r>
      <w:r w:rsidR="00EB5F99" w:rsidRPr="00324BBD">
        <w:rPr>
          <w:rFonts w:ascii="Book Antiqua" w:hAnsi="Book Antiqua"/>
          <w:sz w:val="24"/>
          <w:szCs w:val="24"/>
        </w:rPr>
        <w:fldChar w:fldCharType="end"/>
      </w:r>
      <w:r w:rsidRPr="00324BBD">
        <w:rPr>
          <w:rFonts w:ascii="Book Antiqua" w:hAnsi="Book Antiqua"/>
          <w:sz w:val="24"/>
          <w:szCs w:val="24"/>
        </w:rPr>
        <w:t xml:space="preserve">. These pathways are implicated in tumor </w:t>
      </w:r>
      <w:r w:rsidR="005E2186" w:rsidRPr="00324BBD">
        <w:rPr>
          <w:rFonts w:ascii="Book Antiqua" w:hAnsi="Book Antiqua"/>
          <w:sz w:val="24"/>
          <w:szCs w:val="24"/>
        </w:rPr>
        <w:t xml:space="preserve">development, </w:t>
      </w:r>
      <w:r w:rsidRPr="00324BBD">
        <w:rPr>
          <w:rFonts w:ascii="Book Antiqua" w:hAnsi="Book Antiqua"/>
          <w:sz w:val="24"/>
          <w:szCs w:val="24"/>
        </w:rPr>
        <w:t>growth and metastasis</w:t>
      </w:r>
      <w:r w:rsidR="00EB5F99" w:rsidRPr="00324BBD">
        <w:rPr>
          <w:rFonts w:ascii="Book Antiqua" w:hAnsi="Book Antiqua"/>
          <w:sz w:val="24"/>
          <w:szCs w:val="24"/>
        </w:rPr>
        <w:fldChar w:fldCharType="begin"/>
      </w:r>
      <w:r w:rsidRPr="00324BBD">
        <w:rPr>
          <w:rFonts w:ascii="Book Antiqua" w:hAnsi="Book Antiqua"/>
          <w:sz w:val="24"/>
          <w:szCs w:val="24"/>
        </w:rPr>
        <w:instrText xml:space="preserve"> ADDIN ZOTERO_ITEM CSL_CITATION {"citationID":"1j202bp329","properties":{"formattedCitation":"{\\rtf \\super [73,74]\\nosupersub{}}","plainCitation":"[73,74]"},"citationItems":[{"id":440,"uris":["http://zotero.org/users/1747505/items/RHSRKAMT"],"uri":["http://zotero.org/users/1747505/items/RHSRKAMT"],"itemData":{"id":440,"type":"article-journal","title":"NF-kappaB in cancer: from innocent bystander to major culprit","container-title":"Nature reviews. Cancer","page":"301-310","volume":"2","issue":"4","source":"NCBI PubMed","abstract":"Nuclear factor of kappaB (NF-kappaB) is a sequence-specific transcription factor that is known to be involved in the inflammatory and innate immune responses. Although the importance of NF-KB in immunity is undisputed, recent evidence indicates that NF-kappaB and the signalling pathways that are involved in its activation are also important for tumour development. NF-kappaB should therefore receive as much attention from cancer researchers as it has already from immunologists.","DOI":"10.1038/nrc780","ISSN":"1474-175X","note":"PMID: 12001991","shortTitle":"NF-kappaB in cancer","journalAbbreviation":"Nat. Rev. Cancer","language":"eng","author":[{"family":"Karin","given":"Michael"},{"family":"Cao","given":"Yixue"},{"family":"Greten","given":"Florian R"},{"family":"Li","given":"Zhi-Wei"}],"issued":{"date-parts":[["2002",4]]},"PMID":"12001991"},"label":"page"},{"id":438,"uris":["http://zotero.org/users/1747505/items/W9UWI5QG"],"uri":["http://zotero.org/users/1747505/items/W9UWI5QG"],"itemData":{"id":438,"type":"article-journal","title":"NF-kappaB and cancer: mechanisms and targets","container-title":"Molecular carcinogenesis","page":"355-361","volume":"45","issue":"6","source":"NCBI PubMed","abstract":"In addition to being a central coordinator of immune responses, NF-kappaB signaling also plays a critical role in cancer development and progression and it may determine the response to therapy. NF-kappaB activation was shown to provide a critical mechanistic link between inflammation and cancer and is a major factor that controls the ability of both preneoplastic and malignant cells to resist apoptosis-based tumor surveillance mechanisms. NF-kappaB may also be involved in regulation of tumor angiogenesis and invasiveness. Importantly, NF-kappaB and the signaling pathways that mediate its activation have become attractive targets for development of new chemopreventive and chemotherapeutic approaches.","DOI":"10.1002/mc.20217","ISSN":"0899-1987","note":"PMID: 16673382","shortTitle":"NF-kappaB and cancer","journalAbbreviation":"Mol. Carcinog.","language":"eng","author":[{"family":"Karin","given":"Michael"}],"issued":{"date-parts":[["2006",6]]},"PMID":"16673382"},"label":"page"}],"schema":"https://github.com/citation-style-language/schema/raw/master/csl-citation.json"} </w:instrText>
      </w:r>
      <w:r w:rsidR="00EB5F99" w:rsidRPr="00324BBD">
        <w:rPr>
          <w:rFonts w:ascii="Book Antiqua" w:hAnsi="Book Antiqua"/>
          <w:sz w:val="24"/>
          <w:szCs w:val="24"/>
        </w:rPr>
        <w:fldChar w:fldCharType="separate"/>
      </w:r>
      <w:r w:rsidR="00E41CB1" w:rsidRPr="00324BBD">
        <w:rPr>
          <w:rFonts w:ascii="Book Antiqua" w:hAnsi="Book Antiqua" w:cs="Times New Roman"/>
          <w:sz w:val="24"/>
          <w:szCs w:val="24"/>
          <w:vertAlign w:val="superscript"/>
        </w:rPr>
        <w:t>[3</w:t>
      </w:r>
      <w:r w:rsidR="00A84732" w:rsidRPr="00324BBD">
        <w:rPr>
          <w:rFonts w:ascii="Book Antiqua" w:hAnsi="Book Antiqua" w:cs="Times New Roman"/>
          <w:sz w:val="24"/>
          <w:szCs w:val="24"/>
          <w:vertAlign w:val="superscript"/>
        </w:rPr>
        <w:t>0,31</w:t>
      </w:r>
      <w:r w:rsidRPr="00324BBD">
        <w:rPr>
          <w:rFonts w:ascii="Book Antiqua" w:hAnsi="Book Antiqua" w:cs="Times New Roman"/>
          <w:sz w:val="24"/>
          <w:szCs w:val="24"/>
          <w:vertAlign w:val="superscript"/>
        </w:rPr>
        <w:t>]</w:t>
      </w:r>
      <w:r w:rsidR="00EB5F99" w:rsidRPr="00324BBD">
        <w:rPr>
          <w:rFonts w:ascii="Book Antiqua" w:hAnsi="Book Antiqua"/>
          <w:sz w:val="24"/>
          <w:szCs w:val="24"/>
        </w:rPr>
        <w:fldChar w:fldCharType="end"/>
      </w:r>
      <w:r w:rsidRPr="00324BBD">
        <w:rPr>
          <w:rFonts w:ascii="Book Antiqua" w:hAnsi="Book Antiqua"/>
          <w:sz w:val="24"/>
          <w:szCs w:val="24"/>
        </w:rPr>
        <w:t>. ROS ultimately lead to oxidation of membrane lipids and cell death. With this knowledge, anti-oxidants have been proposed to be utilized in HCV infections</w:t>
      </w:r>
      <w:r w:rsidR="00850C34" w:rsidRPr="00324BBD">
        <w:rPr>
          <w:rFonts w:ascii="Book Antiqua" w:hAnsi="Book Antiqua"/>
          <w:sz w:val="24"/>
          <w:szCs w:val="24"/>
        </w:rPr>
        <w:t>,</w:t>
      </w:r>
      <w:r w:rsidRPr="00324BBD">
        <w:rPr>
          <w:rFonts w:ascii="Book Antiqua" w:hAnsi="Book Antiqua"/>
          <w:sz w:val="24"/>
          <w:szCs w:val="24"/>
        </w:rPr>
        <w:t xml:space="preserve"> where </w:t>
      </w:r>
      <w:r w:rsidR="00850C34" w:rsidRPr="00324BBD">
        <w:rPr>
          <w:rFonts w:ascii="Book Antiqua" w:hAnsi="Book Antiqua"/>
          <w:sz w:val="24"/>
          <w:szCs w:val="24"/>
        </w:rPr>
        <w:t xml:space="preserve">these molecules </w:t>
      </w:r>
      <w:r w:rsidRPr="00324BBD">
        <w:rPr>
          <w:rFonts w:ascii="Book Antiqua" w:hAnsi="Book Antiqua"/>
          <w:sz w:val="24"/>
          <w:szCs w:val="24"/>
        </w:rPr>
        <w:t xml:space="preserve">can lead to impaired HCV replication and/or increase the effectiveness of interferon therapy. A phase I clinical trial by Melhem </w:t>
      </w:r>
      <w:r w:rsidR="00FE5DB7" w:rsidRPr="00324BBD">
        <w:rPr>
          <w:rFonts w:ascii="Book Antiqua" w:hAnsi="Book Antiqua"/>
          <w:i/>
          <w:sz w:val="24"/>
          <w:szCs w:val="24"/>
        </w:rPr>
        <w:t>et al</w:t>
      </w:r>
      <w:r w:rsidR="00E41CB1" w:rsidRPr="00324BBD">
        <w:rPr>
          <w:rFonts w:ascii="Book Antiqua" w:hAnsi="Book Antiqua"/>
          <w:sz w:val="24"/>
          <w:szCs w:val="24"/>
          <w:vertAlign w:val="superscript"/>
        </w:rPr>
        <w:t>[3</w:t>
      </w:r>
      <w:r w:rsidR="00A84732" w:rsidRPr="00324BBD">
        <w:rPr>
          <w:rFonts w:ascii="Book Antiqua" w:hAnsi="Book Antiqua"/>
          <w:sz w:val="24"/>
          <w:szCs w:val="24"/>
          <w:vertAlign w:val="superscript"/>
        </w:rPr>
        <w:t>2</w:t>
      </w:r>
      <w:r w:rsidRPr="00324BBD">
        <w:rPr>
          <w:rFonts w:ascii="Book Antiqua" w:hAnsi="Book Antiqua"/>
          <w:sz w:val="24"/>
          <w:szCs w:val="24"/>
          <w:vertAlign w:val="superscript"/>
        </w:rPr>
        <w:t>]</w:t>
      </w:r>
      <w:r w:rsidRPr="00324BBD">
        <w:rPr>
          <w:rFonts w:ascii="Book Antiqua" w:hAnsi="Book Antiqua"/>
          <w:sz w:val="24"/>
          <w:szCs w:val="24"/>
        </w:rPr>
        <w:t xml:space="preserve"> showed n</w:t>
      </w:r>
      <w:r w:rsidRPr="00324BBD">
        <w:rPr>
          <w:rFonts w:ascii="Book Antiqua" w:hAnsi="Book Antiqua" w:cs="Arial"/>
          <w:color w:val="000000"/>
          <w:sz w:val="24"/>
          <w:szCs w:val="24"/>
          <w:shd w:val="clear" w:color="auto" w:fill="FFFFFF"/>
        </w:rPr>
        <w:t>ormaliz</w:t>
      </w:r>
      <w:r w:rsidR="00850C34" w:rsidRPr="00324BBD">
        <w:rPr>
          <w:rFonts w:ascii="Book Antiqua" w:hAnsi="Book Antiqua" w:cs="Arial"/>
          <w:color w:val="000000"/>
          <w:sz w:val="24"/>
          <w:szCs w:val="24"/>
          <w:shd w:val="clear" w:color="auto" w:fill="FFFFFF"/>
        </w:rPr>
        <w:t>ed</w:t>
      </w:r>
      <w:r w:rsidRPr="00324BBD">
        <w:rPr>
          <w:rFonts w:ascii="Book Antiqua" w:hAnsi="Book Antiqua" w:cs="Arial"/>
          <w:color w:val="000000"/>
          <w:sz w:val="24"/>
          <w:szCs w:val="24"/>
          <w:shd w:val="clear" w:color="auto" w:fill="FFFFFF"/>
        </w:rPr>
        <w:t xml:space="preserve"> liver enzymes (44% of patients), decrease</w:t>
      </w:r>
      <w:r w:rsidR="00850C34" w:rsidRPr="00324BBD">
        <w:rPr>
          <w:rFonts w:ascii="Book Antiqua" w:hAnsi="Book Antiqua" w:cs="Arial"/>
          <w:color w:val="000000"/>
          <w:sz w:val="24"/>
          <w:szCs w:val="24"/>
          <w:shd w:val="clear" w:color="auto" w:fill="FFFFFF"/>
        </w:rPr>
        <w:t>d</w:t>
      </w:r>
      <w:r w:rsidRPr="00324BBD">
        <w:rPr>
          <w:rFonts w:ascii="Book Antiqua" w:hAnsi="Book Antiqua" w:cs="Arial"/>
          <w:color w:val="000000"/>
          <w:sz w:val="24"/>
          <w:szCs w:val="24"/>
          <w:shd w:val="clear" w:color="auto" w:fill="FFFFFF"/>
        </w:rPr>
        <w:t xml:space="preserve"> viral load (25%) and histologic</w:t>
      </w:r>
      <w:r w:rsidR="00850C34" w:rsidRPr="00324BBD">
        <w:rPr>
          <w:rFonts w:ascii="Book Antiqua" w:hAnsi="Book Antiqua" w:cs="Arial"/>
          <w:color w:val="000000"/>
          <w:sz w:val="24"/>
          <w:szCs w:val="24"/>
          <w:shd w:val="clear" w:color="auto" w:fill="FFFFFF"/>
        </w:rPr>
        <w:t>al</w:t>
      </w:r>
      <w:r w:rsidRPr="00324BBD">
        <w:rPr>
          <w:rFonts w:ascii="Book Antiqua" w:hAnsi="Book Antiqua" w:cs="Arial"/>
          <w:color w:val="000000"/>
          <w:sz w:val="24"/>
          <w:szCs w:val="24"/>
          <w:shd w:val="clear" w:color="auto" w:fill="FFFFFF"/>
        </w:rPr>
        <w:t xml:space="preserve"> improvement (36.1%) in patients with cHCV who were treated with a combination of anti-oxidant therapy.</w:t>
      </w:r>
    </w:p>
    <w:p w:rsidR="00AC717C" w:rsidRPr="00324BBD" w:rsidRDefault="00AC717C" w:rsidP="008759E1">
      <w:pPr>
        <w:snapToGrid w:val="0"/>
        <w:spacing w:line="360" w:lineRule="auto"/>
        <w:jc w:val="both"/>
        <w:rPr>
          <w:rFonts w:ascii="Book Antiqua" w:hAnsi="Book Antiqua"/>
          <w:sz w:val="24"/>
          <w:szCs w:val="24"/>
        </w:rPr>
      </w:pPr>
    </w:p>
    <w:p w:rsidR="00AC717C" w:rsidRPr="00324BBD" w:rsidRDefault="00CB3FBA" w:rsidP="008759E1">
      <w:pPr>
        <w:snapToGrid w:val="0"/>
        <w:spacing w:line="360" w:lineRule="auto"/>
        <w:jc w:val="both"/>
        <w:rPr>
          <w:rFonts w:ascii="Book Antiqua" w:hAnsi="Book Antiqua"/>
          <w:b/>
          <w:i/>
          <w:sz w:val="24"/>
          <w:szCs w:val="24"/>
        </w:rPr>
      </w:pPr>
      <w:r w:rsidRPr="00324BBD">
        <w:rPr>
          <w:rFonts w:ascii="Book Antiqua" w:hAnsi="Book Antiqua"/>
          <w:b/>
          <w:i/>
          <w:sz w:val="24"/>
          <w:szCs w:val="24"/>
        </w:rPr>
        <w:t>HMOX1</w:t>
      </w:r>
      <w:r w:rsidR="00AC717C" w:rsidRPr="00324BBD">
        <w:rPr>
          <w:rFonts w:ascii="Book Antiqua" w:hAnsi="Book Antiqua"/>
          <w:b/>
          <w:i/>
          <w:sz w:val="24"/>
          <w:szCs w:val="24"/>
        </w:rPr>
        <w:t xml:space="preserve"> in HCV</w:t>
      </w:r>
    </w:p>
    <w:p w:rsidR="00AC717C" w:rsidRPr="00324BBD" w:rsidRDefault="00984F44" w:rsidP="008759E1">
      <w:pPr>
        <w:snapToGrid w:val="0"/>
        <w:spacing w:line="360" w:lineRule="auto"/>
        <w:jc w:val="both"/>
        <w:rPr>
          <w:rFonts w:ascii="Book Antiqua" w:hAnsi="Book Antiqua" w:cs="Arial"/>
          <w:sz w:val="24"/>
          <w:szCs w:val="24"/>
        </w:rPr>
      </w:pPr>
      <w:r w:rsidRPr="00324BBD">
        <w:rPr>
          <w:rFonts w:ascii="Book Antiqua" w:hAnsi="Book Antiqua"/>
          <w:sz w:val="24"/>
          <w:szCs w:val="24"/>
        </w:rPr>
        <w:lastRenderedPageBreak/>
        <w:t>During the last decade, t</w:t>
      </w:r>
      <w:r w:rsidR="00AC717C" w:rsidRPr="00324BBD">
        <w:rPr>
          <w:rFonts w:ascii="Book Antiqua" w:hAnsi="Book Antiqua"/>
          <w:sz w:val="24"/>
          <w:szCs w:val="24"/>
        </w:rPr>
        <w:t xml:space="preserve">he discovery of </w:t>
      </w:r>
      <w:r w:rsidR="00850C34" w:rsidRPr="00324BBD">
        <w:rPr>
          <w:rFonts w:ascii="Book Antiqua" w:hAnsi="Book Antiqua"/>
          <w:sz w:val="24"/>
          <w:szCs w:val="24"/>
        </w:rPr>
        <w:t xml:space="preserve">the </w:t>
      </w:r>
      <w:r w:rsidR="00AC717C" w:rsidRPr="00324BBD">
        <w:rPr>
          <w:rFonts w:ascii="Book Antiqua" w:hAnsi="Book Antiqua"/>
          <w:sz w:val="24"/>
          <w:szCs w:val="24"/>
        </w:rPr>
        <w:t xml:space="preserve">anti-inflammatory properties of </w:t>
      </w:r>
      <w:r w:rsidR="00CB3FBA" w:rsidRPr="00324BBD">
        <w:rPr>
          <w:rFonts w:ascii="Book Antiqua" w:hAnsi="Book Antiqua"/>
          <w:sz w:val="24"/>
          <w:szCs w:val="24"/>
        </w:rPr>
        <w:t>HMOX1</w:t>
      </w:r>
      <w:r w:rsidR="00AC717C" w:rsidRPr="00324BBD">
        <w:rPr>
          <w:rFonts w:ascii="Book Antiqua" w:hAnsi="Book Antiqua"/>
          <w:sz w:val="24"/>
          <w:szCs w:val="24"/>
        </w:rPr>
        <w:t xml:space="preserve"> and the presence of oxidative stress in patients with cHCV </w:t>
      </w:r>
      <w:r w:rsidRPr="00324BBD">
        <w:rPr>
          <w:rFonts w:ascii="Book Antiqua" w:hAnsi="Book Antiqua"/>
          <w:sz w:val="24"/>
          <w:szCs w:val="24"/>
        </w:rPr>
        <w:t xml:space="preserve">has caused </w:t>
      </w:r>
      <w:r w:rsidR="00AC717C" w:rsidRPr="00324BBD">
        <w:rPr>
          <w:rFonts w:ascii="Book Antiqua" w:hAnsi="Book Antiqua"/>
          <w:sz w:val="24"/>
          <w:szCs w:val="24"/>
        </w:rPr>
        <w:t>many</w:t>
      </w:r>
      <w:r w:rsidRPr="00324BBD">
        <w:rPr>
          <w:rFonts w:ascii="Book Antiqua" w:hAnsi="Book Antiqua"/>
          <w:sz w:val="24"/>
          <w:szCs w:val="24"/>
        </w:rPr>
        <w:t xml:space="preserve"> researchers</w:t>
      </w:r>
      <w:r w:rsidR="00AC717C" w:rsidRPr="00324BBD">
        <w:rPr>
          <w:rFonts w:ascii="Book Antiqua" w:hAnsi="Book Antiqua"/>
          <w:sz w:val="24"/>
          <w:szCs w:val="24"/>
        </w:rPr>
        <w:t xml:space="preserve"> to evaluate the use of </w:t>
      </w:r>
      <w:r w:rsidR="00CB3FBA" w:rsidRPr="00324BBD">
        <w:rPr>
          <w:rFonts w:ascii="Book Antiqua" w:hAnsi="Book Antiqua"/>
          <w:sz w:val="24"/>
          <w:szCs w:val="24"/>
        </w:rPr>
        <w:t>HMOX1</w:t>
      </w:r>
      <w:r w:rsidR="00AC717C" w:rsidRPr="00324BBD">
        <w:rPr>
          <w:rFonts w:ascii="Book Antiqua" w:hAnsi="Book Antiqua"/>
          <w:sz w:val="24"/>
          <w:szCs w:val="24"/>
        </w:rPr>
        <w:t xml:space="preserve"> as a therapeutic option in cHCV. </w:t>
      </w:r>
      <w:r w:rsidRPr="00324BBD">
        <w:rPr>
          <w:rFonts w:ascii="Book Antiqua" w:hAnsi="Book Antiqua"/>
          <w:sz w:val="24"/>
          <w:szCs w:val="24"/>
        </w:rPr>
        <w:t>D</w:t>
      </w:r>
      <w:r w:rsidR="00AC717C" w:rsidRPr="00324BBD">
        <w:rPr>
          <w:rFonts w:ascii="Book Antiqua" w:hAnsi="Book Antiqua"/>
          <w:sz w:val="24"/>
          <w:szCs w:val="24"/>
        </w:rPr>
        <w:t xml:space="preserve">own-regulation of </w:t>
      </w:r>
      <w:r w:rsidR="00CB3FBA" w:rsidRPr="00324BBD">
        <w:rPr>
          <w:rFonts w:ascii="Book Antiqua" w:hAnsi="Book Antiqua"/>
          <w:sz w:val="24"/>
          <w:szCs w:val="24"/>
        </w:rPr>
        <w:t>HMOX1</w:t>
      </w:r>
      <w:r w:rsidR="00AC717C" w:rsidRPr="00324BBD">
        <w:rPr>
          <w:rFonts w:ascii="Book Antiqua" w:hAnsi="Book Antiqua"/>
          <w:sz w:val="24"/>
          <w:szCs w:val="24"/>
        </w:rPr>
        <w:t xml:space="preserve"> </w:t>
      </w:r>
      <w:r w:rsidRPr="00324BBD">
        <w:rPr>
          <w:rFonts w:ascii="Book Antiqua" w:hAnsi="Book Antiqua"/>
          <w:sz w:val="24"/>
          <w:szCs w:val="24"/>
        </w:rPr>
        <w:t xml:space="preserve">is observed </w:t>
      </w:r>
      <w:r w:rsidR="00AC717C" w:rsidRPr="00324BBD">
        <w:rPr>
          <w:rFonts w:ascii="Book Antiqua" w:hAnsi="Book Antiqua"/>
          <w:sz w:val="24"/>
          <w:szCs w:val="24"/>
        </w:rPr>
        <w:t>in hepatocyte cell lines that express HCV core protein</w:t>
      </w:r>
      <w:r w:rsidRPr="00324BBD">
        <w:rPr>
          <w:rFonts w:ascii="Book Antiqua" w:hAnsi="Book Antiqua"/>
          <w:sz w:val="24"/>
          <w:szCs w:val="24"/>
        </w:rPr>
        <w:t>,</w:t>
      </w:r>
      <w:r w:rsidR="00AC717C" w:rsidRPr="00324BBD">
        <w:rPr>
          <w:rFonts w:ascii="Book Antiqua" w:hAnsi="Book Antiqua"/>
          <w:sz w:val="24"/>
          <w:szCs w:val="24"/>
        </w:rPr>
        <w:t xml:space="preserve"> and </w:t>
      </w:r>
      <w:r w:rsidR="00CB3FBA" w:rsidRPr="00324BBD">
        <w:rPr>
          <w:rFonts w:ascii="Book Antiqua" w:hAnsi="Book Antiqua"/>
          <w:sz w:val="24"/>
          <w:szCs w:val="24"/>
        </w:rPr>
        <w:t>HMOX1</w:t>
      </w:r>
      <w:r w:rsidR="00AC717C" w:rsidRPr="00324BBD">
        <w:rPr>
          <w:rFonts w:ascii="Book Antiqua" w:hAnsi="Book Antiqua"/>
          <w:sz w:val="24"/>
          <w:szCs w:val="24"/>
        </w:rPr>
        <w:t xml:space="preserve"> </w:t>
      </w:r>
      <w:r w:rsidRPr="00324BBD">
        <w:rPr>
          <w:rFonts w:ascii="Book Antiqua" w:hAnsi="Book Antiqua"/>
          <w:sz w:val="24"/>
          <w:szCs w:val="24"/>
        </w:rPr>
        <w:t xml:space="preserve">induction </w:t>
      </w:r>
      <w:r w:rsidR="00AC717C" w:rsidRPr="00324BBD">
        <w:rPr>
          <w:rFonts w:ascii="Book Antiqua" w:hAnsi="Book Antiqua"/>
          <w:sz w:val="24"/>
          <w:szCs w:val="24"/>
        </w:rPr>
        <w:t xml:space="preserve">in </w:t>
      </w:r>
      <w:r w:rsidRPr="00324BBD">
        <w:rPr>
          <w:rFonts w:ascii="Book Antiqua" w:hAnsi="Book Antiqua"/>
          <w:sz w:val="24"/>
          <w:szCs w:val="24"/>
        </w:rPr>
        <w:t xml:space="preserve">these </w:t>
      </w:r>
      <w:r w:rsidR="00AC717C" w:rsidRPr="00324BBD">
        <w:rPr>
          <w:rFonts w:ascii="Book Antiqua" w:hAnsi="Book Antiqua"/>
          <w:sz w:val="24"/>
          <w:szCs w:val="24"/>
        </w:rPr>
        <w:t>cells in response to cytotoxic stressors is also diminished</w:t>
      </w:r>
      <w:r w:rsidR="00EB5F99" w:rsidRPr="00324BBD">
        <w:rPr>
          <w:rFonts w:ascii="Book Antiqua" w:hAnsi="Book Antiqua"/>
          <w:sz w:val="24"/>
          <w:szCs w:val="24"/>
        </w:rPr>
        <w:fldChar w:fldCharType="begin"/>
      </w:r>
      <w:r w:rsidR="00AC717C" w:rsidRPr="00324BBD">
        <w:rPr>
          <w:rFonts w:ascii="Book Antiqua" w:hAnsi="Book Antiqua"/>
          <w:sz w:val="24"/>
          <w:szCs w:val="24"/>
        </w:rPr>
        <w:instrText xml:space="preserve"> ADDIN ZOTERO_ITEM CSL_CITATION {"citationID":"3Jn2uJRs","properties":{"formattedCitation":"{\\rtf \\super [77]\\nosupersub{}}","plainCitation":"[77]"},"citationItems":[{"id":495,"uris":["http://zotero.org/users/1747505/items/T93KH8VB"],"uri":["http://zotero.org/users/1747505/items/T93KH8VB"],"itemData":{"id":495,"type":"article-journal","title":"Hepatitis C core protein inhibits induction of heme oxygenase-1 and sensitizes hepatocytes to cytotoxicity","container-title":"Cell biology and toxicology","page":"175-188","volume":"24","issue":"2","source":"NCBI PubMed","abstract":"Hepatitis C virus (HCV) core protein is a transcriptional modifier whose expression is associated with increased levels of prooxidants in hepatocytes in vivo and in vitro. We previously reported that HCV-infected liver biopsies and core protein-expressing hepatocytes show diminished levels of heme oxygenase-1 (HO-1), which is an important oxidative defense enzyme. The objective of these studies was to test the hypothesis that the expression of core protein sensitizes hepatocytes to toxic injury and inhibits the induction of HO-1 in response to stress. The effects of core protein were tested in two different human hepatocyte cell lines, HepG2 and Huh7, which show increased prooxidative activity and cytotoxicity after treatment with heme, heavy metals, and peroxides compared to control cells. HO-1 is upregulated in response to these treatments in control cells, while the induction is attenuated in core protein-expressing cells. The effects of core protein on HO-1 expression are not accounted for by differences in HO-1 mRNA turnover or by the known effects of core protein on cellular proliferation. Collectively, these data suggest that HCV core protein may contribute to hepatocellular injury by increasing both steady-state levels of prooxidants and the susceptibility of hepatocytes to damage by impairing their response to other sources of oxidative stress.","DOI":"10.1007/s10565-007-9027-9","ISSN":"0742-2091","note":"PMID: 17721824","journalAbbreviation":"Cell Biol. Toxicol.","language":"eng","author":[{"family":"Wen","given":"Feng"},{"family":"Brown","given":"Kyle E"},{"family":"Britigan","given":"Bradley E"},{"family":"Schmidt","given":"Warren N"}],"issued":{"date-parts":[["2008",4]]},"PMID":"17721824"}}],"schema":"https://github.com/citation-style-language/schema/raw/master/csl-citation.json"} </w:instrText>
      </w:r>
      <w:r w:rsidR="00EB5F99" w:rsidRPr="00324BBD">
        <w:rPr>
          <w:rFonts w:ascii="Book Antiqua" w:hAnsi="Book Antiqua"/>
          <w:sz w:val="24"/>
          <w:szCs w:val="24"/>
        </w:rPr>
        <w:fldChar w:fldCharType="separate"/>
      </w:r>
      <w:r w:rsidR="00AC717C" w:rsidRPr="00324BBD">
        <w:rPr>
          <w:rFonts w:ascii="Book Antiqua" w:hAnsi="Book Antiqua" w:cs="Times New Roman"/>
          <w:sz w:val="24"/>
          <w:szCs w:val="24"/>
          <w:vertAlign w:val="superscript"/>
        </w:rPr>
        <w:t>[</w:t>
      </w:r>
      <w:r w:rsidR="00A84732" w:rsidRPr="00324BBD">
        <w:rPr>
          <w:rFonts w:ascii="Book Antiqua" w:hAnsi="Book Antiqua" w:cs="Times New Roman"/>
          <w:sz w:val="24"/>
          <w:szCs w:val="24"/>
          <w:vertAlign w:val="superscript"/>
        </w:rPr>
        <w:t>33</w:t>
      </w:r>
      <w:r w:rsidR="00AC717C" w:rsidRPr="00324BBD">
        <w:rPr>
          <w:rFonts w:ascii="Book Antiqua" w:hAnsi="Book Antiqua" w:cs="Times New Roman"/>
          <w:sz w:val="24"/>
          <w:szCs w:val="24"/>
          <w:vertAlign w:val="superscript"/>
        </w:rPr>
        <w:t>]</w:t>
      </w:r>
      <w:r w:rsidR="00EB5F99" w:rsidRPr="00324BBD">
        <w:rPr>
          <w:rFonts w:ascii="Book Antiqua" w:hAnsi="Book Antiqua"/>
          <w:sz w:val="24"/>
          <w:szCs w:val="24"/>
        </w:rPr>
        <w:fldChar w:fldCharType="end"/>
      </w:r>
      <w:r w:rsidR="00AC717C" w:rsidRPr="00324BBD">
        <w:rPr>
          <w:rFonts w:ascii="Book Antiqua" w:hAnsi="Book Antiqua"/>
          <w:sz w:val="24"/>
          <w:szCs w:val="24"/>
        </w:rPr>
        <w:t xml:space="preserve">. Heme is a potent inducer of </w:t>
      </w:r>
      <w:r w:rsidR="00CB3FBA" w:rsidRPr="00324BBD">
        <w:rPr>
          <w:rFonts w:ascii="Book Antiqua" w:hAnsi="Book Antiqua"/>
          <w:sz w:val="24"/>
          <w:szCs w:val="24"/>
        </w:rPr>
        <w:t>HMOX1</w:t>
      </w:r>
      <w:r w:rsidR="00AC717C" w:rsidRPr="00324BBD">
        <w:rPr>
          <w:rFonts w:ascii="Book Antiqua" w:hAnsi="Book Antiqua"/>
          <w:sz w:val="24"/>
          <w:szCs w:val="24"/>
        </w:rPr>
        <w:t xml:space="preserve"> and can abrogate HCV</w:t>
      </w:r>
      <w:r w:rsidRPr="00324BBD">
        <w:rPr>
          <w:rFonts w:ascii="Book Antiqua" w:hAnsi="Book Antiqua"/>
          <w:sz w:val="24"/>
          <w:szCs w:val="24"/>
        </w:rPr>
        <w:t>-</w:t>
      </w:r>
      <w:r w:rsidR="00AC717C" w:rsidRPr="00324BBD">
        <w:rPr>
          <w:rFonts w:ascii="Book Antiqua" w:hAnsi="Book Antiqua"/>
          <w:sz w:val="24"/>
          <w:szCs w:val="24"/>
        </w:rPr>
        <w:t xml:space="preserve">induced </w:t>
      </w:r>
      <w:r w:rsidR="00CB3FBA" w:rsidRPr="00324BBD">
        <w:rPr>
          <w:rFonts w:ascii="Book Antiqua" w:hAnsi="Book Antiqua"/>
          <w:sz w:val="24"/>
          <w:szCs w:val="24"/>
        </w:rPr>
        <w:t>HMOX1</w:t>
      </w:r>
      <w:r w:rsidR="00AC717C" w:rsidRPr="00324BBD">
        <w:rPr>
          <w:rFonts w:ascii="Book Antiqua" w:hAnsi="Book Antiqua"/>
          <w:sz w:val="24"/>
          <w:szCs w:val="24"/>
        </w:rPr>
        <w:t xml:space="preserve"> suppression in </w:t>
      </w:r>
      <w:r w:rsidRPr="00324BBD">
        <w:rPr>
          <w:rFonts w:ascii="Book Antiqua" w:hAnsi="Book Antiqua"/>
          <w:sz w:val="24"/>
          <w:szCs w:val="24"/>
        </w:rPr>
        <w:t>h</w:t>
      </w:r>
      <w:r w:rsidR="00AC717C" w:rsidRPr="00324BBD">
        <w:rPr>
          <w:rFonts w:ascii="Book Antiqua" w:hAnsi="Book Antiqua"/>
          <w:sz w:val="24"/>
          <w:szCs w:val="24"/>
        </w:rPr>
        <w:t xml:space="preserve">epatocytes. </w:t>
      </w:r>
      <w:r w:rsidRPr="00324BBD">
        <w:rPr>
          <w:rFonts w:ascii="Book Antiqua" w:hAnsi="Book Antiqua"/>
          <w:sz w:val="24"/>
          <w:szCs w:val="24"/>
        </w:rPr>
        <w:t>Ribavirin-induced h</w:t>
      </w:r>
      <w:r w:rsidR="00AC717C" w:rsidRPr="00324BBD">
        <w:rPr>
          <w:rFonts w:ascii="Book Antiqua" w:hAnsi="Book Antiqua"/>
          <w:sz w:val="24"/>
          <w:szCs w:val="24"/>
        </w:rPr>
        <w:t xml:space="preserve">emolysis provides </w:t>
      </w:r>
      <w:r w:rsidRPr="00324BBD">
        <w:rPr>
          <w:rFonts w:ascii="Book Antiqua" w:hAnsi="Book Antiqua"/>
          <w:sz w:val="24"/>
          <w:szCs w:val="24"/>
        </w:rPr>
        <w:t>sufficient</w:t>
      </w:r>
      <w:r w:rsidR="00AC717C" w:rsidRPr="00324BBD">
        <w:rPr>
          <w:rFonts w:ascii="Book Antiqua" w:hAnsi="Book Antiqua"/>
          <w:sz w:val="24"/>
          <w:szCs w:val="24"/>
        </w:rPr>
        <w:t xml:space="preserve"> heme that </w:t>
      </w:r>
      <w:r w:rsidR="008D3842" w:rsidRPr="00324BBD">
        <w:rPr>
          <w:rFonts w:ascii="Book Antiqua" w:hAnsi="Book Antiqua"/>
          <w:sz w:val="24"/>
          <w:szCs w:val="24"/>
          <w:lang w:eastAsia="zh-CN"/>
        </w:rPr>
        <w:t>(</w:t>
      </w:r>
      <w:r w:rsidR="00AC717C" w:rsidRPr="00324BBD">
        <w:rPr>
          <w:rFonts w:ascii="Book Antiqua" w:hAnsi="Book Antiqua"/>
          <w:sz w:val="24"/>
          <w:szCs w:val="24"/>
        </w:rPr>
        <w:t xml:space="preserve">1) increases </w:t>
      </w:r>
      <w:r w:rsidR="00CB3FBA" w:rsidRPr="00324BBD">
        <w:rPr>
          <w:rFonts w:ascii="Book Antiqua" w:hAnsi="Book Antiqua"/>
          <w:sz w:val="24"/>
          <w:szCs w:val="24"/>
        </w:rPr>
        <w:t>HMOX1</w:t>
      </w:r>
      <w:r w:rsidR="00AC717C" w:rsidRPr="00324BBD">
        <w:rPr>
          <w:rFonts w:ascii="Book Antiqua" w:hAnsi="Book Antiqua"/>
          <w:sz w:val="24"/>
          <w:szCs w:val="24"/>
        </w:rPr>
        <w:t xml:space="preserve"> in Kupffer cells and decreases inflammation</w:t>
      </w:r>
      <w:r w:rsidRPr="00324BBD">
        <w:rPr>
          <w:rFonts w:ascii="Book Antiqua" w:hAnsi="Book Antiqua"/>
          <w:sz w:val="24"/>
          <w:szCs w:val="24"/>
        </w:rPr>
        <w:t>;</w:t>
      </w:r>
      <w:r w:rsidR="00AC717C" w:rsidRPr="00324BBD">
        <w:rPr>
          <w:rFonts w:ascii="Book Antiqua" w:hAnsi="Book Antiqua"/>
          <w:sz w:val="24"/>
          <w:szCs w:val="24"/>
        </w:rPr>
        <w:t xml:space="preserve"> </w:t>
      </w:r>
      <w:r w:rsidR="008D3842" w:rsidRPr="00324BBD">
        <w:rPr>
          <w:rFonts w:ascii="Book Antiqua" w:hAnsi="Book Antiqua"/>
          <w:sz w:val="24"/>
          <w:szCs w:val="24"/>
          <w:lang w:eastAsia="zh-CN"/>
        </w:rPr>
        <w:t>(</w:t>
      </w:r>
      <w:r w:rsidR="00AC717C" w:rsidRPr="00324BBD">
        <w:rPr>
          <w:rFonts w:ascii="Book Antiqua" w:hAnsi="Book Antiqua"/>
          <w:sz w:val="24"/>
          <w:szCs w:val="24"/>
        </w:rPr>
        <w:t xml:space="preserve">2) increases </w:t>
      </w:r>
      <w:r w:rsidR="00CB3FBA" w:rsidRPr="00324BBD">
        <w:rPr>
          <w:rFonts w:ascii="Book Antiqua" w:hAnsi="Book Antiqua"/>
          <w:sz w:val="24"/>
          <w:szCs w:val="24"/>
        </w:rPr>
        <w:t>HMOX1</w:t>
      </w:r>
      <w:r w:rsidR="00AC717C" w:rsidRPr="00324BBD">
        <w:rPr>
          <w:rFonts w:ascii="Book Antiqua" w:hAnsi="Book Antiqua"/>
          <w:sz w:val="24"/>
          <w:szCs w:val="24"/>
        </w:rPr>
        <w:t xml:space="preserve"> in </w:t>
      </w:r>
      <w:r w:rsidRPr="00324BBD">
        <w:rPr>
          <w:rFonts w:ascii="Book Antiqua" w:hAnsi="Book Antiqua"/>
          <w:sz w:val="24"/>
          <w:szCs w:val="24"/>
        </w:rPr>
        <w:t xml:space="preserve">hepatocytes, </w:t>
      </w:r>
      <w:r w:rsidR="00AC717C" w:rsidRPr="00324BBD">
        <w:rPr>
          <w:rFonts w:ascii="Book Antiqua" w:hAnsi="Book Antiqua"/>
          <w:sz w:val="24"/>
          <w:szCs w:val="24"/>
        </w:rPr>
        <w:t xml:space="preserve">which decreases the oxidative damage and apoptosis caused by HCV and </w:t>
      </w:r>
      <w:r w:rsidRPr="00324BBD">
        <w:rPr>
          <w:rFonts w:ascii="Book Antiqua" w:hAnsi="Book Antiqua"/>
          <w:sz w:val="24"/>
          <w:szCs w:val="24"/>
        </w:rPr>
        <w:t xml:space="preserve">which slightly </w:t>
      </w:r>
      <w:r w:rsidR="00AC717C" w:rsidRPr="00324BBD">
        <w:rPr>
          <w:rFonts w:ascii="Book Antiqua" w:hAnsi="Book Antiqua"/>
          <w:sz w:val="24"/>
          <w:szCs w:val="24"/>
        </w:rPr>
        <w:t>decreases HCV replication</w:t>
      </w:r>
      <w:r w:rsidRPr="00324BBD">
        <w:rPr>
          <w:rFonts w:ascii="Book Antiqua" w:hAnsi="Book Antiqua"/>
          <w:sz w:val="24"/>
          <w:szCs w:val="24"/>
        </w:rPr>
        <w:t>;</w:t>
      </w:r>
      <w:r w:rsidR="00AC717C" w:rsidRPr="00324BBD">
        <w:rPr>
          <w:rFonts w:ascii="Book Antiqua" w:hAnsi="Book Antiqua"/>
          <w:sz w:val="24"/>
          <w:szCs w:val="24"/>
        </w:rPr>
        <w:t xml:space="preserve"> </w:t>
      </w:r>
      <w:r w:rsidR="005E2186" w:rsidRPr="00324BBD">
        <w:rPr>
          <w:rFonts w:ascii="Book Antiqua" w:hAnsi="Book Antiqua"/>
          <w:sz w:val="24"/>
          <w:szCs w:val="24"/>
        </w:rPr>
        <w:t xml:space="preserve">and </w:t>
      </w:r>
      <w:r w:rsidR="008D3842" w:rsidRPr="00324BBD">
        <w:rPr>
          <w:rFonts w:ascii="Book Antiqua" w:hAnsi="Book Antiqua"/>
          <w:sz w:val="24"/>
          <w:szCs w:val="24"/>
          <w:lang w:eastAsia="zh-CN"/>
        </w:rPr>
        <w:t>(</w:t>
      </w:r>
      <w:r w:rsidR="00AC717C" w:rsidRPr="00324BBD">
        <w:rPr>
          <w:rFonts w:ascii="Book Antiqua" w:hAnsi="Book Antiqua"/>
          <w:sz w:val="24"/>
          <w:szCs w:val="24"/>
        </w:rPr>
        <w:t xml:space="preserve">3) restores </w:t>
      </w:r>
      <w:r w:rsidR="00AC717C" w:rsidRPr="00324BBD">
        <w:rPr>
          <w:rFonts w:ascii="Book Antiqua" w:hAnsi="Book Antiqua"/>
          <w:bCs/>
          <w:sz w:val="24"/>
          <w:szCs w:val="24"/>
        </w:rPr>
        <w:t>IFN promoter activation and ISG</w:t>
      </w:r>
      <w:r w:rsidRPr="00324BBD">
        <w:rPr>
          <w:rFonts w:ascii="Book Antiqua" w:hAnsi="Book Antiqua"/>
          <w:bCs/>
          <w:sz w:val="24"/>
          <w:szCs w:val="24"/>
        </w:rPr>
        <w:t xml:space="preserve"> production, which</w:t>
      </w:r>
      <w:r w:rsidR="00AC717C" w:rsidRPr="00324BBD">
        <w:rPr>
          <w:rFonts w:ascii="Book Antiqua" w:hAnsi="Book Antiqua"/>
          <w:bCs/>
          <w:sz w:val="24"/>
          <w:szCs w:val="24"/>
        </w:rPr>
        <w:t xml:space="preserve"> are altered by </w:t>
      </w:r>
      <w:r w:rsidR="00CD1799" w:rsidRPr="00324BBD">
        <w:rPr>
          <w:rFonts w:ascii="Book Antiqua" w:hAnsi="Book Antiqua"/>
          <w:bCs/>
          <w:sz w:val="24"/>
          <w:szCs w:val="24"/>
        </w:rPr>
        <w:t>HCV core proteins and by NS3/4A, which interfere with</w:t>
      </w:r>
      <w:r w:rsidR="00AC717C" w:rsidRPr="00324BBD">
        <w:rPr>
          <w:rFonts w:ascii="Book Antiqua" w:hAnsi="Book Antiqua"/>
          <w:bCs/>
          <w:sz w:val="24"/>
          <w:szCs w:val="24"/>
        </w:rPr>
        <w:t xml:space="preserve"> IFN signaling</w:t>
      </w:r>
      <w:r w:rsidR="00EB5F99" w:rsidRPr="00324BBD">
        <w:rPr>
          <w:rFonts w:ascii="Book Antiqua" w:hAnsi="Book Antiqua" w:cs="Arial"/>
          <w:sz w:val="24"/>
          <w:szCs w:val="24"/>
        </w:rPr>
        <w:fldChar w:fldCharType="begin"/>
      </w:r>
      <w:r w:rsidR="00AC717C" w:rsidRPr="00324BBD">
        <w:rPr>
          <w:rFonts w:ascii="Book Antiqua" w:hAnsi="Book Antiqua" w:cs="Arial"/>
          <w:sz w:val="24"/>
          <w:szCs w:val="24"/>
        </w:rPr>
        <w:instrText xml:space="preserve"> ADDIN ZOTERO_ITEM CSL_CITATION {"citationID":"Zsy9IUY9","properties":{"formattedCitation":"{\\rtf \\super [78]\\nosupersub{}}","plainCitation":"[78]"},"citationItems":[{"id":217,"uris":["http://zotero.org/users/1747505/items/IQETQKQF"],"uri":["http://zotero.org/users/1747505/items/IQETQKQF"],"itemData":{"id":217,"type":"article-journal","title":"Heme and HO-1 Inhibition of HCV, HBV, and HIV","container-title":"Frontiers in Pharmacology","volume":"3","source":"PubMed Central","abstract":"Hepatitis C virus, human immunodeficiency virus, and hepatitis B virus are chronic viral infections that cause considerable morbidity and mortality throughout the world. In the decades following the identification and sequencing of these viruses, in vitro experiments demonstrated that heme oxygenase-1, its oxidative products, and related compounds of the heme oxygenase system inhibit replication of all 3 viruses. The purpose of this review is to critically evaluate and summarize the seminal studies that described and characterized this remarkable behavior. It will also discuss more recent work that discovered the antiviral mechanisms and target sites of these unique antiviral agents. In spite of the fact that these viruses are diverse pathogens with quite profound differences in structure and life cycle, it is significant that heme and related compounds show striking similarity for viral target sites across all three species. Collectively, these findings strongly indicate that we should move forward and develop heme and related tetrapyrroles into versatile antiviral agents that could be used therapeutically in patients with single or multiple viral infections.","URL":"http://www.ncbi.nlm.nih.gov/pmc/articles/PMC3463857/","DOI":"10.3389/fphar.2012.00129","ISSN":"1663-9812","note":"PMID: 23060790\nPMCID: PMC3463857","journalAbbreviation":"Front Pharmacol","author":[{"family":"Schmidt","given":"Warren N."},{"family":"Mathahs","given":"M. Meleah"},{"family":"Zhu","given":"Zhaowen"}],"issued":{"date-parts":[["2012",10,4]]},"accessed":{"date-parts":[["2014",3,7]]},"PMID":"23060790","PMCID":"PMC3463857"}}],"schema":"https://github.com/citation-style-language/schema/raw/master/csl-citation.json"} </w:instrText>
      </w:r>
      <w:r w:rsidR="00EB5F99" w:rsidRPr="00324BBD">
        <w:rPr>
          <w:rFonts w:ascii="Book Antiqua" w:hAnsi="Book Antiqua" w:cs="Arial"/>
          <w:sz w:val="24"/>
          <w:szCs w:val="24"/>
        </w:rPr>
        <w:fldChar w:fldCharType="separate"/>
      </w:r>
      <w:r w:rsidR="00A84732" w:rsidRPr="00324BBD">
        <w:rPr>
          <w:rFonts w:ascii="Book Antiqua" w:hAnsi="Book Antiqua" w:cs="Times New Roman"/>
          <w:sz w:val="24"/>
          <w:szCs w:val="24"/>
          <w:vertAlign w:val="superscript"/>
        </w:rPr>
        <w:t>[34</w:t>
      </w:r>
      <w:r w:rsidR="00AC717C" w:rsidRPr="00324BBD">
        <w:rPr>
          <w:rFonts w:ascii="Book Antiqua" w:hAnsi="Book Antiqua" w:cs="Times New Roman"/>
          <w:sz w:val="24"/>
          <w:szCs w:val="24"/>
          <w:vertAlign w:val="superscript"/>
        </w:rPr>
        <w:t>]</w:t>
      </w:r>
      <w:r w:rsidR="00EB5F99" w:rsidRPr="00324BBD">
        <w:rPr>
          <w:rFonts w:ascii="Book Antiqua" w:hAnsi="Book Antiqua" w:cs="Arial"/>
          <w:sz w:val="24"/>
          <w:szCs w:val="24"/>
        </w:rPr>
        <w:fldChar w:fldCharType="end"/>
      </w:r>
      <w:r w:rsidR="00AC717C" w:rsidRPr="00324BBD">
        <w:rPr>
          <w:rFonts w:ascii="Book Antiqua" w:hAnsi="Book Antiqua" w:cs="Arial"/>
          <w:sz w:val="24"/>
          <w:szCs w:val="24"/>
        </w:rPr>
        <w:t>.</w:t>
      </w:r>
    </w:p>
    <w:p w:rsidR="00110B2A" w:rsidRPr="00324BBD" w:rsidRDefault="00110B2A" w:rsidP="008759E1">
      <w:pPr>
        <w:snapToGrid w:val="0"/>
        <w:spacing w:line="360" w:lineRule="auto"/>
        <w:jc w:val="both"/>
        <w:rPr>
          <w:rFonts w:ascii="Book Antiqua" w:hAnsi="Book Antiqua" w:cs="Arial"/>
          <w:sz w:val="24"/>
          <w:szCs w:val="24"/>
        </w:rPr>
      </w:pPr>
    </w:p>
    <w:p w:rsidR="00110B2A" w:rsidRPr="00324BBD" w:rsidRDefault="00110B2A" w:rsidP="008759E1">
      <w:pPr>
        <w:snapToGrid w:val="0"/>
        <w:spacing w:line="360" w:lineRule="auto"/>
        <w:jc w:val="both"/>
        <w:rPr>
          <w:rFonts w:ascii="Book Antiqua" w:hAnsi="Book Antiqua" w:cs="Arial"/>
          <w:b/>
          <w:sz w:val="24"/>
          <w:szCs w:val="24"/>
        </w:rPr>
      </w:pPr>
      <w:r w:rsidRPr="00324BBD">
        <w:rPr>
          <w:rFonts w:ascii="Book Antiqua" w:hAnsi="Book Antiqua" w:cs="Arial"/>
          <w:b/>
          <w:sz w:val="24"/>
          <w:szCs w:val="24"/>
        </w:rPr>
        <w:t xml:space="preserve">BIO-CHEMICAL EVIDENCE FOR HEMOLYSIS AS THE MECHANISM FOR </w:t>
      </w:r>
      <w:r w:rsidR="00984F44" w:rsidRPr="00324BBD">
        <w:rPr>
          <w:rFonts w:ascii="Book Antiqua" w:hAnsi="Book Antiqua" w:cs="Arial"/>
          <w:b/>
          <w:sz w:val="24"/>
          <w:szCs w:val="24"/>
        </w:rPr>
        <w:t xml:space="preserve">THE </w:t>
      </w:r>
      <w:r w:rsidRPr="00324BBD">
        <w:rPr>
          <w:rFonts w:ascii="Book Antiqua" w:hAnsi="Book Antiqua" w:cs="Arial"/>
          <w:b/>
          <w:sz w:val="24"/>
          <w:szCs w:val="24"/>
        </w:rPr>
        <w:t xml:space="preserve">SYNERGISTIC ACTION OF RIBAVIRIN AGAINST HCV </w:t>
      </w:r>
    </w:p>
    <w:p w:rsidR="00110B2A" w:rsidRPr="00324BBD" w:rsidRDefault="00110B2A" w:rsidP="008759E1">
      <w:pPr>
        <w:snapToGrid w:val="0"/>
        <w:spacing w:line="360" w:lineRule="auto"/>
        <w:jc w:val="both"/>
        <w:rPr>
          <w:rFonts w:ascii="Book Antiqua" w:hAnsi="Book Antiqua" w:cs="Arial"/>
          <w:sz w:val="24"/>
          <w:szCs w:val="24"/>
        </w:rPr>
      </w:pPr>
      <w:r w:rsidRPr="00324BBD">
        <w:rPr>
          <w:rFonts w:ascii="Book Antiqua" w:hAnsi="Book Antiqua"/>
          <w:sz w:val="24"/>
          <w:szCs w:val="24"/>
        </w:rPr>
        <w:t xml:space="preserve">Zhu </w:t>
      </w:r>
      <w:r w:rsidR="00FE5DB7" w:rsidRPr="00324BBD">
        <w:rPr>
          <w:rFonts w:ascii="Book Antiqua" w:hAnsi="Book Antiqua"/>
          <w:i/>
          <w:sz w:val="24"/>
          <w:szCs w:val="24"/>
        </w:rPr>
        <w:t>et al</w:t>
      </w:r>
      <w:r w:rsidR="00EB5F99" w:rsidRPr="00324BBD">
        <w:rPr>
          <w:rFonts w:ascii="Book Antiqua" w:hAnsi="Book Antiqua"/>
          <w:sz w:val="24"/>
          <w:szCs w:val="24"/>
        </w:rPr>
        <w:fldChar w:fldCharType="begin"/>
      </w:r>
      <w:r w:rsidR="009D75F7" w:rsidRPr="00324BBD">
        <w:rPr>
          <w:rFonts w:ascii="Book Antiqua" w:hAnsi="Book Antiqua"/>
          <w:sz w:val="24"/>
          <w:szCs w:val="24"/>
        </w:rPr>
        <w:instrText xml:space="preserve"> ADDIN ZOTERO_ITEM CSL_CITATION {"citationID":"9NYEr5xg","properties":{"formattedCitation":"{\\rtf \\super [79]\\nosupersub{}}","plainCitation":"[79]"},"citationItems":[{"id":308,"uris":["http://zotero.org/users/1747505/items/9C7MAGBE"],"uri":["http://zotero.org/users/1747505/items/9C7MAGBE"],"itemData":{"id":308,"type":"article-journal","title":"Heme Oxygenase-1 suppresses Hepatitis C Virus replication and increases resistance of hepatocytes to oxidant injury","container-title":"Hepatology (Baltimore, Md.)","page":"1430-1439","volume":"48","issue":"5","source":"PubMed Central","abstract":"Oxidative injury to hepatocytes occurs as a result of HCV infection and replication. Modulation of host cell antioxidant enzymes such as heme oxygenase-1 (HO-1) may be useful therapeutically to minimize cellular injury, reduce viral replication, and attenuate liver disease. In this report, we evaluated the effects of HO-1 overexpression on HCV replication and hepatocellular injury. Full length (FL) (Con1) or Non-structural (NS) replicons (I 389 NS3-3</w:instrText>
      </w:r>
      <w:r w:rsidR="009D75F7" w:rsidRPr="00324BBD">
        <w:rPr>
          <w:rFonts w:ascii="Book Antiqua" w:hAnsi="Book Antiqua" w:cs="Times New Roman"/>
          <w:sz w:val="24"/>
          <w:szCs w:val="24"/>
        </w:rPr>
        <w:instrText>′</w:instrText>
      </w:r>
      <w:r w:rsidR="009D75F7" w:rsidRPr="00324BBD">
        <w:rPr>
          <w:rFonts w:ascii="Book Antiqua" w:hAnsi="Book Antiqua"/>
          <w:sz w:val="24"/>
          <w:szCs w:val="24"/>
        </w:rPr>
        <w:instrText xml:space="preserve">) were transfected with complete human HO-1 sequences or empty vector for control. Cell lines overexpressing HO-1 (2-6 fold above basal values) or empty vector were isolated and their HCV RNA synthesis, pro-oxidant levels, and resistance to oxidative injury were assessed. HO-1 overexpression decreased HCV RNA replication in both FL and NS replicons without affecting cellular growth or DNA synthesis. The attenuation of HCV replication was significantly reversed in both replicon systems with HO-1 siRNA knockdown. Both FL and NS replicons that overexpress HO-1 showed reduced prooxidant levels at baseline and increased resistance to oxidant-induced cytotoxicity. HO-1 induction with hemin also markedly decreased HCV replication in both parental FL and NS replicon cell lines. On the other hand, knock-down of HO-1 mRNA by siRNA in parental FL or NS replicons did not significantly affect HCV replication suggesting that less than basal levels of HO-1 had minimal affect on HCV replication.","DOI":"10.1002/hep.22491","ISSN":"0270-9139","note":"PMID: 18972446\nPMCID: PMC2587102","journalAbbreviation":"Hepatology","author":[{"family":"Zhu","given":"Zhaowen"},{"family":"Wilson","given":"Anne T."},{"family":"Mathis","given":"M. Meleah"},{"family":"Wen","given":"Feng"},{"family":"Brown","given":"Kyle E."},{"family":"Luxon","given":"Bruce A."},{"family":"Schmidt","given":"Warren N."}],"issued":{"date-parts":[["2008",11]]},"accessed":{"date-parts":[["2014",1,25]],"season":"06:52:42"},"PMID":"18972446","PMCID":"PMC2587102"}}],"schema":"https://github.com/citation-style-language/schema/raw/master/csl-citation.json"} </w:instrText>
      </w:r>
      <w:r w:rsidR="00EB5F99" w:rsidRPr="00324BBD">
        <w:rPr>
          <w:rFonts w:ascii="Book Antiqua" w:hAnsi="Book Antiqua"/>
          <w:sz w:val="24"/>
          <w:szCs w:val="24"/>
        </w:rPr>
        <w:fldChar w:fldCharType="separate"/>
      </w:r>
      <w:r w:rsidR="009D75F7" w:rsidRPr="00324BBD">
        <w:rPr>
          <w:rFonts w:ascii="Book Antiqua" w:hAnsi="Book Antiqua" w:cs="Times New Roman"/>
          <w:sz w:val="24"/>
          <w:szCs w:val="24"/>
          <w:vertAlign w:val="superscript"/>
        </w:rPr>
        <w:t>[35]</w:t>
      </w:r>
      <w:r w:rsidR="00EB5F99" w:rsidRPr="00324BBD">
        <w:rPr>
          <w:rFonts w:ascii="Book Antiqua" w:hAnsi="Book Antiqua"/>
          <w:sz w:val="24"/>
          <w:szCs w:val="24"/>
        </w:rPr>
        <w:fldChar w:fldCharType="end"/>
      </w:r>
      <w:r w:rsidRPr="00324BBD">
        <w:rPr>
          <w:rFonts w:ascii="Book Antiqua" w:hAnsi="Book Antiqua"/>
          <w:sz w:val="24"/>
          <w:szCs w:val="24"/>
        </w:rPr>
        <w:t xml:space="preserve"> evaluated the </w:t>
      </w:r>
      <w:r w:rsidR="00984F44" w:rsidRPr="00324BBD">
        <w:rPr>
          <w:rFonts w:ascii="Book Antiqua" w:hAnsi="Book Antiqua"/>
          <w:sz w:val="24"/>
          <w:szCs w:val="24"/>
        </w:rPr>
        <w:t xml:space="preserve">effect </w:t>
      </w:r>
      <w:r w:rsidRPr="00324BBD">
        <w:rPr>
          <w:rFonts w:ascii="Book Antiqua" w:hAnsi="Book Antiqua"/>
          <w:sz w:val="24"/>
          <w:szCs w:val="24"/>
        </w:rPr>
        <w:t xml:space="preserve">of </w:t>
      </w:r>
      <w:r w:rsidR="00A762E3" w:rsidRPr="00324BBD">
        <w:rPr>
          <w:rFonts w:ascii="Book Antiqua" w:hAnsi="Book Antiqua"/>
          <w:sz w:val="24"/>
          <w:szCs w:val="24"/>
        </w:rPr>
        <w:t>HMOX1</w:t>
      </w:r>
      <w:r w:rsidRPr="00324BBD">
        <w:rPr>
          <w:rFonts w:ascii="Book Antiqua" w:hAnsi="Book Antiqua"/>
          <w:sz w:val="24"/>
          <w:szCs w:val="24"/>
        </w:rPr>
        <w:t xml:space="preserve"> overexpression and induction on h</w:t>
      </w:r>
      <w:r w:rsidR="009D75F7" w:rsidRPr="00324BBD">
        <w:rPr>
          <w:rFonts w:ascii="Book Antiqua" w:hAnsi="Book Antiqua"/>
          <w:sz w:val="24"/>
          <w:szCs w:val="24"/>
        </w:rPr>
        <w:t>uman hepatoma cell lines</w:t>
      </w:r>
      <w:r w:rsidRPr="00324BBD">
        <w:rPr>
          <w:rFonts w:ascii="Book Antiqua" w:hAnsi="Book Antiqua"/>
          <w:sz w:val="24"/>
          <w:szCs w:val="24"/>
        </w:rPr>
        <w:t xml:space="preserve">. </w:t>
      </w:r>
      <w:r w:rsidR="00A762E3" w:rsidRPr="00324BBD">
        <w:rPr>
          <w:rFonts w:ascii="Book Antiqua" w:hAnsi="Book Antiqua"/>
          <w:sz w:val="24"/>
          <w:szCs w:val="24"/>
        </w:rPr>
        <w:t>HMOX1</w:t>
      </w:r>
      <w:r w:rsidRPr="00324BBD">
        <w:rPr>
          <w:rFonts w:ascii="Book Antiqua" w:hAnsi="Book Antiqua"/>
          <w:sz w:val="24"/>
          <w:szCs w:val="24"/>
        </w:rPr>
        <w:t xml:space="preserve"> </w:t>
      </w:r>
      <w:r w:rsidR="00984F44" w:rsidRPr="00324BBD">
        <w:rPr>
          <w:rFonts w:ascii="Book Antiqua" w:hAnsi="Book Antiqua"/>
          <w:sz w:val="24"/>
          <w:szCs w:val="24"/>
        </w:rPr>
        <w:t xml:space="preserve">overexpression </w:t>
      </w:r>
      <w:r w:rsidRPr="00324BBD">
        <w:rPr>
          <w:rFonts w:ascii="Book Antiqua" w:hAnsi="Book Antiqua"/>
          <w:sz w:val="24"/>
          <w:szCs w:val="24"/>
        </w:rPr>
        <w:t>in these cell lines led to a marked reduction in</w:t>
      </w:r>
      <w:r w:rsidR="00984F44" w:rsidRPr="00324BBD">
        <w:rPr>
          <w:rFonts w:ascii="Book Antiqua" w:hAnsi="Book Antiqua"/>
          <w:sz w:val="24"/>
          <w:szCs w:val="24"/>
        </w:rPr>
        <w:t xml:space="preserve"> the</w:t>
      </w:r>
      <w:r w:rsidRPr="00324BBD">
        <w:rPr>
          <w:rFonts w:ascii="Book Antiqua" w:hAnsi="Book Antiqua"/>
          <w:sz w:val="24"/>
          <w:szCs w:val="24"/>
        </w:rPr>
        <w:t xml:space="preserve"> HCV RNA titer by an average of 3.</w:t>
      </w:r>
      <w:r w:rsidR="00EA1B11" w:rsidRPr="00324BBD">
        <w:rPr>
          <w:rFonts w:ascii="Book Antiqua" w:hAnsi="Book Antiqua"/>
          <w:sz w:val="24"/>
          <w:szCs w:val="24"/>
        </w:rPr>
        <w:t>8-fold</w:t>
      </w:r>
      <w:r w:rsidRPr="00324BBD">
        <w:rPr>
          <w:rFonts w:ascii="Book Antiqua" w:hAnsi="Book Antiqua"/>
          <w:sz w:val="24"/>
          <w:szCs w:val="24"/>
        </w:rPr>
        <w:t xml:space="preserve"> in comparison to the controls</w:t>
      </w:r>
      <w:r w:rsidR="00984F44" w:rsidRPr="00324BBD">
        <w:rPr>
          <w:rFonts w:ascii="Book Antiqua" w:hAnsi="Book Antiqua"/>
          <w:sz w:val="24"/>
          <w:szCs w:val="24"/>
        </w:rPr>
        <w:t>,</w:t>
      </w:r>
      <w:r w:rsidRPr="00324BBD">
        <w:rPr>
          <w:rFonts w:ascii="Book Antiqua" w:hAnsi="Book Antiqua"/>
          <w:sz w:val="24"/>
          <w:szCs w:val="24"/>
        </w:rPr>
        <w:t xml:space="preserve"> and these effects were reversed with </w:t>
      </w:r>
      <w:r w:rsidR="00A762E3" w:rsidRPr="00324BBD">
        <w:rPr>
          <w:rFonts w:ascii="Book Antiqua" w:hAnsi="Book Antiqua"/>
          <w:sz w:val="24"/>
          <w:szCs w:val="24"/>
        </w:rPr>
        <w:t>HMOX1</w:t>
      </w:r>
      <w:r w:rsidR="00984F44" w:rsidRPr="00324BBD">
        <w:rPr>
          <w:rFonts w:ascii="Book Antiqua" w:hAnsi="Book Antiqua"/>
          <w:sz w:val="24"/>
          <w:szCs w:val="24"/>
        </w:rPr>
        <w:t xml:space="preserve"> knockdown</w:t>
      </w:r>
      <w:r w:rsidRPr="00324BBD">
        <w:rPr>
          <w:rFonts w:ascii="Book Antiqua" w:hAnsi="Book Antiqua"/>
          <w:sz w:val="24"/>
          <w:szCs w:val="24"/>
        </w:rPr>
        <w:t xml:space="preserve">. HCV RNA replication </w:t>
      </w:r>
      <w:r w:rsidR="005E2186" w:rsidRPr="00324BBD">
        <w:rPr>
          <w:rFonts w:ascii="Book Antiqua" w:hAnsi="Book Antiqua"/>
          <w:sz w:val="24"/>
          <w:szCs w:val="24"/>
        </w:rPr>
        <w:t>was reduced</w:t>
      </w:r>
      <w:r w:rsidR="007702BB" w:rsidRPr="00324BBD">
        <w:rPr>
          <w:rFonts w:ascii="Book Antiqua" w:hAnsi="Book Antiqua"/>
          <w:sz w:val="24"/>
          <w:szCs w:val="24"/>
        </w:rPr>
        <w:t xml:space="preserve"> </w:t>
      </w:r>
      <w:r w:rsidRPr="00324BBD">
        <w:rPr>
          <w:rFonts w:ascii="Book Antiqua" w:hAnsi="Book Antiqua"/>
          <w:sz w:val="24"/>
          <w:szCs w:val="24"/>
        </w:rPr>
        <w:t>with</w:t>
      </w:r>
      <w:r w:rsidR="00FE08FA" w:rsidRPr="00324BBD">
        <w:rPr>
          <w:rFonts w:ascii="Book Antiqua" w:hAnsi="Book Antiqua"/>
          <w:sz w:val="24"/>
          <w:szCs w:val="24"/>
        </w:rPr>
        <w:t xml:space="preserve"> the</w:t>
      </w:r>
      <w:r w:rsidRPr="00324BBD">
        <w:rPr>
          <w:rFonts w:ascii="Book Antiqua" w:hAnsi="Book Antiqua"/>
          <w:sz w:val="24"/>
          <w:szCs w:val="24"/>
        </w:rPr>
        <w:t xml:space="preserve"> induction of </w:t>
      </w:r>
      <w:r w:rsidR="00A762E3" w:rsidRPr="00324BBD">
        <w:rPr>
          <w:rFonts w:ascii="Book Antiqua" w:hAnsi="Book Antiqua"/>
          <w:sz w:val="24"/>
          <w:szCs w:val="24"/>
        </w:rPr>
        <w:t>HMOX1</w:t>
      </w:r>
      <w:r w:rsidRPr="00324BBD">
        <w:rPr>
          <w:rFonts w:ascii="Book Antiqua" w:hAnsi="Book Antiqua"/>
          <w:sz w:val="24"/>
          <w:szCs w:val="24"/>
        </w:rPr>
        <w:t xml:space="preserve"> by hemin. The same study also showed that </w:t>
      </w:r>
      <w:r w:rsidR="00A762E3" w:rsidRPr="00324BBD">
        <w:rPr>
          <w:rFonts w:ascii="Book Antiqua" w:hAnsi="Book Antiqua"/>
          <w:sz w:val="24"/>
          <w:szCs w:val="24"/>
        </w:rPr>
        <w:t>HMOX1</w:t>
      </w:r>
      <w:r w:rsidR="00984F44" w:rsidRPr="00324BBD">
        <w:rPr>
          <w:rFonts w:ascii="Book Antiqua" w:hAnsi="Book Antiqua"/>
          <w:sz w:val="24"/>
          <w:szCs w:val="24"/>
        </w:rPr>
        <w:t>-</w:t>
      </w:r>
      <w:r w:rsidRPr="00324BBD">
        <w:rPr>
          <w:rFonts w:ascii="Book Antiqua" w:hAnsi="Book Antiqua"/>
          <w:sz w:val="24"/>
          <w:szCs w:val="24"/>
        </w:rPr>
        <w:t>overexpressing subclones showed reduced pro</w:t>
      </w:r>
      <w:r w:rsidR="00DA31C2" w:rsidRPr="00324BBD">
        <w:rPr>
          <w:rFonts w:ascii="Book Antiqua" w:hAnsi="Book Antiqua"/>
          <w:sz w:val="24"/>
          <w:szCs w:val="24"/>
        </w:rPr>
        <w:t>-</w:t>
      </w:r>
      <w:r w:rsidRPr="00324BBD">
        <w:rPr>
          <w:rFonts w:ascii="Book Antiqua" w:hAnsi="Book Antiqua"/>
          <w:sz w:val="24"/>
          <w:szCs w:val="24"/>
        </w:rPr>
        <w:t>oxidant levels and had improved viability to oxidant</w:t>
      </w:r>
      <w:r w:rsidR="00984F44" w:rsidRPr="00324BBD">
        <w:rPr>
          <w:rFonts w:ascii="Book Antiqua" w:hAnsi="Book Antiqua"/>
          <w:sz w:val="24"/>
          <w:szCs w:val="24"/>
        </w:rPr>
        <w:t>-</w:t>
      </w:r>
      <w:r w:rsidRPr="00324BBD">
        <w:rPr>
          <w:rFonts w:ascii="Book Antiqua" w:hAnsi="Book Antiqua"/>
          <w:sz w:val="24"/>
          <w:szCs w:val="24"/>
        </w:rPr>
        <w:t xml:space="preserve">mediated cytotoxicity. In 2007, Shan </w:t>
      </w:r>
      <w:r w:rsidR="00FE5DB7" w:rsidRPr="00324BBD">
        <w:rPr>
          <w:rFonts w:ascii="Book Antiqua" w:hAnsi="Book Antiqua"/>
          <w:i/>
          <w:sz w:val="24"/>
          <w:szCs w:val="24"/>
        </w:rPr>
        <w:t>et al</w:t>
      </w:r>
      <w:r w:rsidR="007702BB" w:rsidRPr="00324BBD">
        <w:rPr>
          <w:rFonts w:ascii="Book Antiqua" w:hAnsi="Book Antiqua"/>
          <w:sz w:val="24"/>
          <w:szCs w:val="24"/>
          <w:vertAlign w:val="superscript"/>
        </w:rPr>
        <w:t>[36</w:t>
      </w:r>
      <w:r w:rsidRPr="00324BBD">
        <w:rPr>
          <w:rFonts w:ascii="Book Antiqua" w:hAnsi="Book Antiqua"/>
          <w:sz w:val="24"/>
          <w:szCs w:val="24"/>
          <w:vertAlign w:val="superscript"/>
        </w:rPr>
        <w:t>]</w:t>
      </w:r>
      <w:r w:rsidRPr="00324BBD">
        <w:rPr>
          <w:rFonts w:ascii="Book Antiqua" w:hAnsi="Book Antiqua"/>
          <w:sz w:val="24"/>
          <w:szCs w:val="24"/>
        </w:rPr>
        <w:t xml:space="preserve"> showed that increasing </w:t>
      </w:r>
      <w:r w:rsidR="00A762E3" w:rsidRPr="00324BBD">
        <w:rPr>
          <w:rFonts w:ascii="Book Antiqua" w:hAnsi="Book Antiqua"/>
          <w:sz w:val="24"/>
          <w:szCs w:val="24"/>
        </w:rPr>
        <w:t>HMOX1</w:t>
      </w:r>
      <w:r w:rsidRPr="00324BBD">
        <w:rPr>
          <w:rFonts w:ascii="Book Antiqua" w:hAnsi="Book Antiqua"/>
          <w:sz w:val="24"/>
          <w:szCs w:val="24"/>
        </w:rPr>
        <w:t xml:space="preserve"> by silencing </w:t>
      </w:r>
      <w:r w:rsidR="00984F44" w:rsidRPr="00324BBD">
        <w:rPr>
          <w:rFonts w:ascii="Book Antiqua" w:hAnsi="Book Antiqua"/>
          <w:sz w:val="24"/>
          <w:szCs w:val="24"/>
        </w:rPr>
        <w:t xml:space="preserve">the </w:t>
      </w:r>
      <w:r w:rsidRPr="00324BBD">
        <w:rPr>
          <w:rFonts w:ascii="Book Antiqua" w:hAnsi="Book Antiqua"/>
          <w:sz w:val="24"/>
          <w:szCs w:val="24"/>
        </w:rPr>
        <w:t xml:space="preserve">Bach 1 gene using an antagonist of </w:t>
      </w:r>
      <w:r w:rsidR="00984F44" w:rsidRPr="00324BBD">
        <w:rPr>
          <w:rFonts w:ascii="Book Antiqua" w:hAnsi="Book Antiqua"/>
          <w:sz w:val="24"/>
          <w:szCs w:val="24"/>
        </w:rPr>
        <w:t>microRNA</w:t>
      </w:r>
      <w:r w:rsidRPr="00324BBD">
        <w:rPr>
          <w:rFonts w:ascii="Book Antiqua" w:hAnsi="Book Antiqua"/>
          <w:sz w:val="24"/>
          <w:szCs w:val="24"/>
        </w:rPr>
        <w:t>-122 (miR-122) decreases HCV replication by 64</w:t>
      </w:r>
      <w:r w:rsidR="009D75F7" w:rsidRPr="00324BBD">
        <w:rPr>
          <w:rFonts w:ascii="Book Antiqua" w:hAnsi="Book Antiqua"/>
          <w:sz w:val="24"/>
          <w:szCs w:val="24"/>
        </w:rPr>
        <w:t>%</w:t>
      </w:r>
      <w:r w:rsidRPr="00324BBD">
        <w:rPr>
          <w:rFonts w:ascii="Book Antiqua" w:hAnsi="Book Antiqua"/>
          <w:sz w:val="24"/>
          <w:szCs w:val="24"/>
        </w:rPr>
        <w:t>-84%</w:t>
      </w:r>
      <w:r w:rsidR="00984F44" w:rsidRPr="00324BBD">
        <w:rPr>
          <w:rFonts w:ascii="Book Antiqua" w:hAnsi="Book Antiqua"/>
          <w:sz w:val="24"/>
          <w:szCs w:val="24"/>
        </w:rPr>
        <w:t>,</w:t>
      </w:r>
      <w:r w:rsidRPr="00324BBD">
        <w:rPr>
          <w:rFonts w:ascii="Book Antiqua" w:hAnsi="Book Antiqua"/>
          <w:sz w:val="24"/>
          <w:szCs w:val="24"/>
        </w:rPr>
        <w:t xml:space="preserve"> depending on the cell line</w:t>
      </w:r>
      <w:r w:rsidR="00EB5F99" w:rsidRPr="00324BBD">
        <w:rPr>
          <w:rFonts w:ascii="Book Antiqua" w:hAnsi="Book Antiqua"/>
          <w:sz w:val="24"/>
          <w:szCs w:val="24"/>
        </w:rPr>
        <w:fldChar w:fldCharType="begin"/>
      </w:r>
      <w:r w:rsidRPr="00324BBD">
        <w:rPr>
          <w:rFonts w:ascii="Book Antiqua" w:hAnsi="Book Antiqua"/>
          <w:sz w:val="24"/>
          <w:szCs w:val="24"/>
        </w:rPr>
        <w:instrText xml:space="preserve"> ADDIN ZOTERO_ITEM CSL_CITATION {"citationID":"8Zd6fNDA","properties":{"formattedCitation":"{\\rtf \\super [80]\\nosupersub{}}","plainCitation":"[80]"},"citationItems":[{"id":500,"uris":["http://zotero.org/users/1747505/items/JRBVGXGX"],"uri":["http://zotero.org/users/1747505/items/JRBVGXGX"],"itemData":{"id":500,"type":"article-journal","title":"Reciprocal effects of miR-122 on expression of heme oxygenase-1 and hepatitis C virus genes in human hepatocytes","container-title":"Gastroenterology","page":"1166-1174","volume":"133","issue":"4","source":"PubMed Central","abstract":"Background &amp; Aims\nHeme oxygenase-1 (HO-1) is an antioxidant defense and key cytoprotective enzyme, which is repressed by Bach1. MicroRNA-122 (miR-122) is specifically expressed and highly abundant in human liver and required for replication of hepatitis C virus (HCV) RNA. This study was to assess whether a specific miR-122 antagomir down-regulates HCV protein replication and up-regulates HO-1.\n\nMethods\nWe transfected antagomir of miR-122, 2</w:instrText>
      </w:r>
      <w:r w:rsidRPr="00324BBD">
        <w:rPr>
          <w:rFonts w:ascii="Book Antiqua" w:hAnsi="Book Antiqua" w:cs="Times New Roman"/>
          <w:sz w:val="24"/>
          <w:szCs w:val="24"/>
        </w:rPr>
        <w:instrText>′</w:instrText>
      </w:r>
      <w:r w:rsidRPr="00324BBD">
        <w:rPr>
          <w:rFonts w:ascii="Book Antiqua" w:hAnsi="Book Antiqua"/>
          <w:sz w:val="24"/>
          <w:szCs w:val="24"/>
        </w:rPr>
        <w:instrText>-O-methyl-mimic miR-122, or non-specific-control antagomir (NSCA) into wild type Huh-7 cells or Huh-7 stably replicating HCV subgenomic core-NS3 (CNS3 replicon cells), or NS3-5B (9–13 replicon cells).\n\nResults\nAntagomir of miR-122 reduced the abundance of HCV-RNA by 64% in CNS3, and by 84% in 9–13 cells. In contrast, transfection with 2</w:instrText>
      </w:r>
      <w:r w:rsidRPr="00324BBD">
        <w:rPr>
          <w:rFonts w:ascii="Book Antiqua" w:hAnsi="Book Antiqua" w:cs="Times New Roman"/>
          <w:sz w:val="24"/>
          <w:szCs w:val="24"/>
        </w:rPr>
        <w:instrText>′</w:instrText>
      </w:r>
      <w:r w:rsidRPr="00324BBD">
        <w:rPr>
          <w:rFonts w:ascii="Book Antiqua" w:hAnsi="Book Antiqua"/>
          <w:sz w:val="24"/>
          <w:szCs w:val="24"/>
        </w:rPr>
        <w:instrText xml:space="preserve">-O-methlyl-mimic miR-122 increased HCV levels up to 2.5-fold; transfection with NSCA did not change the level of HCV. Antagomir of miR-122 also decreased Bach1 and increased HO-1 mRNA levels in CNS3, 9–13, and WT Huh-7 cells. Increasing HO-1 by silencing Bach1 with 50 nM Bach1-siRNA or by treatment with 5 </w:instrText>
      </w:r>
      <w:r w:rsidRPr="00324BBD">
        <w:rPr>
          <w:rFonts w:ascii="Book Antiqua" w:hAnsi="Book Antiqua" w:cs="Times New Roman"/>
          <w:sz w:val="24"/>
          <w:szCs w:val="24"/>
        </w:rPr>
        <w:instrText>μ</w:instrText>
      </w:r>
      <w:r w:rsidRPr="00324BBD">
        <w:rPr>
          <w:rFonts w:ascii="Book Antiqua" w:hAnsi="Book Antiqua"/>
          <w:sz w:val="24"/>
          <w:szCs w:val="24"/>
        </w:rPr>
        <w:instrText xml:space="preserve">M cobalt protoporphyrin or heme (known inducers of HO-1) decreased HCV RNA and protein by 50% in HCV replicon cells.\n\nConclusions\nDown-regulation of HCV replication using an antagomir targeted to miR-122 is effective, specific, and selective. Increasing HO-1, by silencing the Bach1 gene or by treatment with cobalt protoporphyrin or heme, decreases HCV replication. Thus, miR-122 plays an important role in the regulation of HCV replication and HO-1/Bach1 expression in hepatocytes. Down-regulation of miR-122 and up-regulation of HO-1 may be new strategies for anti-HCV intervention and cytoprotection.","DOI":"10.1053/j.gastro.2007.08.002","ISSN":"0016-5085","note":"PMID: 17919492\nPMCID: PMC2128739","journalAbbreviation":"Gastroenterology","author":[{"family":"Shan","given":"Ying"},{"family":"Zheng","given":"Jianyu"},{"family":"Lambrecht","given":"Richard W."},{"family":"Bonkovsky","given":"Herbert L."}],"issued":{"date-parts":[["2007",10]]},"accessed":{"date-parts":[["2014",1,27]],"season":"03:17:13"},"PMID":"17919492","PMCID":"PMC2128739"}}],"schema":"https://github.com/citation-style-language/schema/raw/master/csl-citation.json"} </w:instrText>
      </w:r>
      <w:r w:rsidR="00EB5F99" w:rsidRPr="00324BBD">
        <w:rPr>
          <w:rFonts w:ascii="Book Antiqua" w:hAnsi="Book Antiqua"/>
          <w:sz w:val="24"/>
          <w:szCs w:val="24"/>
        </w:rPr>
        <w:fldChar w:fldCharType="end"/>
      </w:r>
      <w:r w:rsidRPr="00324BBD">
        <w:rPr>
          <w:rFonts w:ascii="Book Antiqua" w:hAnsi="Book Antiqua"/>
          <w:sz w:val="24"/>
          <w:szCs w:val="24"/>
        </w:rPr>
        <w:t xml:space="preserve"> (</w:t>
      </w:r>
      <w:r w:rsidR="00984F44" w:rsidRPr="00324BBD">
        <w:rPr>
          <w:rFonts w:ascii="Book Antiqua" w:hAnsi="Book Antiqua"/>
          <w:sz w:val="24"/>
          <w:szCs w:val="24"/>
        </w:rPr>
        <w:t xml:space="preserve">The </w:t>
      </w:r>
      <w:r w:rsidRPr="00324BBD">
        <w:rPr>
          <w:rFonts w:ascii="Book Antiqua" w:hAnsi="Book Antiqua"/>
          <w:sz w:val="24"/>
          <w:szCs w:val="24"/>
        </w:rPr>
        <w:t xml:space="preserve">Bach 1 gene represses </w:t>
      </w:r>
      <w:r w:rsidR="00A762E3" w:rsidRPr="00324BBD">
        <w:rPr>
          <w:rFonts w:ascii="Book Antiqua" w:hAnsi="Book Antiqua"/>
          <w:sz w:val="24"/>
          <w:szCs w:val="24"/>
        </w:rPr>
        <w:t>HMOX1</w:t>
      </w:r>
      <w:r w:rsidRPr="00324BBD">
        <w:rPr>
          <w:rFonts w:ascii="Book Antiqua" w:hAnsi="Book Antiqua"/>
          <w:sz w:val="24"/>
          <w:szCs w:val="24"/>
        </w:rPr>
        <w:t xml:space="preserve">, </w:t>
      </w:r>
      <w:r w:rsidR="00984F44" w:rsidRPr="00324BBD">
        <w:rPr>
          <w:rFonts w:ascii="Book Antiqua" w:hAnsi="Book Antiqua"/>
          <w:sz w:val="24"/>
          <w:szCs w:val="24"/>
        </w:rPr>
        <w:t xml:space="preserve">and </w:t>
      </w:r>
      <w:r w:rsidRPr="00324BBD">
        <w:rPr>
          <w:rFonts w:ascii="Book Antiqua" w:hAnsi="Book Antiqua"/>
          <w:sz w:val="24"/>
          <w:szCs w:val="24"/>
        </w:rPr>
        <w:t>miR-122 is required for HCV RNA</w:t>
      </w:r>
      <w:r w:rsidR="00984F44" w:rsidRPr="00324BBD">
        <w:rPr>
          <w:rFonts w:ascii="Book Antiqua" w:hAnsi="Book Antiqua"/>
          <w:sz w:val="24"/>
          <w:szCs w:val="24"/>
        </w:rPr>
        <w:t xml:space="preserve"> replication.</w:t>
      </w:r>
      <w:r w:rsidRPr="00324BBD">
        <w:rPr>
          <w:rFonts w:ascii="Book Antiqua" w:hAnsi="Book Antiqua"/>
          <w:sz w:val="24"/>
          <w:szCs w:val="24"/>
        </w:rPr>
        <w:t xml:space="preserve">). </w:t>
      </w:r>
      <w:r w:rsidR="00984F44" w:rsidRPr="00324BBD">
        <w:rPr>
          <w:rFonts w:ascii="Book Antiqua" w:hAnsi="Book Antiqua"/>
          <w:sz w:val="24"/>
          <w:szCs w:val="24"/>
        </w:rPr>
        <w:t>A s</w:t>
      </w:r>
      <w:r w:rsidRPr="00324BBD">
        <w:rPr>
          <w:rFonts w:ascii="Book Antiqua" w:hAnsi="Book Antiqua"/>
          <w:sz w:val="24"/>
          <w:szCs w:val="24"/>
        </w:rPr>
        <w:t xml:space="preserve">imilar study by Hou </w:t>
      </w:r>
      <w:r w:rsidR="00FE5DB7" w:rsidRPr="00324BBD">
        <w:rPr>
          <w:rFonts w:ascii="Book Antiqua" w:hAnsi="Book Antiqua"/>
          <w:i/>
          <w:sz w:val="24"/>
          <w:szCs w:val="24"/>
        </w:rPr>
        <w:t>et al</w:t>
      </w:r>
      <w:r w:rsidR="007702BB" w:rsidRPr="00324BBD">
        <w:rPr>
          <w:rFonts w:ascii="Book Antiqua" w:hAnsi="Book Antiqua"/>
          <w:sz w:val="24"/>
          <w:szCs w:val="24"/>
          <w:vertAlign w:val="superscript"/>
        </w:rPr>
        <w:t>[37</w:t>
      </w:r>
      <w:r w:rsidRPr="00324BBD">
        <w:rPr>
          <w:rFonts w:ascii="Book Antiqua" w:hAnsi="Book Antiqua"/>
          <w:sz w:val="24"/>
          <w:szCs w:val="24"/>
          <w:vertAlign w:val="superscript"/>
        </w:rPr>
        <w:t>]</w:t>
      </w:r>
      <w:r w:rsidRPr="00324BBD">
        <w:rPr>
          <w:rFonts w:ascii="Book Antiqua" w:hAnsi="Book Antiqua"/>
          <w:sz w:val="24"/>
          <w:szCs w:val="24"/>
        </w:rPr>
        <w:t xml:space="preserve"> </w:t>
      </w:r>
      <w:r w:rsidR="00984F44" w:rsidRPr="00324BBD">
        <w:rPr>
          <w:rFonts w:ascii="Book Antiqua" w:hAnsi="Book Antiqua"/>
          <w:sz w:val="24"/>
          <w:szCs w:val="24"/>
        </w:rPr>
        <w:t xml:space="preserve">demonstrated that </w:t>
      </w:r>
      <w:r w:rsidRPr="00324BBD">
        <w:rPr>
          <w:rFonts w:ascii="Book Antiqua" w:hAnsi="Book Antiqua"/>
          <w:sz w:val="24"/>
          <w:szCs w:val="24"/>
        </w:rPr>
        <w:t xml:space="preserve">microRNA-196 can be used to suppress </w:t>
      </w:r>
      <w:r w:rsidR="00984F44" w:rsidRPr="00324BBD">
        <w:rPr>
          <w:rFonts w:ascii="Book Antiqua" w:hAnsi="Book Antiqua"/>
          <w:sz w:val="24"/>
          <w:szCs w:val="24"/>
        </w:rPr>
        <w:t xml:space="preserve">the </w:t>
      </w:r>
      <w:r w:rsidRPr="00324BBD">
        <w:rPr>
          <w:rFonts w:ascii="Book Antiqua" w:hAnsi="Book Antiqua"/>
          <w:sz w:val="24"/>
          <w:szCs w:val="24"/>
        </w:rPr>
        <w:t>Bach 1 gene</w:t>
      </w:r>
      <w:r w:rsidR="00984F44" w:rsidRPr="00324BBD">
        <w:rPr>
          <w:rFonts w:ascii="Book Antiqua" w:hAnsi="Book Antiqua"/>
          <w:sz w:val="24"/>
          <w:szCs w:val="24"/>
        </w:rPr>
        <w:t>,</w:t>
      </w:r>
      <w:r w:rsidRPr="00324BBD">
        <w:rPr>
          <w:rFonts w:ascii="Book Antiqua" w:hAnsi="Book Antiqua"/>
          <w:sz w:val="24"/>
          <w:szCs w:val="24"/>
        </w:rPr>
        <w:t xml:space="preserve"> leading to </w:t>
      </w:r>
      <w:r w:rsidR="00A762E3" w:rsidRPr="00324BBD">
        <w:rPr>
          <w:rFonts w:ascii="Book Antiqua" w:hAnsi="Book Antiqua"/>
          <w:sz w:val="24"/>
          <w:szCs w:val="24"/>
        </w:rPr>
        <w:t>HMOX1</w:t>
      </w:r>
      <w:r w:rsidRPr="00324BBD">
        <w:rPr>
          <w:rFonts w:ascii="Book Antiqua" w:hAnsi="Book Antiqua"/>
          <w:sz w:val="24"/>
          <w:szCs w:val="24"/>
        </w:rPr>
        <w:t xml:space="preserve"> </w:t>
      </w:r>
      <w:r w:rsidR="00984F44" w:rsidRPr="00324BBD">
        <w:rPr>
          <w:rFonts w:ascii="Book Antiqua" w:hAnsi="Book Antiqua"/>
          <w:sz w:val="24"/>
          <w:szCs w:val="24"/>
        </w:rPr>
        <w:t xml:space="preserve">upregulation, </w:t>
      </w:r>
      <w:r w:rsidRPr="00324BBD">
        <w:rPr>
          <w:rFonts w:ascii="Book Antiqua" w:hAnsi="Book Antiqua"/>
          <w:sz w:val="24"/>
          <w:szCs w:val="24"/>
        </w:rPr>
        <w:t>which inhibited HCV expression</w:t>
      </w:r>
      <w:r w:rsidR="00EB5F99" w:rsidRPr="00324BBD">
        <w:rPr>
          <w:rFonts w:ascii="Book Antiqua" w:hAnsi="Book Antiqua"/>
          <w:sz w:val="24"/>
          <w:szCs w:val="24"/>
        </w:rPr>
        <w:fldChar w:fldCharType="begin"/>
      </w:r>
      <w:r w:rsidRPr="00324BBD">
        <w:rPr>
          <w:rFonts w:ascii="Book Antiqua" w:hAnsi="Book Antiqua"/>
          <w:sz w:val="24"/>
          <w:szCs w:val="24"/>
        </w:rPr>
        <w:instrText xml:space="preserve"> ADDIN ZOTERO_ITEM CSL_CITATION {"citationID":"OsGl5zT7","properties":{"formattedCitation":"{\\rtf \\super [81]\\nosupersub{}}","plainCitation":"[81]"},"citationItems":[{"id":532,"uris":["http://zotero.org/users/1747505/items/EZDSNMXS"],"uri":["http://zotero.org/users/1747505/items/EZDSNMXS"],"itemData":{"id":532,"type":"article-journal","title":"MicroRNA-196 represses Bach1 protein and hepatitis C virus gene expression in human hepatoma cells expressing hepatitis C viral proteins","container-title":"Hepatology (Baltimore, Md.)","page":"1494-1504","volume":"51","issue":"5","source":"NCBI PubMed","abstract":"Hepatitis C virus (HCV) directly induces oxidative stress and liver injury. Bach1, a basic leucine zipper mammalian transcriptional repressor, negatively regulates heme oxygenase 1 (HMOX1), a key cytoprotective enzyme that has antioxidant and anti-inflammatory activities. microRNAs (miRNAs) are small noncoding RNAs ( approximately 22 nt) that are important regulators of gene expression. Whether and how miRNAs regulate Bach1 or HCV are largely unknown. The aims of this study were to determine whether miR-196 regulates Bach1, HMOX1, and/or HCV gene expression. HCV replicon cell lines (Con1 and 9-13) of the Con1 isolate and J6/JFH1-based HCV cell culture system were used in this study. The effects of miR-196 mimic on Bach1, HMOX1, and HCV RNA, and protein levels were measured by way of quantitative real-time polymerase chain reaction (qRT-PCR) and Western blotting, respectively. The Dual Glo Luciferase Assay System was used to determine reporter activities. miR-196 mimic significantly down-regulated Bach1 and up-regulated HMOX1 gene expression and inhibited HCV expression. Dual luciferase reporter assays demonstrated that transfection of miR-196 mimic resulted in a significant decrease in Bach1 3'-untranslated region (UTR)-dependent luciferase activity but not in mutant Bach1 3'-UTR-dependent luciferase activity. Moreover, there was no detectable effect of mutant miR-196 on Bach1 3'-UTR-dependent luciferase activity.\nCONCLUSION: miR-196 directly acts on the 3'-UTR of Bach1 messenger RNA and translationally represses the expression of this protein, and up-regulates HMOX1. miR-196 also inhibits HCV expression in HCV replicon cell lines (genotype 1b) and in J6/JFH1 (genotype 2a) HCV cell culture system. Thus, miR-196 plays a role in both HMOX1/Bach1 expression and the regulation of HCV expression in human hepatocytes. Overexpression of miR-196 holds promise as a potential novel strategy to prevent or ameliorate hepatitis C infection, and to protect against liver injury in chronic HCV infection.","DOI":"10.1002/hep.23401","ISSN":"1527-3350","note":"PMID: 20127796 \nPMCID: PMC2862129","journalAbbreviation":"Hepatology","language":"eng","author":[{"family":"Hou","given":"Weihong"},{"family":"Tian","given":"Qing"},{"family":"Zheng","given":"Jianyu"},{"family":"Bonkovsky","given":"Herbert L"}],"issued":{"date-parts":[["2010",5]]},"PMID":"20127796","PMCID":"PMC2862129"}}],"schema":"https://github.com/citation-style-language/schema/raw/master/csl-citation.json"} </w:instrText>
      </w:r>
      <w:r w:rsidR="00EB5F99" w:rsidRPr="00324BBD">
        <w:rPr>
          <w:rFonts w:ascii="Book Antiqua" w:hAnsi="Book Antiqua"/>
          <w:sz w:val="24"/>
          <w:szCs w:val="24"/>
        </w:rPr>
        <w:fldChar w:fldCharType="end"/>
      </w:r>
      <w:r w:rsidRPr="00324BBD">
        <w:rPr>
          <w:rFonts w:ascii="Book Antiqua" w:hAnsi="Book Antiqua"/>
          <w:sz w:val="24"/>
          <w:szCs w:val="24"/>
        </w:rPr>
        <w:t xml:space="preserve">. In an experimental model, </w:t>
      </w:r>
      <w:r w:rsidR="00984F44" w:rsidRPr="00324BBD">
        <w:rPr>
          <w:rFonts w:ascii="Book Antiqua" w:hAnsi="Book Antiqua"/>
          <w:sz w:val="24"/>
          <w:szCs w:val="24"/>
        </w:rPr>
        <w:t>l</w:t>
      </w:r>
      <w:r w:rsidRPr="00324BBD">
        <w:rPr>
          <w:rFonts w:ascii="Book Antiqua" w:hAnsi="Book Antiqua"/>
          <w:sz w:val="24"/>
          <w:szCs w:val="24"/>
        </w:rPr>
        <w:t xml:space="preserve">ucidone, </w:t>
      </w:r>
      <w:r w:rsidR="00984F44" w:rsidRPr="00324BBD">
        <w:rPr>
          <w:rFonts w:ascii="Book Antiqua" w:hAnsi="Book Antiqua"/>
          <w:sz w:val="24"/>
          <w:szCs w:val="24"/>
        </w:rPr>
        <w:t xml:space="preserve">which is </w:t>
      </w:r>
      <w:r w:rsidRPr="00324BBD">
        <w:rPr>
          <w:rFonts w:ascii="Book Antiqua" w:hAnsi="Book Antiqua"/>
          <w:sz w:val="24"/>
          <w:szCs w:val="24"/>
        </w:rPr>
        <w:t xml:space="preserve">a plant compound, was shown to enhance Nrf2 </w:t>
      </w:r>
      <w:r w:rsidR="00984F44" w:rsidRPr="00324BBD">
        <w:rPr>
          <w:rFonts w:ascii="Book Antiqua" w:hAnsi="Book Antiqua"/>
          <w:sz w:val="24"/>
          <w:szCs w:val="24"/>
        </w:rPr>
        <w:t xml:space="preserve">expression, </w:t>
      </w:r>
      <w:r w:rsidRPr="00324BBD">
        <w:rPr>
          <w:rFonts w:ascii="Book Antiqua" w:hAnsi="Book Antiqua"/>
          <w:sz w:val="24"/>
          <w:szCs w:val="24"/>
        </w:rPr>
        <w:t xml:space="preserve">leading to </w:t>
      </w:r>
      <w:r w:rsidR="00A762E3" w:rsidRPr="00324BBD">
        <w:rPr>
          <w:rFonts w:ascii="Book Antiqua" w:hAnsi="Book Antiqua"/>
          <w:sz w:val="24"/>
          <w:szCs w:val="24"/>
        </w:rPr>
        <w:t>HMOX1</w:t>
      </w:r>
      <w:r w:rsidRPr="00324BBD">
        <w:rPr>
          <w:rFonts w:ascii="Book Antiqua" w:hAnsi="Book Antiqua"/>
          <w:sz w:val="24"/>
          <w:szCs w:val="24"/>
        </w:rPr>
        <w:t xml:space="preserve"> </w:t>
      </w:r>
      <w:r w:rsidR="00984F44" w:rsidRPr="00324BBD">
        <w:rPr>
          <w:rFonts w:ascii="Book Antiqua" w:hAnsi="Book Antiqua"/>
          <w:sz w:val="24"/>
          <w:szCs w:val="24"/>
        </w:rPr>
        <w:t xml:space="preserve">activation </w:t>
      </w:r>
      <w:r w:rsidRPr="00324BBD">
        <w:rPr>
          <w:rFonts w:ascii="Book Antiqua" w:hAnsi="Book Antiqua"/>
          <w:sz w:val="24"/>
          <w:szCs w:val="24"/>
        </w:rPr>
        <w:t xml:space="preserve">and HCV RNA </w:t>
      </w:r>
      <w:r w:rsidR="00984F44" w:rsidRPr="00324BBD">
        <w:rPr>
          <w:rFonts w:ascii="Book Antiqua" w:hAnsi="Book Antiqua"/>
          <w:sz w:val="24"/>
          <w:szCs w:val="24"/>
        </w:rPr>
        <w:t xml:space="preserve">suppression </w:t>
      </w:r>
      <w:r w:rsidRPr="00324BBD">
        <w:rPr>
          <w:rFonts w:ascii="Book Antiqua" w:hAnsi="Book Antiqua"/>
          <w:sz w:val="24"/>
          <w:szCs w:val="24"/>
        </w:rPr>
        <w:t xml:space="preserve">through </w:t>
      </w:r>
      <w:r w:rsidRPr="00324BBD">
        <w:rPr>
          <w:rFonts w:ascii="Book Antiqua" w:hAnsi="Book Antiqua"/>
          <w:sz w:val="24"/>
          <w:szCs w:val="24"/>
        </w:rPr>
        <w:lastRenderedPageBreak/>
        <w:t xml:space="preserve">increasing </w:t>
      </w:r>
      <w:r w:rsidR="00984F44" w:rsidRPr="00324BBD">
        <w:rPr>
          <w:rFonts w:ascii="Book Antiqua" w:hAnsi="Book Antiqua"/>
          <w:sz w:val="24"/>
          <w:szCs w:val="24"/>
        </w:rPr>
        <w:t xml:space="preserve">the </w:t>
      </w:r>
      <w:r w:rsidRPr="00324BBD">
        <w:rPr>
          <w:rFonts w:ascii="Book Antiqua" w:hAnsi="Book Antiqua"/>
          <w:sz w:val="24"/>
          <w:szCs w:val="24"/>
        </w:rPr>
        <w:t xml:space="preserve">antiviral interferon response and </w:t>
      </w:r>
      <w:r w:rsidR="00984F44" w:rsidRPr="00324BBD">
        <w:rPr>
          <w:rFonts w:ascii="Book Antiqua" w:hAnsi="Book Antiqua"/>
          <w:sz w:val="24"/>
          <w:szCs w:val="24"/>
        </w:rPr>
        <w:t xml:space="preserve">through </w:t>
      </w:r>
      <w:r w:rsidRPr="00324BBD">
        <w:rPr>
          <w:rFonts w:ascii="Book Antiqua" w:hAnsi="Book Antiqua"/>
          <w:sz w:val="24"/>
          <w:szCs w:val="24"/>
        </w:rPr>
        <w:t>blocking HCV NS3/4A protease</w:t>
      </w:r>
      <w:r w:rsidR="00EB5F99" w:rsidRPr="00324BBD">
        <w:rPr>
          <w:rFonts w:ascii="Book Antiqua" w:hAnsi="Book Antiqua"/>
          <w:sz w:val="24"/>
          <w:szCs w:val="24"/>
        </w:rPr>
        <w:fldChar w:fldCharType="begin"/>
      </w:r>
      <w:r w:rsidRPr="00324BBD">
        <w:rPr>
          <w:rFonts w:ascii="Book Antiqua" w:hAnsi="Book Antiqua"/>
          <w:sz w:val="24"/>
          <w:szCs w:val="24"/>
        </w:rPr>
        <w:instrText xml:space="preserve"> ADDIN ZOTERO_ITEM CSL_CITATION {"citationID":"cyZHEsbL","properties":{"formattedCitation":"{\\rtf \\super [82]\\nosupersub{}}","plainCitation":"[82]"},"citationItems":[{"id":313,"uris":["http://zotero.org/users/1747505/items/REFNVGTH"],"uri":["http://zotero.org/users/1747505/items/REFNVGTH"],"itemData":{"id":313,"type":"article-journal","title":"Lucidone suppresses hepatitis C virus replication by Nrf2-mediated heme oxygenase-1 induction","container-title":"Antimicrobial agents and chemotherapy","page":"1180-1191","volume":"57","issue":"3","source":"NCBI PubMed","abstract":"Upon screening of plant-derived natural products against hepatitis C virus (HCV) in the replicon system, we demonstrate that lucidone, a phytocompound, isolated from the fruits of Lindera erythrocarpa Makino, significantly suppressed HCV RNA levels with 50% effective concentrations of 15 ± 0.5 </w:instrText>
      </w:r>
      <w:r w:rsidRPr="00324BBD">
        <w:rPr>
          <w:rFonts w:ascii="Book Antiqua" w:hAnsi="Book Antiqua" w:cs="Times New Roman"/>
          <w:sz w:val="24"/>
          <w:szCs w:val="24"/>
        </w:rPr>
        <w:instrText>μ</w:instrText>
      </w:r>
      <w:r w:rsidRPr="00324BBD">
        <w:rPr>
          <w:rFonts w:ascii="Book Antiqua" w:hAnsi="Book Antiqua"/>
          <w:sz w:val="24"/>
          <w:szCs w:val="24"/>
        </w:rPr>
        <w:instrText xml:space="preserve">M and 20 ± 1.1 </w:instrText>
      </w:r>
      <w:r w:rsidRPr="00324BBD">
        <w:rPr>
          <w:rFonts w:ascii="Book Antiqua" w:hAnsi="Book Antiqua" w:cs="Times New Roman"/>
          <w:sz w:val="24"/>
          <w:szCs w:val="24"/>
        </w:rPr>
        <w:instrText>μ</w:instrText>
      </w:r>
      <w:r w:rsidRPr="00324BBD">
        <w:rPr>
          <w:rFonts w:ascii="Book Antiqua" w:hAnsi="Book Antiqua"/>
          <w:sz w:val="24"/>
          <w:szCs w:val="24"/>
        </w:rPr>
        <w:instrText xml:space="preserve">M in HCV replicon and JFH-1 infectious assays, respectively. There was no significant cytotoxicity observed at high concentrations, with a 50% cytotoxic concentration of 620 ± 5 </w:instrText>
      </w:r>
      <w:r w:rsidRPr="00324BBD">
        <w:rPr>
          <w:rFonts w:ascii="Book Antiqua" w:hAnsi="Book Antiqua" w:cs="Times New Roman"/>
          <w:sz w:val="24"/>
          <w:szCs w:val="24"/>
        </w:rPr>
        <w:instrText>μ</w:instrText>
      </w:r>
      <w:r w:rsidRPr="00324BBD">
        <w:rPr>
          <w:rFonts w:ascii="Book Antiqua" w:hAnsi="Book Antiqua"/>
          <w:sz w:val="24"/>
          <w:szCs w:val="24"/>
        </w:rPr>
        <w:instrText xml:space="preserve">M. In addition, lucidone significantly induced heme oxygenase-1 (HO-1) production and led to the increase of its product biliverdin for inducing antiviral interferon response and inhibiting HCV NS3/4A protease activity. Conversely, the anti-HCV activity of lucidone was abrogated by blocking HO-1 activity or silencing gene expression of HO-1 or NF-E2-related factor 2 (Nrf2) in the presence of lucidone, indicating that the anti-HCV action of lucidone was due to the stimulation of Nrf-2-mediated HO-1 expression. Moreover, the combination of lucidone and alpha interferon, the protease inhibitor telaprevir, the NS5A inhibitor BMS-790052, or the NS5B polymerase inhibitor PSI-7977, synergistically suppressed HCV RNA replication. These findings suggest that lucidone could be a potential lead or supplement for the development of new anti-HCV agent in the future.","DOI":"10.1128/AAC.02053-12","ISSN":"1098-6596","note":"PMID: 23254429 \nPMCID: PMC3591928","journalAbbreviation":"Antimicrob. Agents Chemother.","language":"eng","author":[{"family":"Chen","given":"Wei-Chun"},{"family":"Wang","given":"Sheng-Yang"},{"family":"Chiu","given":"Chien-Chih"},{"family":"Tseng","given":"Chin-Kai"},{"family":"Lin","given":"Chun-Kuang"},{"family":"Wang","given":"Hui-Chun"},{"family":"Lee","given":"Jin-Ching"}],"issued":{"date-parts":[["2013",3]]},"PMID":"23254429","PMCID":"PMC3591928"}}],"schema":"https://github.com/citation-style-language/schema/raw/master/csl-citation.json"} </w:instrText>
      </w:r>
      <w:r w:rsidR="00EB5F99" w:rsidRPr="00324BBD">
        <w:rPr>
          <w:rFonts w:ascii="Book Antiqua" w:hAnsi="Book Antiqua"/>
          <w:sz w:val="24"/>
          <w:szCs w:val="24"/>
        </w:rPr>
        <w:fldChar w:fldCharType="separate"/>
      </w:r>
      <w:r w:rsidR="007702BB" w:rsidRPr="00324BBD">
        <w:rPr>
          <w:rFonts w:ascii="Book Antiqua" w:hAnsi="Book Antiqua" w:cs="Times New Roman"/>
          <w:sz w:val="24"/>
          <w:szCs w:val="24"/>
          <w:vertAlign w:val="superscript"/>
        </w:rPr>
        <w:t>[38</w:t>
      </w:r>
      <w:r w:rsidRPr="00324BBD">
        <w:rPr>
          <w:rFonts w:ascii="Book Antiqua" w:hAnsi="Book Antiqua" w:cs="Times New Roman"/>
          <w:sz w:val="24"/>
          <w:szCs w:val="24"/>
          <w:vertAlign w:val="superscript"/>
        </w:rPr>
        <w:t>]</w:t>
      </w:r>
      <w:r w:rsidR="00EB5F99" w:rsidRPr="00324BBD">
        <w:rPr>
          <w:rFonts w:ascii="Book Antiqua" w:hAnsi="Book Antiqua"/>
          <w:sz w:val="24"/>
          <w:szCs w:val="24"/>
        </w:rPr>
        <w:fldChar w:fldCharType="end"/>
      </w:r>
      <w:r w:rsidRPr="00324BBD">
        <w:rPr>
          <w:rFonts w:ascii="Book Antiqua" w:hAnsi="Book Antiqua"/>
          <w:sz w:val="24"/>
          <w:szCs w:val="24"/>
        </w:rPr>
        <w:t>. This compound acted synergistically with IFN, protease inhibitor telaprevir, NS5A inhibitor or NS5B inhibitor to suppress HCV RNA replication</w:t>
      </w:r>
      <w:r w:rsidR="00984F44" w:rsidRPr="00324BBD">
        <w:rPr>
          <w:rFonts w:ascii="Book Antiqua" w:hAnsi="Book Antiqua"/>
          <w:sz w:val="24"/>
          <w:szCs w:val="24"/>
        </w:rPr>
        <w:t>,</w:t>
      </w:r>
      <w:r w:rsidRPr="00324BBD">
        <w:rPr>
          <w:rFonts w:ascii="Book Antiqua" w:hAnsi="Book Antiqua"/>
          <w:sz w:val="24"/>
          <w:szCs w:val="24"/>
        </w:rPr>
        <w:t xml:space="preserve"> and its effects were nullified by blocking </w:t>
      </w:r>
      <w:r w:rsidR="00A762E3" w:rsidRPr="00324BBD">
        <w:rPr>
          <w:rFonts w:ascii="Book Antiqua" w:hAnsi="Book Antiqua"/>
          <w:i/>
          <w:sz w:val="24"/>
          <w:szCs w:val="24"/>
        </w:rPr>
        <w:t>HMOX1</w:t>
      </w:r>
      <w:r w:rsidR="00984F44" w:rsidRPr="00324BBD">
        <w:rPr>
          <w:rFonts w:ascii="Book Antiqua" w:hAnsi="Book Antiqua"/>
          <w:sz w:val="24"/>
          <w:szCs w:val="24"/>
        </w:rPr>
        <w:t xml:space="preserve"> gene expression</w:t>
      </w:r>
      <w:r w:rsidRPr="00324BBD">
        <w:rPr>
          <w:rFonts w:ascii="Book Antiqua" w:hAnsi="Book Antiqua"/>
          <w:sz w:val="24"/>
          <w:szCs w:val="24"/>
        </w:rPr>
        <w:t xml:space="preserve">. </w:t>
      </w:r>
    </w:p>
    <w:p w:rsidR="00E43D8C" w:rsidRPr="00324BBD" w:rsidRDefault="00A762E3" w:rsidP="009D75F7">
      <w:pPr>
        <w:snapToGrid w:val="0"/>
        <w:spacing w:line="360" w:lineRule="auto"/>
        <w:ind w:firstLineChars="50" w:firstLine="120"/>
        <w:jc w:val="both"/>
        <w:rPr>
          <w:rFonts w:ascii="Book Antiqua" w:hAnsi="Book Antiqua"/>
          <w:sz w:val="24"/>
          <w:szCs w:val="24"/>
        </w:rPr>
      </w:pPr>
      <w:r w:rsidRPr="00324BBD">
        <w:rPr>
          <w:rFonts w:ascii="Book Antiqua" w:hAnsi="Book Antiqua"/>
          <w:sz w:val="24"/>
          <w:szCs w:val="24"/>
        </w:rPr>
        <w:t>HMOX1</w:t>
      </w:r>
      <w:r w:rsidR="00110B2A" w:rsidRPr="00324BBD">
        <w:rPr>
          <w:rFonts w:ascii="Book Antiqua" w:hAnsi="Book Antiqua"/>
          <w:sz w:val="24"/>
          <w:szCs w:val="24"/>
        </w:rPr>
        <w:t xml:space="preserve"> catabolizes heme to produce equimolar concentrations of carbon monoxide</w:t>
      </w:r>
      <w:r w:rsidR="00984F44" w:rsidRPr="00324BBD">
        <w:rPr>
          <w:rFonts w:ascii="Book Antiqua" w:hAnsi="Book Antiqua"/>
          <w:sz w:val="24"/>
          <w:szCs w:val="24"/>
        </w:rPr>
        <w:t>,</w:t>
      </w:r>
      <w:r w:rsidR="00110B2A" w:rsidRPr="00324BBD">
        <w:rPr>
          <w:rFonts w:ascii="Book Antiqua" w:hAnsi="Book Antiqua"/>
          <w:sz w:val="24"/>
          <w:szCs w:val="24"/>
        </w:rPr>
        <w:t xml:space="preserve"> biliverdin</w:t>
      </w:r>
      <w:r w:rsidR="007702BB" w:rsidRPr="00324BBD">
        <w:rPr>
          <w:rFonts w:ascii="Book Antiqua" w:hAnsi="Book Antiqua"/>
          <w:sz w:val="24"/>
          <w:szCs w:val="24"/>
        </w:rPr>
        <w:t xml:space="preserve"> and</w:t>
      </w:r>
      <w:r w:rsidR="00772256" w:rsidRPr="00324BBD">
        <w:rPr>
          <w:rFonts w:ascii="Book Antiqua" w:hAnsi="Book Antiqua"/>
          <w:sz w:val="24"/>
          <w:szCs w:val="24"/>
        </w:rPr>
        <w:t xml:space="preserve"> iron (which induces</w:t>
      </w:r>
      <w:r w:rsidR="007702BB" w:rsidRPr="00324BBD">
        <w:rPr>
          <w:rFonts w:ascii="Book Antiqua" w:hAnsi="Book Antiqua"/>
          <w:sz w:val="24"/>
          <w:szCs w:val="24"/>
        </w:rPr>
        <w:t xml:space="preserve"> and binds to</w:t>
      </w:r>
      <w:r w:rsidR="00772256" w:rsidRPr="00324BBD">
        <w:rPr>
          <w:rFonts w:ascii="Book Antiqua" w:hAnsi="Book Antiqua"/>
          <w:sz w:val="24"/>
          <w:szCs w:val="24"/>
        </w:rPr>
        <w:t xml:space="preserve"> ferritin)</w:t>
      </w:r>
      <w:r w:rsidR="00110B2A" w:rsidRPr="00324BBD">
        <w:rPr>
          <w:rFonts w:ascii="Book Antiqua" w:hAnsi="Book Antiqua"/>
          <w:sz w:val="24"/>
          <w:szCs w:val="24"/>
        </w:rPr>
        <w:t xml:space="preserve">. </w:t>
      </w:r>
      <w:r w:rsidR="00772256" w:rsidRPr="00324BBD">
        <w:rPr>
          <w:rFonts w:ascii="Book Antiqua" w:hAnsi="Book Antiqua"/>
          <w:sz w:val="24"/>
          <w:szCs w:val="24"/>
        </w:rPr>
        <w:t xml:space="preserve">Biliverdin, carbon monoxide and ferritin </w:t>
      </w:r>
      <w:r w:rsidR="00110B2A" w:rsidRPr="00324BBD">
        <w:rPr>
          <w:rFonts w:ascii="Book Antiqua" w:hAnsi="Book Antiqua"/>
          <w:sz w:val="24"/>
          <w:szCs w:val="24"/>
        </w:rPr>
        <w:t>have been shown to possess anti-inflammatory properties. Among the three, biliverdin has been studied the most</w:t>
      </w:r>
      <w:r w:rsidR="00772256" w:rsidRPr="00324BBD">
        <w:rPr>
          <w:rFonts w:ascii="Book Antiqua" w:hAnsi="Book Antiqua"/>
          <w:sz w:val="24"/>
          <w:szCs w:val="24"/>
        </w:rPr>
        <w:t xml:space="preserve"> in hepatitis C</w:t>
      </w:r>
      <w:r w:rsidR="00110B2A" w:rsidRPr="00324BBD">
        <w:rPr>
          <w:rFonts w:ascii="Book Antiqua" w:hAnsi="Book Antiqua"/>
          <w:sz w:val="24"/>
          <w:szCs w:val="24"/>
        </w:rPr>
        <w:t xml:space="preserve">. Zhu </w:t>
      </w:r>
      <w:r w:rsidR="00FE5DB7" w:rsidRPr="00324BBD">
        <w:rPr>
          <w:rFonts w:ascii="Book Antiqua" w:hAnsi="Book Antiqua"/>
          <w:i/>
          <w:sz w:val="24"/>
          <w:szCs w:val="24"/>
        </w:rPr>
        <w:t>et al</w:t>
      </w:r>
      <w:r w:rsidR="007702BB" w:rsidRPr="00324BBD">
        <w:rPr>
          <w:rFonts w:ascii="Book Antiqua" w:hAnsi="Book Antiqua"/>
          <w:sz w:val="24"/>
          <w:szCs w:val="24"/>
          <w:vertAlign w:val="superscript"/>
        </w:rPr>
        <w:t>[39</w:t>
      </w:r>
      <w:r w:rsidR="00110B2A" w:rsidRPr="00324BBD">
        <w:rPr>
          <w:rFonts w:ascii="Book Antiqua" w:hAnsi="Book Antiqua"/>
          <w:sz w:val="24"/>
          <w:szCs w:val="24"/>
          <w:vertAlign w:val="superscript"/>
        </w:rPr>
        <w:t>]</w:t>
      </w:r>
      <w:r w:rsidR="00110B2A" w:rsidRPr="00324BBD">
        <w:rPr>
          <w:rFonts w:ascii="Book Antiqua" w:hAnsi="Book Antiqua"/>
          <w:sz w:val="24"/>
          <w:szCs w:val="24"/>
        </w:rPr>
        <w:t xml:space="preserve"> highlighted the role of biliverdin as the primary antiviral agent released by heme catabolism</w:t>
      </w:r>
      <w:r w:rsidR="00EB5F99" w:rsidRPr="00324BBD">
        <w:rPr>
          <w:rFonts w:ascii="Book Antiqua" w:hAnsi="Book Antiqua"/>
          <w:sz w:val="24"/>
          <w:szCs w:val="24"/>
        </w:rPr>
        <w:fldChar w:fldCharType="begin"/>
      </w:r>
      <w:r w:rsidR="00110B2A" w:rsidRPr="00324BBD">
        <w:rPr>
          <w:rFonts w:ascii="Book Antiqua" w:hAnsi="Book Antiqua"/>
          <w:sz w:val="24"/>
          <w:szCs w:val="24"/>
        </w:rPr>
        <w:instrText xml:space="preserve"> ADDIN ZOTERO_ITEM CSL_CITATION {"citationID":"4juxYHw3","properties":{"formattedCitation":"{\\rtf \\super [84]\\nosupersub{}}","plainCitation":"[84]"},"citationItems":[{"id":490,"uris":["http://zotero.org/users/1747505/items/X6S7VK6J"],"uri":["http://zotero.org/users/1747505/items/X6S7VK6J"],"itemData":{"id":490,"type":"article-journal","title":"Biliverdin Inhibits Hepatitis C Virus NS3/4A Protease Activity: Mechanism for the Antiviral Effects of Heme Oxygenase?","container-title":"Hepatology (Baltimore, Md.)","page":"1897-1905","volume":"52","issue":"6","source":"PubMed Central","abstract":"Induction of heme oxygenase -1 (HO-1) inhibits hepatitis C virus (HCV) replication. Of the products of the reaction catalyzed by HO-1 iron has been shown to inhibit HCV RNA polymerase, but little is known about the antiviral activity of biliverdin (BV). Herein, we report that BV inhibits viral replication and viral protein expression in a dose-dependent manner in replicons and cells harboring the infectious J6/JFH construct. Using the SensoLyte 620 HCV Protease Assay with a wide wavelength excitation/emission (591nm/622nm) fluorescence energy transfer peptide, we found that both recombinant and endogenous NS3/4A protease from replicon microsomes are potently inhibited by BV. Of the tetrapyrroles tested, BV was the strongest inhibitor of NS3/4A activity with an IC50 of 9 uM, similar to that of the commercial inhibitor, AnaSpec #25346 (IC50 5 uM). Lineweaver-Burk plots indicated mixed competitive and non-competitive inhibition of the protease by BV. In contrast, the effects of bilirubin (BR) on HCV replication and NS3/4A were much less potent. Because BV is rapidly converted to BR by biliverdin reductase (BVR) intracellularly, the effect of BVR knockdown on BV antiviral activity was assessed. After &gt;80% silencing of BVR, inhibition of viral replication by BV was enhanced. BV also increased the antiviral activity of </w:instrText>
      </w:r>
      <w:r w:rsidR="00110B2A" w:rsidRPr="00324BBD">
        <w:rPr>
          <w:rFonts w:ascii="Book Antiqua" w:hAnsi="Book Antiqua" w:cs="Times New Roman"/>
          <w:sz w:val="24"/>
          <w:szCs w:val="24"/>
        </w:rPr>
        <w:instrText>α</w:instrText>
      </w:r>
      <w:r w:rsidR="00110B2A" w:rsidRPr="00324BBD">
        <w:rPr>
          <w:rFonts w:ascii="Book Antiqua" w:hAnsi="Book Antiqua"/>
          <w:sz w:val="24"/>
          <w:szCs w:val="24"/>
        </w:rPr>
        <w:instrText xml:space="preserve">-interferon in replicons.","DOI":"10.1002/hep.23921","ISSN":"0270-9139","note":"PMID: 21105106\nPMCID: PMC3058505","shortTitle":"Biliverdin Inhibits Hepatitis C Virus NS3/4A Protease Activity","journalAbbreviation":"Hepatology","author":[{"family":"Zhu","given":"Zhaowen"},{"family":"Wilson","given":"Anne T."},{"family":"Luxon","given":"Bruce A."},{"family":"Brown","given":"Kyle E."},{"family":"Mathahs","given":"M. Meleah"},{"family":"Bandyopadhyay","given":"Sarmistha"},{"family":"McCaffrey","given":"Anton P."},{"family":"Schmidt","given":"Warren N."}],"issued":{"date-parts":[["2010",12]]},"accessed":{"date-parts":[["2014",1,27]],"season":"01:04:20"},"PMID":"21105106","PMCID":"PMC3058505"}}],"schema":"https://github.com/citation-style-language/schema/raw/master/csl-citation.json"} </w:instrText>
      </w:r>
      <w:r w:rsidR="00EB5F99" w:rsidRPr="00324BBD">
        <w:rPr>
          <w:rFonts w:ascii="Book Antiqua" w:hAnsi="Book Antiqua"/>
          <w:sz w:val="24"/>
          <w:szCs w:val="24"/>
        </w:rPr>
        <w:fldChar w:fldCharType="end"/>
      </w:r>
      <w:r w:rsidR="00110B2A" w:rsidRPr="00324BBD">
        <w:rPr>
          <w:rFonts w:ascii="Book Antiqua" w:hAnsi="Book Antiqua"/>
          <w:sz w:val="24"/>
          <w:szCs w:val="24"/>
        </w:rPr>
        <w:t>. Biliverdin possess</w:t>
      </w:r>
      <w:r w:rsidR="00984F44" w:rsidRPr="00324BBD">
        <w:rPr>
          <w:rFonts w:ascii="Book Antiqua" w:hAnsi="Book Antiqua"/>
          <w:sz w:val="24"/>
          <w:szCs w:val="24"/>
        </w:rPr>
        <w:t>es</w:t>
      </w:r>
      <w:r w:rsidR="00110B2A" w:rsidRPr="00324BBD">
        <w:rPr>
          <w:rFonts w:ascii="Book Antiqua" w:hAnsi="Book Antiqua"/>
          <w:sz w:val="24"/>
          <w:szCs w:val="24"/>
        </w:rPr>
        <w:t xml:space="preserve"> significant antiviral activity and inhibit</w:t>
      </w:r>
      <w:r w:rsidR="00D07049" w:rsidRPr="00324BBD">
        <w:rPr>
          <w:rFonts w:ascii="Book Antiqua" w:hAnsi="Book Antiqua"/>
          <w:sz w:val="24"/>
          <w:szCs w:val="24"/>
        </w:rPr>
        <w:t>s</w:t>
      </w:r>
      <w:r w:rsidR="00110B2A" w:rsidRPr="00324BBD">
        <w:rPr>
          <w:rFonts w:ascii="Book Antiqua" w:hAnsi="Book Antiqua"/>
          <w:sz w:val="24"/>
          <w:szCs w:val="24"/>
        </w:rPr>
        <w:t xml:space="preserve"> NS3/4A protease</w:t>
      </w:r>
      <w:r w:rsidR="00984F44" w:rsidRPr="00324BBD">
        <w:rPr>
          <w:rFonts w:ascii="Book Antiqua" w:hAnsi="Book Antiqua"/>
          <w:sz w:val="24"/>
          <w:szCs w:val="24"/>
        </w:rPr>
        <w:t>,</w:t>
      </w:r>
      <w:r w:rsidR="00110B2A" w:rsidRPr="00324BBD">
        <w:rPr>
          <w:rFonts w:ascii="Book Antiqua" w:hAnsi="Book Antiqua"/>
          <w:sz w:val="24"/>
          <w:szCs w:val="24"/>
        </w:rPr>
        <w:t xml:space="preserve"> which is utilized by HCV. </w:t>
      </w:r>
      <w:r w:rsidR="00984F44" w:rsidRPr="00324BBD">
        <w:rPr>
          <w:rFonts w:ascii="Book Antiqua" w:hAnsi="Book Antiqua"/>
          <w:sz w:val="24"/>
          <w:szCs w:val="24"/>
        </w:rPr>
        <w:t xml:space="preserve">Biliverdin </w:t>
      </w:r>
      <w:r w:rsidR="00110B2A" w:rsidRPr="00324BBD">
        <w:rPr>
          <w:rFonts w:ascii="Book Antiqua" w:hAnsi="Book Antiqua"/>
          <w:sz w:val="24"/>
          <w:szCs w:val="24"/>
        </w:rPr>
        <w:t>also enhance</w:t>
      </w:r>
      <w:r w:rsidR="00984F44" w:rsidRPr="00324BBD">
        <w:rPr>
          <w:rFonts w:ascii="Book Antiqua" w:hAnsi="Book Antiqua"/>
          <w:sz w:val="24"/>
          <w:szCs w:val="24"/>
        </w:rPr>
        <w:t>s</w:t>
      </w:r>
      <w:r w:rsidR="00110B2A" w:rsidRPr="00324BBD">
        <w:rPr>
          <w:rFonts w:ascii="Book Antiqua" w:hAnsi="Book Antiqua"/>
          <w:sz w:val="24"/>
          <w:szCs w:val="24"/>
        </w:rPr>
        <w:t xml:space="preserve"> the action of IFN when used together against HCV</w:t>
      </w:r>
      <w:r w:rsidR="00984F44" w:rsidRPr="00324BBD">
        <w:rPr>
          <w:rFonts w:ascii="Book Antiqua" w:hAnsi="Book Antiqua"/>
          <w:sz w:val="24"/>
          <w:szCs w:val="24"/>
        </w:rPr>
        <w:t>-</w:t>
      </w:r>
      <w:r w:rsidR="00110B2A" w:rsidRPr="00324BBD">
        <w:rPr>
          <w:rFonts w:ascii="Book Antiqua" w:hAnsi="Book Antiqua"/>
          <w:sz w:val="24"/>
          <w:szCs w:val="24"/>
        </w:rPr>
        <w:t xml:space="preserve">infested cells. </w:t>
      </w:r>
    </w:p>
    <w:p w:rsidR="007702BB" w:rsidRPr="00324BBD" w:rsidRDefault="007702BB" w:rsidP="008759E1">
      <w:pPr>
        <w:snapToGrid w:val="0"/>
        <w:spacing w:line="360" w:lineRule="auto"/>
        <w:jc w:val="both"/>
        <w:rPr>
          <w:rFonts w:ascii="Book Antiqua" w:hAnsi="Book Antiqua"/>
          <w:sz w:val="24"/>
          <w:szCs w:val="24"/>
        </w:rPr>
      </w:pPr>
    </w:p>
    <w:p w:rsidR="00E43D8C" w:rsidRPr="00324BBD" w:rsidRDefault="00E43D8C" w:rsidP="008759E1">
      <w:pPr>
        <w:snapToGrid w:val="0"/>
        <w:spacing w:line="360" w:lineRule="auto"/>
        <w:jc w:val="both"/>
        <w:rPr>
          <w:rFonts w:ascii="Book Antiqua" w:hAnsi="Book Antiqua" w:cs="Arial"/>
          <w:b/>
          <w:sz w:val="24"/>
          <w:szCs w:val="24"/>
        </w:rPr>
      </w:pPr>
      <w:r w:rsidRPr="00324BBD">
        <w:rPr>
          <w:rFonts w:ascii="Book Antiqua" w:hAnsi="Book Antiqua"/>
          <w:b/>
          <w:sz w:val="24"/>
          <w:szCs w:val="24"/>
        </w:rPr>
        <w:t xml:space="preserve">CLINICAL </w:t>
      </w:r>
      <w:r w:rsidRPr="00324BBD">
        <w:rPr>
          <w:rFonts w:ascii="Book Antiqua" w:hAnsi="Book Antiqua" w:cs="Arial"/>
          <w:b/>
          <w:sz w:val="24"/>
          <w:szCs w:val="24"/>
        </w:rPr>
        <w:t xml:space="preserve">EVIDENCE FOR HEMOLYSIS AS THE MECHANISM FOR </w:t>
      </w:r>
      <w:r w:rsidR="00984F44" w:rsidRPr="00324BBD">
        <w:rPr>
          <w:rFonts w:ascii="Book Antiqua" w:hAnsi="Book Antiqua" w:cs="Arial"/>
          <w:b/>
          <w:sz w:val="24"/>
          <w:szCs w:val="24"/>
        </w:rPr>
        <w:t xml:space="preserve">THE </w:t>
      </w:r>
      <w:r w:rsidRPr="00324BBD">
        <w:rPr>
          <w:rFonts w:ascii="Book Antiqua" w:hAnsi="Book Antiqua" w:cs="Arial"/>
          <w:b/>
          <w:sz w:val="24"/>
          <w:szCs w:val="24"/>
        </w:rPr>
        <w:t>SYNERGISTIC ACTION OF RIBAVIRIN AGAINST HCV</w:t>
      </w:r>
    </w:p>
    <w:p w:rsidR="00E43D8C" w:rsidRPr="00324BBD" w:rsidRDefault="00984F44" w:rsidP="0029296B">
      <w:pPr>
        <w:snapToGrid w:val="0"/>
        <w:spacing w:line="360" w:lineRule="auto"/>
        <w:jc w:val="both"/>
        <w:rPr>
          <w:rFonts w:ascii="Book Antiqua" w:hAnsi="Book Antiqua" w:cs="Arial"/>
          <w:sz w:val="24"/>
          <w:szCs w:val="24"/>
        </w:rPr>
      </w:pPr>
      <w:r w:rsidRPr="00324BBD">
        <w:rPr>
          <w:rFonts w:ascii="Book Antiqua" w:hAnsi="Book Antiqua" w:cs="Arial"/>
          <w:sz w:val="24"/>
          <w:szCs w:val="24"/>
        </w:rPr>
        <w:t>T</w:t>
      </w:r>
      <w:r w:rsidR="000C4D4E" w:rsidRPr="00324BBD">
        <w:rPr>
          <w:rFonts w:ascii="Book Antiqua" w:hAnsi="Book Antiqua" w:cs="Arial"/>
          <w:sz w:val="24"/>
          <w:szCs w:val="24"/>
        </w:rPr>
        <w:t xml:space="preserve">he </w:t>
      </w:r>
      <w:r w:rsidRPr="00324BBD">
        <w:rPr>
          <w:rFonts w:ascii="Book Antiqua" w:hAnsi="Book Antiqua" w:cs="Arial"/>
          <w:sz w:val="24"/>
          <w:szCs w:val="24"/>
        </w:rPr>
        <w:t xml:space="preserve">following </w:t>
      </w:r>
      <w:r w:rsidR="000C4D4E" w:rsidRPr="00324BBD">
        <w:rPr>
          <w:rFonts w:ascii="Book Antiqua" w:hAnsi="Book Antiqua" w:cs="Arial"/>
          <w:sz w:val="24"/>
          <w:szCs w:val="24"/>
        </w:rPr>
        <w:t xml:space="preserve">clinical outcomes </w:t>
      </w:r>
      <w:r w:rsidRPr="00324BBD">
        <w:rPr>
          <w:rFonts w:ascii="Book Antiqua" w:hAnsi="Book Antiqua" w:cs="Arial"/>
          <w:sz w:val="24"/>
          <w:szCs w:val="24"/>
        </w:rPr>
        <w:t>have been</w:t>
      </w:r>
      <w:r w:rsidR="000C4D4E" w:rsidRPr="00324BBD">
        <w:rPr>
          <w:rFonts w:ascii="Book Antiqua" w:hAnsi="Book Antiqua" w:cs="Arial"/>
          <w:sz w:val="24"/>
          <w:szCs w:val="24"/>
        </w:rPr>
        <w:t xml:space="preserve"> seen in patients undergoing treatment with anti-HCV therapy</w:t>
      </w:r>
      <w:r w:rsidRPr="00324BBD">
        <w:rPr>
          <w:rFonts w:ascii="Book Antiqua" w:hAnsi="Book Antiqua" w:cs="Arial"/>
          <w:sz w:val="24"/>
          <w:szCs w:val="24"/>
        </w:rPr>
        <w:t>:</w:t>
      </w:r>
      <w:r w:rsidR="000C4D4E" w:rsidRPr="00324BBD">
        <w:rPr>
          <w:rFonts w:ascii="Book Antiqua" w:hAnsi="Book Antiqua" w:cs="Arial"/>
          <w:sz w:val="24"/>
          <w:szCs w:val="24"/>
        </w:rPr>
        <w:t xml:space="preserve"> </w:t>
      </w:r>
      <w:r w:rsidR="0029296B" w:rsidRPr="00324BBD">
        <w:rPr>
          <w:rFonts w:ascii="Book Antiqua" w:hAnsi="Book Antiqua" w:cs="Arial"/>
          <w:sz w:val="24"/>
          <w:szCs w:val="24"/>
          <w:lang w:eastAsia="zh-CN"/>
        </w:rPr>
        <w:t xml:space="preserve">(1) </w:t>
      </w:r>
      <w:r w:rsidR="00E43D8C" w:rsidRPr="00324BBD">
        <w:rPr>
          <w:rFonts w:ascii="Book Antiqua" w:hAnsi="Book Antiqua"/>
          <w:sz w:val="24"/>
          <w:szCs w:val="24"/>
        </w:rPr>
        <w:t xml:space="preserve">Sulkowski </w:t>
      </w:r>
      <w:r w:rsidR="00FE5DB7" w:rsidRPr="00324BBD">
        <w:rPr>
          <w:rFonts w:ascii="Book Antiqua" w:hAnsi="Book Antiqua"/>
          <w:i/>
          <w:sz w:val="24"/>
          <w:szCs w:val="24"/>
        </w:rPr>
        <w:t>et al</w:t>
      </w:r>
      <w:r w:rsidR="007702BB" w:rsidRPr="00324BBD">
        <w:rPr>
          <w:rFonts w:ascii="Book Antiqua" w:hAnsi="Book Antiqua"/>
          <w:sz w:val="24"/>
          <w:szCs w:val="24"/>
          <w:vertAlign w:val="superscript"/>
        </w:rPr>
        <w:t>[40</w:t>
      </w:r>
      <w:r w:rsidR="00E43D8C" w:rsidRPr="00324BBD">
        <w:rPr>
          <w:rFonts w:ascii="Book Antiqua" w:hAnsi="Book Antiqua"/>
          <w:sz w:val="24"/>
          <w:szCs w:val="24"/>
          <w:vertAlign w:val="superscript"/>
        </w:rPr>
        <w:t>]</w:t>
      </w:r>
      <w:r w:rsidR="00E43D8C" w:rsidRPr="00324BBD">
        <w:rPr>
          <w:rFonts w:ascii="Book Antiqua" w:hAnsi="Book Antiqua"/>
          <w:sz w:val="24"/>
          <w:szCs w:val="24"/>
        </w:rPr>
        <w:t xml:space="preserve"> evaluated the role of anemia in cHCV patients receiving combination therapy</w:t>
      </w:r>
      <w:r w:rsidR="00EB5F99" w:rsidRPr="00324BBD">
        <w:rPr>
          <w:rFonts w:ascii="Book Antiqua" w:hAnsi="Book Antiqua"/>
          <w:sz w:val="24"/>
          <w:szCs w:val="24"/>
        </w:rPr>
        <w:fldChar w:fldCharType="begin"/>
      </w:r>
      <w:r w:rsidR="00E43D8C" w:rsidRPr="00324BBD">
        <w:rPr>
          <w:rFonts w:ascii="Book Antiqua" w:hAnsi="Book Antiqua"/>
          <w:sz w:val="24"/>
          <w:szCs w:val="24"/>
        </w:rPr>
        <w:instrText xml:space="preserve"> ADDIN ZOTERO_ITEM CSL_CITATION {"citationID":"C7CBgS1o","properties":{"formattedCitation":"{\\rtf \\super [88]\\nosupersub{}}","plainCitation":"[88]"},"citationItems":[{"id":192,"uris":["http://zotero.org/users/1747505/items/QAXXN7WG"],"uri":["http://zotero.org/users/1747505/items/QAXXN7WG"],"itemData":{"id":192,"type":"article-journal","title":"Anemia during treatment with peginterferon Alfa-2b/ribavirin and boceprevir: Analysis from the serine protease inhibitor therapy 2 (SPRINT-2) trial","container-title":"Hepatology","page":"974–984","volume":"57","issue":"3","source":"Wiley Online Library","abstract":"Boceprevir (BOC) added to peginterferon alfa-2b (PegIFN) and ribavirin (RBV) significantly increases sustained virologic response (SVR) rates over PegIFN/RBV alone in previously untreated adults with chronic hepatitis C genotype 1. We evaluate the relationship of incident anemia with triple therapy. A total of 1,097 patients received a 4-week lead-in of PegIFN/RBV followed by: (1) placebo plus PegIFN/RBV for 44 weeks (PR48); (2) BOC plus PegIFN/RBV using response-guided therapy (BOC/RGT); and (3) BOC plus PegIFN/RBV for 44 weeks (BOC/PR48). The management of anemia (hemoglobin [Hb] &lt;10 g/dL) included RBV dose reduction and/or erythropoietin (EPO) use. A total of 1,080 patients had ≥1 Hb measurement during treatment. The incidence of anemia was 50% in the BOC arms combined (363/726) and 31% in the PR48 arm (108/354, P &lt; 0.001). Among BOC recipients, lower baseline Hb and creatinine clearance were associated with incident anemia. In the BOC-containing arms, anemia was managed by the site investigators as follows: EPO without RBV dose reduction, 38%; RBV dose reduction without EPO, 8%; EPO with RBV dose reduction, 40%; and neither RBV dose reduction nor EPO, 14%. SVR rates were not significantly affected by management strategy (70%-74%), and overall patients with anemia had higher rates of SVR than those who did not develop anemia (58%). Serious and life-threatening adverse events (AEs) and discontinuations due to AEs among BOC-treated patients did not differ by EPO use. Conclusion: With BOC/PR therapy, SVR rates in patients with incident anemia were higher than nonanemic patients and did not vary significantly according to the investigator-selected approach for anemia management. Prospective studies are needed to confirm this observation. (HEPATOLOGY 2013)","DOI":"10.1002/hep.26096","ISSN":"1527-3350","shortTitle":"Anemia during treatment with peginterferon Alfa-2b/ribavirin and boceprevir","language":"en","author":[{"family":"Sulkowski","given":"Mark S."},{"family":"Poordad","given":"Fred"},{"family":"Manns","given":"Michael P."},{"family":"Bronowicki","given":"Jean-Pierre"},{"family":"Rajender Reddy","given":"K."},{"family":"Harrison","given":"Stephen A."},{"family":"Afdhal","given":"Nezam H."},{"family":"Sings","given":"Heather L."},{"family":"Pedicone","given":"Lisa D."},{"family":"Koury","given":"Kenneth J."},{"family":"Sniukiene","given":"Vilma"},{"family":"Burroughs","given":"Margaret H."},{"family":"Albrecht","given":"Janice K."},{"family":"Brass","given":"Clifford A."},{"family":"Jacobson","given":"Ira M."},{"family":"Investigators","given":"for the SPRINT-2 Trial"}],"issued":{"date-parts":[["2013"]]},"accessed":{"date-parts":[["2014",1,19]],"season":"03:39:15"}}}],"schema":"https://github.com/citation-style-language/schema/raw/master/csl-citation.json"} </w:instrText>
      </w:r>
      <w:r w:rsidR="00EB5F99" w:rsidRPr="00324BBD">
        <w:rPr>
          <w:rFonts w:ascii="Book Antiqua" w:hAnsi="Book Antiqua"/>
          <w:sz w:val="24"/>
          <w:szCs w:val="24"/>
        </w:rPr>
        <w:fldChar w:fldCharType="end"/>
      </w:r>
      <w:r w:rsidR="00E43D8C" w:rsidRPr="00324BBD">
        <w:rPr>
          <w:rFonts w:ascii="Book Antiqua" w:hAnsi="Book Antiqua"/>
          <w:sz w:val="24"/>
          <w:szCs w:val="24"/>
        </w:rPr>
        <w:t>. Among patients treated with boceprevir, RBV and Peg-IFN combination therapy, those</w:t>
      </w:r>
      <w:r w:rsidRPr="00324BBD">
        <w:rPr>
          <w:rFonts w:ascii="Book Antiqua" w:hAnsi="Book Antiqua"/>
          <w:sz w:val="24"/>
          <w:szCs w:val="24"/>
        </w:rPr>
        <w:t xml:space="preserve"> patients</w:t>
      </w:r>
      <w:r w:rsidR="00E43D8C" w:rsidRPr="00324BBD">
        <w:rPr>
          <w:rFonts w:ascii="Book Antiqua" w:hAnsi="Book Antiqua"/>
          <w:sz w:val="24"/>
          <w:szCs w:val="24"/>
        </w:rPr>
        <w:t xml:space="preserve"> who developed anemia had a much higher SVR rate (72%) than those </w:t>
      </w:r>
      <w:r w:rsidRPr="00324BBD">
        <w:rPr>
          <w:rFonts w:ascii="Book Antiqua" w:hAnsi="Book Antiqua"/>
          <w:sz w:val="24"/>
          <w:szCs w:val="24"/>
        </w:rPr>
        <w:t xml:space="preserve">patients </w:t>
      </w:r>
      <w:r w:rsidR="00E43D8C" w:rsidRPr="00324BBD">
        <w:rPr>
          <w:rFonts w:ascii="Book Antiqua" w:hAnsi="Book Antiqua"/>
          <w:sz w:val="24"/>
          <w:szCs w:val="24"/>
        </w:rPr>
        <w:t xml:space="preserve">who did not develop anemia (58%). Another study showed that </w:t>
      </w:r>
      <w:r w:rsidRPr="00324BBD">
        <w:rPr>
          <w:rFonts w:ascii="Book Antiqua" w:hAnsi="Book Antiqua"/>
          <w:sz w:val="24"/>
          <w:szCs w:val="24"/>
        </w:rPr>
        <w:t>a</w:t>
      </w:r>
      <w:r w:rsidR="00E43D8C" w:rsidRPr="00324BBD">
        <w:rPr>
          <w:rFonts w:ascii="Book Antiqua" w:hAnsi="Book Antiqua"/>
          <w:sz w:val="24"/>
          <w:szCs w:val="24"/>
        </w:rPr>
        <w:t xml:space="preserve"> higher dose of RBV is associated with a higher degree of anemia and </w:t>
      </w:r>
      <w:r w:rsidR="00004B5A" w:rsidRPr="00324BBD">
        <w:rPr>
          <w:rFonts w:ascii="Book Antiqua" w:hAnsi="Book Antiqua"/>
          <w:sz w:val="24"/>
          <w:szCs w:val="24"/>
        </w:rPr>
        <w:t xml:space="preserve">an </w:t>
      </w:r>
      <w:r w:rsidR="00E43D8C" w:rsidRPr="00324BBD">
        <w:rPr>
          <w:rFonts w:ascii="Book Antiqua" w:hAnsi="Book Antiqua"/>
          <w:sz w:val="24"/>
          <w:szCs w:val="24"/>
        </w:rPr>
        <w:t>improved SVR rate</w:t>
      </w:r>
      <w:r w:rsidR="00EB5F99" w:rsidRPr="00324BBD">
        <w:rPr>
          <w:rFonts w:ascii="Book Antiqua" w:hAnsi="Book Antiqua"/>
          <w:sz w:val="24"/>
          <w:szCs w:val="24"/>
        </w:rPr>
        <w:fldChar w:fldCharType="begin"/>
      </w:r>
      <w:r w:rsidR="00E43D8C" w:rsidRPr="00324BBD">
        <w:rPr>
          <w:rFonts w:ascii="Book Antiqua" w:hAnsi="Book Antiqua"/>
          <w:sz w:val="24"/>
          <w:szCs w:val="24"/>
        </w:rPr>
        <w:instrText xml:space="preserve"> ADDIN ZOTERO_ITEM CSL_CITATION {"citationID":"5SZjmxip","properties":{"formattedCitation":"{\\rtf \\super [89]\\nosupersub{}}","plainCitation":"[89]"},"citationItems":[{"id":285,"uris":["http://zotero.org/users/1747505/items/AVG42RU6"],"uri":["http://zotero.org/users/1747505/items/AVG42RU6"],"itemData":{"id":285,"type":"article-journal","title":"High-dose ribavirin in combination with standard dose peginterferon for treatment of patients with chronic hepatitis C","container-title":"Hepatology (Baltimore, Md.)","page":"275-279","volume":"41","issue":"2","source":"NCBI PubMed","abstract":"Improved treatment regimens for patients with chronic hepatitis C, genotype 1 and high viral load are needed. Increasing the dose of ribavirin has increased the response rate, but experience with doses of more than 1,200 mg/day is limited. The aim of this study was to investigate the safety and tolerance to treatment with a high and individualized dose of ribavirin in combination with peginterferon. Ten patients with chronic hepatitis C, genotype 1 and high viral load were treated with peginterferon alfa-2a and ribavirin for 48 weeks in a prospective trial. The initial ribavirin dose was individualized and calculated from a pharmacokinetic formula based mainly on renal function. Ribavirin plasma concentrations were monitored, and the dose was adjusted to reach the target concentration. Hemoglobin was monitored, and patients were treated with erythropoietin and blood transfusions when indicated. After dose adjustments, the mean dose of ribavirin was 2,540 mg/day (range, 1,600-3,600) at week 24. The main side effect was anemia, which was controlled with erythropoietin. Two patients required blood transfusions. One patient was withdrawn at week 24 because of a lack of viral response, and one patient at week 39 because of side effects, primarily interferon associated. At follow-up (&gt;or=24 weeks posttreatment), nine of ten patients had undetectable HCV RNA and thus were cured by standard definitions. In conclusion, a high dose of ribavirin according to an individualized schedule is feasible but associated with more frequent and serious side effects such as anemia. The viral response merits further evaluation.","DOI":"10.1002/hep.20563","ISSN":"0270-9139","note":"PMID: 15660393","journalAbbreviation":"Hepatology","language":"eng","author":[{"family":"Lindahl","given":"Karin"},{"family":"Stahle","given":"Lars"},{"family":"Bruchfeld","given":"Annette"},{"family":"Schvarcz","given":"Robert"}],"issued":{"date-parts":[["2005",2]]},"PMID":"15660393"}}],"schema":"https://github.com/citation-style-language/schema/raw/master/csl-citation.json"} </w:instrText>
      </w:r>
      <w:r w:rsidR="00EB5F99" w:rsidRPr="00324BBD">
        <w:rPr>
          <w:rFonts w:ascii="Book Antiqua" w:hAnsi="Book Antiqua"/>
          <w:sz w:val="24"/>
          <w:szCs w:val="24"/>
        </w:rPr>
        <w:fldChar w:fldCharType="separate"/>
      </w:r>
      <w:r w:rsidR="007702BB" w:rsidRPr="00324BBD">
        <w:rPr>
          <w:rFonts w:ascii="Book Antiqua" w:hAnsi="Book Antiqua" w:cs="Times New Roman"/>
          <w:sz w:val="24"/>
          <w:szCs w:val="24"/>
          <w:vertAlign w:val="superscript"/>
        </w:rPr>
        <w:t>[41</w:t>
      </w:r>
      <w:r w:rsidR="00E43D8C" w:rsidRPr="00324BBD">
        <w:rPr>
          <w:rFonts w:ascii="Book Antiqua" w:hAnsi="Book Antiqua" w:cs="Times New Roman"/>
          <w:sz w:val="24"/>
          <w:szCs w:val="24"/>
          <w:vertAlign w:val="superscript"/>
        </w:rPr>
        <w:t>]</w:t>
      </w:r>
      <w:r w:rsidR="00EB5F99" w:rsidRPr="00324BBD">
        <w:rPr>
          <w:rFonts w:ascii="Book Antiqua" w:hAnsi="Book Antiqua"/>
          <w:sz w:val="24"/>
          <w:szCs w:val="24"/>
        </w:rPr>
        <w:fldChar w:fldCharType="end"/>
      </w:r>
      <w:r w:rsidR="0029296B" w:rsidRPr="00324BBD">
        <w:rPr>
          <w:rFonts w:ascii="Book Antiqua" w:hAnsi="Book Antiqua"/>
          <w:sz w:val="24"/>
          <w:szCs w:val="24"/>
          <w:lang w:eastAsia="zh-CN"/>
        </w:rPr>
        <w:t xml:space="preserve">; </w:t>
      </w:r>
      <w:r w:rsidR="0029296B" w:rsidRPr="00324BBD">
        <w:rPr>
          <w:rFonts w:ascii="Book Antiqua" w:hAnsi="Book Antiqua" w:cs="Arial"/>
          <w:sz w:val="24"/>
          <w:szCs w:val="24"/>
          <w:lang w:eastAsia="zh-CN"/>
        </w:rPr>
        <w:t>(</w:t>
      </w:r>
      <w:r w:rsidR="00C33202" w:rsidRPr="00324BBD">
        <w:rPr>
          <w:rFonts w:ascii="Book Antiqua" w:hAnsi="Book Antiqua" w:cs="Arial"/>
          <w:sz w:val="24"/>
          <w:szCs w:val="24"/>
          <w:lang w:eastAsia="zh-CN"/>
        </w:rPr>
        <w:t>2</w:t>
      </w:r>
      <w:r w:rsidR="0029296B" w:rsidRPr="00324BBD">
        <w:rPr>
          <w:rFonts w:ascii="Book Antiqua" w:hAnsi="Book Antiqua" w:cs="Arial"/>
          <w:sz w:val="24"/>
          <w:szCs w:val="24"/>
          <w:lang w:eastAsia="zh-CN"/>
        </w:rPr>
        <w:t xml:space="preserve">) </w:t>
      </w:r>
      <w:r w:rsidR="00E43D8C" w:rsidRPr="00324BBD">
        <w:rPr>
          <w:rFonts w:ascii="Book Antiqua" w:hAnsi="Book Antiqua"/>
          <w:sz w:val="24"/>
          <w:szCs w:val="24"/>
        </w:rPr>
        <w:t>Once anemia develops during RBV therapy, SVR rates do not depend on the approach used to manage anemia (reduc</w:t>
      </w:r>
      <w:r w:rsidR="00004B5A" w:rsidRPr="00324BBD">
        <w:rPr>
          <w:rFonts w:ascii="Book Antiqua" w:hAnsi="Book Antiqua"/>
          <w:sz w:val="24"/>
          <w:szCs w:val="24"/>
        </w:rPr>
        <w:t xml:space="preserve">ed </w:t>
      </w:r>
      <w:r w:rsidR="00E43D8C" w:rsidRPr="00324BBD">
        <w:rPr>
          <w:rFonts w:ascii="Book Antiqua" w:hAnsi="Book Antiqua"/>
          <w:sz w:val="24"/>
          <w:szCs w:val="24"/>
        </w:rPr>
        <w:t>RBV or use of erythropoietin)</w:t>
      </w:r>
      <w:r w:rsidR="00EB5F99" w:rsidRPr="00324BBD">
        <w:rPr>
          <w:rFonts w:ascii="Book Antiqua" w:hAnsi="Book Antiqua"/>
          <w:sz w:val="24"/>
          <w:szCs w:val="24"/>
        </w:rPr>
        <w:fldChar w:fldCharType="begin"/>
      </w:r>
      <w:r w:rsidR="00E43D8C" w:rsidRPr="00324BBD">
        <w:rPr>
          <w:rFonts w:ascii="Book Antiqua" w:hAnsi="Book Antiqua"/>
          <w:sz w:val="24"/>
          <w:szCs w:val="24"/>
        </w:rPr>
        <w:instrText xml:space="preserve"> ADDIN ZOTERO_ITEM CSL_CITATION {"citationID":"uitplzGu","properties":{"formattedCitation":"{\\rtf \\super [88]\\nosupersub{}}","plainCitation":"[88]"},"citationItems":[{"id":192,"uris":["http://zotero.org/users/1747505/items/QAXXN7WG"],"uri":["http://zotero.org/users/1747505/items/QAXXN7WG"],"itemData":{"id":192,"type":"article-journal","title":"Anemia during treatment with peginterferon Alfa-2b/ribavirin and boceprevir: Analysis from the serine protease inhibitor therapy 2 (SPRINT-2) trial","container-title":"Hepatology","page":"974–984","volume":"57","issue":"3","source":"Wiley Online Library","abstract":"Boceprevir (BOC) added to peginterferon alfa-2b (PegIFN) and ribavirin (RBV) significantly increases sustained virologic response (SVR) rates over PegIFN/RBV alone in previously untreated adults with chronic hepatitis C genotype 1. We evaluate the relationship of incident anemia with triple therapy. A total of 1,097 patients received a 4-week lead-in of PegIFN/RBV followed by: (1) placebo plus PegIFN/RBV for 44 weeks (PR48); (2) BOC plus PegIFN/RBV using response-guided therapy (BOC/RGT); and (3) BOC plus PegIFN/RBV for 44 weeks (BOC/PR48). The management of anemia (hemoglobin [Hb] &lt;10 g/dL) included RBV dose reduction and/or erythropoietin (EPO) use. A total of 1,080 patients had ≥1 Hb measurement during treatment. The incidence of anemia was 50% in the BOC arms combined (363/726) and 31% in the PR48 arm (108/354, P &lt; 0.001). Among BOC recipients, lower baseline Hb and creatinine clearance were associated with incident anemia. In the BOC-containing arms, anemia was managed by the site investigators as follows: EPO without RBV dose reduction, 38%; RBV dose reduction without EPO, 8%; EPO with RBV dose reduction, 40%; and neither RBV dose reduction nor EPO, 14%. SVR rates were not significantly affected by management strategy (70%-74%), and overall patients with anemia had higher rates of SVR than those who did not develop anemia (58%). Serious and life-threatening adverse events (AEs) and discontinuations due to AEs among BOC-treated patients did not differ by EPO use. Conclusion: With BOC/PR therapy, SVR rates in patients with incident anemia were higher than nonanemic patients and did not vary significantly according to the investigator-selected approach for anemia management. Prospective studies are needed to confirm this observation. (HEPATOLOGY 2013)","DOI":"10.1002/hep.26096","ISSN":"1527-3350","shortTitle":"Anemia during treatment with peginterferon Alfa-2b/ribavirin and boceprevir","language":"en","author":[{"family":"Sulkowski","given":"Mark S."},{"family":"Poordad","given":"Fred"},{"family":"Manns","given":"Michael P."},{"family":"Bronowicki","given":"Jean-Pierre"},{"family":"Rajender Reddy","given":"K."},{"family":"Harrison","given":"Stephen A."},{"family":"Afdhal","given":"Nezam H."},{"family":"Sings","given":"Heather L."},{"family":"Pedicone","given":"Lisa D."},{"family":"Koury","given":"Kenneth J."},{"family":"Sniukiene","given":"Vilma"},{"family":"Burroughs","given":"Margaret H."},{"family":"Albrecht","given":"Janice K."},{"family":"Brass","given":"Clifford A."},{"family":"Jacobson","given":"Ira M."},{"family":"Investigators","given":"for the SPRINT-2 Trial"}],"issued":{"date-parts":[["2013"]]},"accessed":{"date-parts":[["2014",1,19]],"season":"03:39:15"}}}],"schema":"https://github.com/citation-style-language/schema/raw/master/csl-citation.json"} </w:instrText>
      </w:r>
      <w:r w:rsidR="00EB5F99" w:rsidRPr="00324BBD">
        <w:rPr>
          <w:rFonts w:ascii="Book Antiqua" w:hAnsi="Book Antiqua"/>
          <w:sz w:val="24"/>
          <w:szCs w:val="24"/>
        </w:rPr>
        <w:fldChar w:fldCharType="separate"/>
      </w:r>
      <w:r w:rsidR="001B3787" w:rsidRPr="00324BBD">
        <w:rPr>
          <w:rFonts w:ascii="Book Antiqua" w:hAnsi="Book Antiqua" w:cs="Times New Roman"/>
          <w:sz w:val="24"/>
          <w:szCs w:val="24"/>
          <w:vertAlign w:val="superscript"/>
        </w:rPr>
        <w:t>[40</w:t>
      </w:r>
      <w:r w:rsidR="00E43D8C" w:rsidRPr="00324BBD">
        <w:rPr>
          <w:rFonts w:ascii="Book Antiqua" w:hAnsi="Book Antiqua" w:cs="Times New Roman"/>
          <w:sz w:val="24"/>
          <w:szCs w:val="24"/>
          <w:vertAlign w:val="superscript"/>
        </w:rPr>
        <w:t>]</w:t>
      </w:r>
      <w:r w:rsidR="00EB5F99" w:rsidRPr="00324BBD">
        <w:rPr>
          <w:rFonts w:ascii="Book Antiqua" w:hAnsi="Book Antiqua"/>
          <w:sz w:val="24"/>
          <w:szCs w:val="24"/>
        </w:rPr>
        <w:fldChar w:fldCharType="end"/>
      </w:r>
      <w:r w:rsidR="00E43D8C" w:rsidRPr="00324BBD">
        <w:rPr>
          <w:rFonts w:ascii="Book Antiqua" w:hAnsi="Book Antiqua"/>
          <w:sz w:val="24"/>
          <w:szCs w:val="24"/>
        </w:rPr>
        <w:t>. Those patients who were given erythropoietin</w:t>
      </w:r>
      <w:r w:rsidR="00CD1799" w:rsidRPr="00324BBD">
        <w:rPr>
          <w:rFonts w:ascii="Book Antiqua" w:hAnsi="Book Antiqua"/>
          <w:sz w:val="24"/>
          <w:szCs w:val="24"/>
        </w:rPr>
        <w:t>-</w:t>
      </w:r>
      <w:r w:rsidR="00C33202" w:rsidRPr="00324BBD">
        <w:rPr>
          <w:rFonts w:ascii="Book Antiqua" w:hAnsi="Book Antiqua"/>
          <w:sz w:val="24"/>
          <w:szCs w:val="24"/>
        </w:rPr>
        <w:t>stimulating agents</w:t>
      </w:r>
      <w:r w:rsidR="00C33202" w:rsidRPr="00324BBD">
        <w:rPr>
          <w:rFonts w:ascii="Book Antiqua" w:hAnsi="Book Antiqua"/>
          <w:sz w:val="24"/>
          <w:szCs w:val="24"/>
          <w:lang w:eastAsia="zh-CN"/>
        </w:rPr>
        <w:t xml:space="preserve"> </w:t>
      </w:r>
      <w:r w:rsidR="00E43D8C" w:rsidRPr="00324BBD">
        <w:rPr>
          <w:rFonts w:ascii="Book Antiqua" w:hAnsi="Book Antiqua"/>
          <w:sz w:val="24"/>
          <w:szCs w:val="24"/>
        </w:rPr>
        <w:t xml:space="preserve">were able to receive higher daily and cumulative doses of </w:t>
      </w:r>
      <w:r w:rsidR="00004B5A" w:rsidRPr="00324BBD">
        <w:rPr>
          <w:rFonts w:ascii="Book Antiqua" w:hAnsi="Book Antiqua"/>
          <w:sz w:val="24"/>
          <w:szCs w:val="24"/>
        </w:rPr>
        <w:t>r</w:t>
      </w:r>
      <w:r w:rsidR="00E43D8C" w:rsidRPr="00324BBD">
        <w:rPr>
          <w:rFonts w:ascii="Book Antiqua" w:hAnsi="Book Antiqua"/>
          <w:sz w:val="24"/>
          <w:szCs w:val="24"/>
        </w:rPr>
        <w:t xml:space="preserve">ibavirin. This </w:t>
      </w:r>
      <w:r w:rsidR="00004B5A" w:rsidRPr="00324BBD">
        <w:rPr>
          <w:rFonts w:ascii="Book Antiqua" w:hAnsi="Book Antiqua"/>
          <w:sz w:val="24"/>
          <w:szCs w:val="24"/>
        </w:rPr>
        <w:t xml:space="preserve">finding </w:t>
      </w:r>
      <w:r w:rsidR="00E43D8C" w:rsidRPr="00324BBD">
        <w:rPr>
          <w:rFonts w:ascii="Book Antiqua" w:hAnsi="Book Antiqua"/>
          <w:sz w:val="24"/>
          <w:szCs w:val="24"/>
        </w:rPr>
        <w:t xml:space="preserve">suggests that the level of </w:t>
      </w:r>
      <w:r w:rsidR="00004B5A" w:rsidRPr="00324BBD">
        <w:rPr>
          <w:rFonts w:ascii="Book Antiqua" w:hAnsi="Book Antiqua"/>
          <w:sz w:val="24"/>
          <w:szCs w:val="24"/>
        </w:rPr>
        <w:t>r</w:t>
      </w:r>
      <w:r w:rsidR="00E43D8C" w:rsidRPr="00324BBD">
        <w:rPr>
          <w:rFonts w:ascii="Book Antiqua" w:hAnsi="Book Antiqua"/>
          <w:sz w:val="24"/>
          <w:szCs w:val="24"/>
        </w:rPr>
        <w:t xml:space="preserve">ibavirin in the serum or RBCs </w:t>
      </w:r>
      <w:r w:rsidR="00004B5A" w:rsidRPr="00324BBD">
        <w:rPr>
          <w:rFonts w:ascii="Book Antiqua" w:hAnsi="Book Antiqua"/>
          <w:sz w:val="24"/>
          <w:szCs w:val="24"/>
        </w:rPr>
        <w:t xml:space="preserve">does not </w:t>
      </w:r>
      <w:r w:rsidR="00CD1799" w:rsidRPr="00324BBD">
        <w:rPr>
          <w:rFonts w:ascii="Book Antiqua" w:hAnsi="Book Antiqua"/>
          <w:sz w:val="24"/>
          <w:szCs w:val="24"/>
        </w:rPr>
        <w:t>influence</w:t>
      </w:r>
      <w:r w:rsidR="00E43D8C" w:rsidRPr="00324BBD">
        <w:rPr>
          <w:rFonts w:ascii="Book Antiqua" w:hAnsi="Book Antiqua"/>
          <w:sz w:val="24"/>
          <w:szCs w:val="24"/>
        </w:rPr>
        <w:t xml:space="preserve"> SVR but </w:t>
      </w:r>
      <w:r w:rsidR="00004B5A" w:rsidRPr="00324BBD">
        <w:rPr>
          <w:rFonts w:ascii="Book Antiqua" w:hAnsi="Book Antiqua"/>
          <w:sz w:val="24"/>
          <w:szCs w:val="24"/>
        </w:rPr>
        <w:t xml:space="preserve">that </w:t>
      </w:r>
      <w:r w:rsidR="00E43D8C" w:rsidRPr="00324BBD">
        <w:rPr>
          <w:rFonts w:ascii="Book Antiqua" w:hAnsi="Book Antiqua"/>
          <w:sz w:val="24"/>
          <w:szCs w:val="24"/>
        </w:rPr>
        <w:t>the degree of anemia</w:t>
      </w:r>
      <w:r w:rsidR="00004B5A" w:rsidRPr="00324BBD">
        <w:rPr>
          <w:rFonts w:ascii="Book Antiqua" w:hAnsi="Book Antiqua"/>
          <w:sz w:val="24"/>
          <w:szCs w:val="24"/>
        </w:rPr>
        <w:t>,</w:t>
      </w:r>
      <w:r w:rsidR="00E43D8C" w:rsidRPr="00324BBD">
        <w:rPr>
          <w:rFonts w:ascii="Book Antiqua" w:hAnsi="Book Antiqua"/>
          <w:sz w:val="24"/>
          <w:szCs w:val="24"/>
        </w:rPr>
        <w:t xml:space="preserve"> which is a surrogate marker for hemolysis in those patients with healthy bone marrow</w:t>
      </w:r>
      <w:r w:rsidR="00004B5A" w:rsidRPr="00324BBD">
        <w:rPr>
          <w:rFonts w:ascii="Book Antiqua" w:hAnsi="Book Antiqua"/>
          <w:sz w:val="24"/>
          <w:szCs w:val="24"/>
        </w:rPr>
        <w:t>, does</w:t>
      </w:r>
      <w:r w:rsidR="0029296B" w:rsidRPr="00324BBD">
        <w:rPr>
          <w:rFonts w:ascii="Book Antiqua" w:hAnsi="Book Antiqua"/>
          <w:sz w:val="24"/>
          <w:szCs w:val="24"/>
          <w:lang w:eastAsia="zh-CN"/>
        </w:rPr>
        <w:t xml:space="preserve">; </w:t>
      </w:r>
      <w:r w:rsidR="0029296B" w:rsidRPr="00324BBD">
        <w:rPr>
          <w:rFonts w:ascii="Book Antiqua" w:hAnsi="Book Antiqua" w:cs="Arial"/>
          <w:sz w:val="24"/>
          <w:szCs w:val="24"/>
          <w:lang w:eastAsia="zh-CN"/>
        </w:rPr>
        <w:t>(</w:t>
      </w:r>
      <w:r w:rsidR="00C33202" w:rsidRPr="00324BBD">
        <w:rPr>
          <w:rFonts w:ascii="Book Antiqua" w:hAnsi="Book Antiqua" w:cs="Arial"/>
          <w:sz w:val="24"/>
          <w:szCs w:val="24"/>
          <w:lang w:eastAsia="zh-CN"/>
        </w:rPr>
        <w:t>3</w:t>
      </w:r>
      <w:r w:rsidR="0029296B" w:rsidRPr="00324BBD">
        <w:rPr>
          <w:rFonts w:ascii="Book Antiqua" w:hAnsi="Book Antiqua" w:cs="Arial"/>
          <w:sz w:val="24"/>
          <w:szCs w:val="24"/>
          <w:lang w:eastAsia="zh-CN"/>
        </w:rPr>
        <w:t xml:space="preserve">) </w:t>
      </w:r>
      <w:r w:rsidR="00E43D8C" w:rsidRPr="00324BBD">
        <w:rPr>
          <w:rFonts w:ascii="Book Antiqua" w:hAnsi="Book Antiqua"/>
          <w:sz w:val="24"/>
          <w:szCs w:val="24"/>
        </w:rPr>
        <w:t xml:space="preserve">cHCV </w:t>
      </w:r>
      <w:r w:rsidR="00004B5A" w:rsidRPr="00324BBD">
        <w:rPr>
          <w:rFonts w:ascii="Book Antiqua" w:hAnsi="Book Antiqua"/>
          <w:sz w:val="24"/>
          <w:szCs w:val="24"/>
        </w:rPr>
        <w:t xml:space="preserve">patients </w:t>
      </w:r>
      <w:r w:rsidR="00E43D8C" w:rsidRPr="00324BBD">
        <w:rPr>
          <w:rFonts w:ascii="Book Antiqua" w:hAnsi="Book Antiqua"/>
          <w:sz w:val="24"/>
          <w:szCs w:val="24"/>
        </w:rPr>
        <w:t>with thalassemia</w:t>
      </w:r>
      <w:r w:rsidR="00004B5A" w:rsidRPr="00324BBD">
        <w:rPr>
          <w:rFonts w:ascii="Book Antiqua" w:hAnsi="Book Antiqua"/>
          <w:sz w:val="24"/>
          <w:szCs w:val="24"/>
        </w:rPr>
        <w:t>,</w:t>
      </w:r>
      <w:r w:rsidR="00E43D8C" w:rsidRPr="00324BBD">
        <w:rPr>
          <w:rFonts w:ascii="Book Antiqua" w:hAnsi="Book Antiqua"/>
          <w:sz w:val="24"/>
          <w:szCs w:val="24"/>
        </w:rPr>
        <w:t xml:space="preserve"> which precludes a robust bone marrow response to RBV</w:t>
      </w:r>
      <w:r w:rsidR="00004B5A" w:rsidRPr="00324BBD">
        <w:rPr>
          <w:rFonts w:ascii="Book Antiqua" w:hAnsi="Book Antiqua"/>
          <w:sz w:val="24"/>
          <w:szCs w:val="24"/>
        </w:rPr>
        <w:t>-</w:t>
      </w:r>
      <w:r w:rsidR="00E43D8C" w:rsidRPr="00324BBD">
        <w:rPr>
          <w:rFonts w:ascii="Book Antiqua" w:hAnsi="Book Antiqua"/>
          <w:sz w:val="24"/>
          <w:szCs w:val="24"/>
        </w:rPr>
        <w:t>induced hemolysis</w:t>
      </w:r>
      <w:r w:rsidR="00004B5A" w:rsidRPr="00324BBD">
        <w:rPr>
          <w:rFonts w:ascii="Book Antiqua" w:hAnsi="Book Antiqua"/>
          <w:sz w:val="24"/>
          <w:szCs w:val="24"/>
        </w:rPr>
        <w:t>,</w:t>
      </w:r>
      <w:r w:rsidR="00E43D8C" w:rsidRPr="00324BBD">
        <w:rPr>
          <w:rFonts w:ascii="Book Antiqua" w:hAnsi="Book Antiqua"/>
          <w:sz w:val="24"/>
          <w:szCs w:val="24"/>
        </w:rPr>
        <w:t xml:space="preserve"> respond poorly to </w:t>
      </w:r>
      <w:r w:rsidR="00E43D8C" w:rsidRPr="00324BBD">
        <w:rPr>
          <w:rFonts w:ascii="Book Antiqua" w:hAnsi="Book Antiqua"/>
          <w:sz w:val="24"/>
          <w:szCs w:val="24"/>
        </w:rPr>
        <w:lastRenderedPageBreak/>
        <w:t xml:space="preserve">combination therapy. </w:t>
      </w:r>
      <w:r w:rsidR="00004B5A" w:rsidRPr="00324BBD">
        <w:rPr>
          <w:rFonts w:ascii="Book Antiqua" w:hAnsi="Book Antiqua"/>
          <w:sz w:val="24"/>
          <w:szCs w:val="24"/>
        </w:rPr>
        <w:t>T</w:t>
      </w:r>
      <w:r w:rsidR="00FE08FA" w:rsidRPr="00324BBD">
        <w:rPr>
          <w:rFonts w:ascii="Book Antiqua" w:hAnsi="Book Antiqua"/>
          <w:sz w:val="24"/>
          <w:szCs w:val="24"/>
        </w:rPr>
        <w:t xml:space="preserve">his </w:t>
      </w:r>
      <w:r w:rsidR="00004B5A" w:rsidRPr="00324BBD">
        <w:rPr>
          <w:rFonts w:ascii="Book Antiqua" w:hAnsi="Book Antiqua"/>
          <w:sz w:val="24"/>
          <w:szCs w:val="24"/>
        </w:rPr>
        <w:t xml:space="preserve">poor response </w:t>
      </w:r>
      <w:r w:rsidR="00FE08FA" w:rsidRPr="00324BBD">
        <w:rPr>
          <w:rFonts w:ascii="Book Antiqua" w:hAnsi="Book Antiqua"/>
          <w:sz w:val="24"/>
          <w:szCs w:val="24"/>
        </w:rPr>
        <w:t xml:space="preserve">can be </w:t>
      </w:r>
      <w:r w:rsidR="00004B5A" w:rsidRPr="00324BBD">
        <w:rPr>
          <w:rFonts w:ascii="Book Antiqua" w:hAnsi="Book Antiqua"/>
          <w:sz w:val="24"/>
          <w:szCs w:val="24"/>
        </w:rPr>
        <w:t xml:space="preserve">slightly </w:t>
      </w:r>
      <w:r w:rsidR="00FE08FA" w:rsidRPr="00324BBD">
        <w:rPr>
          <w:rFonts w:ascii="Book Antiqua" w:hAnsi="Book Antiqua"/>
          <w:sz w:val="24"/>
          <w:szCs w:val="24"/>
        </w:rPr>
        <w:t>mitigated by periodic packed RBC transfusions along with iron chelation</w:t>
      </w:r>
      <w:r w:rsidR="00EA1B11" w:rsidRPr="00324BBD">
        <w:rPr>
          <w:rFonts w:ascii="Book Antiqua" w:hAnsi="Book Antiqua"/>
          <w:sz w:val="24"/>
          <w:szCs w:val="24"/>
        </w:rPr>
        <w:t xml:space="preserve">. However, </w:t>
      </w:r>
      <w:r w:rsidR="00A527E5" w:rsidRPr="00324BBD">
        <w:rPr>
          <w:rFonts w:ascii="Book Antiqua" w:hAnsi="Book Antiqua"/>
          <w:sz w:val="24"/>
          <w:szCs w:val="24"/>
        </w:rPr>
        <w:t>interesting</w:t>
      </w:r>
      <w:r w:rsidR="00004B5A" w:rsidRPr="00324BBD">
        <w:rPr>
          <w:rFonts w:ascii="Book Antiqua" w:hAnsi="Book Antiqua"/>
          <w:sz w:val="24"/>
          <w:szCs w:val="24"/>
        </w:rPr>
        <w:t>ly,</w:t>
      </w:r>
      <w:r w:rsidR="00A527E5" w:rsidRPr="00324BBD">
        <w:rPr>
          <w:rFonts w:ascii="Book Antiqua" w:hAnsi="Book Antiqua"/>
          <w:sz w:val="24"/>
          <w:szCs w:val="24"/>
        </w:rPr>
        <w:t xml:space="preserve"> IFN alone a</w:t>
      </w:r>
      <w:r w:rsidR="007C14E6" w:rsidRPr="00324BBD">
        <w:rPr>
          <w:rFonts w:ascii="Book Antiqua" w:hAnsi="Book Antiqua"/>
          <w:sz w:val="24"/>
          <w:szCs w:val="24"/>
        </w:rPr>
        <w:t>ppeared to have high SVR</w:t>
      </w:r>
      <w:r w:rsidR="00004B5A" w:rsidRPr="00324BBD">
        <w:rPr>
          <w:rFonts w:ascii="Book Antiqua" w:hAnsi="Book Antiqua"/>
          <w:sz w:val="24"/>
          <w:szCs w:val="24"/>
        </w:rPr>
        <w:t xml:space="preserve"> rates</w:t>
      </w:r>
      <w:r w:rsidR="007C14E6" w:rsidRPr="00324BBD">
        <w:rPr>
          <w:rFonts w:ascii="Book Antiqua" w:hAnsi="Book Antiqua"/>
          <w:sz w:val="24"/>
          <w:szCs w:val="24"/>
        </w:rPr>
        <w:t xml:space="preserve"> of 60</w:t>
      </w:r>
      <w:r w:rsidR="00C33202" w:rsidRPr="00324BBD">
        <w:rPr>
          <w:rFonts w:ascii="Book Antiqua" w:hAnsi="Book Antiqua"/>
          <w:sz w:val="24"/>
          <w:szCs w:val="24"/>
        </w:rPr>
        <w:t>%</w:t>
      </w:r>
      <w:r w:rsidR="007C14E6" w:rsidRPr="00324BBD">
        <w:rPr>
          <w:rFonts w:ascii="Book Antiqua" w:hAnsi="Book Antiqua"/>
          <w:sz w:val="24"/>
          <w:szCs w:val="24"/>
        </w:rPr>
        <w:t>-70%</w:t>
      </w:r>
      <w:r w:rsidR="00A527E5" w:rsidRPr="00324BBD">
        <w:rPr>
          <w:rFonts w:ascii="Book Antiqua" w:hAnsi="Book Antiqua"/>
          <w:sz w:val="24"/>
          <w:szCs w:val="24"/>
        </w:rPr>
        <w:t xml:space="preserve"> in</w:t>
      </w:r>
      <w:r w:rsidR="007C14E6" w:rsidRPr="00324BBD">
        <w:rPr>
          <w:rFonts w:ascii="Book Antiqua" w:hAnsi="Book Antiqua"/>
          <w:sz w:val="24"/>
          <w:szCs w:val="24"/>
        </w:rPr>
        <w:t xml:space="preserve"> younger (&lt;</w:t>
      </w:r>
      <w:r w:rsidR="00C33202" w:rsidRPr="00324BBD">
        <w:rPr>
          <w:rFonts w:ascii="Book Antiqua" w:hAnsi="Book Antiqua"/>
          <w:sz w:val="24"/>
          <w:szCs w:val="24"/>
          <w:lang w:eastAsia="zh-CN"/>
        </w:rPr>
        <w:t xml:space="preserve"> </w:t>
      </w:r>
      <w:r w:rsidR="00B74D8A" w:rsidRPr="00324BBD">
        <w:rPr>
          <w:rFonts w:ascii="Book Antiqua" w:hAnsi="Book Antiqua"/>
          <w:sz w:val="24"/>
          <w:szCs w:val="24"/>
        </w:rPr>
        <w:t>18</w:t>
      </w:r>
      <w:r w:rsidR="007C14E6" w:rsidRPr="00324BBD">
        <w:rPr>
          <w:rFonts w:ascii="Book Antiqua" w:hAnsi="Book Antiqua"/>
          <w:sz w:val="24"/>
          <w:szCs w:val="24"/>
        </w:rPr>
        <w:t xml:space="preserve"> </w:t>
      </w:r>
      <w:r w:rsidR="000C4D4E" w:rsidRPr="00324BBD">
        <w:rPr>
          <w:rFonts w:ascii="Book Antiqua" w:hAnsi="Book Antiqua"/>
          <w:sz w:val="24"/>
          <w:szCs w:val="24"/>
        </w:rPr>
        <w:t>years</w:t>
      </w:r>
      <w:r w:rsidR="007C14E6" w:rsidRPr="00324BBD">
        <w:rPr>
          <w:rFonts w:ascii="Book Antiqua" w:hAnsi="Book Antiqua"/>
          <w:sz w:val="24"/>
          <w:szCs w:val="24"/>
        </w:rPr>
        <w:t>)</w:t>
      </w:r>
      <w:r w:rsidR="00A527E5" w:rsidRPr="00324BBD">
        <w:rPr>
          <w:rFonts w:ascii="Book Antiqua" w:hAnsi="Book Antiqua"/>
          <w:sz w:val="24"/>
          <w:szCs w:val="24"/>
        </w:rPr>
        <w:t xml:space="preserve"> cHCV patients with thalassemia</w:t>
      </w:r>
      <w:r w:rsidR="00004B5A" w:rsidRPr="00324BBD">
        <w:rPr>
          <w:rFonts w:ascii="Book Antiqua" w:hAnsi="Book Antiqua"/>
          <w:sz w:val="24"/>
          <w:szCs w:val="24"/>
        </w:rPr>
        <w:t>,</w:t>
      </w:r>
      <w:r w:rsidR="00527848" w:rsidRPr="00324BBD">
        <w:rPr>
          <w:rFonts w:ascii="Book Antiqua" w:hAnsi="Book Antiqua"/>
          <w:sz w:val="24"/>
          <w:szCs w:val="24"/>
        </w:rPr>
        <w:t xml:space="preserve"> </w:t>
      </w:r>
      <w:r w:rsidR="007C14E6" w:rsidRPr="00324BBD">
        <w:rPr>
          <w:rFonts w:ascii="Book Antiqua" w:hAnsi="Book Antiqua"/>
          <w:sz w:val="24"/>
          <w:szCs w:val="24"/>
        </w:rPr>
        <w:t xml:space="preserve">with no additional benefit from </w:t>
      </w:r>
      <w:r w:rsidR="00004B5A" w:rsidRPr="00324BBD">
        <w:rPr>
          <w:rFonts w:ascii="Book Antiqua" w:hAnsi="Book Antiqua"/>
          <w:sz w:val="24"/>
          <w:szCs w:val="24"/>
        </w:rPr>
        <w:t>r</w:t>
      </w:r>
      <w:r w:rsidR="007C14E6" w:rsidRPr="00324BBD">
        <w:rPr>
          <w:rFonts w:ascii="Book Antiqua" w:hAnsi="Book Antiqua"/>
          <w:sz w:val="24"/>
          <w:szCs w:val="24"/>
        </w:rPr>
        <w:t>ibavirin</w:t>
      </w:r>
      <w:r w:rsidR="00FE08FA" w:rsidRPr="00324BBD">
        <w:rPr>
          <w:rFonts w:ascii="Book Antiqua" w:hAnsi="Book Antiqua"/>
          <w:sz w:val="24"/>
          <w:szCs w:val="24"/>
        </w:rPr>
        <w:t>. This</w:t>
      </w:r>
      <w:r w:rsidR="00E43D8C" w:rsidRPr="00324BBD">
        <w:rPr>
          <w:rFonts w:ascii="Book Antiqua" w:hAnsi="Book Antiqua"/>
          <w:sz w:val="24"/>
          <w:szCs w:val="24"/>
        </w:rPr>
        <w:t xml:space="preserve"> </w:t>
      </w:r>
      <w:r w:rsidR="00004B5A" w:rsidRPr="00324BBD">
        <w:rPr>
          <w:rFonts w:ascii="Book Antiqua" w:hAnsi="Book Antiqua"/>
          <w:sz w:val="24"/>
          <w:szCs w:val="24"/>
        </w:rPr>
        <w:t xml:space="preserve">finding </w:t>
      </w:r>
      <w:r w:rsidR="00E43D8C" w:rsidRPr="00324BBD">
        <w:rPr>
          <w:rFonts w:ascii="Book Antiqua" w:hAnsi="Book Antiqua"/>
          <w:sz w:val="24"/>
          <w:szCs w:val="24"/>
        </w:rPr>
        <w:t xml:space="preserve">suggests that hemolysis </w:t>
      </w:r>
      <w:r w:rsidR="00FE08FA" w:rsidRPr="00324BBD">
        <w:rPr>
          <w:rFonts w:ascii="Book Antiqua" w:hAnsi="Book Antiqua"/>
          <w:sz w:val="24"/>
          <w:szCs w:val="24"/>
        </w:rPr>
        <w:t>may be</w:t>
      </w:r>
      <w:r w:rsidR="00E43D8C" w:rsidRPr="00324BBD">
        <w:rPr>
          <w:rFonts w:ascii="Book Antiqua" w:hAnsi="Book Antiqua"/>
          <w:sz w:val="24"/>
          <w:szCs w:val="24"/>
        </w:rPr>
        <w:t xml:space="preserve"> a more important factor than the serum or RBC level of </w:t>
      </w:r>
      <w:r w:rsidR="00004B5A" w:rsidRPr="00324BBD">
        <w:rPr>
          <w:rFonts w:ascii="Book Antiqua" w:hAnsi="Book Antiqua"/>
          <w:sz w:val="24"/>
          <w:szCs w:val="24"/>
        </w:rPr>
        <w:t>r</w:t>
      </w:r>
      <w:r w:rsidR="00E43D8C" w:rsidRPr="00324BBD">
        <w:rPr>
          <w:rFonts w:ascii="Book Antiqua" w:hAnsi="Book Antiqua"/>
          <w:sz w:val="24"/>
          <w:szCs w:val="24"/>
        </w:rPr>
        <w:t>ibavirin in achieving SVR</w:t>
      </w:r>
      <w:r w:rsidR="001B3787" w:rsidRPr="00324BBD">
        <w:rPr>
          <w:rFonts w:ascii="Book Antiqua" w:hAnsi="Book Antiqua"/>
          <w:sz w:val="24"/>
          <w:szCs w:val="24"/>
          <w:vertAlign w:val="superscript"/>
        </w:rPr>
        <w:t>[42</w:t>
      </w:r>
      <w:r w:rsidR="00E43D8C" w:rsidRPr="00324BBD">
        <w:rPr>
          <w:rFonts w:ascii="Book Antiqua" w:hAnsi="Book Antiqua"/>
          <w:sz w:val="24"/>
          <w:szCs w:val="24"/>
          <w:vertAlign w:val="superscript"/>
        </w:rPr>
        <w:t>]</w:t>
      </w:r>
      <w:r w:rsidR="0029296B" w:rsidRPr="00324BBD">
        <w:rPr>
          <w:rFonts w:ascii="Book Antiqua" w:hAnsi="Book Antiqua"/>
          <w:sz w:val="24"/>
          <w:szCs w:val="24"/>
          <w:lang w:eastAsia="zh-CN"/>
        </w:rPr>
        <w:t xml:space="preserve">; </w:t>
      </w:r>
      <w:r w:rsidR="0029296B" w:rsidRPr="00324BBD">
        <w:rPr>
          <w:rFonts w:ascii="Book Antiqua" w:hAnsi="Book Antiqua" w:cs="Arial"/>
          <w:sz w:val="24"/>
          <w:szCs w:val="24"/>
          <w:lang w:eastAsia="zh-CN"/>
        </w:rPr>
        <w:t>(</w:t>
      </w:r>
      <w:r w:rsidR="00C33202" w:rsidRPr="00324BBD">
        <w:rPr>
          <w:rFonts w:ascii="Book Antiqua" w:hAnsi="Book Antiqua" w:cs="Arial"/>
          <w:sz w:val="24"/>
          <w:szCs w:val="24"/>
          <w:lang w:eastAsia="zh-CN"/>
        </w:rPr>
        <w:t>4</w:t>
      </w:r>
      <w:r w:rsidR="0029296B" w:rsidRPr="00324BBD">
        <w:rPr>
          <w:rFonts w:ascii="Book Antiqua" w:hAnsi="Book Antiqua" w:cs="Arial"/>
          <w:sz w:val="24"/>
          <w:szCs w:val="24"/>
          <w:lang w:eastAsia="zh-CN"/>
        </w:rPr>
        <w:t xml:space="preserve">) </w:t>
      </w:r>
      <w:r w:rsidR="00E43D8C" w:rsidRPr="00324BBD">
        <w:rPr>
          <w:rFonts w:ascii="Book Antiqua" w:hAnsi="Book Antiqua" w:cs="Arial"/>
          <w:color w:val="000000"/>
          <w:sz w:val="24"/>
          <w:szCs w:val="24"/>
          <w:shd w:val="clear" w:color="auto" w:fill="FFFFFF"/>
        </w:rPr>
        <w:t>Ribavirin analogs</w:t>
      </w:r>
      <w:r w:rsidR="00004B5A" w:rsidRPr="00324BBD">
        <w:rPr>
          <w:rFonts w:ascii="Book Antiqua" w:hAnsi="Book Antiqua" w:cs="Arial"/>
          <w:color w:val="000000"/>
          <w:sz w:val="24"/>
          <w:szCs w:val="24"/>
          <w:shd w:val="clear" w:color="auto" w:fill="FFFFFF"/>
        </w:rPr>
        <w:t>, such as</w:t>
      </w:r>
      <w:r w:rsidR="00E43D8C" w:rsidRPr="00324BBD">
        <w:rPr>
          <w:rFonts w:ascii="Book Antiqua" w:hAnsi="Book Antiqua" w:cs="Arial"/>
          <w:color w:val="000000"/>
          <w:sz w:val="24"/>
          <w:szCs w:val="24"/>
          <w:shd w:val="clear" w:color="auto" w:fill="FFFFFF"/>
        </w:rPr>
        <w:t xml:space="preserve"> taribavirin</w:t>
      </w:r>
      <w:r w:rsidR="00004B5A" w:rsidRPr="00324BBD">
        <w:rPr>
          <w:rFonts w:ascii="Book Antiqua" w:hAnsi="Book Antiqua" w:cs="Arial"/>
          <w:color w:val="000000"/>
          <w:sz w:val="24"/>
          <w:szCs w:val="24"/>
          <w:shd w:val="clear" w:color="auto" w:fill="FFFFFF"/>
        </w:rPr>
        <w:t>,</w:t>
      </w:r>
      <w:r w:rsidR="00E43D8C" w:rsidRPr="00324BBD">
        <w:rPr>
          <w:rFonts w:ascii="Book Antiqua" w:hAnsi="Book Antiqua" w:cs="Arial"/>
          <w:color w:val="000000"/>
          <w:sz w:val="24"/>
          <w:szCs w:val="24"/>
          <w:shd w:val="clear" w:color="auto" w:fill="FFFFFF"/>
        </w:rPr>
        <w:t xml:space="preserve"> which increases the intracellular </w:t>
      </w:r>
      <w:r w:rsidR="00004B5A" w:rsidRPr="00324BBD">
        <w:rPr>
          <w:rFonts w:ascii="Book Antiqua" w:hAnsi="Book Antiqua" w:cs="Arial"/>
          <w:color w:val="000000"/>
          <w:sz w:val="24"/>
          <w:szCs w:val="24"/>
          <w:shd w:val="clear" w:color="auto" w:fill="FFFFFF"/>
        </w:rPr>
        <w:t>r</w:t>
      </w:r>
      <w:r w:rsidR="00E43D8C" w:rsidRPr="00324BBD">
        <w:rPr>
          <w:rFonts w:ascii="Book Antiqua" w:hAnsi="Book Antiqua" w:cs="Arial"/>
          <w:color w:val="000000"/>
          <w:sz w:val="24"/>
          <w:szCs w:val="24"/>
          <w:shd w:val="clear" w:color="auto" w:fill="FFFFFF"/>
        </w:rPr>
        <w:t>ibavirin levels in the hepatocytes</w:t>
      </w:r>
      <w:r w:rsidR="00004B5A" w:rsidRPr="00324BBD">
        <w:rPr>
          <w:rFonts w:ascii="Book Antiqua" w:hAnsi="Book Antiqua" w:cs="Arial"/>
          <w:color w:val="000000"/>
          <w:sz w:val="24"/>
          <w:szCs w:val="24"/>
          <w:shd w:val="clear" w:color="auto" w:fill="FFFFFF"/>
        </w:rPr>
        <w:t>,</w:t>
      </w:r>
      <w:r w:rsidR="00E43D8C" w:rsidRPr="00324BBD">
        <w:rPr>
          <w:rFonts w:ascii="Book Antiqua" w:hAnsi="Book Antiqua" w:cs="Arial"/>
          <w:color w:val="000000"/>
          <w:sz w:val="24"/>
          <w:szCs w:val="24"/>
          <w:shd w:val="clear" w:color="auto" w:fill="FFFFFF"/>
        </w:rPr>
        <w:t xml:space="preserve"> and levovirin</w:t>
      </w:r>
      <w:r w:rsidR="00004B5A" w:rsidRPr="00324BBD">
        <w:rPr>
          <w:rFonts w:ascii="Book Antiqua" w:hAnsi="Book Antiqua" w:cs="Arial"/>
          <w:color w:val="000000"/>
          <w:sz w:val="24"/>
          <w:szCs w:val="24"/>
          <w:shd w:val="clear" w:color="auto" w:fill="FFFFFF"/>
        </w:rPr>
        <w:t>,</w:t>
      </w:r>
      <w:r w:rsidR="00E43D8C" w:rsidRPr="00324BBD">
        <w:rPr>
          <w:rFonts w:ascii="Book Antiqua" w:hAnsi="Book Antiqua" w:cs="Arial"/>
          <w:color w:val="000000"/>
          <w:sz w:val="24"/>
          <w:szCs w:val="24"/>
          <w:shd w:val="clear" w:color="auto" w:fill="FFFFFF"/>
        </w:rPr>
        <w:t xml:space="preserve"> which causes lesser hemolysis and anemia</w:t>
      </w:r>
      <w:r w:rsidR="00EA1B11" w:rsidRPr="00324BBD">
        <w:rPr>
          <w:rFonts w:ascii="Book Antiqua" w:hAnsi="Book Antiqua" w:cs="Arial"/>
          <w:color w:val="000000"/>
          <w:sz w:val="24"/>
          <w:szCs w:val="24"/>
          <w:shd w:val="clear" w:color="auto" w:fill="FFFFFF"/>
        </w:rPr>
        <w:t xml:space="preserve"> </w:t>
      </w:r>
      <w:r w:rsidR="003649B1" w:rsidRPr="00324BBD">
        <w:rPr>
          <w:rFonts w:ascii="Book Antiqua" w:hAnsi="Book Antiqua" w:cs="Arial"/>
          <w:color w:val="000000"/>
          <w:sz w:val="24"/>
          <w:szCs w:val="24"/>
          <w:shd w:val="clear" w:color="auto" w:fill="FFFFFF"/>
        </w:rPr>
        <w:t>compared with</w:t>
      </w:r>
      <w:r w:rsidR="00E43D8C" w:rsidRPr="00324BBD">
        <w:rPr>
          <w:rFonts w:ascii="Book Antiqua" w:hAnsi="Book Antiqua" w:cs="Arial"/>
          <w:color w:val="000000"/>
          <w:sz w:val="24"/>
          <w:szCs w:val="24"/>
          <w:shd w:val="clear" w:color="auto" w:fill="FFFFFF"/>
        </w:rPr>
        <w:t xml:space="preserve"> ribavirin</w:t>
      </w:r>
      <w:r w:rsidR="00004B5A" w:rsidRPr="00324BBD">
        <w:rPr>
          <w:rFonts w:ascii="Book Antiqua" w:hAnsi="Book Antiqua" w:cs="Arial"/>
          <w:color w:val="000000"/>
          <w:sz w:val="24"/>
          <w:szCs w:val="24"/>
          <w:shd w:val="clear" w:color="auto" w:fill="FFFFFF"/>
        </w:rPr>
        <w:t>,</w:t>
      </w:r>
      <w:r w:rsidR="00E43D8C" w:rsidRPr="00324BBD">
        <w:rPr>
          <w:rFonts w:ascii="Book Antiqua" w:hAnsi="Book Antiqua" w:cs="Arial"/>
          <w:color w:val="000000"/>
          <w:sz w:val="24"/>
          <w:szCs w:val="24"/>
          <w:shd w:val="clear" w:color="auto" w:fill="FFFFFF"/>
        </w:rPr>
        <w:t xml:space="preserve"> produced inferior SVR rates when combined with IFN-</w:t>
      </w:r>
      <w:r w:rsidR="0029296B" w:rsidRPr="00324BBD">
        <w:rPr>
          <w:rFonts w:ascii="Book Antiqua" w:hAnsi="Book Antiqua" w:cs="Arial"/>
          <w:color w:val="000000"/>
          <w:sz w:val="24"/>
          <w:szCs w:val="24"/>
          <w:shd w:val="clear" w:color="auto" w:fill="FFFFFF"/>
        </w:rPr>
        <w:t>γ</w:t>
      </w:r>
      <w:r w:rsidR="00EB5F99" w:rsidRPr="00324BBD">
        <w:rPr>
          <w:rFonts w:ascii="Book Antiqua" w:hAnsi="Book Antiqua" w:cs="Arial"/>
          <w:color w:val="000000"/>
          <w:sz w:val="24"/>
          <w:szCs w:val="24"/>
          <w:shd w:val="clear" w:color="auto" w:fill="FFFFFF"/>
        </w:rPr>
        <w:fldChar w:fldCharType="begin"/>
      </w:r>
      <w:r w:rsidR="00E43D8C" w:rsidRPr="00324BBD">
        <w:rPr>
          <w:rFonts w:ascii="Book Antiqua" w:hAnsi="Book Antiqua" w:cs="Arial"/>
          <w:color w:val="000000"/>
          <w:sz w:val="24"/>
          <w:szCs w:val="24"/>
          <w:shd w:val="clear" w:color="auto" w:fill="FFFFFF"/>
        </w:rPr>
        <w:instrText xml:space="preserve"> ADDIN ZOTERO_ITEM CSL_CITATION {"citationID":"2jbtpbub1a","properties":{"formattedCitation":"{\\rtf \\super [90\\uc0\\u8211{}92]\\nosupersub{}}","plainCitation":"[90–92]"},"citationItems":[{"id":542,"uris":["http://zotero.org/users/1747505/items/V9PPCAK9"],"uri":["http://zotero.org/users/1747505/items/V9PPCAK9"],"itemData":{"id":542,"type":"article-journal","title":"A phase III study of the safety and efficacy of viramidine versus ribavirin in treatment-naïve patients with chronic hepatitis C: ViSER1 results","container-title":"Hepatology","page":"717–726","volume":"50","issue":"3","source":"Wiley Online Library","abstract":"Pegylated interferon (peg-IFN) and ribavirin (RBV) are effective in eradicating the hepatitis C virus in more than half of patients. However, anemia arising from RBV-induced hemolysis can prompt dose reductions and lower sustained virologic response (SVR) rates. In early clinical trials, Viramidine (VRD, renamed taribavirin), an RBV prodrug, was associated with less anemia and VRD given at 600 mg twice daily (BID) appeared to provide the best safety with comparable efficacy to RBV. The phase III Viramidine's Safety and Efficacy versus Ribavirin 1 (ViSER1) study randomized 972 treatment-naïve patients with chronic hepatitis C to fixed-dose VRD (600 mg BID) or weight-based RBV (1000 or 1200 mg/day), each given with peg-IFN alfa-2b at 1.5 </w:instrText>
      </w:r>
      <w:r w:rsidR="00E43D8C" w:rsidRPr="00324BBD">
        <w:rPr>
          <w:rFonts w:ascii="Book Antiqua" w:hAnsi="Book Antiqua" w:cs="Times New Roman"/>
          <w:color w:val="000000"/>
          <w:sz w:val="24"/>
          <w:szCs w:val="24"/>
          <w:shd w:val="clear" w:color="auto" w:fill="FFFFFF"/>
        </w:rPr>
        <w:instrText>μ</w:instrText>
      </w:r>
      <w:r w:rsidR="00E43D8C" w:rsidRPr="00324BBD">
        <w:rPr>
          <w:rFonts w:ascii="Book Antiqua" w:hAnsi="Book Antiqua" w:cs="Arial"/>
          <w:color w:val="000000"/>
          <w:sz w:val="24"/>
          <w:szCs w:val="24"/>
          <w:shd w:val="clear" w:color="auto" w:fill="FFFFFF"/>
        </w:rPr>
        <w:instrText xml:space="preserve">g/kg/week. The primary efficacy endpoint was SVR rate, and the primary safety endpoint was hemoglobin (Hb) event rate (percent of patients with Hb &lt; 10 g/dL or at least a 2.5-g/dL decrease from baseline). SVR rates were 37.7% with VRD (244/647) and 52.3% with RBV (170/325). Thus, the ViSER1 study failed to demonstrate the primary noninferiority efficacy endpoint. Significantly fewer patients had Hb events with VRD (353/647; 54.6%) compared to those with RBV (272/325; 83.7%) (P &lt; 0.001), and significantly fewer developed anemia (Hb &lt; 10 g/dL) with VRD (34/647; 5.3%) compared to those with RBV (76/325; 23.5%) (P &lt; 0.001). Conclusion: Fixed doses of VRD failed to demonstrate noninferiority to RBV in producing SVR rates. The incidence of anemia was approximately four-fold significantly lower with VRD than with RBV. These results suggest fixed-dose VRD given 600 mg BID is insufficient to treat patients with chronic hepatitis C; a weight-based dosing trial of viramidine is currently under way. (HEPATOLOGY 2009.)","DOI":"10.1002/hep.23073","ISSN":"1527-3350","shortTitle":"A phase III study of the safety and efficacy of viramidine versus ribavirin in treatment-naïve patients with chronic hepatitis C","language":"en","author":[{"family":"Benhamou","given":"Yves"},{"family":"Afdhal","given":"Nezam H."},{"family":"Nelson","given":"David R."},{"family":"Shiffman","given":"Mitchell L."},{"family":"Halliman","given":"Deanine G."},{"family":"Heise","given":"Jamie"},{"family":"Chun","given":"Eric"},{"family":"Pockros","given":"Paul J."}],"issued":{"date-parts":[["2009"]]},"accessed":{"date-parts":[["2014",1,29]],"season":"06:17:00"}},"label":"page"},{"id":538,"uris":["http://zotero.org/users/1747505/items/WVG5VBEA"],"uri":["http://zotero.org/users/1747505/items/WVG5VBEA"],"itemData":{"id":538,"type":"article-journal","title":"Safety and efficacy of viramidine versus ribavirin in ViSER2: randomized, double-blind study in therapy-naive hepatitis C patients","container-title":"Journal of hepatology","page":"32-38","volume":"52","issue":"1","source":"NCBI PubMed","abstract":"BACKGROUND &amp; AIMS: Pegylated interferon (peg-IFN) plus ribavirin (standard of care for chronic hepatitis C virus [HCV]), can cause dose-limiting anemia in up to 22% of patients. Viramidine is associated with a lower incidence of anemia because of its liver-targeting properties.\nMETHODS: The efficacy and safety of viramidine versus ribavirin plus peg-IFN alfa-2a was assessed in patients with HCV. Randomized patients received peg-IFN alfa-2a 180 mcg with viramidine 600 mg twice daily or weight-based doses of ribavirin 1000 or 1200 mg/day. Treatment duration was based on HCV ribonucleic acid (RNA) genotype: genotype 2/3 and non-2/3 patients were treated for 24 and 48 weeks, respectively. The primary efficacy end point was the non-inferiority of viramidine versus ribavirin (proportion of patients achieving sustained virologic response at week 24). The primary safety end point was the proportion of patients experiencing a hemoglobin event.\nRESULTS: In total, 962 patients received peg-IFN alfa-2a with viramidine (n=644) or ribavirin (n=318). Sustained virologic response was achieved in 40% of viramidine-treated patients and 55% of ribavirin-treated patients (difference of proportions 0.150 [95% CI, 0.09, 0.21]). Improved efficacy was seen with higher viramidine exposure on a mg/kg basis. Viramidine was significantly superior to ribavirin in hemoglobin event rates (54% vs. 80%; p&lt;0.001). Adverse event rates were similar between groups except for diarrhea (viramidine 29.5%; ribavirin 15.7%; p&lt;0.0001).\nCONCLUSIONS: Viramidine 600 mg BID did not meet the primary efficacy non-inferiority end point but met the safety end point. Determination of a viramidine dosage that would yield superior efficacy over ribavirin is needed.","DOI":"10.1016/j.jhep.2009.10.015","ISSN":"1600-0641","note":"PMID: 19913323","shortTitle":"Safety and efficacy of viramidine versus ribavirin in ViSER2","journalAbbreviation":"J. Hepatol.","language":"eng","author":[{"family":"Marcellin","given":"Patrick"},{"family":"Gish","given":"Robert G"},{"family":"Gitlin","given":"Norman"},{"family":"Heise","given":"Jamie"},{"family":"Halliman","given":"Deanine G"},{"family":"Chun","given":"Eric"},{"family":"Rodriguez-Torres","given":"Maribel"}],"issued":{"date-parts":[["2010",1]]},"PMID":"19913323"},"label":"page"},{"id":545,"uris":["http://zotero.org/users/1747505/items/9G4MJ79X"],"uri":["http://zotero.org/users/1747505/items/9G4MJ79X"],"itemData":{"id":545,"type":"article","title":"RibavirinAnalogues.pdf"},"label":"page"}],"schema":"https://github.com/citation-style-language/schema/raw/master/csl-citation.json"} </w:instrText>
      </w:r>
      <w:r w:rsidR="00EB5F99" w:rsidRPr="00324BBD">
        <w:rPr>
          <w:rFonts w:ascii="Book Antiqua" w:hAnsi="Book Antiqua" w:cs="Arial"/>
          <w:color w:val="000000"/>
          <w:sz w:val="24"/>
          <w:szCs w:val="24"/>
          <w:shd w:val="clear" w:color="auto" w:fill="FFFFFF"/>
        </w:rPr>
        <w:fldChar w:fldCharType="separate"/>
      </w:r>
      <w:r w:rsidR="00E43D8C" w:rsidRPr="00324BBD">
        <w:rPr>
          <w:rFonts w:ascii="Book Antiqua" w:hAnsi="Book Antiqua" w:cs="Times New Roman"/>
          <w:sz w:val="24"/>
          <w:szCs w:val="24"/>
          <w:vertAlign w:val="superscript"/>
        </w:rPr>
        <w:t>[</w:t>
      </w:r>
      <w:r w:rsidR="001B3787" w:rsidRPr="00324BBD">
        <w:rPr>
          <w:rFonts w:ascii="Book Antiqua" w:hAnsi="Book Antiqua" w:cs="Times New Roman"/>
          <w:sz w:val="24"/>
          <w:szCs w:val="24"/>
          <w:vertAlign w:val="superscript"/>
        </w:rPr>
        <w:t>43,44</w:t>
      </w:r>
      <w:r w:rsidR="00E43D8C" w:rsidRPr="00324BBD">
        <w:rPr>
          <w:rFonts w:ascii="Book Antiqua" w:hAnsi="Book Antiqua" w:cs="Times New Roman"/>
          <w:sz w:val="24"/>
          <w:szCs w:val="24"/>
          <w:vertAlign w:val="superscript"/>
        </w:rPr>
        <w:t>]</w:t>
      </w:r>
      <w:r w:rsidR="00EB5F99" w:rsidRPr="00324BBD">
        <w:rPr>
          <w:rFonts w:ascii="Book Antiqua" w:hAnsi="Book Antiqua" w:cs="Arial"/>
          <w:color w:val="000000"/>
          <w:sz w:val="24"/>
          <w:szCs w:val="24"/>
          <w:shd w:val="clear" w:color="auto" w:fill="FFFFFF"/>
        </w:rPr>
        <w:fldChar w:fldCharType="end"/>
      </w:r>
      <w:r w:rsidR="00E43D8C" w:rsidRPr="00324BBD">
        <w:rPr>
          <w:rFonts w:ascii="Book Antiqua" w:hAnsi="Book Antiqua" w:cs="Arial"/>
          <w:color w:val="000000"/>
          <w:sz w:val="24"/>
          <w:szCs w:val="24"/>
          <w:shd w:val="clear" w:color="auto" w:fill="FFFFFF"/>
        </w:rPr>
        <w:t>.</w:t>
      </w:r>
      <w:r w:rsidR="00EB5F99" w:rsidRPr="00324BBD">
        <w:rPr>
          <w:rFonts w:ascii="Book Antiqua" w:hAnsi="Book Antiqua" w:cs="Arial"/>
          <w:color w:val="000000"/>
          <w:sz w:val="24"/>
          <w:szCs w:val="24"/>
          <w:shd w:val="clear" w:color="auto" w:fill="FFFFFF"/>
        </w:rPr>
        <w:fldChar w:fldCharType="begin"/>
      </w:r>
      <w:r w:rsidR="00E43D8C" w:rsidRPr="00324BBD">
        <w:rPr>
          <w:rFonts w:ascii="Book Antiqua" w:hAnsi="Book Antiqua" w:cs="Arial"/>
          <w:color w:val="000000"/>
          <w:sz w:val="24"/>
          <w:szCs w:val="24"/>
          <w:shd w:val="clear" w:color="auto" w:fill="FFFFFF"/>
        </w:rPr>
        <w:instrText xml:space="preserve"> ADDIN ZOTERO_ITEM CSL_CITATION {"citationID":"2mdb36ms51","properties":{"formattedCitation":"{\\rtf \\super 95\\uc0\\u8211{}97\\nosupersub{}}","plainCitation":"95–97","dontUpdate":true},"citationItems":[{"id":542,"uris":["http://zotero.org/users/1747505/items/V9PPCAK9"],"uri":["http://zotero.org/users/1747505/items/V9PPCAK9"],"itemData":{"id":542,"type":"article-journal","title":"A phase III study of the safety and efficacy of viramidine versus ribavirin in treatment-naïve patients with chronic hepatitis C: ViSER1 results","container-title":"Hepatology","page":"717–726","volume":"50","issue":"3","source":"Wiley Online Library","abstract":"Pegylated interferon (peg-IFN) and ribavirin (RBV) are effective in eradicating the hepatitis C virus in more than half of patients. However, anemia arising from RBV-induced hemolysis can prompt dose reductions and lower sustained virologic response (SVR) rates. In early clinical trials, Viramidine (VRD, renamed taribavirin), an RBV prodrug, was associated with less anemia and VRD given at 600 mg twice daily (BID) appeared to provide the best safety with comparable efficacy to RBV. The phase III Viramidine's Safety and Efficacy versus Ribavirin 1 (ViSER1) study randomized 972 treatment-naïve patients with chronic hepatitis C to fixed-dose VRD (600 mg BID) or weight-based RBV (1000 or 1200 mg/day), each given with peg-IFN alfa-2b at 1.5 </w:instrText>
      </w:r>
      <w:r w:rsidR="00E43D8C" w:rsidRPr="00324BBD">
        <w:rPr>
          <w:rFonts w:ascii="Book Antiqua" w:hAnsi="Book Antiqua" w:cs="Times New Roman"/>
          <w:color w:val="000000"/>
          <w:sz w:val="24"/>
          <w:szCs w:val="24"/>
          <w:shd w:val="clear" w:color="auto" w:fill="FFFFFF"/>
        </w:rPr>
        <w:instrText>μ</w:instrText>
      </w:r>
      <w:r w:rsidR="00E43D8C" w:rsidRPr="00324BBD">
        <w:rPr>
          <w:rFonts w:ascii="Book Antiqua" w:hAnsi="Book Antiqua" w:cs="Arial"/>
          <w:color w:val="000000"/>
          <w:sz w:val="24"/>
          <w:szCs w:val="24"/>
          <w:shd w:val="clear" w:color="auto" w:fill="FFFFFF"/>
        </w:rPr>
        <w:instrText xml:space="preserve">g/kg/week. The primary efficacy endpoint was SVR rate, and the primary safety endpoint was hemoglobin (Hb) event rate (percent of patients with Hb &lt; 10 g/dL or at least a 2.5-g/dL decrease from baseline). SVR rates were 37.7% with VRD (244/647) and 52.3% with RBV (170/325). Thus, the ViSER1 study failed to demonstrate the primary noninferiority efficacy endpoint. Significantly fewer patients had Hb events with VRD (353/647; 54.6%) compared to those with RBV (272/325; 83.7%) (P &lt; 0.001), and significantly fewer developed anemia (Hb &lt; 10 g/dL) with VRD (34/647; 5.3%) compared to those with RBV (76/325; 23.5%) (P &lt; 0.001). Conclusion: Fixed doses of VRD failed to demonstrate noninferiority to RBV in producing SVR rates. The incidence of anemia was approximately four-fold significantly lower with VRD than with RBV. These results suggest fixed-dose VRD given 600 mg BID is insufficient to treat patients with chronic hepatitis C; a weight-based dosing trial of viramidine is currently under way. (HEPATOLOGY 2009.)","DOI":"10.1002/hep.23073","ISSN":"1527-3350","shortTitle":"A phase III study of the safety and efficacy of viramidine versus ribavirin in treatment-naïve patients with chronic hepatitis C","language":"en","author":[{"family":"Benhamou","given":"Yves"},{"family":"Afdhal","given":"Nezam H."},{"family":"Nelson","given":"David R."},{"family":"Shiffman","given":"Mitchell L."},{"family":"Halliman","given":"Deanine G."},{"family":"Heise","given":"Jamie"},{"family":"Chun","given":"Eric"},{"family":"Pockros","given":"Paul J."}],"issued":{"date-parts":[["2009"]]},"accessed":{"date-parts":[["2014",1,29]],"season":"06:17:00"}},"label":"page"},{"id":538,"uris":["http://zotero.org/users/1747505/items/WVG5VBEA"],"uri":["http://zotero.org/users/1747505/items/WVG5VBEA"],"itemData":{"id":538,"type":"article-journal","title":"Safety and efficacy of viramidine versus ribavirin in ViSER2: randomized, double-blind study in therapy-naive hepatitis C patients","container-title":"Journal of hepatology","page":"32-38","volume":"52","issue":"1","source":"NCBI PubMed","abstract":"BACKGROUND &amp; AIMS: Pegylated interferon (peg-IFN) plus ribavirin (standard of care for chronic hepatitis C virus [HCV]), can cause dose-limiting anemia in up to 22% of patients. Viramidine is associated with a lower incidence of anemia because of its liver-targeting properties.\nMETHODS: The efficacy and safety of viramidine versus ribavirin plus peg-IFN alfa-2a was assessed in patients with HCV. Randomized patients received peg-IFN alfa-2a 180 mcg with viramidine 600 mg twice daily or weight-based doses of ribavirin 1000 or 1200 mg/day. Treatment duration was based on HCV ribonucleic acid (RNA) genotype: genotype 2/3 and non-2/3 patients were treated for 24 and 48 weeks, respectively. The primary efficacy end point was the non-inferiority of viramidine versus ribavirin (proportion of patients achieving sustained virologic response at week 24). The primary safety end point was the proportion of patients experiencing a hemoglobin event.\nRESULTS: In total, 962 patients received peg-IFN alfa-2a with viramidine (n=644) or ribavirin (n=318). Sustained virologic response was achieved in 40% of viramidine-treated patients and 55% of ribavirin-treated patients (difference of proportions 0.150 [95% CI, 0.09, 0.21]). Improved efficacy was seen with higher viramidine exposure on a mg/kg basis. Viramidine was significantly superior to ribavirin in hemoglobin event rates (54% vs. 80%; p&lt;0.001). Adverse event rates were similar between groups except for diarrhea (viramidine 29.5%; ribavirin 15.7%; p&lt;0.0001).\nCONCLUSIONS: Viramidine 600 mg BID did not meet the primary efficacy non-inferiority end point but met the safety end point. Determination of a viramidine dosage that would yield superior efficacy over ribavirin is needed.","DOI":"10.1016/j.jhep.2009.10.015","ISSN":"1600-0641","note":"PMID: 19913323","shortTitle":"Safety and efficacy of viramidine versus ribavirin in ViSER2","journalAbbreviation":"J. Hepatol.","language":"eng","author":[{"family":"Marcellin","given":"Patrick"},{"family":"Gish","given":"Robert G"},{"family":"Gitlin","given":"Norman"},{"family":"Heise","given":"Jamie"},{"family":"Halliman","given":"Deanine G"},{"family":"Chun","given":"Eric"},{"family":"Rodriguez-Torres","given":"Maribel"}],"issued":{"date-parts":[["2010",1]]},"PMID":"19913323"},"label":"page"},{"id":545,"uris":["http://zotero.org/users/1747505/items/9G4MJ79X"],"uri":["http://zotero.org/users/1747505/items/9G4MJ79X"],"itemData":{"id":545,"type":"article","title":"RibavirinAnalogues.pdf"},"label":"page"}],"schema":"https://github.com/citation-style-language/schema/raw/master/csl-citation.json"} </w:instrText>
      </w:r>
      <w:r w:rsidR="00EB5F99" w:rsidRPr="00324BBD">
        <w:rPr>
          <w:rFonts w:ascii="Book Antiqua" w:hAnsi="Book Antiqua" w:cs="Arial"/>
          <w:color w:val="000000"/>
          <w:sz w:val="24"/>
          <w:szCs w:val="24"/>
          <w:shd w:val="clear" w:color="auto" w:fill="FFFFFF"/>
        </w:rPr>
        <w:fldChar w:fldCharType="end"/>
      </w:r>
      <w:r w:rsidR="00E43D8C" w:rsidRPr="00324BBD">
        <w:rPr>
          <w:rFonts w:ascii="Book Antiqua" w:hAnsi="Book Antiqua"/>
          <w:color w:val="FF0000"/>
          <w:sz w:val="24"/>
          <w:szCs w:val="24"/>
        </w:rPr>
        <w:t xml:space="preserve"> </w:t>
      </w:r>
      <w:r w:rsidR="00E43D8C" w:rsidRPr="00324BBD">
        <w:rPr>
          <w:rFonts w:ascii="Book Antiqua" w:hAnsi="Book Antiqua"/>
          <w:sz w:val="24"/>
          <w:szCs w:val="24"/>
        </w:rPr>
        <w:t>A safer dosage of taribavirin which produces a significant lesser degree of anemia</w:t>
      </w:r>
      <w:r w:rsidR="00EA1B11" w:rsidRPr="00324BBD">
        <w:rPr>
          <w:rFonts w:ascii="Book Antiqua" w:hAnsi="Book Antiqua"/>
          <w:sz w:val="24"/>
          <w:szCs w:val="24"/>
        </w:rPr>
        <w:t xml:space="preserve"> </w:t>
      </w:r>
      <w:r w:rsidR="003649B1" w:rsidRPr="00324BBD">
        <w:rPr>
          <w:rFonts w:ascii="Book Antiqua" w:hAnsi="Book Antiqua"/>
          <w:sz w:val="24"/>
          <w:szCs w:val="24"/>
        </w:rPr>
        <w:t>compared with</w:t>
      </w:r>
      <w:r w:rsidR="00E43D8C" w:rsidRPr="00324BBD">
        <w:rPr>
          <w:rFonts w:ascii="Book Antiqua" w:hAnsi="Book Antiqua"/>
          <w:sz w:val="24"/>
          <w:szCs w:val="24"/>
        </w:rPr>
        <w:t xml:space="preserve"> RBV was found to be inferior to RBV in treat</w:t>
      </w:r>
      <w:r w:rsidR="00004B5A" w:rsidRPr="00324BBD">
        <w:rPr>
          <w:rFonts w:ascii="Book Antiqua" w:hAnsi="Book Antiqua"/>
          <w:sz w:val="24"/>
          <w:szCs w:val="24"/>
        </w:rPr>
        <w:t>ing</w:t>
      </w:r>
      <w:r w:rsidR="00E43D8C" w:rsidRPr="00324BBD">
        <w:rPr>
          <w:rFonts w:ascii="Book Antiqua" w:hAnsi="Book Antiqua"/>
          <w:sz w:val="24"/>
          <w:szCs w:val="24"/>
        </w:rPr>
        <w:t xml:space="preserve"> cHCV infection</w:t>
      </w:r>
      <w:r w:rsidR="00EB5F99" w:rsidRPr="00324BBD">
        <w:rPr>
          <w:rFonts w:ascii="Book Antiqua" w:hAnsi="Book Antiqua"/>
          <w:sz w:val="24"/>
          <w:szCs w:val="24"/>
        </w:rPr>
        <w:fldChar w:fldCharType="begin"/>
      </w:r>
      <w:r w:rsidR="00E43D8C" w:rsidRPr="00324BBD">
        <w:rPr>
          <w:rFonts w:ascii="Book Antiqua" w:hAnsi="Book Antiqua"/>
          <w:sz w:val="24"/>
          <w:szCs w:val="24"/>
        </w:rPr>
        <w:instrText xml:space="preserve"> ADDIN ZOTERO_ITEM CSL_CITATION {"citationID":"GderqcyG","properties":{"formattedCitation":"{\\rtf \\super [90]\\nosupersub{}}","plainCitation":"[90]"},"citationItems":[{"id":542,"uris":["http://zotero.org/users/1747505/items/V9PPCAK9"],"uri":["http://zotero.org/users/1747505/items/V9PPCAK9"],"itemData":{"id":542,"type":"article-journal","title":"A phase III study of the safety and efficacy of viramidine versus ribavirin in treatment-naïve patients with chronic hepatitis C: ViSER1 results","container-title":"Hepatology","page":"717–726","volume":"50","issue":"3","source":"Wiley Online Library","abstract":"Pegylated interferon (peg-IFN) and ribavirin (RBV) are effective in eradicating the hepatitis C virus in more than half of patients. However, anemia arising from RBV-induced hemolysis can prompt dose reductions and lower sustained virologic response (SVR) rates. In early clinical trials, Viramidine (VRD, renamed taribavirin), an RBV prodrug, was associated with less anemia and VRD given at 600 mg twice daily (BID) appeared to provide the best safety with comparable efficacy to RBV. The phase III Viramidine's Safety and Efficacy versus Ribavirin 1 (ViSER1) study randomized 972 treatment-naïve patients with chronic hepatitis C to fixed-dose VRD (600 mg BID) or weight-based RBV (1000 or 1200 mg/day), each given with peg-IFN alfa-2b at 1.5 </w:instrText>
      </w:r>
      <w:r w:rsidR="00E43D8C" w:rsidRPr="00324BBD">
        <w:rPr>
          <w:rFonts w:ascii="Book Antiqua" w:hAnsi="Book Antiqua" w:cs="Times New Roman"/>
          <w:sz w:val="24"/>
          <w:szCs w:val="24"/>
        </w:rPr>
        <w:instrText>μ</w:instrText>
      </w:r>
      <w:r w:rsidR="00E43D8C" w:rsidRPr="00324BBD">
        <w:rPr>
          <w:rFonts w:ascii="Book Antiqua" w:hAnsi="Book Antiqua"/>
          <w:sz w:val="24"/>
          <w:szCs w:val="24"/>
        </w:rPr>
        <w:instrText xml:space="preserve">g/kg/week. The primary efficacy endpoint was SVR rate, and the primary safety endpoint was hemoglobin (Hb) event rate (percent of patients with Hb &lt; 10 g/dL or at least a 2.5-g/dL decrease from baseline). SVR rates were 37.7% with VRD (244/647) and 52.3% with RBV (170/325). Thus, the ViSER1 study failed to demonstrate the primary noninferiority efficacy endpoint. Significantly fewer patients had Hb events with VRD (353/647; 54.6%) compared to those with RBV (272/325; 83.7%) (P &lt; 0.001), and significantly fewer developed anemia (Hb &lt; 10 g/dL) with VRD (34/647; 5.3%) compared to those with RBV (76/325; 23.5%) (P &lt; 0.001). Conclusion: Fixed doses of VRD failed to demonstrate noninferiority to RBV in producing SVR rates. The incidence of anemia was approximately four-fold significantly lower with VRD than with RBV. These results suggest fixed-dose VRD given 600 mg BID is insufficient to treat patients with chronic hepatitis C; a weight-based dosing trial of viramidine is currently under way. (HEPATOLOGY 2009.)","DOI":"10.1002/hep.23073","ISSN":"1527-3350","shortTitle":"A phase III study of the safety and efficacy of viramidine versus ribavirin in treatment-naïve patients with chronic hepatitis C","language":"en","author":[{"family":"Benhamou","given":"Yves"},{"family":"Afdhal","given":"Nezam H."},{"family":"Nelson","given":"David R."},{"family":"Shiffman","given":"Mitchell L."},{"family":"Halliman","given":"Deanine G."},{"family":"Heise","given":"Jamie"},{"family":"Chun","given":"Eric"},{"family":"Pockros","given":"Paul J."}],"issued":{"date-parts":[["2009"]]},"accessed":{"date-parts":[["2014",1,29]],"season":"06:17:00"}}}],"schema":"https://github.com/citation-style-language/schema/raw/master/csl-citation.json"} </w:instrText>
      </w:r>
      <w:r w:rsidR="00EB5F99" w:rsidRPr="00324BBD">
        <w:rPr>
          <w:rFonts w:ascii="Book Antiqua" w:hAnsi="Book Antiqua"/>
          <w:sz w:val="24"/>
          <w:szCs w:val="24"/>
        </w:rPr>
        <w:fldChar w:fldCharType="separate"/>
      </w:r>
      <w:r w:rsidR="001B3787" w:rsidRPr="00324BBD">
        <w:rPr>
          <w:rFonts w:ascii="Book Antiqua" w:hAnsi="Book Antiqua" w:cs="Times New Roman"/>
          <w:sz w:val="24"/>
          <w:szCs w:val="24"/>
          <w:vertAlign w:val="superscript"/>
        </w:rPr>
        <w:t>[43</w:t>
      </w:r>
      <w:r w:rsidR="00E43D8C" w:rsidRPr="00324BBD">
        <w:rPr>
          <w:rFonts w:ascii="Book Antiqua" w:hAnsi="Book Antiqua" w:cs="Times New Roman"/>
          <w:sz w:val="24"/>
          <w:szCs w:val="24"/>
          <w:vertAlign w:val="superscript"/>
        </w:rPr>
        <w:t>]</w:t>
      </w:r>
      <w:r w:rsidR="00EB5F99" w:rsidRPr="00324BBD">
        <w:rPr>
          <w:rFonts w:ascii="Book Antiqua" w:hAnsi="Book Antiqua"/>
          <w:sz w:val="24"/>
          <w:szCs w:val="24"/>
        </w:rPr>
        <w:fldChar w:fldCharType="end"/>
      </w:r>
      <w:r w:rsidR="0029296B" w:rsidRPr="00324BBD">
        <w:rPr>
          <w:rFonts w:ascii="Book Antiqua" w:hAnsi="Book Antiqua"/>
          <w:sz w:val="24"/>
          <w:szCs w:val="24"/>
          <w:lang w:eastAsia="zh-CN"/>
        </w:rPr>
        <w:t xml:space="preserve">; and </w:t>
      </w:r>
      <w:r w:rsidR="0029296B" w:rsidRPr="00324BBD">
        <w:rPr>
          <w:rFonts w:ascii="Book Antiqua" w:hAnsi="Book Antiqua" w:cs="Arial"/>
          <w:sz w:val="24"/>
          <w:szCs w:val="24"/>
          <w:lang w:eastAsia="zh-CN"/>
        </w:rPr>
        <w:t>(</w:t>
      </w:r>
      <w:r w:rsidR="00C33202" w:rsidRPr="00324BBD">
        <w:rPr>
          <w:rFonts w:ascii="Book Antiqua" w:hAnsi="Book Antiqua" w:cs="Arial"/>
          <w:sz w:val="24"/>
          <w:szCs w:val="24"/>
          <w:lang w:eastAsia="zh-CN"/>
        </w:rPr>
        <w:t>5</w:t>
      </w:r>
      <w:r w:rsidR="0029296B" w:rsidRPr="00324BBD">
        <w:rPr>
          <w:rFonts w:ascii="Book Antiqua" w:hAnsi="Book Antiqua" w:cs="Arial"/>
          <w:sz w:val="24"/>
          <w:szCs w:val="24"/>
          <w:lang w:eastAsia="zh-CN"/>
        </w:rPr>
        <w:t xml:space="preserve">) </w:t>
      </w:r>
      <w:r w:rsidR="00004B5A" w:rsidRPr="00324BBD">
        <w:rPr>
          <w:rFonts w:ascii="Book Antiqua" w:hAnsi="Book Antiqua"/>
          <w:sz w:val="24"/>
          <w:szCs w:val="24"/>
        </w:rPr>
        <w:t>i</w:t>
      </w:r>
      <w:r w:rsidR="00E43D8C" w:rsidRPr="00324BBD">
        <w:rPr>
          <w:rFonts w:ascii="Book Antiqua" w:hAnsi="Book Antiqua"/>
          <w:sz w:val="24"/>
          <w:szCs w:val="24"/>
        </w:rPr>
        <w:t>nosine triphosp</w:t>
      </w:r>
      <w:r w:rsidR="000C4D4E" w:rsidRPr="00324BBD">
        <w:rPr>
          <w:rFonts w:ascii="Book Antiqua" w:hAnsi="Book Antiqua"/>
          <w:sz w:val="24"/>
          <w:szCs w:val="24"/>
        </w:rPr>
        <w:t>h</w:t>
      </w:r>
      <w:r w:rsidR="00C33202" w:rsidRPr="00324BBD">
        <w:rPr>
          <w:rFonts w:ascii="Book Antiqua" w:hAnsi="Book Antiqua"/>
          <w:sz w:val="24"/>
          <w:szCs w:val="24"/>
        </w:rPr>
        <w:t>atase</w:t>
      </w:r>
      <w:r w:rsidR="00E43D8C" w:rsidRPr="00324BBD">
        <w:rPr>
          <w:rFonts w:ascii="Book Antiqua" w:hAnsi="Book Antiqua"/>
          <w:sz w:val="24"/>
          <w:szCs w:val="24"/>
        </w:rPr>
        <w:t xml:space="preserve"> gene polymorphisms</w:t>
      </w:r>
      <w:r w:rsidR="00004B5A" w:rsidRPr="00324BBD">
        <w:rPr>
          <w:rFonts w:ascii="Book Antiqua" w:hAnsi="Book Antiqua"/>
          <w:sz w:val="24"/>
          <w:szCs w:val="24"/>
        </w:rPr>
        <w:t>,</w:t>
      </w:r>
      <w:r w:rsidR="00E43D8C" w:rsidRPr="00324BBD">
        <w:rPr>
          <w:rFonts w:ascii="Book Antiqua" w:hAnsi="Book Antiqua"/>
          <w:sz w:val="24"/>
          <w:szCs w:val="24"/>
        </w:rPr>
        <w:t xml:space="preserve"> which decrease hemolysis</w:t>
      </w:r>
      <w:r w:rsidR="00004B5A" w:rsidRPr="00324BBD">
        <w:rPr>
          <w:rFonts w:ascii="Book Antiqua" w:hAnsi="Book Antiqua"/>
          <w:sz w:val="24"/>
          <w:szCs w:val="24"/>
        </w:rPr>
        <w:t>,</w:t>
      </w:r>
      <w:r w:rsidR="00E43D8C" w:rsidRPr="00324BBD">
        <w:rPr>
          <w:rFonts w:ascii="Book Antiqua" w:hAnsi="Book Antiqua"/>
          <w:sz w:val="24"/>
          <w:szCs w:val="24"/>
        </w:rPr>
        <w:t xml:space="preserve"> appear to reduce clinically significant anemia and </w:t>
      </w:r>
      <w:r w:rsidR="00CD1799" w:rsidRPr="00324BBD">
        <w:rPr>
          <w:rFonts w:ascii="Book Antiqua" w:hAnsi="Book Antiqua"/>
          <w:sz w:val="24"/>
          <w:szCs w:val="24"/>
        </w:rPr>
        <w:t>the required dose of</w:t>
      </w:r>
      <w:r w:rsidR="00E43D8C" w:rsidRPr="00324BBD">
        <w:rPr>
          <w:rFonts w:ascii="Book Antiqua" w:hAnsi="Book Antiqua"/>
          <w:sz w:val="24"/>
          <w:szCs w:val="24"/>
        </w:rPr>
        <w:t xml:space="preserve"> </w:t>
      </w:r>
      <w:r w:rsidR="00004B5A" w:rsidRPr="00324BBD">
        <w:rPr>
          <w:rFonts w:ascii="Book Antiqua" w:hAnsi="Book Antiqua"/>
          <w:sz w:val="24"/>
          <w:szCs w:val="24"/>
        </w:rPr>
        <w:t>ribavirin</w:t>
      </w:r>
      <w:r w:rsidR="001B3787" w:rsidRPr="00324BBD">
        <w:rPr>
          <w:rFonts w:ascii="Book Antiqua" w:hAnsi="Book Antiqua"/>
          <w:sz w:val="24"/>
          <w:szCs w:val="24"/>
          <w:vertAlign w:val="superscript"/>
        </w:rPr>
        <w:t>[45</w:t>
      </w:r>
      <w:r w:rsidR="00326D70" w:rsidRPr="00324BBD">
        <w:rPr>
          <w:rFonts w:ascii="Book Antiqua" w:hAnsi="Book Antiqua"/>
          <w:sz w:val="24"/>
          <w:szCs w:val="24"/>
          <w:vertAlign w:val="superscript"/>
        </w:rPr>
        <w:t>]</w:t>
      </w:r>
      <w:r w:rsidR="00EA1B11" w:rsidRPr="00324BBD">
        <w:rPr>
          <w:rFonts w:ascii="Book Antiqua" w:hAnsi="Book Antiqua"/>
          <w:sz w:val="24"/>
          <w:szCs w:val="24"/>
        </w:rPr>
        <w:t xml:space="preserve">. However, </w:t>
      </w:r>
      <w:r w:rsidR="00E43D8C" w:rsidRPr="00324BBD">
        <w:rPr>
          <w:rFonts w:ascii="Book Antiqua" w:hAnsi="Book Antiqua"/>
          <w:sz w:val="24"/>
          <w:szCs w:val="24"/>
        </w:rPr>
        <w:t xml:space="preserve">the increased daily and cumulative dosing of </w:t>
      </w:r>
      <w:r w:rsidR="00004B5A" w:rsidRPr="00324BBD">
        <w:rPr>
          <w:rFonts w:ascii="Book Antiqua" w:hAnsi="Book Antiqua"/>
          <w:sz w:val="24"/>
          <w:szCs w:val="24"/>
        </w:rPr>
        <w:t xml:space="preserve">ribavirin </w:t>
      </w:r>
      <w:r w:rsidR="00E43D8C" w:rsidRPr="00324BBD">
        <w:rPr>
          <w:rFonts w:ascii="Book Antiqua" w:hAnsi="Book Antiqua"/>
          <w:sz w:val="24"/>
          <w:szCs w:val="24"/>
        </w:rPr>
        <w:t xml:space="preserve">does not translate into improved SVR. This </w:t>
      </w:r>
      <w:r w:rsidR="00004B5A" w:rsidRPr="00324BBD">
        <w:rPr>
          <w:rFonts w:ascii="Book Antiqua" w:hAnsi="Book Antiqua"/>
          <w:sz w:val="24"/>
          <w:szCs w:val="24"/>
        </w:rPr>
        <w:t xml:space="preserve">finding </w:t>
      </w:r>
      <w:r w:rsidR="00E43D8C" w:rsidRPr="00324BBD">
        <w:rPr>
          <w:rFonts w:ascii="Book Antiqua" w:hAnsi="Book Antiqua"/>
          <w:sz w:val="24"/>
          <w:szCs w:val="24"/>
        </w:rPr>
        <w:t xml:space="preserve">again suggests that the </w:t>
      </w:r>
      <w:r w:rsidR="00004B5A" w:rsidRPr="00324BBD">
        <w:rPr>
          <w:rFonts w:ascii="Book Antiqua" w:hAnsi="Book Antiqua"/>
          <w:sz w:val="24"/>
          <w:szCs w:val="24"/>
        </w:rPr>
        <w:t>r</w:t>
      </w:r>
      <w:r w:rsidR="00E43D8C" w:rsidRPr="00324BBD">
        <w:rPr>
          <w:rFonts w:ascii="Book Antiqua" w:hAnsi="Book Antiqua"/>
          <w:sz w:val="24"/>
          <w:szCs w:val="24"/>
        </w:rPr>
        <w:t>ibavirin level is less important for SVR than the dose sufficient to cause adequate hemolysis.</w:t>
      </w:r>
    </w:p>
    <w:p w:rsidR="001B3787" w:rsidRPr="00324BBD" w:rsidRDefault="001B3787" w:rsidP="008759E1">
      <w:pPr>
        <w:snapToGrid w:val="0"/>
        <w:spacing w:line="360" w:lineRule="auto"/>
        <w:jc w:val="both"/>
        <w:rPr>
          <w:rFonts w:ascii="Book Antiqua" w:hAnsi="Book Antiqua"/>
          <w:sz w:val="24"/>
          <w:szCs w:val="24"/>
          <w:lang w:eastAsia="zh-CN"/>
        </w:rPr>
      </w:pPr>
    </w:p>
    <w:p w:rsidR="001B3787" w:rsidRPr="00324BBD" w:rsidRDefault="001B3787" w:rsidP="008759E1">
      <w:pPr>
        <w:snapToGrid w:val="0"/>
        <w:spacing w:line="360" w:lineRule="auto"/>
        <w:jc w:val="both"/>
        <w:rPr>
          <w:rFonts w:ascii="Book Antiqua" w:hAnsi="Book Antiqua"/>
          <w:b/>
          <w:sz w:val="24"/>
          <w:szCs w:val="24"/>
          <w:lang w:eastAsia="zh-CN"/>
        </w:rPr>
      </w:pPr>
      <w:r w:rsidRPr="00324BBD">
        <w:rPr>
          <w:rFonts w:ascii="Book Antiqua" w:hAnsi="Book Antiqua"/>
          <w:b/>
          <w:sz w:val="24"/>
          <w:szCs w:val="24"/>
        </w:rPr>
        <w:t>CONCLUSION</w:t>
      </w:r>
    </w:p>
    <w:p w:rsidR="001B3787" w:rsidRPr="00324BBD" w:rsidRDefault="001B3787" w:rsidP="008759E1">
      <w:pPr>
        <w:snapToGrid w:val="0"/>
        <w:spacing w:line="360" w:lineRule="auto"/>
        <w:jc w:val="both"/>
        <w:rPr>
          <w:rFonts w:ascii="Book Antiqua" w:hAnsi="Book Antiqua"/>
          <w:sz w:val="24"/>
          <w:szCs w:val="24"/>
        </w:rPr>
      </w:pPr>
      <w:r w:rsidRPr="00324BBD">
        <w:rPr>
          <w:rFonts w:ascii="Book Antiqua" w:hAnsi="Book Antiqua"/>
          <w:sz w:val="24"/>
          <w:szCs w:val="24"/>
        </w:rPr>
        <w:t xml:space="preserve">One of the possible mechanisms of </w:t>
      </w:r>
      <w:r w:rsidR="00004B5A" w:rsidRPr="00324BBD">
        <w:rPr>
          <w:rFonts w:ascii="Book Antiqua" w:hAnsi="Book Antiqua"/>
          <w:sz w:val="24"/>
          <w:szCs w:val="24"/>
        </w:rPr>
        <w:t>r</w:t>
      </w:r>
      <w:r w:rsidRPr="00324BBD">
        <w:rPr>
          <w:rFonts w:ascii="Book Antiqua" w:hAnsi="Book Antiqua"/>
          <w:sz w:val="24"/>
          <w:szCs w:val="24"/>
        </w:rPr>
        <w:t>ibavirin’s synergy with IFN in cHCV therapy is due to passive hemolysis</w:t>
      </w:r>
      <w:r w:rsidR="00004B5A" w:rsidRPr="00324BBD">
        <w:rPr>
          <w:rFonts w:ascii="Book Antiqua" w:hAnsi="Book Antiqua"/>
          <w:sz w:val="24"/>
          <w:szCs w:val="24"/>
        </w:rPr>
        <w:t>,</w:t>
      </w:r>
      <w:r w:rsidRPr="00324BBD">
        <w:rPr>
          <w:rFonts w:ascii="Book Antiqua" w:hAnsi="Book Antiqua"/>
          <w:sz w:val="24"/>
          <w:szCs w:val="24"/>
        </w:rPr>
        <w:t xml:space="preserve"> which supplies heme to the hepatocytes and Kupffer cells. Heme induces HO-1 and increases the products of heme metabolism</w:t>
      </w:r>
      <w:r w:rsidR="00004B5A" w:rsidRPr="00324BBD">
        <w:rPr>
          <w:rFonts w:ascii="Book Antiqua" w:hAnsi="Book Antiqua"/>
          <w:sz w:val="24"/>
          <w:szCs w:val="24"/>
        </w:rPr>
        <w:t>,</w:t>
      </w:r>
      <w:r w:rsidRPr="00324BBD">
        <w:rPr>
          <w:rFonts w:ascii="Book Antiqua" w:hAnsi="Book Antiqua"/>
          <w:sz w:val="24"/>
          <w:szCs w:val="24"/>
        </w:rPr>
        <w:t xml:space="preserve"> which reverses the pro-oxidant, pro-inflammatory, immune tolerant state induced by HCV. The break in tolerance produced by HO-1 and its products allow for optimal induction of ISGs by exogenously administered IFN</w:t>
      </w:r>
      <w:r w:rsidR="00004B5A" w:rsidRPr="00324BBD">
        <w:rPr>
          <w:rFonts w:ascii="Book Antiqua" w:hAnsi="Book Antiqua"/>
          <w:sz w:val="24"/>
          <w:szCs w:val="24"/>
        </w:rPr>
        <w:t>,</w:t>
      </w:r>
      <w:r w:rsidRPr="00324BBD">
        <w:rPr>
          <w:rFonts w:ascii="Book Antiqua" w:hAnsi="Book Antiqua"/>
          <w:sz w:val="24"/>
          <w:szCs w:val="24"/>
        </w:rPr>
        <w:t xml:space="preserve"> resulting in increased SVR. </w:t>
      </w:r>
    </w:p>
    <w:p w:rsidR="001B3787" w:rsidRPr="00324BBD" w:rsidRDefault="00CD1799" w:rsidP="00C33202">
      <w:pPr>
        <w:snapToGrid w:val="0"/>
        <w:spacing w:line="360" w:lineRule="auto"/>
        <w:ind w:firstLineChars="50" w:firstLine="120"/>
        <w:jc w:val="both"/>
        <w:rPr>
          <w:rFonts w:ascii="Book Antiqua" w:hAnsi="Book Antiqua"/>
          <w:sz w:val="24"/>
          <w:szCs w:val="24"/>
        </w:rPr>
      </w:pPr>
      <w:r w:rsidRPr="00324BBD">
        <w:rPr>
          <w:rFonts w:ascii="Book Antiqua" w:hAnsi="Book Antiqua"/>
          <w:sz w:val="24"/>
          <w:szCs w:val="24"/>
        </w:rPr>
        <w:t>Most l</w:t>
      </w:r>
      <w:r w:rsidR="001B3787" w:rsidRPr="00324BBD">
        <w:rPr>
          <w:rFonts w:ascii="Book Antiqua" w:hAnsi="Book Antiqua"/>
          <w:sz w:val="24"/>
          <w:szCs w:val="24"/>
        </w:rPr>
        <w:t xml:space="preserve">ikely by the same mechanism, </w:t>
      </w:r>
      <w:r w:rsidR="00004B5A" w:rsidRPr="00324BBD">
        <w:rPr>
          <w:rFonts w:ascii="Book Antiqua" w:hAnsi="Book Antiqua"/>
          <w:sz w:val="24"/>
          <w:szCs w:val="24"/>
        </w:rPr>
        <w:t xml:space="preserve">ribavirin </w:t>
      </w:r>
      <w:r w:rsidR="001B3787" w:rsidRPr="00324BBD">
        <w:rPr>
          <w:rFonts w:ascii="Book Antiqua" w:hAnsi="Book Antiqua"/>
          <w:sz w:val="24"/>
          <w:szCs w:val="24"/>
        </w:rPr>
        <w:t>can also synergize with direct</w:t>
      </w:r>
      <w:r w:rsidR="00004B5A" w:rsidRPr="00324BBD">
        <w:rPr>
          <w:rFonts w:ascii="Book Antiqua" w:hAnsi="Book Antiqua"/>
          <w:sz w:val="24"/>
          <w:szCs w:val="24"/>
        </w:rPr>
        <w:t>-</w:t>
      </w:r>
      <w:r w:rsidR="001B3787" w:rsidRPr="00324BBD">
        <w:rPr>
          <w:rFonts w:ascii="Book Antiqua" w:hAnsi="Book Antiqua"/>
          <w:sz w:val="24"/>
          <w:szCs w:val="24"/>
        </w:rPr>
        <w:t xml:space="preserve">acting agents against HCV by improving the intracellular antioxidant and antiviral actions in the liver and </w:t>
      </w:r>
      <w:r w:rsidR="00004B5A" w:rsidRPr="00324BBD">
        <w:rPr>
          <w:rFonts w:ascii="Book Antiqua" w:hAnsi="Book Antiqua"/>
          <w:sz w:val="24"/>
          <w:szCs w:val="24"/>
        </w:rPr>
        <w:t xml:space="preserve">by </w:t>
      </w:r>
      <w:r w:rsidR="001B3787" w:rsidRPr="00324BBD">
        <w:rPr>
          <w:rFonts w:ascii="Book Antiqua" w:hAnsi="Book Antiqua"/>
          <w:sz w:val="24"/>
          <w:szCs w:val="24"/>
        </w:rPr>
        <w:t>improving the efficacy of endogenous IFN. Th</w:t>
      </w:r>
      <w:r w:rsidR="00004B5A" w:rsidRPr="00324BBD">
        <w:rPr>
          <w:rFonts w:ascii="Book Antiqua" w:hAnsi="Book Antiqua"/>
          <w:sz w:val="24"/>
          <w:szCs w:val="24"/>
        </w:rPr>
        <w:t>is</w:t>
      </w:r>
      <w:r w:rsidR="001B3787" w:rsidRPr="00324BBD">
        <w:rPr>
          <w:rFonts w:ascii="Book Antiqua" w:hAnsi="Book Antiqua"/>
          <w:sz w:val="24"/>
          <w:szCs w:val="24"/>
        </w:rPr>
        <w:t xml:space="preserve"> hypothesis is testable and may lead to newer and safer medications that can overcome the anti HO-1 effect of HCV by mechanisms other than hemolysis</w:t>
      </w:r>
      <w:r w:rsidR="00004B5A" w:rsidRPr="00324BBD">
        <w:rPr>
          <w:rFonts w:ascii="Book Antiqua" w:hAnsi="Book Antiqua"/>
          <w:sz w:val="24"/>
          <w:szCs w:val="24"/>
        </w:rPr>
        <w:t xml:space="preserve"> induction</w:t>
      </w:r>
      <w:r w:rsidR="001B3787" w:rsidRPr="00324BBD">
        <w:rPr>
          <w:rFonts w:ascii="Book Antiqua" w:hAnsi="Book Antiqua"/>
          <w:sz w:val="24"/>
          <w:szCs w:val="24"/>
        </w:rPr>
        <w:t>.</w:t>
      </w:r>
    </w:p>
    <w:p w:rsidR="00C33202" w:rsidRPr="00324BBD" w:rsidRDefault="00C33202" w:rsidP="008759E1">
      <w:pPr>
        <w:snapToGrid w:val="0"/>
        <w:spacing w:line="360" w:lineRule="auto"/>
        <w:jc w:val="both"/>
        <w:rPr>
          <w:rFonts w:ascii="Book Antiqua" w:hAnsi="Book Antiqua"/>
          <w:sz w:val="24"/>
          <w:szCs w:val="24"/>
          <w:lang w:eastAsia="zh-CN"/>
        </w:rPr>
      </w:pPr>
    </w:p>
    <w:p w:rsidR="00F77DA0" w:rsidRPr="00324BBD" w:rsidRDefault="00C33202" w:rsidP="00C33202">
      <w:pPr>
        <w:snapToGrid w:val="0"/>
        <w:spacing w:line="360" w:lineRule="auto"/>
        <w:jc w:val="both"/>
        <w:rPr>
          <w:rFonts w:ascii="Book Antiqua" w:hAnsi="Book Antiqua"/>
          <w:sz w:val="24"/>
          <w:szCs w:val="24"/>
        </w:rPr>
      </w:pPr>
      <w:r w:rsidRPr="00324BBD">
        <w:rPr>
          <w:rFonts w:ascii="Book Antiqua" w:hAnsi="Book Antiqua"/>
          <w:b/>
          <w:sz w:val="24"/>
          <w:szCs w:val="24"/>
        </w:rPr>
        <w:lastRenderedPageBreak/>
        <w:t>REFERENCES</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1 </w:t>
      </w:r>
      <w:r w:rsidRPr="00324BBD">
        <w:rPr>
          <w:rFonts w:ascii="Book Antiqua" w:hAnsi="Book Antiqua" w:cs="宋体"/>
          <w:b/>
          <w:bCs/>
          <w:sz w:val="24"/>
          <w:szCs w:val="24"/>
          <w:lang w:eastAsia="zh-CN"/>
        </w:rPr>
        <w:t>Lauer GM</w:t>
      </w:r>
      <w:r w:rsidRPr="00324BBD">
        <w:rPr>
          <w:rFonts w:ascii="Book Antiqua" w:hAnsi="Book Antiqua" w:cs="宋体"/>
          <w:sz w:val="24"/>
          <w:szCs w:val="24"/>
          <w:lang w:eastAsia="zh-CN"/>
        </w:rPr>
        <w:t>, Walker BD. Hepatitis C virus infection. </w:t>
      </w:r>
      <w:r w:rsidRPr="00324BBD">
        <w:rPr>
          <w:rFonts w:ascii="Book Antiqua" w:hAnsi="Book Antiqua" w:cs="宋体"/>
          <w:i/>
          <w:iCs/>
          <w:sz w:val="24"/>
          <w:szCs w:val="24"/>
          <w:lang w:eastAsia="zh-CN"/>
        </w:rPr>
        <w:t>N Engl J Med</w:t>
      </w:r>
      <w:r w:rsidRPr="00324BBD">
        <w:rPr>
          <w:rFonts w:ascii="Book Antiqua" w:hAnsi="Book Antiqua" w:cs="宋体"/>
          <w:sz w:val="24"/>
          <w:szCs w:val="24"/>
          <w:lang w:eastAsia="zh-CN"/>
        </w:rPr>
        <w:t> 2001; </w:t>
      </w:r>
      <w:r w:rsidRPr="00324BBD">
        <w:rPr>
          <w:rFonts w:ascii="Book Antiqua" w:hAnsi="Book Antiqua" w:cs="宋体"/>
          <w:b/>
          <w:bCs/>
          <w:sz w:val="24"/>
          <w:szCs w:val="24"/>
          <w:lang w:eastAsia="zh-CN"/>
        </w:rPr>
        <w:t>345</w:t>
      </w:r>
      <w:r w:rsidRPr="00324BBD">
        <w:rPr>
          <w:rFonts w:ascii="Book Antiqua" w:hAnsi="Book Antiqua" w:cs="宋体"/>
          <w:sz w:val="24"/>
          <w:szCs w:val="24"/>
          <w:lang w:eastAsia="zh-CN"/>
        </w:rPr>
        <w:t>: 41-52 [PMID: 11439948 DOI: 10.1056/NEJM200107053450107]</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2 </w:t>
      </w:r>
      <w:r w:rsidRPr="00324BBD">
        <w:rPr>
          <w:rFonts w:ascii="Book Antiqua" w:hAnsi="Book Antiqua" w:cs="宋体"/>
          <w:b/>
          <w:bCs/>
          <w:sz w:val="24"/>
          <w:szCs w:val="24"/>
          <w:lang w:eastAsia="zh-CN"/>
        </w:rPr>
        <w:t>Asselah T</w:t>
      </w:r>
      <w:r w:rsidRPr="00324BBD">
        <w:rPr>
          <w:rFonts w:ascii="Book Antiqua" w:hAnsi="Book Antiqua" w:cs="宋体"/>
          <w:sz w:val="24"/>
          <w:szCs w:val="24"/>
          <w:lang w:eastAsia="zh-CN"/>
        </w:rPr>
        <w:t>, Marcellin P. Direct acting antivirals for the treatment of chronic hepatitis C: one pill a day for tomorrow. </w:t>
      </w:r>
      <w:r w:rsidRPr="00324BBD">
        <w:rPr>
          <w:rFonts w:ascii="Book Antiqua" w:hAnsi="Book Antiqua" w:cs="宋体"/>
          <w:i/>
          <w:iCs/>
          <w:sz w:val="24"/>
          <w:szCs w:val="24"/>
          <w:lang w:eastAsia="zh-CN"/>
        </w:rPr>
        <w:t>Liver Int</w:t>
      </w:r>
      <w:r w:rsidRPr="00324BBD">
        <w:rPr>
          <w:rFonts w:ascii="Book Antiqua" w:hAnsi="Book Antiqua" w:cs="宋体"/>
          <w:sz w:val="24"/>
          <w:szCs w:val="24"/>
          <w:lang w:eastAsia="zh-CN"/>
        </w:rPr>
        <w:t> 2012; </w:t>
      </w:r>
      <w:r w:rsidRPr="00324BBD">
        <w:rPr>
          <w:rFonts w:ascii="Book Antiqua" w:hAnsi="Book Antiqua" w:cs="宋体"/>
          <w:b/>
          <w:bCs/>
          <w:sz w:val="24"/>
          <w:szCs w:val="24"/>
          <w:lang w:eastAsia="zh-CN"/>
        </w:rPr>
        <w:t xml:space="preserve">32 </w:t>
      </w:r>
      <w:r w:rsidRPr="0091031C">
        <w:rPr>
          <w:rFonts w:ascii="Book Antiqua" w:hAnsi="Book Antiqua" w:cs="宋体"/>
          <w:bCs/>
          <w:sz w:val="24"/>
          <w:szCs w:val="24"/>
          <w:lang w:eastAsia="zh-CN"/>
        </w:rPr>
        <w:t>Suppl 1</w:t>
      </w:r>
      <w:r w:rsidRPr="0091031C">
        <w:rPr>
          <w:rFonts w:ascii="Book Antiqua" w:hAnsi="Book Antiqua" w:cs="宋体"/>
          <w:sz w:val="24"/>
          <w:szCs w:val="24"/>
          <w:lang w:eastAsia="zh-CN"/>
        </w:rPr>
        <w:t>:</w:t>
      </w:r>
      <w:r w:rsidRPr="00324BBD">
        <w:rPr>
          <w:rFonts w:ascii="Book Antiqua" w:hAnsi="Book Antiqua" w:cs="宋体"/>
          <w:sz w:val="24"/>
          <w:szCs w:val="24"/>
          <w:lang w:eastAsia="zh-CN"/>
        </w:rPr>
        <w:t xml:space="preserve"> 88-102 [PMID: 22212578 DOI: 10.1111/j.1478-3231.2011.02699.x]</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3 </w:t>
      </w:r>
      <w:r w:rsidRPr="00324BBD">
        <w:rPr>
          <w:rFonts w:ascii="Book Antiqua" w:hAnsi="Book Antiqua" w:cs="宋体"/>
          <w:b/>
          <w:bCs/>
          <w:sz w:val="24"/>
          <w:szCs w:val="24"/>
          <w:lang w:eastAsia="zh-CN"/>
        </w:rPr>
        <w:t>Crespo G</w:t>
      </w:r>
      <w:r w:rsidRPr="00324BBD">
        <w:rPr>
          <w:rFonts w:ascii="Book Antiqua" w:hAnsi="Book Antiqua" w:cs="宋体"/>
          <w:sz w:val="24"/>
          <w:szCs w:val="24"/>
          <w:lang w:eastAsia="zh-CN"/>
        </w:rPr>
        <w:t>, Mariño Z, Navasa M, Forns X. Viral hepatitis in liver transplantation. </w:t>
      </w:r>
      <w:r w:rsidRPr="00324BBD">
        <w:rPr>
          <w:rFonts w:ascii="Book Antiqua" w:hAnsi="Book Antiqua" w:cs="宋体"/>
          <w:i/>
          <w:iCs/>
          <w:sz w:val="24"/>
          <w:szCs w:val="24"/>
          <w:lang w:eastAsia="zh-CN"/>
        </w:rPr>
        <w:t>Gastroenterology</w:t>
      </w:r>
      <w:r w:rsidRPr="00324BBD">
        <w:rPr>
          <w:rFonts w:ascii="Book Antiqua" w:hAnsi="Book Antiqua" w:cs="宋体"/>
          <w:sz w:val="24"/>
          <w:szCs w:val="24"/>
          <w:lang w:eastAsia="zh-CN"/>
        </w:rPr>
        <w:t> 2012; </w:t>
      </w:r>
      <w:r w:rsidRPr="00324BBD">
        <w:rPr>
          <w:rFonts w:ascii="Book Antiqua" w:hAnsi="Book Antiqua" w:cs="宋体"/>
          <w:b/>
          <w:bCs/>
          <w:sz w:val="24"/>
          <w:szCs w:val="24"/>
          <w:lang w:eastAsia="zh-CN"/>
        </w:rPr>
        <w:t>142</w:t>
      </w:r>
      <w:r w:rsidRPr="00324BBD">
        <w:rPr>
          <w:rFonts w:ascii="Book Antiqua" w:hAnsi="Book Antiqua" w:cs="宋体"/>
          <w:sz w:val="24"/>
          <w:szCs w:val="24"/>
          <w:lang w:eastAsia="zh-CN"/>
        </w:rPr>
        <w:t>: 1373-1383.e1 [PMID: 22537446 DOI: 10.1053/j.gastro.2012.02.011]</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4 </w:t>
      </w:r>
      <w:r w:rsidRPr="00324BBD">
        <w:rPr>
          <w:rFonts w:ascii="Book Antiqua" w:hAnsi="Book Antiqua" w:cs="宋体"/>
          <w:b/>
          <w:bCs/>
          <w:sz w:val="24"/>
          <w:szCs w:val="24"/>
          <w:lang w:eastAsia="zh-CN"/>
        </w:rPr>
        <w:t>Neuman MG</w:t>
      </w:r>
      <w:r w:rsidRPr="00324BBD">
        <w:rPr>
          <w:rFonts w:ascii="Book Antiqua" w:hAnsi="Book Antiqua" w:cs="宋体"/>
          <w:sz w:val="24"/>
          <w:szCs w:val="24"/>
          <w:lang w:eastAsia="zh-CN"/>
        </w:rPr>
        <w:t>, Benhamou JP, Malkiewicz IM, Ibrahim A, Valla DC, Martinot-Peignoux M, Asselah T, Bourliere M, Katz GG, Shear NH, Marcellin P. Kinetics of serum cytokines reflect changes in the severity of chronic hepatitis C presenting minimal fibrosis. </w:t>
      </w:r>
      <w:r w:rsidRPr="00324BBD">
        <w:rPr>
          <w:rFonts w:ascii="Book Antiqua" w:hAnsi="Book Antiqua" w:cs="宋体"/>
          <w:i/>
          <w:iCs/>
          <w:sz w:val="24"/>
          <w:szCs w:val="24"/>
          <w:lang w:eastAsia="zh-CN"/>
        </w:rPr>
        <w:t>J Viral Hepat</w:t>
      </w:r>
      <w:r w:rsidRPr="00324BBD">
        <w:rPr>
          <w:rFonts w:ascii="Book Antiqua" w:hAnsi="Book Antiqua" w:cs="宋体"/>
          <w:sz w:val="24"/>
          <w:szCs w:val="24"/>
          <w:lang w:eastAsia="zh-CN"/>
        </w:rPr>
        <w:t> 2002; </w:t>
      </w:r>
      <w:r w:rsidRPr="00324BBD">
        <w:rPr>
          <w:rFonts w:ascii="Book Antiqua" w:hAnsi="Book Antiqua" w:cs="宋体"/>
          <w:b/>
          <w:bCs/>
          <w:sz w:val="24"/>
          <w:szCs w:val="24"/>
          <w:lang w:eastAsia="zh-CN"/>
        </w:rPr>
        <w:t>9</w:t>
      </w:r>
      <w:r w:rsidRPr="00324BBD">
        <w:rPr>
          <w:rFonts w:ascii="Book Antiqua" w:hAnsi="Book Antiqua" w:cs="宋体"/>
          <w:sz w:val="24"/>
          <w:szCs w:val="24"/>
          <w:lang w:eastAsia="zh-CN"/>
        </w:rPr>
        <w:t>: 134-140 [PMID: 11876796 DOI: 10.1046/j.1365-2893.2002.00343]</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5 </w:t>
      </w:r>
      <w:r w:rsidRPr="00324BBD">
        <w:rPr>
          <w:rFonts w:ascii="Book Antiqua" w:hAnsi="Book Antiqua" w:cs="宋体"/>
          <w:b/>
          <w:bCs/>
          <w:sz w:val="24"/>
          <w:szCs w:val="24"/>
          <w:lang w:eastAsia="zh-CN"/>
        </w:rPr>
        <w:t>Dobrovolskaia MA</w:t>
      </w:r>
      <w:r w:rsidRPr="00324BBD">
        <w:rPr>
          <w:rFonts w:ascii="Book Antiqua" w:hAnsi="Book Antiqua" w:cs="宋体"/>
          <w:sz w:val="24"/>
          <w:szCs w:val="24"/>
          <w:lang w:eastAsia="zh-CN"/>
        </w:rPr>
        <w:t>, Medvedev AE, Thomas KE, Cuesta N, Toshchakov V, Ren T, Cody MJ, Michalek SM, Rice NR, Vogel SN. Induction of in vitro reprogramming by Toll-like receptor (TLR)2 and TLR4 agonists in murine macrophages: effects of TLR "homotolerance" versus "heterotolerance" on NF-kappa B signaling pathway components. </w:t>
      </w:r>
      <w:r w:rsidRPr="00324BBD">
        <w:rPr>
          <w:rFonts w:ascii="Book Antiqua" w:hAnsi="Book Antiqua" w:cs="宋体"/>
          <w:i/>
          <w:iCs/>
          <w:sz w:val="24"/>
          <w:szCs w:val="24"/>
          <w:lang w:eastAsia="zh-CN"/>
        </w:rPr>
        <w:t>J Immunol</w:t>
      </w:r>
      <w:r w:rsidRPr="00324BBD">
        <w:rPr>
          <w:rFonts w:ascii="Book Antiqua" w:hAnsi="Book Antiqua" w:cs="宋体"/>
          <w:sz w:val="24"/>
          <w:szCs w:val="24"/>
          <w:lang w:eastAsia="zh-CN"/>
        </w:rPr>
        <w:t> 2003; </w:t>
      </w:r>
      <w:r w:rsidRPr="00324BBD">
        <w:rPr>
          <w:rFonts w:ascii="Book Antiqua" w:hAnsi="Book Antiqua" w:cs="宋体"/>
          <w:b/>
          <w:bCs/>
          <w:sz w:val="24"/>
          <w:szCs w:val="24"/>
          <w:lang w:eastAsia="zh-CN"/>
        </w:rPr>
        <w:t>170</w:t>
      </w:r>
      <w:r w:rsidRPr="00324BBD">
        <w:rPr>
          <w:rFonts w:ascii="Book Antiqua" w:hAnsi="Book Antiqua" w:cs="宋体"/>
          <w:sz w:val="24"/>
          <w:szCs w:val="24"/>
          <w:lang w:eastAsia="zh-CN"/>
        </w:rPr>
        <w:t>: 508-519 [PMID: 12496438]</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6 </w:t>
      </w:r>
      <w:r w:rsidRPr="00324BBD">
        <w:rPr>
          <w:rFonts w:ascii="Book Antiqua" w:hAnsi="Book Antiqua" w:cs="宋体"/>
          <w:b/>
          <w:bCs/>
          <w:sz w:val="24"/>
          <w:szCs w:val="24"/>
          <w:lang w:eastAsia="zh-CN"/>
        </w:rPr>
        <w:t>Dolganiuc A</w:t>
      </w:r>
      <w:r w:rsidRPr="00324BBD">
        <w:rPr>
          <w:rFonts w:ascii="Book Antiqua" w:hAnsi="Book Antiqua" w:cs="宋体"/>
          <w:sz w:val="24"/>
          <w:szCs w:val="24"/>
          <w:lang w:eastAsia="zh-CN"/>
        </w:rPr>
        <w:t>, Norkina O, Kodys K, Catalano D, Bakis G, Marshall C, Mandrekar P, Szabo G. Viral and host factors induce macrophage activation and loss of toll-like receptor tolerance in chronic HCV infection. </w:t>
      </w:r>
      <w:r w:rsidRPr="00324BBD">
        <w:rPr>
          <w:rFonts w:ascii="Book Antiqua" w:hAnsi="Book Antiqua" w:cs="宋体"/>
          <w:i/>
          <w:iCs/>
          <w:sz w:val="24"/>
          <w:szCs w:val="24"/>
          <w:lang w:eastAsia="zh-CN"/>
        </w:rPr>
        <w:t>Gastroenterology</w:t>
      </w:r>
      <w:r w:rsidRPr="00324BBD">
        <w:rPr>
          <w:rFonts w:ascii="Book Antiqua" w:hAnsi="Book Antiqua" w:cs="宋体"/>
          <w:sz w:val="24"/>
          <w:szCs w:val="24"/>
          <w:lang w:eastAsia="zh-CN"/>
        </w:rPr>
        <w:t> 2007; </w:t>
      </w:r>
      <w:r w:rsidRPr="00324BBD">
        <w:rPr>
          <w:rFonts w:ascii="Book Antiqua" w:hAnsi="Book Antiqua" w:cs="宋体"/>
          <w:b/>
          <w:bCs/>
          <w:sz w:val="24"/>
          <w:szCs w:val="24"/>
          <w:lang w:eastAsia="zh-CN"/>
        </w:rPr>
        <w:t>133</w:t>
      </w:r>
      <w:r w:rsidRPr="00324BBD">
        <w:rPr>
          <w:rFonts w:ascii="Book Antiqua" w:hAnsi="Book Antiqua" w:cs="宋体"/>
          <w:sz w:val="24"/>
          <w:szCs w:val="24"/>
          <w:lang w:eastAsia="zh-CN"/>
        </w:rPr>
        <w:t>: 1627-1636 [PMID: 17916356 DOI: 10.1053/j.gastro.2007.08.003]</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7</w:t>
      </w:r>
      <w:r w:rsidR="00712596" w:rsidRPr="00712596">
        <w:t xml:space="preserve"> </w:t>
      </w:r>
      <w:r w:rsidR="00712596" w:rsidRPr="00712596">
        <w:rPr>
          <w:rFonts w:ascii="Book Antiqua" w:hAnsi="Book Antiqua" w:cs="宋体"/>
          <w:b/>
          <w:sz w:val="24"/>
          <w:szCs w:val="24"/>
          <w:lang w:eastAsia="zh-CN"/>
        </w:rPr>
        <w:t>Kazankov K</w:t>
      </w:r>
      <w:r w:rsidR="00712596" w:rsidRPr="00712596">
        <w:rPr>
          <w:rFonts w:ascii="Book Antiqua" w:hAnsi="Book Antiqua" w:cs="宋体"/>
          <w:sz w:val="24"/>
          <w:szCs w:val="24"/>
          <w:lang w:eastAsia="zh-CN"/>
        </w:rPr>
        <w:t>, Barrera F, Møller HJ, Bibby BM, Vilstrup H, George J, Grønbaek H.</w:t>
      </w:r>
      <w:r w:rsidR="00712596">
        <w:rPr>
          <w:rFonts w:ascii="Book Antiqua" w:hAnsi="Book Antiqua" w:cs="宋体" w:hint="eastAsia"/>
          <w:sz w:val="24"/>
          <w:szCs w:val="24"/>
          <w:lang w:eastAsia="zh-CN"/>
        </w:rPr>
        <w:t xml:space="preserve"> </w:t>
      </w:r>
      <w:r w:rsidRPr="00324BBD">
        <w:rPr>
          <w:rFonts w:ascii="Book Antiqua" w:hAnsi="Book Antiqua" w:cs="宋体"/>
          <w:sz w:val="24"/>
          <w:szCs w:val="24"/>
          <w:lang w:eastAsia="zh-CN"/>
        </w:rPr>
        <w:t>Soluble CD163, a macrophage activation marker, is independently associated with fibrosis in patients with chronic viral hepatitis B and C. </w:t>
      </w:r>
      <w:r w:rsidRPr="00324BBD">
        <w:rPr>
          <w:rFonts w:ascii="Book Antiqua" w:hAnsi="Book Antiqua" w:cs="宋体"/>
          <w:i/>
          <w:iCs/>
          <w:sz w:val="24"/>
          <w:szCs w:val="24"/>
          <w:lang w:eastAsia="zh-CN"/>
        </w:rPr>
        <w:t>Hepatology</w:t>
      </w:r>
      <w:r w:rsidR="00712596">
        <w:rPr>
          <w:rFonts w:ascii="Book Antiqua" w:hAnsi="Book Antiqua" w:cs="宋体"/>
          <w:sz w:val="24"/>
          <w:szCs w:val="24"/>
          <w:lang w:eastAsia="zh-CN"/>
        </w:rPr>
        <w:t> 2014; In</w:t>
      </w:r>
      <w:r w:rsidR="00712596">
        <w:rPr>
          <w:rFonts w:ascii="Book Antiqua" w:hAnsi="Book Antiqua" w:cs="宋体" w:hint="eastAsia"/>
          <w:sz w:val="24"/>
          <w:szCs w:val="24"/>
          <w:lang w:eastAsia="zh-CN"/>
        </w:rPr>
        <w:t xml:space="preserve"> press </w:t>
      </w:r>
      <w:r w:rsidRPr="00324BBD">
        <w:rPr>
          <w:rFonts w:ascii="Book Antiqua" w:hAnsi="Book Antiqua" w:cs="宋体"/>
          <w:sz w:val="24"/>
          <w:szCs w:val="24"/>
          <w:lang w:eastAsia="zh-CN"/>
        </w:rPr>
        <w:t>[PMID: 24623375 DOI: 10.1002/hep.27129]</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8 </w:t>
      </w:r>
      <w:r w:rsidRPr="00324BBD">
        <w:rPr>
          <w:rFonts w:ascii="Book Antiqua" w:hAnsi="Book Antiqua" w:cs="宋体"/>
          <w:b/>
          <w:bCs/>
          <w:sz w:val="24"/>
          <w:szCs w:val="24"/>
          <w:lang w:eastAsia="zh-CN"/>
        </w:rPr>
        <w:t>Abdalla MY</w:t>
      </w:r>
      <w:r w:rsidRPr="00324BBD">
        <w:rPr>
          <w:rFonts w:ascii="Book Antiqua" w:hAnsi="Book Antiqua" w:cs="宋体"/>
          <w:sz w:val="24"/>
          <w:szCs w:val="24"/>
          <w:lang w:eastAsia="zh-CN"/>
        </w:rPr>
        <w:t>, Britigan BE, Wen F, Icardi M, McCormick ML, LaBrecque DR, Voigt M, Brown KE, Schmidt WN. Down-regulation of heme oxygenase-1 by hepatitis C virus infection in vivo and by the in vitro expression of hepatitis C core protein. </w:t>
      </w:r>
      <w:r w:rsidRPr="00324BBD">
        <w:rPr>
          <w:rFonts w:ascii="Book Antiqua" w:hAnsi="Book Antiqua" w:cs="宋体"/>
          <w:i/>
          <w:iCs/>
          <w:sz w:val="24"/>
          <w:szCs w:val="24"/>
          <w:lang w:eastAsia="zh-CN"/>
        </w:rPr>
        <w:t>J Infect Dis</w:t>
      </w:r>
      <w:r w:rsidRPr="00324BBD">
        <w:rPr>
          <w:rFonts w:ascii="Book Antiqua" w:hAnsi="Book Antiqua" w:cs="宋体"/>
          <w:sz w:val="24"/>
          <w:szCs w:val="24"/>
          <w:lang w:eastAsia="zh-CN"/>
        </w:rPr>
        <w:t> 2004; </w:t>
      </w:r>
      <w:r w:rsidRPr="00324BBD">
        <w:rPr>
          <w:rFonts w:ascii="Book Antiqua" w:hAnsi="Book Antiqua" w:cs="宋体"/>
          <w:b/>
          <w:bCs/>
          <w:sz w:val="24"/>
          <w:szCs w:val="24"/>
          <w:lang w:eastAsia="zh-CN"/>
        </w:rPr>
        <w:t>190</w:t>
      </w:r>
      <w:r w:rsidRPr="00324BBD">
        <w:rPr>
          <w:rFonts w:ascii="Book Antiqua" w:hAnsi="Book Antiqua" w:cs="宋体"/>
          <w:sz w:val="24"/>
          <w:szCs w:val="24"/>
          <w:lang w:eastAsia="zh-CN"/>
        </w:rPr>
        <w:t>: 1109-1118 [PMID: 15319861 DOI: 10.1086/423488]</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9 </w:t>
      </w:r>
      <w:r w:rsidRPr="00324BBD">
        <w:rPr>
          <w:rFonts w:ascii="Book Antiqua" w:hAnsi="Book Antiqua" w:cs="宋体"/>
          <w:b/>
          <w:bCs/>
          <w:sz w:val="24"/>
          <w:szCs w:val="24"/>
          <w:lang w:eastAsia="zh-CN"/>
        </w:rPr>
        <w:t>Lau DT</w:t>
      </w:r>
      <w:r w:rsidRPr="00324BBD">
        <w:rPr>
          <w:rFonts w:ascii="Book Antiqua" w:hAnsi="Book Antiqua" w:cs="宋体"/>
          <w:sz w:val="24"/>
          <w:szCs w:val="24"/>
          <w:lang w:eastAsia="zh-CN"/>
        </w:rPr>
        <w:t>, Negash A, Chen J, Crochet N, Sinha M, Zhang Y, Guedj J, Holder S, Saito T, Lemon SM, Luxon BA, Perelson AS, Gale M. Innate immune tolerance and the role of kupffer cells in differential responses to interferon therapy among patients with HCV genotype 1 infection. </w:t>
      </w:r>
      <w:r w:rsidRPr="00324BBD">
        <w:rPr>
          <w:rFonts w:ascii="Book Antiqua" w:hAnsi="Book Antiqua" w:cs="宋体"/>
          <w:i/>
          <w:iCs/>
          <w:sz w:val="24"/>
          <w:szCs w:val="24"/>
          <w:lang w:eastAsia="zh-CN"/>
        </w:rPr>
        <w:t>Gastroenterology</w:t>
      </w:r>
      <w:r w:rsidRPr="00324BBD">
        <w:rPr>
          <w:rFonts w:ascii="Book Antiqua" w:hAnsi="Book Antiqua" w:cs="宋体"/>
          <w:sz w:val="24"/>
          <w:szCs w:val="24"/>
          <w:lang w:eastAsia="zh-CN"/>
        </w:rPr>
        <w:t> 2013; </w:t>
      </w:r>
      <w:r w:rsidRPr="00324BBD">
        <w:rPr>
          <w:rFonts w:ascii="Book Antiqua" w:hAnsi="Book Antiqua" w:cs="宋体"/>
          <w:b/>
          <w:bCs/>
          <w:sz w:val="24"/>
          <w:szCs w:val="24"/>
          <w:lang w:eastAsia="zh-CN"/>
        </w:rPr>
        <w:t>144</w:t>
      </w:r>
      <w:r w:rsidRPr="00324BBD">
        <w:rPr>
          <w:rFonts w:ascii="Book Antiqua" w:hAnsi="Book Antiqua" w:cs="宋体"/>
          <w:sz w:val="24"/>
          <w:szCs w:val="24"/>
          <w:lang w:eastAsia="zh-CN"/>
        </w:rPr>
        <w:t>: 402-413.e12 [PMID: 23123437 DOI: 10.1053/j.gastro.2012.10.044]</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10 </w:t>
      </w:r>
      <w:r w:rsidRPr="00324BBD">
        <w:rPr>
          <w:rFonts w:ascii="Book Antiqua" w:hAnsi="Book Antiqua" w:cs="宋体"/>
          <w:b/>
          <w:bCs/>
          <w:sz w:val="24"/>
          <w:szCs w:val="24"/>
          <w:lang w:eastAsia="zh-CN"/>
        </w:rPr>
        <w:t>Fried MW</w:t>
      </w:r>
      <w:r w:rsidRPr="00324BBD">
        <w:rPr>
          <w:rFonts w:ascii="Book Antiqua" w:hAnsi="Book Antiqua" w:cs="宋体"/>
          <w:sz w:val="24"/>
          <w:szCs w:val="24"/>
          <w:lang w:eastAsia="zh-CN"/>
        </w:rPr>
        <w:t>, Shiffman ML, Reddy KR, Smith C, Marinos G, Gonçales FL, Häussinger D, Diago M, Carosi G, Dhumeaux D, Craxi A, Lin A, Hoffman J, Yu J. Peginterferon alfa-2a plus ribavirin for chronic hepatitis C virus infection. </w:t>
      </w:r>
      <w:r w:rsidRPr="00324BBD">
        <w:rPr>
          <w:rFonts w:ascii="Book Antiqua" w:hAnsi="Book Antiqua" w:cs="宋体"/>
          <w:i/>
          <w:iCs/>
          <w:sz w:val="24"/>
          <w:szCs w:val="24"/>
          <w:lang w:eastAsia="zh-CN"/>
        </w:rPr>
        <w:t>N Engl J Med</w:t>
      </w:r>
      <w:r w:rsidRPr="00324BBD">
        <w:rPr>
          <w:rFonts w:ascii="Book Antiqua" w:hAnsi="Book Antiqua" w:cs="宋体"/>
          <w:sz w:val="24"/>
          <w:szCs w:val="24"/>
          <w:lang w:eastAsia="zh-CN"/>
        </w:rPr>
        <w:t> 2002; </w:t>
      </w:r>
      <w:r w:rsidRPr="00324BBD">
        <w:rPr>
          <w:rFonts w:ascii="Book Antiqua" w:hAnsi="Book Antiqua" w:cs="宋体"/>
          <w:b/>
          <w:bCs/>
          <w:sz w:val="24"/>
          <w:szCs w:val="24"/>
          <w:lang w:eastAsia="zh-CN"/>
        </w:rPr>
        <w:t>347</w:t>
      </w:r>
      <w:r w:rsidRPr="00324BBD">
        <w:rPr>
          <w:rFonts w:ascii="Book Antiqua" w:hAnsi="Book Antiqua" w:cs="宋体"/>
          <w:sz w:val="24"/>
          <w:szCs w:val="24"/>
          <w:lang w:eastAsia="zh-CN"/>
        </w:rPr>
        <w:t>: 975-982 [PMID: 12324553 DOI: 10.1056/NEJMoa020047]</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lastRenderedPageBreak/>
        <w:t>11 </w:t>
      </w:r>
      <w:r w:rsidRPr="00324BBD">
        <w:rPr>
          <w:rFonts w:ascii="Book Antiqua" w:hAnsi="Book Antiqua" w:cs="宋体"/>
          <w:b/>
          <w:bCs/>
          <w:sz w:val="24"/>
          <w:szCs w:val="24"/>
          <w:lang w:eastAsia="zh-CN"/>
        </w:rPr>
        <w:t>Chung RT</w:t>
      </w:r>
      <w:r w:rsidRPr="00324BBD">
        <w:rPr>
          <w:rFonts w:ascii="Book Antiqua" w:hAnsi="Book Antiqua" w:cs="宋体"/>
          <w:sz w:val="24"/>
          <w:szCs w:val="24"/>
          <w:lang w:eastAsia="zh-CN"/>
        </w:rPr>
        <w:t>, Gale M, Polyak SJ, Lemon SM, Liang TJ, Hoofnagle JH. Mechanisms of action of interferon and ribavirin in chronic hepatitis C: Summary of a workshop. </w:t>
      </w:r>
      <w:r w:rsidRPr="00324BBD">
        <w:rPr>
          <w:rFonts w:ascii="Book Antiqua" w:hAnsi="Book Antiqua" w:cs="宋体"/>
          <w:i/>
          <w:iCs/>
          <w:sz w:val="24"/>
          <w:szCs w:val="24"/>
          <w:lang w:eastAsia="zh-CN"/>
        </w:rPr>
        <w:t>Hepatology</w:t>
      </w:r>
      <w:r w:rsidRPr="00324BBD">
        <w:rPr>
          <w:rFonts w:ascii="Book Antiqua" w:hAnsi="Book Antiqua" w:cs="宋体"/>
          <w:sz w:val="24"/>
          <w:szCs w:val="24"/>
          <w:lang w:eastAsia="zh-CN"/>
        </w:rPr>
        <w:t> 2008; </w:t>
      </w:r>
      <w:r w:rsidRPr="00324BBD">
        <w:rPr>
          <w:rFonts w:ascii="Book Antiqua" w:hAnsi="Book Antiqua" w:cs="宋体"/>
          <w:b/>
          <w:bCs/>
          <w:sz w:val="24"/>
          <w:szCs w:val="24"/>
          <w:lang w:eastAsia="zh-CN"/>
        </w:rPr>
        <w:t>47</w:t>
      </w:r>
      <w:r w:rsidRPr="00324BBD">
        <w:rPr>
          <w:rFonts w:ascii="Book Antiqua" w:hAnsi="Book Antiqua" w:cs="宋体"/>
          <w:sz w:val="24"/>
          <w:szCs w:val="24"/>
          <w:lang w:eastAsia="zh-CN"/>
        </w:rPr>
        <w:t>: 306-320 [PMID: 18161743 DOI: 10.1002/hep.22070]</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12 </w:t>
      </w:r>
      <w:r w:rsidRPr="00324BBD">
        <w:rPr>
          <w:rFonts w:ascii="Book Antiqua" w:hAnsi="Book Antiqua" w:cs="宋体"/>
          <w:b/>
          <w:bCs/>
          <w:sz w:val="24"/>
          <w:szCs w:val="24"/>
          <w:lang w:eastAsia="zh-CN"/>
        </w:rPr>
        <w:t>Schoggins JW</w:t>
      </w:r>
      <w:r w:rsidRPr="00324BBD">
        <w:rPr>
          <w:rFonts w:ascii="Book Antiqua" w:hAnsi="Book Antiqua" w:cs="宋体"/>
          <w:sz w:val="24"/>
          <w:szCs w:val="24"/>
          <w:lang w:eastAsia="zh-CN"/>
        </w:rPr>
        <w:t>, Wilson SJ, Panis M, Murphy MY, Jones CT, Bieniasz P, Rice CM. A diverse range of gene products are effectors of the type I interferon antiviral response. </w:t>
      </w:r>
      <w:r w:rsidRPr="00324BBD">
        <w:rPr>
          <w:rFonts w:ascii="Book Antiqua" w:hAnsi="Book Antiqua" w:cs="宋体"/>
          <w:i/>
          <w:iCs/>
          <w:sz w:val="24"/>
          <w:szCs w:val="24"/>
          <w:lang w:eastAsia="zh-CN"/>
        </w:rPr>
        <w:t>Nature</w:t>
      </w:r>
      <w:r w:rsidRPr="00324BBD">
        <w:rPr>
          <w:rFonts w:ascii="Book Antiqua" w:hAnsi="Book Antiqua" w:cs="宋体"/>
          <w:sz w:val="24"/>
          <w:szCs w:val="24"/>
          <w:lang w:eastAsia="zh-CN"/>
        </w:rPr>
        <w:t> 2011; </w:t>
      </w:r>
      <w:r w:rsidRPr="00324BBD">
        <w:rPr>
          <w:rFonts w:ascii="Book Antiqua" w:hAnsi="Book Antiqua" w:cs="宋体"/>
          <w:b/>
          <w:bCs/>
          <w:sz w:val="24"/>
          <w:szCs w:val="24"/>
          <w:lang w:eastAsia="zh-CN"/>
        </w:rPr>
        <w:t>472</w:t>
      </w:r>
      <w:r w:rsidRPr="00324BBD">
        <w:rPr>
          <w:rFonts w:ascii="Book Antiqua" w:hAnsi="Book Antiqua" w:cs="宋体"/>
          <w:sz w:val="24"/>
          <w:szCs w:val="24"/>
          <w:lang w:eastAsia="zh-CN"/>
        </w:rPr>
        <w:t>: 481-485 [PMID: 21478870 DOI: 10.1038/nature09907]</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13 </w:t>
      </w:r>
      <w:r w:rsidRPr="00324BBD">
        <w:rPr>
          <w:rFonts w:ascii="Book Antiqua" w:hAnsi="Book Antiqua" w:cs="宋体"/>
          <w:b/>
          <w:bCs/>
          <w:sz w:val="24"/>
          <w:szCs w:val="24"/>
          <w:lang w:eastAsia="zh-CN"/>
        </w:rPr>
        <w:t>Chen L</w:t>
      </w:r>
      <w:r w:rsidRPr="00324BBD">
        <w:rPr>
          <w:rFonts w:ascii="Book Antiqua" w:hAnsi="Book Antiqua" w:cs="宋体"/>
          <w:sz w:val="24"/>
          <w:szCs w:val="24"/>
          <w:lang w:eastAsia="zh-CN"/>
        </w:rPr>
        <w:t>, Borozan I, Feld J, Sun J, Tannis LL, Coltescu C, Heathcote J, Edwards AM, McGilvray ID. Hepatic gene expression discriminates responders and nonresponders in treatment of chronic hepatitis C viral infection. </w:t>
      </w:r>
      <w:r w:rsidRPr="00324BBD">
        <w:rPr>
          <w:rFonts w:ascii="Book Antiqua" w:hAnsi="Book Antiqua" w:cs="宋体"/>
          <w:i/>
          <w:iCs/>
          <w:sz w:val="24"/>
          <w:szCs w:val="24"/>
          <w:lang w:eastAsia="zh-CN"/>
        </w:rPr>
        <w:t>Gastroenterology</w:t>
      </w:r>
      <w:r w:rsidRPr="00324BBD">
        <w:rPr>
          <w:rFonts w:ascii="Book Antiqua" w:hAnsi="Book Antiqua" w:cs="宋体"/>
          <w:sz w:val="24"/>
          <w:szCs w:val="24"/>
          <w:lang w:eastAsia="zh-CN"/>
        </w:rPr>
        <w:t> 2005; </w:t>
      </w:r>
      <w:r w:rsidRPr="00324BBD">
        <w:rPr>
          <w:rFonts w:ascii="Book Antiqua" w:hAnsi="Book Antiqua" w:cs="宋体"/>
          <w:b/>
          <w:bCs/>
          <w:sz w:val="24"/>
          <w:szCs w:val="24"/>
          <w:lang w:eastAsia="zh-CN"/>
        </w:rPr>
        <w:t>128</w:t>
      </w:r>
      <w:r w:rsidRPr="00324BBD">
        <w:rPr>
          <w:rFonts w:ascii="Book Antiqua" w:hAnsi="Book Antiqua" w:cs="宋体"/>
          <w:sz w:val="24"/>
          <w:szCs w:val="24"/>
          <w:lang w:eastAsia="zh-CN"/>
        </w:rPr>
        <w:t>: 1437-1444 [PMID: 15887125]</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14 </w:t>
      </w:r>
      <w:r w:rsidRPr="00324BBD">
        <w:rPr>
          <w:rFonts w:ascii="Book Antiqua" w:hAnsi="Book Antiqua" w:cs="宋体"/>
          <w:b/>
          <w:bCs/>
          <w:sz w:val="24"/>
          <w:szCs w:val="24"/>
          <w:lang w:eastAsia="zh-CN"/>
        </w:rPr>
        <w:t>Brok J</w:t>
      </w:r>
      <w:r w:rsidRPr="00324BBD">
        <w:rPr>
          <w:rFonts w:ascii="Book Antiqua" w:hAnsi="Book Antiqua" w:cs="宋体"/>
          <w:sz w:val="24"/>
          <w:szCs w:val="24"/>
          <w:lang w:eastAsia="zh-CN"/>
        </w:rPr>
        <w:t>, Gluud LL, Gluud C. Ribavirin monotherapy for chronic hepatitis C. </w:t>
      </w:r>
      <w:r w:rsidRPr="00324BBD">
        <w:rPr>
          <w:rFonts w:ascii="Book Antiqua" w:hAnsi="Book Antiqua" w:cs="宋体"/>
          <w:i/>
          <w:iCs/>
          <w:sz w:val="24"/>
          <w:szCs w:val="24"/>
          <w:lang w:eastAsia="zh-CN"/>
        </w:rPr>
        <w:t>Cochrane Database Syst Rev</w:t>
      </w:r>
      <w:r w:rsidRPr="00324BBD">
        <w:rPr>
          <w:rFonts w:ascii="Book Antiqua" w:hAnsi="Book Antiqua" w:cs="宋体"/>
          <w:sz w:val="24"/>
          <w:szCs w:val="24"/>
          <w:lang w:eastAsia="zh-CN"/>
        </w:rPr>
        <w:t> 2009; </w:t>
      </w:r>
      <w:r w:rsidR="008428F2">
        <w:rPr>
          <w:rFonts w:ascii="Book Antiqua" w:hAnsi="Book Antiqua" w:cs="宋体" w:hint="eastAsia"/>
          <w:sz w:val="24"/>
          <w:szCs w:val="24"/>
          <w:lang w:eastAsia="zh-CN"/>
        </w:rPr>
        <w:t>(</w:t>
      </w:r>
      <w:r w:rsidR="008428F2" w:rsidRPr="008428F2">
        <w:rPr>
          <w:rFonts w:ascii="Book Antiqua" w:hAnsi="Book Antiqua" w:cs="宋体" w:hint="eastAsia"/>
          <w:b/>
          <w:sz w:val="24"/>
          <w:szCs w:val="24"/>
          <w:lang w:eastAsia="zh-CN"/>
        </w:rPr>
        <w:t>4</w:t>
      </w:r>
      <w:r w:rsidR="008428F2">
        <w:rPr>
          <w:rFonts w:ascii="Book Antiqua" w:hAnsi="Book Antiqua" w:cs="宋体" w:hint="eastAsia"/>
          <w:sz w:val="24"/>
          <w:szCs w:val="24"/>
          <w:lang w:eastAsia="zh-CN"/>
        </w:rPr>
        <w:t>)</w:t>
      </w:r>
      <w:r w:rsidRPr="00324BBD">
        <w:rPr>
          <w:rFonts w:ascii="Book Antiqua" w:hAnsi="Book Antiqua" w:cs="宋体"/>
          <w:sz w:val="24"/>
          <w:szCs w:val="24"/>
          <w:lang w:eastAsia="zh-CN"/>
        </w:rPr>
        <w:t>: CD005527 [PMID: 19821346 DOI: 10.1002/14651858.CD005527.pub2]</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15 </w:t>
      </w:r>
      <w:r w:rsidRPr="00324BBD">
        <w:rPr>
          <w:rFonts w:ascii="Book Antiqua" w:hAnsi="Book Antiqua" w:cs="宋体"/>
          <w:b/>
          <w:bCs/>
          <w:sz w:val="24"/>
          <w:szCs w:val="24"/>
          <w:lang w:eastAsia="zh-CN"/>
        </w:rPr>
        <w:t>Tong MJ</w:t>
      </w:r>
      <w:r w:rsidRPr="00324BBD">
        <w:rPr>
          <w:rFonts w:ascii="Book Antiqua" w:hAnsi="Book Antiqua" w:cs="宋体"/>
          <w:sz w:val="24"/>
          <w:szCs w:val="24"/>
          <w:lang w:eastAsia="zh-CN"/>
        </w:rPr>
        <w:t>, Hwang SJ, Lefkowitz M, Lee SD, Co RL, Conrad A, Schmid P, Lo KJ. Correlation of serum HCV RNA and alanine aminotransferase levels in chronic hepatitis C patients during treatment with ribavirin. </w:t>
      </w:r>
      <w:r w:rsidRPr="00324BBD">
        <w:rPr>
          <w:rFonts w:ascii="Book Antiqua" w:hAnsi="Book Antiqua" w:cs="宋体"/>
          <w:i/>
          <w:iCs/>
          <w:sz w:val="24"/>
          <w:szCs w:val="24"/>
          <w:lang w:eastAsia="zh-CN"/>
        </w:rPr>
        <w:t>J Gastroenterol Hepatol</w:t>
      </w:r>
      <w:r w:rsidRPr="00324BBD">
        <w:rPr>
          <w:rFonts w:ascii="Book Antiqua" w:hAnsi="Book Antiqua" w:cs="宋体"/>
          <w:sz w:val="24"/>
          <w:szCs w:val="24"/>
          <w:lang w:eastAsia="zh-CN"/>
        </w:rPr>
        <w:t> </w:t>
      </w:r>
      <w:r>
        <w:rPr>
          <w:rFonts w:ascii="Book Antiqua" w:hAnsi="Book Antiqua" w:cs="宋体" w:hint="eastAsia"/>
          <w:sz w:val="24"/>
          <w:szCs w:val="24"/>
          <w:lang w:eastAsia="zh-CN"/>
        </w:rPr>
        <w:t>1994</w:t>
      </w:r>
      <w:r w:rsidRPr="00324BBD">
        <w:rPr>
          <w:rFonts w:ascii="Book Antiqua" w:hAnsi="Book Antiqua" w:cs="宋体"/>
          <w:sz w:val="24"/>
          <w:szCs w:val="24"/>
          <w:lang w:eastAsia="zh-CN"/>
        </w:rPr>
        <w:t>; </w:t>
      </w:r>
      <w:r w:rsidRPr="00324BBD">
        <w:rPr>
          <w:rFonts w:ascii="Book Antiqua" w:hAnsi="Book Antiqua" w:cs="宋体"/>
          <w:b/>
          <w:bCs/>
          <w:sz w:val="24"/>
          <w:szCs w:val="24"/>
          <w:lang w:eastAsia="zh-CN"/>
        </w:rPr>
        <w:t>9</w:t>
      </w:r>
      <w:r w:rsidRPr="00324BBD">
        <w:rPr>
          <w:rFonts w:ascii="Book Antiqua" w:hAnsi="Book Antiqua" w:cs="宋体"/>
          <w:sz w:val="24"/>
          <w:szCs w:val="24"/>
          <w:lang w:eastAsia="zh-CN"/>
        </w:rPr>
        <w:t>: 587-591 [PMID: 7865717 DOI: 10.1111/j.1440-1746.1994.tb01566]</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16 </w:t>
      </w:r>
      <w:r w:rsidRPr="00324BBD">
        <w:rPr>
          <w:rFonts w:ascii="Book Antiqua" w:hAnsi="Book Antiqua" w:cs="宋体"/>
          <w:b/>
          <w:bCs/>
          <w:sz w:val="24"/>
          <w:szCs w:val="24"/>
          <w:lang w:eastAsia="zh-CN"/>
        </w:rPr>
        <w:t>Rotman Y</w:t>
      </w:r>
      <w:r w:rsidRPr="00324BBD">
        <w:rPr>
          <w:rFonts w:ascii="Book Antiqua" w:hAnsi="Book Antiqua" w:cs="宋体"/>
          <w:sz w:val="24"/>
          <w:szCs w:val="24"/>
          <w:lang w:eastAsia="zh-CN"/>
        </w:rPr>
        <w:t>, Noureddin M, Feld JJ, Guedj J, Witthaus M, Han H, Park YJ, Park SH, Heller T, Ghany MG, Doo E, Koh C, Abdalla A, Gara N, Sarkar S, Thomas E, Ahlenstiel G, Edlich B, Titerence R, Hogdal L, Rehermann B, Dahari H, Perelson AS, Hoofnagle JH, Liang TJ. Effect of ribavirin on viral kinetics and liver gene expression in chronic hepatitis C. </w:t>
      </w:r>
      <w:r w:rsidRPr="00324BBD">
        <w:rPr>
          <w:rFonts w:ascii="Book Antiqua" w:hAnsi="Book Antiqua" w:cs="宋体"/>
          <w:i/>
          <w:iCs/>
          <w:sz w:val="24"/>
          <w:szCs w:val="24"/>
          <w:lang w:eastAsia="zh-CN"/>
        </w:rPr>
        <w:t>Gut</w:t>
      </w:r>
      <w:r w:rsidRPr="00324BBD">
        <w:rPr>
          <w:rFonts w:ascii="Book Antiqua" w:hAnsi="Book Antiqua" w:cs="宋体"/>
          <w:sz w:val="24"/>
          <w:szCs w:val="24"/>
          <w:lang w:eastAsia="zh-CN"/>
        </w:rPr>
        <w:t> 2014; </w:t>
      </w:r>
      <w:r w:rsidRPr="00324BBD">
        <w:rPr>
          <w:rFonts w:ascii="Book Antiqua" w:hAnsi="Book Antiqua" w:cs="宋体"/>
          <w:b/>
          <w:bCs/>
          <w:sz w:val="24"/>
          <w:szCs w:val="24"/>
          <w:lang w:eastAsia="zh-CN"/>
        </w:rPr>
        <w:t>63</w:t>
      </w:r>
      <w:r w:rsidRPr="00324BBD">
        <w:rPr>
          <w:rFonts w:ascii="Book Antiqua" w:hAnsi="Book Antiqua" w:cs="宋体"/>
          <w:sz w:val="24"/>
          <w:szCs w:val="24"/>
          <w:lang w:eastAsia="zh-CN"/>
        </w:rPr>
        <w:t>: 161-169 [PMID: 23396509 DOI: 10.1136/gutjnl-2012-303852]</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17 </w:t>
      </w:r>
      <w:r w:rsidRPr="00324BBD">
        <w:rPr>
          <w:rFonts w:ascii="Book Antiqua" w:hAnsi="Book Antiqua" w:cs="宋体"/>
          <w:b/>
          <w:bCs/>
          <w:sz w:val="24"/>
          <w:szCs w:val="24"/>
          <w:lang w:eastAsia="zh-CN"/>
        </w:rPr>
        <w:t>Wright H</w:t>
      </w:r>
      <w:r w:rsidRPr="00324BBD">
        <w:rPr>
          <w:rFonts w:ascii="Book Antiqua" w:hAnsi="Book Antiqua" w:cs="宋体"/>
          <w:sz w:val="24"/>
          <w:szCs w:val="24"/>
          <w:lang w:eastAsia="zh-CN"/>
        </w:rPr>
        <w:t>, Alex P, Nguyen T, Bader T, Gurakar A, Sebastian A, Gonzales L, Wallis G, Naylor M, Dozmorov I, Centola M, Nour B. Multiplex cytokine profiling of initial therapeutic response in patients with chronic hepatitis C virus infection. </w:t>
      </w:r>
      <w:r w:rsidRPr="00324BBD">
        <w:rPr>
          <w:rFonts w:ascii="Book Antiqua" w:hAnsi="Book Antiqua" w:cs="宋体"/>
          <w:i/>
          <w:iCs/>
          <w:sz w:val="24"/>
          <w:szCs w:val="24"/>
          <w:lang w:eastAsia="zh-CN"/>
        </w:rPr>
        <w:t>Dig Dis Sci</w:t>
      </w:r>
      <w:r w:rsidRPr="00324BBD">
        <w:rPr>
          <w:rFonts w:ascii="Book Antiqua" w:hAnsi="Book Antiqua" w:cs="宋体"/>
          <w:sz w:val="24"/>
          <w:szCs w:val="24"/>
          <w:lang w:eastAsia="zh-CN"/>
        </w:rPr>
        <w:t> 2005; </w:t>
      </w:r>
      <w:r w:rsidRPr="00324BBD">
        <w:rPr>
          <w:rFonts w:ascii="Book Antiqua" w:hAnsi="Book Antiqua" w:cs="宋体"/>
          <w:b/>
          <w:bCs/>
          <w:sz w:val="24"/>
          <w:szCs w:val="24"/>
          <w:lang w:eastAsia="zh-CN"/>
        </w:rPr>
        <w:t>50</w:t>
      </w:r>
      <w:r w:rsidRPr="00324BBD">
        <w:rPr>
          <w:rFonts w:ascii="Book Antiqua" w:hAnsi="Book Antiqua" w:cs="宋体"/>
          <w:sz w:val="24"/>
          <w:szCs w:val="24"/>
          <w:lang w:eastAsia="zh-CN"/>
        </w:rPr>
        <w:t>: 1793-1803 [PMID: 16187176 DOI: 10.1007/s10620-005-2940-y]</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18 </w:t>
      </w:r>
      <w:r w:rsidRPr="00324BBD">
        <w:rPr>
          <w:rFonts w:ascii="Book Antiqua" w:hAnsi="Book Antiqua" w:cs="宋体"/>
          <w:b/>
          <w:bCs/>
          <w:sz w:val="24"/>
          <w:szCs w:val="24"/>
          <w:lang w:eastAsia="zh-CN"/>
        </w:rPr>
        <w:t>Neuman MG</w:t>
      </w:r>
      <w:r w:rsidRPr="00324BBD">
        <w:rPr>
          <w:rFonts w:ascii="Book Antiqua" w:hAnsi="Book Antiqua" w:cs="宋体"/>
          <w:sz w:val="24"/>
          <w:szCs w:val="24"/>
          <w:lang w:eastAsia="zh-CN"/>
        </w:rPr>
        <w:t>, Benhamou JP, Malkiewicz IM, Akremi R, Shear NH, Asselah T, Ibrahim A, Boyer N, Martinot-Peignoux M, Jacobson-Brown P, Katz GG, Le Breton V, Le Guludec G, Suneja A, Marcellin P. Cytokines as predictors for sustained response and as markers for immunomodulation in patients with chronic hepatitis C. </w:t>
      </w:r>
      <w:r w:rsidRPr="00324BBD">
        <w:rPr>
          <w:rFonts w:ascii="Book Antiqua" w:hAnsi="Book Antiqua" w:cs="宋体"/>
          <w:i/>
          <w:iCs/>
          <w:sz w:val="24"/>
          <w:szCs w:val="24"/>
          <w:lang w:eastAsia="zh-CN"/>
        </w:rPr>
        <w:t>Clin Biochem</w:t>
      </w:r>
      <w:r w:rsidRPr="00324BBD">
        <w:rPr>
          <w:rFonts w:ascii="Book Antiqua" w:hAnsi="Book Antiqua" w:cs="宋体"/>
          <w:sz w:val="24"/>
          <w:szCs w:val="24"/>
          <w:lang w:eastAsia="zh-CN"/>
        </w:rPr>
        <w:t> 2001; </w:t>
      </w:r>
      <w:r w:rsidRPr="00324BBD">
        <w:rPr>
          <w:rFonts w:ascii="Book Antiqua" w:hAnsi="Book Antiqua" w:cs="宋体"/>
          <w:b/>
          <w:bCs/>
          <w:sz w:val="24"/>
          <w:szCs w:val="24"/>
          <w:lang w:eastAsia="zh-CN"/>
        </w:rPr>
        <w:t>34</w:t>
      </w:r>
      <w:r w:rsidRPr="00324BBD">
        <w:rPr>
          <w:rFonts w:ascii="Book Antiqua" w:hAnsi="Book Antiqua" w:cs="宋体"/>
          <w:sz w:val="24"/>
          <w:szCs w:val="24"/>
          <w:lang w:eastAsia="zh-CN"/>
        </w:rPr>
        <w:t>: 173-182 [PMID: 11408014 DOI: 10.1016/S0009-9120(01)00212-0]</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19 </w:t>
      </w:r>
      <w:r w:rsidRPr="00324BBD">
        <w:rPr>
          <w:rFonts w:ascii="Book Antiqua" w:hAnsi="Book Antiqua" w:cs="宋体"/>
          <w:b/>
          <w:bCs/>
          <w:sz w:val="24"/>
          <w:szCs w:val="24"/>
          <w:lang w:eastAsia="zh-CN"/>
        </w:rPr>
        <w:t>Sulkowski MS</w:t>
      </w:r>
      <w:r w:rsidRPr="00324BBD">
        <w:rPr>
          <w:rFonts w:ascii="Book Antiqua" w:hAnsi="Book Antiqua" w:cs="宋体"/>
          <w:sz w:val="24"/>
          <w:szCs w:val="24"/>
          <w:lang w:eastAsia="zh-CN"/>
        </w:rPr>
        <w:t>, Shiffman ML, Afdhal NH, Reddy KR, McCone J, Lee WM, Herrine SK, Harrison SA, Poordad FF, Koury K, Deng W, Noviello S, Pedicone LD, Brass CA, Albrecht JK, McHutchison JG. Hepatitis C virus treatment-related anemia is associated with higher sustained virologic response rate. </w:t>
      </w:r>
      <w:r w:rsidRPr="00324BBD">
        <w:rPr>
          <w:rFonts w:ascii="Book Antiqua" w:hAnsi="Book Antiqua" w:cs="宋体"/>
          <w:i/>
          <w:iCs/>
          <w:sz w:val="24"/>
          <w:szCs w:val="24"/>
          <w:lang w:eastAsia="zh-CN"/>
        </w:rPr>
        <w:t>Gastroenterology</w:t>
      </w:r>
      <w:r w:rsidRPr="00324BBD">
        <w:rPr>
          <w:rFonts w:ascii="Book Antiqua" w:hAnsi="Book Antiqua" w:cs="宋体"/>
          <w:sz w:val="24"/>
          <w:szCs w:val="24"/>
          <w:lang w:eastAsia="zh-CN"/>
        </w:rPr>
        <w:t> 2010; </w:t>
      </w:r>
      <w:r w:rsidRPr="00324BBD">
        <w:rPr>
          <w:rFonts w:ascii="Book Antiqua" w:hAnsi="Book Antiqua" w:cs="宋体"/>
          <w:b/>
          <w:bCs/>
          <w:sz w:val="24"/>
          <w:szCs w:val="24"/>
          <w:lang w:eastAsia="zh-CN"/>
        </w:rPr>
        <w:t>139</w:t>
      </w:r>
      <w:r w:rsidRPr="00324BBD">
        <w:rPr>
          <w:rFonts w:ascii="Book Antiqua" w:hAnsi="Book Antiqua" w:cs="宋体"/>
          <w:sz w:val="24"/>
          <w:szCs w:val="24"/>
          <w:lang w:eastAsia="zh-CN"/>
        </w:rPr>
        <w:t>: 1602-111, 1611.e1 [PMID: 20723545 DOI: 10.1053/j.gastro.2010.07.059]</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20 </w:t>
      </w:r>
      <w:r w:rsidRPr="00324BBD">
        <w:rPr>
          <w:rFonts w:ascii="Book Antiqua" w:hAnsi="Book Antiqua" w:cs="宋体"/>
          <w:b/>
          <w:bCs/>
          <w:sz w:val="24"/>
          <w:szCs w:val="24"/>
          <w:lang w:eastAsia="zh-CN"/>
        </w:rPr>
        <w:t>Tenhunen R</w:t>
      </w:r>
      <w:r w:rsidRPr="00324BBD">
        <w:rPr>
          <w:rFonts w:ascii="Book Antiqua" w:hAnsi="Book Antiqua" w:cs="宋体"/>
          <w:sz w:val="24"/>
          <w:szCs w:val="24"/>
          <w:lang w:eastAsia="zh-CN"/>
        </w:rPr>
        <w:t>, Marver HS, Schmid R. The enzymatic conversion of heme to bilirubin by microsomal heme oxygenase. </w:t>
      </w:r>
      <w:r w:rsidRPr="00324BBD">
        <w:rPr>
          <w:rFonts w:ascii="Book Antiqua" w:hAnsi="Book Antiqua" w:cs="宋体"/>
          <w:i/>
          <w:iCs/>
          <w:sz w:val="24"/>
          <w:szCs w:val="24"/>
          <w:lang w:eastAsia="zh-CN"/>
        </w:rPr>
        <w:t>Proc Natl Acad Sci U S A</w:t>
      </w:r>
      <w:r w:rsidRPr="00324BBD">
        <w:rPr>
          <w:rFonts w:ascii="Book Antiqua" w:hAnsi="Book Antiqua" w:cs="宋体"/>
          <w:sz w:val="24"/>
          <w:szCs w:val="24"/>
          <w:lang w:eastAsia="zh-CN"/>
        </w:rPr>
        <w:t> 1968; </w:t>
      </w:r>
      <w:r w:rsidRPr="00324BBD">
        <w:rPr>
          <w:rFonts w:ascii="Book Antiqua" w:hAnsi="Book Antiqua" w:cs="宋体"/>
          <w:b/>
          <w:bCs/>
          <w:sz w:val="24"/>
          <w:szCs w:val="24"/>
          <w:lang w:eastAsia="zh-CN"/>
        </w:rPr>
        <w:t>61</w:t>
      </w:r>
      <w:r w:rsidRPr="00324BBD">
        <w:rPr>
          <w:rFonts w:ascii="Book Antiqua" w:hAnsi="Book Antiqua" w:cs="宋体"/>
          <w:sz w:val="24"/>
          <w:szCs w:val="24"/>
          <w:lang w:eastAsia="zh-CN"/>
        </w:rPr>
        <w:t>: 748-755 [PMID: 4386763 DOI: 10.1073/pnas.61.2.748]</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21 </w:t>
      </w:r>
      <w:r w:rsidRPr="00324BBD">
        <w:rPr>
          <w:rFonts w:ascii="Book Antiqua" w:hAnsi="Book Antiqua" w:cs="宋体"/>
          <w:b/>
          <w:bCs/>
          <w:sz w:val="24"/>
          <w:szCs w:val="24"/>
          <w:lang w:eastAsia="zh-CN"/>
        </w:rPr>
        <w:t>McCoubrey WK</w:t>
      </w:r>
      <w:r w:rsidRPr="00324BBD">
        <w:rPr>
          <w:rFonts w:ascii="Book Antiqua" w:hAnsi="Book Antiqua" w:cs="宋体"/>
          <w:sz w:val="24"/>
          <w:szCs w:val="24"/>
          <w:lang w:eastAsia="zh-CN"/>
        </w:rPr>
        <w:t>, Huang TJ, Maines MD. Isolation and characterization of a cDNA from the rat brain that encodes hemoprotein heme oxygenase-3. </w:t>
      </w:r>
      <w:r w:rsidRPr="00324BBD">
        <w:rPr>
          <w:rFonts w:ascii="Book Antiqua" w:hAnsi="Book Antiqua" w:cs="宋体"/>
          <w:i/>
          <w:iCs/>
          <w:sz w:val="24"/>
          <w:szCs w:val="24"/>
          <w:lang w:eastAsia="zh-CN"/>
        </w:rPr>
        <w:t>Eur J Biochem</w:t>
      </w:r>
      <w:r w:rsidRPr="00324BBD">
        <w:rPr>
          <w:rFonts w:ascii="Book Antiqua" w:hAnsi="Book Antiqua" w:cs="宋体"/>
          <w:sz w:val="24"/>
          <w:szCs w:val="24"/>
          <w:lang w:eastAsia="zh-CN"/>
        </w:rPr>
        <w:t> 1997; </w:t>
      </w:r>
      <w:r w:rsidRPr="00324BBD">
        <w:rPr>
          <w:rFonts w:ascii="Book Antiqua" w:hAnsi="Book Antiqua" w:cs="宋体"/>
          <w:b/>
          <w:bCs/>
          <w:sz w:val="24"/>
          <w:szCs w:val="24"/>
          <w:lang w:eastAsia="zh-CN"/>
        </w:rPr>
        <w:t>247</w:t>
      </w:r>
      <w:r w:rsidRPr="00324BBD">
        <w:rPr>
          <w:rFonts w:ascii="Book Antiqua" w:hAnsi="Book Antiqua" w:cs="宋体"/>
          <w:sz w:val="24"/>
          <w:szCs w:val="24"/>
          <w:lang w:eastAsia="zh-CN"/>
        </w:rPr>
        <w:t>: 725-732 [PMID: 9266719 DOI: 10.1111/j.1432-1033.1997.00725]</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lastRenderedPageBreak/>
        <w:t>22 </w:t>
      </w:r>
      <w:r w:rsidRPr="00324BBD">
        <w:rPr>
          <w:rFonts w:ascii="Book Antiqua" w:hAnsi="Book Antiqua" w:cs="宋体"/>
          <w:b/>
          <w:bCs/>
          <w:sz w:val="24"/>
          <w:szCs w:val="24"/>
          <w:lang w:eastAsia="zh-CN"/>
        </w:rPr>
        <w:t>Guo X</w:t>
      </w:r>
      <w:r w:rsidRPr="00324BBD">
        <w:rPr>
          <w:rFonts w:ascii="Book Antiqua" w:hAnsi="Book Antiqua" w:cs="宋体"/>
          <w:sz w:val="24"/>
          <w:szCs w:val="24"/>
          <w:lang w:eastAsia="zh-CN"/>
        </w:rPr>
        <w:t>, Shin VY, Cho CH. Modulation of heme oxygenase in tissue injury and its implication in protection against gastrointestinal diseases. </w:t>
      </w:r>
      <w:r w:rsidRPr="00324BBD">
        <w:rPr>
          <w:rFonts w:ascii="Book Antiqua" w:hAnsi="Book Antiqua" w:cs="宋体"/>
          <w:i/>
          <w:iCs/>
          <w:sz w:val="24"/>
          <w:szCs w:val="24"/>
          <w:lang w:eastAsia="zh-CN"/>
        </w:rPr>
        <w:t>Life Sci</w:t>
      </w:r>
      <w:r w:rsidRPr="00324BBD">
        <w:rPr>
          <w:rFonts w:ascii="Book Antiqua" w:hAnsi="Book Antiqua" w:cs="宋体"/>
          <w:sz w:val="24"/>
          <w:szCs w:val="24"/>
          <w:lang w:eastAsia="zh-CN"/>
        </w:rPr>
        <w:t> 2001; </w:t>
      </w:r>
      <w:r w:rsidRPr="00324BBD">
        <w:rPr>
          <w:rFonts w:ascii="Book Antiqua" w:hAnsi="Book Antiqua" w:cs="宋体"/>
          <w:b/>
          <w:bCs/>
          <w:sz w:val="24"/>
          <w:szCs w:val="24"/>
          <w:lang w:eastAsia="zh-CN"/>
        </w:rPr>
        <w:t>69</w:t>
      </w:r>
      <w:r w:rsidRPr="00324BBD">
        <w:rPr>
          <w:rFonts w:ascii="Book Antiqua" w:hAnsi="Book Antiqua" w:cs="宋体"/>
          <w:sz w:val="24"/>
          <w:szCs w:val="24"/>
          <w:lang w:eastAsia="zh-CN"/>
        </w:rPr>
        <w:t>: 3113-3119 [PMID: 11758836 DOI: 10.1016/S0024-3205(01)01417-5]</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23 </w:t>
      </w:r>
      <w:r w:rsidRPr="00324BBD">
        <w:rPr>
          <w:rFonts w:ascii="Book Antiqua" w:hAnsi="Book Antiqua" w:cs="宋体"/>
          <w:b/>
          <w:bCs/>
          <w:sz w:val="24"/>
          <w:szCs w:val="24"/>
          <w:lang w:eastAsia="zh-CN"/>
        </w:rPr>
        <w:t>Otterbein LE</w:t>
      </w:r>
      <w:r w:rsidRPr="00324BBD">
        <w:rPr>
          <w:rFonts w:ascii="Book Antiqua" w:hAnsi="Book Antiqua" w:cs="宋体"/>
          <w:sz w:val="24"/>
          <w:szCs w:val="24"/>
          <w:lang w:eastAsia="zh-CN"/>
        </w:rPr>
        <w:t>, Soares MP, Yamashita K, Bach FH. Heme oxygenase-1: unleashing the protective properties of heme. </w:t>
      </w:r>
      <w:r w:rsidRPr="00324BBD">
        <w:rPr>
          <w:rFonts w:ascii="Book Antiqua" w:hAnsi="Book Antiqua" w:cs="宋体"/>
          <w:i/>
          <w:iCs/>
          <w:sz w:val="24"/>
          <w:szCs w:val="24"/>
          <w:lang w:eastAsia="zh-CN"/>
        </w:rPr>
        <w:t>Trends Immunol</w:t>
      </w:r>
      <w:r w:rsidRPr="00324BBD">
        <w:rPr>
          <w:rFonts w:ascii="Book Antiqua" w:hAnsi="Book Antiqua" w:cs="宋体"/>
          <w:sz w:val="24"/>
          <w:szCs w:val="24"/>
          <w:lang w:eastAsia="zh-CN"/>
        </w:rPr>
        <w:t> 2003; </w:t>
      </w:r>
      <w:r w:rsidRPr="00324BBD">
        <w:rPr>
          <w:rFonts w:ascii="Book Antiqua" w:hAnsi="Book Antiqua" w:cs="宋体"/>
          <w:b/>
          <w:bCs/>
          <w:sz w:val="24"/>
          <w:szCs w:val="24"/>
          <w:lang w:eastAsia="zh-CN"/>
        </w:rPr>
        <w:t>24</w:t>
      </w:r>
      <w:r w:rsidRPr="00324BBD">
        <w:rPr>
          <w:rFonts w:ascii="Book Antiqua" w:hAnsi="Book Antiqua" w:cs="宋体"/>
          <w:sz w:val="24"/>
          <w:szCs w:val="24"/>
          <w:lang w:eastAsia="zh-CN"/>
        </w:rPr>
        <w:t>: 449-455 [PMID: 12909459 DOI: 10.1016/S1471-4906(03)00181-9]</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24 </w:t>
      </w:r>
      <w:r w:rsidRPr="00324BBD">
        <w:rPr>
          <w:rFonts w:ascii="Book Antiqua" w:hAnsi="Book Antiqua" w:cs="宋体"/>
          <w:b/>
          <w:bCs/>
          <w:sz w:val="24"/>
          <w:szCs w:val="24"/>
          <w:lang w:eastAsia="zh-CN"/>
        </w:rPr>
        <w:t>Kapturczak MH</w:t>
      </w:r>
      <w:r w:rsidRPr="00324BBD">
        <w:rPr>
          <w:rFonts w:ascii="Book Antiqua" w:hAnsi="Book Antiqua" w:cs="宋体"/>
          <w:sz w:val="24"/>
          <w:szCs w:val="24"/>
          <w:lang w:eastAsia="zh-CN"/>
        </w:rPr>
        <w:t>, Wasserfall C, Brusko T, Campbell-Thompson M, Ellis TM, Atkinson MA, Agarwal A. Heme oxygenase-1 modulates early inflammatory responses: evidence from the heme oxygenase-1-deficient mouse. </w:t>
      </w:r>
      <w:r w:rsidRPr="00324BBD">
        <w:rPr>
          <w:rFonts w:ascii="Book Antiqua" w:hAnsi="Book Antiqua" w:cs="宋体"/>
          <w:i/>
          <w:iCs/>
          <w:sz w:val="24"/>
          <w:szCs w:val="24"/>
          <w:lang w:eastAsia="zh-CN"/>
        </w:rPr>
        <w:t>Am J Pathol</w:t>
      </w:r>
      <w:r w:rsidRPr="00324BBD">
        <w:rPr>
          <w:rFonts w:ascii="Book Antiqua" w:hAnsi="Book Antiqua" w:cs="宋体"/>
          <w:sz w:val="24"/>
          <w:szCs w:val="24"/>
          <w:lang w:eastAsia="zh-CN"/>
        </w:rPr>
        <w:t> 2004; </w:t>
      </w:r>
      <w:r w:rsidRPr="00324BBD">
        <w:rPr>
          <w:rFonts w:ascii="Book Antiqua" w:hAnsi="Book Antiqua" w:cs="宋体"/>
          <w:b/>
          <w:bCs/>
          <w:sz w:val="24"/>
          <w:szCs w:val="24"/>
          <w:lang w:eastAsia="zh-CN"/>
        </w:rPr>
        <w:t>165</w:t>
      </w:r>
      <w:r w:rsidRPr="00324BBD">
        <w:rPr>
          <w:rFonts w:ascii="Book Antiqua" w:hAnsi="Book Antiqua" w:cs="宋体"/>
          <w:sz w:val="24"/>
          <w:szCs w:val="24"/>
          <w:lang w:eastAsia="zh-CN"/>
        </w:rPr>
        <w:t>: 1045-1053 [PMID: 15331427 DOI: 10.1016/S0002-9440(10)63365-2]</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25 </w:t>
      </w:r>
      <w:r w:rsidRPr="00324BBD">
        <w:rPr>
          <w:rFonts w:ascii="Book Antiqua" w:hAnsi="Book Antiqua" w:cs="宋体"/>
          <w:b/>
          <w:bCs/>
          <w:sz w:val="24"/>
          <w:szCs w:val="24"/>
          <w:lang w:eastAsia="zh-CN"/>
        </w:rPr>
        <w:t>Dubuisson J</w:t>
      </w:r>
      <w:r w:rsidRPr="00324BBD">
        <w:rPr>
          <w:rFonts w:ascii="Book Antiqua" w:hAnsi="Book Antiqua" w:cs="宋体"/>
          <w:sz w:val="24"/>
          <w:szCs w:val="24"/>
          <w:lang w:eastAsia="zh-CN"/>
        </w:rPr>
        <w:t>. Hepatitis C virus proteins. </w:t>
      </w:r>
      <w:r w:rsidRPr="00324BBD">
        <w:rPr>
          <w:rFonts w:ascii="Book Antiqua" w:hAnsi="Book Antiqua" w:cs="宋体"/>
          <w:i/>
          <w:iCs/>
          <w:sz w:val="24"/>
          <w:szCs w:val="24"/>
          <w:lang w:eastAsia="zh-CN"/>
        </w:rPr>
        <w:t>World J Gastroenterol</w:t>
      </w:r>
      <w:r w:rsidRPr="00324BBD">
        <w:rPr>
          <w:rFonts w:ascii="Book Antiqua" w:hAnsi="Book Antiqua" w:cs="宋体"/>
          <w:sz w:val="24"/>
          <w:szCs w:val="24"/>
          <w:lang w:eastAsia="zh-CN"/>
        </w:rPr>
        <w:t> 2007; </w:t>
      </w:r>
      <w:r w:rsidRPr="00324BBD">
        <w:rPr>
          <w:rFonts w:ascii="Book Antiqua" w:hAnsi="Book Antiqua" w:cs="宋体"/>
          <w:b/>
          <w:bCs/>
          <w:sz w:val="24"/>
          <w:szCs w:val="24"/>
          <w:lang w:eastAsia="zh-CN"/>
        </w:rPr>
        <w:t>13</w:t>
      </w:r>
      <w:r w:rsidRPr="00324BBD">
        <w:rPr>
          <w:rFonts w:ascii="Book Antiqua" w:hAnsi="Book Antiqua" w:cs="宋体"/>
          <w:sz w:val="24"/>
          <w:szCs w:val="24"/>
          <w:lang w:eastAsia="zh-CN"/>
        </w:rPr>
        <w:t>: 2406-2415 [PMID: 17552023]</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26 </w:t>
      </w:r>
      <w:r w:rsidRPr="00324BBD">
        <w:rPr>
          <w:rFonts w:ascii="Book Antiqua" w:hAnsi="Book Antiqua" w:cs="宋体"/>
          <w:b/>
          <w:bCs/>
          <w:sz w:val="24"/>
          <w:szCs w:val="24"/>
          <w:lang w:eastAsia="zh-CN"/>
        </w:rPr>
        <w:t>Okuda M</w:t>
      </w:r>
      <w:r w:rsidRPr="00324BBD">
        <w:rPr>
          <w:rFonts w:ascii="Book Antiqua" w:hAnsi="Book Antiqua" w:cs="宋体"/>
          <w:sz w:val="24"/>
          <w:szCs w:val="24"/>
          <w:lang w:eastAsia="zh-CN"/>
        </w:rPr>
        <w:t>, Li K, Beard MR, Showalter LA, Scholle F, Lemon SM, Weinman SA. Mitochondrial injury, oxidative stress, and antioxidant gene expression are induced by hepatitis C virus core protein. </w:t>
      </w:r>
      <w:r w:rsidRPr="00324BBD">
        <w:rPr>
          <w:rFonts w:ascii="Book Antiqua" w:hAnsi="Book Antiqua" w:cs="宋体"/>
          <w:i/>
          <w:iCs/>
          <w:sz w:val="24"/>
          <w:szCs w:val="24"/>
          <w:lang w:eastAsia="zh-CN"/>
        </w:rPr>
        <w:t>Gastroenterology</w:t>
      </w:r>
      <w:r w:rsidRPr="00324BBD">
        <w:rPr>
          <w:rFonts w:ascii="Book Antiqua" w:hAnsi="Book Antiqua" w:cs="宋体"/>
          <w:sz w:val="24"/>
          <w:szCs w:val="24"/>
          <w:lang w:eastAsia="zh-CN"/>
        </w:rPr>
        <w:t> 2002; </w:t>
      </w:r>
      <w:r w:rsidRPr="00324BBD">
        <w:rPr>
          <w:rFonts w:ascii="Book Antiqua" w:hAnsi="Book Antiqua" w:cs="宋体"/>
          <w:b/>
          <w:bCs/>
          <w:sz w:val="24"/>
          <w:szCs w:val="24"/>
          <w:lang w:eastAsia="zh-CN"/>
        </w:rPr>
        <w:t>122</w:t>
      </w:r>
      <w:r w:rsidRPr="00324BBD">
        <w:rPr>
          <w:rFonts w:ascii="Book Antiqua" w:hAnsi="Book Antiqua" w:cs="宋体"/>
          <w:sz w:val="24"/>
          <w:szCs w:val="24"/>
          <w:lang w:eastAsia="zh-CN"/>
        </w:rPr>
        <w:t>: 366-375 [PMID: 11832451 DOI: 10.1053/gast.2002.30983]</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27 </w:t>
      </w:r>
      <w:r w:rsidRPr="00324BBD">
        <w:rPr>
          <w:rFonts w:ascii="Book Antiqua" w:hAnsi="Book Antiqua" w:cs="宋体"/>
          <w:b/>
          <w:bCs/>
          <w:sz w:val="24"/>
          <w:szCs w:val="24"/>
          <w:lang w:eastAsia="zh-CN"/>
        </w:rPr>
        <w:t>Li K</w:t>
      </w:r>
      <w:r w:rsidRPr="00324BBD">
        <w:rPr>
          <w:rFonts w:ascii="Book Antiqua" w:hAnsi="Book Antiqua" w:cs="宋体"/>
          <w:sz w:val="24"/>
          <w:szCs w:val="24"/>
          <w:lang w:eastAsia="zh-CN"/>
        </w:rPr>
        <w:t>, Prow T, Lemon SM, Beard MR. Cellular response to conditional expression of hepatitis C virus core protein in Huh7 cultured human hepatoma cells. </w:t>
      </w:r>
      <w:r w:rsidRPr="00324BBD">
        <w:rPr>
          <w:rFonts w:ascii="Book Antiqua" w:hAnsi="Book Antiqua" w:cs="宋体"/>
          <w:i/>
          <w:iCs/>
          <w:sz w:val="24"/>
          <w:szCs w:val="24"/>
          <w:lang w:eastAsia="zh-CN"/>
        </w:rPr>
        <w:t>Hepatology</w:t>
      </w:r>
      <w:r w:rsidRPr="00324BBD">
        <w:rPr>
          <w:rFonts w:ascii="Book Antiqua" w:hAnsi="Book Antiqua" w:cs="宋体"/>
          <w:sz w:val="24"/>
          <w:szCs w:val="24"/>
          <w:lang w:eastAsia="zh-CN"/>
        </w:rPr>
        <w:t> 2002; </w:t>
      </w:r>
      <w:r w:rsidRPr="00324BBD">
        <w:rPr>
          <w:rFonts w:ascii="Book Antiqua" w:hAnsi="Book Antiqua" w:cs="宋体"/>
          <w:b/>
          <w:bCs/>
          <w:sz w:val="24"/>
          <w:szCs w:val="24"/>
          <w:lang w:eastAsia="zh-CN"/>
        </w:rPr>
        <w:t>35</w:t>
      </w:r>
      <w:r w:rsidRPr="00324BBD">
        <w:rPr>
          <w:rFonts w:ascii="Book Antiqua" w:hAnsi="Book Antiqua" w:cs="宋体"/>
          <w:sz w:val="24"/>
          <w:szCs w:val="24"/>
          <w:lang w:eastAsia="zh-CN"/>
        </w:rPr>
        <w:t>: 1237-1246 [PMID: 11981774 DOI: 10.1053/jhep.2002.32968]</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28 </w:t>
      </w:r>
      <w:r w:rsidRPr="00324BBD">
        <w:rPr>
          <w:rFonts w:ascii="Book Antiqua" w:hAnsi="Book Antiqua" w:cs="宋体"/>
          <w:b/>
          <w:bCs/>
          <w:sz w:val="24"/>
          <w:szCs w:val="24"/>
          <w:lang w:eastAsia="zh-CN"/>
        </w:rPr>
        <w:t>Paracha UZ</w:t>
      </w:r>
      <w:r w:rsidRPr="00324BBD">
        <w:rPr>
          <w:rFonts w:ascii="Book Antiqua" w:hAnsi="Book Antiqua" w:cs="宋体"/>
          <w:sz w:val="24"/>
          <w:szCs w:val="24"/>
          <w:lang w:eastAsia="zh-CN"/>
        </w:rPr>
        <w:t>, Fatima K, Alqahtani M, Chaudhary A, Abuzenadah A, Damanhouri G, Qadri I. Oxidative stress and hepatitis C virus. </w:t>
      </w:r>
      <w:r w:rsidRPr="00324BBD">
        <w:rPr>
          <w:rFonts w:ascii="Book Antiqua" w:hAnsi="Book Antiqua" w:cs="宋体"/>
          <w:i/>
          <w:iCs/>
          <w:sz w:val="24"/>
          <w:szCs w:val="24"/>
          <w:lang w:eastAsia="zh-CN"/>
        </w:rPr>
        <w:t>Virol J</w:t>
      </w:r>
      <w:r w:rsidRPr="00324BBD">
        <w:rPr>
          <w:rFonts w:ascii="Book Antiqua" w:hAnsi="Book Antiqua" w:cs="宋体"/>
          <w:sz w:val="24"/>
          <w:szCs w:val="24"/>
          <w:lang w:eastAsia="zh-CN"/>
        </w:rPr>
        <w:t> 2013; </w:t>
      </w:r>
      <w:r w:rsidRPr="00324BBD">
        <w:rPr>
          <w:rFonts w:ascii="Book Antiqua" w:hAnsi="Book Antiqua" w:cs="宋体"/>
          <w:b/>
          <w:bCs/>
          <w:sz w:val="24"/>
          <w:szCs w:val="24"/>
          <w:lang w:eastAsia="zh-CN"/>
        </w:rPr>
        <w:t>10</w:t>
      </w:r>
      <w:r w:rsidRPr="00324BBD">
        <w:rPr>
          <w:rFonts w:ascii="Book Antiqua" w:hAnsi="Book Antiqua" w:cs="宋体"/>
          <w:sz w:val="24"/>
          <w:szCs w:val="24"/>
          <w:lang w:eastAsia="zh-CN"/>
        </w:rPr>
        <w:t>: 251 [PMID: 23923986 DOI: 10.1186/1743-422X-10-251]</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29 </w:t>
      </w:r>
      <w:r w:rsidRPr="00324BBD">
        <w:rPr>
          <w:rFonts w:ascii="Book Antiqua" w:hAnsi="Book Antiqua" w:cs="宋体"/>
          <w:b/>
          <w:bCs/>
          <w:sz w:val="24"/>
          <w:szCs w:val="24"/>
          <w:lang w:eastAsia="zh-CN"/>
        </w:rPr>
        <w:t>Li N</w:t>
      </w:r>
      <w:r w:rsidRPr="00324BBD">
        <w:rPr>
          <w:rFonts w:ascii="Book Antiqua" w:hAnsi="Book Antiqua" w:cs="宋体"/>
          <w:sz w:val="24"/>
          <w:szCs w:val="24"/>
          <w:lang w:eastAsia="zh-CN"/>
        </w:rPr>
        <w:t>, Karin M. Is NF-kappaB the sensor of oxidative stress? </w:t>
      </w:r>
      <w:r w:rsidRPr="00324BBD">
        <w:rPr>
          <w:rFonts w:ascii="Book Antiqua" w:hAnsi="Book Antiqua" w:cs="宋体"/>
          <w:i/>
          <w:iCs/>
          <w:sz w:val="24"/>
          <w:szCs w:val="24"/>
          <w:lang w:eastAsia="zh-CN"/>
        </w:rPr>
        <w:t>FASEB J</w:t>
      </w:r>
      <w:r w:rsidRPr="00324BBD">
        <w:rPr>
          <w:rFonts w:ascii="Book Antiqua" w:hAnsi="Book Antiqua" w:cs="宋体"/>
          <w:sz w:val="24"/>
          <w:szCs w:val="24"/>
          <w:lang w:eastAsia="zh-CN"/>
        </w:rPr>
        <w:t> 1999; </w:t>
      </w:r>
      <w:r w:rsidRPr="00324BBD">
        <w:rPr>
          <w:rFonts w:ascii="Book Antiqua" w:hAnsi="Book Antiqua" w:cs="宋体"/>
          <w:b/>
          <w:bCs/>
          <w:sz w:val="24"/>
          <w:szCs w:val="24"/>
          <w:lang w:eastAsia="zh-CN"/>
        </w:rPr>
        <w:t>13</w:t>
      </w:r>
      <w:r w:rsidRPr="00324BBD">
        <w:rPr>
          <w:rFonts w:ascii="Book Antiqua" w:hAnsi="Book Antiqua" w:cs="宋体"/>
          <w:sz w:val="24"/>
          <w:szCs w:val="24"/>
          <w:lang w:eastAsia="zh-CN"/>
        </w:rPr>
        <w:t>: 1137-1143 [PMID: 10385605]</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 xml:space="preserve">30 </w:t>
      </w:r>
      <w:r w:rsidRPr="00B50F60">
        <w:rPr>
          <w:rFonts w:ascii="Book Antiqua" w:hAnsi="Book Antiqua" w:cs="宋体"/>
          <w:b/>
          <w:sz w:val="24"/>
          <w:szCs w:val="24"/>
          <w:lang w:eastAsia="zh-CN"/>
        </w:rPr>
        <w:t>Svinka J</w:t>
      </w:r>
      <w:r w:rsidRPr="00324BBD">
        <w:rPr>
          <w:rFonts w:ascii="Book Antiqua" w:hAnsi="Book Antiqua" w:cs="宋体"/>
          <w:sz w:val="24"/>
          <w:szCs w:val="24"/>
          <w:lang w:eastAsia="zh-CN"/>
        </w:rPr>
        <w:t>, Mikulits W, Eferl R. STAT3 in hepatocellular carcinoma: n</w:t>
      </w:r>
      <w:r w:rsidR="00B50F60">
        <w:rPr>
          <w:rFonts w:ascii="Book Antiqua" w:hAnsi="Book Antiqua" w:cs="宋体"/>
          <w:sz w:val="24"/>
          <w:szCs w:val="24"/>
          <w:lang w:eastAsia="zh-CN"/>
        </w:rPr>
        <w:t xml:space="preserve">ew perspectives. </w:t>
      </w:r>
      <w:r w:rsidR="00B50F60" w:rsidRPr="00B50F60">
        <w:rPr>
          <w:rFonts w:ascii="Book Antiqua" w:hAnsi="Book Antiqua" w:cs="宋体"/>
          <w:i/>
          <w:sz w:val="24"/>
          <w:szCs w:val="24"/>
          <w:lang w:eastAsia="zh-CN"/>
        </w:rPr>
        <w:t>Hepatic Oncol</w:t>
      </w:r>
      <w:r w:rsidR="00B50F60">
        <w:rPr>
          <w:rFonts w:ascii="Book Antiqua" w:hAnsi="Book Antiqua" w:cs="宋体" w:hint="eastAsia"/>
          <w:sz w:val="24"/>
          <w:szCs w:val="24"/>
          <w:lang w:eastAsia="zh-CN"/>
        </w:rPr>
        <w:t xml:space="preserve"> </w:t>
      </w:r>
      <w:r w:rsidR="00B50F60">
        <w:rPr>
          <w:rFonts w:ascii="Book Antiqua" w:hAnsi="Book Antiqua" w:cs="宋体"/>
          <w:sz w:val="24"/>
          <w:szCs w:val="24"/>
          <w:lang w:eastAsia="zh-CN"/>
        </w:rPr>
        <w:t xml:space="preserve">2013; </w:t>
      </w:r>
      <w:r w:rsidR="00B50F60" w:rsidRPr="00B50F60">
        <w:rPr>
          <w:rFonts w:ascii="Book Antiqua" w:hAnsi="Book Antiqua" w:cs="宋体"/>
          <w:b/>
          <w:sz w:val="24"/>
          <w:szCs w:val="24"/>
          <w:lang w:eastAsia="zh-CN"/>
        </w:rPr>
        <w:t>1</w:t>
      </w:r>
      <w:r w:rsidRPr="00324BBD">
        <w:rPr>
          <w:rFonts w:ascii="Book Antiqua" w:hAnsi="Book Antiqua" w:cs="宋体"/>
          <w:sz w:val="24"/>
          <w:szCs w:val="24"/>
          <w:lang w:eastAsia="zh-CN"/>
        </w:rPr>
        <w:t>: 107–120 [doi: 10.2217/hep.13.7]</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31 </w:t>
      </w:r>
      <w:r w:rsidRPr="00324BBD">
        <w:rPr>
          <w:rFonts w:ascii="Book Antiqua" w:hAnsi="Book Antiqua" w:cs="宋体"/>
          <w:b/>
          <w:bCs/>
          <w:sz w:val="24"/>
          <w:szCs w:val="24"/>
          <w:lang w:eastAsia="zh-CN"/>
        </w:rPr>
        <w:t>Karin M</w:t>
      </w:r>
      <w:r w:rsidRPr="00324BBD">
        <w:rPr>
          <w:rFonts w:ascii="Book Antiqua" w:hAnsi="Book Antiqua" w:cs="宋体"/>
          <w:sz w:val="24"/>
          <w:szCs w:val="24"/>
          <w:lang w:eastAsia="zh-CN"/>
        </w:rPr>
        <w:t>. NF-kappaB and cancer: mechanisms and targets. </w:t>
      </w:r>
      <w:r w:rsidRPr="00324BBD">
        <w:rPr>
          <w:rFonts w:ascii="Book Antiqua" w:hAnsi="Book Antiqua" w:cs="宋体"/>
          <w:i/>
          <w:iCs/>
          <w:sz w:val="24"/>
          <w:szCs w:val="24"/>
          <w:lang w:eastAsia="zh-CN"/>
        </w:rPr>
        <w:t>Mol Carcinog</w:t>
      </w:r>
      <w:r w:rsidRPr="00324BBD">
        <w:rPr>
          <w:rFonts w:ascii="Book Antiqua" w:hAnsi="Book Antiqua" w:cs="宋体"/>
          <w:sz w:val="24"/>
          <w:szCs w:val="24"/>
          <w:lang w:eastAsia="zh-CN"/>
        </w:rPr>
        <w:t> 2006; </w:t>
      </w:r>
      <w:r w:rsidRPr="00324BBD">
        <w:rPr>
          <w:rFonts w:ascii="Book Antiqua" w:hAnsi="Book Antiqua" w:cs="宋体"/>
          <w:b/>
          <w:bCs/>
          <w:sz w:val="24"/>
          <w:szCs w:val="24"/>
          <w:lang w:eastAsia="zh-CN"/>
        </w:rPr>
        <w:t>45</w:t>
      </w:r>
      <w:r w:rsidRPr="00324BBD">
        <w:rPr>
          <w:rFonts w:ascii="Book Antiqua" w:hAnsi="Book Antiqua" w:cs="宋体"/>
          <w:sz w:val="24"/>
          <w:szCs w:val="24"/>
          <w:lang w:eastAsia="zh-CN"/>
        </w:rPr>
        <w:t>: 355-361 [PMID: 16673382 DOI: 10.1002/mc.20217]</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32 </w:t>
      </w:r>
      <w:r w:rsidRPr="00324BBD">
        <w:rPr>
          <w:rFonts w:ascii="Book Antiqua" w:hAnsi="Book Antiqua" w:cs="宋体"/>
          <w:b/>
          <w:bCs/>
          <w:sz w:val="24"/>
          <w:szCs w:val="24"/>
          <w:lang w:eastAsia="zh-CN"/>
        </w:rPr>
        <w:t>Melhem A</w:t>
      </w:r>
      <w:r w:rsidRPr="00324BBD">
        <w:rPr>
          <w:rFonts w:ascii="Book Antiqua" w:hAnsi="Book Antiqua" w:cs="宋体"/>
          <w:sz w:val="24"/>
          <w:szCs w:val="24"/>
          <w:lang w:eastAsia="zh-CN"/>
        </w:rPr>
        <w:t>, Stern M, Shibolet O, Israeli E, Ackerman Z, Pappo O, Hemed N, Rowe M, Ohana H, Zabrecky G, Cohen R, Ilan Y. Treatment of chronic hepatitis C virus infection via antioxidants: results of a phase I clinical trial. </w:t>
      </w:r>
      <w:r w:rsidRPr="00324BBD">
        <w:rPr>
          <w:rFonts w:ascii="Book Antiqua" w:hAnsi="Book Antiqua" w:cs="宋体"/>
          <w:i/>
          <w:iCs/>
          <w:sz w:val="24"/>
          <w:szCs w:val="24"/>
          <w:lang w:eastAsia="zh-CN"/>
        </w:rPr>
        <w:t>J Clin Gastroenterol</w:t>
      </w:r>
      <w:r w:rsidRPr="00324BBD">
        <w:rPr>
          <w:rFonts w:ascii="Book Antiqua" w:hAnsi="Book Antiqua" w:cs="宋体"/>
          <w:sz w:val="24"/>
          <w:szCs w:val="24"/>
          <w:lang w:eastAsia="zh-CN"/>
        </w:rPr>
        <w:t> 2005; </w:t>
      </w:r>
      <w:r w:rsidRPr="00324BBD">
        <w:rPr>
          <w:rFonts w:ascii="Book Antiqua" w:hAnsi="Book Antiqua" w:cs="宋体"/>
          <w:b/>
          <w:bCs/>
          <w:sz w:val="24"/>
          <w:szCs w:val="24"/>
          <w:lang w:eastAsia="zh-CN"/>
        </w:rPr>
        <w:t>39</w:t>
      </w:r>
      <w:r w:rsidRPr="00324BBD">
        <w:rPr>
          <w:rFonts w:ascii="Book Antiqua" w:hAnsi="Book Antiqua" w:cs="宋体"/>
          <w:sz w:val="24"/>
          <w:szCs w:val="24"/>
          <w:lang w:eastAsia="zh-CN"/>
        </w:rPr>
        <w:t>: 737-742 [PMID: 16082287 DOI: 10.1097/01.mcg.0000174023.73472.29]</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33 </w:t>
      </w:r>
      <w:r w:rsidRPr="00324BBD">
        <w:rPr>
          <w:rFonts w:ascii="Book Antiqua" w:hAnsi="Book Antiqua" w:cs="宋体"/>
          <w:b/>
          <w:bCs/>
          <w:sz w:val="24"/>
          <w:szCs w:val="24"/>
          <w:lang w:eastAsia="zh-CN"/>
        </w:rPr>
        <w:t>Wen F</w:t>
      </w:r>
      <w:r w:rsidRPr="00324BBD">
        <w:rPr>
          <w:rFonts w:ascii="Book Antiqua" w:hAnsi="Book Antiqua" w:cs="宋体"/>
          <w:sz w:val="24"/>
          <w:szCs w:val="24"/>
          <w:lang w:eastAsia="zh-CN"/>
        </w:rPr>
        <w:t>, Brown KE, Britigan BE, Schmidt WN. Hepatitis C core protein inhibits induction of heme oxygenase-1 and sensitizes hepatocytes to cytotoxicity. </w:t>
      </w:r>
      <w:r w:rsidRPr="00324BBD">
        <w:rPr>
          <w:rFonts w:ascii="Book Antiqua" w:hAnsi="Book Antiqua" w:cs="宋体"/>
          <w:i/>
          <w:iCs/>
          <w:sz w:val="24"/>
          <w:szCs w:val="24"/>
          <w:lang w:eastAsia="zh-CN"/>
        </w:rPr>
        <w:t>Cell Biol Toxicol</w:t>
      </w:r>
      <w:r w:rsidRPr="00324BBD">
        <w:rPr>
          <w:rFonts w:ascii="Book Antiqua" w:hAnsi="Book Antiqua" w:cs="宋体"/>
          <w:sz w:val="24"/>
          <w:szCs w:val="24"/>
          <w:lang w:eastAsia="zh-CN"/>
        </w:rPr>
        <w:t> 2008; </w:t>
      </w:r>
      <w:r w:rsidRPr="00324BBD">
        <w:rPr>
          <w:rFonts w:ascii="Book Antiqua" w:hAnsi="Book Antiqua" w:cs="宋体"/>
          <w:b/>
          <w:bCs/>
          <w:sz w:val="24"/>
          <w:szCs w:val="24"/>
          <w:lang w:eastAsia="zh-CN"/>
        </w:rPr>
        <w:t>24</w:t>
      </w:r>
      <w:r w:rsidRPr="00324BBD">
        <w:rPr>
          <w:rFonts w:ascii="Book Antiqua" w:hAnsi="Book Antiqua" w:cs="宋体"/>
          <w:sz w:val="24"/>
          <w:szCs w:val="24"/>
          <w:lang w:eastAsia="zh-CN"/>
        </w:rPr>
        <w:t>: 175-188 [PMID: 17721824 DOI: 10.1007/s10565-007-9027-9]</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34 </w:t>
      </w:r>
      <w:r w:rsidRPr="00324BBD">
        <w:rPr>
          <w:rFonts w:ascii="Book Antiqua" w:hAnsi="Book Antiqua" w:cs="宋体"/>
          <w:b/>
          <w:bCs/>
          <w:sz w:val="24"/>
          <w:szCs w:val="24"/>
          <w:lang w:eastAsia="zh-CN"/>
        </w:rPr>
        <w:t>Schmidt WN</w:t>
      </w:r>
      <w:r w:rsidRPr="00324BBD">
        <w:rPr>
          <w:rFonts w:ascii="Book Antiqua" w:hAnsi="Book Antiqua" w:cs="宋体"/>
          <w:sz w:val="24"/>
          <w:szCs w:val="24"/>
          <w:lang w:eastAsia="zh-CN"/>
        </w:rPr>
        <w:t>, Mathahs MM, Zhu Z. Heme and HO-1 Inhibition of HCV, HBV, and HIV. </w:t>
      </w:r>
      <w:r w:rsidRPr="00324BBD">
        <w:rPr>
          <w:rFonts w:ascii="Book Antiqua" w:hAnsi="Book Antiqua" w:cs="宋体"/>
          <w:i/>
          <w:iCs/>
          <w:sz w:val="24"/>
          <w:szCs w:val="24"/>
          <w:lang w:eastAsia="zh-CN"/>
        </w:rPr>
        <w:t>Front Pharmacol</w:t>
      </w:r>
      <w:r w:rsidRPr="00324BBD">
        <w:rPr>
          <w:rFonts w:ascii="Book Antiqua" w:hAnsi="Book Antiqua" w:cs="宋体"/>
          <w:sz w:val="24"/>
          <w:szCs w:val="24"/>
          <w:lang w:eastAsia="zh-CN"/>
        </w:rPr>
        <w:t> 2012; </w:t>
      </w:r>
      <w:r w:rsidRPr="00324BBD">
        <w:rPr>
          <w:rFonts w:ascii="Book Antiqua" w:hAnsi="Book Antiqua" w:cs="宋体"/>
          <w:b/>
          <w:bCs/>
          <w:sz w:val="24"/>
          <w:szCs w:val="24"/>
          <w:lang w:eastAsia="zh-CN"/>
        </w:rPr>
        <w:t>3</w:t>
      </w:r>
      <w:r w:rsidRPr="00324BBD">
        <w:rPr>
          <w:rFonts w:ascii="Book Antiqua" w:hAnsi="Book Antiqua" w:cs="宋体"/>
          <w:sz w:val="24"/>
          <w:szCs w:val="24"/>
          <w:lang w:eastAsia="zh-CN"/>
        </w:rPr>
        <w:t>: 129 [PMID: 23060790 DOI: 10.3389/fphar.2012.00129]</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35 </w:t>
      </w:r>
      <w:r w:rsidRPr="00324BBD">
        <w:rPr>
          <w:rFonts w:ascii="Book Antiqua" w:hAnsi="Book Antiqua" w:cs="宋体"/>
          <w:b/>
          <w:bCs/>
          <w:sz w:val="24"/>
          <w:szCs w:val="24"/>
          <w:lang w:eastAsia="zh-CN"/>
        </w:rPr>
        <w:t>Zhu Z</w:t>
      </w:r>
      <w:r w:rsidRPr="00324BBD">
        <w:rPr>
          <w:rFonts w:ascii="Book Antiqua" w:hAnsi="Book Antiqua" w:cs="宋体"/>
          <w:sz w:val="24"/>
          <w:szCs w:val="24"/>
          <w:lang w:eastAsia="zh-CN"/>
        </w:rPr>
        <w:t>, Wilson AT, Mathahs MM, Wen F, Brown KE, Luxon BA, Schmidt WN. Heme oxygenase-1 suppresses hepatitis C virus replication and increases resistance of hepatocytes to oxidant injury. </w:t>
      </w:r>
      <w:r w:rsidRPr="00324BBD">
        <w:rPr>
          <w:rFonts w:ascii="Book Antiqua" w:hAnsi="Book Antiqua" w:cs="宋体"/>
          <w:i/>
          <w:iCs/>
          <w:sz w:val="24"/>
          <w:szCs w:val="24"/>
          <w:lang w:eastAsia="zh-CN"/>
        </w:rPr>
        <w:t>Hepatology</w:t>
      </w:r>
      <w:r w:rsidRPr="00324BBD">
        <w:rPr>
          <w:rFonts w:ascii="Book Antiqua" w:hAnsi="Book Antiqua" w:cs="宋体"/>
          <w:sz w:val="24"/>
          <w:szCs w:val="24"/>
          <w:lang w:eastAsia="zh-CN"/>
        </w:rPr>
        <w:t> 2008; </w:t>
      </w:r>
      <w:r w:rsidRPr="00324BBD">
        <w:rPr>
          <w:rFonts w:ascii="Book Antiqua" w:hAnsi="Book Antiqua" w:cs="宋体"/>
          <w:b/>
          <w:bCs/>
          <w:sz w:val="24"/>
          <w:szCs w:val="24"/>
          <w:lang w:eastAsia="zh-CN"/>
        </w:rPr>
        <w:t>48</w:t>
      </w:r>
      <w:r w:rsidRPr="00324BBD">
        <w:rPr>
          <w:rFonts w:ascii="Book Antiqua" w:hAnsi="Book Antiqua" w:cs="宋体"/>
          <w:sz w:val="24"/>
          <w:szCs w:val="24"/>
          <w:lang w:eastAsia="zh-CN"/>
        </w:rPr>
        <w:t>: 1430-1439 [PMID: 18972446 DOI: 10.1002/hep.22491]</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36 </w:t>
      </w:r>
      <w:r w:rsidRPr="00324BBD">
        <w:rPr>
          <w:rFonts w:ascii="Book Antiqua" w:hAnsi="Book Antiqua" w:cs="宋体"/>
          <w:b/>
          <w:bCs/>
          <w:sz w:val="24"/>
          <w:szCs w:val="24"/>
          <w:lang w:eastAsia="zh-CN"/>
        </w:rPr>
        <w:t>Shan Y</w:t>
      </w:r>
      <w:r w:rsidRPr="00324BBD">
        <w:rPr>
          <w:rFonts w:ascii="Book Antiqua" w:hAnsi="Book Antiqua" w:cs="宋体"/>
          <w:sz w:val="24"/>
          <w:szCs w:val="24"/>
          <w:lang w:eastAsia="zh-CN"/>
        </w:rPr>
        <w:t xml:space="preserve">, Zheng J, Lambrecht RW, Bonkovsky HL. Reciprocal effects of micro-RNA-122 on expression of heme oxygenase-1 and hepatitis C virus genes in human </w:t>
      </w:r>
      <w:r w:rsidRPr="00324BBD">
        <w:rPr>
          <w:rFonts w:ascii="Book Antiqua" w:hAnsi="Book Antiqua" w:cs="宋体"/>
          <w:sz w:val="24"/>
          <w:szCs w:val="24"/>
          <w:lang w:eastAsia="zh-CN"/>
        </w:rPr>
        <w:lastRenderedPageBreak/>
        <w:t>hepatocytes. </w:t>
      </w:r>
      <w:r w:rsidRPr="00324BBD">
        <w:rPr>
          <w:rFonts w:ascii="Book Antiqua" w:hAnsi="Book Antiqua" w:cs="宋体"/>
          <w:i/>
          <w:iCs/>
          <w:sz w:val="24"/>
          <w:szCs w:val="24"/>
          <w:lang w:eastAsia="zh-CN"/>
        </w:rPr>
        <w:t>Gastroenterology</w:t>
      </w:r>
      <w:r w:rsidRPr="00324BBD">
        <w:rPr>
          <w:rFonts w:ascii="Book Antiqua" w:hAnsi="Book Antiqua" w:cs="宋体"/>
          <w:sz w:val="24"/>
          <w:szCs w:val="24"/>
          <w:lang w:eastAsia="zh-CN"/>
        </w:rPr>
        <w:t> 2007; </w:t>
      </w:r>
      <w:r w:rsidRPr="00324BBD">
        <w:rPr>
          <w:rFonts w:ascii="Book Antiqua" w:hAnsi="Book Antiqua" w:cs="宋体"/>
          <w:b/>
          <w:bCs/>
          <w:sz w:val="24"/>
          <w:szCs w:val="24"/>
          <w:lang w:eastAsia="zh-CN"/>
        </w:rPr>
        <w:t>133</w:t>
      </w:r>
      <w:r w:rsidRPr="00324BBD">
        <w:rPr>
          <w:rFonts w:ascii="Book Antiqua" w:hAnsi="Book Antiqua" w:cs="宋体"/>
          <w:sz w:val="24"/>
          <w:szCs w:val="24"/>
          <w:lang w:eastAsia="zh-CN"/>
        </w:rPr>
        <w:t>: 1166-1174 [PMID: 17919492 DOI: 10.1053/j.gastro.2007.08.002]</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37 </w:t>
      </w:r>
      <w:r w:rsidRPr="00324BBD">
        <w:rPr>
          <w:rFonts w:ascii="Book Antiqua" w:hAnsi="Book Antiqua" w:cs="宋体"/>
          <w:b/>
          <w:bCs/>
          <w:sz w:val="24"/>
          <w:szCs w:val="24"/>
          <w:lang w:eastAsia="zh-CN"/>
        </w:rPr>
        <w:t>Hou W</w:t>
      </w:r>
      <w:r w:rsidRPr="00324BBD">
        <w:rPr>
          <w:rFonts w:ascii="Book Antiqua" w:hAnsi="Book Antiqua" w:cs="宋体"/>
          <w:sz w:val="24"/>
          <w:szCs w:val="24"/>
          <w:lang w:eastAsia="zh-CN"/>
        </w:rPr>
        <w:t>, Tian Q, Zheng J, Bonkovsky HL. MicroRNA-196 represses Bach1 protein and hepatitis C virus gene expression in human hepatoma cells expressing hepatitis C viral proteins. </w:t>
      </w:r>
      <w:r w:rsidRPr="00324BBD">
        <w:rPr>
          <w:rFonts w:ascii="Book Antiqua" w:hAnsi="Book Antiqua" w:cs="宋体"/>
          <w:i/>
          <w:iCs/>
          <w:sz w:val="24"/>
          <w:szCs w:val="24"/>
          <w:lang w:eastAsia="zh-CN"/>
        </w:rPr>
        <w:t>Hepatology</w:t>
      </w:r>
      <w:r w:rsidRPr="00324BBD">
        <w:rPr>
          <w:rFonts w:ascii="Book Antiqua" w:hAnsi="Book Antiqua" w:cs="宋体"/>
          <w:sz w:val="24"/>
          <w:szCs w:val="24"/>
          <w:lang w:eastAsia="zh-CN"/>
        </w:rPr>
        <w:t> 2010; </w:t>
      </w:r>
      <w:r w:rsidRPr="00324BBD">
        <w:rPr>
          <w:rFonts w:ascii="Book Antiqua" w:hAnsi="Book Antiqua" w:cs="宋体"/>
          <w:b/>
          <w:bCs/>
          <w:sz w:val="24"/>
          <w:szCs w:val="24"/>
          <w:lang w:eastAsia="zh-CN"/>
        </w:rPr>
        <w:t>51</w:t>
      </w:r>
      <w:r w:rsidRPr="00324BBD">
        <w:rPr>
          <w:rFonts w:ascii="Book Antiqua" w:hAnsi="Book Antiqua" w:cs="宋体"/>
          <w:sz w:val="24"/>
          <w:szCs w:val="24"/>
          <w:lang w:eastAsia="zh-CN"/>
        </w:rPr>
        <w:t>: 1494-1504 [PMID: 20127796 DOI: 10.1002/hep.23401]</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38 </w:t>
      </w:r>
      <w:r w:rsidRPr="00324BBD">
        <w:rPr>
          <w:rFonts w:ascii="Book Antiqua" w:hAnsi="Book Antiqua" w:cs="宋体"/>
          <w:b/>
          <w:bCs/>
          <w:sz w:val="24"/>
          <w:szCs w:val="24"/>
          <w:lang w:eastAsia="zh-CN"/>
        </w:rPr>
        <w:t>Chen WC</w:t>
      </w:r>
      <w:r w:rsidRPr="00324BBD">
        <w:rPr>
          <w:rFonts w:ascii="Book Antiqua" w:hAnsi="Book Antiqua" w:cs="宋体"/>
          <w:sz w:val="24"/>
          <w:szCs w:val="24"/>
          <w:lang w:eastAsia="zh-CN"/>
        </w:rPr>
        <w:t>, Wang SY, Chiu CC, Tseng CK, Lin CK, Wang HC, Lee JC. Lucidone suppresses hepatitis C virus replication by Nrf2-mediated heme oxygenase-1 induction. </w:t>
      </w:r>
      <w:r w:rsidRPr="00324BBD">
        <w:rPr>
          <w:rFonts w:ascii="Book Antiqua" w:hAnsi="Book Antiqua" w:cs="宋体"/>
          <w:i/>
          <w:iCs/>
          <w:sz w:val="24"/>
          <w:szCs w:val="24"/>
          <w:lang w:eastAsia="zh-CN"/>
        </w:rPr>
        <w:t>Antimicrob Agents Chemother</w:t>
      </w:r>
      <w:r w:rsidRPr="00324BBD">
        <w:rPr>
          <w:rFonts w:ascii="Book Antiqua" w:hAnsi="Book Antiqua" w:cs="宋体"/>
          <w:sz w:val="24"/>
          <w:szCs w:val="24"/>
          <w:lang w:eastAsia="zh-CN"/>
        </w:rPr>
        <w:t> 2013; </w:t>
      </w:r>
      <w:r w:rsidRPr="00324BBD">
        <w:rPr>
          <w:rFonts w:ascii="Book Antiqua" w:hAnsi="Book Antiqua" w:cs="宋体"/>
          <w:b/>
          <w:bCs/>
          <w:sz w:val="24"/>
          <w:szCs w:val="24"/>
          <w:lang w:eastAsia="zh-CN"/>
        </w:rPr>
        <w:t>57</w:t>
      </w:r>
      <w:r w:rsidRPr="00324BBD">
        <w:rPr>
          <w:rFonts w:ascii="Book Antiqua" w:hAnsi="Book Antiqua" w:cs="宋体"/>
          <w:sz w:val="24"/>
          <w:szCs w:val="24"/>
          <w:lang w:eastAsia="zh-CN"/>
        </w:rPr>
        <w:t>: 1180-1191 [PMID: 23254429 DOI: 10.1128/AAC.02053-12]</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39 </w:t>
      </w:r>
      <w:r w:rsidRPr="00324BBD">
        <w:rPr>
          <w:rFonts w:ascii="Book Antiqua" w:hAnsi="Book Antiqua" w:cs="宋体"/>
          <w:b/>
          <w:bCs/>
          <w:sz w:val="24"/>
          <w:szCs w:val="24"/>
          <w:lang w:eastAsia="zh-CN"/>
        </w:rPr>
        <w:t>Zhu Z</w:t>
      </w:r>
      <w:r w:rsidRPr="00324BBD">
        <w:rPr>
          <w:rFonts w:ascii="Book Antiqua" w:hAnsi="Book Antiqua" w:cs="宋体"/>
          <w:sz w:val="24"/>
          <w:szCs w:val="24"/>
          <w:lang w:eastAsia="zh-CN"/>
        </w:rPr>
        <w:t>, Wilson AT, Luxon BA, Brown KE, Mathahs MM, Bandyopadhyay S, McCaffrey AP, Schmidt WN. Biliverdin inhibits hepatitis C virus nonstructural 3/4A protease activity: mechanism for the antiviral effects of heme oxygenase? </w:t>
      </w:r>
      <w:r w:rsidRPr="00324BBD">
        <w:rPr>
          <w:rFonts w:ascii="Book Antiqua" w:hAnsi="Book Antiqua" w:cs="宋体"/>
          <w:i/>
          <w:iCs/>
          <w:sz w:val="24"/>
          <w:szCs w:val="24"/>
          <w:lang w:eastAsia="zh-CN"/>
        </w:rPr>
        <w:t>Hepatology</w:t>
      </w:r>
      <w:r w:rsidRPr="00324BBD">
        <w:rPr>
          <w:rFonts w:ascii="Book Antiqua" w:hAnsi="Book Antiqua" w:cs="宋体"/>
          <w:sz w:val="24"/>
          <w:szCs w:val="24"/>
          <w:lang w:eastAsia="zh-CN"/>
        </w:rPr>
        <w:t> 2010; </w:t>
      </w:r>
      <w:r w:rsidRPr="00324BBD">
        <w:rPr>
          <w:rFonts w:ascii="Book Antiqua" w:hAnsi="Book Antiqua" w:cs="宋体"/>
          <w:b/>
          <w:bCs/>
          <w:sz w:val="24"/>
          <w:szCs w:val="24"/>
          <w:lang w:eastAsia="zh-CN"/>
        </w:rPr>
        <w:t>52</w:t>
      </w:r>
      <w:r w:rsidRPr="00324BBD">
        <w:rPr>
          <w:rFonts w:ascii="Book Antiqua" w:hAnsi="Book Antiqua" w:cs="宋体"/>
          <w:sz w:val="24"/>
          <w:szCs w:val="24"/>
          <w:lang w:eastAsia="zh-CN"/>
        </w:rPr>
        <w:t>: 1897-1905 [PMID: 21105106 DOI: 10.1002/hep.23921]</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40 </w:t>
      </w:r>
      <w:r w:rsidRPr="00324BBD">
        <w:rPr>
          <w:rFonts w:ascii="Book Antiqua" w:hAnsi="Book Antiqua" w:cs="宋体"/>
          <w:b/>
          <w:bCs/>
          <w:sz w:val="24"/>
          <w:szCs w:val="24"/>
          <w:lang w:eastAsia="zh-CN"/>
        </w:rPr>
        <w:t>Sulkowski MS</w:t>
      </w:r>
      <w:r w:rsidRPr="00324BBD">
        <w:rPr>
          <w:rFonts w:ascii="Book Antiqua" w:hAnsi="Book Antiqua" w:cs="宋体"/>
          <w:sz w:val="24"/>
          <w:szCs w:val="24"/>
          <w:lang w:eastAsia="zh-CN"/>
        </w:rPr>
        <w:t>, Poordad F, Manns MP, Bronowicki JP, Rajender Reddy K, Harrison SA, Afdhal NH, Sings HL, Pedicone LD, Koury KJ, Sniukiene V, Burroughs MH, Albrecht JK, Brass CA, Jacobson IM. Anemia during treatment with peginterferon Alfa-2b/ribavirin and boceprevir: Analysis from the serine protease inhibitor therapy 2 (SPRINT-2) trial. </w:t>
      </w:r>
      <w:r w:rsidRPr="00324BBD">
        <w:rPr>
          <w:rFonts w:ascii="Book Antiqua" w:hAnsi="Book Antiqua" w:cs="宋体"/>
          <w:i/>
          <w:iCs/>
          <w:sz w:val="24"/>
          <w:szCs w:val="24"/>
          <w:lang w:eastAsia="zh-CN"/>
        </w:rPr>
        <w:t>Hepatology</w:t>
      </w:r>
      <w:r w:rsidRPr="00324BBD">
        <w:rPr>
          <w:rFonts w:ascii="Book Antiqua" w:hAnsi="Book Antiqua" w:cs="宋体"/>
          <w:sz w:val="24"/>
          <w:szCs w:val="24"/>
          <w:lang w:eastAsia="zh-CN"/>
        </w:rPr>
        <w:t> 2013; </w:t>
      </w:r>
      <w:r w:rsidRPr="00324BBD">
        <w:rPr>
          <w:rFonts w:ascii="Book Antiqua" w:hAnsi="Book Antiqua" w:cs="宋体"/>
          <w:b/>
          <w:bCs/>
          <w:sz w:val="24"/>
          <w:szCs w:val="24"/>
          <w:lang w:eastAsia="zh-CN"/>
        </w:rPr>
        <w:t>57</w:t>
      </w:r>
      <w:r w:rsidRPr="00324BBD">
        <w:rPr>
          <w:rFonts w:ascii="Book Antiqua" w:hAnsi="Book Antiqua" w:cs="宋体"/>
          <w:sz w:val="24"/>
          <w:szCs w:val="24"/>
          <w:lang w:eastAsia="zh-CN"/>
        </w:rPr>
        <w:t>: 974-984 [PMID: 23081753 DOI: 10.1002/hep.26096]</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41 </w:t>
      </w:r>
      <w:r w:rsidRPr="00324BBD">
        <w:rPr>
          <w:rFonts w:ascii="Book Antiqua" w:hAnsi="Book Antiqua" w:cs="宋体"/>
          <w:b/>
          <w:bCs/>
          <w:sz w:val="24"/>
          <w:szCs w:val="24"/>
          <w:lang w:eastAsia="zh-CN"/>
        </w:rPr>
        <w:t>Lindahl K</w:t>
      </w:r>
      <w:r w:rsidRPr="00324BBD">
        <w:rPr>
          <w:rFonts w:ascii="Book Antiqua" w:hAnsi="Book Antiqua" w:cs="宋体"/>
          <w:sz w:val="24"/>
          <w:szCs w:val="24"/>
          <w:lang w:eastAsia="zh-CN"/>
        </w:rPr>
        <w:t>, Stahle L, Bruchfeld A, Schvarcz R. High-dose ribavirin in combination with standard dose peginterferon for treatment of patients with chronic hepatitis C. </w:t>
      </w:r>
      <w:r w:rsidRPr="00324BBD">
        <w:rPr>
          <w:rFonts w:ascii="Book Antiqua" w:hAnsi="Book Antiqua" w:cs="宋体"/>
          <w:i/>
          <w:iCs/>
          <w:sz w:val="24"/>
          <w:szCs w:val="24"/>
          <w:lang w:eastAsia="zh-CN"/>
        </w:rPr>
        <w:t>Hepatology</w:t>
      </w:r>
      <w:r w:rsidRPr="00324BBD">
        <w:rPr>
          <w:rFonts w:ascii="Book Antiqua" w:hAnsi="Book Antiqua" w:cs="宋体"/>
          <w:sz w:val="24"/>
          <w:szCs w:val="24"/>
          <w:lang w:eastAsia="zh-CN"/>
        </w:rPr>
        <w:t> 2005; </w:t>
      </w:r>
      <w:r w:rsidRPr="00324BBD">
        <w:rPr>
          <w:rFonts w:ascii="Book Antiqua" w:hAnsi="Book Antiqua" w:cs="宋体"/>
          <w:b/>
          <w:bCs/>
          <w:sz w:val="24"/>
          <w:szCs w:val="24"/>
          <w:lang w:eastAsia="zh-CN"/>
        </w:rPr>
        <w:t>41</w:t>
      </w:r>
      <w:r w:rsidRPr="00324BBD">
        <w:rPr>
          <w:rFonts w:ascii="Book Antiqua" w:hAnsi="Book Antiqua" w:cs="宋体"/>
          <w:sz w:val="24"/>
          <w:szCs w:val="24"/>
          <w:lang w:eastAsia="zh-CN"/>
        </w:rPr>
        <w:t>: 275-279 [PMID: 15660393 DOI: 10.1002/hep.20563]</w:t>
      </w:r>
    </w:p>
    <w:p w:rsidR="00324BBD" w:rsidRPr="00324BBD"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42 </w:t>
      </w:r>
      <w:r w:rsidRPr="00324BBD">
        <w:rPr>
          <w:rFonts w:ascii="Book Antiqua" w:hAnsi="Book Antiqua" w:cs="宋体"/>
          <w:b/>
          <w:bCs/>
          <w:sz w:val="24"/>
          <w:szCs w:val="24"/>
          <w:lang w:eastAsia="zh-CN"/>
        </w:rPr>
        <w:t>Vafiadis I</w:t>
      </w:r>
      <w:r w:rsidRPr="00324BBD">
        <w:rPr>
          <w:rFonts w:ascii="Book Antiqua" w:hAnsi="Book Antiqua" w:cs="宋体"/>
          <w:sz w:val="24"/>
          <w:szCs w:val="24"/>
          <w:lang w:eastAsia="zh-CN"/>
        </w:rPr>
        <w:t>, Trilianos P, Vlachogiannakos J, Karagiorga M, Hatziliami A, Voskaridou E, Ladas SD. Efficacy and safety of interferon-based therapy in the treatment of adult thalassemic patients with chronic hepatitis C: a 12 years audit. </w:t>
      </w:r>
      <w:r w:rsidRPr="00324BBD">
        <w:rPr>
          <w:rFonts w:ascii="Book Antiqua" w:hAnsi="Book Antiqua" w:cs="宋体"/>
          <w:i/>
          <w:iCs/>
          <w:sz w:val="24"/>
          <w:szCs w:val="24"/>
          <w:lang w:eastAsia="zh-CN"/>
        </w:rPr>
        <w:t>Ann Hepatol</w:t>
      </w:r>
      <w:r w:rsidRPr="00324BBD">
        <w:rPr>
          <w:rFonts w:ascii="Book Antiqua" w:hAnsi="Book Antiqua" w:cs="宋体"/>
          <w:sz w:val="24"/>
          <w:szCs w:val="24"/>
          <w:lang w:eastAsia="zh-CN"/>
        </w:rPr>
        <w:t> </w:t>
      </w:r>
      <w:r>
        <w:rPr>
          <w:rFonts w:ascii="Book Antiqua" w:hAnsi="Book Antiqua" w:cs="宋体" w:hint="eastAsia"/>
          <w:sz w:val="24"/>
          <w:szCs w:val="24"/>
          <w:lang w:eastAsia="zh-CN"/>
        </w:rPr>
        <w:t>2013</w:t>
      </w:r>
      <w:r w:rsidRPr="00324BBD">
        <w:rPr>
          <w:rFonts w:ascii="Book Antiqua" w:hAnsi="Book Antiqua" w:cs="宋体"/>
          <w:sz w:val="24"/>
          <w:szCs w:val="24"/>
          <w:lang w:eastAsia="zh-CN"/>
        </w:rPr>
        <w:t>; </w:t>
      </w:r>
      <w:r w:rsidRPr="00324BBD">
        <w:rPr>
          <w:rFonts w:ascii="Book Antiqua" w:hAnsi="Book Antiqua" w:cs="宋体"/>
          <w:b/>
          <w:bCs/>
          <w:sz w:val="24"/>
          <w:szCs w:val="24"/>
          <w:lang w:eastAsia="zh-CN"/>
        </w:rPr>
        <w:t>12</w:t>
      </w:r>
      <w:r w:rsidRPr="00324BBD">
        <w:rPr>
          <w:rFonts w:ascii="Book Antiqua" w:hAnsi="Book Antiqua" w:cs="宋体"/>
          <w:sz w:val="24"/>
          <w:szCs w:val="24"/>
          <w:lang w:eastAsia="zh-CN"/>
        </w:rPr>
        <w:t>: 532-538 [PMID: 23813130]</w:t>
      </w:r>
    </w:p>
    <w:p w:rsidR="00324BBD" w:rsidRPr="000D69BE" w:rsidRDefault="00324BBD" w:rsidP="00324BBD">
      <w:pPr>
        <w:rPr>
          <w:rFonts w:ascii="Book Antiqua" w:hAnsi="Book Antiqua" w:cs="宋体"/>
          <w:sz w:val="24"/>
          <w:szCs w:val="24"/>
          <w:lang w:eastAsia="zh-CN"/>
        </w:rPr>
      </w:pPr>
      <w:r w:rsidRPr="00324BBD">
        <w:rPr>
          <w:rFonts w:ascii="Book Antiqua" w:hAnsi="Book Antiqua" w:cs="宋体"/>
          <w:sz w:val="24"/>
          <w:szCs w:val="24"/>
          <w:lang w:eastAsia="zh-CN"/>
        </w:rPr>
        <w:t>43 </w:t>
      </w:r>
      <w:r w:rsidRPr="00324BBD">
        <w:rPr>
          <w:rFonts w:ascii="Book Antiqua" w:hAnsi="Book Antiqua" w:cs="宋体"/>
          <w:b/>
          <w:bCs/>
          <w:sz w:val="24"/>
          <w:szCs w:val="24"/>
          <w:lang w:eastAsia="zh-CN"/>
        </w:rPr>
        <w:t>Benhamou Y</w:t>
      </w:r>
      <w:r w:rsidRPr="00324BBD">
        <w:rPr>
          <w:rFonts w:ascii="Book Antiqua" w:hAnsi="Book Antiqua" w:cs="宋体"/>
          <w:sz w:val="24"/>
          <w:szCs w:val="24"/>
          <w:lang w:eastAsia="zh-CN"/>
        </w:rPr>
        <w:t>, Afdhal NH, Nelson DR, Shiffman ML, Halliman DG, Heise J, Chun E, Pockros PJ. A phase III study of the safety and efficacy of viramidine versus ribavirin in treatment-naïve patients with chronic hepatitis C: ViSER1 results. </w:t>
      </w:r>
      <w:r w:rsidRPr="00324BBD">
        <w:rPr>
          <w:rFonts w:ascii="Book Antiqua" w:hAnsi="Book Antiqua" w:cs="宋体"/>
          <w:i/>
          <w:iCs/>
          <w:sz w:val="24"/>
          <w:szCs w:val="24"/>
          <w:lang w:eastAsia="zh-CN"/>
        </w:rPr>
        <w:t>Hepatology</w:t>
      </w:r>
      <w:r w:rsidRPr="00324BBD">
        <w:rPr>
          <w:rFonts w:ascii="Book Antiqua" w:hAnsi="Book Antiqua" w:cs="宋体"/>
          <w:sz w:val="24"/>
          <w:szCs w:val="24"/>
          <w:lang w:eastAsia="zh-CN"/>
        </w:rPr>
        <w:t> 2009; </w:t>
      </w:r>
      <w:r w:rsidRPr="00324BBD">
        <w:rPr>
          <w:rFonts w:ascii="Book Antiqua" w:hAnsi="Book Antiqua" w:cs="宋体"/>
          <w:b/>
          <w:bCs/>
          <w:sz w:val="24"/>
          <w:szCs w:val="24"/>
          <w:lang w:eastAsia="zh-CN"/>
        </w:rPr>
        <w:t>50</w:t>
      </w:r>
      <w:r w:rsidRPr="00324BBD">
        <w:rPr>
          <w:rFonts w:ascii="Book Antiqua" w:hAnsi="Book Antiqua" w:cs="宋体"/>
          <w:sz w:val="24"/>
          <w:szCs w:val="24"/>
          <w:lang w:eastAsia="zh-CN"/>
        </w:rPr>
        <w:t xml:space="preserve">: </w:t>
      </w:r>
      <w:r w:rsidRPr="000D69BE">
        <w:rPr>
          <w:rFonts w:ascii="Book Antiqua" w:hAnsi="Book Antiqua" w:cs="宋体"/>
          <w:sz w:val="24"/>
          <w:szCs w:val="24"/>
          <w:lang w:eastAsia="zh-CN"/>
        </w:rPr>
        <w:t>717-726 [PMID: 19585653 DOI: 10.1002/hep.23073]</w:t>
      </w:r>
    </w:p>
    <w:p w:rsidR="00324BBD" w:rsidRPr="000D69BE" w:rsidRDefault="00324BBD" w:rsidP="00324BBD">
      <w:pPr>
        <w:rPr>
          <w:rFonts w:ascii="Book Antiqua" w:hAnsi="Book Antiqua" w:cs="宋体"/>
          <w:sz w:val="24"/>
          <w:szCs w:val="24"/>
          <w:lang w:eastAsia="zh-CN"/>
        </w:rPr>
      </w:pPr>
      <w:r w:rsidRPr="000D69BE">
        <w:rPr>
          <w:rFonts w:ascii="Book Antiqua" w:hAnsi="Book Antiqua" w:cs="宋体"/>
          <w:sz w:val="24"/>
          <w:szCs w:val="24"/>
          <w:lang w:eastAsia="zh-CN"/>
        </w:rPr>
        <w:t>44 </w:t>
      </w:r>
      <w:r w:rsidRPr="000D69BE">
        <w:rPr>
          <w:rFonts w:ascii="Book Antiqua" w:hAnsi="Book Antiqua" w:cs="宋体"/>
          <w:b/>
          <w:bCs/>
          <w:sz w:val="24"/>
          <w:szCs w:val="24"/>
          <w:lang w:eastAsia="zh-CN"/>
        </w:rPr>
        <w:t>Shields WW</w:t>
      </w:r>
      <w:r w:rsidRPr="000D69BE">
        <w:rPr>
          <w:rFonts w:ascii="Book Antiqua" w:hAnsi="Book Antiqua" w:cs="宋体"/>
          <w:sz w:val="24"/>
          <w:szCs w:val="24"/>
          <w:lang w:eastAsia="zh-CN"/>
        </w:rPr>
        <w:t>, Pockros PJ. Ribavirin analogs. </w:t>
      </w:r>
      <w:r w:rsidRPr="000D69BE">
        <w:rPr>
          <w:rFonts w:ascii="Book Antiqua" w:hAnsi="Book Antiqua" w:cs="宋体"/>
          <w:i/>
          <w:iCs/>
          <w:sz w:val="24"/>
          <w:szCs w:val="24"/>
          <w:lang w:eastAsia="zh-CN"/>
        </w:rPr>
        <w:t>Clin Liver Dis</w:t>
      </w:r>
      <w:r w:rsidRPr="000D69BE">
        <w:rPr>
          <w:rFonts w:ascii="Book Antiqua" w:hAnsi="Book Antiqua" w:cs="宋体"/>
          <w:sz w:val="24"/>
          <w:szCs w:val="24"/>
          <w:lang w:eastAsia="zh-CN"/>
        </w:rPr>
        <w:t> 2009; </w:t>
      </w:r>
      <w:r w:rsidRPr="000D69BE">
        <w:rPr>
          <w:rFonts w:ascii="Book Antiqua" w:hAnsi="Book Antiqua" w:cs="宋体"/>
          <w:b/>
          <w:bCs/>
          <w:sz w:val="24"/>
          <w:szCs w:val="24"/>
          <w:lang w:eastAsia="zh-CN"/>
        </w:rPr>
        <w:t>13</w:t>
      </w:r>
      <w:r w:rsidRPr="000D69BE">
        <w:rPr>
          <w:rFonts w:ascii="Book Antiqua" w:hAnsi="Book Antiqua" w:cs="宋体"/>
          <w:sz w:val="24"/>
          <w:szCs w:val="24"/>
          <w:lang w:eastAsia="zh-CN"/>
        </w:rPr>
        <w:t>: 419-427 [PMID: 19628158 DOI: 10.1016/j.cld.2009.05.006]</w:t>
      </w:r>
    </w:p>
    <w:p w:rsidR="00324BBD" w:rsidRPr="000D69BE" w:rsidRDefault="00324BBD" w:rsidP="00324BBD">
      <w:pPr>
        <w:rPr>
          <w:rFonts w:ascii="Book Antiqua" w:hAnsi="Book Antiqua" w:cs="宋体"/>
          <w:sz w:val="24"/>
          <w:szCs w:val="24"/>
          <w:lang w:eastAsia="zh-CN"/>
        </w:rPr>
      </w:pPr>
      <w:r w:rsidRPr="000D69BE">
        <w:rPr>
          <w:rFonts w:ascii="Book Antiqua" w:hAnsi="Book Antiqua" w:cs="宋体"/>
          <w:sz w:val="24"/>
          <w:szCs w:val="24"/>
          <w:lang w:eastAsia="zh-CN"/>
        </w:rPr>
        <w:t xml:space="preserve">45 </w:t>
      </w:r>
      <w:r w:rsidR="000D69BE" w:rsidRPr="000D69BE">
        <w:rPr>
          <w:rStyle w:val="apple-converted-space"/>
          <w:rFonts w:ascii="Book Antiqua" w:hAnsi="Book Antiqua"/>
          <w:color w:val="000000"/>
          <w:sz w:val="24"/>
          <w:szCs w:val="24"/>
        </w:rPr>
        <w:t> </w:t>
      </w:r>
      <w:r w:rsidR="000D69BE" w:rsidRPr="000D69BE">
        <w:rPr>
          <w:rFonts w:ascii="Book Antiqua" w:hAnsi="Book Antiqua"/>
          <w:b/>
          <w:bCs/>
          <w:color w:val="000000"/>
          <w:sz w:val="24"/>
          <w:szCs w:val="24"/>
        </w:rPr>
        <w:t>Ochi H</w:t>
      </w:r>
      <w:r w:rsidR="000D69BE" w:rsidRPr="000D69BE">
        <w:rPr>
          <w:rFonts w:ascii="Book Antiqua" w:hAnsi="Book Antiqua"/>
          <w:color w:val="000000"/>
          <w:sz w:val="24"/>
          <w:szCs w:val="24"/>
        </w:rPr>
        <w:t>, Maekawa T, Abe H, Hayashida Y, Nakano R, Kubo M, Tsunoda T, Hayes CN, Kumada H, Nakamura Y, Chayama K. ITPA polymorphism affects ribavirin-induced anemia and outcomes of therapy--a genome-wide study of Japanese HCV virus patients.</w:t>
      </w:r>
      <w:r w:rsidR="000D69BE" w:rsidRPr="000D69BE">
        <w:rPr>
          <w:rStyle w:val="apple-converted-space"/>
          <w:rFonts w:ascii="Book Antiqua" w:hAnsi="Book Antiqua"/>
          <w:color w:val="000000"/>
          <w:sz w:val="24"/>
          <w:szCs w:val="24"/>
        </w:rPr>
        <w:t> </w:t>
      </w:r>
      <w:r w:rsidR="000D69BE" w:rsidRPr="000D69BE">
        <w:rPr>
          <w:rFonts w:ascii="Book Antiqua" w:hAnsi="Book Antiqua"/>
          <w:i/>
          <w:iCs/>
          <w:color w:val="000000"/>
          <w:sz w:val="24"/>
          <w:szCs w:val="24"/>
        </w:rPr>
        <w:t>Gastroenterology</w:t>
      </w:r>
      <w:r w:rsidR="000D69BE" w:rsidRPr="000D69BE">
        <w:rPr>
          <w:rStyle w:val="apple-converted-space"/>
          <w:rFonts w:ascii="Book Antiqua" w:hAnsi="Book Antiqua"/>
          <w:color w:val="000000"/>
          <w:sz w:val="24"/>
          <w:szCs w:val="24"/>
        </w:rPr>
        <w:t> </w:t>
      </w:r>
      <w:r w:rsidR="000D69BE" w:rsidRPr="000D69BE">
        <w:rPr>
          <w:rFonts w:ascii="Book Antiqua" w:hAnsi="Book Antiqua"/>
          <w:color w:val="000000"/>
          <w:sz w:val="24"/>
          <w:szCs w:val="24"/>
        </w:rPr>
        <w:t>2010;</w:t>
      </w:r>
      <w:r w:rsidR="000D69BE" w:rsidRPr="000D69BE">
        <w:rPr>
          <w:rStyle w:val="apple-converted-space"/>
          <w:rFonts w:ascii="Book Antiqua" w:hAnsi="Book Antiqua"/>
          <w:color w:val="000000"/>
          <w:sz w:val="24"/>
          <w:szCs w:val="24"/>
        </w:rPr>
        <w:t> </w:t>
      </w:r>
      <w:r w:rsidR="000D69BE" w:rsidRPr="000D69BE">
        <w:rPr>
          <w:rFonts w:ascii="Book Antiqua" w:hAnsi="Book Antiqua"/>
          <w:b/>
          <w:bCs/>
          <w:color w:val="000000"/>
          <w:sz w:val="24"/>
          <w:szCs w:val="24"/>
        </w:rPr>
        <w:t>139</w:t>
      </w:r>
      <w:r w:rsidR="000D69BE" w:rsidRPr="000D69BE">
        <w:rPr>
          <w:rFonts w:ascii="Book Antiqua" w:hAnsi="Book Antiqua"/>
          <w:color w:val="000000"/>
          <w:sz w:val="24"/>
          <w:szCs w:val="24"/>
        </w:rPr>
        <w:t>: 1190-1197 [PMID: 20637204 DOI: 10.1053/j.gastro.2010.06.071]</w:t>
      </w:r>
    </w:p>
    <w:p w:rsidR="00C33202" w:rsidRPr="00324BBD" w:rsidRDefault="00C33202" w:rsidP="008759E1">
      <w:pPr>
        <w:tabs>
          <w:tab w:val="left" w:pos="450"/>
        </w:tabs>
        <w:snapToGrid w:val="0"/>
        <w:spacing w:line="360" w:lineRule="auto"/>
        <w:ind w:left="450" w:hanging="450"/>
        <w:jc w:val="both"/>
        <w:rPr>
          <w:rFonts w:ascii="Book Antiqua" w:hAnsi="Book Antiqua"/>
          <w:b/>
          <w:sz w:val="24"/>
          <w:szCs w:val="24"/>
          <w:lang w:eastAsia="zh-CN"/>
        </w:rPr>
      </w:pPr>
    </w:p>
    <w:p w:rsidR="000D69BE" w:rsidRPr="00C56046" w:rsidRDefault="000D69BE" w:rsidP="000D69BE">
      <w:pPr>
        <w:tabs>
          <w:tab w:val="left" w:pos="180"/>
          <w:tab w:val="left" w:pos="360"/>
        </w:tabs>
        <w:adjustRightInd w:val="0"/>
        <w:snapToGrid w:val="0"/>
        <w:spacing w:line="360" w:lineRule="auto"/>
        <w:jc w:val="right"/>
        <w:rPr>
          <w:rFonts w:ascii="Book Antiqua" w:hAnsi="Book Antiqua" w:cs="Tahoma"/>
          <w:b/>
          <w:color w:val="000000"/>
          <w:sz w:val="24"/>
        </w:rPr>
      </w:pPr>
      <w:bookmarkStart w:id="225" w:name="OLE_LINK874"/>
      <w:bookmarkStart w:id="226" w:name="OLE_LINK875"/>
      <w:bookmarkStart w:id="227" w:name="OLE_LINK347"/>
      <w:bookmarkStart w:id="228" w:name="OLE_LINK384"/>
      <w:bookmarkStart w:id="229" w:name="OLE_LINK557"/>
      <w:bookmarkStart w:id="230" w:name="OLE_LINK558"/>
      <w:bookmarkStart w:id="231" w:name="OLE_LINK631"/>
      <w:bookmarkStart w:id="232" w:name="OLE_LINK632"/>
      <w:bookmarkStart w:id="233" w:name="OLE_LINK386"/>
      <w:bookmarkStart w:id="234" w:name="OLE_LINK431"/>
      <w:bookmarkStart w:id="235" w:name="OLE_LINK564"/>
      <w:bookmarkStart w:id="236" w:name="OLE_LINK493"/>
      <w:bookmarkStart w:id="237" w:name="OLE_LINK442"/>
      <w:bookmarkStart w:id="238" w:name="OLE_LINK551"/>
      <w:bookmarkStart w:id="239" w:name="OLE_LINK668"/>
      <w:bookmarkStart w:id="240" w:name="OLE_LINK669"/>
      <w:bookmarkStart w:id="241" w:name="OLE_LINK725"/>
      <w:bookmarkStart w:id="242" w:name="OLE_LINK489"/>
      <w:bookmarkStart w:id="243" w:name="OLE_LINK602"/>
      <w:bookmarkStart w:id="244" w:name="OLE_LINK658"/>
      <w:bookmarkStart w:id="245" w:name="OLE_LINK747"/>
      <w:bookmarkStart w:id="246" w:name="OLE_LINK897"/>
      <w:bookmarkStart w:id="247" w:name="OLE_LINK1138"/>
      <w:bookmarkStart w:id="248" w:name="OLE_LINK1139"/>
      <w:bookmarkStart w:id="249" w:name="OLE_LINK882"/>
      <w:bookmarkStart w:id="250" w:name="OLE_LINK1095"/>
      <w:bookmarkStart w:id="251" w:name="OLE_LINK1305"/>
      <w:bookmarkStart w:id="252" w:name="OLE_LINK1390"/>
      <w:bookmarkStart w:id="253" w:name="OLE_LINK964"/>
      <w:bookmarkStart w:id="254" w:name="OLE_LINK1190"/>
      <w:bookmarkStart w:id="255" w:name="OLE_LINK1314"/>
      <w:bookmarkStart w:id="256" w:name="OLE_LINK1031"/>
      <w:bookmarkStart w:id="257" w:name="OLE_LINK1092"/>
      <w:bookmarkStart w:id="258" w:name="OLE_LINK1258"/>
      <w:bookmarkStart w:id="259" w:name="OLE_LINK1259"/>
      <w:bookmarkStart w:id="260" w:name="OLE_LINK1337"/>
      <w:bookmarkStart w:id="261" w:name="OLE_LINK1338"/>
      <w:bookmarkStart w:id="262" w:name="OLE_LINK1363"/>
      <w:bookmarkStart w:id="263" w:name="OLE_LINK1364"/>
      <w:bookmarkStart w:id="264" w:name="OLE_LINK86"/>
      <w:bookmarkStart w:id="265" w:name="OLE_LINK1595"/>
      <w:bookmarkStart w:id="266" w:name="OLE_LINK1613"/>
      <w:bookmarkStart w:id="267" w:name="OLE_LINK1708"/>
      <w:bookmarkStart w:id="268" w:name="OLE_LINK1774"/>
      <w:bookmarkStart w:id="269" w:name="OLE_LINK1872"/>
      <w:bookmarkStart w:id="270" w:name="OLE_LINK1899"/>
      <w:bookmarkStart w:id="271" w:name="OLE_LINK1492"/>
      <w:bookmarkStart w:id="272" w:name="OLE_LINK1497"/>
      <w:bookmarkStart w:id="273" w:name="OLE_LINK1498"/>
      <w:bookmarkStart w:id="274" w:name="OLE_LINK1589"/>
      <w:bookmarkStart w:id="275" w:name="OLE_LINK1666"/>
      <w:bookmarkStart w:id="276" w:name="OLE_LINK1752"/>
      <w:bookmarkStart w:id="277" w:name="OLE_LINK1616"/>
      <w:bookmarkStart w:id="278" w:name="OLE_LINK1696"/>
      <w:bookmarkStart w:id="279" w:name="OLE_LINK1855"/>
      <w:bookmarkStart w:id="280" w:name="OLE_LINK1942"/>
      <w:bookmarkStart w:id="281" w:name="OLE_LINK1943"/>
      <w:bookmarkStart w:id="282" w:name="OLE_LINK1573"/>
      <w:bookmarkStart w:id="283" w:name="OLE_LINK1574"/>
      <w:bookmarkStart w:id="284" w:name="OLE_LINK1575"/>
      <w:bookmarkStart w:id="285" w:name="OLE_LINK1739"/>
      <w:bookmarkStart w:id="286" w:name="OLE_LINK1761"/>
      <w:bookmarkStart w:id="287" w:name="OLE_LINK1743"/>
      <w:bookmarkStart w:id="288" w:name="OLE_LINK1841"/>
      <w:bookmarkStart w:id="289" w:name="OLE_LINK1858"/>
      <w:bookmarkStart w:id="290" w:name="OLE_LINK1890"/>
      <w:bookmarkStart w:id="291" w:name="OLE_LINK1915"/>
      <w:bookmarkStart w:id="292" w:name="OLE_LINK1980"/>
      <w:bookmarkStart w:id="293" w:name="OLE_LINK1883"/>
      <w:bookmarkStart w:id="294" w:name="OLE_LINK1935"/>
      <w:bookmarkStart w:id="295" w:name="OLE_LINK1936"/>
      <w:bookmarkStart w:id="296" w:name="OLE_LINK1952"/>
      <w:bookmarkStart w:id="297" w:name="OLE_LINK1953"/>
      <w:bookmarkStart w:id="298" w:name="OLE_LINK1999"/>
      <w:bookmarkStart w:id="299" w:name="OLE_LINK2050"/>
      <w:bookmarkStart w:id="300" w:name="OLE_LINK1862"/>
      <w:bookmarkStart w:id="301" w:name="OLE_LINK1963"/>
      <w:bookmarkStart w:id="302" w:name="OLE_LINK2052"/>
      <w:bookmarkStart w:id="303" w:name="OLE_LINK1906"/>
      <w:bookmarkStart w:id="304" w:name="OLE_LINK2031"/>
      <w:bookmarkStart w:id="305" w:name="OLE_LINK2032"/>
      <w:bookmarkStart w:id="306" w:name="OLE_LINK1907"/>
      <w:bookmarkStart w:id="307" w:name="OLE_LINK2004"/>
      <w:bookmarkStart w:id="308" w:name="OLE_LINK2238"/>
      <w:bookmarkStart w:id="309" w:name="OLE_LINK2239"/>
      <w:bookmarkStart w:id="310" w:name="OLE_LINK2163"/>
      <w:bookmarkStart w:id="311" w:name="OLE_LINK2207"/>
      <w:bookmarkStart w:id="312" w:name="OLE_LINK2341"/>
      <w:bookmarkStart w:id="313" w:name="OLE_LINK2417"/>
      <w:bookmarkStart w:id="314" w:name="OLE_LINK2509"/>
      <w:bookmarkStart w:id="315" w:name="OLE_LINK2510"/>
      <w:bookmarkStart w:id="316" w:name="OLE_LINK2511"/>
      <w:bookmarkStart w:id="317" w:name="OLE_LINK2512"/>
      <w:bookmarkStart w:id="318" w:name="OLE_LINK2513"/>
      <w:bookmarkStart w:id="319" w:name="OLE_LINK2514"/>
      <w:bookmarkStart w:id="320" w:name="OLE_LINK2515"/>
      <w:bookmarkStart w:id="321" w:name="OLE_LINK2516"/>
      <w:bookmarkStart w:id="322" w:name="OLE_LINK2517"/>
      <w:bookmarkStart w:id="323" w:name="OLE_LINK2518"/>
      <w:bookmarkStart w:id="324" w:name="OLE_LINK2519"/>
      <w:bookmarkStart w:id="325" w:name="OLE_LINK2520"/>
      <w:bookmarkStart w:id="326" w:name="OLE_LINK2521"/>
      <w:bookmarkStart w:id="327" w:name="OLE_LINK2522"/>
      <w:bookmarkStart w:id="328" w:name="OLE_LINK2523"/>
      <w:bookmarkStart w:id="329" w:name="OLE_LINK2524"/>
      <w:bookmarkStart w:id="330" w:name="OLE_LINK2051"/>
      <w:bookmarkStart w:id="331" w:name="OLE_LINK2109"/>
      <w:bookmarkStart w:id="332" w:name="OLE_LINK2165"/>
      <w:bookmarkStart w:id="333" w:name="OLE_LINK2385"/>
      <w:bookmarkStart w:id="334" w:name="OLE_LINK2593"/>
      <w:bookmarkStart w:id="335" w:name="OLE_LINK2332"/>
      <w:bookmarkStart w:id="336" w:name="OLE_LINK2448"/>
      <w:bookmarkStart w:id="337" w:name="OLE_LINK2525"/>
      <w:bookmarkStart w:id="338" w:name="OLE_LINK2506"/>
      <w:bookmarkStart w:id="339" w:name="OLE_LINK2507"/>
      <w:bookmarkStart w:id="340" w:name="OLE_LINK2291"/>
      <w:bookmarkStart w:id="341" w:name="OLE_LINK2294"/>
      <w:bookmarkStart w:id="342" w:name="OLE_LINK2298"/>
      <w:bookmarkStart w:id="343" w:name="OLE_LINK2300"/>
      <w:bookmarkStart w:id="344" w:name="OLE_LINK2301"/>
      <w:bookmarkStart w:id="345" w:name="OLE_LINK2546"/>
      <w:bookmarkStart w:id="346" w:name="OLE_LINK2756"/>
      <w:bookmarkStart w:id="347" w:name="OLE_LINK2757"/>
      <w:bookmarkStart w:id="348" w:name="OLE_LINK2736"/>
      <w:bookmarkStart w:id="349" w:name="OLE_LINK2923"/>
      <w:bookmarkStart w:id="350" w:name="OLE_LINK2974"/>
      <w:bookmarkStart w:id="351" w:name="OLE_LINK3125"/>
      <w:bookmarkStart w:id="352" w:name="OLE_LINK3218"/>
      <w:bookmarkStart w:id="353" w:name="OLE_LINK2575"/>
      <w:bookmarkStart w:id="354" w:name="OLE_LINK2687"/>
      <w:bookmarkStart w:id="355" w:name="OLE_LINK2688"/>
      <w:bookmarkStart w:id="356" w:name="OLE_LINK2700"/>
      <w:bookmarkStart w:id="357" w:name="OLE_LINK2576"/>
      <w:bookmarkStart w:id="358" w:name="OLE_LINK2674"/>
      <w:bookmarkStart w:id="359" w:name="OLE_LINK2738"/>
      <w:bookmarkStart w:id="360" w:name="OLE_LINK2983"/>
      <w:bookmarkStart w:id="361" w:name="OLE_LINK76"/>
      <w:bookmarkStart w:id="362" w:name="OLE_LINK115"/>
      <w:bookmarkStart w:id="363" w:name="OLE_LINK155"/>
      <w:r w:rsidRPr="00C56046">
        <w:rPr>
          <w:rFonts w:ascii="Book Antiqua" w:hAnsi="Book Antiqua" w:cs="Tahoma"/>
          <w:b/>
          <w:color w:val="000000"/>
          <w:sz w:val="24"/>
        </w:rPr>
        <w:t>P-Reviewer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005E4A89" w:rsidRPr="005E4A89">
        <w:rPr>
          <w:rFonts w:ascii="Book Antiqua" w:hAnsi="Book Antiqua" w:cs="Tahoma"/>
          <w:color w:val="000000"/>
          <w:sz w:val="24"/>
        </w:rPr>
        <w:t>Aghakhani A, Baran B, Gelderblom HC, Hou WH, Zhang SJ</w:t>
      </w:r>
      <w:r w:rsidR="005E4A89">
        <w:rPr>
          <w:rFonts w:ascii="Book Antiqua" w:hAnsi="Book Antiqua" w:cs="Tahoma" w:hint="eastAsia"/>
          <w:b/>
          <w:color w:val="000000"/>
          <w:sz w:val="24"/>
          <w:lang w:eastAsia="zh-CN"/>
        </w:rPr>
        <w:t xml:space="preserve"> </w:t>
      </w:r>
      <w:r w:rsidRPr="00C56046">
        <w:rPr>
          <w:rFonts w:ascii="Book Antiqua" w:hAnsi="Book Antiqua" w:cs="Tahoma"/>
          <w:b/>
          <w:color w:val="000000"/>
          <w:sz w:val="24"/>
        </w:rPr>
        <w:t>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225"/>
      <w:bookmarkEnd w:id="226"/>
      <w:r w:rsidRPr="00C56046">
        <w:rPr>
          <w:rFonts w:ascii="Book Antiqua" w:hAnsi="Book Antiqua" w:cs="Tahoma"/>
          <w:b/>
          <w:color w:val="000000"/>
          <w:sz w:val="24"/>
        </w:rPr>
        <w:t>r</w:t>
      </w:r>
      <w:r>
        <w:rPr>
          <w:rFonts w:ascii="Book Antiqua" w:hAnsi="Book Antiqua" w:cs="Tahoma" w:hint="eastAsia"/>
          <w:b/>
          <w:color w:val="000000"/>
          <w:sz w:val="24"/>
        </w:rPr>
        <w:t>:</w:t>
      </w:r>
    </w:p>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rsidR="00C33202" w:rsidRPr="000D69BE" w:rsidRDefault="00C33202" w:rsidP="008759E1">
      <w:pPr>
        <w:tabs>
          <w:tab w:val="left" w:pos="450"/>
        </w:tabs>
        <w:snapToGrid w:val="0"/>
        <w:spacing w:line="360" w:lineRule="auto"/>
        <w:ind w:left="450" w:hanging="450"/>
        <w:jc w:val="both"/>
        <w:rPr>
          <w:rFonts w:ascii="Book Antiqua" w:hAnsi="Book Antiqua"/>
          <w:b/>
          <w:sz w:val="24"/>
          <w:szCs w:val="24"/>
          <w:lang w:eastAsia="zh-CN"/>
        </w:rPr>
      </w:pPr>
    </w:p>
    <w:p w:rsidR="00C33202" w:rsidRPr="00324BBD" w:rsidRDefault="00C33202" w:rsidP="005E4A89">
      <w:pPr>
        <w:tabs>
          <w:tab w:val="left" w:pos="450"/>
        </w:tabs>
        <w:snapToGrid w:val="0"/>
        <w:spacing w:line="360" w:lineRule="auto"/>
        <w:jc w:val="both"/>
        <w:rPr>
          <w:rFonts w:ascii="Book Antiqua" w:hAnsi="Book Antiqua"/>
          <w:b/>
          <w:sz w:val="24"/>
          <w:szCs w:val="24"/>
          <w:lang w:eastAsia="zh-CN"/>
        </w:rPr>
      </w:pPr>
    </w:p>
    <w:p w:rsidR="00C33202" w:rsidRPr="00324BBD" w:rsidRDefault="00C33202" w:rsidP="008759E1">
      <w:pPr>
        <w:tabs>
          <w:tab w:val="left" w:pos="450"/>
        </w:tabs>
        <w:snapToGrid w:val="0"/>
        <w:spacing w:line="360" w:lineRule="auto"/>
        <w:ind w:left="450" w:hanging="450"/>
        <w:jc w:val="both"/>
        <w:rPr>
          <w:rFonts w:ascii="Book Antiqua" w:hAnsi="Book Antiqua"/>
          <w:b/>
          <w:sz w:val="24"/>
          <w:szCs w:val="24"/>
          <w:lang w:eastAsia="zh-CN"/>
        </w:rPr>
      </w:pPr>
    </w:p>
    <w:p w:rsidR="00F77DA0" w:rsidRPr="00324BBD" w:rsidRDefault="00707D8D" w:rsidP="008759E1">
      <w:pPr>
        <w:tabs>
          <w:tab w:val="left" w:pos="450"/>
        </w:tabs>
        <w:snapToGrid w:val="0"/>
        <w:spacing w:line="360" w:lineRule="auto"/>
        <w:ind w:left="450" w:hanging="450"/>
        <w:jc w:val="both"/>
        <w:rPr>
          <w:rFonts w:ascii="Book Antiqua" w:hAnsi="Book Antiqua"/>
          <w:sz w:val="24"/>
          <w:szCs w:val="24"/>
        </w:rPr>
      </w:pPr>
      <w:r w:rsidRPr="00707D8D">
        <w:rPr>
          <w:rFonts w:ascii="Book Antiqua" w:hAnsi="Book Antiqua"/>
          <w:sz w:val="24"/>
          <w:szCs w:val="24"/>
        </w:rPr>
        <w:object w:dxaOrig="7181"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3pt;height:269.65pt" o:ole="">
            <v:imagedata r:id="rId9" o:title=""/>
          </v:shape>
          <o:OLEObject Type="Embed" ProgID="PowerPoint.Slide.12" ShapeID="_x0000_i1025" DrawAspect="Content" ObjectID="_1467682296" r:id="rId10"/>
        </w:object>
      </w:r>
    </w:p>
    <w:p w:rsidR="00F77DA0" w:rsidRPr="00324BBD" w:rsidRDefault="00F77DA0" w:rsidP="008759E1">
      <w:pPr>
        <w:tabs>
          <w:tab w:val="left" w:pos="450"/>
        </w:tabs>
        <w:snapToGrid w:val="0"/>
        <w:spacing w:line="360" w:lineRule="auto"/>
        <w:ind w:left="450" w:hanging="450"/>
        <w:jc w:val="both"/>
        <w:rPr>
          <w:rFonts w:ascii="Book Antiqua" w:hAnsi="Book Antiqua"/>
          <w:sz w:val="24"/>
          <w:szCs w:val="24"/>
        </w:rPr>
      </w:pPr>
    </w:p>
    <w:p w:rsidR="00F77DA0" w:rsidRPr="00324BBD" w:rsidRDefault="00F77DA0" w:rsidP="008759E1">
      <w:pPr>
        <w:pStyle w:val="aa"/>
        <w:snapToGrid w:val="0"/>
        <w:spacing w:before="0" w:beforeAutospacing="0" w:after="0" w:afterAutospacing="0" w:line="360" w:lineRule="auto"/>
        <w:jc w:val="both"/>
        <w:rPr>
          <w:rFonts w:ascii="Book Antiqua" w:eastAsia="宋体" w:hAnsi="Book Antiqua"/>
          <w:lang w:eastAsia="zh-CN"/>
        </w:rPr>
      </w:pPr>
      <w:r w:rsidRPr="00324BBD">
        <w:rPr>
          <w:rFonts w:ascii="Book Antiqua" w:hAnsi="Book Antiqua" w:cstheme="minorBidi"/>
          <w:b/>
          <w:bCs/>
          <w:color w:val="000000" w:themeColor="text1"/>
          <w:kern w:val="24"/>
        </w:rPr>
        <w:t>Fig</w:t>
      </w:r>
      <w:r w:rsidR="00C33202" w:rsidRPr="00324BBD">
        <w:rPr>
          <w:rFonts w:ascii="Book Antiqua" w:hAnsi="Book Antiqua" w:cstheme="minorBidi"/>
          <w:b/>
          <w:bCs/>
          <w:color w:val="000000" w:themeColor="text1"/>
          <w:kern w:val="24"/>
        </w:rPr>
        <w:t>ure 1</w:t>
      </w:r>
      <w:r w:rsidR="00C33202" w:rsidRPr="00324BBD">
        <w:rPr>
          <w:rFonts w:ascii="Book Antiqua" w:eastAsia="宋体" w:hAnsi="Book Antiqua" w:cstheme="minorBidi"/>
          <w:b/>
          <w:bCs/>
          <w:color w:val="000000" w:themeColor="text1"/>
          <w:kern w:val="24"/>
          <w:lang w:eastAsia="zh-CN"/>
        </w:rPr>
        <w:t xml:space="preserve"> </w:t>
      </w:r>
      <w:r w:rsidR="00004B5A" w:rsidRPr="00324BBD">
        <w:rPr>
          <w:rFonts w:ascii="Book Antiqua" w:hAnsi="Book Antiqua" w:cstheme="minorBidi"/>
          <w:b/>
          <w:bCs/>
          <w:color w:val="000000" w:themeColor="text1"/>
          <w:kern w:val="24"/>
        </w:rPr>
        <w:t xml:space="preserve">Opposing </w:t>
      </w:r>
      <w:r w:rsidRPr="00324BBD">
        <w:rPr>
          <w:rFonts w:ascii="Book Antiqua" w:hAnsi="Book Antiqua" w:cstheme="minorBidi"/>
          <w:b/>
          <w:bCs/>
          <w:color w:val="000000" w:themeColor="text1"/>
          <w:kern w:val="24"/>
        </w:rPr>
        <w:t xml:space="preserve">actions of ribavirin and </w:t>
      </w:r>
      <w:r w:rsidR="00AA6205" w:rsidRPr="00324BBD">
        <w:rPr>
          <w:rFonts w:ascii="Book Antiqua" w:hAnsi="Book Antiqua" w:cstheme="minorBidi"/>
          <w:b/>
          <w:color w:val="000000" w:themeColor="text1"/>
          <w:kern w:val="24"/>
        </w:rPr>
        <w:t>hepatitis C virus</w:t>
      </w:r>
      <w:r w:rsidR="00AA6205" w:rsidRPr="00324BBD">
        <w:rPr>
          <w:rFonts w:ascii="Book Antiqua" w:hAnsi="Book Antiqua" w:cstheme="minorBidi"/>
          <w:color w:val="000000" w:themeColor="text1"/>
          <w:kern w:val="24"/>
        </w:rPr>
        <w:t xml:space="preserve"> </w:t>
      </w:r>
      <w:r w:rsidRPr="00324BBD">
        <w:rPr>
          <w:rFonts w:ascii="Book Antiqua" w:hAnsi="Book Antiqua" w:cstheme="minorBidi"/>
          <w:b/>
          <w:bCs/>
          <w:color w:val="000000" w:themeColor="text1"/>
          <w:kern w:val="24"/>
        </w:rPr>
        <w:t xml:space="preserve">on cellular </w:t>
      </w:r>
      <w:r w:rsidR="00AA6205" w:rsidRPr="00324BBD">
        <w:rPr>
          <w:rFonts w:ascii="Book Antiqua" w:hAnsi="Book Antiqua" w:cstheme="minorBidi"/>
          <w:b/>
          <w:color w:val="000000" w:themeColor="text1"/>
          <w:kern w:val="24"/>
        </w:rPr>
        <w:t>heme oxygenase</w:t>
      </w:r>
      <w:r w:rsidR="00AA6205" w:rsidRPr="00324BBD">
        <w:rPr>
          <w:rFonts w:ascii="Book Antiqua" w:eastAsia="宋体" w:hAnsi="Book Antiqua" w:cstheme="minorBidi"/>
          <w:b/>
          <w:color w:val="000000" w:themeColor="text1"/>
          <w:kern w:val="24"/>
          <w:lang w:eastAsia="zh-CN"/>
        </w:rPr>
        <w:t>-</w:t>
      </w:r>
      <w:r w:rsidR="00AA6205" w:rsidRPr="00324BBD">
        <w:rPr>
          <w:rFonts w:ascii="Book Antiqua" w:hAnsi="Book Antiqua" w:cstheme="minorBidi"/>
          <w:b/>
          <w:color w:val="000000" w:themeColor="text1"/>
          <w:kern w:val="24"/>
        </w:rPr>
        <w:t>1</w:t>
      </w:r>
      <w:r w:rsidRPr="00324BBD">
        <w:rPr>
          <w:rFonts w:ascii="Book Antiqua" w:hAnsi="Book Antiqua" w:cstheme="minorBidi"/>
          <w:b/>
          <w:bCs/>
          <w:color w:val="000000" w:themeColor="text1"/>
          <w:kern w:val="24"/>
        </w:rPr>
        <w:t xml:space="preserve"> concentration. </w:t>
      </w:r>
      <w:r w:rsidRPr="00324BBD">
        <w:rPr>
          <w:rFonts w:ascii="Book Antiqua" w:hAnsi="Book Antiqua" w:cstheme="minorBidi"/>
          <w:color w:val="000000" w:themeColor="text1"/>
          <w:kern w:val="24"/>
        </w:rPr>
        <w:t>Ribavirin</w:t>
      </w:r>
      <w:r w:rsidR="004015A3" w:rsidRPr="00324BBD">
        <w:rPr>
          <w:rFonts w:ascii="Book Antiqua" w:eastAsia="宋体" w:hAnsi="Book Antiqua" w:cstheme="minorBidi"/>
          <w:color w:val="000000" w:themeColor="text1"/>
          <w:kern w:val="24"/>
          <w:lang w:eastAsia="zh-CN"/>
        </w:rPr>
        <w:t xml:space="preserve"> (</w:t>
      </w:r>
      <w:r w:rsidR="004015A3" w:rsidRPr="00324BBD">
        <w:rPr>
          <w:rFonts w:ascii="Book Antiqua" w:hAnsi="Book Antiqua" w:cstheme="minorBidi"/>
          <w:color w:val="000000" w:themeColor="text1"/>
          <w:kern w:val="24"/>
        </w:rPr>
        <w:t>RBV</w:t>
      </w:r>
      <w:r w:rsidR="004015A3" w:rsidRPr="00324BBD">
        <w:rPr>
          <w:rFonts w:ascii="Book Antiqua" w:eastAsia="宋体" w:hAnsi="Book Antiqua" w:cstheme="minorBidi"/>
          <w:color w:val="000000" w:themeColor="text1"/>
          <w:kern w:val="24"/>
          <w:lang w:eastAsia="zh-CN"/>
        </w:rPr>
        <w:t>)</w:t>
      </w:r>
      <w:r w:rsidRPr="00324BBD">
        <w:rPr>
          <w:rFonts w:ascii="Book Antiqua" w:hAnsi="Book Antiqua" w:cstheme="minorBidi"/>
          <w:color w:val="000000" w:themeColor="text1"/>
          <w:kern w:val="24"/>
        </w:rPr>
        <w:t xml:space="preserve"> releases heme from erythrocytes through passive hemolysis. This </w:t>
      </w:r>
      <w:r w:rsidR="00004B5A" w:rsidRPr="00324BBD">
        <w:rPr>
          <w:rFonts w:ascii="Book Antiqua" w:hAnsi="Book Antiqua" w:cstheme="minorBidi"/>
          <w:color w:val="000000" w:themeColor="text1"/>
          <w:kern w:val="24"/>
        </w:rPr>
        <w:t xml:space="preserve">release </w:t>
      </w:r>
      <w:r w:rsidRPr="00324BBD">
        <w:rPr>
          <w:rFonts w:ascii="Book Antiqua" w:hAnsi="Book Antiqua" w:cstheme="minorBidi"/>
          <w:color w:val="000000" w:themeColor="text1"/>
          <w:kern w:val="24"/>
        </w:rPr>
        <w:t xml:space="preserve">activates </w:t>
      </w:r>
      <w:r w:rsidR="00AA6205" w:rsidRPr="00324BBD">
        <w:rPr>
          <w:rFonts w:ascii="Book Antiqua" w:hAnsi="Book Antiqua" w:cstheme="minorBidi"/>
          <w:color w:val="000000" w:themeColor="text1"/>
          <w:kern w:val="24"/>
        </w:rPr>
        <w:t>heme oxygenase</w:t>
      </w:r>
      <w:r w:rsidR="000543C7" w:rsidRPr="00324BBD">
        <w:rPr>
          <w:rFonts w:ascii="Book Antiqua" w:hAnsi="Book Antiqua" w:cstheme="minorBidi"/>
          <w:color w:val="000000" w:themeColor="text1"/>
          <w:kern w:val="24"/>
        </w:rPr>
        <w:t>-</w:t>
      </w:r>
      <w:r w:rsidR="00AA6205" w:rsidRPr="00324BBD">
        <w:rPr>
          <w:rFonts w:ascii="Book Antiqua" w:hAnsi="Book Antiqua" w:cstheme="minorBidi"/>
          <w:color w:val="000000" w:themeColor="text1"/>
          <w:kern w:val="24"/>
        </w:rPr>
        <w:t>1</w:t>
      </w:r>
      <w:r w:rsidR="00AA6205" w:rsidRPr="00324BBD">
        <w:rPr>
          <w:rFonts w:ascii="Book Antiqua" w:eastAsia="宋体" w:hAnsi="Book Antiqua" w:cstheme="minorBidi"/>
          <w:color w:val="000000" w:themeColor="text1"/>
          <w:kern w:val="24"/>
          <w:lang w:eastAsia="zh-CN"/>
        </w:rPr>
        <w:t xml:space="preserve"> (</w:t>
      </w:r>
      <w:r w:rsidR="003A6171" w:rsidRPr="00324BBD">
        <w:rPr>
          <w:rFonts w:ascii="Book Antiqua" w:hAnsi="Book Antiqua" w:cstheme="minorBidi"/>
          <w:color w:val="000000" w:themeColor="text1"/>
          <w:kern w:val="24"/>
        </w:rPr>
        <w:t>HO</w:t>
      </w:r>
      <w:r w:rsidR="003A6171" w:rsidRPr="00324BBD">
        <w:rPr>
          <w:rFonts w:ascii="Book Antiqua" w:eastAsia="宋体" w:hAnsi="Book Antiqua" w:cstheme="minorBidi"/>
          <w:color w:val="000000" w:themeColor="text1"/>
          <w:kern w:val="24"/>
          <w:lang w:eastAsia="zh-CN"/>
        </w:rPr>
        <w:t>-</w:t>
      </w:r>
      <w:r w:rsidRPr="00324BBD">
        <w:rPr>
          <w:rFonts w:ascii="Book Antiqua" w:hAnsi="Book Antiqua" w:cstheme="minorBidi"/>
          <w:color w:val="000000" w:themeColor="text1"/>
          <w:kern w:val="24"/>
        </w:rPr>
        <w:t>1</w:t>
      </w:r>
      <w:r w:rsidR="00AA6205" w:rsidRPr="00324BBD">
        <w:rPr>
          <w:rFonts w:ascii="Book Antiqua" w:eastAsia="宋体" w:hAnsi="Book Antiqua" w:cstheme="minorBidi"/>
          <w:color w:val="000000" w:themeColor="text1"/>
          <w:kern w:val="24"/>
          <w:lang w:eastAsia="zh-CN"/>
        </w:rPr>
        <w:t>)</w:t>
      </w:r>
      <w:r w:rsidRPr="00324BBD">
        <w:rPr>
          <w:rFonts w:ascii="Book Antiqua" w:hAnsi="Book Antiqua" w:cstheme="minorBidi"/>
          <w:color w:val="000000" w:themeColor="text1"/>
          <w:kern w:val="24"/>
        </w:rPr>
        <w:t xml:space="preserve"> in hepatocytes (</w:t>
      </w:r>
      <w:r w:rsidR="00AA6205" w:rsidRPr="00324BBD">
        <w:rPr>
          <w:rFonts w:ascii="Book Antiqua" w:hAnsi="Book Antiqua" w:cstheme="minorBidi"/>
          <w:i/>
          <w:color w:val="000000" w:themeColor="text1"/>
          <w:kern w:val="24"/>
        </w:rPr>
        <w:t>via</w:t>
      </w:r>
      <w:r w:rsidRPr="00324BBD">
        <w:rPr>
          <w:rFonts w:ascii="Book Antiqua" w:hAnsi="Book Antiqua" w:cstheme="minorBidi"/>
          <w:color w:val="000000" w:themeColor="text1"/>
          <w:kern w:val="24"/>
        </w:rPr>
        <w:t xml:space="preserve"> CD91) and in </w:t>
      </w:r>
      <w:r w:rsidR="00967670" w:rsidRPr="00324BBD">
        <w:rPr>
          <w:rFonts w:ascii="Book Antiqua" w:hAnsi="Book Antiqua" w:cstheme="minorBidi"/>
          <w:color w:val="000000" w:themeColor="text1"/>
          <w:kern w:val="24"/>
        </w:rPr>
        <w:t>Kupffer</w:t>
      </w:r>
      <w:r w:rsidRPr="00324BBD">
        <w:rPr>
          <w:rFonts w:ascii="Book Antiqua" w:hAnsi="Book Antiqua" w:cstheme="minorBidi"/>
          <w:color w:val="000000" w:themeColor="text1"/>
          <w:kern w:val="24"/>
        </w:rPr>
        <w:t xml:space="preserve"> cells (</w:t>
      </w:r>
      <w:r w:rsidR="00AA6205" w:rsidRPr="00324BBD">
        <w:rPr>
          <w:rFonts w:ascii="Book Antiqua" w:hAnsi="Book Antiqua" w:cstheme="minorBidi"/>
          <w:i/>
          <w:color w:val="000000" w:themeColor="text1"/>
          <w:kern w:val="24"/>
        </w:rPr>
        <w:t>via</w:t>
      </w:r>
      <w:r w:rsidRPr="00324BBD">
        <w:rPr>
          <w:rFonts w:ascii="Book Antiqua" w:hAnsi="Book Antiqua" w:cstheme="minorBidi"/>
          <w:color w:val="000000" w:themeColor="text1"/>
          <w:kern w:val="24"/>
        </w:rPr>
        <w:t xml:space="preserve"> CD163). </w:t>
      </w:r>
      <w:r w:rsidR="003A6171" w:rsidRPr="00324BBD">
        <w:rPr>
          <w:rFonts w:ascii="Book Antiqua" w:hAnsi="Book Antiqua" w:cstheme="minorBidi"/>
          <w:color w:val="000000" w:themeColor="text1"/>
          <w:kern w:val="24"/>
        </w:rPr>
        <w:t>HO</w:t>
      </w:r>
      <w:r w:rsidR="003A6171" w:rsidRPr="00324BBD">
        <w:rPr>
          <w:rFonts w:ascii="Book Antiqua" w:eastAsia="宋体" w:hAnsi="Book Antiqua" w:cstheme="minorBidi"/>
          <w:color w:val="000000" w:themeColor="text1"/>
          <w:kern w:val="24"/>
          <w:lang w:eastAsia="zh-CN"/>
        </w:rPr>
        <w:t>-</w:t>
      </w:r>
      <w:r w:rsidR="003A6171" w:rsidRPr="00324BBD">
        <w:rPr>
          <w:rFonts w:ascii="Book Antiqua" w:hAnsi="Book Antiqua" w:cstheme="minorBidi"/>
          <w:color w:val="000000" w:themeColor="text1"/>
          <w:kern w:val="24"/>
        </w:rPr>
        <w:t>1</w:t>
      </w:r>
      <w:r w:rsidRPr="00324BBD">
        <w:rPr>
          <w:rFonts w:ascii="Book Antiqua" w:hAnsi="Book Antiqua" w:cstheme="minorBidi"/>
          <w:color w:val="000000" w:themeColor="text1"/>
          <w:kern w:val="24"/>
        </w:rPr>
        <w:t xml:space="preserve"> acts as a powerful anti-inflammatory and anti-oxidant in </w:t>
      </w:r>
      <w:r w:rsidR="00967670" w:rsidRPr="00324BBD">
        <w:rPr>
          <w:rFonts w:ascii="Book Antiqua" w:hAnsi="Book Antiqua" w:cstheme="minorBidi"/>
          <w:color w:val="000000" w:themeColor="text1"/>
          <w:kern w:val="24"/>
        </w:rPr>
        <w:t>Kupffer</w:t>
      </w:r>
      <w:r w:rsidRPr="00324BBD">
        <w:rPr>
          <w:rFonts w:ascii="Book Antiqua" w:hAnsi="Book Antiqua" w:cstheme="minorBidi"/>
          <w:color w:val="000000" w:themeColor="text1"/>
          <w:kern w:val="24"/>
        </w:rPr>
        <w:t xml:space="preserve"> cells</w:t>
      </w:r>
      <w:r w:rsidR="00004B5A" w:rsidRPr="00324BBD">
        <w:rPr>
          <w:rFonts w:ascii="Book Antiqua" w:hAnsi="Book Antiqua" w:cstheme="minorBidi"/>
          <w:color w:val="000000" w:themeColor="text1"/>
          <w:kern w:val="24"/>
        </w:rPr>
        <w:t>,</w:t>
      </w:r>
      <w:r w:rsidRPr="00324BBD">
        <w:rPr>
          <w:rFonts w:ascii="Book Antiqua" w:hAnsi="Book Antiqua" w:cstheme="minorBidi"/>
          <w:color w:val="000000" w:themeColor="text1"/>
          <w:kern w:val="24"/>
        </w:rPr>
        <w:t xml:space="preserve"> </w:t>
      </w:r>
      <w:r w:rsidR="003649B1" w:rsidRPr="00324BBD">
        <w:rPr>
          <w:rFonts w:ascii="Book Antiqua" w:hAnsi="Book Antiqua" w:cstheme="minorBidi"/>
          <w:color w:val="000000" w:themeColor="text1"/>
          <w:kern w:val="24"/>
        </w:rPr>
        <w:t>whereas</w:t>
      </w:r>
      <w:r w:rsidRPr="00324BBD">
        <w:rPr>
          <w:rFonts w:ascii="Book Antiqua" w:hAnsi="Book Antiqua" w:cstheme="minorBidi"/>
          <w:color w:val="000000" w:themeColor="text1"/>
          <w:kern w:val="24"/>
        </w:rPr>
        <w:t xml:space="preserve"> </w:t>
      </w:r>
      <w:r w:rsidR="003A6171" w:rsidRPr="00324BBD">
        <w:rPr>
          <w:rFonts w:ascii="Book Antiqua" w:hAnsi="Book Antiqua" w:cstheme="minorBidi"/>
          <w:color w:val="000000" w:themeColor="text1"/>
          <w:kern w:val="24"/>
        </w:rPr>
        <w:t>HO</w:t>
      </w:r>
      <w:r w:rsidR="003A6171" w:rsidRPr="00324BBD">
        <w:rPr>
          <w:rFonts w:ascii="Book Antiqua" w:eastAsia="宋体" w:hAnsi="Book Antiqua" w:cstheme="minorBidi"/>
          <w:color w:val="000000" w:themeColor="text1"/>
          <w:kern w:val="24"/>
          <w:lang w:eastAsia="zh-CN"/>
        </w:rPr>
        <w:t>-</w:t>
      </w:r>
      <w:r w:rsidR="003A6171" w:rsidRPr="00324BBD">
        <w:rPr>
          <w:rFonts w:ascii="Book Antiqua" w:hAnsi="Book Antiqua" w:cstheme="minorBidi"/>
          <w:color w:val="000000" w:themeColor="text1"/>
          <w:kern w:val="24"/>
        </w:rPr>
        <w:t>1</w:t>
      </w:r>
      <w:r w:rsidRPr="00324BBD">
        <w:rPr>
          <w:rFonts w:ascii="Book Antiqua" w:hAnsi="Book Antiqua" w:cstheme="minorBidi"/>
          <w:color w:val="000000" w:themeColor="text1"/>
          <w:kern w:val="24"/>
        </w:rPr>
        <w:t xml:space="preserve"> h</w:t>
      </w:r>
      <w:r w:rsidR="00193C00" w:rsidRPr="00324BBD">
        <w:rPr>
          <w:rFonts w:ascii="Book Antiqua" w:hAnsi="Book Antiqua" w:cstheme="minorBidi"/>
          <w:color w:val="000000" w:themeColor="text1"/>
          <w:kern w:val="24"/>
        </w:rPr>
        <w:t>as anti-apoptotic and weak anti</w:t>
      </w:r>
      <w:r w:rsidRPr="00324BBD">
        <w:rPr>
          <w:rFonts w:ascii="Book Antiqua" w:hAnsi="Book Antiqua" w:cstheme="minorBidi"/>
          <w:color w:val="000000" w:themeColor="text1"/>
          <w:kern w:val="24"/>
        </w:rPr>
        <w:t xml:space="preserve">viral properties when expressed in hepatocytes. However, </w:t>
      </w:r>
      <w:r w:rsidR="00AA6205" w:rsidRPr="00324BBD">
        <w:rPr>
          <w:rFonts w:ascii="Book Antiqua" w:hAnsi="Book Antiqua" w:cstheme="minorBidi"/>
          <w:color w:val="000000" w:themeColor="text1"/>
          <w:kern w:val="24"/>
        </w:rPr>
        <w:t xml:space="preserve">hepatitis C virus </w:t>
      </w:r>
      <w:r w:rsidR="00AA6205" w:rsidRPr="00324BBD">
        <w:rPr>
          <w:rFonts w:ascii="Book Antiqua" w:eastAsia="宋体" w:hAnsi="Book Antiqua" w:cstheme="minorBidi"/>
          <w:color w:val="000000" w:themeColor="text1"/>
          <w:kern w:val="24"/>
          <w:lang w:eastAsia="zh-CN"/>
        </w:rPr>
        <w:t>(</w:t>
      </w:r>
      <w:r w:rsidRPr="00324BBD">
        <w:rPr>
          <w:rFonts w:ascii="Book Antiqua" w:hAnsi="Book Antiqua" w:cstheme="minorBidi"/>
          <w:color w:val="000000" w:themeColor="text1"/>
          <w:kern w:val="24"/>
        </w:rPr>
        <w:t>HCV</w:t>
      </w:r>
      <w:r w:rsidR="00AA6205" w:rsidRPr="00324BBD">
        <w:rPr>
          <w:rFonts w:ascii="Book Antiqua" w:eastAsia="宋体" w:hAnsi="Book Antiqua" w:cstheme="minorBidi"/>
          <w:color w:val="000000" w:themeColor="text1"/>
          <w:kern w:val="24"/>
          <w:lang w:eastAsia="zh-CN"/>
        </w:rPr>
        <w:t>)</w:t>
      </w:r>
      <w:r w:rsidRPr="00324BBD">
        <w:rPr>
          <w:rFonts w:ascii="Book Antiqua" w:hAnsi="Book Antiqua" w:cstheme="minorBidi"/>
          <w:color w:val="000000" w:themeColor="text1"/>
          <w:kern w:val="24"/>
        </w:rPr>
        <w:t xml:space="preserve"> core protein inhibits </w:t>
      </w:r>
      <w:r w:rsidR="003A6171" w:rsidRPr="00324BBD">
        <w:rPr>
          <w:rFonts w:ascii="Book Antiqua" w:hAnsi="Book Antiqua" w:cstheme="minorBidi"/>
          <w:color w:val="000000" w:themeColor="text1"/>
          <w:kern w:val="24"/>
        </w:rPr>
        <w:t>HO</w:t>
      </w:r>
      <w:r w:rsidR="003A6171" w:rsidRPr="00324BBD">
        <w:rPr>
          <w:rFonts w:ascii="Book Antiqua" w:eastAsia="宋体" w:hAnsi="Book Antiqua" w:cstheme="minorBidi"/>
          <w:color w:val="000000" w:themeColor="text1"/>
          <w:kern w:val="24"/>
          <w:lang w:eastAsia="zh-CN"/>
        </w:rPr>
        <w:t>-</w:t>
      </w:r>
      <w:r w:rsidR="003A6171" w:rsidRPr="00324BBD">
        <w:rPr>
          <w:rFonts w:ascii="Book Antiqua" w:hAnsi="Book Antiqua" w:cstheme="minorBidi"/>
          <w:color w:val="000000" w:themeColor="text1"/>
          <w:kern w:val="24"/>
        </w:rPr>
        <w:t>1</w:t>
      </w:r>
      <w:r w:rsidRPr="00324BBD">
        <w:rPr>
          <w:rFonts w:ascii="Book Antiqua" w:hAnsi="Book Antiqua" w:cstheme="minorBidi"/>
          <w:color w:val="000000" w:themeColor="text1"/>
          <w:kern w:val="24"/>
        </w:rPr>
        <w:t xml:space="preserve"> in both </w:t>
      </w:r>
      <w:r w:rsidR="00004B5A" w:rsidRPr="00324BBD">
        <w:rPr>
          <w:rFonts w:ascii="Book Antiqua" w:hAnsi="Book Antiqua" w:cstheme="minorBidi"/>
          <w:color w:val="000000" w:themeColor="text1"/>
          <w:kern w:val="24"/>
        </w:rPr>
        <w:t xml:space="preserve">of </w:t>
      </w:r>
      <w:r w:rsidRPr="00324BBD">
        <w:rPr>
          <w:rFonts w:ascii="Book Antiqua" w:hAnsi="Book Antiqua" w:cstheme="minorBidi"/>
          <w:color w:val="000000" w:themeColor="text1"/>
          <w:kern w:val="24"/>
        </w:rPr>
        <w:t>these cells</w:t>
      </w:r>
      <w:r w:rsidR="00004B5A" w:rsidRPr="00324BBD">
        <w:rPr>
          <w:rFonts w:ascii="Book Antiqua" w:hAnsi="Book Antiqua" w:cstheme="minorBidi"/>
          <w:color w:val="000000" w:themeColor="text1"/>
          <w:kern w:val="24"/>
        </w:rPr>
        <w:t>,</w:t>
      </w:r>
      <w:r w:rsidRPr="00324BBD">
        <w:rPr>
          <w:rFonts w:ascii="Book Antiqua" w:hAnsi="Book Antiqua" w:cstheme="minorBidi"/>
          <w:color w:val="000000" w:themeColor="text1"/>
          <w:kern w:val="24"/>
        </w:rPr>
        <w:t xml:space="preserve"> producing contrasting actions. This </w:t>
      </w:r>
      <w:r w:rsidR="00CD1799" w:rsidRPr="00324BBD">
        <w:rPr>
          <w:rFonts w:ascii="Book Antiqua" w:hAnsi="Book Antiqua" w:cstheme="minorBidi"/>
          <w:color w:val="000000" w:themeColor="text1"/>
          <w:kern w:val="24"/>
        </w:rPr>
        <w:t xml:space="preserve">inhibition </w:t>
      </w:r>
      <w:r w:rsidRPr="00324BBD">
        <w:rPr>
          <w:rFonts w:ascii="Book Antiqua" w:hAnsi="Book Antiqua" w:cstheme="minorBidi"/>
          <w:color w:val="000000" w:themeColor="text1"/>
          <w:kern w:val="24"/>
        </w:rPr>
        <w:t>perpetuates viremia and results in immune tolerance</w:t>
      </w:r>
      <w:r w:rsidR="00CD1799" w:rsidRPr="00324BBD">
        <w:rPr>
          <w:rFonts w:ascii="Book Antiqua" w:hAnsi="Book Antiqua" w:cstheme="minorBidi"/>
          <w:color w:val="000000" w:themeColor="text1"/>
          <w:kern w:val="24"/>
        </w:rPr>
        <w:t>,</w:t>
      </w:r>
      <w:r w:rsidRPr="00324BBD">
        <w:rPr>
          <w:rFonts w:ascii="Book Antiqua" w:hAnsi="Book Antiqua" w:cstheme="minorBidi"/>
          <w:color w:val="000000" w:themeColor="text1"/>
          <w:kern w:val="24"/>
        </w:rPr>
        <w:t xml:space="preserve"> decreasing the efficiency of </w:t>
      </w:r>
      <w:r w:rsidR="000543C7" w:rsidRPr="00324BBD">
        <w:rPr>
          <w:rFonts w:ascii="Book Antiqua" w:hAnsi="Book Antiqua" w:cstheme="minorBidi"/>
          <w:color w:val="000000" w:themeColor="text1"/>
          <w:kern w:val="24"/>
        </w:rPr>
        <w:t xml:space="preserve">interferon </w:t>
      </w:r>
      <w:r w:rsidRPr="00324BBD">
        <w:rPr>
          <w:rFonts w:ascii="Book Antiqua" w:hAnsi="Book Antiqua" w:cstheme="minorBidi"/>
          <w:color w:val="000000" w:themeColor="text1"/>
          <w:kern w:val="24"/>
        </w:rPr>
        <w:t>in clearing HCV.</w:t>
      </w:r>
      <w:r w:rsidR="000543C7" w:rsidRPr="00324BBD">
        <w:rPr>
          <w:rFonts w:ascii="Book Antiqua" w:eastAsia="宋体" w:hAnsi="Book Antiqua"/>
          <w:lang w:eastAsia="zh-CN"/>
        </w:rPr>
        <w:t xml:space="preserve"> </w:t>
      </w:r>
    </w:p>
    <w:p w:rsidR="00F77DA0" w:rsidRPr="00324BBD" w:rsidRDefault="00F77DA0" w:rsidP="008759E1">
      <w:pPr>
        <w:tabs>
          <w:tab w:val="left" w:pos="450"/>
        </w:tabs>
        <w:snapToGrid w:val="0"/>
        <w:spacing w:line="360" w:lineRule="auto"/>
        <w:ind w:left="450" w:hanging="450"/>
        <w:jc w:val="both"/>
        <w:rPr>
          <w:rFonts w:ascii="Book Antiqua" w:hAnsi="Book Antiqua"/>
          <w:b/>
          <w:sz w:val="24"/>
          <w:szCs w:val="24"/>
        </w:rPr>
      </w:pPr>
    </w:p>
    <w:p w:rsidR="00F77DA0" w:rsidRPr="00324BBD" w:rsidRDefault="00F77DA0" w:rsidP="008759E1">
      <w:pPr>
        <w:tabs>
          <w:tab w:val="left" w:pos="450"/>
        </w:tabs>
        <w:snapToGrid w:val="0"/>
        <w:spacing w:line="360" w:lineRule="auto"/>
        <w:ind w:left="450" w:hanging="450"/>
        <w:jc w:val="both"/>
        <w:rPr>
          <w:rFonts w:ascii="Book Antiqua" w:hAnsi="Book Antiqua"/>
          <w:b/>
          <w:sz w:val="24"/>
          <w:szCs w:val="24"/>
        </w:rPr>
      </w:pPr>
      <w:r w:rsidRPr="00324BBD">
        <w:rPr>
          <w:rFonts w:ascii="Book Antiqua" w:hAnsi="Book Antiqua"/>
          <w:b/>
          <w:sz w:val="24"/>
          <w:szCs w:val="24"/>
        </w:rPr>
        <w:t>F</w:t>
      </w:r>
      <w:r w:rsidR="00443E39" w:rsidRPr="00324BBD">
        <w:rPr>
          <w:rFonts w:ascii="Book Antiqua" w:hAnsi="Book Antiqua"/>
          <w:b/>
          <w:sz w:val="24"/>
          <w:szCs w:val="24"/>
        </w:rPr>
        <w:t xml:space="preserve">igure </w:t>
      </w:r>
      <w:r w:rsidRPr="00324BBD">
        <w:rPr>
          <w:rFonts w:ascii="Book Antiqua" w:hAnsi="Book Antiqua"/>
          <w:b/>
          <w:sz w:val="24"/>
          <w:szCs w:val="24"/>
        </w:rPr>
        <w:t>2</w:t>
      </w:r>
    </w:p>
    <w:p w:rsidR="00F77DA0" w:rsidRPr="00324BBD" w:rsidRDefault="00F77DA0" w:rsidP="008759E1">
      <w:pPr>
        <w:tabs>
          <w:tab w:val="left" w:pos="450"/>
        </w:tabs>
        <w:snapToGrid w:val="0"/>
        <w:spacing w:line="360" w:lineRule="auto"/>
        <w:ind w:left="450" w:hanging="450"/>
        <w:jc w:val="both"/>
        <w:rPr>
          <w:rFonts w:ascii="Book Antiqua" w:hAnsi="Book Antiqua"/>
          <w:sz w:val="24"/>
          <w:szCs w:val="24"/>
        </w:rPr>
      </w:pPr>
    </w:p>
    <w:p w:rsidR="00F77DA0" w:rsidRPr="00324BBD" w:rsidRDefault="00F77DA0" w:rsidP="008759E1">
      <w:pPr>
        <w:tabs>
          <w:tab w:val="left" w:pos="450"/>
        </w:tabs>
        <w:snapToGrid w:val="0"/>
        <w:spacing w:line="360" w:lineRule="auto"/>
        <w:ind w:left="450" w:hanging="450"/>
        <w:jc w:val="both"/>
        <w:rPr>
          <w:rFonts w:ascii="Book Antiqua" w:hAnsi="Book Antiqua"/>
          <w:sz w:val="24"/>
          <w:szCs w:val="24"/>
        </w:rPr>
      </w:pPr>
      <w:r w:rsidRPr="00324BBD">
        <w:rPr>
          <w:rFonts w:ascii="Book Antiqua" w:hAnsi="Book Antiqua"/>
          <w:noProof/>
          <w:sz w:val="24"/>
          <w:szCs w:val="24"/>
          <w:lang w:eastAsia="zh-CN"/>
        </w:rPr>
        <w:lastRenderedPageBreak/>
        <w:drawing>
          <wp:inline distT="0" distB="0" distL="0" distR="0">
            <wp:extent cx="5943600" cy="3999230"/>
            <wp:effectExtent l="0" t="38100" r="0" b="5842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77DA0" w:rsidRPr="00324BBD" w:rsidRDefault="00F77DA0" w:rsidP="008759E1">
      <w:pPr>
        <w:tabs>
          <w:tab w:val="left" w:pos="450"/>
        </w:tabs>
        <w:snapToGrid w:val="0"/>
        <w:spacing w:line="360" w:lineRule="auto"/>
        <w:ind w:left="450" w:hanging="450"/>
        <w:jc w:val="both"/>
        <w:rPr>
          <w:rFonts w:ascii="Book Antiqua" w:hAnsi="Book Antiqua"/>
          <w:sz w:val="24"/>
          <w:szCs w:val="24"/>
        </w:rPr>
      </w:pPr>
    </w:p>
    <w:p w:rsidR="00F77DA0" w:rsidRPr="00324BBD" w:rsidRDefault="00F77DA0" w:rsidP="008759E1">
      <w:pPr>
        <w:tabs>
          <w:tab w:val="left" w:pos="450"/>
        </w:tabs>
        <w:snapToGrid w:val="0"/>
        <w:spacing w:line="360" w:lineRule="auto"/>
        <w:ind w:left="450" w:hanging="450"/>
        <w:jc w:val="both"/>
        <w:rPr>
          <w:rFonts w:ascii="Book Antiqua" w:hAnsi="Book Antiqua"/>
          <w:sz w:val="24"/>
          <w:szCs w:val="24"/>
        </w:rPr>
      </w:pPr>
    </w:p>
    <w:p w:rsidR="00F77DA0" w:rsidRPr="00324BBD" w:rsidRDefault="00F77DA0" w:rsidP="008759E1">
      <w:pPr>
        <w:tabs>
          <w:tab w:val="left" w:pos="450"/>
        </w:tabs>
        <w:snapToGrid w:val="0"/>
        <w:spacing w:line="360" w:lineRule="auto"/>
        <w:ind w:left="450" w:hanging="450"/>
        <w:jc w:val="both"/>
        <w:rPr>
          <w:rFonts w:ascii="Book Antiqua" w:hAnsi="Book Antiqua"/>
          <w:sz w:val="24"/>
          <w:szCs w:val="24"/>
        </w:rPr>
      </w:pPr>
    </w:p>
    <w:p w:rsidR="00F77DA0" w:rsidRPr="00324BBD" w:rsidRDefault="000543C7" w:rsidP="008759E1">
      <w:pPr>
        <w:pStyle w:val="aa"/>
        <w:snapToGrid w:val="0"/>
        <w:spacing w:before="0" w:beforeAutospacing="0" w:after="0" w:afterAutospacing="0" w:line="360" w:lineRule="auto"/>
        <w:jc w:val="both"/>
        <w:rPr>
          <w:rFonts w:ascii="Book Antiqua" w:eastAsia="宋体" w:hAnsi="Book Antiqua"/>
          <w:lang w:eastAsia="zh-CN"/>
        </w:rPr>
      </w:pPr>
      <w:r w:rsidRPr="00324BBD">
        <w:rPr>
          <w:rFonts w:ascii="Book Antiqua" w:hAnsi="Book Antiqua" w:cstheme="minorBidi"/>
          <w:b/>
          <w:bCs/>
          <w:color w:val="000000" w:themeColor="text1"/>
          <w:kern w:val="24"/>
        </w:rPr>
        <w:t>Figure 2</w:t>
      </w:r>
      <w:r w:rsidRPr="00324BBD">
        <w:rPr>
          <w:rFonts w:ascii="Book Antiqua" w:eastAsia="宋体" w:hAnsi="Book Antiqua" w:cstheme="minorBidi"/>
          <w:b/>
          <w:bCs/>
          <w:color w:val="000000" w:themeColor="text1"/>
          <w:kern w:val="24"/>
          <w:lang w:eastAsia="zh-CN"/>
        </w:rPr>
        <w:t xml:space="preserve"> </w:t>
      </w:r>
      <w:r w:rsidR="00F77DA0" w:rsidRPr="00324BBD">
        <w:rPr>
          <w:rFonts w:ascii="Book Antiqua" w:hAnsi="Book Antiqua" w:cstheme="minorBidi"/>
          <w:b/>
          <w:bCs/>
          <w:color w:val="000000" w:themeColor="text1"/>
          <w:kern w:val="24"/>
        </w:rPr>
        <w:t xml:space="preserve">Summary of </w:t>
      </w:r>
      <w:r w:rsidR="00CD1799" w:rsidRPr="00324BBD">
        <w:rPr>
          <w:rFonts w:ascii="Book Antiqua" w:hAnsi="Book Antiqua" w:cstheme="minorBidi"/>
          <w:b/>
          <w:bCs/>
          <w:color w:val="000000" w:themeColor="text1"/>
          <w:kern w:val="24"/>
        </w:rPr>
        <w:t xml:space="preserve">the </w:t>
      </w:r>
      <w:r w:rsidR="00F77DA0" w:rsidRPr="00324BBD">
        <w:rPr>
          <w:rFonts w:ascii="Book Antiqua" w:hAnsi="Book Antiqua" w:cstheme="minorBidi"/>
          <w:b/>
          <w:bCs/>
          <w:color w:val="000000" w:themeColor="text1"/>
          <w:kern w:val="24"/>
        </w:rPr>
        <w:t>bio-chemical and clinical evidence of our proposed hypothesis.</w:t>
      </w:r>
      <w:r w:rsidRPr="00324BBD">
        <w:rPr>
          <w:rFonts w:ascii="Book Antiqua" w:eastAsia="宋体" w:hAnsi="Book Antiqua"/>
          <w:lang w:eastAsia="zh-CN"/>
        </w:rPr>
        <w:t xml:space="preserve"> </w:t>
      </w:r>
      <w:r w:rsidR="004015A3" w:rsidRPr="00324BBD">
        <w:rPr>
          <w:rFonts w:ascii="Book Antiqua" w:hAnsi="Book Antiqua" w:cstheme="minorBidi"/>
          <w:color w:val="000000" w:themeColor="text1"/>
          <w:kern w:val="24"/>
        </w:rPr>
        <w:t>Ribavirin</w:t>
      </w:r>
      <w:r w:rsidR="004015A3" w:rsidRPr="00324BBD">
        <w:rPr>
          <w:rFonts w:ascii="Book Antiqua" w:eastAsia="宋体" w:hAnsi="Book Antiqua" w:cstheme="minorBidi"/>
          <w:color w:val="000000" w:themeColor="text1"/>
          <w:kern w:val="24"/>
          <w:lang w:eastAsia="zh-CN"/>
        </w:rPr>
        <w:t xml:space="preserve"> (</w:t>
      </w:r>
      <w:r w:rsidR="004015A3" w:rsidRPr="00324BBD">
        <w:rPr>
          <w:rFonts w:ascii="Book Antiqua" w:hAnsi="Book Antiqua" w:cstheme="minorBidi"/>
          <w:color w:val="000000" w:themeColor="text1"/>
          <w:kern w:val="24"/>
        </w:rPr>
        <w:t>RBV</w:t>
      </w:r>
      <w:r w:rsidR="004015A3" w:rsidRPr="00324BBD">
        <w:rPr>
          <w:rFonts w:ascii="Book Antiqua" w:eastAsia="宋体" w:hAnsi="Book Antiqua" w:cstheme="minorBidi"/>
          <w:color w:val="000000" w:themeColor="text1"/>
          <w:kern w:val="24"/>
          <w:lang w:eastAsia="zh-CN"/>
        </w:rPr>
        <w:t>)</w:t>
      </w:r>
      <w:r w:rsidR="00F77DA0" w:rsidRPr="00324BBD">
        <w:rPr>
          <w:rFonts w:ascii="Book Antiqua" w:hAnsi="Book Antiqua" w:cstheme="minorBidi"/>
          <w:color w:val="000000" w:themeColor="text1"/>
          <w:kern w:val="24"/>
        </w:rPr>
        <w:t xml:space="preserve"> leads to passive hemolysis</w:t>
      </w:r>
      <w:r w:rsidR="00CD1799" w:rsidRPr="00324BBD">
        <w:rPr>
          <w:rFonts w:ascii="Book Antiqua" w:hAnsi="Book Antiqua" w:cstheme="minorBidi"/>
          <w:color w:val="000000" w:themeColor="text1"/>
          <w:kern w:val="24"/>
        </w:rPr>
        <w:t>,</w:t>
      </w:r>
      <w:r w:rsidR="00F77DA0" w:rsidRPr="00324BBD">
        <w:rPr>
          <w:rFonts w:ascii="Book Antiqua" w:hAnsi="Book Antiqua" w:cstheme="minorBidi"/>
          <w:color w:val="000000" w:themeColor="text1"/>
          <w:kern w:val="24"/>
        </w:rPr>
        <w:t xml:space="preserve"> releasing </w:t>
      </w:r>
      <w:r w:rsidR="001453C1" w:rsidRPr="00324BBD">
        <w:rPr>
          <w:rFonts w:ascii="Book Antiqua" w:hAnsi="Book Antiqua" w:cstheme="minorBidi"/>
          <w:color w:val="000000" w:themeColor="text1"/>
          <w:kern w:val="24"/>
        </w:rPr>
        <w:t xml:space="preserve">heme oxygenase-1 </w:t>
      </w:r>
      <w:r w:rsidR="001453C1" w:rsidRPr="00324BBD">
        <w:rPr>
          <w:rFonts w:ascii="Book Antiqua" w:eastAsia="宋体" w:hAnsi="Book Antiqua" w:cstheme="minorBidi"/>
          <w:color w:val="000000" w:themeColor="text1"/>
          <w:kern w:val="24"/>
          <w:lang w:eastAsia="zh-CN"/>
        </w:rPr>
        <w:t>(</w:t>
      </w:r>
      <w:r w:rsidR="00F77DA0" w:rsidRPr="00324BBD">
        <w:rPr>
          <w:rFonts w:ascii="Book Antiqua" w:hAnsi="Book Antiqua" w:cstheme="minorBidi"/>
          <w:color w:val="000000" w:themeColor="text1"/>
          <w:kern w:val="24"/>
        </w:rPr>
        <w:t>HMOX1</w:t>
      </w:r>
      <w:r w:rsidR="001453C1" w:rsidRPr="00324BBD">
        <w:rPr>
          <w:rFonts w:ascii="Book Antiqua" w:eastAsia="宋体" w:hAnsi="Book Antiqua" w:cstheme="minorBidi"/>
          <w:color w:val="000000" w:themeColor="text1"/>
          <w:kern w:val="24"/>
          <w:lang w:eastAsia="zh-CN"/>
        </w:rPr>
        <w:t>)</w:t>
      </w:r>
      <w:r w:rsidR="00F77DA0" w:rsidRPr="00324BBD">
        <w:rPr>
          <w:rFonts w:ascii="Book Antiqua" w:hAnsi="Book Antiqua" w:cstheme="minorBidi"/>
          <w:color w:val="000000" w:themeColor="text1"/>
          <w:kern w:val="24"/>
        </w:rPr>
        <w:t xml:space="preserve"> to produce </w:t>
      </w:r>
      <w:r w:rsidR="00CD1799" w:rsidRPr="00324BBD">
        <w:rPr>
          <w:rFonts w:ascii="Book Antiqua" w:hAnsi="Book Antiqua" w:cstheme="minorBidi"/>
          <w:color w:val="000000" w:themeColor="text1"/>
          <w:kern w:val="24"/>
        </w:rPr>
        <w:t xml:space="preserve">a </w:t>
      </w:r>
      <w:r w:rsidR="00F77DA0" w:rsidRPr="00324BBD">
        <w:rPr>
          <w:rFonts w:ascii="Book Antiqua" w:hAnsi="Book Antiqua" w:cstheme="minorBidi"/>
          <w:color w:val="000000" w:themeColor="text1"/>
          <w:kern w:val="24"/>
        </w:rPr>
        <w:t xml:space="preserve">synergistic effect with </w:t>
      </w:r>
      <w:r w:rsidR="004015A3" w:rsidRPr="00324BBD">
        <w:rPr>
          <w:rFonts w:ascii="Book Antiqua" w:hAnsi="Book Antiqua" w:cstheme="minorBidi"/>
          <w:color w:val="000000" w:themeColor="text1"/>
          <w:kern w:val="24"/>
        </w:rPr>
        <w:t xml:space="preserve">interferon </w:t>
      </w:r>
      <w:r w:rsidR="00CD1799" w:rsidRPr="00324BBD">
        <w:rPr>
          <w:rFonts w:ascii="Book Antiqua" w:hAnsi="Book Antiqua" w:cstheme="minorBidi"/>
          <w:color w:val="000000" w:themeColor="text1"/>
          <w:kern w:val="24"/>
        </w:rPr>
        <w:t xml:space="preserve">on </w:t>
      </w:r>
      <w:r w:rsidR="004015A3" w:rsidRPr="00324BBD">
        <w:rPr>
          <w:rFonts w:ascii="Book Antiqua" w:hAnsi="Book Antiqua"/>
        </w:rPr>
        <w:t>chronic HCV (cHCV)</w:t>
      </w:r>
      <w:r w:rsidR="004015A3" w:rsidRPr="00324BBD">
        <w:rPr>
          <w:rFonts w:ascii="Book Antiqua" w:eastAsia="宋体" w:hAnsi="Book Antiqua"/>
          <w:lang w:eastAsia="zh-CN"/>
        </w:rPr>
        <w:t xml:space="preserve"> </w:t>
      </w:r>
      <w:r w:rsidR="00F77DA0" w:rsidRPr="00324BBD">
        <w:rPr>
          <w:rFonts w:ascii="Book Antiqua" w:hAnsi="Book Antiqua" w:cstheme="minorBidi"/>
          <w:color w:val="000000" w:themeColor="text1"/>
          <w:kern w:val="24"/>
        </w:rPr>
        <w:t>infection.</w:t>
      </w:r>
      <w:r w:rsidR="00BC206D" w:rsidRPr="00324BBD">
        <w:rPr>
          <w:rFonts w:ascii="Book Antiqua" w:hAnsi="Book Antiqua"/>
        </w:rPr>
        <w:t xml:space="preserve"> SVR</w:t>
      </w:r>
      <w:r w:rsidR="00BC206D" w:rsidRPr="00324BBD">
        <w:rPr>
          <w:rFonts w:ascii="Book Antiqua" w:eastAsia="宋体" w:hAnsi="Book Antiqua"/>
          <w:lang w:eastAsia="zh-CN"/>
        </w:rPr>
        <w:t xml:space="preserve">: </w:t>
      </w:r>
      <w:r w:rsidR="00BC206D" w:rsidRPr="00324BBD">
        <w:rPr>
          <w:rFonts w:ascii="Book Antiqua" w:hAnsi="Book Antiqua"/>
        </w:rPr>
        <w:t>Sustained virological response</w:t>
      </w:r>
      <w:r w:rsidR="00BC206D" w:rsidRPr="00324BBD">
        <w:rPr>
          <w:rFonts w:ascii="Book Antiqua" w:eastAsia="宋体" w:hAnsi="Book Antiqua"/>
          <w:lang w:eastAsia="zh-CN"/>
        </w:rPr>
        <w:t>.</w:t>
      </w:r>
    </w:p>
    <w:p w:rsidR="00F77DA0" w:rsidRPr="00324BBD" w:rsidRDefault="00F77DA0" w:rsidP="008759E1">
      <w:pPr>
        <w:tabs>
          <w:tab w:val="left" w:pos="450"/>
        </w:tabs>
        <w:snapToGrid w:val="0"/>
        <w:spacing w:line="360" w:lineRule="auto"/>
        <w:ind w:left="450" w:hanging="450"/>
        <w:jc w:val="both"/>
        <w:rPr>
          <w:rFonts w:ascii="Book Antiqua" w:hAnsi="Book Antiqua"/>
          <w:sz w:val="24"/>
          <w:szCs w:val="24"/>
          <w:lang w:eastAsia="zh-CN"/>
        </w:rPr>
      </w:pPr>
    </w:p>
    <w:p w:rsidR="00F77DA0" w:rsidRPr="00324BBD" w:rsidRDefault="00F77DA0" w:rsidP="008759E1">
      <w:pPr>
        <w:tabs>
          <w:tab w:val="left" w:pos="450"/>
        </w:tabs>
        <w:snapToGrid w:val="0"/>
        <w:spacing w:line="360" w:lineRule="auto"/>
        <w:ind w:left="450" w:hanging="450"/>
        <w:jc w:val="both"/>
        <w:rPr>
          <w:rFonts w:ascii="Book Antiqua" w:hAnsi="Book Antiqua"/>
          <w:sz w:val="24"/>
          <w:szCs w:val="24"/>
        </w:rPr>
      </w:pPr>
    </w:p>
    <w:p w:rsidR="00F77DA0" w:rsidRPr="00324BBD" w:rsidRDefault="00F77DA0" w:rsidP="008759E1">
      <w:pPr>
        <w:tabs>
          <w:tab w:val="left" w:pos="450"/>
        </w:tabs>
        <w:snapToGrid w:val="0"/>
        <w:spacing w:line="360" w:lineRule="auto"/>
        <w:ind w:left="450" w:hanging="450"/>
        <w:jc w:val="both"/>
        <w:rPr>
          <w:rFonts w:ascii="Book Antiqua" w:hAnsi="Book Antiqua"/>
          <w:sz w:val="24"/>
          <w:szCs w:val="24"/>
        </w:rPr>
      </w:pPr>
    </w:p>
    <w:p w:rsidR="00F77DA0" w:rsidRPr="00324BBD" w:rsidRDefault="00F77DA0" w:rsidP="008759E1">
      <w:pPr>
        <w:tabs>
          <w:tab w:val="left" w:pos="450"/>
        </w:tabs>
        <w:snapToGrid w:val="0"/>
        <w:spacing w:line="360" w:lineRule="auto"/>
        <w:ind w:left="450" w:hanging="450"/>
        <w:jc w:val="both"/>
        <w:rPr>
          <w:rFonts w:ascii="Book Antiqua" w:hAnsi="Book Antiqua"/>
          <w:sz w:val="24"/>
          <w:szCs w:val="24"/>
        </w:rPr>
      </w:pPr>
    </w:p>
    <w:p w:rsidR="00F77DA0" w:rsidRPr="00324BBD" w:rsidRDefault="00F77DA0" w:rsidP="008759E1">
      <w:pPr>
        <w:tabs>
          <w:tab w:val="left" w:pos="450"/>
        </w:tabs>
        <w:snapToGrid w:val="0"/>
        <w:spacing w:line="360" w:lineRule="auto"/>
        <w:ind w:left="450" w:hanging="450"/>
        <w:jc w:val="both"/>
        <w:rPr>
          <w:rFonts w:ascii="Book Antiqua" w:hAnsi="Book Antiqua"/>
          <w:sz w:val="24"/>
          <w:szCs w:val="24"/>
        </w:rPr>
      </w:pPr>
    </w:p>
    <w:p w:rsidR="00F77DA0" w:rsidRPr="00324BBD" w:rsidRDefault="00F77DA0" w:rsidP="008759E1">
      <w:pPr>
        <w:snapToGrid w:val="0"/>
        <w:spacing w:line="360" w:lineRule="auto"/>
        <w:jc w:val="both"/>
        <w:rPr>
          <w:rFonts w:ascii="Book Antiqua" w:hAnsi="Book Antiqua"/>
          <w:b/>
          <w:sz w:val="24"/>
          <w:szCs w:val="24"/>
        </w:rPr>
      </w:pPr>
    </w:p>
    <w:sectPr w:rsidR="00F77DA0" w:rsidRPr="00324BBD" w:rsidSect="00F77DA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640" w:rsidRDefault="00A77640" w:rsidP="00F77DA0">
      <w:r>
        <w:separator/>
      </w:r>
    </w:p>
  </w:endnote>
  <w:endnote w:type="continuationSeparator" w:id="0">
    <w:p w:rsidR="00A77640" w:rsidRDefault="00A77640" w:rsidP="00F7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21760"/>
      <w:docPartObj>
        <w:docPartGallery w:val="Page Numbers (Bottom of Page)"/>
        <w:docPartUnique/>
      </w:docPartObj>
    </w:sdtPr>
    <w:sdtEndPr>
      <w:rPr>
        <w:noProof/>
      </w:rPr>
    </w:sdtEndPr>
    <w:sdtContent>
      <w:p w:rsidR="00324BBD" w:rsidRDefault="00D545B9">
        <w:pPr>
          <w:pStyle w:val="ac"/>
          <w:jc w:val="right"/>
        </w:pPr>
        <w:r>
          <w:fldChar w:fldCharType="begin"/>
        </w:r>
        <w:r>
          <w:instrText xml:space="preserve"> PAGE   \* MERGEFORMAT </w:instrText>
        </w:r>
        <w:r>
          <w:fldChar w:fldCharType="separate"/>
        </w:r>
        <w:r w:rsidR="00EB5194">
          <w:rPr>
            <w:noProof/>
          </w:rPr>
          <w:t>17</w:t>
        </w:r>
        <w:r>
          <w:rPr>
            <w:noProof/>
          </w:rPr>
          <w:fldChar w:fldCharType="end"/>
        </w:r>
      </w:p>
    </w:sdtContent>
  </w:sdt>
  <w:p w:rsidR="00324BBD" w:rsidRDefault="00324BB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640" w:rsidRDefault="00A77640" w:rsidP="00F77DA0">
      <w:r>
        <w:separator/>
      </w:r>
    </w:p>
  </w:footnote>
  <w:footnote w:type="continuationSeparator" w:id="0">
    <w:p w:rsidR="00A77640" w:rsidRDefault="00A77640" w:rsidP="00F77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F2140"/>
    <w:multiLevelType w:val="hybridMultilevel"/>
    <w:tmpl w:val="32928610"/>
    <w:lvl w:ilvl="0" w:tplc="076C1B2A">
      <w:start w:val="1"/>
      <w:numFmt w:val="upperLetter"/>
      <w:lvlText w:val="%1."/>
      <w:lvlJc w:val="left"/>
      <w:pPr>
        <w:ind w:left="540" w:hanging="360"/>
      </w:pPr>
      <w:rPr>
        <w:rFonts w:asciiTheme="minorHAnsi" w:eastAsiaTheme="minorHAnsi" w:hAnsiTheme="minorHAnsi" w:cstheme="minorBidi"/>
        <w:color w:val="404040" w:themeColor="text1" w:themeTint="BF"/>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316"/>
    <w:rsid w:val="00004B5A"/>
    <w:rsid w:val="00017D86"/>
    <w:rsid w:val="000377C2"/>
    <w:rsid w:val="0004702A"/>
    <w:rsid w:val="000543C7"/>
    <w:rsid w:val="00062B66"/>
    <w:rsid w:val="00071D6A"/>
    <w:rsid w:val="00087A0C"/>
    <w:rsid w:val="00091A5D"/>
    <w:rsid w:val="000A2829"/>
    <w:rsid w:val="000C4D4E"/>
    <w:rsid w:val="000D421B"/>
    <w:rsid w:val="000D69BE"/>
    <w:rsid w:val="000D6D5D"/>
    <w:rsid w:val="00110B2A"/>
    <w:rsid w:val="00120BBE"/>
    <w:rsid w:val="001253F0"/>
    <w:rsid w:val="00141316"/>
    <w:rsid w:val="00141492"/>
    <w:rsid w:val="001452DF"/>
    <w:rsid w:val="001453C1"/>
    <w:rsid w:val="00155EE6"/>
    <w:rsid w:val="0017203D"/>
    <w:rsid w:val="00193C00"/>
    <w:rsid w:val="001A73C7"/>
    <w:rsid w:val="001B3787"/>
    <w:rsid w:val="001B5F31"/>
    <w:rsid w:val="002137C7"/>
    <w:rsid w:val="00247B54"/>
    <w:rsid w:val="0026041F"/>
    <w:rsid w:val="00262F4A"/>
    <w:rsid w:val="002718D7"/>
    <w:rsid w:val="00286BDB"/>
    <w:rsid w:val="0029296B"/>
    <w:rsid w:val="002A5FA8"/>
    <w:rsid w:val="002B215C"/>
    <w:rsid w:val="00303A86"/>
    <w:rsid w:val="00316140"/>
    <w:rsid w:val="00320BEE"/>
    <w:rsid w:val="00324BBD"/>
    <w:rsid w:val="00326D70"/>
    <w:rsid w:val="00353F5B"/>
    <w:rsid w:val="003649B1"/>
    <w:rsid w:val="003A6171"/>
    <w:rsid w:val="003C4C31"/>
    <w:rsid w:val="003D0325"/>
    <w:rsid w:val="003F3F1F"/>
    <w:rsid w:val="004015A3"/>
    <w:rsid w:val="00412F34"/>
    <w:rsid w:val="00415204"/>
    <w:rsid w:val="00443E39"/>
    <w:rsid w:val="00457CBD"/>
    <w:rsid w:val="00491C7D"/>
    <w:rsid w:val="004D5FDB"/>
    <w:rsid w:val="004E5F74"/>
    <w:rsid w:val="00524ED0"/>
    <w:rsid w:val="0052727B"/>
    <w:rsid w:val="00527848"/>
    <w:rsid w:val="005608FC"/>
    <w:rsid w:val="00565765"/>
    <w:rsid w:val="00577BFD"/>
    <w:rsid w:val="00580376"/>
    <w:rsid w:val="00593C50"/>
    <w:rsid w:val="005A3532"/>
    <w:rsid w:val="005B26E9"/>
    <w:rsid w:val="005E2186"/>
    <w:rsid w:val="005E41F5"/>
    <w:rsid w:val="005E4A89"/>
    <w:rsid w:val="005F72BA"/>
    <w:rsid w:val="00607815"/>
    <w:rsid w:val="0062304E"/>
    <w:rsid w:val="006317EE"/>
    <w:rsid w:val="00634B92"/>
    <w:rsid w:val="0066526F"/>
    <w:rsid w:val="0069051E"/>
    <w:rsid w:val="006F7379"/>
    <w:rsid w:val="00707D8D"/>
    <w:rsid w:val="00712596"/>
    <w:rsid w:val="00713713"/>
    <w:rsid w:val="00714BF8"/>
    <w:rsid w:val="00714F71"/>
    <w:rsid w:val="007702BB"/>
    <w:rsid w:val="00772256"/>
    <w:rsid w:val="00791347"/>
    <w:rsid w:val="00796275"/>
    <w:rsid w:val="007A3874"/>
    <w:rsid w:val="007B6748"/>
    <w:rsid w:val="007C14E6"/>
    <w:rsid w:val="00800CF4"/>
    <w:rsid w:val="008103ED"/>
    <w:rsid w:val="0081623E"/>
    <w:rsid w:val="008428F2"/>
    <w:rsid w:val="00850C34"/>
    <w:rsid w:val="00854723"/>
    <w:rsid w:val="008561CC"/>
    <w:rsid w:val="00862DD8"/>
    <w:rsid w:val="00866C50"/>
    <w:rsid w:val="008759E1"/>
    <w:rsid w:val="00881037"/>
    <w:rsid w:val="008C216D"/>
    <w:rsid w:val="008D3842"/>
    <w:rsid w:val="008E093A"/>
    <w:rsid w:val="0091031C"/>
    <w:rsid w:val="00913558"/>
    <w:rsid w:val="00931B2D"/>
    <w:rsid w:val="00940924"/>
    <w:rsid w:val="00942E24"/>
    <w:rsid w:val="00946B8F"/>
    <w:rsid w:val="00955875"/>
    <w:rsid w:val="00967670"/>
    <w:rsid w:val="00984F44"/>
    <w:rsid w:val="009C3281"/>
    <w:rsid w:val="009D75F7"/>
    <w:rsid w:val="009E0A87"/>
    <w:rsid w:val="00A020C4"/>
    <w:rsid w:val="00A20B65"/>
    <w:rsid w:val="00A527E5"/>
    <w:rsid w:val="00A762E3"/>
    <w:rsid w:val="00A77640"/>
    <w:rsid w:val="00A84732"/>
    <w:rsid w:val="00AA6205"/>
    <w:rsid w:val="00AC717C"/>
    <w:rsid w:val="00AE0BEE"/>
    <w:rsid w:val="00B11A4F"/>
    <w:rsid w:val="00B27255"/>
    <w:rsid w:val="00B45F3F"/>
    <w:rsid w:val="00B50F60"/>
    <w:rsid w:val="00B55E8E"/>
    <w:rsid w:val="00B60568"/>
    <w:rsid w:val="00B74D8A"/>
    <w:rsid w:val="00B76436"/>
    <w:rsid w:val="00BA3BA1"/>
    <w:rsid w:val="00BC206D"/>
    <w:rsid w:val="00BD3F9D"/>
    <w:rsid w:val="00C33202"/>
    <w:rsid w:val="00C67F0A"/>
    <w:rsid w:val="00C70C3A"/>
    <w:rsid w:val="00C732AF"/>
    <w:rsid w:val="00C97BAC"/>
    <w:rsid w:val="00CA6C93"/>
    <w:rsid w:val="00CB3FBA"/>
    <w:rsid w:val="00CC166C"/>
    <w:rsid w:val="00CD1799"/>
    <w:rsid w:val="00CE6FE6"/>
    <w:rsid w:val="00D07049"/>
    <w:rsid w:val="00D20A40"/>
    <w:rsid w:val="00D310EF"/>
    <w:rsid w:val="00D40421"/>
    <w:rsid w:val="00D42D46"/>
    <w:rsid w:val="00D545B9"/>
    <w:rsid w:val="00D57181"/>
    <w:rsid w:val="00D74803"/>
    <w:rsid w:val="00DA31C2"/>
    <w:rsid w:val="00DA7C90"/>
    <w:rsid w:val="00DB07BD"/>
    <w:rsid w:val="00DC035E"/>
    <w:rsid w:val="00DF1071"/>
    <w:rsid w:val="00DF5B2A"/>
    <w:rsid w:val="00E32E66"/>
    <w:rsid w:val="00E41CB1"/>
    <w:rsid w:val="00E42649"/>
    <w:rsid w:val="00E429C6"/>
    <w:rsid w:val="00E43D8C"/>
    <w:rsid w:val="00EA1B11"/>
    <w:rsid w:val="00EB5194"/>
    <w:rsid w:val="00EB5F99"/>
    <w:rsid w:val="00EB7F65"/>
    <w:rsid w:val="00EC2318"/>
    <w:rsid w:val="00EC2F8E"/>
    <w:rsid w:val="00EE0101"/>
    <w:rsid w:val="00EF3DEE"/>
    <w:rsid w:val="00F245C6"/>
    <w:rsid w:val="00F77DA0"/>
    <w:rsid w:val="00F834FF"/>
    <w:rsid w:val="00F84DA2"/>
    <w:rsid w:val="00F92193"/>
    <w:rsid w:val="00F96619"/>
    <w:rsid w:val="00FE08FA"/>
    <w:rsid w:val="00FE572C"/>
    <w:rsid w:val="00FE5DB7"/>
    <w:rsid w:val="00FF2F68"/>
    <w:rsid w:val="00FF7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316"/>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37"/>
    <w:unhideWhenUsed/>
    <w:rsid w:val="00D40421"/>
    <w:pPr>
      <w:tabs>
        <w:tab w:val="left" w:pos="144"/>
      </w:tabs>
      <w:spacing w:after="240"/>
      <w:ind w:left="144" w:hanging="144"/>
    </w:pPr>
  </w:style>
  <w:style w:type="character" w:customStyle="1" w:styleId="apple-converted-space">
    <w:name w:val="apple-converted-space"/>
    <w:basedOn w:val="a0"/>
    <w:rsid w:val="00087A0C"/>
  </w:style>
  <w:style w:type="paragraph" w:styleId="a4">
    <w:name w:val="List Paragraph"/>
    <w:basedOn w:val="a"/>
    <w:uiPriority w:val="34"/>
    <w:qFormat/>
    <w:rsid w:val="00E43D8C"/>
    <w:pPr>
      <w:ind w:left="720"/>
      <w:contextualSpacing/>
    </w:pPr>
  </w:style>
  <w:style w:type="paragraph" w:styleId="a5">
    <w:name w:val="Balloon Text"/>
    <w:basedOn w:val="a"/>
    <w:link w:val="BalloonTextChar"/>
    <w:uiPriority w:val="99"/>
    <w:semiHidden/>
    <w:unhideWhenUsed/>
    <w:rsid w:val="00C70C3A"/>
    <w:rPr>
      <w:rFonts w:ascii="Tahoma" w:hAnsi="Tahoma" w:cs="Tahoma"/>
      <w:sz w:val="16"/>
      <w:szCs w:val="16"/>
    </w:rPr>
  </w:style>
  <w:style w:type="character" w:customStyle="1" w:styleId="BalloonTextChar">
    <w:name w:val="Balloon Text Char"/>
    <w:basedOn w:val="a0"/>
    <w:link w:val="a5"/>
    <w:uiPriority w:val="99"/>
    <w:semiHidden/>
    <w:rsid w:val="00C70C3A"/>
    <w:rPr>
      <w:rFonts w:ascii="Tahoma" w:hAnsi="Tahoma" w:cs="Tahoma"/>
      <w:sz w:val="16"/>
      <w:szCs w:val="16"/>
    </w:rPr>
  </w:style>
  <w:style w:type="character" w:styleId="a6">
    <w:name w:val="annotation reference"/>
    <w:basedOn w:val="a0"/>
    <w:uiPriority w:val="99"/>
    <w:semiHidden/>
    <w:unhideWhenUsed/>
    <w:rsid w:val="0069051E"/>
    <w:rPr>
      <w:sz w:val="16"/>
      <w:szCs w:val="16"/>
    </w:rPr>
  </w:style>
  <w:style w:type="paragraph" w:styleId="a7">
    <w:name w:val="annotation text"/>
    <w:basedOn w:val="a"/>
    <w:link w:val="CommentTextChar"/>
    <w:uiPriority w:val="99"/>
    <w:unhideWhenUsed/>
    <w:rsid w:val="0069051E"/>
    <w:rPr>
      <w:sz w:val="20"/>
      <w:szCs w:val="20"/>
    </w:rPr>
  </w:style>
  <w:style w:type="character" w:customStyle="1" w:styleId="CommentTextChar">
    <w:name w:val="Comment Text Char"/>
    <w:basedOn w:val="a0"/>
    <w:link w:val="a7"/>
    <w:uiPriority w:val="99"/>
    <w:rsid w:val="0069051E"/>
    <w:rPr>
      <w:sz w:val="20"/>
      <w:szCs w:val="20"/>
    </w:rPr>
  </w:style>
  <w:style w:type="paragraph" w:styleId="a8">
    <w:name w:val="annotation subject"/>
    <w:basedOn w:val="a7"/>
    <w:next w:val="a7"/>
    <w:link w:val="CommentSubjectChar"/>
    <w:uiPriority w:val="99"/>
    <w:semiHidden/>
    <w:unhideWhenUsed/>
    <w:rsid w:val="0069051E"/>
    <w:rPr>
      <w:b/>
      <w:bCs/>
    </w:rPr>
  </w:style>
  <w:style w:type="character" w:customStyle="1" w:styleId="CommentSubjectChar">
    <w:name w:val="Comment Subject Char"/>
    <w:basedOn w:val="CommentTextChar"/>
    <w:link w:val="a8"/>
    <w:uiPriority w:val="99"/>
    <w:semiHidden/>
    <w:rsid w:val="0069051E"/>
    <w:rPr>
      <w:b/>
      <w:bCs/>
      <w:sz w:val="20"/>
      <w:szCs w:val="20"/>
    </w:rPr>
  </w:style>
  <w:style w:type="character" w:styleId="a9">
    <w:name w:val="Hyperlink"/>
    <w:basedOn w:val="a0"/>
    <w:uiPriority w:val="99"/>
    <w:unhideWhenUsed/>
    <w:rsid w:val="00F77DA0"/>
    <w:rPr>
      <w:color w:val="0000FF"/>
      <w:u w:val="single"/>
    </w:rPr>
  </w:style>
  <w:style w:type="paragraph" w:styleId="aa">
    <w:name w:val="Normal (Web)"/>
    <w:basedOn w:val="a"/>
    <w:uiPriority w:val="99"/>
    <w:unhideWhenUsed/>
    <w:rsid w:val="00F77DA0"/>
    <w:pPr>
      <w:spacing w:before="100" w:beforeAutospacing="1" w:after="100" w:afterAutospacing="1"/>
    </w:pPr>
    <w:rPr>
      <w:rFonts w:ascii="Times New Roman" w:eastAsiaTheme="minorEastAsia" w:hAnsi="Times New Roman" w:cs="Times New Roman"/>
      <w:sz w:val="24"/>
      <w:szCs w:val="24"/>
    </w:rPr>
  </w:style>
  <w:style w:type="paragraph" w:styleId="ab">
    <w:name w:val="header"/>
    <w:basedOn w:val="a"/>
    <w:link w:val="HeaderChar"/>
    <w:uiPriority w:val="99"/>
    <w:unhideWhenUsed/>
    <w:rsid w:val="00F77DA0"/>
    <w:pPr>
      <w:tabs>
        <w:tab w:val="center" w:pos="4680"/>
        <w:tab w:val="right" w:pos="9360"/>
      </w:tabs>
    </w:pPr>
  </w:style>
  <w:style w:type="character" w:customStyle="1" w:styleId="HeaderChar">
    <w:name w:val="Header Char"/>
    <w:basedOn w:val="a0"/>
    <w:link w:val="ab"/>
    <w:uiPriority w:val="99"/>
    <w:rsid w:val="00F77DA0"/>
  </w:style>
  <w:style w:type="paragraph" w:styleId="ac">
    <w:name w:val="footer"/>
    <w:basedOn w:val="a"/>
    <w:link w:val="FooterChar"/>
    <w:uiPriority w:val="99"/>
    <w:unhideWhenUsed/>
    <w:rsid w:val="00F77DA0"/>
    <w:pPr>
      <w:tabs>
        <w:tab w:val="center" w:pos="4680"/>
        <w:tab w:val="right" w:pos="9360"/>
      </w:tabs>
    </w:pPr>
  </w:style>
  <w:style w:type="character" w:customStyle="1" w:styleId="FooterChar">
    <w:name w:val="Footer Char"/>
    <w:basedOn w:val="a0"/>
    <w:link w:val="ac"/>
    <w:uiPriority w:val="99"/>
    <w:rsid w:val="00F77DA0"/>
  </w:style>
  <w:style w:type="paragraph" w:styleId="ad">
    <w:name w:val="Revision"/>
    <w:hidden/>
    <w:uiPriority w:val="99"/>
    <w:semiHidden/>
    <w:rsid w:val="000A2829"/>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316"/>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ibliography"/>
    <w:basedOn w:val="a"/>
    <w:next w:val="a"/>
    <w:uiPriority w:val="37"/>
    <w:unhideWhenUsed/>
    <w:rsid w:val="00D40421"/>
    <w:pPr>
      <w:tabs>
        <w:tab w:val="left" w:pos="144"/>
      </w:tabs>
      <w:spacing w:after="240"/>
      <w:ind w:left="144" w:hanging="144"/>
    </w:pPr>
  </w:style>
  <w:style w:type="character" w:customStyle="1" w:styleId="apple-converted-space">
    <w:name w:val="apple-converted-space"/>
    <w:basedOn w:val="a0"/>
    <w:rsid w:val="00087A0C"/>
  </w:style>
  <w:style w:type="paragraph" w:styleId="a4">
    <w:name w:val="List Paragraph"/>
    <w:basedOn w:val="a"/>
    <w:uiPriority w:val="34"/>
    <w:qFormat/>
    <w:rsid w:val="00E43D8C"/>
    <w:pPr>
      <w:ind w:left="720"/>
      <w:contextualSpacing/>
    </w:pPr>
  </w:style>
  <w:style w:type="paragraph" w:styleId="a5">
    <w:name w:val="Balloon Text"/>
    <w:basedOn w:val="a"/>
    <w:link w:val="BalloonTextChar"/>
    <w:uiPriority w:val="99"/>
    <w:semiHidden/>
    <w:unhideWhenUsed/>
    <w:rsid w:val="00C70C3A"/>
    <w:rPr>
      <w:rFonts w:ascii="Tahoma" w:hAnsi="Tahoma" w:cs="Tahoma"/>
      <w:sz w:val="16"/>
      <w:szCs w:val="16"/>
    </w:rPr>
  </w:style>
  <w:style w:type="character" w:customStyle="1" w:styleId="BalloonTextChar">
    <w:name w:val="Balloon Text Char"/>
    <w:basedOn w:val="a0"/>
    <w:link w:val="a5"/>
    <w:uiPriority w:val="99"/>
    <w:semiHidden/>
    <w:rsid w:val="00C70C3A"/>
    <w:rPr>
      <w:rFonts w:ascii="Tahoma" w:hAnsi="Tahoma" w:cs="Tahoma"/>
      <w:sz w:val="16"/>
      <w:szCs w:val="16"/>
    </w:rPr>
  </w:style>
  <w:style w:type="character" w:styleId="a6">
    <w:name w:val="annotation reference"/>
    <w:basedOn w:val="a0"/>
    <w:uiPriority w:val="99"/>
    <w:semiHidden/>
    <w:unhideWhenUsed/>
    <w:rsid w:val="0069051E"/>
    <w:rPr>
      <w:sz w:val="16"/>
      <w:szCs w:val="16"/>
    </w:rPr>
  </w:style>
  <w:style w:type="paragraph" w:styleId="a7">
    <w:name w:val="annotation text"/>
    <w:basedOn w:val="a"/>
    <w:link w:val="CommentTextChar"/>
    <w:uiPriority w:val="99"/>
    <w:unhideWhenUsed/>
    <w:rsid w:val="0069051E"/>
    <w:rPr>
      <w:sz w:val="20"/>
      <w:szCs w:val="20"/>
    </w:rPr>
  </w:style>
  <w:style w:type="character" w:customStyle="1" w:styleId="CommentTextChar">
    <w:name w:val="Comment Text Char"/>
    <w:basedOn w:val="a0"/>
    <w:link w:val="a7"/>
    <w:uiPriority w:val="99"/>
    <w:rsid w:val="0069051E"/>
    <w:rPr>
      <w:sz w:val="20"/>
      <w:szCs w:val="20"/>
    </w:rPr>
  </w:style>
  <w:style w:type="paragraph" w:styleId="a8">
    <w:name w:val="annotation subject"/>
    <w:basedOn w:val="a7"/>
    <w:next w:val="a7"/>
    <w:link w:val="CommentSubjectChar"/>
    <w:uiPriority w:val="99"/>
    <w:semiHidden/>
    <w:unhideWhenUsed/>
    <w:rsid w:val="0069051E"/>
    <w:rPr>
      <w:b/>
      <w:bCs/>
    </w:rPr>
  </w:style>
  <w:style w:type="character" w:customStyle="1" w:styleId="CommentSubjectChar">
    <w:name w:val="Comment Subject Char"/>
    <w:basedOn w:val="CommentTextChar"/>
    <w:link w:val="a8"/>
    <w:uiPriority w:val="99"/>
    <w:semiHidden/>
    <w:rsid w:val="0069051E"/>
    <w:rPr>
      <w:b/>
      <w:bCs/>
      <w:sz w:val="20"/>
      <w:szCs w:val="20"/>
    </w:rPr>
  </w:style>
  <w:style w:type="character" w:styleId="a9">
    <w:name w:val="Hyperlink"/>
    <w:basedOn w:val="a0"/>
    <w:uiPriority w:val="99"/>
    <w:unhideWhenUsed/>
    <w:rsid w:val="00F77DA0"/>
    <w:rPr>
      <w:color w:val="0000FF"/>
      <w:u w:val="single"/>
    </w:rPr>
  </w:style>
  <w:style w:type="paragraph" w:styleId="aa">
    <w:name w:val="Normal (Web)"/>
    <w:basedOn w:val="a"/>
    <w:uiPriority w:val="99"/>
    <w:unhideWhenUsed/>
    <w:rsid w:val="00F77DA0"/>
    <w:pPr>
      <w:spacing w:before="100" w:beforeAutospacing="1" w:after="100" w:afterAutospacing="1"/>
    </w:pPr>
    <w:rPr>
      <w:rFonts w:ascii="Times New Roman" w:eastAsiaTheme="minorEastAsia" w:hAnsi="Times New Roman" w:cs="Times New Roman"/>
      <w:sz w:val="24"/>
      <w:szCs w:val="24"/>
    </w:rPr>
  </w:style>
  <w:style w:type="paragraph" w:styleId="ab">
    <w:name w:val="header"/>
    <w:basedOn w:val="a"/>
    <w:link w:val="HeaderChar"/>
    <w:uiPriority w:val="99"/>
    <w:unhideWhenUsed/>
    <w:rsid w:val="00F77DA0"/>
    <w:pPr>
      <w:tabs>
        <w:tab w:val="center" w:pos="4680"/>
        <w:tab w:val="right" w:pos="9360"/>
      </w:tabs>
    </w:pPr>
  </w:style>
  <w:style w:type="character" w:customStyle="1" w:styleId="HeaderChar">
    <w:name w:val="Header Char"/>
    <w:basedOn w:val="a0"/>
    <w:link w:val="ab"/>
    <w:uiPriority w:val="99"/>
    <w:rsid w:val="00F77DA0"/>
  </w:style>
  <w:style w:type="paragraph" w:styleId="ac">
    <w:name w:val="footer"/>
    <w:basedOn w:val="a"/>
    <w:link w:val="FooterChar"/>
    <w:uiPriority w:val="99"/>
    <w:unhideWhenUsed/>
    <w:rsid w:val="00F77DA0"/>
    <w:pPr>
      <w:tabs>
        <w:tab w:val="center" w:pos="4680"/>
        <w:tab w:val="right" w:pos="9360"/>
      </w:tabs>
    </w:pPr>
  </w:style>
  <w:style w:type="character" w:customStyle="1" w:styleId="FooterChar">
    <w:name w:val="Footer Char"/>
    <w:basedOn w:val="a0"/>
    <w:link w:val="ac"/>
    <w:uiPriority w:val="99"/>
    <w:rsid w:val="00F77DA0"/>
  </w:style>
  <w:style w:type="paragraph" w:styleId="ad">
    <w:name w:val="Revision"/>
    <w:hidden/>
    <w:uiPriority w:val="99"/>
    <w:semiHidden/>
    <w:rsid w:val="000A28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1707">
      <w:bodyDiv w:val="1"/>
      <w:marLeft w:val="0"/>
      <w:marRight w:val="0"/>
      <w:marTop w:val="0"/>
      <w:marBottom w:val="0"/>
      <w:divBdr>
        <w:top w:val="none" w:sz="0" w:space="0" w:color="auto"/>
        <w:left w:val="none" w:sz="0" w:space="0" w:color="auto"/>
        <w:bottom w:val="none" w:sz="0" w:space="0" w:color="auto"/>
        <w:right w:val="none" w:sz="0" w:space="0" w:color="auto"/>
      </w:divBdr>
      <w:divsChild>
        <w:div w:id="53284852">
          <w:marLeft w:val="0"/>
          <w:marRight w:val="0"/>
          <w:marTop w:val="0"/>
          <w:marBottom w:val="0"/>
          <w:divBdr>
            <w:top w:val="none" w:sz="0" w:space="0" w:color="auto"/>
            <w:left w:val="none" w:sz="0" w:space="0" w:color="auto"/>
            <w:bottom w:val="none" w:sz="0" w:space="0" w:color="auto"/>
            <w:right w:val="none" w:sz="0" w:space="0" w:color="auto"/>
          </w:divBdr>
          <w:divsChild>
            <w:div w:id="1746147282">
              <w:marLeft w:val="0"/>
              <w:marRight w:val="0"/>
              <w:marTop w:val="0"/>
              <w:marBottom w:val="0"/>
              <w:divBdr>
                <w:top w:val="none" w:sz="0" w:space="0" w:color="auto"/>
                <w:left w:val="none" w:sz="0" w:space="0" w:color="auto"/>
                <w:bottom w:val="none" w:sz="0" w:space="0" w:color="auto"/>
                <w:right w:val="none" w:sz="0" w:space="0" w:color="auto"/>
              </w:divBdr>
            </w:div>
            <w:div w:id="1761950246">
              <w:marLeft w:val="0"/>
              <w:marRight w:val="0"/>
              <w:marTop w:val="0"/>
              <w:marBottom w:val="0"/>
              <w:divBdr>
                <w:top w:val="none" w:sz="0" w:space="0" w:color="auto"/>
                <w:left w:val="none" w:sz="0" w:space="0" w:color="auto"/>
                <w:bottom w:val="none" w:sz="0" w:space="0" w:color="auto"/>
                <w:right w:val="none" w:sz="0" w:space="0" w:color="auto"/>
              </w:divBdr>
            </w:div>
            <w:div w:id="1299454338">
              <w:marLeft w:val="0"/>
              <w:marRight w:val="0"/>
              <w:marTop w:val="0"/>
              <w:marBottom w:val="0"/>
              <w:divBdr>
                <w:top w:val="none" w:sz="0" w:space="0" w:color="auto"/>
                <w:left w:val="none" w:sz="0" w:space="0" w:color="auto"/>
                <w:bottom w:val="none" w:sz="0" w:space="0" w:color="auto"/>
                <w:right w:val="none" w:sz="0" w:space="0" w:color="auto"/>
              </w:divBdr>
            </w:div>
            <w:div w:id="618679301">
              <w:marLeft w:val="0"/>
              <w:marRight w:val="0"/>
              <w:marTop w:val="0"/>
              <w:marBottom w:val="0"/>
              <w:divBdr>
                <w:top w:val="none" w:sz="0" w:space="0" w:color="auto"/>
                <w:left w:val="none" w:sz="0" w:space="0" w:color="auto"/>
                <w:bottom w:val="none" w:sz="0" w:space="0" w:color="auto"/>
                <w:right w:val="none" w:sz="0" w:space="0" w:color="auto"/>
              </w:divBdr>
            </w:div>
            <w:div w:id="6100633">
              <w:marLeft w:val="0"/>
              <w:marRight w:val="0"/>
              <w:marTop w:val="0"/>
              <w:marBottom w:val="0"/>
              <w:divBdr>
                <w:top w:val="none" w:sz="0" w:space="0" w:color="auto"/>
                <w:left w:val="none" w:sz="0" w:space="0" w:color="auto"/>
                <w:bottom w:val="none" w:sz="0" w:space="0" w:color="auto"/>
                <w:right w:val="none" w:sz="0" w:space="0" w:color="auto"/>
              </w:divBdr>
            </w:div>
            <w:div w:id="1736858270">
              <w:marLeft w:val="0"/>
              <w:marRight w:val="0"/>
              <w:marTop w:val="0"/>
              <w:marBottom w:val="0"/>
              <w:divBdr>
                <w:top w:val="none" w:sz="0" w:space="0" w:color="auto"/>
                <w:left w:val="none" w:sz="0" w:space="0" w:color="auto"/>
                <w:bottom w:val="none" w:sz="0" w:space="0" w:color="auto"/>
                <w:right w:val="none" w:sz="0" w:space="0" w:color="auto"/>
              </w:divBdr>
            </w:div>
            <w:div w:id="145829568">
              <w:marLeft w:val="0"/>
              <w:marRight w:val="0"/>
              <w:marTop w:val="0"/>
              <w:marBottom w:val="0"/>
              <w:divBdr>
                <w:top w:val="none" w:sz="0" w:space="0" w:color="auto"/>
                <w:left w:val="none" w:sz="0" w:space="0" w:color="auto"/>
                <w:bottom w:val="none" w:sz="0" w:space="0" w:color="auto"/>
                <w:right w:val="none" w:sz="0" w:space="0" w:color="auto"/>
              </w:divBdr>
            </w:div>
            <w:div w:id="592516831">
              <w:marLeft w:val="0"/>
              <w:marRight w:val="0"/>
              <w:marTop w:val="0"/>
              <w:marBottom w:val="0"/>
              <w:divBdr>
                <w:top w:val="none" w:sz="0" w:space="0" w:color="auto"/>
                <w:left w:val="none" w:sz="0" w:space="0" w:color="auto"/>
                <w:bottom w:val="none" w:sz="0" w:space="0" w:color="auto"/>
                <w:right w:val="none" w:sz="0" w:space="0" w:color="auto"/>
              </w:divBdr>
            </w:div>
            <w:div w:id="162428463">
              <w:marLeft w:val="0"/>
              <w:marRight w:val="0"/>
              <w:marTop w:val="0"/>
              <w:marBottom w:val="0"/>
              <w:divBdr>
                <w:top w:val="none" w:sz="0" w:space="0" w:color="auto"/>
                <w:left w:val="none" w:sz="0" w:space="0" w:color="auto"/>
                <w:bottom w:val="none" w:sz="0" w:space="0" w:color="auto"/>
                <w:right w:val="none" w:sz="0" w:space="0" w:color="auto"/>
              </w:divBdr>
            </w:div>
            <w:div w:id="310602232">
              <w:marLeft w:val="0"/>
              <w:marRight w:val="0"/>
              <w:marTop w:val="0"/>
              <w:marBottom w:val="0"/>
              <w:divBdr>
                <w:top w:val="none" w:sz="0" w:space="0" w:color="auto"/>
                <w:left w:val="none" w:sz="0" w:space="0" w:color="auto"/>
                <w:bottom w:val="none" w:sz="0" w:space="0" w:color="auto"/>
                <w:right w:val="none" w:sz="0" w:space="0" w:color="auto"/>
              </w:divBdr>
            </w:div>
            <w:div w:id="153422544">
              <w:marLeft w:val="0"/>
              <w:marRight w:val="0"/>
              <w:marTop w:val="0"/>
              <w:marBottom w:val="0"/>
              <w:divBdr>
                <w:top w:val="none" w:sz="0" w:space="0" w:color="auto"/>
                <w:left w:val="none" w:sz="0" w:space="0" w:color="auto"/>
                <w:bottom w:val="none" w:sz="0" w:space="0" w:color="auto"/>
                <w:right w:val="none" w:sz="0" w:space="0" w:color="auto"/>
              </w:divBdr>
            </w:div>
            <w:div w:id="1645620285">
              <w:marLeft w:val="0"/>
              <w:marRight w:val="0"/>
              <w:marTop w:val="0"/>
              <w:marBottom w:val="0"/>
              <w:divBdr>
                <w:top w:val="none" w:sz="0" w:space="0" w:color="auto"/>
                <w:left w:val="none" w:sz="0" w:space="0" w:color="auto"/>
                <w:bottom w:val="none" w:sz="0" w:space="0" w:color="auto"/>
                <w:right w:val="none" w:sz="0" w:space="0" w:color="auto"/>
              </w:divBdr>
            </w:div>
            <w:div w:id="789131695">
              <w:marLeft w:val="0"/>
              <w:marRight w:val="0"/>
              <w:marTop w:val="0"/>
              <w:marBottom w:val="0"/>
              <w:divBdr>
                <w:top w:val="none" w:sz="0" w:space="0" w:color="auto"/>
                <w:left w:val="none" w:sz="0" w:space="0" w:color="auto"/>
                <w:bottom w:val="none" w:sz="0" w:space="0" w:color="auto"/>
                <w:right w:val="none" w:sz="0" w:space="0" w:color="auto"/>
              </w:divBdr>
            </w:div>
            <w:div w:id="731000352">
              <w:marLeft w:val="0"/>
              <w:marRight w:val="0"/>
              <w:marTop w:val="0"/>
              <w:marBottom w:val="0"/>
              <w:divBdr>
                <w:top w:val="none" w:sz="0" w:space="0" w:color="auto"/>
                <w:left w:val="none" w:sz="0" w:space="0" w:color="auto"/>
                <w:bottom w:val="none" w:sz="0" w:space="0" w:color="auto"/>
                <w:right w:val="none" w:sz="0" w:space="0" w:color="auto"/>
              </w:divBdr>
            </w:div>
            <w:div w:id="318506567">
              <w:marLeft w:val="0"/>
              <w:marRight w:val="0"/>
              <w:marTop w:val="0"/>
              <w:marBottom w:val="0"/>
              <w:divBdr>
                <w:top w:val="none" w:sz="0" w:space="0" w:color="auto"/>
                <w:left w:val="none" w:sz="0" w:space="0" w:color="auto"/>
                <w:bottom w:val="none" w:sz="0" w:space="0" w:color="auto"/>
                <w:right w:val="none" w:sz="0" w:space="0" w:color="auto"/>
              </w:divBdr>
            </w:div>
            <w:div w:id="1566647491">
              <w:marLeft w:val="0"/>
              <w:marRight w:val="0"/>
              <w:marTop w:val="0"/>
              <w:marBottom w:val="0"/>
              <w:divBdr>
                <w:top w:val="none" w:sz="0" w:space="0" w:color="auto"/>
                <w:left w:val="none" w:sz="0" w:space="0" w:color="auto"/>
                <w:bottom w:val="none" w:sz="0" w:space="0" w:color="auto"/>
                <w:right w:val="none" w:sz="0" w:space="0" w:color="auto"/>
              </w:divBdr>
            </w:div>
            <w:div w:id="1876502632">
              <w:marLeft w:val="0"/>
              <w:marRight w:val="0"/>
              <w:marTop w:val="0"/>
              <w:marBottom w:val="0"/>
              <w:divBdr>
                <w:top w:val="none" w:sz="0" w:space="0" w:color="auto"/>
                <w:left w:val="none" w:sz="0" w:space="0" w:color="auto"/>
                <w:bottom w:val="none" w:sz="0" w:space="0" w:color="auto"/>
                <w:right w:val="none" w:sz="0" w:space="0" w:color="auto"/>
              </w:divBdr>
            </w:div>
            <w:div w:id="938873514">
              <w:marLeft w:val="0"/>
              <w:marRight w:val="0"/>
              <w:marTop w:val="0"/>
              <w:marBottom w:val="0"/>
              <w:divBdr>
                <w:top w:val="none" w:sz="0" w:space="0" w:color="auto"/>
                <w:left w:val="none" w:sz="0" w:space="0" w:color="auto"/>
                <w:bottom w:val="none" w:sz="0" w:space="0" w:color="auto"/>
                <w:right w:val="none" w:sz="0" w:space="0" w:color="auto"/>
              </w:divBdr>
            </w:div>
            <w:div w:id="101190144">
              <w:marLeft w:val="0"/>
              <w:marRight w:val="0"/>
              <w:marTop w:val="0"/>
              <w:marBottom w:val="0"/>
              <w:divBdr>
                <w:top w:val="none" w:sz="0" w:space="0" w:color="auto"/>
                <w:left w:val="none" w:sz="0" w:space="0" w:color="auto"/>
                <w:bottom w:val="none" w:sz="0" w:space="0" w:color="auto"/>
                <w:right w:val="none" w:sz="0" w:space="0" w:color="auto"/>
              </w:divBdr>
            </w:div>
            <w:div w:id="1004480608">
              <w:marLeft w:val="0"/>
              <w:marRight w:val="0"/>
              <w:marTop w:val="0"/>
              <w:marBottom w:val="0"/>
              <w:divBdr>
                <w:top w:val="none" w:sz="0" w:space="0" w:color="auto"/>
                <w:left w:val="none" w:sz="0" w:space="0" w:color="auto"/>
                <w:bottom w:val="none" w:sz="0" w:space="0" w:color="auto"/>
                <w:right w:val="none" w:sz="0" w:space="0" w:color="auto"/>
              </w:divBdr>
            </w:div>
            <w:div w:id="295572391">
              <w:marLeft w:val="0"/>
              <w:marRight w:val="0"/>
              <w:marTop w:val="0"/>
              <w:marBottom w:val="0"/>
              <w:divBdr>
                <w:top w:val="none" w:sz="0" w:space="0" w:color="auto"/>
                <w:left w:val="none" w:sz="0" w:space="0" w:color="auto"/>
                <w:bottom w:val="none" w:sz="0" w:space="0" w:color="auto"/>
                <w:right w:val="none" w:sz="0" w:space="0" w:color="auto"/>
              </w:divBdr>
            </w:div>
            <w:div w:id="49770453">
              <w:marLeft w:val="0"/>
              <w:marRight w:val="0"/>
              <w:marTop w:val="0"/>
              <w:marBottom w:val="0"/>
              <w:divBdr>
                <w:top w:val="none" w:sz="0" w:space="0" w:color="auto"/>
                <w:left w:val="none" w:sz="0" w:space="0" w:color="auto"/>
                <w:bottom w:val="none" w:sz="0" w:space="0" w:color="auto"/>
                <w:right w:val="none" w:sz="0" w:space="0" w:color="auto"/>
              </w:divBdr>
            </w:div>
            <w:div w:id="1639915107">
              <w:marLeft w:val="0"/>
              <w:marRight w:val="0"/>
              <w:marTop w:val="0"/>
              <w:marBottom w:val="0"/>
              <w:divBdr>
                <w:top w:val="none" w:sz="0" w:space="0" w:color="auto"/>
                <w:left w:val="none" w:sz="0" w:space="0" w:color="auto"/>
                <w:bottom w:val="none" w:sz="0" w:space="0" w:color="auto"/>
                <w:right w:val="none" w:sz="0" w:space="0" w:color="auto"/>
              </w:divBdr>
            </w:div>
            <w:div w:id="1013459291">
              <w:marLeft w:val="0"/>
              <w:marRight w:val="0"/>
              <w:marTop w:val="0"/>
              <w:marBottom w:val="0"/>
              <w:divBdr>
                <w:top w:val="none" w:sz="0" w:space="0" w:color="auto"/>
                <w:left w:val="none" w:sz="0" w:space="0" w:color="auto"/>
                <w:bottom w:val="none" w:sz="0" w:space="0" w:color="auto"/>
                <w:right w:val="none" w:sz="0" w:space="0" w:color="auto"/>
              </w:divBdr>
            </w:div>
            <w:div w:id="566380649">
              <w:marLeft w:val="0"/>
              <w:marRight w:val="0"/>
              <w:marTop w:val="0"/>
              <w:marBottom w:val="0"/>
              <w:divBdr>
                <w:top w:val="none" w:sz="0" w:space="0" w:color="auto"/>
                <w:left w:val="none" w:sz="0" w:space="0" w:color="auto"/>
                <w:bottom w:val="none" w:sz="0" w:space="0" w:color="auto"/>
                <w:right w:val="none" w:sz="0" w:space="0" w:color="auto"/>
              </w:divBdr>
            </w:div>
            <w:div w:id="43021998">
              <w:marLeft w:val="0"/>
              <w:marRight w:val="0"/>
              <w:marTop w:val="0"/>
              <w:marBottom w:val="0"/>
              <w:divBdr>
                <w:top w:val="none" w:sz="0" w:space="0" w:color="auto"/>
                <w:left w:val="none" w:sz="0" w:space="0" w:color="auto"/>
                <w:bottom w:val="none" w:sz="0" w:space="0" w:color="auto"/>
                <w:right w:val="none" w:sz="0" w:space="0" w:color="auto"/>
              </w:divBdr>
            </w:div>
            <w:div w:id="579414674">
              <w:marLeft w:val="0"/>
              <w:marRight w:val="0"/>
              <w:marTop w:val="0"/>
              <w:marBottom w:val="0"/>
              <w:divBdr>
                <w:top w:val="none" w:sz="0" w:space="0" w:color="auto"/>
                <w:left w:val="none" w:sz="0" w:space="0" w:color="auto"/>
                <w:bottom w:val="none" w:sz="0" w:space="0" w:color="auto"/>
                <w:right w:val="none" w:sz="0" w:space="0" w:color="auto"/>
              </w:divBdr>
            </w:div>
            <w:div w:id="1134566497">
              <w:marLeft w:val="0"/>
              <w:marRight w:val="0"/>
              <w:marTop w:val="0"/>
              <w:marBottom w:val="0"/>
              <w:divBdr>
                <w:top w:val="none" w:sz="0" w:space="0" w:color="auto"/>
                <w:left w:val="none" w:sz="0" w:space="0" w:color="auto"/>
                <w:bottom w:val="none" w:sz="0" w:space="0" w:color="auto"/>
                <w:right w:val="none" w:sz="0" w:space="0" w:color="auto"/>
              </w:divBdr>
            </w:div>
            <w:div w:id="1400905229">
              <w:marLeft w:val="0"/>
              <w:marRight w:val="0"/>
              <w:marTop w:val="0"/>
              <w:marBottom w:val="0"/>
              <w:divBdr>
                <w:top w:val="none" w:sz="0" w:space="0" w:color="auto"/>
                <w:left w:val="none" w:sz="0" w:space="0" w:color="auto"/>
                <w:bottom w:val="none" w:sz="0" w:space="0" w:color="auto"/>
                <w:right w:val="none" w:sz="0" w:space="0" w:color="auto"/>
              </w:divBdr>
            </w:div>
            <w:div w:id="1892499716">
              <w:marLeft w:val="0"/>
              <w:marRight w:val="0"/>
              <w:marTop w:val="0"/>
              <w:marBottom w:val="0"/>
              <w:divBdr>
                <w:top w:val="none" w:sz="0" w:space="0" w:color="auto"/>
                <w:left w:val="none" w:sz="0" w:space="0" w:color="auto"/>
                <w:bottom w:val="none" w:sz="0" w:space="0" w:color="auto"/>
                <w:right w:val="none" w:sz="0" w:space="0" w:color="auto"/>
              </w:divBdr>
            </w:div>
            <w:div w:id="1498426408">
              <w:marLeft w:val="0"/>
              <w:marRight w:val="0"/>
              <w:marTop w:val="0"/>
              <w:marBottom w:val="0"/>
              <w:divBdr>
                <w:top w:val="none" w:sz="0" w:space="0" w:color="auto"/>
                <w:left w:val="none" w:sz="0" w:space="0" w:color="auto"/>
                <w:bottom w:val="none" w:sz="0" w:space="0" w:color="auto"/>
                <w:right w:val="none" w:sz="0" w:space="0" w:color="auto"/>
              </w:divBdr>
            </w:div>
            <w:div w:id="369693706">
              <w:marLeft w:val="0"/>
              <w:marRight w:val="0"/>
              <w:marTop w:val="0"/>
              <w:marBottom w:val="0"/>
              <w:divBdr>
                <w:top w:val="none" w:sz="0" w:space="0" w:color="auto"/>
                <w:left w:val="none" w:sz="0" w:space="0" w:color="auto"/>
                <w:bottom w:val="none" w:sz="0" w:space="0" w:color="auto"/>
                <w:right w:val="none" w:sz="0" w:space="0" w:color="auto"/>
              </w:divBdr>
            </w:div>
            <w:div w:id="1672371636">
              <w:marLeft w:val="0"/>
              <w:marRight w:val="0"/>
              <w:marTop w:val="0"/>
              <w:marBottom w:val="0"/>
              <w:divBdr>
                <w:top w:val="none" w:sz="0" w:space="0" w:color="auto"/>
                <w:left w:val="none" w:sz="0" w:space="0" w:color="auto"/>
                <w:bottom w:val="none" w:sz="0" w:space="0" w:color="auto"/>
                <w:right w:val="none" w:sz="0" w:space="0" w:color="auto"/>
              </w:divBdr>
            </w:div>
            <w:div w:id="1905796589">
              <w:marLeft w:val="0"/>
              <w:marRight w:val="0"/>
              <w:marTop w:val="0"/>
              <w:marBottom w:val="0"/>
              <w:divBdr>
                <w:top w:val="none" w:sz="0" w:space="0" w:color="auto"/>
                <w:left w:val="none" w:sz="0" w:space="0" w:color="auto"/>
                <w:bottom w:val="none" w:sz="0" w:space="0" w:color="auto"/>
                <w:right w:val="none" w:sz="0" w:space="0" w:color="auto"/>
              </w:divBdr>
            </w:div>
            <w:div w:id="2092701157">
              <w:marLeft w:val="0"/>
              <w:marRight w:val="0"/>
              <w:marTop w:val="0"/>
              <w:marBottom w:val="0"/>
              <w:divBdr>
                <w:top w:val="none" w:sz="0" w:space="0" w:color="auto"/>
                <w:left w:val="none" w:sz="0" w:space="0" w:color="auto"/>
                <w:bottom w:val="none" w:sz="0" w:space="0" w:color="auto"/>
                <w:right w:val="none" w:sz="0" w:space="0" w:color="auto"/>
              </w:divBdr>
            </w:div>
            <w:div w:id="1929121813">
              <w:marLeft w:val="0"/>
              <w:marRight w:val="0"/>
              <w:marTop w:val="0"/>
              <w:marBottom w:val="0"/>
              <w:divBdr>
                <w:top w:val="none" w:sz="0" w:space="0" w:color="auto"/>
                <w:left w:val="none" w:sz="0" w:space="0" w:color="auto"/>
                <w:bottom w:val="none" w:sz="0" w:space="0" w:color="auto"/>
                <w:right w:val="none" w:sz="0" w:space="0" w:color="auto"/>
              </w:divBdr>
            </w:div>
            <w:div w:id="2129467365">
              <w:marLeft w:val="0"/>
              <w:marRight w:val="0"/>
              <w:marTop w:val="0"/>
              <w:marBottom w:val="0"/>
              <w:divBdr>
                <w:top w:val="none" w:sz="0" w:space="0" w:color="auto"/>
                <w:left w:val="none" w:sz="0" w:space="0" w:color="auto"/>
                <w:bottom w:val="none" w:sz="0" w:space="0" w:color="auto"/>
                <w:right w:val="none" w:sz="0" w:space="0" w:color="auto"/>
              </w:divBdr>
            </w:div>
            <w:div w:id="859590441">
              <w:marLeft w:val="0"/>
              <w:marRight w:val="0"/>
              <w:marTop w:val="0"/>
              <w:marBottom w:val="0"/>
              <w:divBdr>
                <w:top w:val="none" w:sz="0" w:space="0" w:color="auto"/>
                <w:left w:val="none" w:sz="0" w:space="0" w:color="auto"/>
                <w:bottom w:val="none" w:sz="0" w:space="0" w:color="auto"/>
                <w:right w:val="none" w:sz="0" w:space="0" w:color="auto"/>
              </w:divBdr>
            </w:div>
            <w:div w:id="1949189970">
              <w:marLeft w:val="0"/>
              <w:marRight w:val="0"/>
              <w:marTop w:val="0"/>
              <w:marBottom w:val="0"/>
              <w:divBdr>
                <w:top w:val="none" w:sz="0" w:space="0" w:color="auto"/>
                <w:left w:val="none" w:sz="0" w:space="0" w:color="auto"/>
                <w:bottom w:val="none" w:sz="0" w:space="0" w:color="auto"/>
                <w:right w:val="none" w:sz="0" w:space="0" w:color="auto"/>
              </w:divBdr>
            </w:div>
            <w:div w:id="1026903624">
              <w:marLeft w:val="0"/>
              <w:marRight w:val="0"/>
              <w:marTop w:val="0"/>
              <w:marBottom w:val="0"/>
              <w:divBdr>
                <w:top w:val="none" w:sz="0" w:space="0" w:color="auto"/>
                <w:left w:val="none" w:sz="0" w:space="0" w:color="auto"/>
                <w:bottom w:val="none" w:sz="0" w:space="0" w:color="auto"/>
                <w:right w:val="none" w:sz="0" w:space="0" w:color="auto"/>
              </w:divBdr>
            </w:div>
            <w:div w:id="757284980">
              <w:marLeft w:val="0"/>
              <w:marRight w:val="0"/>
              <w:marTop w:val="0"/>
              <w:marBottom w:val="0"/>
              <w:divBdr>
                <w:top w:val="none" w:sz="0" w:space="0" w:color="auto"/>
                <w:left w:val="none" w:sz="0" w:space="0" w:color="auto"/>
                <w:bottom w:val="none" w:sz="0" w:space="0" w:color="auto"/>
                <w:right w:val="none" w:sz="0" w:space="0" w:color="auto"/>
              </w:divBdr>
            </w:div>
            <w:div w:id="1208180953">
              <w:marLeft w:val="0"/>
              <w:marRight w:val="0"/>
              <w:marTop w:val="0"/>
              <w:marBottom w:val="0"/>
              <w:divBdr>
                <w:top w:val="none" w:sz="0" w:space="0" w:color="auto"/>
                <w:left w:val="none" w:sz="0" w:space="0" w:color="auto"/>
                <w:bottom w:val="none" w:sz="0" w:space="0" w:color="auto"/>
                <w:right w:val="none" w:sz="0" w:space="0" w:color="auto"/>
              </w:divBdr>
            </w:div>
            <w:div w:id="438452780">
              <w:marLeft w:val="0"/>
              <w:marRight w:val="0"/>
              <w:marTop w:val="0"/>
              <w:marBottom w:val="0"/>
              <w:divBdr>
                <w:top w:val="none" w:sz="0" w:space="0" w:color="auto"/>
                <w:left w:val="none" w:sz="0" w:space="0" w:color="auto"/>
                <w:bottom w:val="none" w:sz="0" w:space="0" w:color="auto"/>
                <w:right w:val="none" w:sz="0" w:space="0" w:color="auto"/>
              </w:divBdr>
            </w:div>
            <w:div w:id="1000044843">
              <w:marLeft w:val="0"/>
              <w:marRight w:val="0"/>
              <w:marTop w:val="0"/>
              <w:marBottom w:val="0"/>
              <w:divBdr>
                <w:top w:val="none" w:sz="0" w:space="0" w:color="auto"/>
                <w:left w:val="none" w:sz="0" w:space="0" w:color="auto"/>
                <w:bottom w:val="none" w:sz="0" w:space="0" w:color="auto"/>
                <w:right w:val="none" w:sz="0" w:space="0" w:color="auto"/>
              </w:divBdr>
            </w:div>
            <w:div w:id="5264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dict_maliakkal@urmc.rochester.edu"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package" Target="embeddings/Microsoft_PowerPoint_Slide1.sl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F8802C-7771-4BE7-9360-27915299487E}"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US"/>
        </a:p>
      </dgm:t>
    </dgm:pt>
    <dgm:pt modelId="{651C36D7-62A9-4DE8-9250-F86680F775AB}">
      <dgm:prSet phldrT="[Text]"/>
      <dgm:spPr/>
      <dgm:t>
        <a:bodyPr/>
        <a:lstStyle/>
        <a:p>
          <a:r>
            <a:rPr lang="en-US"/>
            <a:t>Bio-chemical Evidence</a:t>
          </a:r>
        </a:p>
      </dgm:t>
    </dgm:pt>
    <dgm:pt modelId="{596DD578-B7AE-46F8-9295-BCF27ECC3FA2}" type="parTrans" cxnId="{FAF5226E-089E-4CDF-B80E-749F2A6D0E65}">
      <dgm:prSet/>
      <dgm:spPr/>
      <dgm:t>
        <a:bodyPr/>
        <a:lstStyle/>
        <a:p>
          <a:endParaRPr lang="en-US"/>
        </a:p>
      </dgm:t>
    </dgm:pt>
    <dgm:pt modelId="{BF99EC47-EB2E-43EA-8BEB-C02A2C95B860}" type="sibTrans" cxnId="{FAF5226E-089E-4CDF-B80E-749F2A6D0E65}">
      <dgm:prSet/>
      <dgm:spPr/>
      <dgm:t>
        <a:bodyPr/>
        <a:lstStyle/>
        <a:p>
          <a:endParaRPr lang="en-US"/>
        </a:p>
      </dgm:t>
    </dgm:pt>
    <dgm:pt modelId="{923F750C-D91D-4398-8383-935891631F7D}">
      <dgm:prSet phldrT="[Text]"/>
      <dgm:spPr/>
      <dgm:t>
        <a:bodyPr/>
        <a:lstStyle/>
        <a:p>
          <a:pPr algn="ctr"/>
          <a:r>
            <a:rPr lang="en-US" dirty="0"/>
            <a:t>RBV causes hemolysis to release heme</a:t>
          </a:r>
        </a:p>
      </dgm:t>
    </dgm:pt>
    <dgm:pt modelId="{C769C563-48DA-4A2D-B336-0C5FCC54268D}" type="parTrans" cxnId="{444F8048-741C-4F06-8AAF-02FD6740B5F6}">
      <dgm:prSet/>
      <dgm:spPr/>
      <dgm:t>
        <a:bodyPr/>
        <a:lstStyle/>
        <a:p>
          <a:endParaRPr lang="en-US"/>
        </a:p>
      </dgm:t>
    </dgm:pt>
    <dgm:pt modelId="{2CE163FF-184E-4AAD-8F4F-D2F6915BAD06}" type="sibTrans" cxnId="{444F8048-741C-4F06-8AAF-02FD6740B5F6}">
      <dgm:prSet/>
      <dgm:spPr/>
      <dgm:t>
        <a:bodyPr/>
        <a:lstStyle/>
        <a:p>
          <a:endParaRPr lang="en-US"/>
        </a:p>
      </dgm:t>
    </dgm:pt>
    <dgm:pt modelId="{89442C70-8EC1-49EE-84BD-6D686800884B}">
      <dgm:prSet phldrT="[Text]"/>
      <dgm:spPr/>
      <dgm:t>
        <a:bodyPr/>
        <a:lstStyle/>
        <a:p>
          <a:r>
            <a:rPr lang="en-US"/>
            <a:t>Clinical Evidence</a:t>
          </a:r>
        </a:p>
      </dgm:t>
    </dgm:pt>
    <dgm:pt modelId="{CEB95693-3844-4F73-8078-C07F6A1F7F70}" type="parTrans" cxnId="{D925F869-4CD9-4E09-BFF0-56AFE108F25D}">
      <dgm:prSet/>
      <dgm:spPr/>
      <dgm:t>
        <a:bodyPr/>
        <a:lstStyle/>
        <a:p>
          <a:endParaRPr lang="en-US"/>
        </a:p>
      </dgm:t>
    </dgm:pt>
    <dgm:pt modelId="{60CA544D-C29F-40A1-8AB4-C5241B0BFC2D}" type="sibTrans" cxnId="{D925F869-4CD9-4E09-BFF0-56AFE108F25D}">
      <dgm:prSet/>
      <dgm:spPr/>
      <dgm:t>
        <a:bodyPr/>
        <a:lstStyle/>
        <a:p>
          <a:endParaRPr lang="en-US"/>
        </a:p>
      </dgm:t>
    </dgm:pt>
    <dgm:pt modelId="{EB3A1B9B-0628-4CE7-ADD0-D6313EB28013}">
      <dgm:prSet phldrT="[Text]"/>
      <dgm:spPr/>
      <dgm:t>
        <a:bodyPr/>
        <a:lstStyle/>
        <a:p>
          <a:r>
            <a:rPr lang="en-US"/>
            <a:t>RBV therapy results in hemolytic anemia</a:t>
          </a:r>
        </a:p>
      </dgm:t>
    </dgm:pt>
    <dgm:pt modelId="{7B58C636-6CB4-4758-A4BF-860CC1F05AE6}" type="parTrans" cxnId="{6B4786D3-F4A8-411A-A549-73ED2501D74F}">
      <dgm:prSet/>
      <dgm:spPr/>
      <dgm:t>
        <a:bodyPr/>
        <a:lstStyle/>
        <a:p>
          <a:endParaRPr lang="en-US"/>
        </a:p>
      </dgm:t>
    </dgm:pt>
    <dgm:pt modelId="{740BA6ED-1CEB-488E-AED9-F1F236652050}" type="sibTrans" cxnId="{6B4786D3-F4A8-411A-A549-73ED2501D74F}">
      <dgm:prSet/>
      <dgm:spPr/>
      <dgm:t>
        <a:bodyPr/>
        <a:lstStyle/>
        <a:p>
          <a:endParaRPr lang="en-US"/>
        </a:p>
      </dgm:t>
    </dgm:pt>
    <dgm:pt modelId="{3E9AD820-F90C-4026-A5C5-DCF9BA4D9970}">
      <dgm:prSet phldrT="[Text]"/>
      <dgm:spPr/>
      <dgm:t>
        <a:bodyPr/>
        <a:lstStyle/>
        <a:p>
          <a:r>
            <a:rPr lang="en-US"/>
            <a:t>SVR rates are higher in patients who develop anemia </a:t>
          </a:r>
        </a:p>
      </dgm:t>
    </dgm:pt>
    <dgm:pt modelId="{BD276475-59BB-4666-AEBB-13F8F910FAD6}" type="parTrans" cxnId="{C07C5022-DBEA-4CC0-B93F-17EEED6EBE63}">
      <dgm:prSet/>
      <dgm:spPr/>
      <dgm:t>
        <a:bodyPr/>
        <a:lstStyle/>
        <a:p>
          <a:endParaRPr lang="en-US"/>
        </a:p>
      </dgm:t>
    </dgm:pt>
    <dgm:pt modelId="{09F37C5C-E5AA-4C74-BF54-96AF3D6DE96B}" type="sibTrans" cxnId="{C07C5022-DBEA-4CC0-B93F-17EEED6EBE63}">
      <dgm:prSet/>
      <dgm:spPr/>
      <dgm:t>
        <a:bodyPr/>
        <a:lstStyle/>
        <a:p>
          <a:endParaRPr lang="en-US"/>
        </a:p>
      </dgm:t>
    </dgm:pt>
    <dgm:pt modelId="{FD8823FB-003E-47AC-B1FF-D4A1FAA40640}">
      <dgm:prSet phldrT="[Text]"/>
      <dgm:spPr/>
      <dgm:t>
        <a:bodyPr/>
        <a:lstStyle/>
        <a:p>
          <a:pPr algn="ctr"/>
          <a:r>
            <a:rPr lang="en-US" dirty="0" smtClean="0"/>
            <a:t>Heme </a:t>
          </a:r>
          <a:r>
            <a:rPr lang="en-US" dirty="0"/>
            <a:t>increases HMOX1 in Kupffer cells and decreases inflammation</a:t>
          </a:r>
        </a:p>
      </dgm:t>
    </dgm:pt>
    <dgm:pt modelId="{ABDE1D83-A65D-4609-89FB-D4E37BD7AD87}" type="sibTrans" cxnId="{C6F53977-EBCC-460E-949E-545B49664508}">
      <dgm:prSet/>
      <dgm:spPr/>
      <dgm:t>
        <a:bodyPr/>
        <a:lstStyle/>
        <a:p>
          <a:endParaRPr lang="en-US"/>
        </a:p>
      </dgm:t>
    </dgm:pt>
    <dgm:pt modelId="{A1F966A1-E02A-46EC-AFB9-F7EC0B879B7F}" type="parTrans" cxnId="{C6F53977-EBCC-460E-949E-545B49664508}">
      <dgm:prSet/>
      <dgm:spPr/>
      <dgm:t>
        <a:bodyPr/>
        <a:lstStyle/>
        <a:p>
          <a:endParaRPr lang="en-US"/>
        </a:p>
      </dgm:t>
    </dgm:pt>
    <dgm:pt modelId="{D36BF18F-4E46-41D7-A562-C3C3049870D2}">
      <dgm:prSet/>
      <dgm:spPr/>
      <dgm:t>
        <a:bodyPr/>
        <a:lstStyle/>
        <a:p>
          <a:pPr algn="ctr"/>
          <a:r>
            <a:rPr lang="en-US" dirty="0" smtClean="0"/>
            <a:t>Heme increases HMOX1</a:t>
          </a:r>
          <a:r>
            <a:rPr lang="en-US" dirty="0"/>
            <a:t> in hepatocytes, which decreases oxidative damage and apoptosis </a:t>
          </a:r>
        </a:p>
      </dgm:t>
    </dgm:pt>
    <dgm:pt modelId="{3EB4FD38-C31C-4B05-A16D-1BFB87C7EB6A}" type="parTrans" cxnId="{00265EF3-3ED3-427E-A4AE-F528C664B266}">
      <dgm:prSet/>
      <dgm:spPr/>
      <dgm:t>
        <a:bodyPr/>
        <a:lstStyle/>
        <a:p>
          <a:endParaRPr lang="en-US"/>
        </a:p>
      </dgm:t>
    </dgm:pt>
    <dgm:pt modelId="{C839166B-6F2F-4383-ABBC-DC8F9097E1BF}" type="sibTrans" cxnId="{00265EF3-3ED3-427E-A4AE-F528C664B266}">
      <dgm:prSet/>
      <dgm:spPr/>
      <dgm:t>
        <a:bodyPr/>
        <a:lstStyle/>
        <a:p>
          <a:endParaRPr lang="en-US"/>
        </a:p>
      </dgm:t>
    </dgm:pt>
    <dgm:pt modelId="{333316FB-5644-426E-9556-5C57C0114A53}">
      <dgm:prSet/>
      <dgm:spPr/>
      <dgm:t>
        <a:bodyPr/>
        <a:lstStyle/>
        <a:p>
          <a:pPr algn="ctr"/>
          <a:r>
            <a:rPr lang="en-US" dirty="0" smtClean="0"/>
            <a:t>Restores </a:t>
          </a:r>
          <a:r>
            <a:rPr lang="en-US" dirty="0"/>
            <a:t>the IFN promoter activation and interferon-stimulated response genes (ISRG)</a:t>
          </a:r>
        </a:p>
      </dgm:t>
    </dgm:pt>
    <dgm:pt modelId="{9B20DA9E-F47F-4F81-B2D1-A39045C77E9D}" type="parTrans" cxnId="{D6935AEC-F9B5-4E04-A135-C43B936897FC}">
      <dgm:prSet/>
      <dgm:spPr/>
      <dgm:t>
        <a:bodyPr/>
        <a:lstStyle/>
        <a:p>
          <a:endParaRPr lang="en-US"/>
        </a:p>
      </dgm:t>
    </dgm:pt>
    <dgm:pt modelId="{476753AC-80A6-48B9-B5FA-518A0803B08B}" type="sibTrans" cxnId="{D6935AEC-F9B5-4E04-A135-C43B936897FC}">
      <dgm:prSet/>
      <dgm:spPr/>
      <dgm:t>
        <a:bodyPr/>
        <a:lstStyle/>
        <a:p>
          <a:endParaRPr lang="en-US"/>
        </a:p>
      </dgm:t>
    </dgm:pt>
    <dgm:pt modelId="{93B22D47-57E1-482F-8052-93DACB40D6DA}">
      <dgm:prSet/>
      <dgm:spPr/>
      <dgm:t>
        <a:bodyPr/>
        <a:lstStyle/>
        <a:p>
          <a:r>
            <a:rPr lang="en-US"/>
            <a:t>SVR rate does not depend on the treatment utilized to manage anemia</a:t>
          </a:r>
        </a:p>
      </dgm:t>
    </dgm:pt>
    <dgm:pt modelId="{C88D85B8-2B49-4D5A-BE71-9DAB66D35912}" type="parTrans" cxnId="{4C50B301-5559-4E81-B9EF-28245FD9EC4B}">
      <dgm:prSet/>
      <dgm:spPr/>
      <dgm:t>
        <a:bodyPr/>
        <a:lstStyle/>
        <a:p>
          <a:endParaRPr lang="en-US"/>
        </a:p>
      </dgm:t>
    </dgm:pt>
    <dgm:pt modelId="{4A0B7020-96F2-4CA9-8AD7-05740AE51473}" type="sibTrans" cxnId="{4C50B301-5559-4E81-B9EF-28245FD9EC4B}">
      <dgm:prSet/>
      <dgm:spPr/>
      <dgm:t>
        <a:bodyPr/>
        <a:lstStyle/>
        <a:p>
          <a:endParaRPr lang="en-US"/>
        </a:p>
      </dgm:t>
    </dgm:pt>
    <dgm:pt modelId="{0FE9E001-F322-4D6D-A459-FEB098988C72}">
      <dgm:prSet/>
      <dgm:spPr/>
      <dgm:t>
        <a:bodyPr/>
        <a:lstStyle/>
        <a:p>
          <a:r>
            <a:rPr lang="en-US" dirty="0"/>
            <a:t>RBV </a:t>
          </a:r>
          <a:r>
            <a:rPr lang="en-US" dirty="0" smtClean="0"/>
            <a:t>analogs, such as </a:t>
          </a:r>
          <a:r>
            <a:rPr lang="en-US" dirty="0"/>
            <a:t>taribavirin, which causes lesser anemia, are inferior to RBV for treatment of cHCV</a:t>
          </a:r>
        </a:p>
      </dgm:t>
    </dgm:pt>
    <dgm:pt modelId="{3FA02961-40C6-4F71-BB3D-23C919A46BCD}" type="parTrans" cxnId="{8DEF1A92-2382-4F3D-B22E-18A1F1D2566C}">
      <dgm:prSet/>
      <dgm:spPr/>
      <dgm:t>
        <a:bodyPr/>
        <a:lstStyle/>
        <a:p>
          <a:endParaRPr lang="en-US"/>
        </a:p>
      </dgm:t>
    </dgm:pt>
    <dgm:pt modelId="{4F282B55-77B8-4C41-ACCB-5AC9B92F917F}" type="sibTrans" cxnId="{8DEF1A92-2382-4F3D-B22E-18A1F1D2566C}">
      <dgm:prSet/>
      <dgm:spPr/>
      <dgm:t>
        <a:bodyPr/>
        <a:lstStyle/>
        <a:p>
          <a:endParaRPr lang="en-US"/>
        </a:p>
      </dgm:t>
    </dgm:pt>
    <dgm:pt modelId="{2D872247-70B3-4960-978D-6474F47C9881}" type="pres">
      <dgm:prSet presAssocID="{70F8802C-7771-4BE7-9360-27915299487E}" presName="diagram" presStyleCnt="0">
        <dgm:presLayoutVars>
          <dgm:chPref val="1"/>
          <dgm:dir/>
          <dgm:animOne val="branch"/>
          <dgm:animLvl val="lvl"/>
          <dgm:resizeHandles/>
        </dgm:presLayoutVars>
      </dgm:prSet>
      <dgm:spPr/>
      <dgm:t>
        <a:bodyPr/>
        <a:lstStyle/>
        <a:p>
          <a:endParaRPr lang="en-US"/>
        </a:p>
      </dgm:t>
    </dgm:pt>
    <dgm:pt modelId="{5CFD7C25-1CC1-4F52-84B1-14CF04854B1F}" type="pres">
      <dgm:prSet presAssocID="{651C36D7-62A9-4DE8-9250-F86680F775AB}" presName="root" presStyleCnt="0"/>
      <dgm:spPr/>
    </dgm:pt>
    <dgm:pt modelId="{8CC3E287-0CA1-444F-8094-2D65639A9306}" type="pres">
      <dgm:prSet presAssocID="{651C36D7-62A9-4DE8-9250-F86680F775AB}" presName="rootComposite" presStyleCnt="0"/>
      <dgm:spPr/>
    </dgm:pt>
    <dgm:pt modelId="{369726EC-AA41-4615-8B4F-8797A533BAD8}" type="pres">
      <dgm:prSet presAssocID="{651C36D7-62A9-4DE8-9250-F86680F775AB}" presName="rootText" presStyleLbl="node1" presStyleIdx="0" presStyleCnt="2" custScaleX="153683" custLinFactNeighborX="-11642" custLinFactNeighborY="-229"/>
      <dgm:spPr/>
      <dgm:t>
        <a:bodyPr/>
        <a:lstStyle/>
        <a:p>
          <a:endParaRPr lang="en-US"/>
        </a:p>
      </dgm:t>
    </dgm:pt>
    <dgm:pt modelId="{A8188612-C6FA-45A8-AB0E-029D34EB9549}" type="pres">
      <dgm:prSet presAssocID="{651C36D7-62A9-4DE8-9250-F86680F775AB}" presName="rootConnector" presStyleLbl="node1" presStyleIdx="0" presStyleCnt="2"/>
      <dgm:spPr/>
      <dgm:t>
        <a:bodyPr/>
        <a:lstStyle/>
        <a:p>
          <a:endParaRPr lang="en-US"/>
        </a:p>
      </dgm:t>
    </dgm:pt>
    <dgm:pt modelId="{60C26C74-E4A2-4F05-BBA0-7E809FEB57A6}" type="pres">
      <dgm:prSet presAssocID="{651C36D7-62A9-4DE8-9250-F86680F775AB}" presName="childShape" presStyleCnt="0"/>
      <dgm:spPr/>
    </dgm:pt>
    <dgm:pt modelId="{6165E975-9763-45FB-8980-EE4165D5E0F5}" type="pres">
      <dgm:prSet presAssocID="{C769C563-48DA-4A2D-B336-0C5FCC54268D}" presName="Name13" presStyleLbl="parChTrans1D2" presStyleIdx="0" presStyleCnt="8"/>
      <dgm:spPr/>
      <dgm:t>
        <a:bodyPr/>
        <a:lstStyle/>
        <a:p>
          <a:endParaRPr lang="en-US"/>
        </a:p>
      </dgm:t>
    </dgm:pt>
    <dgm:pt modelId="{B7A62122-5F61-401F-9803-BD180BE93757}" type="pres">
      <dgm:prSet presAssocID="{923F750C-D91D-4398-8383-935891631F7D}" presName="childText" presStyleLbl="bgAcc1" presStyleIdx="0" presStyleCnt="8" custScaleX="153683" custScaleY="71226" custLinFactNeighborX="-32931" custLinFactNeighborY="-6087">
        <dgm:presLayoutVars>
          <dgm:bulletEnabled val="1"/>
        </dgm:presLayoutVars>
      </dgm:prSet>
      <dgm:spPr/>
      <dgm:t>
        <a:bodyPr/>
        <a:lstStyle/>
        <a:p>
          <a:endParaRPr lang="en-US"/>
        </a:p>
      </dgm:t>
    </dgm:pt>
    <dgm:pt modelId="{191EB549-F19C-4FA7-93CF-3AB6AECD09A5}" type="pres">
      <dgm:prSet presAssocID="{A1F966A1-E02A-46EC-AFB9-F7EC0B879B7F}" presName="Name13" presStyleLbl="parChTrans1D2" presStyleIdx="1" presStyleCnt="8" custSzX="280688"/>
      <dgm:spPr/>
      <dgm:t>
        <a:bodyPr/>
        <a:lstStyle/>
        <a:p>
          <a:endParaRPr lang="en-US"/>
        </a:p>
      </dgm:t>
    </dgm:pt>
    <dgm:pt modelId="{D4C7AF81-A908-4131-B089-514BD5F0CC45}" type="pres">
      <dgm:prSet presAssocID="{FD8823FB-003E-47AC-B1FF-D4A1FAA40640}" presName="childText" presStyleLbl="bgAcc1" presStyleIdx="1" presStyleCnt="8" custScaleX="153683" custScaleY="71703" custLinFactNeighborX="-33487" custLinFactNeighborY="-5554">
        <dgm:presLayoutVars>
          <dgm:bulletEnabled val="1"/>
        </dgm:presLayoutVars>
      </dgm:prSet>
      <dgm:spPr/>
      <dgm:t>
        <a:bodyPr/>
        <a:lstStyle/>
        <a:p>
          <a:endParaRPr lang="en-US"/>
        </a:p>
      </dgm:t>
    </dgm:pt>
    <dgm:pt modelId="{F48AD512-68EB-4DF1-AF50-AE74A60AE8DD}" type="pres">
      <dgm:prSet presAssocID="{3EB4FD38-C31C-4B05-A16D-1BFB87C7EB6A}" presName="Name13" presStyleLbl="parChTrans1D2" presStyleIdx="2" presStyleCnt="8"/>
      <dgm:spPr/>
      <dgm:t>
        <a:bodyPr/>
        <a:lstStyle/>
        <a:p>
          <a:endParaRPr lang="en-US"/>
        </a:p>
      </dgm:t>
    </dgm:pt>
    <dgm:pt modelId="{C0E36418-08B7-43F5-AA50-CB2AF088F10A}" type="pres">
      <dgm:prSet presAssocID="{D36BF18F-4E46-41D7-A562-C3C3049870D2}" presName="childText" presStyleLbl="bgAcc1" presStyleIdx="2" presStyleCnt="8" custScaleX="153220" custScaleY="73539" custLinFactNeighborX="-32738" custLinFactNeighborY="-3442">
        <dgm:presLayoutVars>
          <dgm:bulletEnabled val="1"/>
        </dgm:presLayoutVars>
      </dgm:prSet>
      <dgm:spPr/>
      <dgm:t>
        <a:bodyPr/>
        <a:lstStyle/>
        <a:p>
          <a:endParaRPr lang="en-US"/>
        </a:p>
      </dgm:t>
    </dgm:pt>
    <dgm:pt modelId="{6E8B6219-9D79-4D45-BEE0-84BD8891B64E}" type="pres">
      <dgm:prSet presAssocID="{9B20DA9E-F47F-4F81-B2D1-A39045C77E9D}" presName="Name13" presStyleLbl="parChTrans1D2" presStyleIdx="3" presStyleCnt="8"/>
      <dgm:spPr/>
      <dgm:t>
        <a:bodyPr/>
        <a:lstStyle/>
        <a:p>
          <a:endParaRPr lang="en-US"/>
        </a:p>
      </dgm:t>
    </dgm:pt>
    <dgm:pt modelId="{B674D3E0-0F4D-48A9-B5F3-ABA126603424}" type="pres">
      <dgm:prSet presAssocID="{333316FB-5644-426E-9556-5C57C0114A53}" presName="childText" presStyleLbl="bgAcc1" presStyleIdx="3" presStyleCnt="8" custScaleX="154956" custScaleY="82076" custLinFactNeighborX="-32851" custLinFactNeighborY="165">
        <dgm:presLayoutVars>
          <dgm:bulletEnabled val="1"/>
        </dgm:presLayoutVars>
      </dgm:prSet>
      <dgm:spPr/>
      <dgm:t>
        <a:bodyPr/>
        <a:lstStyle/>
        <a:p>
          <a:endParaRPr lang="en-US"/>
        </a:p>
      </dgm:t>
    </dgm:pt>
    <dgm:pt modelId="{90D4E8E3-72DF-452B-9B2F-494897CCD360}" type="pres">
      <dgm:prSet presAssocID="{89442C70-8EC1-49EE-84BD-6D686800884B}" presName="root" presStyleCnt="0"/>
      <dgm:spPr/>
    </dgm:pt>
    <dgm:pt modelId="{E428F706-AB7E-428E-9F74-9EC32ECE0A0B}" type="pres">
      <dgm:prSet presAssocID="{89442C70-8EC1-49EE-84BD-6D686800884B}" presName="rootComposite" presStyleCnt="0"/>
      <dgm:spPr/>
    </dgm:pt>
    <dgm:pt modelId="{C14AAEF7-6881-4E99-9AC9-A4D51A372507}" type="pres">
      <dgm:prSet presAssocID="{89442C70-8EC1-49EE-84BD-6D686800884B}" presName="rootText" presStyleLbl="node1" presStyleIdx="1" presStyleCnt="2" custScaleX="154127" custLinFactNeighborX="15694" custLinFactNeighborY="-8"/>
      <dgm:spPr/>
      <dgm:t>
        <a:bodyPr/>
        <a:lstStyle/>
        <a:p>
          <a:endParaRPr lang="en-US"/>
        </a:p>
      </dgm:t>
    </dgm:pt>
    <dgm:pt modelId="{7B079D2B-E362-4D39-99CE-6F936E303EAE}" type="pres">
      <dgm:prSet presAssocID="{89442C70-8EC1-49EE-84BD-6D686800884B}" presName="rootConnector" presStyleLbl="node1" presStyleIdx="1" presStyleCnt="2"/>
      <dgm:spPr/>
      <dgm:t>
        <a:bodyPr/>
        <a:lstStyle/>
        <a:p>
          <a:endParaRPr lang="en-US"/>
        </a:p>
      </dgm:t>
    </dgm:pt>
    <dgm:pt modelId="{E64F80BD-6F46-4E33-AEF9-ADBA4628C2D1}" type="pres">
      <dgm:prSet presAssocID="{89442C70-8EC1-49EE-84BD-6D686800884B}" presName="childShape" presStyleCnt="0"/>
      <dgm:spPr/>
    </dgm:pt>
    <dgm:pt modelId="{8FBB9041-98EA-49E6-B0B5-3C3844185D7B}" type="pres">
      <dgm:prSet presAssocID="{7B58C636-6CB4-4758-A4BF-860CC1F05AE6}" presName="Name13" presStyleLbl="parChTrans1D2" presStyleIdx="4" presStyleCnt="8"/>
      <dgm:spPr/>
      <dgm:t>
        <a:bodyPr/>
        <a:lstStyle/>
        <a:p>
          <a:endParaRPr lang="en-US"/>
        </a:p>
      </dgm:t>
    </dgm:pt>
    <dgm:pt modelId="{EB04F946-DC94-4C65-992E-7BF61CE78F5A}" type="pres">
      <dgm:prSet presAssocID="{EB3A1B9B-0628-4CE7-ADD0-D6313EB28013}" presName="childText" presStyleLbl="bgAcc1" presStyleIdx="4" presStyleCnt="8" custScaleX="150517" custScaleY="73351" custLinFactNeighborX="1487" custLinFactNeighborY="-7162">
        <dgm:presLayoutVars>
          <dgm:bulletEnabled val="1"/>
        </dgm:presLayoutVars>
      </dgm:prSet>
      <dgm:spPr/>
      <dgm:t>
        <a:bodyPr/>
        <a:lstStyle/>
        <a:p>
          <a:endParaRPr lang="en-US"/>
        </a:p>
      </dgm:t>
    </dgm:pt>
    <dgm:pt modelId="{1ABEE337-3455-43AD-A75E-5A8CE0221C75}" type="pres">
      <dgm:prSet presAssocID="{BD276475-59BB-4666-AEBB-13F8F910FAD6}" presName="Name13" presStyleLbl="parChTrans1D2" presStyleIdx="5" presStyleCnt="8"/>
      <dgm:spPr/>
      <dgm:t>
        <a:bodyPr/>
        <a:lstStyle/>
        <a:p>
          <a:endParaRPr lang="en-US"/>
        </a:p>
      </dgm:t>
    </dgm:pt>
    <dgm:pt modelId="{B78710DC-7453-4CE2-A6B2-296B09801E3A}" type="pres">
      <dgm:prSet presAssocID="{3E9AD820-F90C-4026-A5C5-DCF9BA4D9970}" presName="childText" presStyleLbl="bgAcc1" presStyleIdx="5" presStyleCnt="8" custScaleX="151299" custScaleY="73028" custLinFactNeighborX="604" custLinFactNeighborY="-5736">
        <dgm:presLayoutVars>
          <dgm:bulletEnabled val="1"/>
        </dgm:presLayoutVars>
      </dgm:prSet>
      <dgm:spPr/>
      <dgm:t>
        <a:bodyPr/>
        <a:lstStyle/>
        <a:p>
          <a:endParaRPr lang="en-US"/>
        </a:p>
      </dgm:t>
    </dgm:pt>
    <dgm:pt modelId="{B6129E71-095D-4177-BA23-6A262FCE85F7}" type="pres">
      <dgm:prSet presAssocID="{C88D85B8-2B49-4D5A-BE71-9DAB66D35912}" presName="Name13" presStyleLbl="parChTrans1D2" presStyleIdx="6" presStyleCnt="8"/>
      <dgm:spPr/>
      <dgm:t>
        <a:bodyPr/>
        <a:lstStyle/>
        <a:p>
          <a:endParaRPr lang="en-US"/>
        </a:p>
      </dgm:t>
    </dgm:pt>
    <dgm:pt modelId="{AAB03E1F-5B95-4782-AAF9-1640986E9BBD}" type="pres">
      <dgm:prSet presAssocID="{93B22D47-57E1-482F-8052-93DACB40D6DA}" presName="childText" presStyleLbl="bgAcc1" presStyleIdx="6" presStyleCnt="8" custScaleX="154231" custScaleY="74459" custLinFactNeighborX="299" custLinFactNeighborY="-5707">
        <dgm:presLayoutVars>
          <dgm:bulletEnabled val="1"/>
        </dgm:presLayoutVars>
      </dgm:prSet>
      <dgm:spPr/>
      <dgm:t>
        <a:bodyPr/>
        <a:lstStyle/>
        <a:p>
          <a:endParaRPr lang="en-US"/>
        </a:p>
      </dgm:t>
    </dgm:pt>
    <dgm:pt modelId="{084CBC18-4F81-494A-94F1-682CB0C9780A}" type="pres">
      <dgm:prSet presAssocID="{3FA02961-40C6-4F71-BB3D-23C919A46BCD}" presName="Name13" presStyleLbl="parChTrans1D2" presStyleIdx="7" presStyleCnt="8"/>
      <dgm:spPr/>
      <dgm:t>
        <a:bodyPr/>
        <a:lstStyle/>
        <a:p>
          <a:endParaRPr lang="en-US"/>
        </a:p>
      </dgm:t>
    </dgm:pt>
    <dgm:pt modelId="{DF24891A-18BC-4DB1-A10A-9A8DA374FD53}" type="pres">
      <dgm:prSet presAssocID="{0FE9E001-F322-4D6D-A459-FEB098988C72}" presName="childText" presStyleLbl="bgAcc1" presStyleIdx="7" presStyleCnt="8" custScaleX="156743" custScaleY="81161">
        <dgm:presLayoutVars>
          <dgm:bulletEnabled val="1"/>
        </dgm:presLayoutVars>
      </dgm:prSet>
      <dgm:spPr/>
      <dgm:t>
        <a:bodyPr/>
        <a:lstStyle/>
        <a:p>
          <a:endParaRPr lang="en-US"/>
        </a:p>
      </dgm:t>
    </dgm:pt>
  </dgm:ptLst>
  <dgm:cxnLst>
    <dgm:cxn modelId="{C9FA9834-5F76-44B7-A17D-2E83F9928477}" type="presOf" srcId="{C88D85B8-2B49-4D5A-BE71-9DAB66D35912}" destId="{B6129E71-095D-4177-BA23-6A262FCE85F7}" srcOrd="0" destOrd="0" presId="urn:microsoft.com/office/officeart/2005/8/layout/hierarchy3"/>
    <dgm:cxn modelId="{88D18D61-A033-493B-A0BA-1B208D6DA40B}" type="presOf" srcId="{333316FB-5644-426E-9556-5C57C0114A53}" destId="{B674D3E0-0F4D-48A9-B5F3-ABA126603424}" srcOrd="0" destOrd="0" presId="urn:microsoft.com/office/officeart/2005/8/layout/hierarchy3"/>
    <dgm:cxn modelId="{04F62718-C15A-41E7-A1E8-AB0375E2E606}" type="presOf" srcId="{923F750C-D91D-4398-8383-935891631F7D}" destId="{B7A62122-5F61-401F-9803-BD180BE93757}" srcOrd="0" destOrd="0" presId="urn:microsoft.com/office/officeart/2005/8/layout/hierarchy3"/>
    <dgm:cxn modelId="{19B08114-678C-470B-9935-2A71A994B34A}" type="presOf" srcId="{BD276475-59BB-4666-AEBB-13F8F910FAD6}" destId="{1ABEE337-3455-43AD-A75E-5A8CE0221C75}" srcOrd="0" destOrd="0" presId="urn:microsoft.com/office/officeart/2005/8/layout/hierarchy3"/>
    <dgm:cxn modelId="{8D77C99D-96E0-4C7A-BE26-0C2D25D3B733}" type="presOf" srcId="{3EB4FD38-C31C-4B05-A16D-1BFB87C7EB6A}" destId="{F48AD512-68EB-4DF1-AF50-AE74A60AE8DD}" srcOrd="0" destOrd="0" presId="urn:microsoft.com/office/officeart/2005/8/layout/hierarchy3"/>
    <dgm:cxn modelId="{4C50B301-5559-4E81-B9EF-28245FD9EC4B}" srcId="{89442C70-8EC1-49EE-84BD-6D686800884B}" destId="{93B22D47-57E1-482F-8052-93DACB40D6DA}" srcOrd="2" destOrd="0" parTransId="{C88D85B8-2B49-4D5A-BE71-9DAB66D35912}" sibTransId="{4A0B7020-96F2-4CA9-8AD7-05740AE51473}"/>
    <dgm:cxn modelId="{B1DB9A8D-7AD2-41DC-8752-B09FF51D930E}" type="presOf" srcId="{7B58C636-6CB4-4758-A4BF-860CC1F05AE6}" destId="{8FBB9041-98EA-49E6-B0B5-3C3844185D7B}" srcOrd="0" destOrd="0" presId="urn:microsoft.com/office/officeart/2005/8/layout/hierarchy3"/>
    <dgm:cxn modelId="{8DEF1A92-2382-4F3D-B22E-18A1F1D2566C}" srcId="{89442C70-8EC1-49EE-84BD-6D686800884B}" destId="{0FE9E001-F322-4D6D-A459-FEB098988C72}" srcOrd="3" destOrd="0" parTransId="{3FA02961-40C6-4F71-BB3D-23C919A46BCD}" sibTransId="{4F282B55-77B8-4C41-ACCB-5AC9B92F917F}"/>
    <dgm:cxn modelId="{C07C5022-DBEA-4CC0-B93F-17EEED6EBE63}" srcId="{89442C70-8EC1-49EE-84BD-6D686800884B}" destId="{3E9AD820-F90C-4026-A5C5-DCF9BA4D9970}" srcOrd="1" destOrd="0" parTransId="{BD276475-59BB-4666-AEBB-13F8F910FAD6}" sibTransId="{09F37C5C-E5AA-4C74-BF54-96AF3D6DE96B}"/>
    <dgm:cxn modelId="{8B909907-4DE7-46C8-93D2-BF373E2247E6}" type="presOf" srcId="{651C36D7-62A9-4DE8-9250-F86680F775AB}" destId="{A8188612-C6FA-45A8-AB0E-029D34EB9549}" srcOrd="1" destOrd="0" presId="urn:microsoft.com/office/officeart/2005/8/layout/hierarchy3"/>
    <dgm:cxn modelId="{9BB0CA4C-6944-40FA-B2AC-407E79FD0D11}" type="presOf" srcId="{A1F966A1-E02A-46EC-AFB9-F7EC0B879B7F}" destId="{191EB549-F19C-4FA7-93CF-3AB6AECD09A5}" srcOrd="0" destOrd="0" presId="urn:microsoft.com/office/officeart/2005/8/layout/hierarchy3"/>
    <dgm:cxn modelId="{00265EF3-3ED3-427E-A4AE-F528C664B266}" srcId="{651C36D7-62A9-4DE8-9250-F86680F775AB}" destId="{D36BF18F-4E46-41D7-A562-C3C3049870D2}" srcOrd="2" destOrd="0" parTransId="{3EB4FD38-C31C-4B05-A16D-1BFB87C7EB6A}" sibTransId="{C839166B-6F2F-4383-ABBC-DC8F9097E1BF}"/>
    <dgm:cxn modelId="{6B4786D3-F4A8-411A-A549-73ED2501D74F}" srcId="{89442C70-8EC1-49EE-84BD-6D686800884B}" destId="{EB3A1B9B-0628-4CE7-ADD0-D6313EB28013}" srcOrd="0" destOrd="0" parTransId="{7B58C636-6CB4-4758-A4BF-860CC1F05AE6}" sibTransId="{740BA6ED-1CEB-488E-AED9-F1F236652050}"/>
    <dgm:cxn modelId="{99F01450-63E8-4C16-80B7-CFFB118C8D4F}" type="presOf" srcId="{0FE9E001-F322-4D6D-A459-FEB098988C72}" destId="{DF24891A-18BC-4DB1-A10A-9A8DA374FD53}" srcOrd="0" destOrd="0" presId="urn:microsoft.com/office/officeart/2005/8/layout/hierarchy3"/>
    <dgm:cxn modelId="{CF82E374-45CF-4DF7-B63A-B104D21345C4}" type="presOf" srcId="{9B20DA9E-F47F-4F81-B2D1-A39045C77E9D}" destId="{6E8B6219-9D79-4D45-BEE0-84BD8891B64E}" srcOrd="0" destOrd="0" presId="urn:microsoft.com/office/officeart/2005/8/layout/hierarchy3"/>
    <dgm:cxn modelId="{33F6A132-2B22-4A6E-BE62-0D2219E20183}" type="presOf" srcId="{EB3A1B9B-0628-4CE7-ADD0-D6313EB28013}" destId="{EB04F946-DC94-4C65-992E-7BF61CE78F5A}" srcOrd="0" destOrd="0" presId="urn:microsoft.com/office/officeart/2005/8/layout/hierarchy3"/>
    <dgm:cxn modelId="{D6935AEC-F9B5-4E04-A135-C43B936897FC}" srcId="{651C36D7-62A9-4DE8-9250-F86680F775AB}" destId="{333316FB-5644-426E-9556-5C57C0114A53}" srcOrd="3" destOrd="0" parTransId="{9B20DA9E-F47F-4F81-B2D1-A39045C77E9D}" sibTransId="{476753AC-80A6-48B9-B5FA-518A0803B08B}"/>
    <dgm:cxn modelId="{3E65E0F5-7C99-4465-B744-32898140D797}" type="presOf" srcId="{89442C70-8EC1-49EE-84BD-6D686800884B}" destId="{7B079D2B-E362-4D39-99CE-6F936E303EAE}" srcOrd="1" destOrd="0" presId="urn:microsoft.com/office/officeart/2005/8/layout/hierarchy3"/>
    <dgm:cxn modelId="{86165EF7-2F99-4209-B110-54A7B2742263}" type="presOf" srcId="{70F8802C-7771-4BE7-9360-27915299487E}" destId="{2D872247-70B3-4960-978D-6474F47C9881}" srcOrd="0" destOrd="0" presId="urn:microsoft.com/office/officeart/2005/8/layout/hierarchy3"/>
    <dgm:cxn modelId="{20BBC518-4A9C-4B0E-979C-A652A78A6F0C}" type="presOf" srcId="{3FA02961-40C6-4F71-BB3D-23C919A46BCD}" destId="{084CBC18-4F81-494A-94F1-682CB0C9780A}" srcOrd="0" destOrd="0" presId="urn:microsoft.com/office/officeart/2005/8/layout/hierarchy3"/>
    <dgm:cxn modelId="{9AB38146-7E43-48A2-B711-1874279ACE6E}" type="presOf" srcId="{89442C70-8EC1-49EE-84BD-6D686800884B}" destId="{C14AAEF7-6881-4E99-9AC9-A4D51A372507}" srcOrd="0" destOrd="0" presId="urn:microsoft.com/office/officeart/2005/8/layout/hierarchy3"/>
    <dgm:cxn modelId="{D925F869-4CD9-4E09-BFF0-56AFE108F25D}" srcId="{70F8802C-7771-4BE7-9360-27915299487E}" destId="{89442C70-8EC1-49EE-84BD-6D686800884B}" srcOrd="1" destOrd="0" parTransId="{CEB95693-3844-4F73-8078-C07F6A1F7F70}" sibTransId="{60CA544D-C29F-40A1-8AB4-C5241B0BFC2D}"/>
    <dgm:cxn modelId="{465E9B0E-0002-48B1-BBC4-881FC57779DF}" type="presOf" srcId="{FD8823FB-003E-47AC-B1FF-D4A1FAA40640}" destId="{D4C7AF81-A908-4131-B089-514BD5F0CC45}" srcOrd="0" destOrd="0" presId="urn:microsoft.com/office/officeart/2005/8/layout/hierarchy3"/>
    <dgm:cxn modelId="{444F8048-741C-4F06-8AAF-02FD6740B5F6}" srcId="{651C36D7-62A9-4DE8-9250-F86680F775AB}" destId="{923F750C-D91D-4398-8383-935891631F7D}" srcOrd="0" destOrd="0" parTransId="{C769C563-48DA-4A2D-B336-0C5FCC54268D}" sibTransId="{2CE163FF-184E-4AAD-8F4F-D2F6915BAD06}"/>
    <dgm:cxn modelId="{4EA07510-89D0-43F7-90F0-33459CBA608A}" type="presOf" srcId="{C769C563-48DA-4A2D-B336-0C5FCC54268D}" destId="{6165E975-9763-45FB-8980-EE4165D5E0F5}" srcOrd="0" destOrd="0" presId="urn:microsoft.com/office/officeart/2005/8/layout/hierarchy3"/>
    <dgm:cxn modelId="{C6F53977-EBCC-460E-949E-545B49664508}" srcId="{651C36D7-62A9-4DE8-9250-F86680F775AB}" destId="{FD8823FB-003E-47AC-B1FF-D4A1FAA40640}" srcOrd="1" destOrd="0" parTransId="{A1F966A1-E02A-46EC-AFB9-F7EC0B879B7F}" sibTransId="{ABDE1D83-A65D-4609-89FB-D4E37BD7AD87}"/>
    <dgm:cxn modelId="{9F2DE422-05D0-40F0-A999-8834DFE1D97C}" type="presOf" srcId="{3E9AD820-F90C-4026-A5C5-DCF9BA4D9970}" destId="{B78710DC-7453-4CE2-A6B2-296B09801E3A}" srcOrd="0" destOrd="0" presId="urn:microsoft.com/office/officeart/2005/8/layout/hierarchy3"/>
    <dgm:cxn modelId="{DB58E118-370D-46B8-A4F4-17D162D484B8}" type="presOf" srcId="{D36BF18F-4E46-41D7-A562-C3C3049870D2}" destId="{C0E36418-08B7-43F5-AA50-CB2AF088F10A}" srcOrd="0" destOrd="0" presId="urn:microsoft.com/office/officeart/2005/8/layout/hierarchy3"/>
    <dgm:cxn modelId="{8CD4A736-6352-4D35-82AC-8A38FA7358C5}" type="presOf" srcId="{93B22D47-57E1-482F-8052-93DACB40D6DA}" destId="{AAB03E1F-5B95-4782-AAF9-1640986E9BBD}" srcOrd="0" destOrd="0" presId="urn:microsoft.com/office/officeart/2005/8/layout/hierarchy3"/>
    <dgm:cxn modelId="{FAF5226E-089E-4CDF-B80E-749F2A6D0E65}" srcId="{70F8802C-7771-4BE7-9360-27915299487E}" destId="{651C36D7-62A9-4DE8-9250-F86680F775AB}" srcOrd="0" destOrd="0" parTransId="{596DD578-B7AE-46F8-9295-BCF27ECC3FA2}" sibTransId="{BF99EC47-EB2E-43EA-8BEB-C02A2C95B860}"/>
    <dgm:cxn modelId="{14C5A3A6-1BC0-4C29-93B2-FABF319DA673}" type="presOf" srcId="{651C36D7-62A9-4DE8-9250-F86680F775AB}" destId="{369726EC-AA41-4615-8B4F-8797A533BAD8}" srcOrd="0" destOrd="0" presId="urn:microsoft.com/office/officeart/2005/8/layout/hierarchy3"/>
    <dgm:cxn modelId="{0CD85F80-8FAE-4775-9D2C-7AFCADF1CD22}" type="presParOf" srcId="{2D872247-70B3-4960-978D-6474F47C9881}" destId="{5CFD7C25-1CC1-4F52-84B1-14CF04854B1F}" srcOrd="0" destOrd="0" presId="urn:microsoft.com/office/officeart/2005/8/layout/hierarchy3"/>
    <dgm:cxn modelId="{D2BF1936-EC3D-49B0-A6F8-40C0E2659BDE}" type="presParOf" srcId="{5CFD7C25-1CC1-4F52-84B1-14CF04854B1F}" destId="{8CC3E287-0CA1-444F-8094-2D65639A9306}" srcOrd="0" destOrd="0" presId="urn:microsoft.com/office/officeart/2005/8/layout/hierarchy3"/>
    <dgm:cxn modelId="{A4503655-C793-416F-9FC8-83ECA8617E73}" type="presParOf" srcId="{8CC3E287-0CA1-444F-8094-2D65639A9306}" destId="{369726EC-AA41-4615-8B4F-8797A533BAD8}" srcOrd="0" destOrd="0" presId="urn:microsoft.com/office/officeart/2005/8/layout/hierarchy3"/>
    <dgm:cxn modelId="{D89EFE8D-2A30-4E03-A988-E36AEC474CF6}" type="presParOf" srcId="{8CC3E287-0CA1-444F-8094-2D65639A9306}" destId="{A8188612-C6FA-45A8-AB0E-029D34EB9549}" srcOrd="1" destOrd="0" presId="urn:microsoft.com/office/officeart/2005/8/layout/hierarchy3"/>
    <dgm:cxn modelId="{1AC82185-92E4-46AB-979D-A91C2F5F83C5}" type="presParOf" srcId="{5CFD7C25-1CC1-4F52-84B1-14CF04854B1F}" destId="{60C26C74-E4A2-4F05-BBA0-7E809FEB57A6}" srcOrd="1" destOrd="0" presId="urn:microsoft.com/office/officeart/2005/8/layout/hierarchy3"/>
    <dgm:cxn modelId="{BB7E38CE-0119-454F-866E-B498A7D91CF6}" type="presParOf" srcId="{60C26C74-E4A2-4F05-BBA0-7E809FEB57A6}" destId="{6165E975-9763-45FB-8980-EE4165D5E0F5}" srcOrd="0" destOrd="0" presId="urn:microsoft.com/office/officeart/2005/8/layout/hierarchy3"/>
    <dgm:cxn modelId="{457DE14D-FB50-46D6-BCD0-346B119F20D9}" type="presParOf" srcId="{60C26C74-E4A2-4F05-BBA0-7E809FEB57A6}" destId="{B7A62122-5F61-401F-9803-BD180BE93757}" srcOrd="1" destOrd="0" presId="urn:microsoft.com/office/officeart/2005/8/layout/hierarchy3"/>
    <dgm:cxn modelId="{BCEE58FB-A6FB-4746-9170-DAB3D10D4440}" type="presParOf" srcId="{60C26C74-E4A2-4F05-BBA0-7E809FEB57A6}" destId="{191EB549-F19C-4FA7-93CF-3AB6AECD09A5}" srcOrd="2" destOrd="0" presId="urn:microsoft.com/office/officeart/2005/8/layout/hierarchy3"/>
    <dgm:cxn modelId="{D660E509-59D5-4F53-85EF-64A17E10F23D}" type="presParOf" srcId="{60C26C74-E4A2-4F05-BBA0-7E809FEB57A6}" destId="{D4C7AF81-A908-4131-B089-514BD5F0CC45}" srcOrd="3" destOrd="0" presId="urn:microsoft.com/office/officeart/2005/8/layout/hierarchy3"/>
    <dgm:cxn modelId="{BDF1AA5F-B82D-4907-A288-CDEFE1480CAD}" type="presParOf" srcId="{60C26C74-E4A2-4F05-BBA0-7E809FEB57A6}" destId="{F48AD512-68EB-4DF1-AF50-AE74A60AE8DD}" srcOrd="4" destOrd="0" presId="urn:microsoft.com/office/officeart/2005/8/layout/hierarchy3"/>
    <dgm:cxn modelId="{578E9759-3BD5-4C0D-94D4-0C975A2C1028}" type="presParOf" srcId="{60C26C74-E4A2-4F05-BBA0-7E809FEB57A6}" destId="{C0E36418-08B7-43F5-AA50-CB2AF088F10A}" srcOrd="5" destOrd="0" presId="urn:microsoft.com/office/officeart/2005/8/layout/hierarchy3"/>
    <dgm:cxn modelId="{B3A88EA6-9EAB-451C-972B-B2819016CC64}" type="presParOf" srcId="{60C26C74-E4A2-4F05-BBA0-7E809FEB57A6}" destId="{6E8B6219-9D79-4D45-BEE0-84BD8891B64E}" srcOrd="6" destOrd="0" presId="urn:microsoft.com/office/officeart/2005/8/layout/hierarchy3"/>
    <dgm:cxn modelId="{823CDB5B-182F-4665-8DF2-5A9E2FD31BAD}" type="presParOf" srcId="{60C26C74-E4A2-4F05-BBA0-7E809FEB57A6}" destId="{B674D3E0-0F4D-48A9-B5F3-ABA126603424}" srcOrd="7" destOrd="0" presId="urn:microsoft.com/office/officeart/2005/8/layout/hierarchy3"/>
    <dgm:cxn modelId="{E4402002-BF8D-44BC-8A90-3CF53851F214}" type="presParOf" srcId="{2D872247-70B3-4960-978D-6474F47C9881}" destId="{90D4E8E3-72DF-452B-9B2F-494897CCD360}" srcOrd="1" destOrd="0" presId="urn:microsoft.com/office/officeart/2005/8/layout/hierarchy3"/>
    <dgm:cxn modelId="{F9107C0E-5472-4FEB-BE95-22D6B4ABA947}" type="presParOf" srcId="{90D4E8E3-72DF-452B-9B2F-494897CCD360}" destId="{E428F706-AB7E-428E-9F74-9EC32ECE0A0B}" srcOrd="0" destOrd="0" presId="urn:microsoft.com/office/officeart/2005/8/layout/hierarchy3"/>
    <dgm:cxn modelId="{95E47632-C172-4C55-8BA7-1B6166726C4A}" type="presParOf" srcId="{E428F706-AB7E-428E-9F74-9EC32ECE0A0B}" destId="{C14AAEF7-6881-4E99-9AC9-A4D51A372507}" srcOrd="0" destOrd="0" presId="urn:microsoft.com/office/officeart/2005/8/layout/hierarchy3"/>
    <dgm:cxn modelId="{B08EF25B-76C2-4D42-82DD-B8336A901CF0}" type="presParOf" srcId="{E428F706-AB7E-428E-9F74-9EC32ECE0A0B}" destId="{7B079D2B-E362-4D39-99CE-6F936E303EAE}" srcOrd="1" destOrd="0" presId="urn:microsoft.com/office/officeart/2005/8/layout/hierarchy3"/>
    <dgm:cxn modelId="{41AD866C-60CA-47C5-840E-5C95849119CA}" type="presParOf" srcId="{90D4E8E3-72DF-452B-9B2F-494897CCD360}" destId="{E64F80BD-6F46-4E33-AEF9-ADBA4628C2D1}" srcOrd="1" destOrd="0" presId="urn:microsoft.com/office/officeart/2005/8/layout/hierarchy3"/>
    <dgm:cxn modelId="{EBF197A9-A40F-4FF6-A907-3B8E5A8E6C25}" type="presParOf" srcId="{E64F80BD-6F46-4E33-AEF9-ADBA4628C2D1}" destId="{8FBB9041-98EA-49E6-B0B5-3C3844185D7B}" srcOrd="0" destOrd="0" presId="urn:microsoft.com/office/officeart/2005/8/layout/hierarchy3"/>
    <dgm:cxn modelId="{E715BC8A-03C2-49E9-BD54-7F8F6271A103}" type="presParOf" srcId="{E64F80BD-6F46-4E33-AEF9-ADBA4628C2D1}" destId="{EB04F946-DC94-4C65-992E-7BF61CE78F5A}" srcOrd="1" destOrd="0" presId="urn:microsoft.com/office/officeart/2005/8/layout/hierarchy3"/>
    <dgm:cxn modelId="{7987058A-52A1-4ED5-BDB1-024A71470DC3}" type="presParOf" srcId="{E64F80BD-6F46-4E33-AEF9-ADBA4628C2D1}" destId="{1ABEE337-3455-43AD-A75E-5A8CE0221C75}" srcOrd="2" destOrd="0" presId="urn:microsoft.com/office/officeart/2005/8/layout/hierarchy3"/>
    <dgm:cxn modelId="{14C10B7B-C17D-4A06-A626-A5BD4C20290D}" type="presParOf" srcId="{E64F80BD-6F46-4E33-AEF9-ADBA4628C2D1}" destId="{B78710DC-7453-4CE2-A6B2-296B09801E3A}" srcOrd="3" destOrd="0" presId="urn:microsoft.com/office/officeart/2005/8/layout/hierarchy3"/>
    <dgm:cxn modelId="{15B5F419-88B2-45D4-9DF4-F97A6B834419}" type="presParOf" srcId="{E64F80BD-6F46-4E33-AEF9-ADBA4628C2D1}" destId="{B6129E71-095D-4177-BA23-6A262FCE85F7}" srcOrd="4" destOrd="0" presId="urn:microsoft.com/office/officeart/2005/8/layout/hierarchy3"/>
    <dgm:cxn modelId="{058AFA84-733A-4E78-B38F-231751CD8F81}" type="presParOf" srcId="{E64F80BD-6F46-4E33-AEF9-ADBA4628C2D1}" destId="{AAB03E1F-5B95-4782-AAF9-1640986E9BBD}" srcOrd="5" destOrd="0" presId="urn:microsoft.com/office/officeart/2005/8/layout/hierarchy3"/>
    <dgm:cxn modelId="{D1330131-0B5B-4418-B9D1-495413123A47}" type="presParOf" srcId="{E64F80BD-6F46-4E33-AEF9-ADBA4628C2D1}" destId="{084CBC18-4F81-494A-94F1-682CB0C9780A}" srcOrd="6" destOrd="0" presId="urn:microsoft.com/office/officeart/2005/8/layout/hierarchy3"/>
    <dgm:cxn modelId="{B089BB47-C746-43F0-AD7C-349DFC884139}" type="presParOf" srcId="{E64F80BD-6F46-4E33-AEF9-ADBA4628C2D1}" destId="{DF24891A-18BC-4DB1-A10A-9A8DA374FD53}" srcOrd="7"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9726EC-AA41-4615-8B4F-8797A533BAD8}">
      <dsp:nvSpPr>
        <dsp:cNvPr id="0" name=""/>
        <dsp:cNvSpPr/>
      </dsp:nvSpPr>
      <dsp:spPr>
        <a:xfrm>
          <a:off x="118341" y="0"/>
          <a:ext cx="2448599" cy="7966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en-US" sz="2400" kern="1200"/>
            <a:t>Bio-chemical Evidence</a:t>
          </a:r>
        </a:p>
      </dsp:txBody>
      <dsp:txXfrm>
        <a:off x="141674" y="23333"/>
        <a:ext cx="2401933" cy="749973"/>
      </dsp:txXfrm>
    </dsp:sp>
    <dsp:sp modelId="{6165E975-9763-45FB-8980-EE4165D5E0F5}">
      <dsp:nvSpPr>
        <dsp:cNvPr id="0" name=""/>
        <dsp:cNvSpPr/>
      </dsp:nvSpPr>
      <dsp:spPr>
        <a:xfrm>
          <a:off x="317481" y="796639"/>
          <a:ext cx="91440" cy="434429"/>
        </a:xfrm>
        <a:custGeom>
          <a:avLst/>
          <a:gdLst/>
          <a:ahLst/>
          <a:cxnLst/>
          <a:rect l="0" t="0" r="0" b="0"/>
          <a:pathLst>
            <a:path>
              <a:moveTo>
                <a:pt x="45720" y="0"/>
              </a:moveTo>
              <a:lnTo>
                <a:pt x="45720" y="434429"/>
              </a:lnTo>
              <a:lnTo>
                <a:pt x="56323" y="4344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A62122-5F61-401F-9803-BD180BE93757}">
      <dsp:nvSpPr>
        <dsp:cNvPr id="0" name=""/>
        <dsp:cNvSpPr/>
      </dsp:nvSpPr>
      <dsp:spPr>
        <a:xfrm>
          <a:off x="373804" y="947361"/>
          <a:ext cx="1958879" cy="56741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dirty="0"/>
            <a:t>RBV causes hemolysis to release heme</a:t>
          </a:r>
        </a:p>
      </dsp:txBody>
      <dsp:txXfrm>
        <a:off x="390423" y="963980"/>
        <a:ext cx="1925641" cy="534176"/>
      </dsp:txXfrm>
    </dsp:sp>
    <dsp:sp modelId="{191EB549-F19C-4FA7-93CF-3AB6AECD09A5}">
      <dsp:nvSpPr>
        <dsp:cNvPr id="0" name=""/>
        <dsp:cNvSpPr/>
      </dsp:nvSpPr>
      <dsp:spPr>
        <a:xfrm>
          <a:off x="317481" y="796639"/>
          <a:ext cx="91440" cy="1207149"/>
        </a:xfrm>
        <a:custGeom>
          <a:avLst/>
          <a:gdLst/>
          <a:ahLst/>
          <a:cxnLst/>
          <a:rect l="0" t="0" r="0" b="0"/>
          <a:pathLst>
            <a:path>
              <a:moveTo>
                <a:pt x="45720" y="0"/>
              </a:moveTo>
              <a:lnTo>
                <a:pt x="45720" y="1207149"/>
              </a:lnTo>
              <a:lnTo>
                <a:pt x="49236" y="12071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C7AF81-A908-4131-B089-514BD5F0CC45}">
      <dsp:nvSpPr>
        <dsp:cNvPr id="0" name=""/>
        <dsp:cNvSpPr/>
      </dsp:nvSpPr>
      <dsp:spPr>
        <a:xfrm>
          <a:off x="366717" y="1718182"/>
          <a:ext cx="1958879" cy="57121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dirty="0" smtClean="0"/>
            <a:t>Heme </a:t>
          </a:r>
          <a:r>
            <a:rPr lang="en-US" sz="1000" kern="1200" dirty="0"/>
            <a:t>increases HMOX1 in Kupffer cells and decreases inflammation</a:t>
          </a:r>
        </a:p>
      </dsp:txBody>
      <dsp:txXfrm>
        <a:off x="383447" y="1734912"/>
        <a:ext cx="1925419" cy="537754"/>
      </dsp:txXfrm>
    </dsp:sp>
    <dsp:sp modelId="{F48AD512-68EB-4DF1-AF50-AE74A60AE8DD}">
      <dsp:nvSpPr>
        <dsp:cNvPr id="0" name=""/>
        <dsp:cNvSpPr/>
      </dsp:nvSpPr>
      <dsp:spPr>
        <a:xfrm>
          <a:off x="317481" y="796639"/>
          <a:ext cx="91440" cy="2001662"/>
        </a:xfrm>
        <a:custGeom>
          <a:avLst/>
          <a:gdLst/>
          <a:ahLst/>
          <a:cxnLst/>
          <a:rect l="0" t="0" r="0" b="0"/>
          <a:pathLst>
            <a:path>
              <a:moveTo>
                <a:pt x="45720" y="0"/>
              </a:moveTo>
              <a:lnTo>
                <a:pt x="45720" y="2001662"/>
              </a:lnTo>
              <a:lnTo>
                <a:pt x="58783" y="20016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E36418-08B7-43F5-AA50-CB2AF088F10A}">
      <dsp:nvSpPr>
        <dsp:cNvPr id="0" name=""/>
        <dsp:cNvSpPr/>
      </dsp:nvSpPr>
      <dsp:spPr>
        <a:xfrm>
          <a:off x="376264" y="2505381"/>
          <a:ext cx="1952978" cy="58584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dirty="0" smtClean="0"/>
            <a:t>Heme increases HMOX1</a:t>
          </a:r>
          <a:r>
            <a:rPr lang="en-US" sz="1000" kern="1200" dirty="0"/>
            <a:t> in hepatocytes, which decreases oxidative damage and apoptosis </a:t>
          </a:r>
        </a:p>
      </dsp:txBody>
      <dsp:txXfrm>
        <a:off x="393423" y="2522540"/>
        <a:ext cx="1918660" cy="551522"/>
      </dsp:txXfrm>
    </dsp:sp>
    <dsp:sp modelId="{6E8B6219-9D79-4D45-BEE0-84BD8891B64E}">
      <dsp:nvSpPr>
        <dsp:cNvPr id="0" name=""/>
        <dsp:cNvSpPr/>
      </dsp:nvSpPr>
      <dsp:spPr>
        <a:xfrm>
          <a:off x="317481" y="796639"/>
          <a:ext cx="91440" cy="2849402"/>
        </a:xfrm>
        <a:custGeom>
          <a:avLst/>
          <a:gdLst/>
          <a:ahLst/>
          <a:cxnLst/>
          <a:rect l="0" t="0" r="0" b="0"/>
          <a:pathLst>
            <a:path>
              <a:moveTo>
                <a:pt x="45720" y="0"/>
              </a:moveTo>
              <a:lnTo>
                <a:pt x="45720" y="2849402"/>
              </a:lnTo>
              <a:lnTo>
                <a:pt x="57342" y="28494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74D3E0-0F4D-48A9-B5F3-ABA126603424}">
      <dsp:nvSpPr>
        <dsp:cNvPr id="0" name=""/>
        <dsp:cNvSpPr/>
      </dsp:nvSpPr>
      <dsp:spPr>
        <a:xfrm>
          <a:off x="374824" y="3319117"/>
          <a:ext cx="1975105" cy="6538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dirty="0" smtClean="0"/>
            <a:t>Restores </a:t>
          </a:r>
          <a:r>
            <a:rPr lang="en-US" sz="1000" kern="1200" dirty="0"/>
            <a:t>the IFN promoter activation and interferon-stimulated response genes (ISRG)</a:t>
          </a:r>
        </a:p>
      </dsp:txBody>
      <dsp:txXfrm>
        <a:off x="393975" y="3338268"/>
        <a:ext cx="1936803" cy="615548"/>
      </dsp:txXfrm>
    </dsp:sp>
    <dsp:sp modelId="{C14AAEF7-6881-4E99-9AC9-A4D51A372507}">
      <dsp:nvSpPr>
        <dsp:cNvPr id="0" name=""/>
        <dsp:cNvSpPr/>
      </dsp:nvSpPr>
      <dsp:spPr>
        <a:xfrm>
          <a:off x="3400800" y="0"/>
          <a:ext cx="2455673" cy="7966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en-US" sz="2400" kern="1200"/>
            <a:t>Clinical Evidence</a:t>
          </a:r>
        </a:p>
      </dsp:txBody>
      <dsp:txXfrm>
        <a:off x="3424133" y="23333"/>
        <a:ext cx="2409007" cy="749973"/>
      </dsp:txXfrm>
    </dsp:sp>
    <dsp:sp modelId="{8FBB9041-98EA-49E6-B0B5-3C3844185D7B}">
      <dsp:nvSpPr>
        <dsp:cNvPr id="0" name=""/>
        <dsp:cNvSpPr/>
      </dsp:nvSpPr>
      <dsp:spPr>
        <a:xfrm>
          <a:off x="3600647" y="796639"/>
          <a:ext cx="91440" cy="434329"/>
        </a:xfrm>
        <a:custGeom>
          <a:avLst/>
          <a:gdLst/>
          <a:ahLst/>
          <a:cxnLst/>
          <a:rect l="0" t="0" r="0" b="0"/>
          <a:pathLst>
            <a:path>
              <a:moveTo>
                <a:pt x="45720" y="0"/>
              </a:moveTo>
              <a:lnTo>
                <a:pt x="45720" y="434329"/>
              </a:lnTo>
              <a:lnTo>
                <a:pt x="60191" y="4343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04F946-DC94-4C65-992E-7BF61CE78F5A}">
      <dsp:nvSpPr>
        <dsp:cNvPr id="0" name=""/>
        <dsp:cNvSpPr/>
      </dsp:nvSpPr>
      <dsp:spPr>
        <a:xfrm>
          <a:off x="3660839" y="938797"/>
          <a:ext cx="1918525" cy="58434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RBV therapy results in hemolytic anemia</a:t>
          </a:r>
        </a:p>
      </dsp:txBody>
      <dsp:txXfrm>
        <a:off x="3677954" y="955912"/>
        <a:ext cx="1884295" cy="550113"/>
      </dsp:txXfrm>
    </dsp:sp>
    <dsp:sp modelId="{1ABEE337-3455-43AD-A75E-5A8CE0221C75}">
      <dsp:nvSpPr>
        <dsp:cNvPr id="0" name=""/>
        <dsp:cNvSpPr/>
      </dsp:nvSpPr>
      <dsp:spPr>
        <a:xfrm>
          <a:off x="3600647" y="796639"/>
          <a:ext cx="91440" cy="1227906"/>
        </a:xfrm>
        <a:custGeom>
          <a:avLst/>
          <a:gdLst/>
          <a:ahLst/>
          <a:cxnLst/>
          <a:rect l="0" t="0" r="0" b="0"/>
          <a:pathLst>
            <a:path>
              <a:moveTo>
                <a:pt x="45720" y="0"/>
              </a:moveTo>
              <a:lnTo>
                <a:pt x="45720" y="1227906"/>
              </a:lnTo>
              <a:lnTo>
                <a:pt x="48936" y="12279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8710DC-7453-4CE2-A6B2-296B09801E3A}">
      <dsp:nvSpPr>
        <dsp:cNvPr id="0" name=""/>
        <dsp:cNvSpPr/>
      </dsp:nvSpPr>
      <dsp:spPr>
        <a:xfrm>
          <a:off x="3649584" y="1733660"/>
          <a:ext cx="1928492" cy="58177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SVR rates are higher in patients who develop anemia </a:t>
          </a:r>
        </a:p>
      </dsp:txBody>
      <dsp:txXfrm>
        <a:off x="3666623" y="1750699"/>
        <a:ext cx="1894414" cy="547692"/>
      </dsp:txXfrm>
    </dsp:sp>
    <dsp:sp modelId="{B6129E71-095D-4177-BA23-6A262FCE85F7}">
      <dsp:nvSpPr>
        <dsp:cNvPr id="0" name=""/>
        <dsp:cNvSpPr/>
      </dsp:nvSpPr>
      <dsp:spPr>
        <a:xfrm>
          <a:off x="3599976" y="796639"/>
          <a:ext cx="91440" cy="2014767"/>
        </a:xfrm>
        <a:custGeom>
          <a:avLst/>
          <a:gdLst/>
          <a:ahLst/>
          <a:cxnLst/>
          <a:rect l="0" t="0" r="0" b="0"/>
          <a:pathLst>
            <a:path>
              <a:moveTo>
                <a:pt x="46390" y="0"/>
              </a:moveTo>
              <a:lnTo>
                <a:pt x="45720" y="20147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B03E1F-5B95-4782-AAF9-1640986E9BBD}">
      <dsp:nvSpPr>
        <dsp:cNvPr id="0" name=""/>
        <dsp:cNvSpPr/>
      </dsp:nvSpPr>
      <dsp:spPr>
        <a:xfrm>
          <a:off x="3645696" y="2514821"/>
          <a:ext cx="1965864" cy="5931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t>SVR rate does not depend on the treatment utilized to manage anemia</a:t>
          </a:r>
        </a:p>
      </dsp:txBody>
      <dsp:txXfrm>
        <a:off x="3663069" y="2532194"/>
        <a:ext cx="1931118" cy="558423"/>
      </dsp:txXfrm>
    </dsp:sp>
    <dsp:sp modelId="{084CBC18-4F81-494A-94F1-682CB0C9780A}">
      <dsp:nvSpPr>
        <dsp:cNvPr id="0" name=""/>
        <dsp:cNvSpPr/>
      </dsp:nvSpPr>
      <dsp:spPr>
        <a:xfrm>
          <a:off x="3596165" y="796639"/>
          <a:ext cx="91440" cy="2879256"/>
        </a:xfrm>
        <a:custGeom>
          <a:avLst/>
          <a:gdLst/>
          <a:ahLst/>
          <a:cxnLst/>
          <a:rect l="0" t="0" r="0" b="0"/>
          <a:pathLst>
            <a:path>
              <a:moveTo>
                <a:pt x="50201" y="0"/>
              </a:moveTo>
              <a:lnTo>
                <a:pt x="45720" y="28792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24891A-18BC-4DB1-A10A-9A8DA374FD53}">
      <dsp:nvSpPr>
        <dsp:cNvPr id="0" name=""/>
        <dsp:cNvSpPr/>
      </dsp:nvSpPr>
      <dsp:spPr>
        <a:xfrm>
          <a:off x="3641885" y="3352615"/>
          <a:ext cx="1997883" cy="64656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dirty="0"/>
            <a:t>RBV </a:t>
          </a:r>
          <a:r>
            <a:rPr lang="en-US" sz="1000" kern="1200" dirty="0" smtClean="0"/>
            <a:t>analogs, such as </a:t>
          </a:r>
          <a:r>
            <a:rPr lang="en-US" sz="1000" kern="1200" dirty="0"/>
            <a:t>taribavirin, which causes lesser anemia, are inferior to RBV for treatment of cHCV</a:t>
          </a:r>
        </a:p>
      </dsp:txBody>
      <dsp:txXfrm>
        <a:off x="3660822" y="3371552"/>
        <a:ext cx="1960009" cy="6086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26480</Words>
  <Characters>150939</Characters>
  <Application>Microsoft Office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Kaartik</dc:creator>
  <cp:lastModifiedBy>LS Ma</cp:lastModifiedBy>
  <cp:revision>2</cp:revision>
  <dcterms:created xsi:type="dcterms:W3CDTF">2014-07-23T20:44:00Z</dcterms:created>
  <dcterms:modified xsi:type="dcterms:W3CDTF">2014-07-23T20:44:00Z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id="brVCORW0"/&gt;&lt;style id="http://www.zotero.org/styles/journal-of-shoulder-and-elbow-surgery"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value="0"/&gt;&lt;/prefs&gt;&lt;/data&gt;</vt:lpwstr>
  </property>
</Properties>
</file>