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D3EEC" w14:textId="56400885" w:rsidR="00B021A6" w:rsidRPr="001467E4" w:rsidRDefault="00B021A6" w:rsidP="001467E4">
      <w:pPr>
        <w:spacing w:after="0" w:line="360" w:lineRule="auto"/>
        <w:jc w:val="both"/>
        <w:rPr>
          <w:rFonts w:ascii="Book Antiqua" w:hAnsi="Book Antiqua"/>
          <w:b/>
        </w:rPr>
      </w:pPr>
      <w:r w:rsidRPr="001467E4">
        <w:rPr>
          <w:rFonts w:ascii="Book Antiqua" w:hAnsi="Book Antiqua"/>
          <w:b/>
        </w:rPr>
        <w:t xml:space="preserve">Name of journal: </w:t>
      </w:r>
      <w:r w:rsidRPr="001467E4">
        <w:rPr>
          <w:rFonts w:ascii="Book Antiqua" w:hAnsi="Book Antiqua"/>
          <w:b/>
          <w:i/>
        </w:rPr>
        <w:t>World Journal of Rheumatology</w:t>
      </w:r>
    </w:p>
    <w:p w14:paraId="45F3E98E" w14:textId="604BBA1C" w:rsidR="00B021A6" w:rsidRPr="001467E4" w:rsidRDefault="00B021A6" w:rsidP="001467E4">
      <w:pPr>
        <w:spacing w:after="0" w:line="360" w:lineRule="auto"/>
        <w:jc w:val="both"/>
        <w:rPr>
          <w:rFonts w:ascii="Book Antiqua" w:hAnsi="Book Antiqua"/>
          <w:b/>
          <w:lang w:eastAsia="zh-CN"/>
        </w:rPr>
      </w:pPr>
      <w:r w:rsidRPr="001467E4">
        <w:rPr>
          <w:rFonts w:ascii="Book Antiqua" w:hAnsi="Book Antiqua"/>
          <w:b/>
        </w:rPr>
        <w:t xml:space="preserve">ESPS Manuscript NO: </w:t>
      </w:r>
      <w:r w:rsidRPr="001467E4">
        <w:rPr>
          <w:rFonts w:ascii="Book Antiqua" w:hAnsi="Book Antiqua"/>
          <w:b/>
          <w:lang w:eastAsia="zh-CN"/>
        </w:rPr>
        <w:t>12291</w:t>
      </w:r>
    </w:p>
    <w:p w14:paraId="3953D629" w14:textId="542FAE7F" w:rsidR="00B021A6" w:rsidRPr="001467E4" w:rsidRDefault="00B021A6" w:rsidP="001467E4">
      <w:pPr>
        <w:spacing w:after="0" w:line="360" w:lineRule="auto"/>
        <w:jc w:val="both"/>
        <w:rPr>
          <w:rFonts w:ascii="Book Antiqua" w:hAnsi="Book Antiqua"/>
          <w:b/>
          <w:lang w:eastAsia="zh-CN"/>
        </w:rPr>
      </w:pPr>
      <w:r w:rsidRPr="001467E4">
        <w:rPr>
          <w:rFonts w:ascii="Book Antiqua" w:hAnsi="Book Antiqua"/>
          <w:b/>
        </w:rPr>
        <w:t>Columns:</w:t>
      </w:r>
      <w:r w:rsidRPr="001467E4">
        <w:rPr>
          <w:rFonts w:ascii="Book Antiqua" w:hAnsi="Book Antiqua"/>
          <w:b/>
          <w:lang w:eastAsia="zh-CN"/>
        </w:rPr>
        <w:t xml:space="preserve"> REVIEW</w:t>
      </w:r>
    </w:p>
    <w:p w14:paraId="61B3E5AD" w14:textId="77777777" w:rsidR="00B021A6" w:rsidRPr="001467E4" w:rsidRDefault="00B021A6" w:rsidP="001467E4">
      <w:pPr>
        <w:spacing w:after="0" w:line="360" w:lineRule="auto"/>
        <w:jc w:val="both"/>
        <w:rPr>
          <w:rFonts w:ascii="Book Antiqua" w:hAnsi="Book Antiqua"/>
          <w:lang w:eastAsia="zh-CN"/>
        </w:rPr>
      </w:pPr>
    </w:p>
    <w:p w14:paraId="13865079" w14:textId="622E0741" w:rsidR="006F448B" w:rsidRPr="001467E4" w:rsidRDefault="006F448B" w:rsidP="001467E4">
      <w:pPr>
        <w:spacing w:after="0" w:line="360" w:lineRule="auto"/>
        <w:jc w:val="both"/>
        <w:rPr>
          <w:rFonts w:ascii="Book Antiqua" w:hAnsi="Book Antiqua" w:cs="Arial"/>
          <w:b/>
          <w:lang w:eastAsia="zh-CN"/>
        </w:rPr>
      </w:pPr>
      <w:r w:rsidRPr="001467E4">
        <w:rPr>
          <w:rFonts w:ascii="Book Antiqua" w:hAnsi="Book Antiqua" w:cs="Arial"/>
          <w:b/>
        </w:rPr>
        <w:t xml:space="preserve">Pathogenetic </w:t>
      </w:r>
      <w:r w:rsidR="00711CEE" w:rsidRPr="001467E4">
        <w:rPr>
          <w:rFonts w:ascii="Book Antiqua" w:hAnsi="Book Antiqua" w:cs="Arial"/>
          <w:b/>
        </w:rPr>
        <w:t>mechanisms of antiphospholipid antibody production in antiphospholipid syn</w:t>
      </w:r>
      <w:r w:rsidRPr="001467E4">
        <w:rPr>
          <w:rFonts w:ascii="Book Antiqua" w:hAnsi="Book Antiqua" w:cs="Arial"/>
          <w:b/>
        </w:rPr>
        <w:t>drome</w:t>
      </w:r>
    </w:p>
    <w:p w14:paraId="4D7F0FF7" w14:textId="77777777" w:rsidR="00B021A6" w:rsidRPr="001467E4" w:rsidRDefault="00B021A6" w:rsidP="001467E4">
      <w:pPr>
        <w:spacing w:after="0" w:line="360" w:lineRule="auto"/>
        <w:jc w:val="both"/>
        <w:rPr>
          <w:rFonts w:ascii="Book Antiqua" w:hAnsi="Book Antiqua" w:cs="Arial"/>
          <w:b/>
          <w:lang w:eastAsia="zh-CN"/>
        </w:rPr>
      </w:pPr>
    </w:p>
    <w:p w14:paraId="04D930A2" w14:textId="3812FB8C" w:rsidR="00B021A6" w:rsidRPr="001467E4" w:rsidRDefault="006E3EA4" w:rsidP="001467E4">
      <w:pPr>
        <w:spacing w:after="0" w:line="360" w:lineRule="auto"/>
        <w:jc w:val="both"/>
        <w:rPr>
          <w:rFonts w:ascii="Book Antiqua" w:eastAsia="Arial Unicode MS" w:hAnsi="Book Antiqua" w:cs="Arial Unicode MS"/>
          <w:lang w:val="en"/>
        </w:rPr>
      </w:pPr>
      <w:r w:rsidRPr="001467E4">
        <w:rPr>
          <w:rFonts w:ascii="Book Antiqua" w:hAnsi="Book Antiqua" w:cs="Arial"/>
        </w:rPr>
        <w:t>Willis</w:t>
      </w:r>
      <w:r w:rsidRPr="001467E4">
        <w:rPr>
          <w:rFonts w:ascii="Book Antiqua" w:hAnsi="Book Antiqua" w:cs="Arial"/>
          <w:lang w:eastAsia="zh-CN"/>
        </w:rPr>
        <w:t xml:space="preserve"> R </w:t>
      </w:r>
      <w:r w:rsidRPr="001467E4">
        <w:rPr>
          <w:rFonts w:ascii="Book Antiqua" w:hAnsi="Book Antiqua" w:cs="Arial"/>
          <w:i/>
          <w:lang w:eastAsia="zh-CN"/>
        </w:rPr>
        <w:t>et al.</w:t>
      </w:r>
      <w:r w:rsidR="00B021A6" w:rsidRPr="001467E4">
        <w:rPr>
          <w:rFonts w:ascii="Book Antiqua" w:hAnsi="Book Antiqua"/>
          <w:i/>
        </w:rPr>
        <w:t xml:space="preserve"> </w:t>
      </w:r>
      <w:r w:rsidR="007F3E04">
        <w:rPr>
          <w:rFonts w:ascii="Book Antiqua" w:hAnsi="Book Antiqua"/>
        </w:rPr>
        <w:t>Mechanisms-</w:t>
      </w:r>
      <w:r w:rsidRPr="001467E4">
        <w:rPr>
          <w:rFonts w:ascii="Book Antiqua" w:hAnsi="Book Antiqua"/>
        </w:rPr>
        <w:t>antiphospholipid antibody ge</w:t>
      </w:r>
      <w:r w:rsidR="00CA5CF9" w:rsidRPr="001467E4">
        <w:rPr>
          <w:rFonts w:ascii="Book Antiqua" w:hAnsi="Book Antiqua"/>
        </w:rPr>
        <w:t>neration</w:t>
      </w:r>
    </w:p>
    <w:p w14:paraId="38CFFAA3" w14:textId="77777777" w:rsidR="00B021A6" w:rsidRPr="001467E4" w:rsidRDefault="00B021A6" w:rsidP="001467E4">
      <w:pPr>
        <w:spacing w:after="0" w:line="360" w:lineRule="auto"/>
        <w:jc w:val="both"/>
        <w:rPr>
          <w:rFonts w:ascii="Book Antiqua" w:hAnsi="Book Antiqua" w:cs="Arial"/>
          <w:b/>
          <w:lang w:val="en" w:eastAsia="zh-CN"/>
        </w:rPr>
      </w:pPr>
    </w:p>
    <w:p w14:paraId="553291BD" w14:textId="17EEA399" w:rsidR="00C42CD8" w:rsidRPr="001467E4" w:rsidRDefault="00C42CD8" w:rsidP="001467E4">
      <w:pPr>
        <w:spacing w:after="0" w:line="360" w:lineRule="auto"/>
        <w:jc w:val="both"/>
        <w:rPr>
          <w:rFonts w:ascii="Book Antiqua" w:hAnsi="Book Antiqua" w:cs="Arial"/>
          <w:lang w:eastAsia="zh-CN"/>
        </w:rPr>
      </w:pPr>
      <w:r w:rsidRPr="001467E4">
        <w:rPr>
          <w:rFonts w:ascii="Book Antiqua" w:hAnsi="Book Antiqua" w:cs="Arial"/>
        </w:rPr>
        <w:t>Rohan Willis, Emilio B Gonzalez</w:t>
      </w:r>
    </w:p>
    <w:p w14:paraId="1E9442B6" w14:textId="77777777" w:rsidR="00B021A6" w:rsidRPr="001467E4" w:rsidRDefault="00B021A6" w:rsidP="001467E4">
      <w:pPr>
        <w:spacing w:after="0" w:line="360" w:lineRule="auto"/>
        <w:jc w:val="both"/>
        <w:rPr>
          <w:rFonts w:ascii="Book Antiqua" w:hAnsi="Book Antiqua" w:cs="Arial"/>
          <w:b/>
          <w:lang w:eastAsia="zh-CN"/>
        </w:rPr>
      </w:pPr>
    </w:p>
    <w:p w14:paraId="01BC2E61" w14:textId="684B266D" w:rsidR="00C42CD8" w:rsidRPr="001467E4" w:rsidRDefault="00711CEE" w:rsidP="001467E4">
      <w:pPr>
        <w:spacing w:after="0" w:line="360" w:lineRule="auto"/>
        <w:jc w:val="both"/>
        <w:rPr>
          <w:rFonts w:ascii="Book Antiqua" w:hAnsi="Book Antiqua" w:cs="Arial"/>
          <w:lang w:eastAsia="zh-CN"/>
        </w:rPr>
      </w:pPr>
      <w:r w:rsidRPr="001467E4">
        <w:rPr>
          <w:rFonts w:ascii="Book Antiqua" w:hAnsi="Book Antiqua" w:cs="Arial"/>
          <w:b/>
        </w:rPr>
        <w:t>Rohan Willis, Emilio B Gonzalez</w:t>
      </w:r>
      <w:r w:rsidRPr="001467E4">
        <w:rPr>
          <w:rFonts w:ascii="Book Antiqua" w:hAnsi="Book Antiqua" w:cs="Arial"/>
          <w:b/>
          <w:lang w:eastAsia="zh-CN"/>
        </w:rPr>
        <w:t xml:space="preserve">, </w:t>
      </w:r>
      <w:r w:rsidR="00C42CD8" w:rsidRPr="001467E4">
        <w:rPr>
          <w:rFonts w:ascii="Book Antiqua" w:hAnsi="Book Antiqua" w:cs="Arial"/>
        </w:rPr>
        <w:t>Antiphospholipid Standardization Laboratory</w:t>
      </w:r>
      <w:r w:rsidR="006E3EA4" w:rsidRPr="001467E4">
        <w:rPr>
          <w:rFonts w:ascii="Book Antiqua" w:hAnsi="Book Antiqua" w:cs="Arial"/>
          <w:lang w:eastAsia="zh-CN"/>
        </w:rPr>
        <w:t>,</w:t>
      </w:r>
      <w:r w:rsidR="00C42CD8" w:rsidRPr="001467E4">
        <w:rPr>
          <w:rFonts w:ascii="Book Antiqua" w:hAnsi="Book Antiqua" w:cs="Arial"/>
        </w:rPr>
        <w:t xml:space="preserve"> Division of Rheumatology</w:t>
      </w:r>
      <w:r w:rsidR="006E3EA4" w:rsidRPr="001467E4">
        <w:rPr>
          <w:rFonts w:ascii="Book Antiqua" w:hAnsi="Book Antiqua" w:cs="Arial"/>
          <w:lang w:eastAsia="zh-CN"/>
        </w:rPr>
        <w:t>,</w:t>
      </w:r>
      <w:r w:rsidR="00C42CD8" w:rsidRPr="001467E4">
        <w:rPr>
          <w:rFonts w:ascii="Book Antiqua" w:hAnsi="Book Antiqua" w:cs="Arial"/>
        </w:rPr>
        <w:t xml:space="preserve"> Department of Internal Medicine</w:t>
      </w:r>
      <w:r w:rsidR="006E3EA4" w:rsidRPr="001467E4">
        <w:rPr>
          <w:rFonts w:ascii="Book Antiqua" w:hAnsi="Book Antiqua" w:cs="Arial"/>
          <w:lang w:eastAsia="zh-CN"/>
        </w:rPr>
        <w:t>,</w:t>
      </w:r>
      <w:r w:rsidR="00C42CD8" w:rsidRPr="001467E4">
        <w:rPr>
          <w:rFonts w:ascii="Book Antiqua" w:hAnsi="Book Antiqua" w:cs="Arial"/>
        </w:rPr>
        <w:t xml:space="preserve"> University of Texas Medical Branch</w:t>
      </w:r>
      <w:r w:rsidR="006E3EA4" w:rsidRPr="001467E4">
        <w:rPr>
          <w:rFonts w:ascii="Book Antiqua" w:hAnsi="Book Antiqua" w:cs="Arial"/>
          <w:lang w:eastAsia="zh-CN"/>
        </w:rPr>
        <w:t>,</w:t>
      </w:r>
      <w:r w:rsidR="006E3EA4" w:rsidRPr="001467E4">
        <w:rPr>
          <w:rFonts w:ascii="Book Antiqua" w:hAnsi="Book Antiqua" w:cs="Arial"/>
        </w:rPr>
        <w:t xml:space="preserve"> Galveston, TX</w:t>
      </w:r>
      <w:r w:rsidR="006E3EA4" w:rsidRPr="001467E4">
        <w:rPr>
          <w:rFonts w:ascii="Book Antiqua" w:hAnsi="Book Antiqua" w:cs="Arial"/>
          <w:lang w:eastAsia="zh-CN"/>
        </w:rPr>
        <w:t xml:space="preserve"> </w:t>
      </w:r>
      <w:r w:rsidR="006E3EA4" w:rsidRPr="001467E4">
        <w:rPr>
          <w:rFonts w:ascii="Book Antiqua" w:hAnsi="Book Antiqua" w:cs="Arial"/>
        </w:rPr>
        <w:t>77555-1165</w:t>
      </w:r>
      <w:r w:rsidR="006E3EA4" w:rsidRPr="001467E4">
        <w:rPr>
          <w:rFonts w:ascii="Book Antiqua" w:hAnsi="Book Antiqua" w:cs="Arial"/>
          <w:lang w:eastAsia="zh-CN"/>
        </w:rPr>
        <w:t>, United States</w:t>
      </w:r>
    </w:p>
    <w:p w14:paraId="515255D6" w14:textId="77777777" w:rsidR="00C42CD8" w:rsidRPr="001467E4" w:rsidRDefault="00C42CD8" w:rsidP="001467E4">
      <w:pPr>
        <w:spacing w:after="0" w:line="360" w:lineRule="auto"/>
        <w:jc w:val="both"/>
        <w:rPr>
          <w:rFonts w:ascii="Book Antiqua" w:hAnsi="Book Antiqua" w:cs="Arial"/>
          <w:b/>
        </w:rPr>
      </w:pPr>
    </w:p>
    <w:p w14:paraId="5DF6BEE5" w14:textId="366120EE" w:rsidR="00B021A6" w:rsidRPr="001467E4" w:rsidRDefault="00B021A6" w:rsidP="001467E4">
      <w:pPr>
        <w:spacing w:after="0" w:line="360" w:lineRule="auto"/>
        <w:jc w:val="both"/>
        <w:rPr>
          <w:rFonts w:ascii="Book Antiqua" w:hAnsi="Book Antiqua"/>
        </w:rPr>
      </w:pPr>
      <w:r w:rsidRPr="001467E4">
        <w:rPr>
          <w:rFonts w:ascii="Book Antiqua" w:hAnsi="Book Antiqua"/>
          <w:b/>
        </w:rPr>
        <w:t>Author contributions:</w:t>
      </w:r>
      <w:r w:rsidRPr="001467E4">
        <w:rPr>
          <w:rFonts w:ascii="Book Antiqua" w:hAnsi="Book Antiqua"/>
        </w:rPr>
        <w:t xml:space="preserve"> </w:t>
      </w:r>
      <w:r w:rsidR="00CA5CF9" w:rsidRPr="001467E4">
        <w:rPr>
          <w:rFonts w:ascii="Book Antiqua" w:hAnsi="Book Antiqua"/>
        </w:rPr>
        <w:t>Both authors contributed significantly to the literature review, writing of the article and final approval of the document.</w:t>
      </w:r>
    </w:p>
    <w:p w14:paraId="317A5049" w14:textId="77777777" w:rsidR="00C42CD8" w:rsidRPr="001467E4" w:rsidRDefault="00C42CD8" w:rsidP="001467E4">
      <w:pPr>
        <w:spacing w:after="0" w:line="360" w:lineRule="auto"/>
        <w:jc w:val="both"/>
        <w:rPr>
          <w:rFonts w:ascii="Book Antiqua" w:hAnsi="Book Antiqua" w:cs="Arial"/>
          <w:b/>
          <w:lang w:eastAsia="zh-CN"/>
        </w:rPr>
      </w:pPr>
    </w:p>
    <w:p w14:paraId="48C7C519" w14:textId="1C28140E" w:rsidR="00295DB8" w:rsidRPr="001467E4" w:rsidRDefault="001467E4" w:rsidP="001467E4">
      <w:pPr>
        <w:spacing w:after="0" w:line="360" w:lineRule="auto"/>
        <w:jc w:val="both"/>
        <w:rPr>
          <w:rFonts w:ascii="Book Antiqua" w:hAnsi="Book Antiqua" w:cs="Garamond"/>
        </w:rPr>
      </w:pPr>
      <w:r w:rsidRPr="001467E4">
        <w:rPr>
          <w:rFonts w:ascii="Book Antiqua" w:hAnsi="Book Antiqua" w:cs="TimesNewRomanPS-BoldItalicMT"/>
          <w:b/>
          <w:bCs/>
          <w:iCs/>
        </w:rPr>
        <w:t xml:space="preserve">Conflict-of-interest: </w:t>
      </w:r>
      <w:r w:rsidR="00FE4390" w:rsidRPr="001467E4">
        <w:rPr>
          <w:rFonts w:ascii="Book Antiqua" w:hAnsi="Book Antiqua" w:cs="TimesNewRomanPS-BoldItalicMT"/>
          <w:bCs/>
          <w:iCs/>
        </w:rPr>
        <w:t>The authors declare that there are no conflicts of interest relevant to this article.</w:t>
      </w:r>
    </w:p>
    <w:p w14:paraId="2FEF5B24" w14:textId="77777777" w:rsidR="001467E4" w:rsidRPr="001467E4" w:rsidRDefault="001467E4" w:rsidP="001467E4">
      <w:pPr>
        <w:spacing w:after="0" w:line="360" w:lineRule="auto"/>
        <w:jc w:val="both"/>
        <w:rPr>
          <w:rFonts w:ascii="Book Antiqua" w:hAnsi="Book Antiqua" w:cs="TimesNewRomanPS-BoldItalicMT"/>
          <w:b/>
          <w:bCs/>
          <w:iCs/>
          <w:lang w:eastAsia="zh-CN"/>
        </w:rPr>
      </w:pPr>
    </w:p>
    <w:p w14:paraId="77DB378F" w14:textId="77777777" w:rsidR="001467E4" w:rsidRPr="001467E4" w:rsidRDefault="001467E4" w:rsidP="001467E4">
      <w:pPr>
        <w:spacing w:after="0" w:line="360" w:lineRule="auto"/>
        <w:jc w:val="both"/>
        <w:rPr>
          <w:rFonts w:ascii="Book Antiqua" w:hAnsi="Book Antiqua"/>
        </w:rPr>
      </w:pPr>
      <w:bookmarkStart w:id="0" w:name="OLE_LINK507"/>
      <w:bookmarkStart w:id="1" w:name="OLE_LINK506"/>
      <w:bookmarkStart w:id="2" w:name="OLE_LINK496"/>
      <w:bookmarkStart w:id="3" w:name="OLE_LINK479"/>
      <w:r w:rsidRPr="001467E4">
        <w:rPr>
          <w:rFonts w:ascii="Book Antiqua" w:hAnsi="Book Antiqua"/>
          <w:b/>
        </w:rPr>
        <w:t xml:space="preserve">Open-Access: </w:t>
      </w:r>
      <w:r w:rsidRPr="001467E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467E4">
          <w:rPr>
            <w:rStyle w:val="Hyperlink"/>
            <w:rFonts w:ascii="Book Antiqua" w:hAnsi="Book Antiqua"/>
            <w:color w:val="auto"/>
          </w:rPr>
          <w:t>http://creativecommons.org/licenses/by-nc/4.0/</w:t>
        </w:r>
      </w:hyperlink>
      <w:bookmarkEnd w:id="0"/>
      <w:bookmarkEnd w:id="1"/>
      <w:bookmarkEnd w:id="2"/>
      <w:bookmarkEnd w:id="3"/>
    </w:p>
    <w:p w14:paraId="5798626E" w14:textId="77777777" w:rsidR="00A352A0" w:rsidRPr="001467E4" w:rsidRDefault="00A352A0" w:rsidP="001467E4">
      <w:pPr>
        <w:spacing w:after="0" w:line="360" w:lineRule="auto"/>
        <w:jc w:val="both"/>
        <w:rPr>
          <w:rFonts w:ascii="Book Antiqua" w:hAnsi="Book Antiqua" w:cs="Arial"/>
          <w:b/>
          <w:lang w:eastAsia="zh-CN"/>
        </w:rPr>
      </w:pPr>
    </w:p>
    <w:p w14:paraId="5D144B45" w14:textId="09A8E2EE" w:rsidR="00C42CD8" w:rsidRPr="001467E4" w:rsidRDefault="006E3EA4" w:rsidP="001467E4">
      <w:pPr>
        <w:spacing w:after="0" w:line="360" w:lineRule="auto"/>
        <w:jc w:val="both"/>
        <w:rPr>
          <w:rFonts w:ascii="Book Antiqua" w:hAnsi="Book Antiqua" w:cs="Arial"/>
          <w:b/>
          <w:lang w:eastAsia="zh-CN"/>
        </w:rPr>
      </w:pPr>
      <w:r w:rsidRPr="001467E4">
        <w:rPr>
          <w:rFonts w:ascii="Book Antiqua" w:hAnsi="Book Antiqua"/>
          <w:b/>
        </w:rPr>
        <w:t>Correspondence to:</w:t>
      </w:r>
      <w:r w:rsidRPr="001467E4">
        <w:rPr>
          <w:rFonts w:ascii="Book Antiqua" w:hAnsi="Book Antiqua"/>
          <w:b/>
          <w:lang w:eastAsia="zh-CN"/>
        </w:rPr>
        <w:t xml:space="preserve"> </w:t>
      </w:r>
      <w:r w:rsidRPr="001467E4">
        <w:rPr>
          <w:rFonts w:ascii="Book Antiqua" w:hAnsi="Book Antiqua" w:cs="Arial"/>
          <w:b/>
        </w:rPr>
        <w:t>Emilio B</w:t>
      </w:r>
      <w:r w:rsidR="00C42CD8" w:rsidRPr="001467E4">
        <w:rPr>
          <w:rFonts w:ascii="Book Antiqua" w:hAnsi="Book Antiqua" w:cs="Arial"/>
          <w:b/>
        </w:rPr>
        <w:t xml:space="preserve"> Gonzalez, MD, FACP, FACR</w:t>
      </w:r>
      <w:r w:rsidRPr="001467E4">
        <w:rPr>
          <w:rFonts w:ascii="Book Antiqua" w:hAnsi="Book Antiqua" w:cs="Arial"/>
          <w:b/>
          <w:lang w:eastAsia="zh-CN"/>
        </w:rPr>
        <w:t xml:space="preserve">, </w:t>
      </w:r>
      <w:r w:rsidR="00C42CD8" w:rsidRPr="001467E4">
        <w:rPr>
          <w:rFonts w:ascii="Book Antiqua" w:hAnsi="Book Antiqua" w:cs="Arial"/>
          <w:b/>
        </w:rPr>
        <w:t>Director and Chief</w:t>
      </w:r>
      <w:r w:rsidRPr="001467E4">
        <w:rPr>
          <w:rFonts w:ascii="Book Antiqua" w:hAnsi="Book Antiqua" w:cs="Arial"/>
          <w:b/>
          <w:lang w:eastAsia="zh-CN"/>
        </w:rPr>
        <w:t>,</w:t>
      </w:r>
      <w:r w:rsidR="001467E4" w:rsidRPr="001467E4">
        <w:rPr>
          <w:rFonts w:ascii="Book Antiqua" w:hAnsi="Book Antiqua" w:cs="Arial"/>
          <w:b/>
          <w:lang w:eastAsia="zh-CN"/>
        </w:rPr>
        <w:t xml:space="preserve"> </w:t>
      </w:r>
      <w:r w:rsidR="00C42CD8" w:rsidRPr="001467E4">
        <w:rPr>
          <w:rFonts w:ascii="Book Antiqua" w:hAnsi="Book Antiqua" w:cs="Arial"/>
        </w:rPr>
        <w:t>Division of Rheumatology, Department of Internal Medicine</w:t>
      </w:r>
      <w:r w:rsidRPr="001467E4">
        <w:rPr>
          <w:rFonts w:ascii="Book Antiqua" w:hAnsi="Book Antiqua" w:cs="Arial"/>
          <w:lang w:eastAsia="zh-CN"/>
        </w:rPr>
        <w:t xml:space="preserve">, </w:t>
      </w:r>
      <w:r w:rsidR="00C42CD8" w:rsidRPr="001467E4">
        <w:rPr>
          <w:rFonts w:ascii="Book Antiqua" w:hAnsi="Book Antiqua" w:cs="Arial"/>
        </w:rPr>
        <w:t xml:space="preserve">University of Texas </w:t>
      </w:r>
      <w:r w:rsidR="00C42CD8" w:rsidRPr="001467E4">
        <w:rPr>
          <w:rFonts w:ascii="Book Antiqua" w:hAnsi="Book Antiqua" w:cs="Arial"/>
        </w:rPr>
        <w:lastRenderedPageBreak/>
        <w:t>Medical Branch</w:t>
      </w:r>
      <w:r w:rsidRPr="001467E4">
        <w:rPr>
          <w:rFonts w:ascii="Book Antiqua" w:hAnsi="Book Antiqua" w:cs="Arial"/>
          <w:lang w:eastAsia="zh-CN"/>
        </w:rPr>
        <w:t xml:space="preserve">, </w:t>
      </w:r>
      <w:r w:rsidR="00C42CD8" w:rsidRPr="001467E4">
        <w:rPr>
          <w:rFonts w:ascii="Book Antiqua" w:hAnsi="Book Antiqua" w:cs="Arial"/>
        </w:rPr>
        <w:t>301 University Blvd</w:t>
      </w:r>
      <w:r w:rsidRPr="001467E4">
        <w:rPr>
          <w:rFonts w:ascii="Book Antiqua" w:hAnsi="Book Antiqua" w:cs="Arial"/>
          <w:lang w:eastAsia="zh-CN"/>
        </w:rPr>
        <w:t xml:space="preserve">, </w:t>
      </w:r>
      <w:r w:rsidR="00C42CD8" w:rsidRPr="001467E4">
        <w:rPr>
          <w:rFonts w:ascii="Book Antiqua" w:hAnsi="Book Antiqua" w:cs="Arial"/>
        </w:rPr>
        <w:t>Galveston, TX 77555-1165</w:t>
      </w:r>
      <w:r w:rsidRPr="001467E4">
        <w:rPr>
          <w:rFonts w:ascii="Book Antiqua" w:hAnsi="Book Antiqua" w:cs="Arial"/>
          <w:lang w:eastAsia="zh-CN"/>
        </w:rPr>
        <w:t>, United States.</w:t>
      </w:r>
      <w:r w:rsidRPr="001467E4">
        <w:rPr>
          <w:rFonts w:ascii="Book Antiqua" w:hAnsi="Book Antiqua" w:cs="Arial"/>
        </w:rPr>
        <w:t xml:space="preserve"> ebgonzal@utmb.edu</w:t>
      </w:r>
    </w:p>
    <w:p w14:paraId="36DBB121" w14:textId="77777777" w:rsidR="006E3EA4" w:rsidRPr="001467E4" w:rsidRDefault="006E3EA4" w:rsidP="001467E4">
      <w:pPr>
        <w:spacing w:after="0" w:line="360" w:lineRule="auto"/>
        <w:jc w:val="both"/>
        <w:rPr>
          <w:rFonts w:ascii="Book Antiqua" w:hAnsi="Book Antiqua" w:cs="Arial"/>
          <w:b/>
          <w:lang w:eastAsia="zh-CN"/>
        </w:rPr>
      </w:pPr>
    </w:p>
    <w:p w14:paraId="2F167BFC" w14:textId="77777777" w:rsidR="001467E4" w:rsidRPr="001467E4" w:rsidRDefault="006E3EA4" w:rsidP="001467E4">
      <w:pPr>
        <w:spacing w:after="0" w:line="360" w:lineRule="auto"/>
        <w:jc w:val="both"/>
        <w:rPr>
          <w:rFonts w:ascii="Book Antiqua" w:hAnsi="Book Antiqua" w:cs="Arial"/>
          <w:lang w:eastAsia="zh-CN"/>
        </w:rPr>
      </w:pPr>
      <w:r w:rsidRPr="001467E4">
        <w:rPr>
          <w:rFonts w:ascii="Book Antiqua" w:hAnsi="Book Antiqua"/>
          <w:b/>
        </w:rPr>
        <w:t xml:space="preserve">Telephone: </w:t>
      </w:r>
      <w:r w:rsidRPr="001467E4">
        <w:rPr>
          <w:rFonts w:ascii="Book Antiqua" w:hAnsi="Book Antiqua" w:cs="Arial"/>
          <w:lang w:eastAsia="zh-CN"/>
        </w:rPr>
        <w:t>+1-</w:t>
      </w:r>
      <w:r w:rsidRPr="001467E4">
        <w:rPr>
          <w:rFonts w:ascii="Book Antiqua" w:hAnsi="Book Antiqua" w:cs="Arial"/>
        </w:rPr>
        <w:t>409</w:t>
      </w:r>
      <w:r w:rsidRPr="001467E4">
        <w:rPr>
          <w:rFonts w:ascii="Book Antiqua" w:hAnsi="Book Antiqua" w:cs="Arial"/>
          <w:lang w:eastAsia="zh-CN"/>
        </w:rPr>
        <w:t>-</w:t>
      </w:r>
      <w:r w:rsidRPr="001467E4">
        <w:rPr>
          <w:rFonts w:ascii="Book Antiqua" w:hAnsi="Book Antiqua" w:cs="Arial"/>
        </w:rPr>
        <w:t>9387409</w:t>
      </w:r>
      <w:r w:rsidRPr="001467E4">
        <w:rPr>
          <w:rFonts w:ascii="Book Antiqua" w:hAnsi="Book Antiqua" w:cs="Arial"/>
          <w:lang w:eastAsia="zh-CN"/>
        </w:rPr>
        <w:t xml:space="preserve"> </w:t>
      </w:r>
    </w:p>
    <w:p w14:paraId="08D630D0" w14:textId="0C9F3CE1" w:rsidR="006E3EA4" w:rsidRPr="001467E4" w:rsidRDefault="006E3EA4" w:rsidP="001467E4">
      <w:pPr>
        <w:spacing w:after="0" w:line="360" w:lineRule="auto"/>
        <w:jc w:val="both"/>
        <w:rPr>
          <w:rFonts w:ascii="Book Antiqua" w:hAnsi="Book Antiqua"/>
          <w:b/>
        </w:rPr>
      </w:pPr>
      <w:r w:rsidRPr="001467E4">
        <w:rPr>
          <w:rFonts w:ascii="Book Antiqua" w:hAnsi="Book Antiqua"/>
          <w:b/>
        </w:rPr>
        <w:t>Fax:</w:t>
      </w:r>
      <w:r w:rsidRPr="001467E4">
        <w:rPr>
          <w:rFonts w:ascii="Book Antiqua" w:hAnsi="Book Antiqua" w:cs="Arial"/>
          <w:lang w:eastAsia="zh-CN"/>
        </w:rPr>
        <w:t xml:space="preserve"> +1-</w:t>
      </w:r>
      <w:r w:rsidRPr="001467E4">
        <w:rPr>
          <w:rFonts w:ascii="Book Antiqua" w:hAnsi="Book Antiqua" w:cs="Arial"/>
        </w:rPr>
        <w:t>409</w:t>
      </w:r>
      <w:r w:rsidRPr="001467E4">
        <w:rPr>
          <w:rFonts w:ascii="Book Antiqua" w:hAnsi="Book Antiqua" w:cs="Arial"/>
          <w:lang w:eastAsia="zh-CN"/>
        </w:rPr>
        <w:t>-</w:t>
      </w:r>
      <w:r w:rsidRPr="001467E4">
        <w:rPr>
          <w:rFonts w:ascii="Book Antiqua" w:hAnsi="Book Antiqua" w:cs="Arial"/>
        </w:rPr>
        <w:t>9381479</w:t>
      </w:r>
    </w:p>
    <w:p w14:paraId="22C9FADD" w14:textId="77777777" w:rsidR="006F448B" w:rsidRPr="001467E4" w:rsidRDefault="006F448B" w:rsidP="001467E4">
      <w:pPr>
        <w:spacing w:after="0" w:line="360" w:lineRule="auto"/>
        <w:jc w:val="both"/>
        <w:rPr>
          <w:rFonts w:ascii="Book Antiqua" w:hAnsi="Book Antiqua" w:cs="Arial"/>
          <w:b/>
          <w:lang w:eastAsia="zh-CN"/>
        </w:rPr>
      </w:pPr>
    </w:p>
    <w:p w14:paraId="6C0AFD51" w14:textId="48962AF0" w:rsidR="001467E4" w:rsidRPr="001467E4" w:rsidRDefault="001467E4" w:rsidP="001467E4">
      <w:pPr>
        <w:spacing w:after="0" w:line="360" w:lineRule="auto"/>
        <w:jc w:val="both"/>
        <w:rPr>
          <w:rFonts w:ascii="Book Antiqua" w:hAnsi="Book Antiqua"/>
          <w:b/>
        </w:rPr>
      </w:pPr>
      <w:r w:rsidRPr="001467E4">
        <w:rPr>
          <w:rFonts w:ascii="Book Antiqua" w:hAnsi="Book Antiqua"/>
          <w:b/>
        </w:rPr>
        <w:t xml:space="preserve">Received: </w:t>
      </w:r>
      <w:r w:rsidRPr="001467E4">
        <w:rPr>
          <w:rFonts w:ascii="Book Antiqua" w:hAnsi="Book Antiqua"/>
          <w:lang w:eastAsia="zh-CN"/>
        </w:rPr>
        <w:t>June 30, 2014</w:t>
      </w:r>
      <w:r w:rsidRPr="001467E4">
        <w:rPr>
          <w:rFonts w:ascii="Book Antiqua" w:hAnsi="Book Antiqua"/>
        </w:rPr>
        <w:t xml:space="preserve"> </w:t>
      </w:r>
    </w:p>
    <w:p w14:paraId="7CA4F0C0" w14:textId="2EE78929" w:rsidR="001467E4" w:rsidRPr="001467E4" w:rsidRDefault="001467E4" w:rsidP="001467E4">
      <w:pPr>
        <w:spacing w:after="0" w:line="360" w:lineRule="auto"/>
        <w:jc w:val="both"/>
        <w:rPr>
          <w:rFonts w:ascii="Book Antiqua" w:hAnsi="Book Antiqua"/>
          <w:b/>
          <w:lang w:eastAsia="zh-CN"/>
        </w:rPr>
      </w:pPr>
      <w:r w:rsidRPr="001467E4">
        <w:rPr>
          <w:rFonts w:ascii="Book Antiqua" w:hAnsi="Book Antiqua"/>
          <w:b/>
        </w:rPr>
        <w:t>Peer-review started:</w:t>
      </w:r>
      <w:r w:rsidRPr="001467E4">
        <w:rPr>
          <w:rFonts w:ascii="Book Antiqua" w:hAnsi="Book Antiqua"/>
          <w:b/>
          <w:lang w:eastAsia="zh-CN"/>
        </w:rPr>
        <w:t xml:space="preserve"> </w:t>
      </w:r>
      <w:r w:rsidRPr="001467E4">
        <w:rPr>
          <w:rFonts w:ascii="Book Antiqua" w:hAnsi="Book Antiqua"/>
          <w:lang w:eastAsia="zh-CN"/>
        </w:rPr>
        <w:t>July 1, 2014</w:t>
      </w:r>
    </w:p>
    <w:p w14:paraId="5EB4FE58" w14:textId="41C462D8" w:rsidR="001467E4" w:rsidRPr="001467E4" w:rsidRDefault="001467E4" w:rsidP="001467E4">
      <w:pPr>
        <w:spacing w:after="0" w:line="360" w:lineRule="auto"/>
        <w:jc w:val="both"/>
        <w:rPr>
          <w:rFonts w:ascii="Book Antiqua" w:hAnsi="Book Antiqua"/>
          <w:b/>
        </w:rPr>
      </w:pPr>
      <w:r w:rsidRPr="001467E4">
        <w:rPr>
          <w:rFonts w:ascii="Book Antiqua" w:hAnsi="Book Antiqua"/>
          <w:b/>
        </w:rPr>
        <w:t>First decision:</w:t>
      </w:r>
      <w:r w:rsidRPr="001467E4">
        <w:rPr>
          <w:rFonts w:ascii="Book Antiqua" w:hAnsi="Book Antiqua"/>
          <w:lang w:eastAsia="zh-CN"/>
        </w:rPr>
        <w:t xml:space="preserve"> July 18, 2014</w:t>
      </w:r>
    </w:p>
    <w:p w14:paraId="608E54E7" w14:textId="43FA0876" w:rsidR="001467E4" w:rsidRPr="001467E4" w:rsidRDefault="001467E4" w:rsidP="001467E4">
      <w:pPr>
        <w:spacing w:after="0" w:line="360" w:lineRule="auto"/>
        <w:jc w:val="both"/>
        <w:rPr>
          <w:rFonts w:ascii="Book Antiqua" w:hAnsi="Book Antiqua"/>
          <w:b/>
        </w:rPr>
      </w:pPr>
      <w:r w:rsidRPr="001467E4">
        <w:rPr>
          <w:rFonts w:ascii="Book Antiqua" w:hAnsi="Book Antiqua"/>
          <w:b/>
        </w:rPr>
        <w:t>Revised:</w:t>
      </w:r>
      <w:r w:rsidRPr="001467E4">
        <w:rPr>
          <w:rFonts w:ascii="Book Antiqua" w:hAnsi="Book Antiqua"/>
          <w:b/>
          <w:lang w:eastAsia="zh-CN"/>
        </w:rPr>
        <w:t xml:space="preserve"> </w:t>
      </w:r>
      <w:r w:rsidRPr="001467E4">
        <w:rPr>
          <w:rFonts w:ascii="Book Antiqua" w:hAnsi="Book Antiqua"/>
          <w:lang w:eastAsia="zh-CN"/>
        </w:rPr>
        <w:t>March 24, 2015</w:t>
      </w:r>
      <w:r w:rsidRPr="001467E4">
        <w:rPr>
          <w:rFonts w:ascii="Book Antiqua" w:hAnsi="Book Antiqua"/>
        </w:rPr>
        <w:t xml:space="preserve"> </w:t>
      </w:r>
    </w:p>
    <w:p w14:paraId="4F5C0114" w14:textId="3367428E" w:rsidR="001467E4" w:rsidRPr="00C8621C" w:rsidRDefault="001467E4" w:rsidP="00C8621C">
      <w:r w:rsidRPr="001467E4">
        <w:rPr>
          <w:rFonts w:ascii="Book Antiqua" w:hAnsi="Book Antiqua"/>
          <w:b/>
        </w:rPr>
        <w:t xml:space="preserve">Accepted: </w:t>
      </w:r>
      <w:r w:rsidR="00C8621C">
        <w:t>April 10</w:t>
      </w:r>
      <w:r w:rsidR="00C8621C">
        <w:t>, 2015</w:t>
      </w:r>
    </w:p>
    <w:p w14:paraId="17A229F8" w14:textId="77777777" w:rsidR="001467E4" w:rsidRPr="001467E4" w:rsidRDefault="001467E4" w:rsidP="001467E4">
      <w:pPr>
        <w:spacing w:after="0" w:line="360" w:lineRule="auto"/>
        <w:jc w:val="both"/>
        <w:rPr>
          <w:rFonts w:ascii="Book Antiqua" w:hAnsi="Book Antiqua"/>
          <w:b/>
        </w:rPr>
      </w:pPr>
      <w:r w:rsidRPr="001467E4">
        <w:rPr>
          <w:rFonts w:ascii="Book Antiqua" w:hAnsi="Book Antiqua"/>
          <w:b/>
        </w:rPr>
        <w:t>Article in press:</w:t>
      </w:r>
    </w:p>
    <w:p w14:paraId="4330D06E" w14:textId="77777777" w:rsidR="001467E4" w:rsidRPr="001467E4" w:rsidRDefault="001467E4" w:rsidP="001467E4">
      <w:pPr>
        <w:spacing w:after="0" w:line="360" w:lineRule="auto"/>
        <w:jc w:val="both"/>
        <w:rPr>
          <w:rFonts w:ascii="Book Antiqua" w:hAnsi="Book Antiqua"/>
          <w:b/>
        </w:rPr>
      </w:pPr>
      <w:r w:rsidRPr="001467E4">
        <w:rPr>
          <w:rFonts w:ascii="Book Antiqua" w:hAnsi="Book Antiqua"/>
          <w:b/>
        </w:rPr>
        <w:t xml:space="preserve">Published online: </w:t>
      </w:r>
    </w:p>
    <w:p w14:paraId="2B2BFB3E" w14:textId="77777777" w:rsidR="00C42CD8" w:rsidRPr="001467E4" w:rsidRDefault="00C42CD8" w:rsidP="001467E4">
      <w:pPr>
        <w:spacing w:after="0" w:line="360" w:lineRule="auto"/>
        <w:jc w:val="both"/>
        <w:rPr>
          <w:rFonts w:ascii="Book Antiqua" w:hAnsi="Book Antiqua" w:cs="Arial"/>
          <w:b/>
          <w:lang w:eastAsia="zh-CN"/>
        </w:rPr>
      </w:pPr>
    </w:p>
    <w:p w14:paraId="39A9C002" w14:textId="4C93A147" w:rsidR="00D236B1" w:rsidRPr="001467E4" w:rsidRDefault="001467E4" w:rsidP="001467E4">
      <w:pPr>
        <w:spacing w:after="0" w:line="360" w:lineRule="auto"/>
        <w:jc w:val="both"/>
        <w:rPr>
          <w:rFonts w:ascii="Book Antiqua" w:hAnsi="Book Antiqua" w:cs="Arial"/>
          <w:b/>
          <w:lang w:eastAsia="zh-CN"/>
        </w:rPr>
      </w:pPr>
      <w:r w:rsidRPr="001467E4">
        <w:rPr>
          <w:rFonts w:ascii="Book Antiqua" w:hAnsi="Book Antiqua" w:cs="Arial"/>
          <w:b/>
        </w:rPr>
        <w:t>Abstract</w:t>
      </w:r>
    </w:p>
    <w:p w14:paraId="5ED6D677" w14:textId="08377732" w:rsidR="001467E4" w:rsidRPr="001467E4" w:rsidRDefault="00A671EC" w:rsidP="00C8621C">
      <w:pPr>
        <w:pStyle w:val="Heading3"/>
        <w:shd w:val="clear" w:color="auto" w:fill="FFFFFF"/>
        <w:spacing w:before="0" w:line="360" w:lineRule="auto"/>
        <w:jc w:val="right"/>
        <w:rPr>
          <w:rFonts w:ascii="Book Antiqua" w:eastAsia="宋体" w:hAnsi="Book Antiqua" w:cs="Arial"/>
          <w:color w:val="auto"/>
          <w:sz w:val="24"/>
          <w:szCs w:val="24"/>
          <w:lang w:eastAsia="zh-CN"/>
        </w:rPr>
      </w:pPr>
      <w:r w:rsidRPr="001467E4">
        <w:rPr>
          <w:rFonts w:ascii="Book Antiqua" w:eastAsia="宋体" w:hAnsi="Book Antiqua" w:cs="Arial"/>
          <w:b w:val="0"/>
          <w:bCs w:val="0"/>
          <w:color w:val="auto"/>
          <w:sz w:val="24"/>
          <w:szCs w:val="24"/>
          <w:lang w:bidi="ar-SA"/>
        </w:rPr>
        <w:t>A</w:t>
      </w:r>
      <w:r w:rsidR="00232727" w:rsidRPr="001467E4">
        <w:rPr>
          <w:rFonts w:ascii="Book Antiqua" w:eastAsia="宋体" w:hAnsi="Book Antiqua" w:cs="Arial"/>
          <w:b w:val="0"/>
          <w:bCs w:val="0"/>
          <w:color w:val="auto"/>
          <w:sz w:val="24"/>
          <w:szCs w:val="24"/>
          <w:lang w:bidi="ar-SA"/>
        </w:rPr>
        <w:t xml:space="preserve">ntiphospholiipid </w:t>
      </w:r>
      <w:r w:rsidR="001467E4" w:rsidRPr="001467E4">
        <w:rPr>
          <w:rFonts w:ascii="Book Antiqua" w:eastAsia="宋体" w:hAnsi="Book Antiqua" w:cs="Arial"/>
          <w:b w:val="0"/>
          <w:bCs w:val="0"/>
          <w:color w:val="auto"/>
          <w:sz w:val="24"/>
          <w:szCs w:val="24"/>
          <w:lang w:bidi="ar-SA"/>
        </w:rPr>
        <w:t>s</w:t>
      </w:r>
      <w:r w:rsidR="00232727" w:rsidRPr="001467E4">
        <w:rPr>
          <w:rFonts w:ascii="Book Antiqua" w:eastAsia="宋体" w:hAnsi="Book Antiqua" w:cs="Arial"/>
          <w:b w:val="0"/>
          <w:bCs w:val="0"/>
          <w:color w:val="auto"/>
          <w:sz w:val="24"/>
          <w:szCs w:val="24"/>
          <w:lang w:bidi="ar-SA"/>
        </w:rPr>
        <w:t xml:space="preserve">yndrome (APS) </w:t>
      </w:r>
      <w:r w:rsidRPr="001467E4">
        <w:rPr>
          <w:rFonts w:ascii="Book Antiqua" w:eastAsia="宋体" w:hAnsi="Book Antiqua" w:cs="Arial"/>
          <w:b w:val="0"/>
          <w:bCs w:val="0"/>
          <w:color w:val="auto"/>
          <w:sz w:val="24"/>
          <w:szCs w:val="24"/>
          <w:lang w:bidi="ar-SA"/>
        </w:rPr>
        <w:t>is an autoimmune disease characterized by the pathological action of a</w:t>
      </w:r>
      <w:r w:rsidR="00D236B1" w:rsidRPr="001467E4">
        <w:rPr>
          <w:rFonts w:ascii="Book Antiqua" w:eastAsia="宋体" w:hAnsi="Book Antiqua" w:cs="Arial"/>
          <w:b w:val="0"/>
          <w:bCs w:val="0"/>
          <w:color w:val="auto"/>
          <w:sz w:val="24"/>
          <w:szCs w:val="24"/>
          <w:lang w:bidi="ar-SA"/>
        </w:rPr>
        <w:t>ntiphospholipid antibodies (aPL)</w:t>
      </w:r>
      <w:r w:rsidRPr="001467E4">
        <w:rPr>
          <w:rFonts w:ascii="Book Antiqua" w:eastAsia="宋体" w:hAnsi="Book Antiqua" w:cs="Arial"/>
          <w:b w:val="0"/>
          <w:bCs w:val="0"/>
          <w:color w:val="auto"/>
          <w:sz w:val="24"/>
          <w:szCs w:val="24"/>
          <w:lang w:bidi="ar-SA"/>
        </w:rPr>
        <w:t xml:space="preserve">, that leads to </w:t>
      </w:r>
      <w:r w:rsidR="00D236B1" w:rsidRPr="001467E4">
        <w:rPr>
          <w:rFonts w:ascii="Book Antiqua" w:eastAsia="宋体" w:hAnsi="Book Antiqua" w:cs="Arial"/>
          <w:b w:val="0"/>
          <w:bCs w:val="0"/>
          <w:color w:val="auto"/>
          <w:sz w:val="24"/>
          <w:szCs w:val="24"/>
          <w:lang w:bidi="ar-SA"/>
        </w:rPr>
        <w:t xml:space="preserve">recurrent pregnancy loss and thrombosis. </w:t>
      </w:r>
      <w:r w:rsidR="005F5345" w:rsidRPr="001467E4">
        <w:rPr>
          <w:rFonts w:ascii="Book Antiqua" w:eastAsia="宋体" w:hAnsi="Book Antiqua" w:cs="Arial"/>
          <w:b w:val="0"/>
          <w:bCs w:val="0"/>
          <w:color w:val="auto"/>
          <w:sz w:val="24"/>
          <w:szCs w:val="24"/>
          <w:lang w:bidi="ar-SA"/>
        </w:rPr>
        <w:t xml:space="preserve">Despite limited evidence, it is clear that there are both </w:t>
      </w:r>
      <w:r w:rsidR="00A85D0D" w:rsidRPr="001467E4">
        <w:rPr>
          <w:rFonts w:ascii="Book Antiqua" w:eastAsia="宋体" w:hAnsi="Book Antiqua" w:cs="Arial"/>
          <w:b w:val="0"/>
          <w:bCs w:val="0"/>
          <w:color w:val="auto"/>
          <w:sz w:val="24"/>
          <w:szCs w:val="24"/>
          <w:lang w:bidi="ar-SA"/>
        </w:rPr>
        <w:t>inherited and acquired</w:t>
      </w:r>
      <w:r w:rsidR="005F5345" w:rsidRPr="001467E4">
        <w:rPr>
          <w:rFonts w:ascii="Book Antiqua" w:eastAsia="宋体" w:hAnsi="Book Antiqua" w:cs="Arial"/>
          <w:b w:val="0"/>
          <w:bCs w:val="0"/>
          <w:color w:val="auto"/>
          <w:sz w:val="24"/>
          <w:szCs w:val="24"/>
          <w:lang w:bidi="ar-SA"/>
        </w:rPr>
        <w:t xml:space="preserve"> </w:t>
      </w:r>
      <w:r w:rsidR="00A85D0D" w:rsidRPr="001467E4">
        <w:rPr>
          <w:rFonts w:ascii="Book Antiqua" w:eastAsia="宋体" w:hAnsi="Book Antiqua" w:cs="Arial"/>
          <w:b w:val="0"/>
          <w:bCs w:val="0"/>
          <w:color w:val="auto"/>
          <w:sz w:val="24"/>
          <w:szCs w:val="24"/>
          <w:lang w:bidi="ar-SA"/>
        </w:rPr>
        <w:t>components</w:t>
      </w:r>
      <w:r w:rsidR="005F5345" w:rsidRPr="001467E4">
        <w:rPr>
          <w:rFonts w:ascii="Book Antiqua" w:eastAsia="宋体" w:hAnsi="Book Antiqua" w:cs="Arial"/>
          <w:b w:val="0"/>
          <w:bCs w:val="0"/>
          <w:color w:val="auto"/>
          <w:sz w:val="24"/>
          <w:szCs w:val="24"/>
          <w:lang w:bidi="ar-SA"/>
        </w:rPr>
        <w:t xml:space="preserve"> </w:t>
      </w:r>
      <w:r w:rsidR="00A85D0D" w:rsidRPr="001467E4">
        <w:rPr>
          <w:rFonts w:ascii="Book Antiqua" w:eastAsia="宋体" w:hAnsi="Book Antiqua" w:cs="Arial"/>
          <w:b w:val="0"/>
          <w:bCs w:val="0"/>
          <w:color w:val="auto"/>
          <w:sz w:val="24"/>
          <w:szCs w:val="24"/>
          <w:lang w:bidi="ar-SA"/>
        </w:rPr>
        <w:t xml:space="preserve">of </w:t>
      </w:r>
      <w:r w:rsidR="005F5345" w:rsidRPr="001467E4">
        <w:rPr>
          <w:rFonts w:ascii="Book Antiqua" w:eastAsia="宋体" w:hAnsi="Book Antiqua" w:cs="Arial"/>
          <w:b w:val="0"/>
          <w:bCs w:val="0"/>
          <w:color w:val="auto"/>
          <w:sz w:val="24"/>
          <w:szCs w:val="24"/>
          <w:lang w:bidi="ar-SA"/>
        </w:rPr>
        <w:t>the ontogeny of these antibodies</w:t>
      </w:r>
      <w:r w:rsidR="00D236B1" w:rsidRPr="001467E4">
        <w:rPr>
          <w:rFonts w:ascii="Book Antiqua" w:eastAsia="宋体" w:hAnsi="Book Antiqua" w:cs="Arial"/>
          <w:b w:val="0"/>
          <w:bCs w:val="0"/>
          <w:color w:val="auto"/>
          <w:sz w:val="24"/>
          <w:szCs w:val="24"/>
          <w:lang w:bidi="ar-SA"/>
        </w:rPr>
        <w:t xml:space="preserve">. </w:t>
      </w:r>
      <w:r w:rsidR="005F5345" w:rsidRPr="001467E4">
        <w:rPr>
          <w:rFonts w:ascii="Book Antiqua" w:eastAsia="宋体" w:hAnsi="Book Antiqua" w:cs="Arial"/>
          <w:b w:val="0"/>
          <w:bCs w:val="0"/>
          <w:color w:val="auto"/>
          <w:sz w:val="24"/>
          <w:szCs w:val="24"/>
          <w:lang w:bidi="ar-SA"/>
        </w:rPr>
        <w:t>Animal genetic studies and human familial and population stu</w:t>
      </w:r>
      <w:r w:rsidR="001467E4" w:rsidRPr="001467E4">
        <w:rPr>
          <w:rFonts w:ascii="Book Antiqua" w:eastAsia="宋体" w:hAnsi="Book Antiqua" w:cs="Arial"/>
          <w:b w:val="0"/>
          <w:bCs w:val="0"/>
          <w:color w:val="auto"/>
          <w:sz w:val="24"/>
          <w:szCs w:val="24"/>
          <w:lang w:bidi="ar-SA"/>
        </w:rPr>
        <w:t>dies highlight the influence of</w:t>
      </w:r>
      <w:r w:rsidR="001467E4" w:rsidRPr="001467E4">
        <w:rPr>
          <w:rFonts w:ascii="Book Antiqua" w:eastAsia="宋体" w:hAnsi="Book Antiqua" w:cs="Arial" w:hint="eastAsia"/>
          <w:b w:val="0"/>
          <w:bCs w:val="0"/>
          <w:color w:val="auto"/>
          <w:sz w:val="24"/>
          <w:szCs w:val="24"/>
          <w:lang w:eastAsia="zh-CN" w:bidi="ar-SA"/>
        </w:rPr>
        <w:t xml:space="preserve"> </w:t>
      </w:r>
      <w:r w:rsidR="005F5345" w:rsidRPr="001467E4">
        <w:rPr>
          <w:rFonts w:ascii="Book Antiqua" w:eastAsia="宋体" w:hAnsi="Book Antiqua" w:cs="Arial"/>
          <w:b w:val="0"/>
          <w:bCs w:val="0"/>
          <w:color w:val="auto"/>
          <w:sz w:val="24"/>
          <w:szCs w:val="24"/>
          <w:lang w:bidi="ar-SA"/>
        </w:rPr>
        <w:t>genetic factors in APS, particularly</w:t>
      </w:r>
      <w:r w:rsidR="001467E4" w:rsidRPr="001467E4">
        <w:rPr>
          <w:rFonts w:ascii="Book Antiqua" w:eastAsia="宋体" w:hAnsi="Book Antiqua" w:cs="Arial"/>
          <w:b w:val="0"/>
          <w:bCs w:val="0"/>
          <w:color w:val="auto"/>
          <w:sz w:val="24"/>
          <w:szCs w:val="24"/>
          <w:lang w:bidi="ar-SA"/>
        </w:rPr>
        <w:t xml:space="preserve"> </w:t>
      </w:r>
      <w:r w:rsidR="00C8621C">
        <w:fldChar w:fldCharType="begin"/>
      </w:r>
      <w:r w:rsidR="00C8621C">
        <w:instrText xml:space="preserve"> HYPERLINK "http://en.wikipedia.org/wiki/Human_leukocyte_antigen" \t "_blank" </w:instrText>
      </w:r>
      <w:r w:rsidR="00C8621C">
        <w:fldChar w:fldCharType="separate"/>
      </w:r>
      <w:r w:rsidR="001467E4" w:rsidRPr="001467E4">
        <w:rPr>
          <w:rFonts w:ascii="Book Antiqua" w:eastAsia="宋体" w:hAnsi="Book Antiqua"/>
          <w:b w:val="0"/>
          <w:color w:val="auto"/>
          <w:sz w:val="24"/>
          <w:szCs w:val="24"/>
          <w:lang w:bidi="ar-SA"/>
        </w:rPr>
        <w:t>human leukocyte antigen</w:t>
      </w:r>
      <w:r w:rsidR="00C8621C">
        <w:rPr>
          <w:rFonts w:ascii="Book Antiqua" w:eastAsia="宋体" w:hAnsi="Book Antiqua"/>
          <w:b w:val="0"/>
          <w:color w:val="auto"/>
          <w:sz w:val="24"/>
          <w:szCs w:val="24"/>
          <w:lang w:bidi="ar-SA"/>
        </w:rPr>
        <w:fldChar w:fldCharType="end"/>
      </w:r>
      <w:r w:rsidR="001467E4" w:rsidRPr="001467E4">
        <w:rPr>
          <w:rFonts w:ascii="Book Antiqua" w:hAnsi="Book Antiqua" w:cs="Arial"/>
          <w:b w:val="0"/>
          <w:color w:val="auto"/>
          <w:sz w:val="24"/>
          <w:szCs w:val="24"/>
        </w:rPr>
        <w:t xml:space="preserve"> (</w:t>
      </w:r>
      <w:r w:rsidR="005F5345" w:rsidRPr="001467E4">
        <w:rPr>
          <w:rFonts w:ascii="Book Antiqua" w:hAnsi="Book Antiqua" w:cs="Arial"/>
          <w:b w:val="0"/>
          <w:color w:val="auto"/>
          <w:sz w:val="24"/>
          <w:szCs w:val="24"/>
        </w:rPr>
        <w:t>HLA</w:t>
      </w:r>
      <w:r w:rsidR="001467E4" w:rsidRPr="001467E4">
        <w:rPr>
          <w:rFonts w:ascii="Book Antiqua" w:hAnsi="Book Antiqua" w:cs="Arial"/>
          <w:b w:val="0"/>
          <w:color w:val="auto"/>
          <w:sz w:val="24"/>
          <w:szCs w:val="24"/>
        </w:rPr>
        <w:t>)</w:t>
      </w:r>
      <w:r w:rsidR="005F5345" w:rsidRPr="001467E4">
        <w:rPr>
          <w:rFonts w:ascii="Book Antiqua" w:hAnsi="Book Antiqua" w:cs="Arial"/>
          <w:b w:val="0"/>
          <w:color w:val="auto"/>
          <w:sz w:val="24"/>
          <w:szCs w:val="24"/>
        </w:rPr>
        <w:t xml:space="preserve"> associations. Similarly, both animal and human studies have </w:t>
      </w:r>
      <w:r w:rsidR="00A85D0D" w:rsidRPr="001467E4">
        <w:rPr>
          <w:rFonts w:ascii="Book Antiqua" w:hAnsi="Book Antiqua" w:cs="Arial"/>
          <w:b w:val="0"/>
          <w:color w:val="auto"/>
          <w:sz w:val="24"/>
          <w:szCs w:val="24"/>
        </w:rPr>
        <w:t xml:space="preserve">reported </w:t>
      </w:r>
      <w:r w:rsidR="005F5345" w:rsidRPr="001467E4">
        <w:rPr>
          <w:rFonts w:ascii="Book Antiqua" w:hAnsi="Book Antiqua" w:cs="Arial"/>
          <w:b w:val="0"/>
          <w:color w:val="auto"/>
          <w:sz w:val="24"/>
          <w:szCs w:val="24"/>
        </w:rPr>
        <w:t xml:space="preserve">the </w:t>
      </w:r>
      <w:r w:rsidR="00A85D0D" w:rsidRPr="001467E4">
        <w:rPr>
          <w:rFonts w:ascii="Book Antiqua" w:hAnsi="Book Antiqua" w:cs="Arial"/>
          <w:b w:val="0"/>
          <w:color w:val="auto"/>
          <w:sz w:val="24"/>
          <w:szCs w:val="24"/>
        </w:rPr>
        <w:t xml:space="preserve">importance </w:t>
      </w:r>
      <w:r w:rsidR="005F5345" w:rsidRPr="001467E4">
        <w:rPr>
          <w:rFonts w:ascii="Book Antiqua" w:hAnsi="Book Antiqua" w:cs="Arial"/>
          <w:b w:val="0"/>
          <w:color w:val="auto"/>
          <w:sz w:val="24"/>
          <w:szCs w:val="24"/>
        </w:rPr>
        <w:t xml:space="preserve">of </w:t>
      </w:r>
      <w:r w:rsidR="00A85D0D" w:rsidRPr="001467E4">
        <w:rPr>
          <w:rFonts w:ascii="Book Antiqua" w:hAnsi="Book Antiqua" w:cs="Arial"/>
          <w:b w:val="0"/>
          <w:color w:val="auto"/>
          <w:sz w:val="24"/>
          <w:szCs w:val="24"/>
        </w:rPr>
        <w:t xml:space="preserve">acquired </w:t>
      </w:r>
      <w:r w:rsidR="005F5345" w:rsidRPr="001467E4">
        <w:rPr>
          <w:rFonts w:ascii="Book Antiqua" w:hAnsi="Book Antiqua" w:cs="Arial"/>
          <w:b w:val="0"/>
          <w:color w:val="auto"/>
          <w:sz w:val="24"/>
          <w:szCs w:val="24"/>
        </w:rPr>
        <w:t>factors in APS development and infectious agents in particular have a great impact on aPL production</w:t>
      </w:r>
      <w:r w:rsidR="00D236B1" w:rsidRPr="001467E4">
        <w:rPr>
          <w:rFonts w:ascii="Book Antiqua" w:hAnsi="Book Antiqua" w:cs="Arial"/>
          <w:b w:val="0"/>
          <w:color w:val="auto"/>
          <w:sz w:val="24"/>
          <w:szCs w:val="24"/>
        </w:rPr>
        <w:t xml:space="preserve">. </w:t>
      </w:r>
      <w:r w:rsidR="00A85D0D" w:rsidRPr="001467E4">
        <w:rPr>
          <w:rFonts w:ascii="Book Antiqua" w:hAnsi="Book Antiqua" w:cs="Arial"/>
          <w:b w:val="0"/>
          <w:color w:val="auto"/>
          <w:sz w:val="24"/>
          <w:szCs w:val="24"/>
        </w:rPr>
        <w:t xml:space="preserve">Bacterial and viral </w:t>
      </w:r>
      <w:r w:rsidR="00D236B1" w:rsidRPr="001467E4">
        <w:rPr>
          <w:rFonts w:ascii="Book Antiqua" w:hAnsi="Book Antiqua" w:cs="Arial"/>
          <w:b w:val="0"/>
          <w:color w:val="auto"/>
          <w:sz w:val="24"/>
          <w:szCs w:val="24"/>
        </w:rPr>
        <w:t xml:space="preserve">agents </w:t>
      </w:r>
      <w:r w:rsidR="00A85D0D" w:rsidRPr="001467E4">
        <w:rPr>
          <w:rFonts w:ascii="Book Antiqua" w:hAnsi="Book Antiqua" w:cs="Arial"/>
          <w:b w:val="0"/>
          <w:color w:val="auto"/>
          <w:sz w:val="24"/>
          <w:szCs w:val="24"/>
        </w:rPr>
        <w:t>have been implicated in the induction of</w:t>
      </w:r>
      <w:r w:rsidR="00D236B1" w:rsidRPr="001467E4">
        <w:rPr>
          <w:rFonts w:ascii="Book Antiqua" w:hAnsi="Book Antiqua" w:cs="Arial"/>
          <w:b w:val="0"/>
          <w:color w:val="auto"/>
          <w:sz w:val="24"/>
          <w:szCs w:val="24"/>
        </w:rPr>
        <w:t xml:space="preserve"> autoimmune responses by </w:t>
      </w:r>
      <w:r w:rsidR="005F5345" w:rsidRPr="001467E4">
        <w:rPr>
          <w:rFonts w:ascii="Book Antiqua" w:hAnsi="Book Antiqua" w:cs="Arial"/>
          <w:b w:val="0"/>
          <w:color w:val="auto"/>
          <w:sz w:val="24"/>
          <w:szCs w:val="24"/>
        </w:rPr>
        <w:t xml:space="preserve">various mechanisms including </w:t>
      </w:r>
      <w:r w:rsidR="00D236B1" w:rsidRPr="001467E4">
        <w:rPr>
          <w:rFonts w:ascii="Book Antiqua" w:hAnsi="Book Antiqua" w:cs="Arial"/>
          <w:b w:val="0"/>
          <w:color w:val="auto"/>
          <w:sz w:val="24"/>
          <w:szCs w:val="24"/>
        </w:rPr>
        <w:t xml:space="preserve">molecular mimicry, cryptic autoantigens </w:t>
      </w:r>
      <w:r w:rsidR="005F5345" w:rsidRPr="001467E4">
        <w:rPr>
          <w:rFonts w:ascii="Book Antiqua" w:hAnsi="Book Antiqua" w:cs="Arial"/>
          <w:b w:val="0"/>
          <w:color w:val="auto"/>
          <w:sz w:val="24"/>
          <w:szCs w:val="24"/>
        </w:rPr>
        <w:t>exposure and</w:t>
      </w:r>
      <w:r w:rsidR="00D236B1" w:rsidRPr="001467E4">
        <w:rPr>
          <w:rFonts w:ascii="Book Antiqua" w:hAnsi="Book Antiqua" w:cs="Arial"/>
          <w:b w:val="0"/>
          <w:color w:val="auto"/>
          <w:sz w:val="24"/>
          <w:szCs w:val="24"/>
        </w:rPr>
        <w:t xml:space="preserve"> apoptosis. </w:t>
      </w:r>
      <w:r w:rsidR="005F5345" w:rsidRPr="001467E4">
        <w:rPr>
          <w:rFonts w:ascii="Book Antiqua" w:hAnsi="Book Antiqua" w:cs="Arial"/>
          <w:b w:val="0"/>
          <w:color w:val="auto"/>
          <w:sz w:val="24"/>
          <w:szCs w:val="24"/>
        </w:rPr>
        <w:t>In this review we highlight the latest updates with regards to</w:t>
      </w:r>
      <w:r w:rsidR="00D236B1" w:rsidRPr="001467E4">
        <w:rPr>
          <w:rFonts w:ascii="Book Antiqua" w:hAnsi="Book Antiqua" w:cs="Arial"/>
          <w:b w:val="0"/>
          <w:color w:val="auto"/>
          <w:sz w:val="24"/>
          <w:szCs w:val="24"/>
        </w:rPr>
        <w:t xml:space="preserve"> </w:t>
      </w:r>
      <w:r w:rsidR="00A85D0D" w:rsidRPr="001467E4">
        <w:rPr>
          <w:rFonts w:ascii="Book Antiqua" w:hAnsi="Book Antiqua" w:cs="Arial"/>
          <w:b w:val="0"/>
          <w:color w:val="auto"/>
          <w:sz w:val="24"/>
          <w:szCs w:val="24"/>
        </w:rPr>
        <w:t>inherited and acquired</w:t>
      </w:r>
      <w:r w:rsidR="00D236B1" w:rsidRPr="001467E4">
        <w:rPr>
          <w:rFonts w:ascii="Book Antiqua" w:hAnsi="Book Antiqua" w:cs="Arial"/>
          <w:b w:val="0"/>
          <w:color w:val="auto"/>
          <w:sz w:val="24"/>
          <w:szCs w:val="24"/>
        </w:rPr>
        <w:t xml:space="preserve"> factors </w:t>
      </w:r>
      <w:r w:rsidR="005F5345" w:rsidRPr="001467E4">
        <w:rPr>
          <w:rFonts w:ascii="Book Antiqua" w:hAnsi="Book Antiqua" w:cs="Arial"/>
          <w:b w:val="0"/>
          <w:color w:val="auto"/>
          <w:sz w:val="24"/>
          <w:szCs w:val="24"/>
        </w:rPr>
        <w:t>leading to the</w:t>
      </w:r>
      <w:r w:rsidR="00D236B1" w:rsidRPr="001467E4">
        <w:rPr>
          <w:rFonts w:ascii="Book Antiqua" w:hAnsi="Book Antiqua" w:cs="Arial"/>
          <w:b w:val="0"/>
          <w:color w:val="auto"/>
          <w:sz w:val="24"/>
          <w:szCs w:val="24"/>
        </w:rPr>
        <w:t xml:space="preserve"> </w:t>
      </w:r>
      <w:r w:rsidR="00A85D0D" w:rsidRPr="001467E4">
        <w:rPr>
          <w:rFonts w:ascii="Book Antiqua" w:hAnsi="Book Antiqua" w:cs="Arial"/>
          <w:b w:val="0"/>
          <w:color w:val="auto"/>
          <w:sz w:val="24"/>
          <w:szCs w:val="24"/>
        </w:rPr>
        <w:t xml:space="preserve">manufacturing </w:t>
      </w:r>
      <w:r w:rsidR="00D236B1" w:rsidRPr="001467E4">
        <w:rPr>
          <w:rFonts w:ascii="Book Antiqua" w:hAnsi="Book Antiqua" w:cs="Arial"/>
          <w:b w:val="0"/>
          <w:color w:val="auto"/>
          <w:sz w:val="24"/>
          <w:szCs w:val="24"/>
        </w:rPr>
        <w:t>of pathog</w:t>
      </w:r>
      <w:r w:rsidR="005F5345" w:rsidRPr="001467E4">
        <w:rPr>
          <w:rFonts w:ascii="Book Antiqua" w:hAnsi="Book Antiqua" w:cs="Arial"/>
          <w:b w:val="0"/>
          <w:color w:val="auto"/>
          <w:sz w:val="24"/>
          <w:szCs w:val="24"/>
        </w:rPr>
        <w:t xml:space="preserve">enic </w:t>
      </w:r>
      <w:r w:rsidR="00A85D0D" w:rsidRPr="001467E4">
        <w:rPr>
          <w:rFonts w:ascii="Book Antiqua" w:hAnsi="Book Antiqua" w:cs="Arial"/>
          <w:b w:val="0"/>
          <w:color w:val="auto"/>
          <w:sz w:val="24"/>
          <w:szCs w:val="24"/>
        </w:rPr>
        <w:t xml:space="preserve">antibodies </w:t>
      </w:r>
      <w:r w:rsidR="005F5345" w:rsidRPr="001467E4">
        <w:rPr>
          <w:rFonts w:ascii="Book Antiqua" w:hAnsi="Book Antiqua" w:cs="Arial"/>
          <w:b w:val="0"/>
          <w:color w:val="auto"/>
          <w:sz w:val="24"/>
          <w:szCs w:val="24"/>
        </w:rPr>
        <w:t>and APS.</w:t>
      </w:r>
    </w:p>
    <w:p w14:paraId="270F7688" w14:textId="7FAA0EDF" w:rsidR="001467E4" w:rsidRPr="001467E4" w:rsidRDefault="001467E4" w:rsidP="001467E4">
      <w:pPr>
        <w:pStyle w:val="Heading3"/>
        <w:shd w:val="clear" w:color="auto" w:fill="FFFFFF"/>
        <w:spacing w:before="0" w:line="360" w:lineRule="auto"/>
        <w:jc w:val="both"/>
        <w:rPr>
          <w:rFonts w:ascii="Book Antiqua" w:hAnsi="Book Antiqua" w:cs="Arial"/>
          <w:color w:val="auto"/>
          <w:sz w:val="24"/>
          <w:szCs w:val="24"/>
          <w:lang w:eastAsia="zh-CN"/>
        </w:rPr>
      </w:pPr>
      <w:r w:rsidRPr="001467E4">
        <w:rPr>
          <w:rFonts w:ascii="Book Antiqua" w:hAnsi="Book Antiqua" w:cs="Arial"/>
          <w:color w:val="auto"/>
          <w:lang w:eastAsia="zh-CN"/>
        </w:rPr>
        <w:t xml:space="preserve"> </w:t>
      </w:r>
    </w:p>
    <w:p w14:paraId="47391EAE" w14:textId="76B8B548" w:rsidR="00CA5CF9" w:rsidRPr="001467E4" w:rsidRDefault="00B021A6" w:rsidP="001467E4">
      <w:pPr>
        <w:spacing w:after="0" w:line="360" w:lineRule="auto"/>
        <w:jc w:val="both"/>
        <w:rPr>
          <w:rFonts w:ascii="Book Antiqua" w:hAnsi="Book Antiqua" w:cs="Arial"/>
        </w:rPr>
      </w:pPr>
      <w:r w:rsidRPr="001467E4">
        <w:rPr>
          <w:rFonts w:ascii="Book Antiqua" w:hAnsi="Book Antiqua"/>
          <w:b/>
        </w:rPr>
        <w:t>Key words:</w:t>
      </w:r>
      <w:r w:rsidR="00CA5CF9" w:rsidRPr="001467E4">
        <w:rPr>
          <w:rFonts w:ascii="Book Antiqua" w:hAnsi="Book Antiqua"/>
          <w:b/>
        </w:rPr>
        <w:t xml:space="preserve"> </w:t>
      </w:r>
      <w:r w:rsidR="001467E4" w:rsidRPr="001467E4">
        <w:rPr>
          <w:rFonts w:ascii="Book Antiqua" w:hAnsi="Book Antiqua" w:cs="Arial"/>
          <w:bCs/>
        </w:rPr>
        <w:t>A</w:t>
      </w:r>
      <w:r w:rsidR="00CA5CF9" w:rsidRPr="001467E4">
        <w:rPr>
          <w:rFonts w:ascii="Book Antiqua" w:hAnsi="Book Antiqua" w:cs="Arial"/>
          <w:bCs/>
        </w:rPr>
        <w:t>ntiphospholipid</w:t>
      </w:r>
      <w:r w:rsidR="001467E4" w:rsidRPr="001467E4">
        <w:rPr>
          <w:rFonts w:ascii="Book Antiqua" w:hAnsi="Book Antiqua" w:cs="Arial"/>
          <w:bCs/>
        </w:rPr>
        <w:t>;</w:t>
      </w:r>
      <w:r w:rsidR="00CA5CF9" w:rsidRPr="001467E4">
        <w:rPr>
          <w:rFonts w:ascii="Book Antiqua" w:hAnsi="Book Antiqua" w:cs="Arial"/>
          <w:bCs/>
        </w:rPr>
        <w:t xml:space="preserve"> </w:t>
      </w:r>
      <w:r w:rsidR="001467E4" w:rsidRPr="001467E4">
        <w:rPr>
          <w:rFonts w:ascii="Book Antiqua" w:hAnsi="Book Antiqua" w:cs="Arial"/>
          <w:bCs/>
        </w:rPr>
        <w:t>A</w:t>
      </w:r>
      <w:r w:rsidR="00CA5CF9" w:rsidRPr="001467E4">
        <w:rPr>
          <w:rFonts w:ascii="Book Antiqua" w:hAnsi="Book Antiqua" w:cs="Arial"/>
          <w:bCs/>
        </w:rPr>
        <w:t>utoimmune</w:t>
      </w:r>
      <w:r w:rsidR="001467E4" w:rsidRPr="001467E4">
        <w:rPr>
          <w:rFonts w:ascii="Book Antiqua" w:hAnsi="Book Antiqua" w:cs="Arial"/>
          <w:bCs/>
        </w:rPr>
        <w:t>;</w:t>
      </w:r>
      <w:r w:rsidR="00CA5CF9" w:rsidRPr="001467E4">
        <w:rPr>
          <w:rFonts w:ascii="Book Antiqua" w:hAnsi="Book Antiqua" w:cs="Arial"/>
          <w:bCs/>
        </w:rPr>
        <w:t xml:space="preserve"> </w:t>
      </w:r>
      <w:r w:rsidR="001467E4" w:rsidRPr="001467E4">
        <w:rPr>
          <w:rFonts w:ascii="Book Antiqua" w:hAnsi="Book Antiqua" w:cs="Arial"/>
          <w:bCs/>
        </w:rPr>
        <w:t>A</w:t>
      </w:r>
      <w:r w:rsidR="00CA5CF9" w:rsidRPr="001467E4">
        <w:rPr>
          <w:rFonts w:ascii="Book Antiqua" w:hAnsi="Book Antiqua" w:cs="Arial"/>
          <w:bCs/>
        </w:rPr>
        <w:t>ntibody production</w:t>
      </w:r>
      <w:r w:rsidR="001467E4" w:rsidRPr="001467E4">
        <w:rPr>
          <w:rFonts w:ascii="Book Antiqua" w:hAnsi="Book Antiqua" w:cs="Arial"/>
          <w:bCs/>
        </w:rPr>
        <w:t>;</w:t>
      </w:r>
      <w:r w:rsidR="00CA5CF9" w:rsidRPr="001467E4">
        <w:rPr>
          <w:rFonts w:ascii="Book Antiqua" w:hAnsi="Book Antiqua" w:cs="Arial"/>
          <w:bCs/>
        </w:rPr>
        <w:t xml:space="preserve"> </w:t>
      </w:r>
      <w:r w:rsidR="001467E4" w:rsidRPr="001467E4">
        <w:rPr>
          <w:rFonts w:ascii="Book Antiqua" w:hAnsi="Book Antiqua" w:cs="Arial"/>
          <w:bCs/>
        </w:rPr>
        <w:t>S</w:t>
      </w:r>
      <w:r w:rsidR="00CA5CF9" w:rsidRPr="001467E4">
        <w:rPr>
          <w:rFonts w:ascii="Book Antiqua" w:hAnsi="Book Antiqua" w:cs="Arial"/>
          <w:bCs/>
        </w:rPr>
        <w:t>usceptibility</w:t>
      </w:r>
      <w:r w:rsidR="001467E4" w:rsidRPr="001467E4">
        <w:rPr>
          <w:rFonts w:ascii="Book Antiqua" w:hAnsi="Book Antiqua" w:cs="Arial"/>
          <w:bCs/>
        </w:rPr>
        <w:t>;</w:t>
      </w:r>
      <w:r w:rsidR="00CA5CF9" w:rsidRPr="001467E4">
        <w:rPr>
          <w:rFonts w:ascii="Book Antiqua" w:hAnsi="Book Antiqua" w:cs="Arial"/>
          <w:bCs/>
        </w:rPr>
        <w:t xml:space="preserve"> </w:t>
      </w:r>
      <w:r w:rsidR="001467E4" w:rsidRPr="001467E4">
        <w:rPr>
          <w:rFonts w:ascii="Book Antiqua" w:hAnsi="Book Antiqua" w:cs="Arial"/>
          <w:bCs/>
        </w:rPr>
        <w:t>G</w:t>
      </w:r>
      <w:r w:rsidR="00CA5CF9" w:rsidRPr="001467E4">
        <w:rPr>
          <w:rFonts w:ascii="Book Antiqua" w:hAnsi="Book Antiqua" w:cs="Arial"/>
          <w:bCs/>
        </w:rPr>
        <w:t>enetic</w:t>
      </w:r>
      <w:r w:rsidR="001467E4" w:rsidRPr="001467E4">
        <w:rPr>
          <w:rFonts w:ascii="Book Antiqua" w:hAnsi="Book Antiqua" w:cs="Arial"/>
          <w:bCs/>
        </w:rPr>
        <w:t>;</w:t>
      </w:r>
      <w:r w:rsidR="00CA5CF9" w:rsidRPr="001467E4">
        <w:rPr>
          <w:rFonts w:ascii="Book Antiqua" w:hAnsi="Book Antiqua" w:cs="Arial"/>
          <w:bCs/>
        </w:rPr>
        <w:t xml:space="preserve"> </w:t>
      </w:r>
      <w:r w:rsidR="001467E4" w:rsidRPr="001467E4">
        <w:rPr>
          <w:rFonts w:ascii="Book Antiqua" w:hAnsi="Book Antiqua" w:cs="Arial"/>
          <w:bCs/>
        </w:rPr>
        <w:t>E</w:t>
      </w:r>
      <w:r w:rsidR="00CA5CF9" w:rsidRPr="001467E4">
        <w:rPr>
          <w:rFonts w:ascii="Book Antiqua" w:hAnsi="Book Antiqua" w:cs="Arial"/>
          <w:bCs/>
        </w:rPr>
        <w:t>nvironmental</w:t>
      </w:r>
      <w:r w:rsidR="001467E4" w:rsidRPr="001467E4">
        <w:rPr>
          <w:rFonts w:ascii="Book Antiqua" w:hAnsi="Book Antiqua" w:cs="Arial"/>
          <w:bCs/>
        </w:rPr>
        <w:t xml:space="preserve">; </w:t>
      </w:r>
      <w:r w:rsidR="00C8621C">
        <w:fldChar w:fldCharType="begin"/>
      </w:r>
      <w:r w:rsidR="00C8621C">
        <w:instrText xml:space="preserve"> HYPERLINK "http://en.wikipedia.org/wiki/Human_leukocyte_antigen" \t "_blank" </w:instrText>
      </w:r>
      <w:r w:rsidR="00C8621C">
        <w:fldChar w:fldCharType="separate"/>
      </w:r>
      <w:r w:rsidR="001467E4" w:rsidRPr="001467E4">
        <w:rPr>
          <w:rFonts w:ascii="Book Antiqua" w:hAnsi="Book Antiqua"/>
        </w:rPr>
        <w:t>Human leukocyte antigen</w:t>
      </w:r>
      <w:r w:rsidR="00C8621C">
        <w:rPr>
          <w:rFonts w:ascii="Book Antiqua" w:hAnsi="Book Antiqua"/>
        </w:rPr>
        <w:fldChar w:fldCharType="end"/>
      </w:r>
      <w:r w:rsidR="001467E4" w:rsidRPr="001467E4">
        <w:rPr>
          <w:rFonts w:ascii="Book Antiqua" w:hAnsi="Book Antiqua" w:cs="Arial"/>
          <w:bCs/>
        </w:rPr>
        <w:t>;</w:t>
      </w:r>
      <w:r w:rsidR="007B00D1" w:rsidRPr="001467E4">
        <w:rPr>
          <w:rFonts w:ascii="Book Antiqua" w:hAnsi="Book Antiqua" w:cs="Arial"/>
          <w:bCs/>
        </w:rPr>
        <w:t xml:space="preserve"> </w:t>
      </w:r>
      <w:r w:rsidR="001467E4" w:rsidRPr="001467E4">
        <w:rPr>
          <w:rFonts w:ascii="Book Antiqua" w:hAnsi="Book Antiqua" w:cs="Arial"/>
          <w:bCs/>
        </w:rPr>
        <w:t>I</w:t>
      </w:r>
      <w:r w:rsidR="007B00D1" w:rsidRPr="001467E4">
        <w:rPr>
          <w:rFonts w:ascii="Book Antiqua" w:hAnsi="Book Antiqua" w:cs="Arial"/>
          <w:bCs/>
        </w:rPr>
        <w:t>nfections</w:t>
      </w:r>
      <w:r w:rsidR="001467E4" w:rsidRPr="001467E4">
        <w:rPr>
          <w:rFonts w:ascii="Book Antiqua" w:hAnsi="Book Antiqua" w:cs="Arial"/>
          <w:bCs/>
        </w:rPr>
        <w:t>;</w:t>
      </w:r>
      <w:r w:rsidR="007B00D1" w:rsidRPr="001467E4">
        <w:rPr>
          <w:rFonts w:ascii="Book Antiqua" w:hAnsi="Book Antiqua" w:cs="Arial"/>
          <w:bCs/>
        </w:rPr>
        <w:t xml:space="preserve"> </w:t>
      </w:r>
      <w:r w:rsidR="001467E4" w:rsidRPr="001467E4">
        <w:rPr>
          <w:rFonts w:ascii="Book Antiqua" w:hAnsi="Book Antiqua" w:cs="Arial"/>
          <w:bCs/>
        </w:rPr>
        <w:t>I</w:t>
      </w:r>
      <w:r w:rsidR="007B00D1" w:rsidRPr="001467E4">
        <w:rPr>
          <w:rFonts w:ascii="Book Antiqua" w:hAnsi="Book Antiqua" w:cs="Arial"/>
          <w:bCs/>
        </w:rPr>
        <w:t>mmune tolerance</w:t>
      </w:r>
    </w:p>
    <w:p w14:paraId="109D0058" w14:textId="77777777" w:rsidR="00B021A6" w:rsidRPr="001467E4" w:rsidRDefault="00B021A6" w:rsidP="001467E4">
      <w:pPr>
        <w:spacing w:after="0" w:line="360" w:lineRule="auto"/>
        <w:jc w:val="both"/>
        <w:rPr>
          <w:rFonts w:ascii="Book Antiqua" w:hAnsi="Book Antiqua"/>
          <w:b/>
          <w:lang w:eastAsia="zh-CN"/>
        </w:rPr>
      </w:pPr>
    </w:p>
    <w:p w14:paraId="7F1A3DC1" w14:textId="77777777" w:rsidR="001467E4" w:rsidRPr="001467E4" w:rsidRDefault="001467E4" w:rsidP="001467E4">
      <w:pPr>
        <w:spacing w:after="0" w:line="360" w:lineRule="auto"/>
        <w:jc w:val="both"/>
        <w:rPr>
          <w:rFonts w:ascii="Book Antiqua" w:hAnsi="Book Antiqua" w:cs="Arial"/>
        </w:rPr>
      </w:pPr>
      <w:r w:rsidRPr="001467E4">
        <w:rPr>
          <w:rFonts w:ascii="Book Antiqua" w:hAnsi="Book Antiqua"/>
          <w:b/>
        </w:rPr>
        <w:t xml:space="preserve">© </w:t>
      </w:r>
      <w:r w:rsidRPr="001467E4">
        <w:rPr>
          <w:rFonts w:ascii="Book Antiqua" w:hAnsi="Book Antiqua" w:cs="Arial"/>
          <w:b/>
        </w:rPr>
        <w:t>The Author(s) 2015.</w:t>
      </w:r>
      <w:r w:rsidRPr="001467E4">
        <w:rPr>
          <w:rFonts w:ascii="Book Antiqua" w:hAnsi="Book Antiqua" w:cs="Arial"/>
        </w:rPr>
        <w:t xml:space="preserve"> Published by Baishideng Publishing Group Inc. All rights reserved.</w:t>
      </w:r>
    </w:p>
    <w:p w14:paraId="1BA00F8B" w14:textId="77777777" w:rsidR="001467E4" w:rsidRPr="001467E4" w:rsidRDefault="001467E4" w:rsidP="001467E4">
      <w:pPr>
        <w:spacing w:after="0" w:line="360" w:lineRule="auto"/>
        <w:jc w:val="both"/>
        <w:rPr>
          <w:rFonts w:ascii="Book Antiqua" w:hAnsi="Book Antiqua"/>
          <w:b/>
          <w:lang w:eastAsia="zh-CN"/>
        </w:rPr>
      </w:pPr>
    </w:p>
    <w:p w14:paraId="566F0E62" w14:textId="6DAA55C9" w:rsidR="00B021A6" w:rsidRPr="001467E4" w:rsidRDefault="00B021A6" w:rsidP="001467E4">
      <w:pPr>
        <w:spacing w:after="0" w:line="360" w:lineRule="auto"/>
        <w:jc w:val="both"/>
        <w:rPr>
          <w:rFonts w:ascii="Book Antiqua" w:hAnsi="Book Antiqua"/>
        </w:rPr>
      </w:pPr>
      <w:r w:rsidRPr="001467E4">
        <w:rPr>
          <w:rFonts w:ascii="Book Antiqua" w:hAnsi="Book Antiqua"/>
          <w:b/>
        </w:rPr>
        <w:t>Core tip:</w:t>
      </w:r>
      <w:r w:rsidR="00CA5CF9" w:rsidRPr="001467E4">
        <w:rPr>
          <w:rStyle w:val="hui1218"/>
          <w:rFonts w:ascii="Book Antiqua" w:eastAsia="Times New Roman" w:hAnsi="Book Antiqua"/>
        </w:rPr>
        <w:t xml:space="preserve"> This article reviews the most up to date theories regarding the production of pathogenic antiphospholipid antibodies in antiphospholipid syndrome. It focuses on both the genetic and environmental aspects related to </w:t>
      </w:r>
      <w:r w:rsidR="001467E4" w:rsidRPr="001467E4">
        <w:rPr>
          <w:rFonts w:ascii="Book Antiqua" w:hAnsi="Book Antiqua" w:cs="Arial"/>
          <w:bCs/>
        </w:rPr>
        <w:t>antiphospholipid antibodies (aPL)</w:t>
      </w:r>
      <w:r w:rsidR="00CA5CF9" w:rsidRPr="001467E4">
        <w:rPr>
          <w:rStyle w:val="hui1218"/>
          <w:rFonts w:ascii="Book Antiqua" w:eastAsia="Times New Roman" w:hAnsi="Book Antiqua"/>
        </w:rPr>
        <w:t xml:space="preserve"> production. The genetic factors highlighted include </w:t>
      </w:r>
      <w:r w:rsidR="00C8621C">
        <w:fldChar w:fldCharType="begin"/>
      </w:r>
      <w:r w:rsidR="00C8621C">
        <w:instrText xml:space="preserve"> HYPERLINK "http://en.wikipedia.org/wiki/Human_leukocyte_antigen" \t "_blank" </w:instrText>
      </w:r>
      <w:r w:rsidR="00C8621C">
        <w:fldChar w:fldCharType="separate"/>
      </w:r>
      <w:r w:rsidR="001467E4" w:rsidRPr="001467E4">
        <w:rPr>
          <w:rFonts w:ascii="Book Antiqua" w:hAnsi="Book Antiqua"/>
        </w:rPr>
        <w:t>human leukocyte antigen</w:t>
      </w:r>
      <w:r w:rsidR="00C8621C">
        <w:rPr>
          <w:rFonts w:ascii="Book Antiqua" w:hAnsi="Book Antiqua"/>
        </w:rPr>
        <w:fldChar w:fldCharType="end"/>
      </w:r>
      <w:r w:rsidR="001467E4" w:rsidRPr="001467E4">
        <w:rPr>
          <w:rFonts w:ascii="Book Antiqua" w:hAnsi="Book Antiqua" w:cs="Arial"/>
          <w:bCs/>
          <w:lang w:eastAsia="zh-CN"/>
        </w:rPr>
        <w:t xml:space="preserve"> (</w:t>
      </w:r>
      <w:r w:rsidR="00CA5CF9" w:rsidRPr="001467E4">
        <w:rPr>
          <w:rStyle w:val="hui1218"/>
          <w:rFonts w:ascii="Book Antiqua" w:eastAsia="Times New Roman" w:hAnsi="Book Antiqua"/>
        </w:rPr>
        <w:t>HLA</w:t>
      </w:r>
      <w:r w:rsidR="001467E4" w:rsidRPr="001467E4">
        <w:rPr>
          <w:rStyle w:val="hui1218"/>
          <w:rFonts w:ascii="Book Antiqua" w:hAnsi="Book Antiqua"/>
          <w:lang w:eastAsia="zh-CN"/>
        </w:rPr>
        <w:t>)</w:t>
      </w:r>
      <w:r w:rsidR="00CA5CF9" w:rsidRPr="001467E4">
        <w:rPr>
          <w:rStyle w:val="hui1218"/>
          <w:rFonts w:ascii="Book Antiqua" w:eastAsia="Times New Roman" w:hAnsi="Book Antiqua"/>
        </w:rPr>
        <w:t xml:space="preserve"> and non-HLA associations and where available, data linking genes to clinical manifestations is presented. The key infectious agents linked to the </w:t>
      </w:r>
      <w:r w:rsidR="00A85D0D" w:rsidRPr="001467E4">
        <w:rPr>
          <w:rStyle w:val="hui1218"/>
          <w:rFonts w:ascii="Book Antiqua" w:eastAsia="Times New Roman" w:hAnsi="Book Antiqua"/>
        </w:rPr>
        <w:t xml:space="preserve">formation </w:t>
      </w:r>
      <w:r w:rsidR="00CA5CF9" w:rsidRPr="001467E4">
        <w:rPr>
          <w:rStyle w:val="hui1218"/>
          <w:rFonts w:ascii="Book Antiqua" w:eastAsia="Times New Roman" w:hAnsi="Book Antiqua"/>
        </w:rPr>
        <w:t xml:space="preserve">of pathogenic aPL and </w:t>
      </w:r>
      <w:r w:rsidR="00A85D0D" w:rsidRPr="001467E4">
        <w:rPr>
          <w:rStyle w:val="hui1218"/>
          <w:rFonts w:ascii="Book Antiqua" w:eastAsia="Times New Roman" w:hAnsi="Book Antiqua"/>
        </w:rPr>
        <w:t xml:space="preserve">those </w:t>
      </w:r>
      <w:r w:rsidR="00CA5CF9" w:rsidRPr="001467E4">
        <w:rPr>
          <w:rStyle w:val="hui1218"/>
          <w:rFonts w:ascii="Book Antiqua" w:eastAsia="Times New Roman" w:hAnsi="Book Antiqua"/>
        </w:rPr>
        <w:t>mechanisms by which these agents induce a break in immune tolerance are also discussed.</w:t>
      </w:r>
    </w:p>
    <w:p w14:paraId="2E87D239" w14:textId="77777777" w:rsidR="001467E4" w:rsidRPr="001467E4" w:rsidRDefault="001467E4" w:rsidP="001467E4">
      <w:pPr>
        <w:spacing w:after="0" w:line="360" w:lineRule="auto"/>
        <w:jc w:val="both"/>
        <w:rPr>
          <w:rFonts w:ascii="Book Antiqua" w:hAnsi="Book Antiqua" w:cs="Arial"/>
          <w:b/>
          <w:lang w:val="en" w:eastAsia="zh-CN"/>
        </w:rPr>
      </w:pPr>
    </w:p>
    <w:p w14:paraId="29B45030" w14:textId="756468E8" w:rsidR="001467E4" w:rsidRPr="001467E4" w:rsidRDefault="001467E4" w:rsidP="001467E4">
      <w:pPr>
        <w:spacing w:after="0" w:line="360" w:lineRule="auto"/>
        <w:jc w:val="both"/>
        <w:rPr>
          <w:rFonts w:ascii="Book Antiqua" w:hAnsi="Book Antiqua" w:cs="Arial"/>
          <w:b/>
          <w:lang w:eastAsia="zh-CN"/>
        </w:rPr>
      </w:pPr>
      <w:r w:rsidRPr="001467E4">
        <w:rPr>
          <w:rFonts w:ascii="Book Antiqua" w:hAnsi="Book Antiqua" w:cs="Arial"/>
        </w:rPr>
        <w:t>Willis</w:t>
      </w:r>
      <w:r w:rsidRPr="001467E4">
        <w:rPr>
          <w:rFonts w:ascii="Book Antiqua" w:hAnsi="Book Antiqua" w:cs="Arial"/>
          <w:lang w:eastAsia="zh-CN"/>
        </w:rPr>
        <w:t xml:space="preserve"> R</w:t>
      </w:r>
      <w:r w:rsidRPr="001467E4">
        <w:rPr>
          <w:rFonts w:ascii="Book Antiqua" w:hAnsi="Book Antiqua" w:cs="Arial"/>
        </w:rPr>
        <w:t>, Gonzalez</w:t>
      </w:r>
      <w:r w:rsidRPr="001467E4">
        <w:rPr>
          <w:rFonts w:ascii="Book Antiqua" w:hAnsi="Book Antiqua" w:cs="Arial"/>
          <w:lang w:eastAsia="zh-CN"/>
        </w:rPr>
        <w:t xml:space="preserve"> EB.</w:t>
      </w:r>
      <w:r w:rsidRPr="001467E4">
        <w:rPr>
          <w:rFonts w:ascii="Book Antiqua" w:hAnsi="Book Antiqua" w:cs="Arial"/>
        </w:rPr>
        <w:t xml:space="preserve"> Pathogenetic mechanisms of antiphospholipid antibody production in antiphospholipid syndrome</w:t>
      </w:r>
      <w:r w:rsidRPr="001467E4">
        <w:rPr>
          <w:rFonts w:ascii="Book Antiqua" w:hAnsi="Book Antiqua" w:cs="Arial"/>
          <w:lang w:eastAsia="zh-CN"/>
        </w:rPr>
        <w:t xml:space="preserve">. </w:t>
      </w:r>
      <w:r w:rsidRPr="001467E4">
        <w:rPr>
          <w:rFonts w:ascii="Book Antiqua" w:hAnsi="Book Antiqua"/>
          <w:i/>
          <w:iCs/>
        </w:rPr>
        <w:t>World J Rheumatol</w:t>
      </w:r>
      <w:r w:rsidRPr="001467E4">
        <w:rPr>
          <w:rFonts w:ascii="Book Antiqua" w:hAnsi="Book Antiqua"/>
          <w:i/>
          <w:iCs/>
          <w:lang w:eastAsia="zh-CN"/>
        </w:rPr>
        <w:t xml:space="preserve"> </w:t>
      </w:r>
      <w:r w:rsidRPr="001467E4">
        <w:rPr>
          <w:rFonts w:ascii="Book Antiqua" w:hAnsi="Book Antiqua"/>
          <w:iCs/>
          <w:lang w:eastAsia="zh-CN"/>
        </w:rPr>
        <w:t>2015; In press</w:t>
      </w:r>
    </w:p>
    <w:p w14:paraId="2B988DA7" w14:textId="7FE3D001" w:rsidR="001467E4" w:rsidRPr="001467E4" w:rsidRDefault="001467E4" w:rsidP="001467E4">
      <w:pPr>
        <w:spacing w:after="0" w:line="360" w:lineRule="auto"/>
        <w:jc w:val="both"/>
        <w:rPr>
          <w:rFonts w:ascii="Book Antiqua" w:hAnsi="Book Antiqua" w:cs="Arial"/>
          <w:lang w:eastAsia="zh-CN"/>
        </w:rPr>
      </w:pPr>
    </w:p>
    <w:p w14:paraId="7788E2D9" w14:textId="28197D93" w:rsidR="00D236B1" w:rsidRPr="001467E4" w:rsidRDefault="00711CEE" w:rsidP="001467E4">
      <w:pPr>
        <w:spacing w:after="0" w:line="360" w:lineRule="auto"/>
        <w:jc w:val="both"/>
        <w:rPr>
          <w:rFonts w:ascii="Book Antiqua" w:hAnsi="Book Antiqua" w:cs="Arial"/>
          <w:lang w:eastAsia="zh-CN"/>
        </w:rPr>
      </w:pPr>
      <w:r w:rsidRPr="001467E4">
        <w:rPr>
          <w:rFonts w:ascii="Book Antiqua" w:hAnsi="Book Antiqua" w:cs="Arial"/>
          <w:b/>
        </w:rPr>
        <w:t>INTRODUCTION</w:t>
      </w:r>
    </w:p>
    <w:p w14:paraId="5973A002" w14:textId="34B3E0E2" w:rsidR="00D236B1" w:rsidRPr="001467E4" w:rsidRDefault="00D236B1" w:rsidP="001467E4">
      <w:pPr>
        <w:spacing w:after="0" w:line="360" w:lineRule="auto"/>
        <w:jc w:val="both"/>
        <w:rPr>
          <w:rFonts w:ascii="Book Antiqua" w:hAnsi="Book Antiqua" w:cs="Arial"/>
        </w:rPr>
      </w:pPr>
      <w:r w:rsidRPr="001467E4">
        <w:rPr>
          <w:rFonts w:ascii="Book Antiqua" w:hAnsi="Book Antiqua" w:cs="Arial"/>
        </w:rPr>
        <w:t xml:space="preserve">Antiphospholipid syndrome (APS) is a mutisystemic </w:t>
      </w:r>
      <w:r w:rsidR="00A85D0D" w:rsidRPr="001467E4">
        <w:rPr>
          <w:rFonts w:ascii="Book Antiqua" w:hAnsi="Book Antiqua" w:cs="Arial"/>
        </w:rPr>
        <w:t>autoimmune disease</w:t>
      </w:r>
      <w:r w:rsidR="00DE300A" w:rsidRPr="001467E4">
        <w:rPr>
          <w:rFonts w:ascii="Book Antiqua" w:hAnsi="Book Antiqua" w:cs="Arial"/>
        </w:rPr>
        <w:t>,</w:t>
      </w:r>
      <w:r w:rsidRPr="001467E4">
        <w:rPr>
          <w:rFonts w:ascii="Book Antiqua" w:hAnsi="Book Antiqua" w:cs="Arial"/>
        </w:rPr>
        <w:t xml:space="preserve"> </w:t>
      </w:r>
      <w:r w:rsidR="00DE300A" w:rsidRPr="001467E4">
        <w:rPr>
          <w:rFonts w:ascii="Book Antiqua" w:hAnsi="Book Antiqua" w:cs="Arial"/>
        </w:rPr>
        <w:t>whose pathology is driven by the action o</w:t>
      </w:r>
      <w:r w:rsidR="009A1D1F" w:rsidRPr="001467E4">
        <w:rPr>
          <w:rFonts w:ascii="Book Antiqua" w:hAnsi="Book Antiqua" w:cs="Arial"/>
        </w:rPr>
        <w:t xml:space="preserve">f antiphospholipid antibodies, </w:t>
      </w:r>
      <w:r w:rsidR="00DE300A" w:rsidRPr="001467E4">
        <w:rPr>
          <w:rFonts w:ascii="Book Antiqua" w:hAnsi="Book Antiqua" w:cs="Arial"/>
        </w:rPr>
        <w:t xml:space="preserve">and is </w:t>
      </w:r>
      <w:r w:rsidRPr="001467E4">
        <w:rPr>
          <w:rFonts w:ascii="Book Antiqua" w:hAnsi="Book Antiqua" w:cs="Arial"/>
        </w:rPr>
        <w:t>characterized by recurrent thr</w:t>
      </w:r>
      <w:r w:rsidR="001467E4">
        <w:rPr>
          <w:rFonts w:ascii="Book Antiqua" w:hAnsi="Book Antiqua" w:cs="Arial"/>
        </w:rPr>
        <w:t>ombosis and pregnancy morbidity</w:t>
      </w:r>
      <w:r w:rsidRPr="001467E4">
        <w:rPr>
          <w:rFonts w:ascii="Book Antiqua" w:hAnsi="Book Antiqua" w:cs="Arial"/>
          <w:vertAlign w:val="superscript"/>
        </w:rPr>
        <w:t>[</w:t>
      </w:r>
      <w:r w:rsidR="00815253" w:rsidRPr="001467E4">
        <w:rPr>
          <w:rFonts w:ascii="Book Antiqua" w:hAnsi="Book Antiqua" w:cs="Arial"/>
          <w:vertAlign w:val="superscript"/>
        </w:rPr>
        <w:t>1</w:t>
      </w:r>
      <w:r w:rsidRPr="001467E4">
        <w:rPr>
          <w:rFonts w:ascii="Book Antiqua" w:hAnsi="Book Antiqua" w:cs="Arial"/>
          <w:vertAlign w:val="superscript"/>
        </w:rPr>
        <w:t>]</w:t>
      </w:r>
      <w:r w:rsidRPr="001467E4">
        <w:rPr>
          <w:rFonts w:ascii="Book Antiqua" w:hAnsi="Book Antiqua" w:cs="Arial"/>
        </w:rPr>
        <w:t xml:space="preserve">. </w:t>
      </w:r>
      <w:r w:rsidR="00DE300A" w:rsidRPr="001467E4">
        <w:rPr>
          <w:rFonts w:ascii="Book Antiqua" w:hAnsi="Book Antiqua" w:cs="Arial"/>
        </w:rPr>
        <w:t>These</w:t>
      </w:r>
      <w:r w:rsidRPr="001467E4">
        <w:rPr>
          <w:rFonts w:ascii="Book Antiqua" w:hAnsi="Book Antiqua" w:cs="Arial"/>
        </w:rPr>
        <w:t xml:space="preserve"> </w:t>
      </w:r>
      <w:r w:rsidR="00A85D0D" w:rsidRPr="001467E4">
        <w:rPr>
          <w:rFonts w:ascii="Book Antiqua" w:hAnsi="Book Antiqua" w:cs="Arial"/>
        </w:rPr>
        <w:t xml:space="preserve">antibodies </w:t>
      </w:r>
      <w:r w:rsidRPr="001467E4">
        <w:rPr>
          <w:rFonts w:ascii="Book Antiqua" w:hAnsi="Book Antiqua" w:cs="Arial"/>
        </w:rPr>
        <w:t>are</w:t>
      </w:r>
      <w:r w:rsidR="00A85D0D" w:rsidRPr="001467E4">
        <w:rPr>
          <w:rFonts w:ascii="Book Antiqua" w:hAnsi="Book Antiqua" w:cs="Arial"/>
        </w:rPr>
        <w:t xml:space="preserve"> </w:t>
      </w:r>
      <w:r w:rsidRPr="001467E4">
        <w:rPr>
          <w:rFonts w:ascii="Book Antiqua" w:hAnsi="Book Antiqua" w:cs="Arial"/>
        </w:rPr>
        <w:t>heterogenous</w:t>
      </w:r>
      <w:r w:rsidR="00A85D0D" w:rsidRPr="001467E4">
        <w:rPr>
          <w:rFonts w:ascii="Book Antiqua" w:hAnsi="Book Antiqua" w:cs="Arial"/>
        </w:rPr>
        <w:t>,</w:t>
      </w:r>
      <w:r w:rsidRPr="001467E4">
        <w:rPr>
          <w:rFonts w:ascii="Book Antiqua" w:hAnsi="Book Antiqua" w:cs="Arial"/>
        </w:rPr>
        <w:t xml:space="preserve"> </w:t>
      </w:r>
      <w:r w:rsidR="00A85D0D" w:rsidRPr="001467E4">
        <w:rPr>
          <w:rFonts w:ascii="Book Antiqua" w:hAnsi="Book Antiqua" w:cs="Arial"/>
        </w:rPr>
        <w:t>have</w:t>
      </w:r>
      <w:r w:rsidR="00DE300A" w:rsidRPr="001467E4">
        <w:rPr>
          <w:rFonts w:ascii="Book Antiqua" w:hAnsi="Book Antiqua" w:cs="Arial"/>
        </w:rPr>
        <w:t xml:space="preserve"> numerous antigenic targets and</w:t>
      </w:r>
      <w:r w:rsidRPr="001467E4">
        <w:rPr>
          <w:rFonts w:ascii="Book Antiqua" w:hAnsi="Book Antiqua" w:cs="Arial"/>
        </w:rPr>
        <w:t xml:space="preserve"> </w:t>
      </w:r>
      <w:r w:rsidR="00DE300A" w:rsidRPr="001467E4">
        <w:rPr>
          <w:rFonts w:ascii="Book Antiqua" w:hAnsi="Book Antiqua" w:cs="Arial"/>
        </w:rPr>
        <w:t xml:space="preserve">interact with numerous negatively charged phospholipids </w:t>
      </w:r>
      <w:r w:rsidRPr="001467E4">
        <w:rPr>
          <w:rFonts w:ascii="Book Antiqua" w:hAnsi="Book Antiqua" w:cs="Arial"/>
        </w:rPr>
        <w:t>(PLs)</w:t>
      </w:r>
      <w:r w:rsidR="00A85D0D" w:rsidRPr="001467E4">
        <w:rPr>
          <w:rFonts w:ascii="Book Antiqua" w:hAnsi="Book Antiqua" w:cs="Arial"/>
        </w:rPr>
        <w:t xml:space="preserve"> and protein complexes</w:t>
      </w:r>
      <w:r w:rsidRPr="001467E4">
        <w:rPr>
          <w:rFonts w:ascii="Book Antiqua" w:hAnsi="Book Antiqua" w:cs="Arial"/>
        </w:rPr>
        <w:t xml:space="preserve">. </w:t>
      </w:r>
      <w:r w:rsidR="00DE300A" w:rsidRPr="001467E4">
        <w:rPr>
          <w:rFonts w:ascii="Book Antiqua" w:hAnsi="Book Antiqua" w:cs="Arial"/>
        </w:rPr>
        <w:t xml:space="preserve">However, during the 1990s, several groups showed simultaneously that </w:t>
      </w:r>
      <w:r w:rsidR="00DE300A" w:rsidRPr="001467E4">
        <w:rPr>
          <w:rFonts w:ascii="Book Antiqua" w:hAnsi="Book Antiqua" w:cs="Arial"/>
        </w:rPr>
        <w:sym w:font="Symbol" w:char="F062"/>
      </w:r>
      <w:r w:rsidR="00DE300A" w:rsidRPr="001467E4">
        <w:rPr>
          <w:rFonts w:ascii="Book Antiqua" w:hAnsi="Book Antiqua" w:cs="Arial"/>
        </w:rPr>
        <w:t>2-glycoprotein I (</w:t>
      </w:r>
      <w:r w:rsidRPr="001467E4">
        <w:rPr>
          <w:rFonts w:ascii="Book Antiqua" w:hAnsi="Book Antiqua" w:cs="Arial"/>
        </w:rPr>
        <w:sym w:font="Symbol" w:char="F062"/>
      </w:r>
      <w:r w:rsidRPr="001467E4">
        <w:rPr>
          <w:rFonts w:ascii="Book Antiqua" w:hAnsi="Book Antiqua" w:cs="Arial"/>
        </w:rPr>
        <w:t>2GPI</w:t>
      </w:r>
      <w:r w:rsidR="00DE300A" w:rsidRPr="001467E4">
        <w:rPr>
          <w:rFonts w:ascii="Book Antiqua" w:hAnsi="Book Antiqua" w:cs="Arial"/>
        </w:rPr>
        <w:t>)</w:t>
      </w:r>
      <w:r w:rsidRPr="001467E4">
        <w:rPr>
          <w:rFonts w:ascii="Book Antiqua" w:hAnsi="Book Antiqua" w:cs="Arial"/>
        </w:rPr>
        <w:t xml:space="preserve">, </w:t>
      </w:r>
      <w:r w:rsidR="00A85D0D" w:rsidRPr="001467E4">
        <w:rPr>
          <w:rFonts w:ascii="Book Antiqua" w:hAnsi="Book Antiqua" w:cs="Arial"/>
        </w:rPr>
        <w:t xml:space="preserve">and </w:t>
      </w:r>
      <w:r w:rsidRPr="001467E4">
        <w:rPr>
          <w:rFonts w:ascii="Book Antiqua" w:hAnsi="Book Antiqua" w:cs="Arial"/>
        </w:rPr>
        <w:t>prothrombin</w:t>
      </w:r>
      <w:r w:rsidR="00A85D0D" w:rsidRPr="001467E4">
        <w:rPr>
          <w:rFonts w:ascii="Book Antiqua" w:hAnsi="Book Antiqua" w:cs="Arial"/>
        </w:rPr>
        <w:t>,</w:t>
      </w:r>
      <w:r w:rsidRPr="001467E4">
        <w:rPr>
          <w:rFonts w:ascii="Book Antiqua" w:hAnsi="Book Antiqua" w:cs="Arial"/>
        </w:rPr>
        <w:t xml:space="preserve"> </w:t>
      </w:r>
      <w:r w:rsidR="00A85D0D" w:rsidRPr="001467E4">
        <w:rPr>
          <w:rFonts w:ascii="Book Antiqua" w:hAnsi="Book Antiqua" w:cs="Arial"/>
        </w:rPr>
        <w:t xml:space="preserve">are the major antigenic targets of </w:t>
      </w:r>
      <w:r w:rsidR="001467E4" w:rsidRPr="001467E4">
        <w:rPr>
          <w:rFonts w:ascii="Book Antiqua" w:hAnsi="Book Antiqua" w:cs="Arial"/>
          <w:bCs/>
        </w:rPr>
        <w:t>antiphospholipid antibodies (aPL)</w:t>
      </w:r>
      <w:r w:rsidR="00A85D0D" w:rsidRPr="001467E4">
        <w:rPr>
          <w:rFonts w:ascii="Book Antiqua" w:hAnsi="Book Antiqua" w:cs="Arial"/>
        </w:rPr>
        <w:t>. M</w:t>
      </w:r>
      <w:r w:rsidRPr="001467E4">
        <w:rPr>
          <w:rFonts w:ascii="Book Antiqua" w:hAnsi="Book Antiqua" w:cs="Arial"/>
        </w:rPr>
        <w:t>ore than 90% of binding activity in APS patients</w:t>
      </w:r>
      <w:r w:rsidR="00A85D0D" w:rsidRPr="001467E4">
        <w:rPr>
          <w:rFonts w:ascii="Book Antiqua" w:hAnsi="Book Antiqua" w:cs="Arial"/>
        </w:rPr>
        <w:t xml:space="preserve"> target these 2 antigens</w:t>
      </w:r>
      <w:r w:rsidR="00815253" w:rsidRPr="001467E4">
        <w:rPr>
          <w:rFonts w:ascii="Book Antiqua" w:hAnsi="Book Antiqua" w:cs="Arial"/>
          <w:vertAlign w:val="superscript"/>
        </w:rPr>
        <w:t>[2-4]</w:t>
      </w:r>
      <w:r w:rsidR="00815253" w:rsidRPr="001467E4">
        <w:rPr>
          <w:rFonts w:ascii="Book Antiqua" w:hAnsi="Book Antiqua" w:cs="Arial"/>
        </w:rPr>
        <w:t>.</w:t>
      </w:r>
      <w:r w:rsidRPr="001467E4">
        <w:rPr>
          <w:rFonts w:ascii="Book Antiqua" w:hAnsi="Book Antiqua" w:cs="Arial"/>
        </w:rPr>
        <w:t xml:space="preserve"> </w:t>
      </w:r>
    </w:p>
    <w:p w14:paraId="43CE4C43" w14:textId="1D76A27E" w:rsidR="00A4173D" w:rsidRPr="001467E4" w:rsidRDefault="00DE300A" w:rsidP="001467E4">
      <w:pPr>
        <w:spacing w:after="0" w:line="360" w:lineRule="auto"/>
        <w:ind w:firstLineChars="100" w:firstLine="240"/>
        <w:jc w:val="both"/>
        <w:rPr>
          <w:rFonts w:ascii="Book Antiqua" w:hAnsi="Book Antiqua" w:cs="Arial"/>
        </w:rPr>
      </w:pPr>
      <w:r w:rsidRPr="001467E4">
        <w:rPr>
          <w:rFonts w:ascii="Book Antiqua" w:hAnsi="Book Antiqua" w:cs="Arial"/>
        </w:rPr>
        <w:t>The decades sin</w:t>
      </w:r>
      <w:r w:rsidR="00CE7FF6" w:rsidRPr="001467E4">
        <w:rPr>
          <w:rFonts w:ascii="Book Antiqua" w:hAnsi="Book Antiqua" w:cs="Arial"/>
        </w:rPr>
        <w:t>ce APS was first described have</w:t>
      </w:r>
      <w:r w:rsidRPr="001467E4">
        <w:rPr>
          <w:rFonts w:ascii="Book Antiqua" w:hAnsi="Book Antiqua" w:cs="Arial"/>
        </w:rPr>
        <w:t xml:space="preserve"> seen an increased understanding of the pathological mechanisms </w:t>
      </w:r>
      <w:r w:rsidR="00A4173D" w:rsidRPr="001467E4">
        <w:rPr>
          <w:rFonts w:ascii="Book Antiqua" w:hAnsi="Book Antiqua" w:cs="Arial"/>
        </w:rPr>
        <w:t xml:space="preserve">of aPL </w:t>
      </w:r>
      <w:r w:rsidRPr="001467E4">
        <w:rPr>
          <w:rFonts w:ascii="Book Antiqua" w:hAnsi="Book Antiqua" w:cs="Arial"/>
        </w:rPr>
        <w:t xml:space="preserve">that lead to the various clinical manifestations in the </w:t>
      </w:r>
      <w:r w:rsidR="00A4173D" w:rsidRPr="001467E4">
        <w:rPr>
          <w:rFonts w:ascii="Book Antiqua" w:hAnsi="Book Antiqua" w:cs="Arial"/>
        </w:rPr>
        <w:t>diseas</w:t>
      </w:r>
      <w:r w:rsidR="00CE7FF6" w:rsidRPr="001467E4">
        <w:rPr>
          <w:rFonts w:ascii="Book Antiqua" w:hAnsi="Book Antiqua" w:cs="Arial"/>
        </w:rPr>
        <w:t>e</w:t>
      </w:r>
      <w:r w:rsidR="00A4173D" w:rsidRPr="001467E4">
        <w:rPr>
          <w:rFonts w:ascii="Book Antiqua" w:hAnsi="Book Antiqua" w:cs="Arial"/>
          <w:vertAlign w:val="superscript"/>
        </w:rPr>
        <w:t>[</w:t>
      </w:r>
      <w:r w:rsidR="00815253" w:rsidRPr="001467E4">
        <w:rPr>
          <w:rFonts w:ascii="Book Antiqua" w:hAnsi="Book Antiqua" w:cs="Arial"/>
          <w:vertAlign w:val="superscript"/>
        </w:rPr>
        <w:t>5</w:t>
      </w:r>
      <w:r w:rsidR="00A4173D" w:rsidRPr="001467E4">
        <w:rPr>
          <w:rFonts w:ascii="Book Antiqua" w:hAnsi="Book Antiqua" w:cs="Arial"/>
          <w:vertAlign w:val="superscript"/>
        </w:rPr>
        <w:t>]</w:t>
      </w:r>
      <w:r w:rsidR="00A4173D" w:rsidRPr="001467E4">
        <w:rPr>
          <w:rFonts w:ascii="Book Antiqua" w:hAnsi="Book Antiqua" w:cs="Arial"/>
        </w:rPr>
        <w:t>. In contrast</w:t>
      </w:r>
      <w:r w:rsidR="00D236B1" w:rsidRPr="001467E4">
        <w:rPr>
          <w:rFonts w:ascii="Book Antiqua" w:hAnsi="Book Antiqua" w:cs="Arial"/>
        </w:rPr>
        <w:t xml:space="preserve">, </w:t>
      </w:r>
      <w:r w:rsidR="00A4173D" w:rsidRPr="001467E4">
        <w:rPr>
          <w:rFonts w:ascii="Book Antiqua" w:hAnsi="Book Antiqua" w:cs="Arial"/>
        </w:rPr>
        <w:t>relatively little has been uncovered regarding the</w:t>
      </w:r>
      <w:r w:rsidR="00D236B1" w:rsidRPr="001467E4">
        <w:rPr>
          <w:rFonts w:ascii="Book Antiqua" w:hAnsi="Book Antiqua" w:cs="Arial"/>
        </w:rPr>
        <w:t xml:space="preserve"> </w:t>
      </w:r>
      <w:r w:rsidR="00A4173D" w:rsidRPr="001467E4">
        <w:rPr>
          <w:rFonts w:ascii="Book Antiqua" w:hAnsi="Book Antiqua" w:cs="Arial"/>
        </w:rPr>
        <w:t>ontogeny</w:t>
      </w:r>
      <w:r w:rsidR="00D236B1" w:rsidRPr="001467E4">
        <w:rPr>
          <w:rFonts w:ascii="Book Antiqua" w:hAnsi="Book Antiqua" w:cs="Arial"/>
        </w:rPr>
        <w:t xml:space="preserve"> </w:t>
      </w:r>
      <w:r w:rsidR="00A4173D" w:rsidRPr="001467E4">
        <w:rPr>
          <w:rFonts w:ascii="Book Antiqua" w:hAnsi="Book Antiqua" w:cs="Arial"/>
        </w:rPr>
        <w:t xml:space="preserve">of </w:t>
      </w:r>
      <w:r w:rsidR="00D236B1" w:rsidRPr="001467E4">
        <w:rPr>
          <w:rFonts w:ascii="Book Antiqua" w:hAnsi="Book Antiqua" w:cs="Arial"/>
        </w:rPr>
        <w:t>pathogenic aPL.</w:t>
      </w:r>
      <w:r w:rsidR="00CE7FF6" w:rsidRPr="001467E4">
        <w:rPr>
          <w:rFonts w:ascii="Book Antiqua" w:hAnsi="Book Antiqua" w:cs="Arial"/>
        </w:rPr>
        <w:t xml:space="preserve"> However, </w:t>
      </w:r>
      <w:r w:rsidR="00A85D0D" w:rsidRPr="001467E4">
        <w:rPr>
          <w:rFonts w:ascii="Book Antiqua" w:hAnsi="Book Antiqua" w:cs="Arial"/>
        </w:rPr>
        <w:t xml:space="preserve">various </w:t>
      </w:r>
      <w:r w:rsidR="00CE7FF6" w:rsidRPr="001467E4">
        <w:rPr>
          <w:rFonts w:ascii="Book Antiqua" w:hAnsi="Book Antiqua" w:cs="Arial"/>
        </w:rPr>
        <w:t xml:space="preserve">pathogenetic </w:t>
      </w:r>
      <w:r w:rsidR="00A85D0D" w:rsidRPr="001467E4">
        <w:rPr>
          <w:rFonts w:ascii="Book Antiqua" w:hAnsi="Book Antiqua" w:cs="Arial"/>
        </w:rPr>
        <w:t xml:space="preserve">processes </w:t>
      </w:r>
      <w:r w:rsidR="00D236B1" w:rsidRPr="001467E4">
        <w:rPr>
          <w:rFonts w:ascii="Book Antiqua" w:hAnsi="Book Antiqua" w:cs="Arial"/>
        </w:rPr>
        <w:t xml:space="preserve">have been </w:t>
      </w:r>
      <w:r w:rsidR="00A85D0D" w:rsidRPr="001467E4">
        <w:rPr>
          <w:rFonts w:ascii="Book Antiqua" w:hAnsi="Book Antiqua" w:cs="Arial"/>
        </w:rPr>
        <w:t xml:space="preserve">proposed </w:t>
      </w:r>
      <w:r w:rsidR="00CE7FF6" w:rsidRPr="001467E4">
        <w:rPr>
          <w:rFonts w:ascii="Book Antiqua" w:hAnsi="Book Antiqua" w:cs="Arial"/>
        </w:rPr>
        <w:t>based on the available evidence</w:t>
      </w:r>
      <w:r w:rsidR="00A4173D" w:rsidRPr="001467E4">
        <w:rPr>
          <w:rFonts w:ascii="Book Antiqua" w:hAnsi="Book Antiqua" w:cs="Arial"/>
        </w:rPr>
        <w:t xml:space="preserve"> and what seems clear is that both </w:t>
      </w:r>
      <w:r w:rsidR="00A85D0D" w:rsidRPr="001467E4">
        <w:rPr>
          <w:rFonts w:ascii="Book Antiqua" w:hAnsi="Book Antiqua" w:cs="Arial"/>
        </w:rPr>
        <w:t xml:space="preserve">inherited </w:t>
      </w:r>
      <w:r w:rsidR="00A4173D" w:rsidRPr="001467E4">
        <w:rPr>
          <w:rFonts w:ascii="Book Antiqua" w:hAnsi="Book Antiqua" w:cs="Arial"/>
        </w:rPr>
        <w:t xml:space="preserve">and </w:t>
      </w:r>
      <w:r w:rsidR="00A85D0D" w:rsidRPr="001467E4">
        <w:rPr>
          <w:rFonts w:ascii="Book Antiqua" w:hAnsi="Book Antiqua" w:cs="Arial"/>
        </w:rPr>
        <w:t xml:space="preserve">acquired </w:t>
      </w:r>
      <w:r w:rsidR="00A4173D" w:rsidRPr="001467E4">
        <w:rPr>
          <w:rFonts w:ascii="Book Antiqua" w:hAnsi="Book Antiqua" w:cs="Arial"/>
        </w:rPr>
        <w:t xml:space="preserve">factors </w:t>
      </w:r>
      <w:r w:rsidR="004228FF" w:rsidRPr="001467E4">
        <w:rPr>
          <w:rFonts w:ascii="Book Antiqua" w:hAnsi="Book Antiqua" w:cs="Arial"/>
        </w:rPr>
        <w:t>play roles in</w:t>
      </w:r>
      <w:r w:rsidR="00A4173D" w:rsidRPr="001467E4">
        <w:rPr>
          <w:rFonts w:ascii="Book Antiqua" w:hAnsi="Book Antiqua" w:cs="Arial"/>
        </w:rPr>
        <w:t xml:space="preserve"> the initial </w:t>
      </w:r>
      <w:r w:rsidR="004228FF" w:rsidRPr="001467E4">
        <w:rPr>
          <w:rFonts w:ascii="Book Antiqua" w:hAnsi="Book Antiqua" w:cs="Arial"/>
        </w:rPr>
        <w:t xml:space="preserve">induction </w:t>
      </w:r>
      <w:r w:rsidR="00A4173D" w:rsidRPr="001467E4">
        <w:rPr>
          <w:rFonts w:ascii="Book Antiqua" w:hAnsi="Book Antiqua" w:cs="Arial"/>
        </w:rPr>
        <w:t>of pathogenic aPL in APS patients</w:t>
      </w:r>
      <w:r w:rsidR="00D236B1" w:rsidRPr="001467E4">
        <w:rPr>
          <w:rFonts w:ascii="Book Antiqua" w:hAnsi="Book Antiqua" w:cs="Arial"/>
        </w:rPr>
        <w:t>.</w:t>
      </w:r>
    </w:p>
    <w:p w14:paraId="650FA221" w14:textId="0848AA53" w:rsidR="00A4173D" w:rsidRPr="001467E4" w:rsidRDefault="004228FF" w:rsidP="001467E4">
      <w:pPr>
        <w:spacing w:after="0" w:line="360" w:lineRule="auto"/>
        <w:ind w:firstLineChars="100" w:firstLine="240"/>
        <w:jc w:val="both"/>
        <w:rPr>
          <w:rFonts w:ascii="Book Antiqua" w:hAnsi="Book Antiqua" w:cs="Arial"/>
        </w:rPr>
      </w:pPr>
      <w:r w:rsidRPr="001467E4">
        <w:rPr>
          <w:rFonts w:ascii="Book Antiqua" w:hAnsi="Book Antiqua" w:cs="Arial"/>
        </w:rPr>
        <w:t>Correlations of several genetic markers</w:t>
      </w:r>
      <w:r w:rsidR="00A4173D" w:rsidRPr="001467E4">
        <w:rPr>
          <w:rFonts w:ascii="Book Antiqua" w:hAnsi="Book Antiqua" w:cs="Arial"/>
        </w:rPr>
        <w:t xml:space="preserve"> with the production of aPL and APS</w:t>
      </w:r>
      <w:r w:rsidRPr="001467E4">
        <w:rPr>
          <w:rFonts w:ascii="Book Antiqua" w:hAnsi="Book Antiqua" w:cs="Arial"/>
        </w:rPr>
        <w:t xml:space="preserve"> characteristic </w:t>
      </w:r>
      <w:r w:rsidR="00A4173D" w:rsidRPr="001467E4">
        <w:rPr>
          <w:rFonts w:ascii="Book Antiqua" w:hAnsi="Book Antiqua" w:cs="Arial"/>
        </w:rPr>
        <w:t>manifestations</w:t>
      </w:r>
      <w:r w:rsidR="00CE7FF6" w:rsidRPr="001467E4">
        <w:rPr>
          <w:rFonts w:ascii="Book Antiqua" w:hAnsi="Book Antiqua" w:cs="Arial"/>
        </w:rPr>
        <w:t>,</w:t>
      </w:r>
      <w:r w:rsidR="00A4173D" w:rsidRPr="001467E4">
        <w:rPr>
          <w:rFonts w:ascii="Book Antiqua" w:hAnsi="Book Antiqua" w:cs="Arial"/>
        </w:rPr>
        <w:t xml:space="preserve"> such as thrombosis</w:t>
      </w:r>
      <w:r w:rsidR="00CE7FF6" w:rsidRPr="001467E4">
        <w:rPr>
          <w:rFonts w:ascii="Book Antiqua" w:hAnsi="Book Antiqua" w:cs="Arial"/>
        </w:rPr>
        <w:t>,</w:t>
      </w:r>
      <w:r w:rsidR="00A4173D" w:rsidRPr="001467E4">
        <w:rPr>
          <w:rFonts w:ascii="Book Antiqua" w:hAnsi="Book Antiqua" w:cs="Arial"/>
        </w:rPr>
        <w:t xml:space="preserve"> have been highlighted using several APS</w:t>
      </w:r>
      <w:r w:rsidR="00D236B1" w:rsidRPr="001467E4">
        <w:rPr>
          <w:rFonts w:ascii="Book Antiqua" w:hAnsi="Book Antiqua" w:cs="Arial"/>
        </w:rPr>
        <w:t xml:space="preserve"> </w:t>
      </w:r>
      <w:r w:rsidR="00A85D0D" w:rsidRPr="001467E4">
        <w:rPr>
          <w:rFonts w:ascii="Book Antiqua" w:hAnsi="Book Antiqua" w:cs="Arial"/>
        </w:rPr>
        <w:t xml:space="preserve">human and </w:t>
      </w:r>
      <w:r w:rsidR="00D236B1" w:rsidRPr="001467E4">
        <w:rPr>
          <w:rFonts w:ascii="Book Antiqua" w:hAnsi="Book Antiqua" w:cs="Arial"/>
        </w:rPr>
        <w:t xml:space="preserve">animal </w:t>
      </w:r>
      <w:r w:rsidR="00A85D0D" w:rsidRPr="001467E4">
        <w:rPr>
          <w:rFonts w:ascii="Book Antiqua" w:hAnsi="Book Antiqua" w:cs="Arial"/>
        </w:rPr>
        <w:t>studies</w:t>
      </w:r>
      <w:r w:rsidR="00D236B1" w:rsidRPr="001467E4">
        <w:rPr>
          <w:rFonts w:ascii="Book Antiqua" w:hAnsi="Book Antiqua" w:cs="Arial"/>
        </w:rPr>
        <w:t xml:space="preserve">. Major Histocompatibility Complex (MHC) genes </w:t>
      </w:r>
      <w:r w:rsidR="00A4173D" w:rsidRPr="001467E4">
        <w:rPr>
          <w:rFonts w:ascii="Book Antiqua" w:hAnsi="Book Antiqua" w:cs="Arial"/>
        </w:rPr>
        <w:t>could potentially affect</w:t>
      </w:r>
      <w:r w:rsidR="00D236B1" w:rsidRPr="001467E4">
        <w:rPr>
          <w:rFonts w:ascii="Book Antiqua" w:hAnsi="Book Antiqua" w:cs="Arial"/>
        </w:rPr>
        <w:t xml:space="preserve"> </w:t>
      </w:r>
      <w:r w:rsidR="00B123FD" w:rsidRPr="001467E4">
        <w:rPr>
          <w:rFonts w:ascii="Book Antiqua" w:hAnsi="Book Antiqua" w:cs="Arial"/>
        </w:rPr>
        <w:t>both</w:t>
      </w:r>
      <w:r w:rsidR="00D236B1" w:rsidRPr="001467E4">
        <w:rPr>
          <w:rFonts w:ascii="Book Antiqua" w:hAnsi="Book Antiqua" w:cs="Arial"/>
        </w:rPr>
        <w:t xml:space="preserve"> </w:t>
      </w:r>
      <w:r w:rsidR="00A4173D" w:rsidRPr="001467E4">
        <w:rPr>
          <w:rFonts w:ascii="Book Antiqua" w:hAnsi="Book Antiqua" w:cs="Arial"/>
        </w:rPr>
        <w:t xml:space="preserve">pathological aPL </w:t>
      </w:r>
      <w:r w:rsidR="00B123FD" w:rsidRPr="001467E4">
        <w:rPr>
          <w:rFonts w:ascii="Book Antiqua" w:hAnsi="Book Antiqua" w:cs="Arial"/>
        </w:rPr>
        <w:t xml:space="preserve">development and </w:t>
      </w:r>
      <w:r w:rsidR="00D236B1" w:rsidRPr="001467E4">
        <w:rPr>
          <w:rFonts w:ascii="Book Antiqua" w:hAnsi="Book Antiqua" w:cs="Arial"/>
        </w:rPr>
        <w:t xml:space="preserve">also </w:t>
      </w:r>
      <w:r w:rsidR="00A4173D" w:rsidRPr="001467E4">
        <w:rPr>
          <w:rFonts w:ascii="Book Antiqua" w:hAnsi="Book Antiqua" w:cs="Arial"/>
        </w:rPr>
        <w:t xml:space="preserve">the expression of </w:t>
      </w:r>
      <w:r w:rsidR="00D236B1" w:rsidRPr="001467E4">
        <w:rPr>
          <w:rFonts w:ascii="Book Antiqua" w:hAnsi="Book Antiqua" w:cs="Arial"/>
        </w:rPr>
        <w:t xml:space="preserve">disease </w:t>
      </w:r>
      <w:r w:rsidR="00A4173D" w:rsidRPr="001467E4">
        <w:rPr>
          <w:rFonts w:ascii="Book Antiqua" w:hAnsi="Book Antiqua" w:cs="Arial"/>
        </w:rPr>
        <w:t>in APS patients</w:t>
      </w:r>
      <w:r w:rsidR="00D236B1" w:rsidRPr="001467E4">
        <w:rPr>
          <w:rFonts w:ascii="Book Antiqua" w:hAnsi="Book Antiqua" w:cs="Arial"/>
          <w:vertAlign w:val="superscript"/>
        </w:rPr>
        <w:t>[</w:t>
      </w:r>
      <w:r w:rsidR="00815253" w:rsidRPr="001467E4">
        <w:rPr>
          <w:rFonts w:ascii="Book Antiqua" w:hAnsi="Book Antiqua" w:cs="Arial"/>
          <w:vertAlign w:val="superscript"/>
        </w:rPr>
        <w:t>6</w:t>
      </w:r>
      <w:r w:rsidR="00D236B1" w:rsidRPr="001467E4">
        <w:rPr>
          <w:rFonts w:ascii="Book Antiqua" w:hAnsi="Book Antiqua" w:cs="Arial"/>
          <w:vertAlign w:val="superscript"/>
        </w:rPr>
        <w:t>]</w:t>
      </w:r>
      <w:r w:rsidR="00D236B1" w:rsidRPr="001467E4">
        <w:rPr>
          <w:rFonts w:ascii="Book Antiqua" w:hAnsi="Book Antiqua" w:cs="Arial"/>
        </w:rPr>
        <w:t xml:space="preserve">. </w:t>
      </w:r>
      <w:r w:rsidR="00A4173D" w:rsidRPr="001467E4">
        <w:rPr>
          <w:rFonts w:ascii="Book Antiqua" w:hAnsi="Book Antiqua" w:cs="Arial"/>
        </w:rPr>
        <w:t xml:space="preserve">Other studies highlight the effect of classical </w:t>
      </w:r>
      <w:r w:rsidR="00CE7FF6" w:rsidRPr="001467E4">
        <w:rPr>
          <w:rFonts w:ascii="Book Antiqua" w:hAnsi="Book Antiqua" w:cs="Arial"/>
        </w:rPr>
        <w:t xml:space="preserve">thrombogenic </w:t>
      </w:r>
      <w:r w:rsidR="00A4173D" w:rsidRPr="001467E4">
        <w:rPr>
          <w:rFonts w:ascii="Book Antiqua" w:hAnsi="Book Antiqua" w:cs="Arial"/>
        </w:rPr>
        <w:t xml:space="preserve">genetic risk factors </w:t>
      </w:r>
      <w:r w:rsidR="00CE7FF6" w:rsidRPr="001467E4">
        <w:rPr>
          <w:rFonts w:ascii="Book Antiqua" w:hAnsi="Book Antiqua" w:cs="Arial"/>
        </w:rPr>
        <w:t xml:space="preserve">on disease </w:t>
      </w:r>
      <w:r w:rsidR="00890AB0" w:rsidRPr="001467E4">
        <w:rPr>
          <w:rFonts w:ascii="Book Antiqua" w:hAnsi="Book Antiqua" w:cs="Arial"/>
        </w:rPr>
        <w:t xml:space="preserve">phenotype </w:t>
      </w:r>
      <w:r w:rsidR="00CE7FF6" w:rsidRPr="001467E4">
        <w:rPr>
          <w:rFonts w:ascii="Book Antiqua" w:hAnsi="Book Antiqua" w:cs="Arial"/>
        </w:rPr>
        <w:t>in APS patients</w:t>
      </w:r>
      <w:r w:rsidR="00D236B1" w:rsidRPr="001467E4">
        <w:rPr>
          <w:rFonts w:ascii="Book Antiqua" w:hAnsi="Book Antiqua" w:cs="Arial"/>
          <w:vertAlign w:val="superscript"/>
        </w:rPr>
        <w:t>[</w:t>
      </w:r>
      <w:r w:rsidR="00815253" w:rsidRPr="001467E4">
        <w:rPr>
          <w:rFonts w:ascii="Book Antiqua" w:hAnsi="Book Antiqua" w:cs="Arial"/>
          <w:vertAlign w:val="superscript"/>
        </w:rPr>
        <w:t>7</w:t>
      </w:r>
      <w:r w:rsidR="00D236B1" w:rsidRPr="001467E4">
        <w:rPr>
          <w:rFonts w:ascii="Book Antiqua" w:hAnsi="Book Antiqua" w:cs="Arial"/>
          <w:vertAlign w:val="superscript"/>
        </w:rPr>
        <w:t>]</w:t>
      </w:r>
      <w:r w:rsidR="00D236B1" w:rsidRPr="001467E4">
        <w:rPr>
          <w:rFonts w:ascii="Book Antiqua" w:hAnsi="Book Antiqua" w:cs="Arial"/>
        </w:rPr>
        <w:t xml:space="preserve">. </w:t>
      </w:r>
      <w:r w:rsidR="00CE7FF6" w:rsidRPr="001467E4">
        <w:rPr>
          <w:rFonts w:ascii="Book Antiqua" w:hAnsi="Book Antiqua" w:cs="Arial"/>
        </w:rPr>
        <w:t xml:space="preserve">These various genetic markers are likely to confer a baseline risk with regards to aPL production and APS development, while exposure to various environmental factors augment and intensify this risk, in essence </w:t>
      </w:r>
      <w:r w:rsidR="00D236B1" w:rsidRPr="001467E4">
        <w:rPr>
          <w:rFonts w:ascii="Book Antiqua" w:hAnsi="Book Antiqua" w:cs="Arial"/>
        </w:rPr>
        <w:t xml:space="preserve">inducing </w:t>
      </w:r>
      <w:r w:rsidR="00CE7FF6" w:rsidRPr="001467E4">
        <w:rPr>
          <w:rFonts w:ascii="Book Antiqua" w:hAnsi="Book Antiqua" w:cs="Arial"/>
        </w:rPr>
        <w:t>the</w:t>
      </w:r>
      <w:r w:rsidR="00D236B1" w:rsidRPr="001467E4">
        <w:rPr>
          <w:rFonts w:ascii="Book Antiqua" w:hAnsi="Book Antiqua" w:cs="Arial"/>
        </w:rPr>
        <w:t xml:space="preserve"> break in tolerance </w:t>
      </w:r>
      <w:r w:rsidR="00CE7FF6" w:rsidRPr="001467E4">
        <w:rPr>
          <w:rFonts w:ascii="Book Antiqua" w:hAnsi="Book Antiqua" w:cs="Arial"/>
        </w:rPr>
        <w:t>nee</w:t>
      </w:r>
      <w:r w:rsidR="001467E4">
        <w:rPr>
          <w:rFonts w:ascii="Book Antiqua" w:hAnsi="Book Antiqua" w:cs="Arial"/>
        </w:rPr>
        <w:t>ded for autoantibody production</w:t>
      </w:r>
      <w:r w:rsidR="00D236B1" w:rsidRPr="001467E4">
        <w:rPr>
          <w:rFonts w:ascii="Book Antiqua" w:hAnsi="Book Antiqua" w:cs="Arial"/>
          <w:vertAlign w:val="superscript"/>
        </w:rPr>
        <w:t>[</w:t>
      </w:r>
      <w:r w:rsidR="00815253" w:rsidRPr="001467E4">
        <w:rPr>
          <w:rFonts w:ascii="Book Antiqua" w:hAnsi="Book Antiqua" w:cs="Arial"/>
          <w:vertAlign w:val="superscript"/>
        </w:rPr>
        <w:t>8</w:t>
      </w:r>
      <w:r w:rsidR="00D236B1" w:rsidRPr="001467E4">
        <w:rPr>
          <w:rFonts w:ascii="Book Antiqua" w:hAnsi="Book Antiqua" w:cs="Arial"/>
          <w:vertAlign w:val="superscript"/>
        </w:rPr>
        <w:t>]</w:t>
      </w:r>
      <w:r w:rsidR="00D236B1" w:rsidRPr="001467E4">
        <w:rPr>
          <w:rFonts w:ascii="Book Antiqua" w:hAnsi="Book Antiqua" w:cs="Arial"/>
        </w:rPr>
        <w:t xml:space="preserve">. </w:t>
      </w:r>
      <w:r w:rsidR="00CE7FF6" w:rsidRPr="001467E4">
        <w:rPr>
          <w:rFonts w:ascii="Book Antiqua" w:hAnsi="Book Antiqua" w:cs="Arial"/>
        </w:rPr>
        <w:t xml:space="preserve">One of these key environmental factors </w:t>
      </w:r>
      <w:r w:rsidR="003D4C5E" w:rsidRPr="001467E4">
        <w:rPr>
          <w:rFonts w:ascii="Book Antiqua" w:hAnsi="Book Antiqua" w:cs="Arial"/>
        </w:rPr>
        <w:t>seems to be infectious agents and indeed, most of the work done to elucidate the effect of environmental factors on aPL production has centered on viral and ba</w:t>
      </w:r>
      <w:r w:rsidR="001467E4">
        <w:rPr>
          <w:rFonts w:ascii="Book Antiqua" w:hAnsi="Book Antiqua" w:cs="Arial"/>
        </w:rPr>
        <w:t>cterial infectous agents</w:t>
      </w:r>
      <w:r w:rsidR="003D4C5E" w:rsidRPr="001467E4">
        <w:rPr>
          <w:rFonts w:ascii="Book Antiqua" w:hAnsi="Book Antiqua" w:cs="Arial"/>
          <w:vertAlign w:val="superscript"/>
        </w:rPr>
        <w:t>[</w:t>
      </w:r>
      <w:r w:rsidR="00815253" w:rsidRPr="001467E4">
        <w:rPr>
          <w:rFonts w:ascii="Book Antiqua" w:hAnsi="Book Antiqua" w:cs="Arial"/>
          <w:vertAlign w:val="superscript"/>
        </w:rPr>
        <w:t>8</w:t>
      </w:r>
      <w:r w:rsidR="003D4C5E" w:rsidRPr="001467E4">
        <w:rPr>
          <w:rFonts w:ascii="Book Antiqua" w:hAnsi="Book Antiqua" w:cs="Arial"/>
          <w:vertAlign w:val="superscript"/>
        </w:rPr>
        <w:t>]</w:t>
      </w:r>
      <w:r w:rsidR="003D4C5E" w:rsidRPr="001467E4">
        <w:rPr>
          <w:rFonts w:ascii="Book Antiqua" w:hAnsi="Book Antiqua" w:cs="Arial"/>
        </w:rPr>
        <w:t xml:space="preserve">. As was stated </w:t>
      </w:r>
      <w:r w:rsidR="00890AB0" w:rsidRPr="001467E4">
        <w:rPr>
          <w:rFonts w:ascii="Book Antiqua" w:hAnsi="Book Antiqua" w:cs="Arial"/>
        </w:rPr>
        <w:t>above</w:t>
      </w:r>
      <w:r w:rsidR="003D4C5E" w:rsidRPr="001467E4">
        <w:rPr>
          <w:rFonts w:ascii="Book Antiqua" w:hAnsi="Book Antiqua" w:cs="Arial"/>
        </w:rPr>
        <w:t xml:space="preserve">, aPL </w:t>
      </w:r>
      <w:r w:rsidR="00D236B1" w:rsidRPr="001467E4">
        <w:rPr>
          <w:rFonts w:ascii="Book Antiqua" w:hAnsi="Book Antiqua" w:cs="Arial"/>
        </w:rPr>
        <w:t xml:space="preserve">represent a </w:t>
      </w:r>
      <w:r w:rsidR="00890AB0" w:rsidRPr="001467E4">
        <w:rPr>
          <w:rFonts w:ascii="Book Antiqua" w:hAnsi="Book Antiqua" w:cs="Arial"/>
        </w:rPr>
        <w:t xml:space="preserve">varied </w:t>
      </w:r>
      <w:r w:rsidR="00D236B1" w:rsidRPr="001467E4">
        <w:rPr>
          <w:rFonts w:ascii="Book Antiqua" w:hAnsi="Book Antiqua" w:cs="Arial"/>
        </w:rPr>
        <w:t xml:space="preserve">group of antibodies </w:t>
      </w:r>
      <w:r w:rsidR="00890AB0" w:rsidRPr="001467E4">
        <w:rPr>
          <w:rFonts w:ascii="Book Antiqua" w:hAnsi="Book Antiqua" w:cs="Arial"/>
        </w:rPr>
        <w:t>that target various</w:t>
      </w:r>
      <w:r w:rsidR="00D236B1" w:rsidRPr="001467E4">
        <w:rPr>
          <w:rFonts w:ascii="Book Antiqua" w:hAnsi="Book Antiqua" w:cs="Arial"/>
        </w:rPr>
        <w:t xml:space="preserve"> antigen</w:t>
      </w:r>
      <w:r w:rsidR="00890AB0" w:rsidRPr="001467E4">
        <w:rPr>
          <w:rFonts w:ascii="Book Antiqua" w:hAnsi="Book Antiqua" w:cs="Arial"/>
        </w:rPr>
        <w:t>s</w:t>
      </w:r>
      <w:r w:rsidR="00D236B1" w:rsidRPr="001467E4">
        <w:rPr>
          <w:rFonts w:ascii="Book Antiqua" w:hAnsi="Book Antiqua" w:cs="Arial"/>
        </w:rPr>
        <w:t xml:space="preserve"> and </w:t>
      </w:r>
      <w:r w:rsidR="00890AB0" w:rsidRPr="001467E4">
        <w:rPr>
          <w:rFonts w:ascii="Book Antiqua" w:hAnsi="Book Antiqua" w:cs="Arial"/>
        </w:rPr>
        <w:t>clinical reports indicate</w:t>
      </w:r>
      <w:r w:rsidR="00D236B1" w:rsidRPr="001467E4">
        <w:rPr>
          <w:rFonts w:ascii="Book Antiqua" w:hAnsi="Book Antiqua" w:cs="Arial"/>
        </w:rPr>
        <w:t xml:space="preserve"> that not all </w:t>
      </w:r>
      <w:r w:rsidR="00890AB0" w:rsidRPr="001467E4">
        <w:rPr>
          <w:rFonts w:ascii="Book Antiqua" w:hAnsi="Book Antiqua" w:cs="Arial"/>
        </w:rPr>
        <w:t xml:space="preserve">these antibodies cause disease. </w:t>
      </w:r>
      <w:r w:rsidR="003D4C5E" w:rsidRPr="001467E4">
        <w:rPr>
          <w:rFonts w:ascii="Book Antiqua" w:hAnsi="Book Antiqua" w:cs="Arial"/>
        </w:rPr>
        <w:t>It is therefore very</w:t>
      </w:r>
      <w:r w:rsidR="00D236B1" w:rsidRPr="001467E4">
        <w:rPr>
          <w:rFonts w:ascii="Book Antiqua" w:hAnsi="Book Antiqua" w:cs="Arial"/>
        </w:rPr>
        <w:t xml:space="preserve"> likely that </w:t>
      </w:r>
      <w:r w:rsidR="003D4C5E" w:rsidRPr="001467E4">
        <w:rPr>
          <w:rFonts w:ascii="Book Antiqua" w:hAnsi="Book Antiqua" w:cs="Arial"/>
        </w:rPr>
        <w:t xml:space="preserve">only a select group of environmental agents, most likely infectious agents and even then </w:t>
      </w:r>
      <w:r w:rsidR="00D236B1" w:rsidRPr="001467E4">
        <w:rPr>
          <w:rFonts w:ascii="Book Antiqua" w:hAnsi="Book Antiqua" w:cs="Arial"/>
        </w:rPr>
        <w:t xml:space="preserve">only </w:t>
      </w:r>
      <w:r w:rsidR="00890AB0" w:rsidRPr="001467E4">
        <w:rPr>
          <w:rFonts w:ascii="Book Antiqua" w:hAnsi="Book Antiqua" w:cs="Arial"/>
        </w:rPr>
        <w:t xml:space="preserve">a select few </w:t>
      </w:r>
      <w:r w:rsidR="00D236B1" w:rsidRPr="001467E4">
        <w:rPr>
          <w:rFonts w:ascii="Book Antiqua" w:hAnsi="Book Antiqua" w:cs="Arial"/>
        </w:rPr>
        <w:t xml:space="preserve">viral or bacterial </w:t>
      </w:r>
      <w:r w:rsidR="00890AB0" w:rsidRPr="001467E4">
        <w:rPr>
          <w:rFonts w:ascii="Book Antiqua" w:hAnsi="Book Antiqua" w:cs="Arial"/>
        </w:rPr>
        <w:t>entities</w:t>
      </w:r>
      <w:r w:rsidR="003D4C5E" w:rsidRPr="001467E4">
        <w:rPr>
          <w:rFonts w:ascii="Book Antiqua" w:hAnsi="Book Antiqua" w:cs="Arial"/>
        </w:rPr>
        <w:t>,</w:t>
      </w:r>
      <w:r w:rsidR="00D236B1" w:rsidRPr="001467E4">
        <w:rPr>
          <w:rFonts w:ascii="Book Antiqua" w:hAnsi="Book Antiqua" w:cs="Arial"/>
        </w:rPr>
        <w:t xml:space="preserve"> are i</w:t>
      </w:r>
      <w:r w:rsidR="001467E4">
        <w:rPr>
          <w:rFonts w:ascii="Book Antiqua" w:hAnsi="Book Antiqua" w:cs="Arial"/>
        </w:rPr>
        <w:t>mportant in disease development</w:t>
      </w:r>
      <w:r w:rsidR="00D236B1" w:rsidRPr="001467E4">
        <w:rPr>
          <w:rFonts w:ascii="Book Antiqua" w:hAnsi="Book Antiqua" w:cs="Arial"/>
          <w:vertAlign w:val="superscript"/>
        </w:rPr>
        <w:t>[</w:t>
      </w:r>
      <w:r w:rsidR="00815253" w:rsidRPr="001467E4">
        <w:rPr>
          <w:rFonts w:ascii="Book Antiqua" w:hAnsi="Book Antiqua" w:cs="Arial"/>
          <w:vertAlign w:val="superscript"/>
        </w:rPr>
        <w:t>8,9</w:t>
      </w:r>
      <w:r w:rsidR="00D236B1" w:rsidRPr="001467E4">
        <w:rPr>
          <w:rFonts w:ascii="Book Antiqua" w:hAnsi="Book Antiqua" w:cs="Arial"/>
          <w:vertAlign w:val="superscript"/>
        </w:rPr>
        <w:t>]</w:t>
      </w:r>
      <w:r w:rsidR="009A1D1F" w:rsidRPr="001467E4">
        <w:rPr>
          <w:rFonts w:ascii="Book Antiqua" w:hAnsi="Book Antiqua" w:cs="Arial"/>
        </w:rPr>
        <w:t xml:space="preserve">. </w:t>
      </w:r>
      <w:r w:rsidR="003D4C5E" w:rsidRPr="001467E4">
        <w:rPr>
          <w:rFonts w:ascii="Book Antiqua" w:hAnsi="Book Antiqua" w:cs="Arial"/>
        </w:rPr>
        <w:t>However, there is some limited evidence for other environmental factors such as malignancies, vaccinations and drugs being</w:t>
      </w:r>
      <w:r w:rsidR="001467E4">
        <w:rPr>
          <w:rFonts w:ascii="Book Antiqua" w:hAnsi="Book Antiqua" w:cs="Arial"/>
        </w:rPr>
        <w:t xml:space="preserve"> associated with aPL production</w:t>
      </w:r>
      <w:r w:rsidR="003D4C5E" w:rsidRPr="001467E4">
        <w:rPr>
          <w:rFonts w:ascii="Book Antiqua" w:hAnsi="Book Antiqua" w:cs="Arial"/>
          <w:vertAlign w:val="superscript"/>
        </w:rPr>
        <w:t>[</w:t>
      </w:r>
      <w:r w:rsidR="00815253" w:rsidRPr="001467E4">
        <w:rPr>
          <w:rFonts w:ascii="Book Antiqua" w:hAnsi="Book Antiqua" w:cs="Arial"/>
          <w:vertAlign w:val="superscript"/>
        </w:rPr>
        <w:t>8</w:t>
      </w:r>
      <w:r w:rsidR="003D4C5E" w:rsidRPr="001467E4">
        <w:rPr>
          <w:rFonts w:ascii="Book Antiqua" w:hAnsi="Book Antiqua" w:cs="Arial"/>
          <w:vertAlign w:val="superscript"/>
        </w:rPr>
        <w:t>]</w:t>
      </w:r>
      <w:r w:rsidR="000009D4" w:rsidRPr="001467E4">
        <w:rPr>
          <w:rFonts w:ascii="Book Antiqua" w:hAnsi="Book Antiqua" w:cs="Arial"/>
        </w:rPr>
        <w:t xml:space="preserve">. </w:t>
      </w:r>
      <w:r w:rsidR="003D4C5E" w:rsidRPr="001467E4">
        <w:rPr>
          <w:rFonts w:ascii="Book Antiqua" w:hAnsi="Book Antiqua" w:cs="Arial"/>
        </w:rPr>
        <w:t>In this brief review, we outline the latest updates</w:t>
      </w:r>
      <w:r w:rsidR="00A4173D" w:rsidRPr="001467E4">
        <w:rPr>
          <w:rFonts w:ascii="Book Antiqua" w:hAnsi="Book Antiqua" w:cs="Arial"/>
        </w:rPr>
        <w:t xml:space="preserve"> regarding proposed </w:t>
      </w:r>
      <w:r w:rsidR="00052011" w:rsidRPr="001467E4">
        <w:rPr>
          <w:rFonts w:ascii="Book Antiqua" w:hAnsi="Book Antiqua" w:cs="Arial"/>
        </w:rPr>
        <w:t>inherited and acquired</w:t>
      </w:r>
      <w:r w:rsidR="00A4173D" w:rsidRPr="001467E4">
        <w:rPr>
          <w:rFonts w:ascii="Book Antiqua" w:hAnsi="Book Antiqua" w:cs="Arial"/>
        </w:rPr>
        <w:t xml:space="preserve"> factors contributing to the </w:t>
      </w:r>
      <w:r w:rsidR="00052011" w:rsidRPr="001467E4">
        <w:rPr>
          <w:rFonts w:ascii="Book Antiqua" w:hAnsi="Book Antiqua" w:cs="Arial"/>
        </w:rPr>
        <w:t>formation of pathogenic</w:t>
      </w:r>
      <w:r w:rsidR="00A4173D" w:rsidRPr="001467E4">
        <w:rPr>
          <w:rFonts w:ascii="Book Antiqua" w:hAnsi="Book Antiqua" w:cs="Arial"/>
        </w:rPr>
        <w:t xml:space="preserve"> aPL.</w:t>
      </w:r>
    </w:p>
    <w:p w14:paraId="5BCA0C74" w14:textId="77777777" w:rsidR="00D236B1" w:rsidRPr="001467E4" w:rsidRDefault="00D236B1" w:rsidP="001467E4">
      <w:pPr>
        <w:spacing w:after="0" w:line="360" w:lineRule="auto"/>
        <w:jc w:val="both"/>
        <w:rPr>
          <w:rFonts w:ascii="Book Antiqua" w:hAnsi="Book Antiqua" w:cs="Arial"/>
          <w:u w:val="single"/>
          <w:lang w:eastAsia="zh-CN"/>
        </w:rPr>
      </w:pPr>
    </w:p>
    <w:p w14:paraId="714CB63F" w14:textId="7F9799E8" w:rsidR="00D236B1" w:rsidRPr="001467E4" w:rsidRDefault="007F3E04" w:rsidP="001467E4">
      <w:pPr>
        <w:spacing w:after="0" w:line="360" w:lineRule="auto"/>
        <w:jc w:val="both"/>
        <w:rPr>
          <w:rFonts w:ascii="Book Antiqua" w:hAnsi="Book Antiqua" w:cs="Arial"/>
          <w:b/>
        </w:rPr>
      </w:pPr>
      <w:r>
        <w:rPr>
          <w:rFonts w:ascii="Book Antiqua" w:hAnsi="Book Antiqua" w:cs="Arial"/>
          <w:b/>
        </w:rPr>
        <w:t>GENETIC STUDIES–</w:t>
      </w:r>
      <w:r w:rsidR="001467E4" w:rsidRPr="001467E4">
        <w:rPr>
          <w:rFonts w:ascii="Book Antiqua" w:hAnsi="Book Antiqua" w:cs="Arial"/>
          <w:b/>
        </w:rPr>
        <w:t>DATA FROM APS ANIMAL MODELS</w:t>
      </w:r>
    </w:p>
    <w:p w14:paraId="26F8959C" w14:textId="20E78617" w:rsidR="003B5DB5" w:rsidRPr="001467E4" w:rsidRDefault="00C03677" w:rsidP="001467E4">
      <w:pPr>
        <w:spacing w:after="0" w:line="360" w:lineRule="auto"/>
        <w:jc w:val="both"/>
        <w:rPr>
          <w:rFonts w:ascii="Book Antiqua" w:hAnsi="Book Antiqua" w:cs="Arial"/>
        </w:rPr>
      </w:pPr>
      <w:r w:rsidRPr="001467E4">
        <w:rPr>
          <w:rFonts w:ascii="Book Antiqua" w:hAnsi="Book Antiqua" w:cs="Arial"/>
        </w:rPr>
        <w:t>The first evidence of a genetic component to the production of pathogenic aPL in APS was provided by studies in mice</w:t>
      </w:r>
      <w:r w:rsidR="00D236B1" w:rsidRPr="001467E4">
        <w:rPr>
          <w:rFonts w:ascii="Book Antiqua" w:hAnsi="Book Antiqua" w:cs="Arial"/>
        </w:rPr>
        <w:t xml:space="preserve">. </w:t>
      </w:r>
      <w:r w:rsidRPr="001467E4">
        <w:rPr>
          <w:rFonts w:ascii="Book Antiqua" w:hAnsi="Book Antiqua" w:cs="Arial"/>
        </w:rPr>
        <w:t>In NZW x BXSB F1</w:t>
      </w:r>
      <w:r w:rsidR="0032168F" w:rsidRPr="001467E4">
        <w:rPr>
          <w:rFonts w:ascii="Book Antiqua" w:hAnsi="Book Antiqua" w:cs="Arial"/>
        </w:rPr>
        <w:t xml:space="preserve"> (W/B F1)</w:t>
      </w:r>
      <w:r w:rsidRPr="001467E4">
        <w:rPr>
          <w:rFonts w:ascii="Book Antiqua" w:hAnsi="Book Antiqua" w:cs="Arial"/>
        </w:rPr>
        <w:t xml:space="preserve"> </w:t>
      </w:r>
      <w:r w:rsidR="0032168F" w:rsidRPr="001467E4">
        <w:rPr>
          <w:rFonts w:ascii="Book Antiqua" w:hAnsi="Book Antiqua" w:cs="Arial"/>
        </w:rPr>
        <w:t xml:space="preserve">male </w:t>
      </w:r>
      <w:r w:rsidRPr="001467E4">
        <w:rPr>
          <w:rFonts w:ascii="Book Antiqua" w:hAnsi="Book Antiqua" w:cs="Arial"/>
        </w:rPr>
        <w:t>mice, the spontaneous production of pathogenic aPL, namely IgG aCL that display</w:t>
      </w:r>
      <w:r w:rsidR="00D236B1" w:rsidRPr="001467E4">
        <w:rPr>
          <w:rFonts w:ascii="Book Antiqua" w:hAnsi="Book Antiqua" w:cs="Arial"/>
        </w:rPr>
        <w:t xml:space="preserve">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GPI</w:t>
      </w:r>
      <w:r w:rsidRPr="001467E4">
        <w:rPr>
          <w:rFonts w:ascii="Book Antiqua" w:hAnsi="Book Antiqua" w:cs="Arial"/>
        </w:rPr>
        <w:t>-</w:t>
      </w:r>
      <w:r w:rsidR="00D236B1" w:rsidRPr="001467E4">
        <w:rPr>
          <w:rFonts w:ascii="Book Antiqua" w:hAnsi="Book Antiqua" w:cs="Arial"/>
        </w:rPr>
        <w:t xml:space="preserve">dependent binding to cardiolipin, has been </w:t>
      </w:r>
      <w:r w:rsidR="001467E4">
        <w:rPr>
          <w:rFonts w:ascii="Book Antiqua" w:hAnsi="Book Antiqua" w:cs="Arial"/>
        </w:rPr>
        <w:t>reported</w:t>
      </w:r>
      <w:r w:rsidR="00D236B1" w:rsidRPr="001467E4">
        <w:rPr>
          <w:rFonts w:ascii="Book Antiqua" w:hAnsi="Book Antiqua" w:cs="Arial"/>
          <w:vertAlign w:val="superscript"/>
        </w:rPr>
        <w:t>[</w:t>
      </w:r>
      <w:r w:rsidR="000D53B9" w:rsidRPr="001467E4">
        <w:rPr>
          <w:rFonts w:ascii="Book Antiqua" w:hAnsi="Book Antiqua" w:cs="Arial"/>
          <w:vertAlign w:val="superscript"/>
        </w:rPr>
        <w:t>10</w:t>
      </w:r>
      <w:r w:rsidR="00D236B1" w:rsidRPr="001467E4">
        <w:rPr>
          <w:rFonts w:ascii="Book Antiqua" w:hAnsi="Book Antiqua" w:cs="Arial"/>
          <w:vertAlign w:val="superscript"/>
        </w:rPr>
        <w:t>]</w:t>
      </w:r>
      <w:r w:rsidR="000009D4" w:rsidRPr="001467E4">
        <w:rPr>
          <w:rFonts w:ascii="Book Antiqua" w:hAnsi="Book Antiqua" w:cs="Arial"/>
        </w:rPr>
        <w:t xml:space="preserve">. </w:t>
      </w:r>
      <w:r w:rsidR="0032168F" w:rsidRPr="001467E4">
        <w:rPr>
          <w:rFonts w:ascii="Book Antiqua" w:hAnsi="Book Antiqua" w:cs="Arial"/>
        </w:rPr>
        <w:t xml:space="preserve">Indeed, these </w:t>
      </w:r>
      <w:r w:rsidR="00D236B1" w:rsidRPr="001467E4">
        <w:rPr>
          <w:rFonts w:ascii="Book Antiqua" w:hAnsi="Book Antiqua" w:cs="Arial"/>
        </w:rPr>
        <w:t xml:space="preserve">W/B F1 </w:t>
      </w:r>
      <w:r w:rsidR="0032168F" w:rsidRPr="001467E4">
        <w:rPr>
          <w:rFonts w:ascii="Book Antiqua" w:hAnsi="Book Antiqua" w:cs="Arial"/>
        </w:rPr>
        <w:t xml:space="preserve">male </w:t>
      </w:r>
      <w:r w:rsidR="00D236B1" w:rsidRPr="001467E4">
        <w:rPr>
          <w:rFonts w:ascii="Book Antiqua" w:hAnsi="Book Antiqua" w:cs="Arial"/>
        </w:rPr>
        <w:t xml:space="preserve">mice are SLE-prone mice </w:t>
      </w:r>
      <w:r w:rsidR="0032168F" w:rsidRPr="001467E4">
        <w:rPr>
          <w:rFonts w:ascii="Book Antiqua" w:hAnsi="Book Antiqua" w:cs="Arial"/>
        </w:rPr>
        <w:t xml:space="preserve">that, in addition to aCL, </w:t>
      </w:r>
      <w:r w:rsidR="00D236B1" w:rsidRPr="001467E4">
        <w:rPr>
          <w:rFonts w:ascii="Book Antiqua" w:hAnsi="Book Antiqua" w:cs="Arial"/>
        </w:rPr>
        <w:t>develop autoantibodies</w:t>
      </w:r>
      <w:r w:rsidR="0032168F" w:rsidRPr="001467E4">
        <w:rPr>
          <w:rFonts w:ascii="Book Antiqua" w:hAnsi="Book Antiqua" w:cs="Arial"/>
        </w:rPr>
        <w:t xml:space="preserve"> to negatively charged phospholipids such as phosphatidylserine and phosphatidylinositol</w:t>
      </w:r>
      <w:r w:rsidR="00D236B1" w:rsidRPr="001467E4">
        <w:rPr>
          <w:rFonts w:ascii="Book Antiqua" w:hAnsi="Book Antiqua" w:cs="Arial"/>
        </w:rPr>
        <w:t>, circulating immune complexes, and nephritis</w:t>
      </w:r>
      <w:r w:rsidR="0032168F" w:rsidRPr="001467E4">
        <w:rPr>
          <w:rFonts w:ascii="Book Antiqua" w:hAnsi="Book Antiqua" w:cs="Arial"/>
        </w:rPr>
        <w:t xml:space="preserve">. </w:t>
      </w:r>
      <w:r w:rsidR="00052011" w:rsidRPr="001467E4">
        <w:rPr>
          <w:rFonts w:ascii="Book Antiqua" w:hAnsi="Book Antiqua" w:cs="Arial"/>
        </w:rPr>
        <w:t xml:space="preserve">Thrombocytopenia and myocardial infarction on the background of </w:t>
      </w:r>
      <w:r w:rsidR="00D236B1" w:rsidRPr="001467E4">
        <w:rPr>
          <w:rFonts w:ascii="Book Antiqua" w:hAnsi="Book Antiqua" w:cs="Arial"/>
        </w:rPr>
        <w:t xml:space="preserve">degenerative coronary vascular disease </w:t>
      </w:r>
      <w:r w:rsidR="00052011" w:rsidRPr="001467E4">
        <w:rPr>
          <w:rFonts w:ascii="Book Antiqua" w:hAnsi="Book Antiqua" w:cs="Arial"/>
        </w:rPr>
        <w:t xml:space="preserve">is often found in these mice, which is </w:t>
      </w:r>
      <w:r w:rsidR="001467E4">
        <w:rPr>
          <w:rFonts w:ascii="Book Antiqua" w:hAnsi="Book Antiqua" w:cs="Arial"/>
        </w:rPr>
        <w:t>akin to features of SLE and APS</w:t>
      </w:r>
      <w:r w:rsidR="00D236B1" w:rsidRPr="001467E4">
        <w:rPr>
          <w:rFonts w:ascii="Book Antiqua" w:hAnsi="Book Antiqua" w:cs="Arial"/>
          <w:vertAlign w:val="superscript"/>
        </w:rPr>
        <w:t>[</w:t>
      </w:r>
      <w:r w:rsidR="000D53B9" w:rsidRPr="001467E4">
        <w:rPr>
          <w:rFonts w:ascii="Book Antiqua" w:hAnsi="Book Antiqua" w:cs="Arial"/>
          <w:vertAlign w:val="superscript"/>
        </w:rPr>
        <w:t>10-12</w:t>
      </w:r>
      <w:r w:rsidR="00D236B1" w:rsidRPr="001467E4">
        <w:rPr>
          <w:rFonts w:ascii="Book Antiqua" w:hAnsi="Book Antiqua" w:cs="Arial"/>
          <w:vertAlign w:val="superscript"/>
        </w:rPr>
        <w:t>]</w:t>
      </w:r>
      <w:r w:rsidR="000009D4" w:rsidRPr="001467E4">
        <w:rPr>
          <w:rFonts w:ascii="Book Antiqua" w:hAnsi="Book Antiqua" w:cs="Arial"/>
        </w:rPr>
        <w:t xml:space="preserve">. </w:t>
      </w:r>
      <w:r w:rsidR="005B169F" w:rsidRPr="001467E4">
        <w:rPr>
          <w:rFonts w:ascii="Book Antiqua" w:hAnsi="Book Antiqua" w:cs="Arial"/>
        </w:rPr>
        <w:t xml:space="preserve">The failure of either central or peripheral T-cell tolerance mechanisms is an important </w:t>
      </w:r>
      <w:r w:rsidR="00052011" w:rsidRPr="001467E4">
        <w:rPr>
          <w:rFonts w:ascii="Book Antiqua" w:hAnsi="Book Antiqua" w:cs="Arial"/>
        </w:rPr>
        <w:t xml:space="preserve">aspect </w:t>
      </w:r>
      <w:r w:rsidR="000D67DA" w:rsidRPr="001467E4">
        <w:rPr>
          <w:rFonts w:ascii="Book Antiqua" w:hAnsi="Book Antiqua" w:cs="Arial"/>
        </w:rPr>
        <w:t>of</w:t>
      </w:r>
      <w:r w:rsidR="00052011" w:rsidRPr="001467E4">
        <w:rPr>
          <w:rFonts w:ascii="Book Antiqua" w:hAnsi="Book Antiqua" w:cs="Arial"/>
        </w:rPr>
        <w:t xml:space="preserve"> the production</w:t>
      </w:r>
      <w:r w:rsidR="005B169F" w:rsidRPr="001467E4">
        <w:rPr>
          <w:rFonts w:ascii="Book Antiqua" w:hAnsi="Book Antiqua" w:cs="Arial"/>
        </w:rPr>
        <w:t xml:space="preserve"> of self-reactive autoantibodies in </w:t>
      </w:r>
      <w:r w:rsidR="000D53B9" w:rsidRPr="001467E4">
        <w:rPr>
          <w:rFonts w:ascii="Book Antiqua" w:hAnsi="Book Antiqua" w:cs="Arial"/>
        </w:rPr>
        <w:t>autoimmune diseases</w:t>
      </w:r>
      <w:r w:rsidR="006F7490" w:rsidRPr="001467E4">
        <w:rPr>
          <w:rFonts w:ascii="Book Antiqua" w:hAnsi="Book Antiqua" w:cs="Arial"/>
        </w:rPr>
        <w:t xml:space="preserve">. </w:t>
      </w:r>
      <w:r w:rsidR="000D67DA" w:rsidRPr="001467E4">
        <w:rPr>
          <w:rFonts w:ascii="Book Antiqua" w:hAnsi="Book Antiqua" w:cs="Arial"/>
        </w:rPr>
        <w:t>Gene analysis showed that the genes responsible for</w:t>
      </w:r>
      <w:r w:rsidR="00D236B1" w:rsidRPr="001467E4">
        <w:rPr>
          <w:rFonts w:ascii="Book Antiqua" w:hAnsi="Book Antiqua" w:cs="Arial"/>
        </w:rPr>
        <w:t xml:space="preserve"> </w:t>
      </w:r>
      <w:r w:rsidR="000D67DA" w:rsidRPr="001467E4">
        <w:rPr>
          <w:rFonts w:ascii="Book Antiqua" w:hAnsi="Book Antiqua" w:cs="Arial"/>
        </w:rPr>
        <w:t>the development</w:t>
      </w:r>
      <w:r w:rsidR="00D236B1" w:rsidRPr="001467E4">
        <w:rPr>
          <w:rFonts w:ascii="Book Antiqua" w:hAnsi="Book Antiqua" w:cs="Arial"/>
        </w:rPr>
        <w:t xml:space="preserve"> of pathogenic aCL in these mice </w:t>
      </w:r>
      <w:r w:rsidR="000D67DA" w:rsidRPr="001467E4">
        <w:rPr>
          <w:rFonts w:ascii="Book Antiqua" w:hAnsi="Book Antiqua" w:cs="Arial"/>
        </w:rPr>
        <w:t xml:space="preserve">used </w:t>
      </w:r>
      <w:r w:rsidR="00D236B1" w:rsidRPr="001467E4">
        <w:rPr>
          <w:rFonts w:ascii="Book Antiqua" w:hAnsi="Book Antiqua" w:cs="Arial"/>
        </w:rPr>
        <w:t xml:space="preserve">certain </w:t>
      </w:r>
      <w:r w:rsidR="00D236B1" w:rsidRPr="001467E4">
        <w:rPr>
          <w:rFonts w:ascii="Book Antiqua" w:hAnsi="Book Antiqua" w:cs="Arial"/>
          <w:i/>
        </w:rPr>
        <w:t>V</w:t>
      </w:r>
      <w:r w:rsidR="00D236B1" w:rsidRPr="001467E4">
        <w:rPr>
          <w:rFonts w:ascii="Book Antiqua" w:hAnsi="Book Antiqua" w:cs="Arial"/>
          <w:i/>
          <w:vertAlign w:val="subscript"/>
        </w:rPr>
        <w:t>H</w:t>
      </w:r>
      <w:r w:rsidR="00D236B1" w:rsidRPr="001467E4">
        <w:rPr>
          <w:rFonts w:ascii="Book Antiqua" w:hAnsi="Book Antiqua" w:cs="Arial"/>
          <w:vertAlign w:val="subscript"/>
        </w:rPr>
        <w:t xml:space="preserve"> </w:t>
      </w:r>
      <w:r w:rsidR="00D236B1" w:rsidRPr="001467E4">
        <w:rPr>
          <w:rFonts w:ascii="Book Antiqua" w:hAnsi="Book Antiqua" w:cs="Arial"/>
        </w:rPr>
        <w:t xml:space="preserve">and </w:t>
      </w:r>
      <w:r w:rsidR="00D236B1" w:rsidRPr="001467E4">
        <w:rPr>
          <w:rFonts w:ascii="Book Antiqua" w:hAnsi="Book Antiqua" w:cs="Arial"/>
          <w:i/>
        </w:rPr>
        <w:t>V</w:t>
      </w:r>
      <w:r w:rsidR="003B5DB5" w:rsidRPr="001467E4">
        <w:rPr>
          <w:rFonts w:ascii="Book Antiqua" w:hAnsi="Book Antiqua" w:cs="Arial"/>
          <w:i/>
          <w:vertAlign w:val="subscript"/>
        </w:rPr>
        <w:t>K</w:t>
      </w:r>
      <w:r w:rsidR="003B5DB5" w:rsidRPr="001467E4">
        <w:rPr>
          <w:rFonts w:ascii="Book Antiqua" w:hAnsi="Book Antiqua" w:cs="Arial"/>
          <w:vertAlign w:val="subscript"/>
        </w:rPr>
        <w:t xml:space="preserve"> </w:t>
      </w:r>
      <w:r w:rsidR="00D236B1" w:rsidRPr="001467E4">
        <w:rPr>
          <w:rFonts w:ascii="Book Antiqua" w:hAnsi="Book Antiqua" w:cs="Arial"/>
        </w:rPr>
        <w:t>genes</w:t>
      </w:r>
      <w:r w:rsidR="000D67DA" w:rsidRPr="001467E4">
        <w:rPr>
          <w:rFonts w:ascii="Book Antiqua" w:hAnsi="Book Antiqua" w:cs="Arial"/>
        </w:rPr>
        <w:t xml:space="preserve"> preferentially</w:t>
      </w:r>
      <w:r w:rsidR="00D236B1" w:rsidRPr="001467E4">
        <w:rPr>
          <w:rFonts w:ascii="Book Antiqua" w:hAnsi="Book Antiqua" w:cs="Arial"/>
        </w:rPr>
        <w:t xml:space="preserve">, </w:t>
      </w:r>
      <w:r w:rsidR="000D67DA" w:rsidRPr="001467E4">
        <w:rPr>
          <w:rFonts w:ascii="Book Antiqua" w:hAnsi="Book Antiqua" w:cs="Arial"/>
        </w:rPr>
        <w:t>while those for</w:t>
      </w:r>
      <w:r w:rsidR="00D236B1" w:rsidRPr="001467E4">
        <w:rPr>
          <w:rFonts w:ascii="Book Antiqua" w:hAnsi="Book Antiqua" w:cs="Arial"/>
        </w:rPr>
        <w:t xml:space="preserve"> non-pathogenic aCL utilize</w:t>
      </w:r>
      <w:r w:rsidR="000D67DA" w:rsidRPr="001467E4">
        <w:rPr>
          <w:rFonts w:ascii="Book Antiqua" w:hAnsi="Book Antiqua" w:cs="Arial"/>
        </w:rPr>
        <w:t>d</w:t>
      </w:r>
      <w:r w:rsidR="00D236B1" w:rsidRPr="001467E4">
        <w:rPr>
          <w:rFonts w:ascii="Book Antiqua" w:hAnsi="Book Antiqua" w:cs="Arial"/>
        </w:rPr>
        <w:t xml:space="preserve"> random </w:t>
      </w:r>
      <w:r w:rsidR="00D236B1" w:rsidRPr="001467E4">
        <w:rPr>
          <w:rFonts w:ascii="Book Antiqua" w:hAnsi="Book Antiqua" w:cs="Arial"/>
          <w:i/>
        </w:rPr>
        <w:t>V</w:t>
      </w:r>
      <w:r w:rsidR="00D236B1" w:rsidRPr="001467E4">
        <w:rPr>
          <w:rFonts w:ascii="Book Antiqua" w:hAnsi="Book Antiqua" w:cs="Arial"/>
        </w:rPr>
        <w:t xml:space="preserve"> gene combinations</w:t>
      </w:r>
      <w:r w:rsidR="000D67DA" w:rsidRPr="001467E4">
        <w:rPr>
          <w:rFonts w:ascii="Book Antiqua" w:hAnsi="Book Antiqua" w:cs="Arial"/>
        </w:rPr>
        <w:t>.</w:t>
      </w:r>
      <w:r w:rsidR="003B5DB5" w:rsidRPr="001467E4">
        <w:rPr>
          <w:rFonts w:ascii="Book Antiqua" w:hAnsi="Book Antiqua" w:cs="Arial"/>
        </w:rPr>
        <w:t xml:space="preserve"> </w:t>
      </w:r>
      <w:r w:rsidR="000D67DA" w:rsidRPr="001467E4">
        <w:rPr>
          <w:rFonts w:ascii="Book Antiqua" w:hAnsi="Book Antiqua" w:cs="Arial"/>
        </w:rPr>
        <w:t xml:space="preserve">This indicates </w:t>
      </w:r>
      <w:r w:rsidR="003B5DB5" w:rsidRPr="001467E4">
        <w:rPr>
          <w:rFonts w:ascii="Book Antiqua" w:hAnsi="Book Antiqua" w:cs="Arial"/>
        </w:rPr>
        <w:t>antigen-driven</w:t>
      </w:r>
      <w:r w:rsidR="006F7490" w:rsidRPr="001467E4">
        <w:rPr>
          <w:rFonts w:ascii="Book Antiqua" w:hAnsi="Book Antiqua" w:cs="Arial"/>
        </w:rPr>
        <w:t xml:space="preserve"> rather than germ</w:t>
      </w:r>
      <w:r w:rsidR="00D94EAA" w:rsidRPr="001467E4">
        <w:rPr>
          <w:rFonts w:ascii="Book Antiqua" w:hAnsi="Book Antiqua" w:cs="Arial"/>
        </w:rPr>
        <w:t>-</w:t>
      </w:r>
      <w:r w:rsidR="006F7490" w:rsidRPr="001467E4">
        <w:rPr>
          <w:rFonts w:ascii="Book Antiqua" w:hAnsi="Book Antiqua" w:cs="Arial"/>
        </w:rPr>
        <w:t>line encoded</w:t>
      </w:r>
      <w:r w:rsidR="003B5DB5" w:rsidRPr="001467E4">
        <w:rPr>
          <w:rFonts w:ascii="Book Antiqua" w:hAnsi="Book Antiqua" w:cs="Arial"/>
        </w:rPr>
        <w:t xml:space="preserve"> antibody production</w:t>
      </w:r>
      <w:r w:rsidR="00D236B1" w:rsidRPr="001467E4">
        <w:rPr>
          <w:rFonts w:ascii="Book Antiqua" w:hAnsi="Book Antiqua" w:cs="Arial"/>
          <w:vertAlign w:val="superscript"/>
        </w:rPr>
        <w:t>[</w:t>
      </w:r>
      <w:r w:rsidR="000D53B9" w:rsidRPr="001467E4">
        <w:rPr>
          <w:rFonts w:ascii="Book Antiqua" w:hAnsi="Book Antiqua" w:cs="Arial"/>
          <w:vertAlign w:val="superscript"/>
        </w:rPr>
        <w:t>13</w:t>
      </w:r>
      <w:r w:rsidR="00D236B1" w:rsidRPr="001467E4">
        <w:rPr>
          <w:rFonts w:ascii="Book Antiqua" w:hAnsi="Book Antiqua" w:cs="Arial"/>
          <w:vertAlign w:val="superscript"/>
        </w:rPr>
        <w:t>]</w:t>
      </w:r>
      <w:r w:rsidR="00D236B1" w:rsidRPr="001467E4">
        <w:rPr>
          <w:rFonts w:ascii="Book Antiqua" w:hAnsi="Book Antiqua" w:cs="Arial"/>
        </w:rPr>
        <w:t xml:space="preserve">. </w:t>
      </w:r>
      <w:r w:rsidR="006F7490" w:rsidRPr="001467E4">
        <w:rPr>
          <w:rFonts w:ascii="Book Antiqua" w:hAnsi="Book Antiqua" w:cs="Arial"/>
        </w:rPr>
        <w:t xml:space="preserve">In this study, the pathogenic aCL showed a 91.5% homology </w:t>
      </w:r>
      <w:r w:rsidR="00D94EAA" w:rsidRPr="001467E4">
        <w:rPr>
          <w:rFonts w:ascii="Book Antiqua" w:hAnsi="Book Antiqua" w:cs="Arial"/>
        </w:rPr>
        <w:t>to a known germ-line V</w:t>
      </w:r>
      <w:r w:rsidR="00D94EAA" w:rsidRPr="001467E4">
        <w:rPr>
          <w:rFonts w:ascii="Book Antiqua" w:hAnsi="Book Antiqua" w:cs="Arial"/>
          <w:vertAlign w:val="subscript"/>
        </w:rPr>
        <w:t>H</w:t>
      </w:r>
      <w:r w:rsidR="00D94EAA" w:rsidRPr="001467E4">
        <w:rPr>
          <w:rFonts w:ascii="Book Antiqua" w:hAnsi="Book Antiqua" w:cs="Arial"/>
        </w:rPr>
        <w:t xml:space="preserve"> gene, suggesting that the pathogenic aPL were generated by somatic mutations. </w:t>
      </w:r>
      <w:r w:rsidR="006F7490" w:rsidRPr="001467E4">
        <w:rPr>
          <w:rFonts w:ascii="Book Antiqua" w:hAnsi="Book Antiqua" w:cs="Arial"/>
        </w:rPr>
        <w:t xml:space="preserve">Similarly, in MRL-lpr/lpr mice (lupus prone mice), numerous somatic mutations </w:t>
      </w:r>
      <w:r w:rsidR="00D94EAA" w:rsidRPr="001467E4">
        <w:rPr>
          <w:rFonts w:ascii="Book Antiqua" w:hAnsi="Book Antiqua" w:cs="Arial"/>
        </w:rPr>
        <w:t>i</w:t>
      </w:r>
      <w:r w:rsidR="006F7490" w:rsidRPr="001467E4">
        <w:rPr>
          <w:rFonts w:ascii="Book Antiqua" w:hAnsi="Book Antiqua" w:cs="Arial"/>
        </w:rPr>
        <w:t>n the V</w:t>
      </w:r>
      <w:r w:rsidR="006F7490" w:rsidRPr="001467E4">
        <w:rPr>
          <w:rFonts w:ascii="Book Antiqua" w:hAnsi="Book Antiqua" w:cs="Arial"/>
          <w:vertAlign w:val="subscript"/>
        </w:rPr>
        <w:t>H</w:t>
      </w:r>
      <w:r w:rsidR="006F7490" w:rsidRPr="001467E4">
        <w:rPr>
          <w:rFonts w:ascii="Book Antiqua" w:hAnsi="Book Antiqua" w:cs="Arial"/>
        </w:rPr>
        <w:t xml:space="preserve"> region of a gene encoding a monoclonal aCL compared to the related germ-line VH gene were noted, indicating antigen-driven stimulation and a possible failure in </w:t>
      </w:r>
      <w:r w:rsidR="001467E4">
        <w:rPr>
          <w:rFonts w:ascii="Book Antiqua" w:hAnsi="Book Antiqua" w:cs="Arial"/>
        </w:rPr>
        <w:t>peripheral tolerance mechanisms</w:t>
      </w:r>
      <w:r w:rsidR="006F7490" w:rsidRPr="001467E4">
        <w:rPr>
          <w:rFonts w:ascii="Book Antiqua" w:hAnsi="Book Antiqua" w:cs="Arial"/>
          <w:vertAlign w:val="superscript"/>
        </w:rPr>
        <w:t>[</w:t>
      </w:r>
      <w:r w:rsidR="000D53B9" w:rsidRPr="001467E4">
        <w:rPr>
          <w:rFonts w:ascii="Book Antiqua" w:hAnsi="Book Antiqua" w:cs="Arial"/>
          <w:vertAlign w:val="superscript"/>
        </w:rPr>
        <w:t>14</w:t>
      </w:r>
      <w:r w:rsidR="006F7490" w:rsidRPr="001467E4">
        <w:rPr>
          <w:rFonts w:ascii="Book Antiqua" w:hAnsi="Book Antiqua" w:cs="Arial"/>
          <w:vertAlign w:val="superscript"/>
        </w:rPr>
        <w:t>]</w:t>
      </w:r>
      <w:r w:rsidR="00395A1A" w:rsidRPr="001467E4">
        <w:rPr>
          <w:rFonts w:ascii="Book Antiqua" w:hAnsi="Book Antiqua" w:cs="Arial"/>
        </w:rPr>
        <w:t>. ACL are also produced in normal C57BL/6J mice, with estrogen treatment increasing the incidence and levels of these antibodies, underscoring the role that environmental factors such as hormones may play in modifying genetic s</w:t>
      </w:r>
      <w:r w:rsidR="000D53B9" w:rsidRPr="001467E4">
        <w:rPr>
          <w:rFonts w:ascii="Book Antiqua" w:hAnsi="Book Antiqua" w:cs="Arial"/>
        </w:rPr>
        <w:t>usceptibility in APS patients</w:t>
      </w:r>
      <w:r w:rsidR="000D53B9" w:rsidRPr="001467E4">
        <w:rPr>
          <w:rFonts w:ascii="Book Antiqua" w:hAnsi="Book Antiqua" w:cs="Arial"/>
          <w:vertAlign w:val="superscript"/>
        </w:rPr>
        <w:t>[1</w:t>
      </w:r>
      <w:r w:rsidR="00395A1A" w:rsidRPr="001467E4">
        <w:rPr>
          <w:rFonts w:ascii="Book Antiqua" w:hAnsi="Book Antiqua" w:cs="Arial"/>
          <w:vertAlign w:val="superscript"/>
        </w:rPr>
        <w:t>5]</w:t>
      </w:r>
      <w:r w:rsidR="00395A1A" w:rsidRPr="001467E4">
        <w:rPr>
          <w:rFonts w:ascii="Book Antiqua" w:hAnsi="Book Antiqua" w:cs="Arial"/>
        </w:rPr>
        <w:t xml:space="preserve">. However, </w:t>
      </w:r>
      <w:r w:rsidR="000D67DA" w:rsidRPr="001467E4">
        <w:rPr>
          <w:rFonts w:ascii="Book Antiqua" w:hAnsi="Book Antiqua" w:cs="Arial"/>
        </w:rPr>
        <w:t xml:space="preserve">the </w:t>
      </w:r>
      <w:r w:rsidR="00395A1A" w:rsidRPr="001467E4">
        <w:rPr>
          <w:rFonts w:ascii="Book Antiqua" w:hAnsi="Book Antiqua" w:cs="Arial"/>
        </w:rPr>
        <w:t xml:space="preserve">aCL </w:t>
      </w:r>
      <w:r w:rsidR="000D67DA" w:rsidRPr="001467E4">
        <w:rPr>
          <w:rFonts w:ascii="Book Antiqua" w:hAnsi="Book Antiqua" w:cs="Arial"/>
        </w:rPr>
        <w:t xml:space="preserve">that are </w:t>
      </w:r>
      <w:r w:rsidR="00395A1A" w:rsidRPr="001467E4">
        <w:rPr>
          <w:rFonts w:ascii="Book Antiqua" w:hAnsi="Book Antiqua" w:cs="Arial"/>
        </w:rPr>
        <w:t xml:space="preserve">produced </w:t>
      </w:r>
      <w:r w:rsidR="000D67DA" w:rsidRPr="001467E4">
        <w:rPr>
          <w:rFonts w:ascii="Book Antiqua" w:hAnsi="Book Antiqua" w:cs="Arial"/>
        </w:rPr>
        <w:t>in these</w:t>
      </w:r>
      <w:r w:rsidR="00395A1A" w:rsidRPr="001467E4">
        <w:rPr>
          <w:rFonts w:ascii="Book Antiqua" w:hAnsi="Book Antiqua" w:cs="Arial"/>
        </w:rPr>
        <w:t xml:space="preserve"> mice are not </w:t>
      </w:r>
      <w:r w:rsidR="00395A1A" w:rsidRPr="001467E4">
        <w:rPr>
          <w:rFonts w:ascii="Book Antiqua" w:hAnsi="Book Antiqua" w:cs="Arial"/>
        </w:rPr>
        <w:sym w:font="Symbol" w:char="F062"/>
      </w:r>
      <w:r w:rsidR="00395A1A" w:rsidRPr="001467E4">
        <w:rPr>
          <w:rFonts w:ascii="Book Antiqua" w:hAnsi="Book Antiqua" w:cs="Arial"/>
          <w:vertAlign w:val="subscript"/>
        </w:rPr>
        <w:t>2</w:t>
      </w:r>
      <w:r w:rsidR="00395A1A" w:rsidRPr="001467E4">
        <w:rPr>
          <w:rFonts w:ascii="Book Antiqua" w:hAnsi="Book Antiqua" w:cs="Arial"/>
        </w:rPr>
        <w:t xml:space="preserve">GPI dependent but </w:t>
      </w:r>
      <w:r w:rsidR="000D67DA" w:rsidRPr="001467E4">
        <w:rPr>
          <w:rFonts w:ascii="Book Antiqua" w:hAnsi="Book Antiqua" w:cs="Arial"/>
        </w:rPr>
        <w:t xml:space="preserve">instead </w:t>
      </w:r>
      <w:r w:rsidR="00395A1A" w:rsidRPr="001467E4">
        <w:rPr>
          <w:rFonts w:ascii="Book Antiqua" w:hAnsi="Book Antiqua" w:cs="Arial"/>
        </w:rPr>
        <w:t xml:space="preserve">show </w:t>
      </w:r>
      <w:r w:rsidR="000D67DA" w:rsidRPr="001467E4">
        <w:rPr>
          <w:rFonts w:ascii="Book Antiqua" w:hAnsi="Book Antiqua" w:cs="Arial"/>
        </w:rPr>
        <w:t xml:space="preserve">diminished </w:t>
      </w:r>
      <w:r w:rsidR="00395A1A" w:rsidRPr="001467E4">
        <w:rPr>
          <w:rFonts w:ascii="Book Antiqua" w:hAnsi="Book Antiqua" w:cs="Arial"/>
        </w:rPr>
        <w:t xml:space="preserve">binding to cardiolipin in the presence of </w:t>
      </w:r>
      <w:r w:rsidR="000D67DA" w:rsidRPr="001467E4">
        <w:rPr>
          <w:rFonts w:ascii="Book Antiqua" w:hAnsi="Book Antiqua" w:cs="Arial"/>
        </w:rPr>
        <w:t xml:space="preserve">the </w:t>
      </w:r>
      <w:r w:rsidR="00395A1A" w:rsidRPr="001467E4">
        <w:rPr>
          <w:rFonts w:ascii="Book Antiqua" w:hAnsi="Book Antiqua" w:cs="Arial"/>
        </w:rPr>
        <w:sym w:font="Symbol" w:char="F062"/>
      </w:r>
      <w:r w:rsidR="00395A1A" w:rsidRPr="001467E4">
        <w:rPr>
          <w:rFonts w:ascii="Book Antiqua" w:hAnsi="Book Antiqua" w:cs="Arial"/>
          <w:vertAlign w:val="subscript"/>
        </w:rPr>
        <w:t>2</w:t>
      </w:r>
      <w:r w:rsidR="000D53B9" w:rsidRPr="001467E4">
        <w:rPr>
          <w:rFonts w:ascii="Book Antiqua" w:hAnsi="Book Antiqua" w:cs="Arial"/>
        </w:rPr>
        <w:t xml:space="preserve">GPI </w:t>
      </w:r>
      <w:r w:rsidR="001467E4">
        <w:rPr>
          <w:rFonts w:ascii="Book Antiqua" w:hAnsi="Book Antiqua" w:cs="Arial"/>
        </w:rPr>
        <w:t>cofactor</w:t>
      </w:r>
      <w:r w:rsidR="000D53B9" w:rsidRPr="001467E4">
        <w:rPr>
          <w:rFonts w:ascii="Book Antiqua" w:hAnsi="Book Antiqua" w:cs="Arial"/>
          <w:vertAlign w:val="superscript"/>
        </w:rPr>
        <w:t>[1</w:t>
      </w:r>
      <w:r w:rsidR="00395A1A" w:rsidRPr="001467E4">
        <w:rPr>
          <w:rFonts w:ascii="Book Antiqua" w:hAnsi="Book Antiqua" w:cs="Arial"/>
          <w:vertAlign w:val="superscript"/>
        </w:rPr>
        <w:t>6]</w:t>
      </w:r>
      <w:r w:rsidR="00395A1A" w:rsidRPr="001467E4">
        <w:rPr>
          <w:rFonts w:ascii="Book Antiqua" w:hAnsi="Book Antiqua" w:cs="Arial"/>
        </w:rPr>
        <w:t xml:space="preserve">. Interestingly, </w:t>
      </w:r>
      <w:r w:rsidR="004228FF" w:rsidRPr="001467E4">
        <w:rPr>
          <w:rFonts w:ascii="Book Antiqua" w:hAnsi="Book Antiqua" w:cs="Arial"/>
        </w:rPr>
        <w:t>an additional lupus murine model</w:t>
      </w:r>
      <w:r w:rsidR="000D67DA" w:rsidRPr="001467E4">
        <w:rPr>
          <w:rFonts w:ascii="Book Antiqua" w:hAnsi="Book Antiqua" w:cs="Arial"/>
        </w:rPr>
        <w:t xml:space="preserve"> (NZW x NZB F1 mice)</w:t>
      </w:r>
      <w:r w:rsidR="00395A1A" w:rsidRPr="001467E4">
        <w:rPr>
          <w:rFonts w:ascii="Book Antiqua" w:hAnsi="Book Antiqua" w:cs="Arial"/>
        </w:rPr>
        <w:t xml:space="preserve"> fail</w:t>
      </w:r>
      <w:r w:rsidR="004228FF" w:rsidRPr="001467E4">
        <w:rPr>
          <w:rFonts w:ascii="Book Antiqua" w:hAnsi="Book Antiqua" w:cs="Arial"/>
        </w:rPr>
        <w:t>ed</w:t>
      </w:r>
      <w:r w:rsidR="00395A1A" w:rsidRPr="001467E4">
        <w:rPr>
          <w:rFonts w:ascii="Book Antiqua" w:hAnsi="Book Antiqua" w:cs="Arial"/>
        </w:rPr>
        <w:t xml:space="preserve"> to produce aCL despite the production of other autoantibodies suc</w:t>
      </w:r>
      <w:r w:rsidR="001467E4">
        <w:rPr>
          <w:rFonts w:ascii="Book Antiqua" w:hAnsi="Book Antiqua" w:cs="Arial"/>
        </w:rPr>
        <w:t>h as anti-dsDNA</w:t>
      </w:r>
      <w:r w:rsidR="00395A1A" w:rsidRPr="001467E4">
        <w:rPr>
          <w:rFonts w:ascii="Book Antiqua" w:hAnsi="Book Antiqua" w:cs="Arial"/>
          <w:vertAlign w:val="superscript"/>
        </w:rPr>
        <w:t>[</w:t>
      </w:r>
      <w:r w:rsidR="002F0A98" w:rsidRPr="001467E4">
        <w:rPr>
          <w:rFonts w:ascii="Book Antiqua" w:hAnsi="Book Antiqua" w:cs="Arial"/>
          <w:vertAlign w:val="superscript"/>
        </w:rPr>
        <w:t>17</w:t>
      </w:r>
      <w:r w:rsidR="00395A1A" w:rsidRPr="001467E4">
        <w:rPr>
          <w:rFonts w:ascii="Book Antiqua" w:hAnsi="Book Antiqua" w:cs="Arial"/>
          <w:vertAlign w:val="superscript"/>
        </w:rPr>
        <w:t>]</w:t>
      </w:r>
      <w:r w:rsidR="00395A1A" w:rsidRPr="001467E4">
        <w:rPr>
          <w:rFonts w:ascii="Book Antiqua" w:hAnsi="Book Antiqua" w:cs="Arial"/>
        </w:rPr>
        <w:t>.</w:t>
      </w:r>
    </w:p>
    <w:p w14:paraId="48431479" w14:textId="7018534C" w:rsidR="00D236B1" w:rsidRPr="001467E4" w:rsidRDefault="00D94EAA" w:rsidP="001467E4">
      <w:pPr>
        <w:spacing w:after="0" w:line="360" w:lineRule="auto"/>
        <w:jc w:val="both"/>
        <w:rPr>
          <w:rFonts w:ascii="Book Antiqua" w:hAnsi="Book Antiqua" w:cs="Arial"/>
        </w:rPr>
      </w:pPr>
      <w:r w:rsidRPr="001467E4">
        <w:rPr>
          <w:rFonts w:ascii="Book Antiqua" w:hAnsi="Book Antiqua" w:cs="Arial"/>
        </w:rPr>
        <w:t xml:space="preserve">A subsequent analysis of the clinical features present in </w:t>
      </w:r>
      <w:r w:rsidR="00D236B1" w:rsidRPr="001467E4">
        <w:rPr>
          <w:rFonts w:ascii="Book Antiqua" w:hAnsi="Book Antiqua" w:cs="Arial"/>
        </w:rPr>
        <w:t>NZW</w:t>
      </w:r>
      <w:r w:rsidR="004228FF" w:rsidRPr="001467E4">
        <w:rPr>
          <w:rFonts w:ascii="Book Antiqua" w:hAnsi="Book Antiqua" w:cs="Arial"/>
        </w:rPr>
        <w:t xml:space="preserve"> and BXSB</w:t>
      </w:r>
      <w:r w:rsidR="00D236B1" w:rsidRPr="001467E4">
        <w:rPr>
          <w:rFonts w:ascii="Book Antiqua" w:hAnsi="Book Antiqua" w:cs="Arial"/>
        </w:rPr>
        <w:t xml:space="preserve"> mice and their </w:t>
      </w:r>
      <w:r w:rsidR="009A4137" w:rsidRPr="001467E4">
        <w:rPr>
          <w:rFonts w:ascii="Book Antiqua" w:hAnsi="Book Antiqua" w:cs="Arial"/>
        </w:rPr>
        <w:t xml:space="preserve">offspring </w:t>
      </w:r>
      <w:r w:rsidRPr="001467E4">
        <w:rPr>
          <w:rFonts w:ascii="Book Antiqua" w:hAnsi="Book Antiqua" w:cs="Arial"/>
        </w:rPr>
        <w:t xml:space="preserve">revealed that </w:t>
      </w:r>
      <w:r w:rsidR="005B4012" w:rsidRPr="001467E4">
        <w:rPr>
          <w:rFonts w:ascii="Book Antiqua" w:hAnsi="Book Antiqua" w:cs="Arial"/>
        </w:rPr>
        <w:t xml:space="preserve">similar disease </w:t>
      </w:r>
      <w:r w:rsidR="009A4137" w:rsidRPr="001467E4">
        <w:rPr>
          <w:rFonts w:ascii="Book Antiqua" w:hAnsi="Book Antiqua" w:cs="Arial"/>
        </w:rPr>
        <w:t>phenotypes were seen in both male BXSB parental mice and</w:t>
      </w:r>
      <w:r w:rsidR="00D236B1" w:rsidRPr="001467E4">
        <w:rPr>
          <w:rFonts w:ascii="Book Antiqua" w:hAnsi="Book Antiqua" w:cs="Arial"/>
        </w:rPr>
        <w:t xml:space="preserve"> the male</w:t>
      </w:r>
      <w:r w:rsidR="004228FF" w:rsidRPr="001467E4">
        <w:rPr>
          <w:rFonts w:ascii="Book Antiqua" w:hAnsi="Book Antiqua" w:cs="Arial"/>
        </w:rPr>
        <w:t xml:space="preserve"> F1 progeny</w:t>
      </w:r>
      <w:r w:rsidR="00D236B1" w:rsidRPr="001467E4">
        <w:rPr>
          <w:rFonts w:ascii="Book Antiqua" w:hAnsi="Book Antiqua" w:cs="Arial"/>
        </w:rPr>
        <w:t xml:space="preserve"> BXSB</w:t>
      </w:r>
      <w:r w:rsidR="004228FF" w:rsidRPr="001467E4">
        <w:rPr>
          <w:rFonts w:ascii="Book Antiqua" w:hAnsi="Book Antiqua" w:cs="Arial"/>
        </w:rPr>
        <w:t xml:space="preserve"> x NZW </w:t>
      </w:r>
      <w:r w:rsidR="009A4137" w:rsidRPr="001467E4">
        <w:rPr>
          <w:rFonts w:ascii="Book Antiqua" w:hAnsi="Book Antiqua" w:cs="Arial"/>
        </w:rPr>
        <w:t>but</w:t>
      </w:r>
      <w:r w:rsidR="00D236B1" w:rsidRPr="001467E4">
        <w:rPr>
          <w:rFonts w:ascii="Book Antiqua" w:hAnsi="Book Antiqua" w:cs="Arial"/>
        </w:rPr>
        <w:t xml:space="preserve"> these features were </w:t>
      </w:r>
      <w:r w:rsidR="00D356E7" w:rsidRPr="001467E4">
        <w:rPr>
          <w:rFonts w:ascii="Book Antiqua" w:hAnsi="Book Antiqua" w:cs="Arial"/>
        </w:rPr>
        <w:t>less frequent and intense in the parental mice</w:t>
      </w:r>
      <w:r w:rsidR="005B4012" w:rsidRPr="001467E4">
        <w:rPr>
          <w:rFonts w:ascii="Book Antiqua" w:hAnsi="Book Antiqua" w:cs="Arial"/>
        </w:rPr>
        <w:t xml:space="preserve">. In stark contrast, the typical clinical features were not expressed </w:t>
      </w:r>
      <w:r w:rsidR="00D236B1" w:rsidRPr="001467E4">
        <w:rPr>
          <w:rFonts w:ascii="Book Antiqua" w:hAnsi="Book Antiqua" w:cs="Arial"/>
        </w:rPr>
        <w:t xml:space="preserve">in NZW </w:t>
      </w:r>
      <w:r w:rsidR="004228FF" w:rsidRPr="001467E4">
        <w:rPr>
          <w:rFonts w:ascii="Book Antiqua" w:hAnsi="Book Antiqua" w:cs="Arial"/>
        </w:rPr>
        <w:t xml:space="preserve">parent female </w:t>
      </w:r>
      <w:r w:rsidR="005B4012" w:rsidRPr="001467E4">
        <w:rPr>
          <w:rFonts w:ascii="Book Antiqua" w:hAnsi="Book Antiqua" w:cs="Arial"/>
        </w:rPr>
        <w:t xml:space="preserve">mice </w:t>
      </w:r>
      <w:r w:rsidR="00D236B1" w:rsidRPr="001467E4">
        <w:rPr>
          <w:rFonts w:ascii="Book Antiqua" w:hAnsi="Book Antiqua" w:cs="Arial"/>
        </w:rPr>
        <w:t xml:space="preserve">or female </w:t>
      </w:r>
      <w:r w:rsidR="00F5213A" w:rsidRPr="001467E4">
        <w:rPr>
          <w:rFonts w:ascii="Book Antiqua" w:hAnsi="Book Antiqua" w:cs="Arial"/>
        </w:rPr>
        <w:t xml:space="preserve">F1 </w:t>
      </w:r>
      <w:r w:rsidR="00D236B1" w:rsidRPr="001467E4">
        <w:rPr>
          <w:rFonts w:ascii="Book Antiqua" w:hAnsi="Book Antiqua" w:cs="Arial"/>
        </w:rPr>
        <w:t xml:space="preserve">BXSB </w:t>
      </w:r>
      <w:r w:rsidR="00F5213A" w:rsidRPr="001467E4">
        <w:rPr>
          <w:rFonts w:ascii="Book Antiqua" w:hAnsi="Book Antiqua" w:cs="Arial"/>
        </w:rPr>
        <w:t>x NZW female</w:t>
      </w:r>
      <w:r w:rsidR="00D236B1" w:rsidRPr="001467E4">
        <w:rPr>
          <w:rFonts w:ascii="Book Antiqua" w:hAnsi="Book Antiqua" w:cs="Arial"/>
        </w:rPr>
        <w:t xml:space="preserve"> progeny</w:t>
      </w:r>
      <w:r w:rsidR="005B4012" w:rsidRPr="001467E4">
        <w:rPr>
          <w:rFonts w:ascii="Book Antiqua" w:hAnsi="Book Antiqua" w:cs="Arial"/>
          <w:vertAlign w:val="superscript"/>
        </w:rPr>
        <w:t>[</w:t>
      </w:r>
      <w:r w:rsidR="002F0A98" w:rsidRPr="001467E4">
        <w:rPr>
          <w:rFonts w:ascii="Book Antiqua" w:hAnsi="Book Antiqua" w:cs="Arial"/>
          <w:vertAlign w:val="superscript"/>
        </w:rPr>
        <w:t>18</w:t>
      </w:r>
      <w:r w:rsidR="005B4012" w:rsidRPr="001467E4">
        <w:rPr>
          <w:rFonts w:ascii="Book Antiqua" w:hAnsi="Book Antiqua" w:cs="Arial"/>
          <w:vertAlign w:val="superscript"/>
        </w:rPr>
        <w:t>]</w:t>
      </w:r>
      <w:r w:rsidR="00D236B1" w:rsidRPr="001467E4">
        <w:rPr>
          <w:rFonts w:ascii="Book Antiqua" w:hAnsi="Book Antiqua" w:cs="Arial"/>
        </w:rPr>
        <w:t xml:space="preserve">. These </w:t>
      </w:r>
      <w:r w:rsidR="00D356E7" w:rsidRPr="001467E4">
        <w:rPr>
          <w:rFonts w:ascii="Book Antiqua" w:hAnsi="Book Antiqua" w:cs="Arial"/>
        </w:rPr>
        <w:t xml:space="preserve">results </w:t>
      </w:r>
      <w:r w:rsidR="005B4012" w:rsidRPr="001467E4">
        <w:rPr>
          <w:rFonts w:ascii="Book Antiqua" w:hAnsi="Book Antiqua" w:cs="Arial"/>
        </w:rPr>
        <w:t xml:space="preserve">possibly indicated that </w:t>
      </w:r>
      <w:r w:rsidR="002B6A96" w:rsidRPr="001467E4">
        <w:rPr>
          <w:rFonts w:ascii="Book Antiqua" w:hAnsi="Book Antiqua" w:cs="Arial"/>
        </w:rPr>
        <w:t xml:space="preserve">BXSB genetic markers </w:t>
      </w:r>
      <w:r w:rsidR="005B4012" w:rsidRPr="001467E4">
        <w:rPr>
          <w:rFonts w:ascii="Book Antiqua" w:hAnsi="Book Antiqua" w:cs="Arial"/>
        </w:rPr>
        <w:t xml:space="preserve">determine the disease expression while genes found in the NZW mice served to upregulate </w:t>
      </w:r>
      <w:r w:rsidR="00D236B1" w:rsidRPr="001467E4">
        <w:rPr>
          <w:rFonts w:ascii="Book Antiqua" w:hAnsi="Book Antiqua" w:cs="Arial"/>
        </w:rPr>
        <w:t>or modify</w:t>
      </w:r>
      <w:r w:rsidR="005B4012" w:rsidRPr="001467E4">
        <w:rPr>
          <w:rFonts w:ascii="Book Antiqua" w:hAnsi="Book Antiqua" w:cs="Arial"/>
        </w:rPr>
        <w:t xml:space="preserve"> the expression </w:t>
      </w:r>
      <w:r w:rsidR="00CC0989" w:rsidRPr="001467E4">
        <w:rPr>
          <w:rFonts w:ascii="Book Antiqua" w:hAnsi="Book Antiqua" w:cs="Arial"/>
        </w:rPr>
        <w:t>of manifestations of APS</w:t>
      </w:r>
      <w:r w:rsidR="00D236B1" w:rsidRPr="001467E4">
        <w:rPr>
          <w:rFonts w:ascii="Book Antiqua" w:hAnsi="Book Antiqua" w:cs="Arial"/>
        </w:rPr>
        <w:t xml:space="preserve"> in their </w:t>
      </w:r>
      <w:r w:rsidR="00CC0989" w:rsidRPr="001467E4">
        <w:rPr>
          <w:rFonts w:ascii="Book Antiqua" w:hAnsi="Book Antiqua" w:cs="Arial"/>
        </w:rPr>
        <w:t>offspring</w:t>
      </w:r>
      <w:r w:rsidR="005B4012" w:rsidRPr="001467E4">
        <w:rPr>
          <w:rFonts w:ascii="Book Antiqua" w:hAnsi="Book Antiqua" w:cs="Arial"/>
        </w:rPr>
        <w:t>. An additional consideration is that</w:t>
      </w:r>
      <w:r w:rsidR="00D236B1" w:rsidRPr="001467E4">
        <w:rPr>
          <w:rFonts w:ascii="Book Antiqua" w:hAnsi="Book Antiqua" w:cs="Arial"/>
        </w:rPr>
        <w:t xml:space="preserve"> modifying alleles such as BXSB Y-linked autoimmune accelerator gene (Yaa) </w:t>
      </w:r>
      <w:r w:rsidR="005B4012" w:rsidRPr="001467E4">
        <w:rPr>
          <w:rFonts w:ascii="Book Antiqua" w:hAnsi="Book Antiqua" w:cs="Arial"/>
        </w:rPr>
        <w:t xml:space="preserve">may </w:t>
      </w:r>
      <w:r w:rsidR="00D356E7" w:rsidRPr="001467E4">
        <w:rPr>
          <w:rFonts w:ascii="Book Antiqua" w:hAnsi="Book Antiqua" w:cs="Arial"/>
        </w:rPr>
        <w:t>be an important factor in</w:t>
      </w:r>
      <w:r w:rsidR="00D236B1" w:rsidRPr="001467E4">
        <w:rPr>
          <w:rFonts w:ascii="Book Antiqua" w:hAnsi="Book Antiqua" w:cs="Arial"/>
        </w:rPr>
        <w:t xml:space="preserve"> disease </w:t>
      </w:r>
      <w:r w:rsidR="001467E4">
        <w:rPr>
          <w:rFonts w:ascii="Book Antiqua" w:hAnsi="Book Antiqua" w:cs="Arial"/>
        </w:rPr>
        <w:t>expression</w:t>
      </w:r>
      <w:r w:rsidR="005B4012" w:rsidRPr="001467E4">
        <w:rPr>
          <w:rFonts w:ascii="Book Antiqua" w:hAnsi="Book Antiqua" w:cs="Arial"/>
          <w:vertAlign w:val="superscript"/>
        </w:rPr>
        <w:t>[</w:t>
      </w:r>
      <w:r w:rsidR="002F0A98" w:rsidRPr="001467E4">
        <w:rPr>
          <w:rFonts w:ascii="Book Antiqua" w:hAnsi="Book Antiqua" w:cs="Arial"/>
          <w:vertAlign w:val="superscript"/>
        </w:rPr>
        <w:t>18-20</w:t>
      </w:r>
      <w:r w:rsidR="005B4012" w:rsidRPr="001467E4">
        <w:rPr>
          <w:rFonts w:ascii="Book Antiqua" w:hAnsi="Book Antiqua" w:cs="Arial"/>
          <w:vertAlign w:val="superscript"/>
        </w:rPr>
        <w:t>]</w:t>
      </w:r>
      <w:r w:rsidR="00D236B1" w:rsidRPr="001467E4">
        <w:rPr>
          <w:rFonts w:ascii="Book Antiqua" w:hAnsi="Book Antiqua" w:cs="Arial"/>
        </w:rPr>
        <w:t xml:space="preserve">. </w:t>
      </w:r>
      <w:r w:rsidR="005B4012" w:rsidRPr="001467E4">
        <w:rPr>
          <w:rFonts w:ascii="Book Antiqua" w:hAnsi="Book Antiqua" w:cs="Arial"/>
        </w:rPr>
        <w:t>A mapping of the BXSB alleles that contributed to the development of aCL, anti-platelet antibodies, thrombocytopenia, and mycocardial infarction was subsequently achieved by</w:t>
      </w:r>
      <w:r w:rsidR="00D236B1" w:rsidRPr="001467E4">
        <w:rPr>
          <w:rFonts w:ascii="Book Antiqua" w:hAnsi="Book Antiqua" w:cs="Arial"/>
        </w:rPr>
        <w:t xml:space="preserve"> </w:t>
      </w:r>
      <w:r w:rsidR="00CC0989" w:rsidRPr="001467E4">
        <w:rPr>
          <w:rFonts w:ascii="Book Antiqua" w:hAnsi="Book Antiqua" w:cs="Arial"/>
        </w:rPr>
        <w:t>analysis of the genome, focusing on</w:t>
      </w:r>
      <w:r w:rsidR="00D236B1" w:rsidRPr="001467E4">
        <w:rPr>
          <w:rFonts w:ascii="Book Antiqua" w:hAnsi="Book Antiqua" w:cs="Arial"/>
        </w:rPr>
        <w:t xml:space="preserve"> microsatellite markers in NZW x (NZWxBXSB) </w:t>
      </w:r>
      <w:r w:rsidR="00CC0989" w:rsidRPr="001467E4">
        <w:rPr>
          <w:rFonts w:ascii="Book Antiqua" w:hAnsi="Book Antiqua" w:cs="Arial"/>
        </w:rPr>
        <w:t xml:space="preserve">male </w:t>
      </w:r>
      <w:r w:rsidR="00D236B1" w:rsidRPr="001467E4">
        <w:rPr>
          <w:rFonts w:ascii="Book Antiqua" w:hAnsi="Book Antiqua" w:cs="Arial"/>
        </w:rPr>
        <w:t xml:space="preserve">F1 backcross </w:t>
      </w:r>
      <w:r w:rsidR="00CC0989" w:rsidRPr="001467E4">
        <w:rPr>
          <w:rFonts w:ascii="Book Antiqua" w:hAnsi="Book Antiqua" w:cs="Arial"/>
        </w:rPr>
        <w:t>offspring</w:t>
      </w:r>
      <w:r w:rsidR="00D236B1" w:rsidRPr="001467E4">
        <w:rPr>
          <w:rFonts w:ascii="Book Antiqua" w:hAnsi="Book Antiqua" w:cs="Arial"/>
          <w:vertAlign w:val="superscript"/>
        </w:rPr>
        <w:t>[</w:t>
      </w:r>
      <w:r w:rsidR="003B6C34" w:rsidRPr="001467E4">
        <w:rPr>
          <w:rFonts w:ascii="Book Antiqua" w:hAnsi="Book Antiqua" w:cs="Arial"/>
          <w:vertAlign w:val="superscript"/>
        </w:rPr>
        <w:t>18</w:t>
      </w:r>
      <w:r w:rsidR="00D236B1" w:rsidRPr="001467E4">
        <w:rPr>
          <w:rFonts w:ascii="Book Antiqua" w:hAnsi="Book Antiqua" w:cs="Arial"/>
          <w:vertAlign w:val="superscript"/>
        </w:rPr>
        <w:t>]</w:t>
      </w:r>
      <w:r w:rsidR="00D236B1" w:rsidRPr="001467E4">
        <w:rPr>
          <w:rFonts w:ascii="Book Antiqua" w:hAnsi="Book Antiqua" w:cs="Arial"/>
        </w:rPr>
        <w:t xml:space="preserve">. </w:t>
      </w:r>
      <w:r w:rsidR="00CC0989" w:rsidRPr="001467E4">
        <w:rPr>
          <w:rFonts w:ascii="Book Antiqua" w:hAnsi="Book Antiqua" w:cs="Arial"/>
        </w:rPr>
        <w:t>This genetic evaluation</w:t>
      </w:r>
      <w:r w:rsidR="00D236B1" w:rsidRPr="001467E4">
        <w:rPr>
          <w:rFonts w:ascii="Book Antiqua" w:hAnsi="Book Antiqua" w:cs="Arial"/>
        </w:rPr>
        <w:t xml:space="preserve"> </w:t>
      </w:r>
      <w:r w:rsidR="00CC0989" w:rsidRPr="001467E4">
        <w:rPr>
          <w:rFonts w:ascii="Book Antiqua" w:hAnsi="Book Antiqua" w:cs="Arial"/>
        </w:rPr>
        <w:t xml:space="preserve">demonstrated </w:t>
      </w:r>
      <w:r w:rsidR="00D236B1" w:rsidRPr="001467E4">
        <w:rPr>
          <w:rFonts w:ascii="Book Antiqua" w:hAnsi="Book Antiqua" w:cs="Arial"/>
        </w:rPr>
        <w:t xml:space="preserve">that </w:t>
      </w:r>
      <w:r w:rsidR="00D356E7" w:rsidRPr="001467E4">
        <w:rPr>
          <w:rFonts w:ascii="Book Antiqua" w:hAnsi="Book Antiqua" w:cs="Arial"/>
        </w:rPr>
        <w:t xml:space="preserve">the complete expression of each feature was </w:t>
      </w:r>
      <w:r w:rsidR="00CC0989" w:rsidRPr="001467E4">
        <w:rPr>
          <w:rFonts w:ascii="Book Antiqua" w:hAnsi="Book Antiqua" w:cs="Arial"/>
        </w:rPr>
        <w:t xml:space="preserve">determined </w:t>
      </w:r>
      <w:r w:rsidR="00D356E7" w:rsidRPr="001467E4">
        <w:rPr>
          <w:rFonts w:ascii="Book Antiqua" w:hAnsi="Book Antiqua" w:cs="Arial"/>
        </w:rPr>
        <w:t xml:space="preserve">by the complementary activity of </w:t>
      </w:r>
      <w:r w:rsidR="00D236B1" w:rsidRPr="001467E4">
        <w:rPr>
          <w:rFonts w:ascii="Book Antiqua" w:hAnsi="Book Antiqua" w:cs="Arial"/>
        </w:rPr>
        <w:t xml:space="preserve">two independently segregating major dominant alleles. </w:t>
      </w:r>
      <w:r w:rsidR="00D356E7" w:rsidRPr="001467E4">
        <w:rPr>
          <w:rFonts w:ascii="Book Antiqua" w:hAnsi="Book Antiqua" w:cs="Arial"/>
        </w:rPr>
        <w:t xml:space="preserve">Full </w:t>
      </w:r>
      <w:r w:rsidR="00D236B1" w:rsidRPr="001467E4">
        <w:rPr>
          <w:rFonts w:ascii="Book Antiqua" w:hAnsi="Book Antiqua" w:cs="Arial"/>
        </w:rPr>
        <w:t xml:space="preserve">genetic concordance </w:t>
      </w:r>
      <w:r w:rsidR="00D356E7" w:rsidRPr="001467E4">
        <w:rPr>
          <w:rFonts w:ascii="Book Antiqua" w:hAnsi="Book Antiqua" w:cs="Arial"/>
        </w:rPr>
        <w:t xml:space="preserve">existed for </w:t>
      </w:r>
      <w:r w:rsidR="00D236B1" w:rsidRPr="001467E4">
        <w:rPr>
          <w:rFonts w:ascii="Book Antiqua" w:hAnsi="Book Antiqua" w:cs="Arial"/>
        </w:rPr>
        <w:t>antiplatelet antibodies and thrombocytopenia</w:t>
      </w:r>
      <w:r w:rsidR="00D356E7" w:rsidRPr="001467E4">
        <w:rPr>
          <w:rFonts w:ascii="Book Antiqua" w:hAnsi="Book Antiqua" w:cs="Arial"/>
        </w:rPr>
        <w:t xml:space="preserve"> but</w:t>
      </w:r>
      <w:r w:rsidR="00D236B1" w:rsidRPr="001467E4">
        <w:rPr>
          <w:rFonts w:ascii="Book Antiqua" w:hAnsi="Book Antiqua" w:cs="Arial"/>
        </w:rPr>
        <w:t xml:space="preserve"> different combinations</w:t>
      </w:r>
      <w:r w:rsidR="00D356E7" w:rsidRPr="001467E4">
        <w:rPr>
          <w:rFonts w:ascii="Book Antiqua" w:hAnsi="Book Antiqua" w:cs="Arial"/>
        </w:rPr>
        <w:t xml:space="preserve"> </w:t>
      </w:r>
      <w:r w:rsidR="00D236B1" w:rsidRPr="001467E4">
        <w:rPr>
          <w:rFonts w:ascii="Book Antiqua" w:hAnsi="Book Antiqua" w:cs="Arial"/>
        </w:rPr>
        <w:t xml:space="preserve">of two dominant alleles </w:t>
      </w:r>
      <w:r w:rsidR="00581476" w:rsidRPr="001467E4">
        <w:rPr>
          <w:rFonts w:ascii="Book Antiqua" w:hAnsi="Book Antiqua" w:cs="Arial"/>
        </w:rPr>
        <w:t xml:space="preserve">acting independently were responsible for other features, </w:t>
      </w:r>
      <w:r w:rsidR="00D236B1" w:rsidRPr="001467E4">
        <w:rPr>
          <w:rFonts w:ascii="Book Antiqua" w:hAnsi="Book Antiqua" w:cs="Arial"/>
        </w:rPr>
        <w:t xml:space="preserve">suggesting that no single genetic factor can </w:t>
      </w:r>
      <w:r w:rsidR="001467E4">
        <w:rPr>
          <w:rFonts w:ascii="Book Antiqua" w:hAnsi="Book Antiqua" w:cs="Arial"/>
        </w:rPr>
        <w:t>explain the pathogenesis of APS</w:t>
      </w:r>
      <w:r w:rsidR="00D236B1" w:rsidRPr="001467E4">
        <w:rPr>
          <w:rFonts w:ascii="Book Antiqua" w:hAnsi="Book Antiqua" w:cs="Arial"/>
          <w:vertAlign w:val="superscript"/>
        </w:rPr>
        <w:t>[</w:t>
      </w:r>
      <w:r w:rsidR="003B6C34" w:rsidRPr="001467E4">
        <w:rPr>
          <w:rFonts w:ascii="Book Antiqua" w:hAnsi="Book Antiqua" w:cs="Arial"/>
          <w:vertAlign w:val="superscript"/>
        </w:rPr>
        <w:t>18</w:t>
      </w:r>
      <w:r w:rsidR="00D236B1" w:rsidRPr="001467E4">
        <w:rPr>
          <w:rFonts w:ascii="Book Antiqua" w:hAnsi="Book Antiqua" w:cs="Arial"/>
          <w:vertAlign w:val="superscript"/>
        </w:rPr>
        <w:t>]</w:t>
      </w:r>
      <w:r w:rsidR="00D236B1" w:rsidRPr="001467E4">
        <w:rPr>
          <w:rFonts w:ascii="Book Antiqua" w:hAnsi="Book Antiqua" w:cs="Arial"/>
        </w:rPr>
        <w:t xml:space="preserve">. </w:t>
      </w:r>
    </w:p>
    <w:p w14:paraId="507532FC" w14:textId="5A00E8E7" w:rsidR="00D236B1" w:rsidRPr="001467E4" w:rsidRDefault="00D236B1" w:rsidP="001467E4">
      <w:pPr>
        <w:spacing w:after="0" w:line="360" w:lineRule="auto"/>
        <w:ind w:firstLineChars="100" w:firstLine="240"/>
        <w:jc w:val="both"/>
        <w:rPr>
          <w:rFonts w:ascii="Book Antiqua" w:hAnsi="Book Antiqua" w:cs="Arial"/>
        </w:rPr>
      </w:pPr>
      <w:r w:rsidRPr="001467E4">
        <w:rPr>
          <w:rFonts w:ascii="Book Antiqua" w:hAnsi="Book Antiqua" w:cs="Arial"/>
        </w:rPr>
        <w:t xml:space="preserve">The first </w:t>
      </w:r>
      <w:r w:rsidR="00395A1A" w:rsidRPr="001467E4">
        <w:rPr>
          <w:rFonts w:ascii="Book Antiqua" w:hAnsi="Book Antiqua" w:cs="Arial"/>
        </w:rPr>
        <w:t xml:space="preserve">direct </w:t>
      </w:r>
      <w:r w:rsidRPr="001467E4">
        <w:rPr>
          <w:rFonts w:ascii="Book Antiqua" w:hAnsi="Book Antiqua" w:cs="Arial"/>
        </w:rPr>
        <w:t xml:space="preserve">evidence of </w:t>
      </w:r>
      <w:r w:rsidR="00395A1A" w:rsidRPr="001467E4">
        <w:rPr>
          <w:rFonts w:ascii="Book Antiqua" w:hAnsi="Book Antiqua" w:cs="Arial"/>
        </w:rPr>
        <w:t xml:space="preserve">certain </w:t>
      </w:r>
      <w:r w:rsidRPr="001467E4">
        <w:rPr>
          <w:rFonts w:ascii="Book Antiqua" w:hAnsi="Book Antiqua" w:cs="Arial"/>
        </w:rPr>
        <w:t xml:space="preserve">MHC II </w:t>
      </w:r>
      <w:r w:rsidR="00CC0989" w:rsidRPr="001467E4">
        <w:rPr>
          <w:rFonts w:ascii="Book Antiqua" w:hAnsi="Book Antiqua" w:cs="Arial"/>
        </w:rPr>
        <w:t xml:space="preserve">alleles </w:t>
      </w:r>
      <w:r w:rsidR="00395A1A" w:rsidRPr="001467E4">
        <w:rPr>
          <w:rFonts w:ascii="Book Antiqua" w:hAnsi="Book Antiqua" w:cs="Arial"/>
        </w:rPr>
        <w:t>being involved in</w:t>
      </w:r>
      <w:r w:rsidRPr="001467E4">
        <w:rPr>
          <w:rFonts w:ascii="Book Antiqua" w:hAnsi="Book Antiqua" w:cs="Arial"/>
        </w:rPr>
        <w:t xml:space="preserve"> the </w:t>
      </w:r>
      <w:r w:rsidR="00CC0989" w:rsidRPr="001467E4">
        <w:rPr>
          <w:rFonts w:ascii="Book Antiqua" w:hAnsi="Book Antiqua" w:cs="Arial"/>
        </w:rPr>
        <w:t xml:space="preserve">induction </w:t>
      </w:r>
      <w:r w:rsidRPr="001467E4">
        <w:rPr>
          <w:rFonts w:ascii="Book Antiqua" w:hAnsi="Book Antiqua" w:cs="Arial"/>
        </w:rPr>
        <w:t xml:space="preserve">of pathogenic </w:t>
      </w:r>
      <w:r w:rsidR="00395A1A" w:rsidRPr="001467E4">
        <w:rPr>
          <w:rFonts w:ascii="Book Antiqua" w:hAnsi="Book Antiqua" w:cs="Arial"/>
        </w:rPr>
        <w:t xml:space="preserve">aPL and development of APS clinical manifestations </w:t>
      </w:r>
      <w:r w:rsidRPr="001467E4">
        <w:rPr>
          <w:rFonts w:ascii="Book Antiqua" w:hAnsi="Book Antiqua" w:cs="Arial"/>
        </w:rPr>
        <w:t xml:space="preserve">came from Papalardo </w:t>
      </w:r>
      <w:r w:rsidRPr="001467E4">
        <w:rPr>
          <w:rFonts w:ascii="Book Antiqua" w:hAnsi="Book Antiqua" w:cs="Arial"/>
          <w:i/>
        </w:rPr>
        <w:t>et al</w:t>
      </w:r>
      <w:r w:rsidR="00A117B3" w:rsidRPr="001467E4">
        <w:rPr>
          <w:rFonts w:ascii="Book Antiqua" w:hAnsi="Book Antiqua" w:cs="Arial"/>
          <w:vertAlign w:val="superscript"/>
        </w:rPr>
        <w:t>[21]</w:t>
      </w:r>
      <w:r w:rsidR="00676ACB" w:rsidRPr="001467E4">
        <w:rPr>
          <w:rFonts w:ascii="Book Antiqua" w:hAnsi="Book Antiqua" w:cs="Arial"/>
        </w:rPr>
        <w:t xml:space="preserve"> </w:t>
      </w:r>
      <w:r w:rsidR="00581476" w:rsidRPr="001467E4">
        <w:rPr>
          <w:rFonts w:ascii="Book Antiqua" w:hAnsi="Book Antiqua" w:cs="Arial"/>
        </w:rPr>
        <w:t xml:space="preserve">Utilizing a </w:t>
      </w:r>
      <w:r w:rsidR="00581476" w:rsidRPr="001467E4">
        <w:rPr>
          <w:rFonts w:ascii="Book Antiqua" w:hAnsi="Book Antiqua" w:cs="Arial"/>
        </w:rPr>
        <w:sym w:font="Symbol" w:char="F062"/>
      </w:r>
      <w:r w:rsidR="00581476" w:rsidRPr="001467E4">
        <w:rPr>
          <w:rFonts w:ascii="Book Antiqua" w:hAnsi="Book Antiqua" w:cs="Arial"/>
          <w:vertAlign w:val="subscript"/>
        </w:rPr>
        <w:t>2</w:t>
      </w:r>
      <w:r w:rsidR="00581476" w:rsidRPr="001467E4">
        <w:rPr>
          <w:rFonts w:ascii="Book Antiqua" w:hAnsi="Book Antiqua" w:cs="Arial"/>
        </w:rPr>
        <w:t>GPI–induced aPL production in mice</w:t>
      </w:r>
      <w:r w:rsidRPr="001467E4">
        <w:rPr>
          <w:rFonts w:ascii="Book Antiqua" w:hAnsi="Book Antiqua" w:cs="Arial"/>
        </w:rPr>
        <w:t xml:space="preserve">, </w:t>
      </w:r>
      <w:r w:rsidR="00581476" w:rsidRPr="001467E4">
        <w:rPr>
          <w:rFonts w:ascii="Book Antiqua" w:hAnsi="Book Antiqua" w:cs="Arial"/>
        </w:rPr>
        <w:t xml:space="preserve">this group showed </w:t>
      </w:r>
      <w:r w:rsidRPr="001467E4">
        <w:rPr>
          <w:rFonts w:ascii="Book Antiqua" w:hAnsi="Book Antiqua" w:cs="Arial"/>
        </w:rPr>
        <w:t xml:space="preserve">that thrombogenic aPL </w:t>
      </w:r>
      <w:r w:rsidR="00676ACB" w:rsidRPr="001467E4">
        <w:rPr>
          <w:rFonts w:ascii="Book Antiqua" w:hAnsi="Book Antiqua" w:cs="Arial"/>
        </w:rPr>
        <w:t>production and tissue factor upregulation occur</w:t>
      </w:r>
      <w:r w:rsidRPr="001467E4">
        <w:rPr>
          <w:rFonts w:ascii="Book Antiqua" w:hAnsi="Book Antiqua" w:cs="Arial"/>
        </w:rPr>
        <w:t xml:space="preserve"> </w:t>
      </w:r>
      <w:r w:rsidR="00676ACB" w:rsidRPr="001467E4">
        <w:rPr>
          <w:rFonts w:ascii="Book Antiqua" w:hAnsi="Book Antiqua" w:cs="Arial"/>
        </w:rPr>
        <w:t xml:space="preserve">in wild type mice </w:t>
      </w:r>
      <w:r w:rsidRPr="001467E4">
        <w:rPr>
          <w:rFonts w:ascii="Book Antiqua" w:hAnsi="Book Antiqua" w:cs="Arial"/>
        </w:rPr>
        <w:t xml:space="preserve">after immunization with human </w:t>
      </w:r>
      <w:r w:rsidRPr="001467E4">
        <w:rPr>
          <w:rFonts w:ascii="Book Antiqua" w:hAnsi="Book Antiqua" w:cs="Arial"/>
        </w:rPr>
        <w:sym w:font="Symbol" w:char="F062"/>
      </w:r>
      <w:r w:rsidRPr="001467E4">
        <w:rPr>
          <w:rFonts w:ascii="Book Antiqua" w:hAnsi="Book Antiqua" w:cs="Arial"/>
          <w:vertAlign w:val="subscript"/>
        </w:rPr>
        <w:t>2</w:t>
      </w:r>
      <w:r w:rsidR="0001409D" w:rsidRPr="001467E4">
        <w:rPr>
          <w:rFonts w:ascii="Book Antiqua" w:hAnsi="Book Antiqua" w:cs="Arial"/>
        </w:rPr>
        <w:t>GPI</w:t>
      </w:r>
      <w:r w:rsidR="00676ACB" w:rsidRPr="001467E4">
        <w:rPr>
          <w:rFonts w:ascii="Book Antiqua" w:hAnsi="Book Antiqua" w:cs="Arial"/>
        </w:rPr>
        <w:t xml:space="preserve"> but do not occur </w:t>
      </w:r>
      <w:r w:rsidRPr="001467E4">
        <w:rPr>
          <w:rFonts w:ascii="Book Antiqua" w:hAnsi="Book Antiqua" w:cs="Arial"/>
        </w:rPr>
        <w:t>in MHC</w:t>
      </w:r>
      <w:r w:rsidR="00676ACB" w:rsidRPr="001467E4">
        <w:rPr>
          <w:rFonts w:ascii="Book Antiqua" w:hAnsi="Book Antiqua" w:cs="Arial"/>
        </w:rPr>
        <w:t>-</w:t>
      </w:r>
      <w:r w:rsidRPr="001467E4">
        <w:rPr>
          <w:rFonts w:ascii="Book Antiqua" w:hAnsi="Book Antiqua" w:cs="Arial"/>
        </w:rPr>
        <w:t xml:space="preserve">II </w:t>
      </w:r>
      <w:r w:rsidR="00CC0989" w:rsidRPr="001467E4">
        <w:rPr>
          <w:rFonts w:ascii="Book Antiqua" w:hAnsi="Book Antiqua" w:cs="Arial"/>
        </w:rPr>
        <w:t xml:space="preserve">knockout </w:t>
      </w:r>
      <w:r w:rsidR="00663C1E" w:rsidRPr="001467E4">
        <w:rPr>
          <w:rFonts w:ascii="Book Antiqua" w:hAnsi="Book Antiqua" w:cs="Arial"/>
        </w:rPr>
        <w:t>[MHC(-/-</w:t>
      </w:r>
      <w:r w:rsidR="00854FEB">
        <w:rPr>
          <w:rFonts w:ascii="Book Antiqua" w:hAnsi="Book Antiqua" w:cs="Arial" w:hint="eastAsia"/>
          <w:lang w:eastAsia="zh-CN"/>
        </w:rPr>
        <w:t>)</w:t>
      </w:r>
      <w:r w:rsidR="00854FEB">
        <w:rPr>
          <w:rFonts w:ascii="Book Antiqua" w:hAnsi="Book Antiqua" w:cs="Arial"/>
        </w:rPr>
        <w:t>]</w:t>
      </w:r>
      <w:r w:rsidR="00854FEB">
        <w:rPr>
          <w:rFonts w:ascii="Book Antiqua" w:hAnsi="Book Antiqua" w:cs="Arial" w:hint="eastAsia"/>
          <w:lang w:eastAsia="zh-CN"/>
        </w:rPr>
        <w:t xml:space="preserve"> </w:t>
      </w:r>
      <w:r w:rsidRPr="001467E4">
        <w:rPr>
          <w:rFonts w:ascii="Book Antiqua" w:hAnsi="Book Antiqua" w:cs="Arial"/>
        </w:rPr>
        <w:t xml:space="preserve">mice. </w:t>
      </w:r>
      <w:r w:rsidR="00CC0989" w:rsidRPr="001467E4">
        <w:rPr>
          <w:rFonts w:ascii="Book Antiqua" w:hAnsi="Book Antiqua" w:cs="Arial"/>
        </w:rPr>
        <w:t>Furthermore</w:t>
      </w:r>
      <w:r w:rsidRPr="001467E4">
        <w:rPr>
          <w:rFonts w:ascii="Book Antiqua" w:hAnsi="Book Antiqua" w:cs="Arial"/>
        </w:rPr>
        <w:t xml:space="preserve">, </w:t>
      </w:r>
      <w:r w:rsidR="00581476" w:rsidRPr="001467E4">
        <w:rPr>
          <w:rFonts w:ascii="Book Antiqua" w:hAnsi="Book Antiqua" w:cs="Arial"/>
        </w:rPr>
        <w:t>the production</w:t>
      </w:r>
      <w:r w:rsidRPr="001467E4">
        <w:rPr>
          <w:rFonts w:ascii="Book Antiqua" w:hAnsi="Book Antiqua" w:cs="Arial"/>
        </w:rPr>
        <w:t xml:space="preserve"> of pathogenic aPL</w:t>
      </w:r>
      <w:r w:rsidR="00581476" w:rsidRPr="001467E4">
        <w:rPr>
          <w:rFonts w:ascii="Book Antiqua" w:hAnsi="Book Antiqua" w:cs="Arial"/>
        </w:rPr>
        <w:t xml:space="preserve"> after </w:t>
      </w:r>
      <w:r w:rsidR="00CC0989" w:rsidRPr="001467E4">
        <w:rPr>
          <w:rFonts w:ascii="Book Antiqua" w:hAnsi="Book Antiqua" w:cs="Arial"/>
        </w:rPr>
        <w:t xml:space="preserve">inoculation </w:t>
      </w:r>
      <w:r w:rsidR="00581476" w:rsidRPr="001467E4">
        <w:rPr>
          <w:rFonts w:ascii="Book Antiqua" w:hAnsi="Book Antiqua" w:cs="Arial"/>
        </w:rPr>
        <w:t xml:space="preserve">with </w:t>
      </w:r>
      <w:r w:rsidR="00581476" w:rsidRPr="001467E4">
        <w:rPr>
          <w:rFonts w:ascii="Book Antiqua" w:hAnsi="Book Antiqua" w:cs="Arial"/>
        </w:rPr>
        <w:sym w:font="Symbol" w:char="F062"/>
      </w:r>
      <w:r w:rsidR="00581476" w:rsidRPr="001467E4">
        <w:rPr>
          <w:rFonts w:ascii="Book Antiqua" w:hAnsi="Book Antiqua" w:cs="Arial"/>
          <w:vertAlign w:val="subscript"/>
        </w:rPr>
        <w:t>2</w:t>
      </w:r>
      <w:r w:rsidR="00581476" w:rsidRPr="001467E4">
        <w:rPr>
          <w:rFonts w:ascii="Book Antiqua" w:hAnsi="Book Antiqua" w:cs="Arial"/>
        </w:rPr>
        <w:t>GPI</w:t>
      </w:r>
      <w:r w:rsidRPr="001467E4">
        <w:rPr>
          <w:rFonts w:ascii="Book Antiqua" w:hAnsi="Book Antiqua" w:cs="Arial"/>
        </w:rPr>
        <w:t xml:space="preserve"> </w:t>
      </w:r>
      <w:r w:rsidR="00581476" w:rsidRPr="001467E4">
        <w:rPr>
          <w:rFonts w:ascii="Book Antiqua" w:hAnsi="Book Antiqua" w:cs="Arial"/>
        </w:rPr>
        <w:t>was restored</w:t>
      </w:r>
      <w:r w:rsidR="00676ACB" w:rsidRPr="001467E4">
        <w:rPr>
          <w:rFonts w:ascii="Book Antiqua" w:hAnsi="Book Antiqua" w:cs="Arial"/>
        </w:rPr>
        <w:t xml:space="preserve"> </w:t>
      </w:r>
      <w:r w:rsidRPr="001467E4">
        <w:rPr>
          <w:rFonts w:ascii="Book Antiqua" w:hAnsi="Book Antiqua" w:cs="Arial"/>
        </w:rPr>
        <w:t>in MHC</w:t>
      </w:r>
      <w:r w:rsidR="00663C1E" w:rsidRPr="001467E4">
        <w:rPr>
          <w:rFonts w:ascii="Book Antiqua" w:hAnsi="Book Antiqua" w:cs="Arial"/>
        </w:rPr>
        <w:t>(-/-)</w:t>
      </w:r>
      <w:r w:rsidRPr="001467E4">
        <w:rPr>
          <w:rFonts w:ascii="Book Antiqua" w:hAnsi="Book Antiqua" w:cs="Arial"/>
        </w:rPr>
        <w:t xml:space="preserve"> </w:t>
      </w:r>
      <w:r w:rsidR="00CC0989" w:rsidRPr="001467E4">
        <w:rPr>
          <w:rFonts w:ascii="Book Antiqua" w:hAnsi="Book Antiqua" w:cs="Arial"/>
        </w:rPr>
        <w:t>that were modified to express</w:t>
      </w:r>
      <w:r w:rsidRPr="001467E4">
        <w:rPr>
          <w:rFonts w:ascii="Book Antiqua" w:hAnsi="Book Antiqua" w:cs="Arial"/>
        </w:rPr>
        <w:t xml:space="preserve"> human DQ6</w:t>
      </w:r>
      <w:r w:rsidR="00CC0989" w:rsidRPr="001467E4">
        <w:rPr>
          <w:rFonts w:ascii="Book Antiqua" w:hAnsi="Book Antiqua" w:cs="Arial"/>
        </w:rPr>
        <w:t>, DR4</w:t>
      </w:r>
      <w:r w:rsidRPr="001467E4">
        <w:rPr>
          <w:rFonts w:ascii="Book Antiqua" w:hAnsi="Book Antiqua" w:cs="Arial"/>
        </w:rPr>
        <w:t xml:space="preserve"> </w:t>
      </w:r>
      <w:r w:rsidR="00CC0989" w:rsidRPr="001467E4">
        <w:rPr>
          <w:rFonts w:ascii="Book Antiqua" w:hAnsi="Book Antiqua" w:cs="Arial"/>
        </w:rPr>
        <w:t xml:space="preserve">or </w:t>
      </w:r>
      <w:r w:rsidRPr="001467E4">
        <w:rPr>
          <w:rFonts w:ascii="Book Antiqua" w:hAnsi="Book Antiqua" w:cs="Arial"/>
        </w:rPr>
        <w:t>DQ8 genes</w:t>
      </w:r>
      <w:r w:rsidR="00676ACB" w:rsidRPr="001467E4">
        <w:rPr>
          <w:rFonts w:ascii="Book Antiqua" w:hAnsi="Book Antiqua" w:cs="Arial"/>
        </w:rPr>
        <w:t xml:space="preserve">. </w:t>
      </w:r>
      <w:r w:rsidR="00581476" w:rsidRPr="001467E4">
        <w:rPr>
          <w:rFonts w:ascii="Book Antiqua" w:hAnsi="Book Antiqua" w:cs="Arial"/>
        </w:rPr>
        <w:t xml:space="preserve">Interestingly, the quantity of </w:t>
      </w:r>
      <w:r w:rsidR="00676ACB" w:rsidRPr="001467E4">
        <w:rPr>
          <w:rFonts w:ascii="Book Antiqua" w:hAnsi="Book Antiqua" w:cs="Arial"/>
        </w:rPr>
        <w:t xml:space="preserve">pathogenic aPL </w:t>
      </w:r>
      <w:r w:rsidR="00581476" w:rsidRPr="001467E4">
        <w:rPr>
          <w:rFonts w:ascii="Book Antiqua" w:hAnsi="Book Antiqua" w:cs="Arial"/>
        </w:rPr>
        <w:t>that was produced varied among these 3 transgenic mouse groups</w:t>
      </w:r>
      <w:r w:rsidR="00676ACB" w:rsidRPr="001467E4">
        <w:rPr>
          <w:rFonts w:ascii="Book Antiqua" w:hAnsi="Book Antiqua" w:cs="Arial"/>
        </w:rPr>
        <w:t>.</w:t>
      </w:r>
      <w:r w:rsidR="00663C1E" w:rsidRPr="001467E4">
        <w:rPr>
          <w:rFonts w:ascii="Book Antiqua" w:hAnsi="Book Antiqua" w:cs="Arial"/>
        </w:rPr>
        <w:t xml:space="preserve"> These studies confirm</w:t>
      </w:r>
      <w:r w:rsidR="00676ACB" w:rsidRPr="001467E4">
        <w:rPr>
          <w:rFonts w:ascii="Book Antiqua" w:hAnsi="Book Antiqua" w:cs="Arial"/>
        </w:rPr>
        <w:t xml:space="preserve"> the involvement of </w:t>
      </w:r>
      <w:r w:rsidRPr="001467E4">
        <w:rPr>
          <w:rFonts w:ascii="Book Antiqua" w:hAnsi="Book Antiqua" w:cs="Arial"/>
        </w:rPr>
        <w:t xml:space="preserve">certain haplotypes in the </w:t>
      </w:r>
      <w:r w:rsidR="00CC0989" w:rsidRPr="001467E4">
        <w:rPr>
          <w:rFonts w:ascii="Book Antiqua" w:hAnsi="Book Antiqua" w:cs="Arial"/>
        </w:rPr>
        <w:t xml:space="preserve">induction </w:t>
      </w:r>
      <w:r w:rsidRPr="001467E4">
        <w:rPr>
          <w:rFonts w:ascii="Book Antiqua" w:hAnsi="Book Antiqua" w:cs="Arial"/>
        </w:rPr>
        <w:t>of aPL</w:t>
      </w:r>
      <w:r w:rsidR="00581476" w:rsidRPr="001467E4">
        <w:rPr>
          <w:rFonts w:ascii="Book Antiqua" w:hAnsi="Book Antiqua" w:cs="Arial"/>
        </w:rPr>
        <w:t xml:space="preserve"> as well as their varied importance</w:t>
      </w:r>
      <w:r w:rsidR="003B6C34" w:rsidRPr="001467E4">
        <w:rPr>
          <w:rFonts w:ascii="Book Antiqua" w:hAnsi="Book Antiqua" w:cs="Arial"/>
          <w:vertAlign w:val="superscript"/>
        </w:rPr>
        <w:t>[21]</w:t>
      </w:r>
      <w:r w:rsidRPr="001467E4">
        <w:rPr>
          <w:rFonts w:ascii="Book Antiqua" w:hAnsi="Book Antiqua" w:cs="Arial"/>
        </w:rPr>
        <w:t xml:space="preserve">. </w:t>
      </w:r>
    </w:p>
    <w:p w14:paraId="3B31BCE6" w14:textId="77777777" w:rsidR="00D236B1" w:rsidRPr="001467E4" w:rsidRDefault="00D236B1" w:rsidP="001467E4">
      <w:pPr>
        <w:spacing w:after="0" w:line="360" w:lineRule="auto"/>
        <w:jc w:val="both"/>
        <w:rPr>
          <w:rFonts w:ascii="Book Antiqua" w:hAnsi="Book Antiqua" w:cs="Arial"/>
          <w:u w:val="single"/>
        </w:rPr>
      </w:pPr>
    </w:p>
    <w:p w14:paraId="7E2884BD" w14:textId="5FB84948" w:rsidR="00D236B1" w:rsidRPr="00A117B3" w:rsidRDefault="00A117B3" w:rsidP="001467E4">
      <w:pPr>
        <w:spacing w:after="0" w:line="360" w:lineRule="auto"/>
        <w:jc w:val="both"/>
        <w:rPr>
          <w:rFonts w:ascii="Book Antiqua" w:hAnsi="Book Antiqua" w:cs="Arial"/>
          <w:b/>
        </w:rPr>
      </w:pPr>
      <w:r w:rsidRPr="00A117B3">
        <w:rPr>
          <w:rFonts w:ascii="Book Antiqua" w:hAnsi="Book Antiqua" w:cs="Arial"/>
          <w:b/>
        </w:rPr>
        <w:t>HUMAN GENETIC ASSOCIATIONS IN ANTIPHOSPHOLIPID SYNDROME</w:t>
      </w:r>
    </w:p>
    <w:p w14:paraId="737947E9" w14:textId="25CA5FAF" w:rsidR="009F01CE" w:rsidRPr="00A117B3" w:rsidRDefault="009F01CE" w:rsidP="001467E4">
      <w:pPr>
        <w:spacing w:after="0" w:line="360" w:lineRule="auto"/>
        <w:jc w:val="both"/>
        <w:rPr>
          <w:rFonts w:ascii="Book Antiqua" w:hAnsi="Book Antiqua" w:cs="Arial"/>
          <w:b/>
          <w:i/>
        </w:rPr>
      </w:pPr>
      <w:r w:rsidRPr="00A117B3">
        <w:rPr>
          <w:rFonts w:ascii="Book Antiqua" w:hAnsi="Book Antiqua" w:cs="Arial"/>
          <w:b/>
          <w:i/>
        </w:rPr>
        <w:t xml:space="preserve">HLA </w:t>
      </w:r>
      <w:r w:rsidR="00A117B3" w:rsidRPr="00A117B3">
        <w:rPr>
          <w:rFonts w:ascii="Book Antiqua" w:hAnsi="Book Antiqua" w:cs="Arial"/>
          <w:b/>
          <w:i/>
        </w:rPr>
        <w:t>a</w:t>
      </w:r>
      <w:r w:rsidRPr="00A117B3">
        <w:rPr>
          <w:rFonts w:ascii="Book Antiqua" w:hAnsi="Book Antiqua" w:cs="Arial"/>
          <w:b/>
          <w:i/>
        </w:rPr>
        <w:t>ssociations</w:t>
      </w:r>
    </w:p>
    <w:p w14:paraId="488ABCD0" w14:textId="7670B29F" w:rsidR="000009D4" w:rsidRPr="001467E4" w:rsidRDefault="0049772C" w:rsidP="001467E4">
      <w:pPr>
        <w:spacing w:after="0" w:line="360" w:lineRule="auto"/>
        <w:jc w:val="both"/>
        <w:rPr>
          <w:rFonts w:ascii="Book Antiqua" w:hAnsi="Book Antiqua" w:cs="Arial"/>
        </w:rPr>
      </w:pPr>
      <w:r w:rsidRPr="001467E4">
        <w:rPr>
          <w:rFonts w:ascii="Book Antiqua" w:hAnsi="Book Antiqua" w:cs="Arial"/>
        </w:rPr>
        <w:t xml:space="preserve">Associations between several </w:t>
      </w:r>
      <w:r w:rsidR="00D236B1" w:rsidRPr="001467E4">
        <w:rPr>
          <w:rFonts w:ascii="Book Antiqua" w:hAnsi="Book Antiqua" w:cs="Arial"/>
        </w:rPr>
        <w:t xml:space="preserve">HLA-DR and DQ </w:t>
      </w:r>
      <w:r w:rsidRPr="001467E4">
        <w:rPr>
          <w:rFonts w:ascii="Book Antiqua" w:hAnsi="Book Antiqua" w:cs="Arial"/>
        </w:rPr>
        <w:t xml:space="preserve">haplotypes and </w:t>
      </w:r>
      <w:r w:rsidR="00D236B1" w:rsidRPr="001467E4">
        <w:rPr>
          <w:rFonts w:ascii="Book Antiqua" w:hAnsi="Book Antiqua" w:cs="Arial"/>
        </w:rPr>
        <w:t xml:space="preserve">aPL </w:t>
      </w:r>
      <w:r w:rsidRPr="001467E4">
        <w:rPr>
          <w:rFonts w:ascii="Book Antiqua" w:hAnsi="Book Antiqua" w:cs="Arial"/>
        </w:rPr>
        <w:t xml:space="preserve">development </w:t>
      </w:r>
      <w:r w:rsidR="00D236B1" w:rsidRPr="001467E4">
        <w:rPr>
          <w:rFonts w:ascii="Book Antiqua" w:hAnsi="Book Antiqua" w:cs="Arial"/>
        </w:rPr>
        <w:t xml:space="preserve">have been </w:t>
      </w:r>
      <w:r w:rsidRPr="001467E4">
        <w:rPr>
          <w:rFonts w:ascii="Book Antiqua" w:hAnsi="Book Antiqua" w:cs="Arial"/>
        </w:rPr>
        <w:t xml:space="preserve">reported </w:t>
      </w:r>
      <w:r w:rsidR="00D236B1" w:rsidRPr="001467E4">
        <w:rPr>
          <w:rFonts w:ascii="Book Antiqua" w:hAnsi="Book Antiqua" w:cs="Arial"/>
        </w:rPr>
        <w:t xml:space="preserve">but </w:t>
      </w:r>
      <w:r w:rsidRPr="001467E4">
        <w:rPr>
          <w:rFonts w:ascii="Book Antiqua" w:hAnsi="Book Antiqua" w:cs="Arial"/>
        </w:rPr>
        <w:t>frequent logistical issues such as inappropriately matched</w:t>
      </w:r>
      <w:r w:rsidR="00D236B1" w:rsidRPr="001467E4">
        <w:rPr>
          <w:rFonts w:ascii="Book Antiqua" w:hAnsi="Book Antiqua" w:cs="Arial"/>
        </w:rPr>
        <w:t xml:space="preserve"> control populations </w:t>
      </w:r>
      <w:r w:rsidRPr="001467E4">
        <w:rPr>
          <w:rFonts w:ascii="Book Antiqua" w:hAnsi="Book Antiqua" w:cs="Arial"/>
        </w:rPr>
        <w:t xml:space="preserve">and small sample populations </w:t>
      </w:r>
      <w:r w:rsidR="00A117B3">
        <w:rPr>
          <w:rFonts w:ascii="Book Antiqua" w:hAnsi="Book Antiqua" w:cs="Arial"/>
        </w:rPr>
        <w:t>make interpretation problematic</w:t>
      </w:r>
      <w:r w:rsidR="00D236B1" w:rsidRPr="001467E4">
        <w:rPr>
          <w:rFonts w:ascii="Book Antiqua" w:hAnsi="Book Antiqua" w:cs="Arial"/>
          <w:vertAlign w:val="superscript"/>
        </w:rPr>
        <w:t>[</w:t>
      </w:r>
      <w:r w:rsidR="004277EF" w:rsidRPr="001467E4">
        <w:rPr>
          <w:rFonts w:ascii="Book Antiqua" w:hAnsi="Book Antiqua" w:cs="Arial"/>
          <w:vertAlign w:val="superscript"/>
        </w:rPr>
        <w:t>6,7</w:t>
      </w:r>
      <w:r w:rsidR="00D236B1" w:rsidRPr="001467E4">
        <w:rPr>
          <w:rFonts w:ascii="Book Antiqua" w:hAnsi="Book Antiqua" w:cs="Arial"/>
          <w:vertAlign w:val="superscript"/>
        </w:rPr>
        <w:t>]</w:t>
      </w:r>
      <w:r w:rsidR="00D236B1" w:rsidRPr="001467E4">
        <w:rPr>
          <w:rFonts w:ascii="Book Antiqua" w:hAnsi="Book Antiqua" w:cs="Arial"/>
        </w:rPr>
        <w:t xml:space="preserve">. </w:t>
      </w:r>
      <w:r w:rsidR="000009D4" w:rsidRPr="001467E4">
        <w:rPr>
          <w:rFonts w:ascii="Book Antiqua" w:hAnsi="Book Antiqua" w:cs="Arial"/>
        </w:rPr>
        <w:t xml:space="preserve">The underlying problem is the difficulty in defining disease phenotypes appropriately due to variable clinical expression, </w:t>
      </w:r>
      <w:r w:rsidRPr="001467E4">
        <w:rPr>
          <w:rFonts w:ascii="Book Antiqua" w:hAnsi="Book Antiqua" w:cs="Arial"/>
        </w:rPr>
        <w:t xml:space="preserve">the </w:t>
      </w:r>
      <w:r w:rsidR="000009D4" w:rsidRPr="001467E4">
        <w:rPr>
          <w:rFonts w:ascii="Book Antiqua" w:hAnsi="Book Antiqua" w:cs="Arial"/>
        </w:rPr>
        <w:t xml:space="preserve">coexistence of clinical entities and </w:t>
      </w:r>
      <w:r w:rsidRPr="001467E4">
        <w:rPr>
          <w:rFonts w:ascii="Book Antiqua" w:hAnsi="Book Antiqua" w:cs="Arial"/>
        </w:rPr>
        <w:t xml:space="preserve">variability in the </w:t>
      </w:r>
      <w:r w:rsidR="000009D4" w:rsidRPr="001467E4">
        <w:rPr>
          <w:rFonts w:ascii="Book Antiqua" w:hAnsi="Book Antiqua" w:cs="Arial"/>
        </w:rPr>
        <w:t xml:space="preserve">progression of disease. Indeed, </w:t>
      </w:r>
      <w:r w:rsidRPr="001467E4">
        <w:rPr>
          <w:rFonts w:ascii="Book Antiqua" w:hAnsi="Book Antiqua" w:cs="Arial"/>
        </w:rPr>
        <w:t>disease phenotypes</w:t>
      </w:r>
      <w:r w:rsidR="000009D4" w:rsidRPr="001467E4">
        <w:rPr>
          <w:rFonts w:ascii="Book Antiqua" w:hAnsi="Book Antiqua" w:cs="Arial"/>
        </w:rPr>
        <w:t xml:space="preserve"> may vary over time </w:t>
      </w:r>
      <w:r w:rsidRPr="001467E4">
        <w:rPr>
          <w:rFonts w:ascii="Book Antiqua" w:hAnsi="Book Antiqua" w:cs="Arial"/>
        </w:rPr>
        <w:t xml:space="preserve">even </w:t>
      </w:r>
      <w:r w:rsidR="000009D4" w:rsidRPr="001467E4">
        <w:rPr>
          <w:rFonts w:ascii="Book Antiqua" w:hAnsi="Book Antiqua" w:cs="Arial"/>
        </w:rPr>
        <w:t xml:space="preserve">in a single </w:t>
      </w:r>
      <w:r w:rsidRPr="001467E4">
        <w:rPr>
          <w:rFonts w:ascii="Book Antiqua" w:hAnsi="Book Antiqua" w:cs="Arial"/>
        </w:rPr>
        <w:t xml:space="preserve">patient </w:t>
      </w:r>
      <w:r w:rsidR="000009D4" w:rsidRPr="001467E4">
        <w:rPr>
          <w:rFonts w:ascii="Book Antiqua" w:hAnsi="Book Antiqua" w:cs="Arial"/>
        </w:rPr>
        <w:t xml:space="preserve">with APS, especially at </w:t>
      </w:r>
      <w:r w:rsidRPr="001467E4">
        <w:rPr>
          <w:rFonts w:ascii="Book Antiqua" w:hAnsi="Book Antiqua" w:cs="Arial"/>
        </w:rPr>
        <w:t>advanced ages</w:t>
      </w:r>
      <w:r w:rsidR="000009D4" w:rsidRPr="001467E4">
        <w:rPr>
          <w:rFonts w:ascii="Book Antiqua" w:hAnsi="Book Antiqua" w:cs="Arial"/>
          <w:vertAlign w:val="superscript"/>
        </w:rPr>
        <w:t>[6]</w:t>
      </w:r>
      <w:r w:rsidR="000009D4" w:rsidRPr="001467E4">
        <w:rPr>
          <w:rFonts w:ascii="Book Antiqua" w:hAnsi="Book Antiqua" w:cs="Arial"/>
        </w:rPr>
        <w:t>. Furthermore, these issues have made defining HLA associations with individual clinical features of APS extremely difficult. However, we discuss below the HLA genes which are associated with an increased susceptibility to the development of APS and the production of aPL antibodies.</w:t>
      </w:r>
    </w:p>
    <w:p w14:paraId="0EC89C3A" w14:textId="734F4786" w:rsidR="00D236B1" w:rsidRPr="001467E4" w:rsidRDefault="0049772C" w:rsidP="00A117B3">
      <w:pPr>
        <w:spacing w:after="0" w:line="360" w:lineRule="auto"/>
        <w:ind w:firstLineChars="100" w:firstLine="240"/>
        <w:jc w:val="both"/>
        <w:rPr>
          <w:rFonts w:ascii="Book Antiqua" w:hAnsi="Book Antiqua" w:cs="Arial"/>
        </w:rPr>
      </w:pPr>
      <w:r w:rsidRPr="001467E4">
        <w:rPr>
          <w:rFonts w:ascii="Book Antiqua" w:hAnsi="Book Antiqua" w:cs="Arial"/>
        </w:rPr>
        <w:t>F</w:t>
      </w:r>
      <w:r w:rsidR="00663C1E" w:rsidRPr="001467E4">
        <w:rPr>
          <w:rFonts w:ascii="Book Antiqua" w:hAnsi="Book Antiqua" w:cs="Arial"/>
        </w:rPr>
        <w:t>amilial APS</w:t>
      </w:r>
      <w:r w:rsidRPr="001467E4">
        <w:rPr>
          <w:rFonts w:ascii="Book Antiqua" w:hAnsi="Book Antiqua" w:cs="Arial"/>
        </w:rPr>
        <w:t xml:space="preserve"> was initially described</w:t>
      </w:r>
      <w:r w:rsidR="00663C1E" w:rsidRPr="001467E4">
        <w:rPr>
          <w:rFonts w:ascii="Book Antiqua" w:hAnsi="Book Antiqua" w:cs="Arial"/>
        </w:rPr>
        <w:t xml:space="preserve"> </w:t>
      </w:r>
      <w:r w:rsidRPr="001467E4">
        <w:rPr>
          <w:rFonts w:ascii="Book Antiqua" w:hAnsi="Book Antiqua" w:cs="Arial"/>
        </w:rPr>
        <w:t>in a group</w:t>
      </w:r>
      <w:r w:rsidR="00663C1E" w:rsidRPr="001467E4">
        <w:rPr>
          <w:rFonts w:ascii="Book Antiqua" w:hAnsi="Book Antiqua" w:cs="Arial"/>
        </w:rPr>
        <w:t xml:space="preserve"> </w:t>
      </w:r>
      <w:r w:rsidR="00D236B1" w:rsidRPr="001467E4">
        <w:rPr>
          <w:rFonts w:ascii="Book Antiqua" w:hAnsi="Book Antiqua" w:cs="Arial"/>
        </w:rPr>
        <w:t xml:space="preserve">of </w:t>
      </w:r>
      <w:r w:rsidR="00663C1E" w:rsidRPr="001467E4">
        <w:rPr>
          <w:rFonts w:ascii="Book Antiqua" w:hAnsi="Book Antiqua" w:cs="Arial"/>
        </w:rPr>
        <w:t xml:space="preserve">related </w:t>
      </w:r>
      <w:r w:rsidR="00D236B1" w:rsidRPr="001467E4">
        <w:rPr>
          <w:rFonts w:ascii="Book Antiqua" w:hAnsi="Book Antiqua" w:cs="Arial"/>
        </w:rPr>
        <w:t xml:space="preserve">individuals </w:t>
      </w:r>
      <w:r w:rsidRPr="001467E4">
        <w:rPr>
          <w:rFonts w:ascii="Book Antiqua" w:hAnsi="Book Antiqua" w:cs="Arial"/>
        </w:rPr>
        <w:t>who consistently tested positive for syphilis in the absence of the infection and</w:t>
      </w:r>
      <w:r w:rsidR="00D236B1" w:rsidRPr="001467E4">
        <w:rPr>
          <w:rFonts w:ascii="Book Antiqua" w:hAnsi="Book Antiqua" w:cs="Arial"/>
        </w:rPr>
        <w:t xml:space="preserve"> </w:t>
      </w:r>
      <w:r w:rsidRPr="001467E4">
        <w:rPr>
          <w:rFonts w:ascii="Book Antiqua" w:hAnsi="Book Antiqua" w:cs="Arial"/>
        </w:rPr>
        <w:t>developed</w:t>
      </w:r>
      <w:r w:rsidR="00D236B1" w:rsidRPr="001467E4">
        <w:rPr>
          <w:rFonts w:ascii="Book Antiqua" w:hAnsi="Book Antiqua" w:cs="Arial"/>
        </w:rPr>
        <w:t xml:space="preserve"> overt</w:t>
      </w:r>
      <w:r w:rsidR="00A117B3">
        <w:rPr>
          <w:rFonts w:ascii="Book Antiqua" w:hAnsi="Book Antiqua" w:cs="Arial"/>
        </w:rPr>
        <w:t xml:space="preserve"> autoimmune disease years later</w:t>
      </w:r>
      <w:r w:rsidR="00D236B1" w:rsidRPr="001467E4">
        <w:rPr>
          <w:rFonts w:ascii="Book Antiqua" w:hAnsi="Book Antiqua" w:cs="Arial"/>
          <w:vertAlign w:val="superscript"/>
        </w:rPr>
        <w:t>[</w:t>
      </w:r>
      <w:r w:rsidR="004277EF" w:rsidRPr="001467E4">
        <w:rPr>
          <w:rFonts w:ascii="Book Antiqua" w:hAnsi="Book Antiqua" w:cs="Arial"/>
          <w:vertAlign w:val="superscript"/>
        </w:rPr>
        <w:t>22</w:t>
      </w:r>
      <w:r w:rsidR="00D236B1" w:rsidRPr="001467E4">
        <w:rPr>
          <w:rFonts w:ascii="Book Antiqua" w:hAnsi="Book Antiqua" w:cs="Arial"/>
          <w:vertAlign w:val="superscript"/>
        </w:rPr>
        <w:t>]</w:t>
      </w:r>
      <w:r w:rsidR="00D236B1" w:rsidRPr="001467E4">
        <w:rPr>
          <w:rFonts w:ascii="Book Antiqua" w:hAnsi="Book Antiqua" w:cs="Arial"/>
        </w:rPr>
        <w:t xml:space="preserve">. Since </w:t>
      </w:r>
      <w:r w:rsidR="00663C1E" w:rsidRPr="001467E4">
        <w:rPr>
          <w:rFonts w:ascii="Book Antiqua" w:hAnsi="Book Antiqua" w:cs="Arial"/>
        </w:rPr>
        <w:t>then</w:t>
      </w:r>
      <w:r w:rsidR="00D236B1" w:rsidRPr="001467E4">
        <w:rPr>
          <w:rFonts w:ascii="Book Antiqua" w:hAnsi="Book Antiqua" w:cs="Arial"/>
        </w:rPr>
        <w:t xml:space="preserve">, </w:t>
      </w:r>
      <w:r w:rsidRPr="001467E4">
        <w:rPr>
          <w:rFonts w:ascii="Book Antiqua" w:hAnsi="Book Antiqua" w:cs="Arial"/>
        </w:rPr>
        <w:t xml:space="preserve">many </w:t>
      </w:r>
      <w:r w:rsidR="00D236B1" w:rsidRPr="001467E4">
        <w:rPr>
          <w:rFonts w:ascii="Book Antiqua" w:hAnsi="Book Antiqua" w:cs="Arial"/>
        </w:rPr>
        <w:t xml:space="preserve">studies have </w:t>
      </w:r>
      <w:r w:rsidRPr="001467E4">
        <w:rPr>
          <w:rFonts w:ascii="Book Antiqua" w:hAnsi="Book Antiqua" w:cs="Arial"/>
        </w:rPr>
        <w:t xml:space="preserve">reported the </w:t>
      </w:r>
      <w:r w:rsidR="00D236B1" w:rsidRPr="001467E4">
        <w:rPr>
          <w:rFonts w:ascii="Book Antiqua" w:hAnsi="Book Antiqua" w:cs="Arial"/>
        </w:rPr>
        <w:t xml:space="preserve">high </w:t>
      </w:r>
      <w:r w:rsidR="0031317C" w:rsidRPr="001467E4">
        <w:rPr>
          <w:rFonts w:ascii="Book Antiqua" w:hAnsi="Book Antiqua" w:cs="Arial"/>
        </w:rPr>
        <w:t xml:space="preserve">prevalence </w:t>
      </w:r>
      <w:r w:rsidR="00D236B1" w:rsidRPr="001467E4">
        <w:rPr>
          <w:rFonts w:ascii="Book Antiqua" w:hAnsi="Book Antiqua" w:cs="Arial"/>
        </w:rPr>
        <w:t xml:space="preserve">of </w:t>
      </w:r>
      <w:r w:rsidR="0031317C" w:rsidRPr="001467E4">
        <w:rPr>
          <w:rFonts w:ascii="Book Antiqua" w:hAnsi="Book Antiqua" w:cs="Arial"/>
        </w:rPr>
        <w:t>P</w:t>
      </w:r>
      <w:r w:rsidR="00D236B1" w:rsidRPr="001467E4">
        <w:rPr>
          <w:rFonts w:ascii="Book Antiqua" w:hAnsi="Book Antiqua" w:cs="Arial"/>
        </w:rPr>
        <w:t xml:space="preserve">APS </w:t>
      </w:r>
      <w:r w:rsidR="0031317C" w:rsidRPr="001467E4">
        <w:rPr>
          <w:rFonts w:ascii="Book Antiqua" w:hAnsi="Book Antiqua" w:cs="Arial"/>
        </w:rPr>
        <w:t xml:space="preserve">correlated </w:t>
      </w:r>
      <w:r w:rsidR="00D236B1" w:rsidRPr="001467E4">
        <w:rPr>
          <w:rFonts w:ascii="Book Antiqua" w:hAnsi="Book Antiqua" w:cs="Arial"/>
        </w:rPr>
        <w:t xml:space="preserve">with </w:t>
      </w:r>
      <w:r w:rsidR="00663C1E" w:rsidRPr="001467E4">
        <w:rPr>
          <w:rFonts w:ascii="Book Antiqua" w:hAnsi="Book Antiqua" w:cs="Arial"/>
        </w:rPr>
        <w:t xml:space="preserve">aPL such as lupus anticoagulant (LA) and </w:t>
      </w:r>
      <w:r w:rsidR="00D236B1" w:rsidRPr="001467E4">
        <w:rPr>
          <w:rFonts w:ascii="Book Antiqua" w:hAnsi="Book Antiqua" w:cs="Arial"/>
        </w:rPr>
        <w:t>aCL, and other autoantibodies</w:t>
      </w:r>
      <w:r w:rsidRPr="001467E4">
        <w:rPr>
          <w:rFonts w:ascii="Book Antiqua" w:hAnsi="Book Antiqua" w:cs="Arial"/>
        </w:rPr>
        <w:t xml:space="preserve"> in families</w:t>
      </w:r>
      <w:r w:rsidR="00D236B1" w:rsidRPr="001467E4">
        <w:rPr>
          <w:rFonts w:ascii="Book Antiqua" w:hAnsi="Book Antiqua" w:cs="Arial"/>
          <w:vertAlign w:val="superscript"/>
        </w:rPr>
        <w:t>[</w:t>
      </w:r>
      <w:r w:rsidR="004277EF" w:rsidRPr="001467E4">
        <w:rPr>
          <w:rFonts w:ascii="Book Antiqua" w:hAnsi="Book Antiqua" w:cs="Arial"/>
          <w:vertAlign w:val="superscript"/>
        </w:rPr>
        <w:t>23,24</w:t>
      </w:r>
      <w:r w:rsidR="00D236B1" w:rsidRPr="001467E4">
        <w:rPr>
          <w:rFonts w:ascii="Book Antiqua" w:hAnsi="Book Antiqua" w:cs="Arial"/>
          <w:vertAlign w:val="superscript"/>
        </w:rPr>
        <w:t>]</w:t>
      </w:r>
      <w:r w:rsidR="00D236B1" w:rsidRPr="001467E4">
        <w:rPr>
          <w:rFonts w:ascii="Book Antiqua" w:hAnsi="Book Antiqua" w:cs="Arial"/>
        </w:rPr>
        <w:t xml:space="preserve">. The </w:t>
      </w:r>
      <w:r w:rsidR="0031317C" w:rsidRPr="001467E4">
        <w:rPr>
          <w:rFonts w:ascii="Book Antiqua" w:hAnsi="Book Antiqua" w:cs="Arial"/>
        </w:rPr>
        <w:t>frequent finding</w:t>
      </w:r>
      <w:r w:rsidR="00D236B1" w:rsidRPr="001467E4">
        <w:rPr>
          <w:rFonts w:ascii="Book Antiqua" w:hAnsi="Book Antiqua" w:cs="Arial"/>
        </w:rPr>
        <w:t xml:space="preserve"> of aCL in first-degree relatives of </w:t>
      </w:r>
      <w:r w:rsidR="0031317C" w:rsidRPr="001467E4">
        <w:rPr>
          <w:rFonts w:ascii="Book Antiqua" w:hAnsi="Book Antiqua" w:cs="Arial"/>
        </w:rPr>
        <w:t>patients with PAPS</w:t>
      </w:r>
      <w:r w:rsidR="00D236B1" w:rsidRPr="001467E4">
        <w:rPr>
          <w:rFonts w:ascii="Book Antiqua" w:hAnsi="Book Antiqua" w:cs="Arial"/>
        </w:rPr>
        <w:t xml:space="preserve"> </w:t>
      </w:r>
      <w:r w:rsidR="0031317C" w:rsidRPr="001467E4">
        <w:rPr>
          <w:rFonts w:ascii="Book Antiqua" w:hAnsi="Book Antiqua" w:cs="Arial"/>
        </w:rPr>
        <w:t>or SAPS</w:t>
      </w:r>
      <w:r w:rsidR="00A117B3">
        <w:rPr>
          <w:rFonts w:ascii="Book Antiqua" w:hAnsi="Book Antiqua" w:cs="Arial"/>
        </w:rPr>
        <w:t xml:space="preserve"> has also been demonstrated</w:t>
      </w:r>
      <w:r w:rsidR="00D236B1" w:rsidRPr="001467E4">
        <w:rPr>
          <w:rFonts w:ascii="Book Antiqua" w:hAnsi="Book Antiqua" w:cs="Arial"/>
          <w:vertAlign w:val="superscript"/>
        </w:rPr>
        <w:t>[</w:t>
      </w:r>
      <w:r w:rsidR="004277EF" w:rsidRPr="001467E4">
        <w:rPr>
          <w:rFonts w:ascii="Book Antiqua" w:hAnsi="Book Antiqua" w:cs="Arial"/>
          <w:vertAlign w:val="superscript"/>
        </w:rPr>
        <w:t>25,26</w:t>
      </w:r>
      <w:r w:rsidR="00D236B1" w:rsidRPr="001467E4">
        <w:rPr>
          <w:rFonts w:ascii="Book Antiqua" w:hAnsi="Book Antiqua" w:cs="Arial"/>
          <w:vertAlign w:val="superscript"/>
        </w:rPr>
        <w:t>]</w:t>
      </w:r>
      <w:r w:rsidR="00D236B1" w:rsidRPr="001467E4">
        <w:rPr>
          <w:rFonts w:ascii="Book Antiqua" w:hAnsi="Book Antiqua" w:cs="Arial"/>
        </w:rPr>
        <w:t xml:space="preserve">. </w:t>
      </w:r>
      <w:r w:rsidR="00663C1E" w:rsidRPr="001467E4">
        <w:rPr>
          <w:rFonts w:ascii="Book Antiqua" w:hAnsi="Book Antiqua" w:cs="Arial"/>
        </w:rPr>
        <w:t xml:space="preserve">A dominant or co-dominant model for the inheritance </w:t>
      </w:r>
      <w:r w:rsidR="009F01CE" w:rsidRPr="001467E4">
        <w:rPr>
          <w:rFonts w:ascii="Book Antiqua" w:hAnsi="Book Antiqua" w:cs="Arial"/>
        </w:rPr>
        <w:t>of APS was suggested by segregation analysis studies in a group of seven families with a 30% prevalen</w:t>
      </w:r>
      <w:r w:rsidR="00A117B3">
        <w:rPr>
          <w:rFonts w:ascii="Book Antiqua" w:hAnsi="Book Antiqua" w:cs="Arial"/>
        </w:rPr>
        <w:t>ce of primary APS among them</w:t>
      </w:r>
      <w:r w:rsidR="004277EF" w:rsidRPr="001467E4">
        <w:rPr>
          <w:rFonts w:ascii="Book Antiqua" w:hAnsi="Book Antiqua" w:cs="Arial"/>
          <w:vertAlign w:val="superscript"/>
        </w:rPr>
        <w:t>[27</w:t>
      </w:r>
      <w:r w:rsidR="009F01CE" w:rsidRPr="001467E4">
        <w:rPr>
          <w:rFonts w:ascii="Book Antiqua" w:hAnsi="Book Antiqua" w:cs="Arial"/>
          <w:vertAlign w:val="superscript"/>
        </w:rPr>
        <w:t>]</w:t>
      </w:r>
      <w:r w:rsidR="009F01CE" w:rsidRPr="001467E4">
        <w:rPr>
          <w:rFonts w:ascii="Book Antiqua" w:hAnsi="Book Antiqua" w:cs="Arial"/>
        </w:rPr>
        <w:t>. However, the study</w:t>
      </w:r>
      <w:r w:rsidR="00D236B1" w:rsidRPr="001467E4">
        <w:rPr>
          <w:rFonts w:ascii="Book Antiqua" w:hAnsi="Book Antiqua" w:cs="Arial"/>
        </w:rPr>
        <w:t xml:space="preserve"> failed to find </w:t>
      </w:r>
      <w:r w:rsidR="0031317C" w:rsidRPr="001467E4">
        <w:rPr>
          <w:rFonts w:ascii="Book Antiqua" w:hAnsi="Book Antiqua" w:cs="Arial"/>
        </w:rPr>
        <w:t>any HLA associations or</w:t>
      </w:r>
      <w:r w:rsidR="00D236B1" w:rsidRPr="001467E4">
        <w:rPr>
          <w:rFonts w:ascii="Book Antiqua" w:hAnsi="Book Antiqua" w:cs="Arial"/>
        </w:rPr>
        <w:t xml:space="preserve"> </w:t>
      </w:r>
      <w:r w:rsidR="0031317C" w:rsidRPr="001467E4">
        <w:rPr>
          <w:rFonts w:ascii="Book Antiqua" w:hAnsi="Book Antiqua" w:cs="Arial"/>
        </w:rPr>
        <w:t xml:space="preserve">correlation with </w:t>
      </w:r>
      <w:r w:rsidR="00D236B1" w:rsidRPr="001467E4">
        <w:rPr>
          <w:rFonts w:ascii="Book Antiqua" w:hAnsi="Book Antiqua" w:cs="Arial"/>
        </w:rPr>
        <w:t xml:space="preserve">other </w:t>
      </w:r>
      <w:r w:rsidR="0031317C" w:rsidRPr="001467E4">
        <w:rPr>
          <w:rFonts w:ascii="Book Antiqua" w:hAnsi="Book Antiqua" w:cs="Arial"/>
        </w:rPr>
        <w:t xml:space="preserve">putative </w:t>
      </w:r>
      <w:r w:rsidR="00D236B1" w:rsidRPr="001467E4">
        <w:rPr>
          <w:rFonts w:ascii="Book Antiqua" w:hAnsi="Book Antiqua" w:cs="Arial"/>
        </w:rPr>
        <w:t xml:space="preserve">genes including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and Fas. </w:t>
      </w:r>
      <w:r w:rsidR="009F01CE" w:rsidRPr="001467E4">
        <w:rPr>
          <w:rFonts w:ascii="Book Antiqua" w:hAnsi="Book Antiqua" w:cs="Arial"/>
        </w:rPr>
        <w:t>In an English-Canadian family, t</w:t>
      </w:r>
      <w:r w:rsidR="00D236B1" w:rsidRPr="001467E4">
        <w:rPr>
          <w:rFonts w:ascii="Book Antiqua" w:hAnsi="Book Antiqua" w:cs="Arial"/>
        </w:rPr>
        <w:t xml:space="preserve">he paternal haplotype A30; Cw3; B60; DR4; DRw53; DQw3 </w:t>
      </w:r>
      <w:r w:rsidR="009F01CE" w:rsidRPr="001467E4">
        <w:rPr>
          <w:rFonts w:ascii="Book Antiqua" w:hAnsi="Book Antiqua" w:cs="Arial"/>
        </w:rPr>
        <w:t>was</w:t>
      </w:r>
      <w:r w:rsidR="00D236B1" w:rsidRPr="001467E4">
        <w:rPr>
          <w:rFonts w:ascii="Book Antiqua" w:hAnsi="Book Antiqua" w:cs="Arial"/>
        </w:rPr>
        <w:t xml:space="preserve"> associated with aCL </w:t>
      </w:r>
      <w:r w:rsidR="009F01CE" w:rsidRPr="001467E4">
        <w:rPr>
          <w:rFonts w:ascii="Book Antiqua" w:hAnsi="Book Antiqua" w:cs="Arial"/>
        </w:rPr>
        <w:t>production</w:t>
      </w:r>
      <w:r w:rsidR="00D236B1" w:rsidRPr="001467E4">
        <w:rPr>
          <w:rFonts w:ascii="Book Antiqua" w:hAnsi="Book Antiqua" w:cs="Arial"/>
        </w:rPr>
        <w:t xml:space="preserve"> in </w:t>
      </w:r>
      <w:r w:rsidR="0054201F" w:rsidRPr="001467E4">
        <w:rPr>
          <w:rFonts w:ascii="Book Antiqua" w:hAnsi="Book Antiqua" w:cs="Arial"/>
        </w:rPr>
        <w:t xml:space="preserve">secondary APS patients and </w:t>
      </w:r>
      <w:r w:rsidR="00D236B1" w:rsidRPr="001467E4">
        <w:rPr>
          <w:rFonts w:ascii="Book Antiqua" w:hAnsi="Book Antiqua" w:cs="Arial"/>
        </w:rPr>
        <w:t>individuals</w:t>
      </w:r>
      <w:r w:rsidR="0054201F" w:rsidRPr="001467E4">
        <w:rPr>
          <w:rFonts w:ascii="Book Antiqua" w:hAnsi="Book Antiqua" w:cs="Arial"/>
        </w:rPr>
        <w:t xml:space="preserve"> without disease</w:t>
      </w:r>
      <w:r w:rsidR="00D236B1" w:rsidRPr="001467E4">
        <w:rPr>
          <w:rFonts w:ascii="Book Antiqua" w:hAnsi="Book Antiqua" w:cs="Arial"/>
          <w:vertAlign w:val="superscript"/>
        </w:rPr>
        <w:t>[</w:t>
      </w:r>
      <w:r w:rsidR="004277EF" w:rsidRPr="001467E4">
        <w:rPr>
          <w:rFonts w:ascii="Book Antiqua" w:hAnsi="Book Antiqua" w:cs="Arial"/>
          <w:vertAlign w:val="superscript"/>
        </w:rPr>
        <w:t>28</w:t>
      </w:r>
      <w:r w:rsidR="00D236B1" w:rsidRPr="001467E4">
        <w:rPr>
          <w:rFonts w:ascii="Book Antiqua" w:hAnsi="Book Antiqua" w:cs="Arial"/>
          <w:vertAlign w:val="superscript"/>
        </w:rPr>
        <w:t>]</w:t>
      </w:r>
      <w:r w:rsidR="00D236B1" w:rsidRPr="001467E4">
        <w:rPr>
          <w:rFonts w:ascii="Book Antiqua" w:hAnsi="Book Antiqua" w:cs="Arial"/>
        </w:rPr>
        <w:t xml:space="preserve">. DR4 </w:t>
      </w:r>
      <w:r w:rsidR="0054201F" w:rsidRPr="001467E4">
        <w:rPr>
          <w:rFonts w:ascii="Book Antiqua" w:hAnsi="Book Antiqua" w:cs="Arial"/>
        </w:rPr>
        <w:t xml:space="preserve">and </w:t>
      </w:r>
      <w:r w:rsidR="00D236B1" w:rsidRPr="001467E4">
        <w:rPr>
          <w:rFonts w:ascii="Book Antiqua" w:hAnsi="Book Antiqua" w:cs="Arial"/>
        </w:rPr>
        <w:t xml:space="preserve">DR7 </w:t>
      </w:r>
      <w:r w:rsidR="0054201F" w:rsidRPr="001467E4">
        <w:rPr>
          <w:rFonts w:ascii="Book Antiqua" w:hAnsi="Book Antiqua" w:cs="Arial"/>
        </w:rPr>
        <w:t>have also been reported to be associated with the presence of LA in families</w:t>
      </w:r>
      <w:r w:rsidR="00D236B1" w:rsidRPr="001467E4">
        <w:rPr>
          <w:rFonts w:ascii="Book Antiqua" w:hAnsi="Book Antiqua" w:cs="Arial"/>
          <w:vertAlign w:val="superscript"/>
        </w:rPr>
        <w:t>[</w:t>
      </w:r>
      <w:r w:rsidR="004277EF" w:rsidRPr="001467E4">
        <w:rPr>
          <w:rFonts w:ascii="Book Antiqua" w:hAnsi="Book Antiqua" w:cs="Arial"/>
          <w:vertAlign w:val="superscript"/>
        </w:rPr>
        <w:t>29,30</w:t>
      </w:r>
      <w:r w:rsidR="00D236B1" w:rsidRPr="001467E4">
        <w:rPr>
          <w:rFonts w:ascii="Book Antiqua" w:hAnsi="Book Antiqua" w:cs="Arial"/>
          <w:vertAlign w:val="superscript"/>
        </w:rPr>
        <w:t>]</w:t>
      </w:r>
      <w:r w:rsidR="00D236B1" w:rsidRPr="001467E4">
        <w:rPr>
          <w:rFonts w:ascii="Book Antiqua" w:hAnsi="Book Antiqua" w:cs="Arial"/>
        </w:rPr>
        <w:t xml:space="preserve">. </w:t>
      </w:r>
      <w:r w:rsidR="009F01CE" w:rsidRPr="001467E4">
        <w:rPr>
          <w:rFonts w:ascii="Book Antiqua" w:hAnsi="Book Antiqua" w:cs="Arial"/>
        </w:rPr>
        <w:t xml:space="preserve">Another study evaluated family members, all who had SLE and a myriad of APS clinical manifestations, and revealed that </w:t>
      </w:r>
      <w:r w:rsidR="00D236B1" w:rsidRPr="001467E4">
        <w:rPr>
          <w:rFonts w:ascii="Book Antiqua" w:hAnsi="Book Antiqua" w:cs="Arial"/>
        </w:rPr>
        <w:t xml:space="preserve">DR4, DRw53 and DQw7 </w:t>
      </w:r>
      <w:r w:rsidR="0054201F" w:rsidRPr="001467E4">
        <w:rPr>
          <w:rFonts w:ascii="Book Antiqua" w:hAnsi="Book Antiqua" w:cs="Arial"/>
        </w:rPr>
        <w:t xml:space="preserve">composed a haplotype </w:t>
      </w:r>
      <w:r w:rsidR="00A117B3">
        <w:rPr>
          <w:rFonts w:ascii="Book Antiqua" w:hAnsi="Book Antiqua" w:cs="Arial"/>
        </w:rPr>
        <w:t>found in twins and their mother</w:t>
      </w:r>
      <w:r w:rsidR="00D236B1" w:rsidRPr="001467E4">
        <w:rPr>
          <w:rFonts w:ascii="Book Antiqua" w:hAnsi="Book Antiqua" w:cs="Arial"/>
          <w:vertAlign w:val="superscript"/>
        </w:rPr>
        <w:t>[</w:t>
      </w:r>
      <w:r w:rsidR="002C4E3E" w:rsidRPr="001467E4">
        <w:rPr>
          <w:rFonts w:ascii="Book Antiqua" w:hAnsi="Book Antiqua" w:cs="Arial"/>
          <w:vertAlign w:val="superscript"/>
        </w:rPr>
        <w:t>31</w:t>
      </w:r>
      <w:r w:rsidR="00D236B1" w:rsidRPr="001467E4">
        <w:rPr>
          <w:rFonts w:ascii="Book Antiqua" w:hAnsi="Book Antiqua" w:cs="Arial"/>
          <w:vertAlign w:val="superscript"/>
        </w:rPr>
        <w:t>]</w:t>
      </w:r>
      <w:r w:rsidR="00D236B1" w:rsidRPr="001467E4">
        <w:rPr>
          <w:rFonts w:ascii="Book Antiqua" w:hAnsi="Book Antiqua" w:cs="Arial"/>
        </w:rPr>
        <w:t>.</w:t>
      </w:r>
    </w:p>
    <w:p w14:paraId="411E03CF" w14:textId="474ABC8C" w:rsidR="00D236B1" w:rsidRDefault="006220A6" w:rsidP="00A117B3">
      <w:pPr>
        <w:spacing w:after="0" w:line="360" w:lineRule="auto"/>
        <w:ind w:firstLineChars="100" w:firstLine="240"/>
        <w:jc w:val="both"/>
        <w:rPr>
          <w:rFonts w:ascii="Book Antiqua" w:hAnsi="Book Antiqua" w:cs="Arial"/>
          <w:lang w:eastAsia="zh-CN"/>
        </w:rPr>
      </w:pPr>
      <w:r w:rsidRPr="001467E4">
        <w:rPr>
          <w:rFonts w:ascii="Book Antiqua" w:hAnsi="Book Antiqua" w:cs="Arial"/>
        </w:rPr>
        <w:t>Many</w:t>
      </w:r>
      <w:r w:rsidR="00D236B1" w:rsidRPr="001467E4">
        <w:rPr>
          <w:rFonts w:ascii="Book Antiqua" w:hAnsi="Book Antiqua" w:cs="Arial"/>
        </w:rPr>
        <w:t xml:space="preserve"> HLA associations </w:t>
      </w:r>
      <w:r w:rsidRPr="001467E4">
        <w:rPr>
          <w:rFonts w:ascii="Book Antiqua" w:hAnsi="Book Antiqua" w:cs="Arial"/>
        </w:rPr>
        <w:t>with APS have also been found in population studies of unrelated individuals</w:t>
      </w:r>
      <w:r w:rsidR="00D236B1" w:rsidRPr="001467E4">
        <w:rPr>
          <w:rFonts w:ascii="Book Antiqua" w:hAnsi="Book Antiqua" w:cs="Arial"/>
        </w:rPr>
        <w:t xml:space="preserve">. HLA-DQw7 (HLA-DQB1*0301) linked to HLA-DR4 and/or –DR5 </w:t>
      </w:r>
      <w:r w:rsidRPr="001467E4">
        <w:rPr>
          <w:rFonts w:ascii="Book Antiqua" w:hAnsi="Book Antiqua" w:cs="Arial"/>
        </w:rPr>
        <w:t>was found to be associated wit</w:t>
      </w:r>
      <w:r w:rsidR="00A117B3">
        <w:rPr>
          <w:rFonts w:ascii="Book Antiqua" w:hAnsi="Book Antiqua" w:cs="Arial"/>
        </w:rPr>
        <w:t>h LA in a group of SLE patients</w:t>
      </w:r>
      <w:r w:rsidR="00D236B1" w:rsidRPr="001467E4">
        <w:rPr>
          <w:rFonts w:ascii="Book Antiqua" w:hAnsi="Book Antiqua" w:cs="Arial"/>
          <w:vertAlign w:val="superscript"/>
        </w:rPr>
        <w:t>[</w:t>
      </w:r>
      <w:r w:rsidR="002C4E3E" w:rsidRPr="001467E4">
        <w:rPr>
          <w:rFonts w:ascii="Book Antiqua" w:hAnsi="Book Antiqua" w:cs="Arial"/>
          <w:vertAlign w:val="superscript"/>
        </w:rPr>
        <w:t>32</w:t>
      </w:r>
      <w:r w:rsidR="00D236B1" w:rsidRPr="001467E4">
        <w:rPr>
          <w:rFonts w:ascii="Book Antiqua" w:hAnsi="Book Antiqua" w:cs="Arial"/>
          <w:vertAlign w:val="superscript"/>
        </w:rPr>
        <w:t>]</w:t>
      </w:r>
      <w:r w:rsidR="00D236B1" w:rsidRPr="001467E4">
        <w:rPr>
          <w:rFonts w:ascii="Book Antiqua" w:hAnsi="Book Antiqua" w:cs="Arial"/>
        </w:rPr>
        <w:t xml:space="preserve">. DR4 and DRw53 were found </w:t>
      </w:r>
      <w:r w:rsidR="00567EA5" w:rsidRPr="001467E4">
        <w:rPr>
          <w:rFonts w:ascii="Book Antiqua" w:hAnsi="Book Antiqua" w:cs="Arial"/>
        </w:rPr>
        <w:t>to occur more frequently in primary APS</w:t>
      </w:r>
      <w:r w:rsidR="00D236B1" w:rsidRPr="001467E4">
        <w:rPr>
          <w:rFonts w:ascii="Book Antiqua" w:hAnsi="Book Antiqua" w:cs="Arial"/>
          <w:vertAlign w:val="superscript"/>
        </w:rPr>
        <w:t>[</w:t>
      </w:r>
      <w:r w:rsidR="002C4E3E" w:rsidRPr="001467E4">
        <w:rPr>
          <w:rFonts w:ascii="Book Antiqua" w:hAnsi="Book Antiqua" w:cs="Arial"/>
          <w:vertAlign w:val="superscript"/>
        </w:rPr>
        <w:t>33</w:t>
      </w:r>
      <w:r w:rsidR="00D236B1" w:rsidRPr="001467E4">
        <w:rPr>
          <w:rFonts w:ascii="Book Antiqua" w:hAnsi="Book Antiqua" w:cs="Arial"/>
          <w:vertAlign w:val="superscript"/>
        </w:rPr>
        <w:t>]</w:t>
      </w:r>
      <w:r w:rsidR="00D236B1" w:rsidRPr="001467E4">
        <w:rPr>
          <w:rFonts w:ascii="Book Antiqua" w:hAnsi="Book Antiqua" w:cs="Arial"/>
        </w:rPr>
        <w:t xml:space="preserve">. Other </w:t>
      </w:r>
      <w:r w:rsidR="00567EA5" w:rsidRPr="001467E4">
        <w:rPr>
          <w:rFonts w:ascii="Book Antiqua" w:hAnsi="Book Antiqua" w:cs="Arial"/>
        </w:rPr>
        <w:t xml:space="preserve">primary APS associated </w:t>
      </w:r>
      <w:r w:rsidR="00D236B1" w:rsidRPr="001467E4">
        <w:rPr>
          <w:rFonts w:ascii="Book Antiqua" w:hAnsi="Book Antiqua" w:cs="Arial"/>
        </w:rPr>
        <w:t xml:space="preserve">HLA </w:t>
      </w:r>
      <w:r w:rsidR="00567EA5" w:rsidRPr="001467E4">
        <w:rPr>
          <w:rFonts w:ascii="Book Antiqua" w:hAnsi="Book Antiqua" w:cs="Arial"/>
        </w:rPr>
        <w:t>include</w:t>
      </w:r>
      <w:r w:rsidR="00D236B1" w:rsidRPr="001467E4">
        <w:rPr>
          <w:rFonts w:ascii="Book Antiqua" w:hAnsi="Book Antiqua" w:cs="Arial"/>
        </w:rPr>
        <w:t xml:space="preserve"> DQB1*0301/4, DQB1*0604/5/6/7/9, DQA1*0102,</w:t>
      </w:r>
      <w:r w:rsidR="00567EA5" w:rsidRPr="001467E4">
        <w:rPr>
          <w:rFonts w:ascii="Book Antiqua" w:hAnsi="Book Antiqua" w:cs="Arial"/>
        </w:rPr>
        <w:t xml:space="preserve"> </w:t>
      </w:r>
      <w:r w:rsidR="00D236B1" w:rsidRPr="001467E4">
        <w:rPr>
          <w:rFonts w:ascii="Book Antiqua" w:hAnsi="Book Antiqua" w:cs="Arial"/>
        </w:rPr>
        <w:t>DQA1*0301/2</w:t>
      </w:r>
      <w:r w:rsidR="00567EA5" w:rsidRPr="001467E4">
        <w:rPr>
          <w:rFonts w:ascii="Book Antiqua" w:hAnsi="Book Antiqua" w:cs="Arial"/>
        </w:rPr>
        <w:t xml:space="preserve">, DRB1*04 and DR7 </w:t>
      </w:r>
      <w:r w:rsidR="00D236B1" w:rsidRPr="001467E4">
        <w:rPr>
          <w:rFonts w:ascii="Book Antiqua" w:hAnsi="Book Antiqua" w:cs="Arial"/>
          <w:vertAlign w:val="superscript"/>
        </w:rPr>
        <w:t>[</w:t>
      </w:r>
      <w:r w:rsidR="002C4E3E" w:rsidRPr="001467E4">
        <w:rPr>
          <w:rFonts w:ascii="Book Antiqua" w:hAnsi="Book Antiqua" w:cs="Arial"/>
          <w:vertAlign w:val="superscript"/>
        </w:rPr>
        <w:t>34-36</w:t>
      </w:r>
      <w:r w:rsidR="00D236B1" w:rsidRPr="001467E4">
        <w:rPr>
          <w:rFonts w:ascii="Book Antiqua" w:hAnsi="Book Antiqua" w:cs="Arial"/>
          <w:vertAlign w:val="superscript"/>
        </w:rPr>
        <w:t>]</w:t>
      </w:r>
      <w:r w:rsidR="00D236B1" w:rsidRPr="001467E4">
        <w:rPr>
          <w:rFonts w:ascii="Book Antiqua" w:hAnsi="Book Antiqua" w:cs="Arial"/>
        </w:rPr>
        <w:t xml:space="preserve">. </w:t>
      </w:r>
      <w:r w:rsidR="00567EA5" w:rsidRPr="001467E4">
        <w:rPr>
          <w:rFonts w:ascii="Book Antiqua" w:hAnsi="Book Antiqua" w:cs="Arial"/>
        </w:rPr>
        <w:t xml:space="preserve">Similar results were found in a large study of </w:t>
      </w:r>
      <w:r w:rsidR="00705483" w:rsidRPr="001467E4">
        <w:rPr>
          <w:rFonts w:ascii="Book Antiqua" w:hAnsi="Book Antiqua" w:cs="Arial"/>
        </w:rPr>
        <w:t xml:space="preserve">Italian </w:t>
      </w:r>
      <w:r w:rsidR="00567EA5" w:rsidRPr="001467E4">
        <w:rPr>
          <w:rFonts w:ascii="Book Antiqua" w:hAnsi="Book Antiqua" w:cs="Arial"/>
        </w:rPr>
        <w:t xml:space="preserve">SLE patients, in which </w:t>
      </w:r>
      <w:r w:rsidR="00D236B1" w:rsidRPr="001467E4">
        <w:rPr>
          <w:rFonts w:ascii="Book Antiqua" w:hAnsi="Book Antiqua" w:cs="Arial"/>
        </w:rPr>
        <w:t>HLA-DRB1*04, -DRB1*07, -DQA1*0201,</w:t>
      </w:r>
      <w:r w:rsidR="00A117B3">
        <w:rPr>
          <w:rFonts w:ascii="Book Antiqua" w:hAnsi="Book Antiqua" w:cs="Arial" w:hint="eastAsia"/>
          <w:lang w:eastAsia="zh-CN"/>
        </w:rPr>
        <w:t xml:space="preserve"> -</w:t>
      </w:r>
      <w:r w:rsidR="00D236B1" w:rsidRPr="001467E4">
        <w:rPr>
          <w:rFonts w:ascii="Book Antiqua" w:hAnsi="Book Antiqua" w:cs="Arial"/>
        </w:rPr>
        <w:t xml:space="preserve">DQA1*0301,-DQB1*0302,-DRB3*0301 </w:t>
      </w:r>
      <w:r w:rsidR="00567EA5" w:rsidRPr="001467E4">
        <w:rPr>
          <w:rFonts w:ascii="Book Antiqua" w:hAnsi="Book Antiqua" w:cs="Arial"/>
        </w:rPr>
        <w:t xml:space="preserve">were associated with aCL </w:t>
      </w:r>
      <w:r w:rsidR="00D236B1" w:rsidRPr="001467E4">
        <w:rPr>
          <w:rFonts w:ascii="Book Antiqua" w:hAnsi="Book Antiqua" w:cs="Arial"/>
        </w:rPr>
        <w:t xml:space="preserve">and </w:t>
      </w:r>
      <w:r w:rsidR="00567EA5" w:rsidRPr="001467E4">
        <w:rPr>
          <w:rFonts w:ascii="Book Antiqua" w:hAnsi="Book Antiqua" w:cs="Arial"/>
        </w:rPr>
        <w:t xml:space="preserve">DQB1*0302 with </w:t>
      </w:r>
      <w:r w:rsidR="00D236B1" w:rsidRPr="001467E4">
        <w:rPr>
          <w:rFonts w:ascii="Book Antiqua" w:hAnsi="Book Antiqua" w:cs="Arial"/>
        </w:rPr>
        <w:t>anti-</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A117B3">
        <w:rPr>
          <w:rFonts w:ascii="Book Antiqua" w:hAnsi="Book Antiqua" w:cs="Arial"/>
        </w:rPr>
        <w:t>GPI</w:t>
      </w:r>
      <w:r w:rsidR="00D236B1" w:rsidRPr="001467E4">
        <w:rPr>
          <w:rFonts w:ascii="Book Antiqua" w:hAnsi="Book Antiqua" w:cs="Arial"/>
          <w:vertAlign w:val="superscript"/>
        </w:rPr>
        <w:t>[</w:t>
      </w:r>
      <w:r w:rsidR="002C4E3E" w:rsidRPr="001467E4">
        <w:rPr>
          <w:rFonts w:ascii="Book Antiqua" w:hAnsi="Book Antiqua" w:cs="Arial"/>
          <w:vertAlign w:val="superscript"/>
        </w:rPr>
        <w:t>37</w:t>
      </w:r>
      <w:r w:rsidR="00D236B1" w:rsidRPr="001467E4">
        <w:rPr>
          <w:rFonts w:ascii="Book Antiqua" w:hAnsi="Book Antiqua" w:cs="Arial"/>
          <w:vertAlign w:val="superscript"/>
        </w:rPr>
        <w:t>]</w:t>
      </w:r>
      <w:r w:rsidR="00D236B1" w:rsidRPr="001467E4">
        <w:rPr>
          <w:rFonts w:ascii="Book Antiqua" w:hAnsi="Book Antiqua" w:cs="Arial"/>
        </w:rPr>
        <w:t xml:space="preserve">. </w:t>
      </w:r>
      <w:r w:rsidR="00705483" w:rsidRPr="001467E4">
        <w:rPr>
          <w:rFonts w:ascii="Book Antiqua" w:hAnsi="Book Antiqua" w:cs="Arial"/>
        </w:rPr>
        <w:t xml:space="preserve">In </w:t>
      </w:r>
      <w:r w:rsidR="00D236B1" w:rsidRPr="001467E4">
        <w:rPr>
          <w:rFonts w:ascii="Book Antiqua" w:hAnsi="Book Antiqua" w:cs="Arial"/>
        </w:rPr>
        <w:t>Japanese patients</w:t>
      </w:r>
      <w:r w:rsidR="00705483" w:rsidRPr="001467E4">
        <w:rPr>
          <w:rFonts w:ascii="Book Antiqua" w:hAnsi="Book Antiqua" w:cs="Arial"/>
        </w:rPr>
        <w:t>, DRB1*09 has been reported to be associated with aCL production in</w:t>
      </w:r>
      <w:r w:rsidR="00D236B1" w:rsidRPr="001467E4">
        <w:rPr>
          <w:rFonts w:ascii="Book Antiqua" w:hAnsi="Book Antiqua" w:cs="Arial"/>
        </w:rPr>
        <w:t xml:space="preserve"> </w:t>
      </w:r>
      <w:r w:rsidR="00705483" w:rsidRPr="001467E4">
        <w:rPr>
          <w:rFonts w:ascii="Book Antiqua" w:hAnsi="Book Antiqua" w:cs="Arial"/>
        </w:rPr>
        <w:t>patients with lupus-associated APS</w:t>
      </w:r>
      <w:r w:rsidR="00D236B1" w:rsidRPr="001467E4">
        <w:rPr>
          <w:rFonts w:ascii="Book Antiqua" w:hAnsi="Book Antiqua" w:cs="Arial"/>
          <w:vertAlign w:val="superscript"/>
        </w:rPr>
        <w:t>[</w:t>
      </w:r>
      <w:r w:rsidR="002C4E3E" w:rsidRPr="001467E4">
        <w:rPr>
          <w:rFonts w:ascii="Book Antiqua" w:hAnsi="Book Antiqua" w:cs="Arial"/>
          <w:vertAlign w:val="superscript"/>
        </w:rPr>
        <w:t>38</w:t>
      </w:r>
      <w:r w:rsidR="00D236B1" w:rsidRPr="001467E4">
        <w:rPr>
          <w:rFonts w:ascii="Book Antiqua" w:hAnsi="Book Antiqua" w:cs="Arial"/>
          <w:vertAlign w:val="superscript"/>
        </w:rPr>
        <w:t xml:space="preserve">] </w:t>
      </w:r>
      <w:r w:rsidR="00D236B1" w:rsidRPr="001467E4">
        <w:rPr>
          <w:rFonts w:ascii="Book Antiqua" w:hAnsi="Book Antiqua" w:cs="Arial"/>
        </w:rPr>
        <w:t>A</w:t>
      </w:r>
      <w:r w:rsidR="00705483" w:rsidRPr="001467E4">
        <w:rPr>
          <w:rFonts w:ascii="Book Antiqua" w:hAnsi="Book Antiqua" w:cs="Arial"/>
        </w:rPr>
        <w:t xml:space="preserve"> strong association exists between a</w:t>
      </w:r>
      <w:r w:rsidR="00D236B1" w:rsidRPr="001467E4">
        <w:rPr>
          <w:rFonts w:ascii="Book Antiqua" w:hAnsi="Book Antiqua" w:cs="Arial"/>
        </w:rPr>
        <w:t>nti-</w:t>
      </w:r>
      <w:r w:rsidR="00D236B1" w:rsidRPr="001467E4">
        <w:rPr>
          <w:rFonts w:ascii="Book Antiqua" w:hAnsi="Book Antiqua" w:cs="Arial"/>
        </w:rPr>
        <w:sym w:font="Symbol" w:char="F062"/>
      </w:r>
      <w:r w:rsidR="00D236B1" w:rsidRPr="001467E4">
        <w:rPr>
          <w:rFonts w:ascii="Book Antiqua" w:hAnsi="Book Antiqua" w:cs="Arial"/>
        </w:rPr>
        <w:t>2GPI</w:t>
      </w:r>
      <w:r w:rsidR="00401AE6" w:rsidRPr="001467E4">
        <w:rPr>
          <w:rFonts w:ascii="Book Antiqua" w:hAnsi="Book Antiqua" w:cs="Arial"/>
        </w:rPr>
        <w:t xml:space="preserve"> and</w:t>
      </w:r>
      <w:r w:rsidR="00D236B1" w:rsidRPr="001467E4">
        <w:rPr>
          <w:rFonts w:ascii="Book Antiqua" w:hAnsi="Book Antiqua" w:cs="Arial"/>
        </w:rPr>
        <w:t xml:space="preserve"> HLA-DR4 haplotypes, </w:t>
      </w:r>
      <w:r w:rsidR="00401AE6" w:rsidRPr="001467E4">
        <w:rPr>
          <w:rFonts w:ascii="Book Antiqua" w:hAnsi="Book Antiqua" w:cs="Arial"/>
        </w:rPr>
        <w:t>particularly when linked to</w:t>
      </w:r>
      <w:r w:rsidR="00D236B1" w:rsidRPr="001467E4">
        <w:rPr>
          <w:rFonts w:ascii="Book Antiqua" w:hAnsi="Book Antiqua" w:cs="Arial"/>
        </w:rPr>
        <w:t xml:space="preserve"> HLA-DQ8 (DQB1*0302)</w:t>
      </w:r>
      <w:r w:rsidR="00401AE6" w:rsidRPr="001467E4">
        <w:rPr>
          <w:rFonts w:ascii="Book Antiqua" w:hAnsi="Book Antiqua" w:cs="Arial"/>
        </w:rPr>
        <w:t xml:space="preserve"> in Caucasian and Mexican Americans</w:t>
      </w:r>
      <w:r w:rsidR="00D236B1" w:rsidRPr="001467E4">
        <w:rPr>
          <w:rFonts w:ascii="Book Antiqua" w:hAnsi="Book Antiqua" w:cs="Arial"/>
        </w:rPr>
        <w:t xml:space="preserve">, while </w:t>
      </w:r>
      <w:r w:rsidR="00401AE6" w:rsidRPr="001467E4">
        <w:rPr>
          <w:rFonts w:ascii="Book Antiqua" w:hAnsi="Book Antiqua" w:cs="Arial"/>
        </w:rPr>
        <w:t>the association with</w:t>
      </w:r>
      <w:r w:rsidR="00D236B1" w:rsidRPr="001467E4">
        <w:rPr>
          <w:rFonts w:ascii="Book Antiqua" w:hAnsi="Book Antiqua" w:cs="Arial"/>
        </w:rPr>
        <w:t xml:space="preserve"> anti-</w:t>
      </w:r>
      <w:r w:rsidR="00D236B1" w:rsidRPr="001467E4">
        <w:rPr>
          <w:rFonts w:ascii="Book Antiqua" w:hAnsi="Book Antiqua" w:cs="Arial"/>
        </w:rPr>
        <w:sym w:font="Symbol" w:char="F062"/>
      </w:r>
      <w:r w:rsidR="00D236B1" w:rsidRPr="001467E4">
        <w:rPr>
          <w:rFonts w:ascii="Book Antiqua" w:hAnsi="Book Antiqua" w:cs="Arial"/>
        </w:rPr>
        <w:t xml:space="preserve">2GPI </w:t>
      </w:r>
      <w:r w:rsidR="00401AE6" w:rsidRPr="001467E4">
        <w:rPr>
          <w:rFonts w:ascii="Book Antiqua" w:hAnsi="Book Antiqua" w:cs="Arial"/>
        </w:rPr>
        <w:t>was attributed to the</w:t>
      </w:r>
      <w:r w:rsidR="00D236B1" w:rsidRPr="001467E4">
        <w:rPr>
          <w:rFonts w:ascii="Book Antiqua" w:hAnsi="Book Antiqua" w:cs="Arial"/>
        </w:rPr>
        <w:t xml:space="preserve"> HLA-DRB1*1302;DQB1*0604/0605 haplotype </w:t>
      </w:r>
      <w:r w:rsidR="00401AE6" w:rsidRPr="001467E4">
        <w:rPr>
          <w:rFonts w:ascii="Book Antiqua" w:hAnsi="Book Antiqua" w:cs="Arial"/>
        </w:rPr>
        <w:t>in African American and Caucasian Br</w:t>
      </w:r>
      <w:r w:rsidR="00A117B3">
        <w:rPr>
          <w:rFonts w:ascii="Book Antiqua" w:hAnsi="Book Antiqua" w:cs="Arial"/>
        </w:rPr>
        <w:t>itish patients with primary APS</w:t>
      </w:r>
      <w:r w:rsidR="00D236B1" w:rsidRPr="001467E4">
        <w:rPr>
          <w:rFonts w:ascii="Book Antiqua" w:hAnsi="Book Antiqua" w:cs="Arial"/>
          <w:vertAlign w:val="superscript"/>
        </w:rPr>
        <w:t>[</w:t>
      </w:r>
      <w:r w:rsidR="002C4E3E" w:rsidRPr="001467E4">
        <w:rPr>
          <w:rFonts w:ascii="Book Antiqua" w:hAnsi="Book Antiqua" w:cs="Arial"/>
          <w:vertAlign w:val="superscript"/>
        </w:rPr>
        <w:t>34,39</w:t>
      </w:r>
      <w:r w:rsidR="00D236B1" w:rsidRPr="001467E4">
        <w:rPr>
          <w:rFonts w:ascii="Book Antiqua" w:hAnsi="Book Antiqua" w:cs="Arial"/>
          <w:vertAlign w:val="superscript"/>
        </w:rPr>
        <w:t>]</w:t>
      </w:r>
      <w:r w:rsidR="00D236B1" w:rsidRPr="001467E4">
        <w:rPr>
          <w:rFonts w:ascii="Book Antiqua" w:hAnsi="Book Antiqua" w:cs="Arial"/>
        </w:rPr>
        <w:t xml:space="preserve">. </w:t>
      </w:r>
      <w:r w:rsidR="001028CA" w:rsidRPr="001467E4">
        <w:rPr>
          <w:rFonts w:ascii="Book Antiqua" w:hAnsi="Book Antiqua" w:cs="Arial"/>
        </w:rPr>
        <w:t xml:space="preserve">In </w:t>
      </w:r>
      <w:r w:rsidR="00D236B1" w:rsidRPr="001467E4">
        <w:rPr>
          <w:rFonts w:ascii="Book Antiqua" w:hAnsi="Book Antiqua" w:cs="Arial"/>
        </w:rPr>
        <w:t>black American populations</w:t>
      </w:r>
      <w:r w:rsidR="001028CA" w:rsidRPr="001467E4">
        <w:rPr>
          <w:rFonts w:ascii="Book Antiqua" w:hAnsi="Book Antiqua" w:cs="Arial"/>
        </w:rPr>
        <w:t xml:space="preserve">, there is evidence that C4A or C4B null alleles are associated with the presence of aCL. It is interesting to note however, that </w:t>
      </w:r>
      <w:r w:rsidR="00D236B1" w:rsidRPr="001467E4">
        <w:rPr>
          <w:rFonts w:ascii="Book Antiqua" w:hAnsi="Book Antiqua" w:cs="Arial"/>
        </w:rPr>
        <w:t>in the Hopkins Lupus Cohort</w:t>
      </w:r>
      <w:r w:rsidR="00401AE6" w:rsidRPr="001467E4">
        <w:rPr>
          <w:rFonts w:ascii="Book Antiqua" w:hAnsi="Book Antiqua" w:cs="Arial"/>
        </w:rPr>
        <w:t xml:space="preserve">, composed of a significant number of African Americans, patients </w:t>
      </w:r>
      <w:r w:rsidR="00D236B1" w:rsidRPr="001467E4">
        <w:rPr>
          <w:rFonts w:ascii="Book Antiqua" w:hAnsi="Book Antiqua" w:cs="Arial"/>
        </w:rPr>
        <w:t>who were homozygous for C4A deficiency had a lower frequency of aCL and LA than p</w:t>
      </w:r>
      <w:r w:rsidR="00A117B3">
        <w:rPr>
          <w:rFonts w:ascii="Book Antiqua" w:hAnsi="Book Antiqua" w:cs="Arial"/>
        </w:rPr>
        <w:t>atients without this deficiency</w:t>
      </w:r>
      <w:r w:rsidR="002C4E3E" w:rsidRPr="001467E4">
        <w:rPr>
          <w:rFonts w:ascii="Book Antiqua" w:hAnsi="Book Antiqua" w:cs="Arial"/>
          <w:vertAlign w:val="superscript"/>
        </w:rPr>
        <w:t>[40-42]</w:t>
      </w:r>
      <w:r w:rsidR="00D236B1" w:rsidRPr="001467E4">
        <w:rPr>
          <w:rFonts w:ascii="Book Antiqua" w:hAnsi="Book Antiqua" w:cs="Arial"/>
        </w:rPr>
        <w:t xml:space="preserve">. </w:t>
      </w:r>
    </w:p>
    <w:p w14:paraId="578B58BC" w14:textId="77777777" w:rsidR="00A117B3" w:rsidRPr="001467E4" w:rsidRDefault="00A117B3" w:rsidP="00A117B3">
      <w:pPr>
        <w:spacing w:after="0" w:line="360" w:lineRule="auto"/>
        <w:ind w:firstLineChars="100" w:firstLine="240"/>
        <w:jc w:val="both"/>
        <w:rPr>
          <w:rFonts w:ascii="Book Antiqua" w:hAnsi="Book Antiqua" w:cs="Arial"/>
          <w:lang w:eastAsia="zh-CN"/>
        </w:rPr>
      </w:pPr>
    </w:p>
    <w:p w14:paraId="3784F284" w14:textId="53DE7AA7" w:rsidR="009F01CE" w:rsidRPr="00A117B3" w:rsidRDefault="001028CA" w:rsidP="001467E4">
      <w:pPr>
        <w:spacing w:after="0" w:line="360" w:lineRule="auto"/>
        <w:jc w:val="both"/>
        <w:rPr>
          <w:rFonts w:ascii="Book Antiqua" w:hAnsi="Book Antiqua" w:cs="Arial"/>
          <w:b/>
          <w:i/>
        </w:rPr>
      </w:pPr>
      <w:r w:rsidRPr="00A117B3">
        <w:rPr>
          <w:rFonts w:ascii="Book Antiqua" w:hAnsi="Book Antiqua" w:cs="Arial"/>
          <w:b/>
          <w:i/>
        </w:rPr>
        <w:t>Non-</w:t>
      </w:r>
      <w:r w:rsidR="009F01CE" w:rsidRPr="00A117B3">
        <w:rPr>
          <w:rFonts w:ascii="Book Antiqua" w:hAnsi="Book Antiqua" w:cs="Arial"/>
          <w:b/>
          <w:i/>
        </w:rPr>
        <w:t xml:space="preserve">HLA </w:t>
      </w:r>
      <w:r w:rsidR="00A117B3" w:rsidRPr="00A117B3">
        <w:rPr>
          <w:rFonts w:ascii="Book Antiqua" w:hAnsi="Book Antiqua" w:cs="Arial"/>
          <w:b/>
          <w:i/>
        </w:rPr>
        <w:t>a</w:t>
      </w:r>
      <w:r w:rsidR="009F01CE" w:rsidRPr="00A117B3">
        <w:rPr>
          <w:rFonts w:ascii="Book Antiqua" w:hAnsi="Book Antiqua" w:cs="Arial"/>
          <w:b/>
          <w:i/>
        </w:rPr>
        <w:t>ssociations</w:t>
      </w:r>
    </w:p>
    <w:p w14:paraId="1B67ABDE" w14:textId="6E72855E" w:rsidR="00B30935" w:rsidRPr="001467E4" w:rsidRDefault="00660C5B" w:rsidP="001467E4">
      <w:pPr>
        <w:tabs>
          <w:tab w:val="left" w:pos="2070"/>
        </w:tabs>
        <w:spacing w:after="0" w:line="360" w:lineRule="auto"/>
        <w:jc w:val="both"/>
        <w:rPr>
          <w:rFonts w:ascii="Book Antiqua" w:hAnsi="Book Antiqua" w:cs="Arial"/>
        </w:rPr>
      </w:pPr>
      <w:r w:rsidRPr="001467E4">
        <w:rPr>
          <w:rFonts w:ascii="Book Antiqua" w:hAnsi="Book Antiqua" w:cs="Arial"/>
        </w:rPr>
        <w:t>Mutations in genes not associated with the</w:t>
      </w:r>
      <w:r w:rsidR="00D236B1" w:rsidRPr="001467E4">
        <w:rPr>
          <w:rFonts w:ascii="Book Antiqua" w:hAnsi="Book Antiqua" w:cs="Arial"/>
        </w:rPr>
        <w:t xml:space="preserve"> MHC region</w:t>
      </w:r>
      <w:r w:rsidRPr="001467E4">
        <w:rPr>
          <w:rFonts w:ascii="Book Antiqua" w:hAnsi="Book Antiqua" w:cs="Arial"/>
        </w:rPr>
        <w:t>, such as a</w:t>
      </w:r>
      <w:r w:rsidR="00D236B1" w:rsidRPr="001467E4">
        <w:rPr>
          <w:rFonts w:ascii="Book Antiqua" w:hAnsi="Book Antiqua" w:cs="Arial"/>
        </w:rPr>
        <w:t xml:space="preserve"> </w:t>
      </w:r>
      <w:r w:rsidRPr="001467E4">
        <w:rPr>
          <w:rFonts w:ascii="Book Antiqua" w:hAnsi="Book Antiqua" w:cs="Arial"/>
        </w:rPr>
        <w:t xml:space="preserve">substitution of valine for leucine at amino acide residue 247 in </w:t>
      </w:r>
      <w:r w:rsidR="00D236B1" w:rsidRPr="001467E4">
        <w:rPr>
          <w:rFonts w:ascii="Book Antiqua" w:hAnsi="Book Antiqua" w:cs="Arial"/>
        </w:rPr>
        <w:t xml:space="preserve">domain </w:t>
      </w:r>
      <w:r w:rsidR="00B30935" w:rsidRPr="001467E4">
        <w:rPr>
          <w:rFonts w:ascii="Book Antiqua" w:hAnsi="Book Antiqua" w:cs="Arial"/>
        </w:rPr>
        <w:t>V</w:t>
      </w:r>
      <w:r w:rsidR="00D236B1" w:rsidRPr="001467E4">
        <w:rPr>
          <w:rFonts w:ascii="Book Antiqua" w:hAnsi="Book Antiqua" w:cs="Arial"/>
        </w:rPr>
        <w:t xml:space="preserve"> of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w:t>
      </w:r>
      <w:r w:rsidRPr="001467E4">
        <w:rPr>
          <w:rFonts w:ascii="Book Antiqua" w:hAnsi="Book Antiqua" w:cs="Arial"/>
        </w:rPr>
        <w:t>can contribute to APS development. This polymorphism is more prevalent in</w:t>
      </w:r>
      <w:r w:rsidR="00D236B1" w:rsidRPr="001467E4">
        <w:rPr>
          <w:rFonts w:ascii="Book Antiqua" w:hAnsi="Book Antiqua" w:cs="Arial"/>
        </w:rPr>
        <w:t xml:space="preserve"> APS </w:t>
      </w:r>
      <w:r w:rsidRPr="001467E4">
        <w:rPr>
          <w:rFonts w:ascii="Book Antiqua" w:hAnsi="Book Antiqua" w:cs="Arial"/>
        </w:rPr>
        <w:t xml:space="preserve">patients, especially those with arterial thrombosis, compared to </w:t>
      </w:r>
      <w:r w:rsidR="00D236B1" w:rsidRPr="001467E4">
        <w:rPr>
          <w:rFonts w:ascii="Book Antiqua" w:hAnsi="Book Antiqua" w:cs="Arial"/>
        </w:rPr>
        <w:t xml:space="preserve">matched controls and is </w:t>
      </w:r>
      <w:r w:rsidRPr="001467E4">
        <w:rPr>
          <w:rFonts w:ascii="Book Antiqua" w:hAnsi="Book Antiqua" w:cs="Arial"/>
        </w:rPr>
        <w:t>linked to</w:t>
      </w:r>
      <w:r w:rsidR="00D236B1" w:rsidRPr="001467E4">
        <w:rPr>
          <w:rFonts w:ascii="Book Antiqua" w:hAnsi="Book Antiqua" w:cs="Arial"/>
        </w:rPr>
        <w:t xml:space="preserve"> anti-</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G</w:t>
      </w:r>
      <w:r w:rsidR="00442311">
        <w:rPr>
          <w:rFonts w:ascii="Book Antiqua" w:hAnsi="Book Antiqua" w:cs="Arial"/>
        </w:rPr>
        <w:t>PI production in these patients</w:t>
      </w:r>
      <w:r w:rsidR="00D236B1" w:rsidRPr="001467E4">
        <w:rPr>
          <w:rFonts w:ascii="Book Antiqua" w:hAnsi="Book Antiqua" w:cs="Arial"/>
          <w:vertAlign w:val="superscript"/>
        </w:rPr>
        <w:t>[</w:t>
      </w:r>
      <w:r w:rsidR="002C4E3E" w:rsidRPr="001467E4">
        <w:rPr>
          <w:rFonts w:ascii="Book Antiqua" w:hAnsi="Book Antiqua" w:cs="Arial"/>
          <w:vertAlign w:val="superscript"/>
        </w:rPr>
        <w:t>43-45</w:t>
      </w:r>
      <w:r w:rsidR="00D236B1" w:rsidRPr="001467E4">
        <w:rPr>
          <w:rFonts w:ascii="Book Antiqua" w:hAnsi="Book Antiqua" w:cs="Arial"/>
          <w:vertAlign w:val="superscript"/>
        </w:rPr>
        <w:t>]</w:t>
      </w:r>
      <w:r w:rsidR="00D236B1" w:rsidRPr="001467E4">
        <w:rPr>
          <w:rFonts w:ascii="Book Antiqua" w:hAnsi="Book Antiqua" w:cs="Arial"/>
        </w:rPr>
        <w:t xml:space="preserve">. </w:t>
      </w:r>
      <w:r w:rsidRPr="001467E4">
        <w:rPr>
          <w:rFonts w:ascii="Book Antiqua" w:hAnsi="Book Antiqua" w:cs="Arial"/>
        </w:rPr>
        <w:t>Other</w:t>
      </w:r>
      <w:r w:rsidR="00B30935" w:rsidRPr="001467E4">
        <w:rPr>
          <w:rFonts w:ascii="Book Antiqua" w:hAnsi="Book Antiqua" w:cs="Arial"/>
        </w:rPr>
        <w:t xml:space="preserve"> </w:t>
      </w:r>
      <w:r w:rsidRPr="001467E4">
        <w:rPr>
          <w:rFonts w:ascii="Book Antiqua" w:hAnsi="Book Antiqua" w:cs="Arial"/>
        </w:rPr>
        <w:t xml:space="preserve">thrombophilia-related </w:t>
      </w:r>
      <w:r w:rsidR="00D236B1" w:rsidRPr="001467E4">
        <w:rPr>
          <w:rFonts w:ascii="Book Antiqua" w:hAnsi="Book Antiqua" w:cs="Arial"/>
        </w:rPr>
        <w:t xml:space="preserve">genetic factors </w:t>
      </w:r>
      <w:r w:rsidRPr="001467E4">
        <w:rPr>
          <w:rFonts w:ascii="Book Antiqua" w:hAnsi="Book Antiqua" w:cs="Arial"/>
        </w:rPr>
        <w:t>like</w:t>
      </w:r>
      <w:r w:rsidR="00D236B1" w:rsidRPr="001467E4">
        <w:rPr>
          <w:rFonts w:ascii="Book Antiqua" w:hAnsi="Book Antiqua" w:cs="Arial"/>
        </w:rPr>
        <w:t xml:space="preserve"> factor V Leiden</w:t>
      </w:r>
      <w:r w:rsidRPr="001467E4">
        <w:rPr>
          <w:rFonts w:ascii="Book Antiqua" w:hAnsi="Book Antiqua" w:cs="Arial"/>
        </w:rPr>
        <w:t xml:space="preserve">, </w:t>
      </w:r>
      <w:r w:rsidR="00D236B1" w:rsidRPr="001467E4">
        <w:rPr>
          <w:rFonts w:ascii="Book Antiqua" w:hAnsi="Book Antiqua" w:cs="Arial"/>
        </w:rPr>
        <w:t xml:space="preserve">prothrombin mutations and </w:t>
      </w:r>
      <w:r w:rsidRPr="001467E4">
        <w:rPr>
          <w:rFonts w:ascii="Book Antiqua" w:hAnsi="Book Antiqua" w:cs="Arial"/>
        </w:rPr>
        <w:t xml:space="preserve">deficiencies of </w:t>
      </w:r>
      <w:r w:rsidR="00D236B1" w:rsidRPr="001467E4">
        <w:rPr>
          <w:rFonts w:ascii="Book Antiqua" w:hAnsi="Book Antiqua" w:cs="Arial"/>
        </w:rPr>
        <w:t xml:space="preserve">antithrombin III, protein C and protein S </w:t>
      </w:r>
      <w:r w:rsidRPr="001467E4">
        <w:rPr>
          <w:rFonts w:ascii="Book Antiqua" w:hAnsi="Book Antiqua" w:cs="Arial"/>
        </w:rPr>
        <w:t>have also been linke</w:t>
      </w:r>
      <w:r w:rsidR="00442311">
        <w:rPr>
          <w:rFonts w:ascii="Book Antiqua" w:hAnsi="Book Antiqua" w:cs="Arial"/>
        </w:rPr>
        <w:t>d to APS disease manifestations</w:t>
      </w:r>
      <w:r w:rsidR="00D236B1" w:rsidRPr="001467E4">
        <w:rPr>
          <w:rFonts w:ascii="Book Antiqua" w:hAnsi="Book Antiqua" w:cs="Arial"/>
          <w:vertAlign w:val="superscript"/>
        </w:rPr>
        <w:t>[</w:t>
      </w:r>
      <w:r w:rsidR="002C4E3E" w:rsidRPr="001467E4">
        <w:rPr>
          <w:rFonts w:ascii="Book Antiqua" w:hAnsi="Book Antiqua" w:cs="Arial"/>
          <w:vertAlign w:val="superscript"/>
        </w:rPr>
        <w:t>46</w:t>
      </w:r>
      <w:r w:rsidR="00D236B1" w:rsidRPr="001467E4">
        <w:rPr>
          <w:rFonts w:ascii="Book Antiqua" w:hAnsi="Book Antiqua" w:cs="Arial"/>
          <w:vertAlign w:val="superscript"/>
        </w:rPr>
        <w:t>]</w:t>
      </w:r>
      <w:r w:rsidR="00D236B1" w:rsidRPr="001467E4">
        <w:rPr>
          <w:rFonts w:ascii="Book Antiqua" w:hAnsi="Book Antiqua" w:cs="Arial"/>
        </w:rPr>
        <w:t xml:space="preserve">. </w:t>
      </w:r>
    </w:p>
    <w:p w14:paraId="7197BF85" w14:textId="2B5C6708" w:rsidR="00D24761" w:rsidRPr="001467E4" w:rsidRDefault="00146982" w:rsidP="00442311">
      <w:pPr>
        <w:tabs>
          <w:tab w:val="left" w:pos="2070"/>
        </w:tabs>
        <w:spacing w:after="0" w:line="360" w:lineRule="auto"/>
        <w:ind w:firstLineChars="100" w:firstLine="240"/>
        <w:jc w:val="both"/>
        <w:rPr>
          <w:rFonts w:ascii="Book Antiqua" w:hAnsi="Book Antiqua" w:cs="Arial"/>
        </w:rPr>
      </w:pPr>
      <w:r w:rsidRPr="001467E4">
        <w:rPr>
          <w:rFonts w:ascii="Book Antiqua" w:hAnsi="Book Antiqua" w:cs="Arial"/>
        </w:rPr>
        <w:t xml:space="preserve">The prevalence of the </w:t>
      </w:r>
      <w:r w:rsidR="00D236B1" w:rsidRPr="001467E4">
        <w:rPr>
          <w:rFonts w:ascii="Book Antiqua" w:hAnsi="Book Antiqua" w:cs="Arial"/>
        </w:rPr>
        <w:t xml:space="preserve">factor V Leiden G1691A (FVL) mutation in Caucasian populations </w:t>
      </w:r>
      <w:r w:rsidRPr="001467E4">
        <w:rPr>
          <w:rFonts w:ascii="Book Antiqua" w:hAnsi="Book Antiqua" w:cs="Arial"/>
        </w:rPr>
        <w:t>has been reported to range from</w:t>
      </w:r>
      <w:r w:rsidR="00D236B1" w:rsidRPr="001467E4">
        <w:rPr>
          <w:rFonts w:ascii="Book Antiqua" w:hAnsi="Book Antiqua" w:cs="Arial"/>
        </w:rPr>
        <w:t xml:space="preserve"> 1% to </w:t>
      </w:r>
      <w:r w:rsidRPr="001467E4">
        <w:rPr>
          <w:rFonts w:ascii="Book Antiqua" w:hAnsi="Book Antiqua" w:cs="Arial"/>
        </w:rPr>
        <w:t xml:space="preserve">as high as </w:t>
      </w:r>
      <w:r w:rsidR="00442311">
        <w:rPr>
          <w:rFonts w:ascii="Book Antiqua" w:hAnsi="Book Antiqua" w:cs="Arial"/>
        </w:rPr>
        <w:t>15%</w:t>
      </w:r>
      <w:r w:rsidR="00D236B1" w:rsidRPr="001467E4">
        <w:rPr>
          <w:rFonts w:ascii="Book Antiqua" w:hAnsi="Book Antiqua" w:cs="Arial"/>
          <w:vertAlign w:val="superscript"/>
        </w:rPr>
        <w:t>[</w:t>
      </w:r>
      <w:r w:rsidR="002C4E3E" w:rsidRPr="001467E4">
        <w:rPr>
          <w:rFonts w:ascii="Book Antiqua" w:hAnsi="Book Antiqua" w:cs="Arial"/>
          <w:vertAlign w:val="superscript"/>
        </w:rPr>
        <w:t>47,48</w:t>
      </w:r>
      <w:r w:rsidR="00D236B1" w:rsidRPr="001467E4">
        <w:rPr>
          <w:rFonts w:ascii="Book Antiqua" w:hAnsi="Book Antiqua" w:cs="Arial"/>
          <w:vertAlign w:val="superscript"/>
        </w:rPr>
        <w:t>]</w:t>
      </w:r>
      <w:r w:rsidR="00D236B1" w:rsidRPr="001467E4">
        <w:rPr>
          <w:rFonts w:ascii="Book Antiqua" w:hAnsi="Book Antiqua" w:cs="Arial"/>
        </w:rPr>
        <w:t xml:space="preserve">. </w:t>
      </w:r>
      <w:r w:rsidR="00127705" w:rsidRPr="001467E4">
        <w:rPr>
          <w:rFonts w:ascii="Book Antiqua" w:hAnsi="Book Antiqua" w:cs="Arial"/>
        </w:rPr>
        <w:t>Studies have shown that persons homozygous for FVL have an approximately 80-fold increase and heterozygous individuals a seven-fold increase in the lifetime risk for a thrombotic event compared to the general population. However, FVL seems to have a milder effect on the development of thrombosis in APS patients than in the general population due to the effect of aPL, but this mutation may increase the thrombogenic effect of aPL in several patients</w:t>
      </w:r>
      <w:r w:rsidR="00D236B1" w:rsidRPr="001467E4">
        <w:rPr>
          <w:rFonts w:ascii="Book Antiqua" w:hAnsi="Book Antiqua" w:cs="Arial"/>
          <w:vertAlign w:val="superscript"/>
        </w:rPr>
        <w:t>[</w:t>
      </w:r>
      <w:r w:rsidR="006F3578" w:rsidRPr="001467E4">
        <w:rPr>
          <w:rFonts w:ascii="Book Antiqua" w:hAnsi="Book Antiqua" w:cs="Arial"/>
          <w:vertAlign w:val="superscript"/>
        </w:rPr>
        <w:t>49-51</w:t>
      </w:r>
      <w:r w:rsidR="00D236B1" w:rsidRPr="001467E4">
        <w:rPr>
          <w:rFonts w:ascii="Book Antiqua" w:hAnsi="Book Antiqua" w:cs="Arial"/>
          <w:vertAlign w:val="superscript"/>
        </w:rPr>
        <w:t>]</w:t>
      </w:r>
      <w:r w:rsidR="00D236B1" w:rsidRPr="001467E4">
        <w:rPr>
          <w:rFonts w:ascii="Book Antiqua" w:hAnsi="Book Antiqua" w:cs="Arial"/>
        </w:rPr>
        <w:t xml:space="preserve">. The G20210A prothrombin mutation (F2 G20210A) </w:t>
      </w:r>
      <w:r w:rsidR="00127705" w:rsidRPr="001467E4">
        <w:rPr>
          <w:rFonts w:ascii="Book Antiqua" w:hAnsi="Book Antiqua" w:cs="Arial"/>
        </w:rPr>
        <w:t>does confer an elevated risk of</w:t>
      </w:r>
      <w:r w:rsidR="00D236B1" w:rsidRPr="001467E4">
        <w:rPr>
          <w:rFonts w:ascii="Book Antiqua" w:hAnsi="Book Antiqua" w:cs="Arial"/>
        </w:rPr>
        <w:t xml:space="preserve"> </w:t>
      </w:r>
      <w:r w:rsidR="00127705" w:rsidRPr="001467E4">
        <w:rPr>
          <w:rFonts w:ascii="Book Antiqua" w:hAnsi="Book Antiqua" w:cs="Arial"/>
        </w:rPr>
        <w:t xml:space="preserve">deep </w:t>
      </w:r>
      <w:r w:rsidR="00D236B1" w:rsidRPr="001467E4">
        <w:rPr>
          <w:rFonts w:ascii="Book Antiqua" w:hAnsi="Book Antiqua" w:cs="Arial"/>
        </w:rPr>
        <w:t>venous thromboembolism in the general population</w:t>
      </w:r>
      <w:r w:rsidR="00127705" w:rsidRPr="001467E4">
        <w:rPr>
          <w:rFonts w:ascii="Book Antiqua" w:hAnsi="Book Antiqua" w:cs="Arial"/>
        </w:rPr>
        <w:t>, although to a lesser degree than FVL,</w:t>
      </w:r>
      <w:r w:rsidR="00D236B1" w:rsidRPr="001467E4">
        <w:rPr>
          <w:rFonts w:ascii="Book Antiqua" w:hAnsi="Book Antiqua" w:cs="Arial"/>
        </w:rPr>
        <w:t xml:space="preserve"> but </w:t>
      </w:r>
      <w:r w:rsidR="00E82D77" w:rsidRPr="001467E4">
        <w:rPr>
          <w:rFonts w:ascii="Book Antiqua" w:hAnsi="Book Antiqua" w:cs="Arial"/>
        </w:rPr>
        <w:t>in APS patients the effect seems to be less consistent</w:t>
      </w:r>
      <w:r w:rsidR="00D236B1" w:rsidRPr="001467E4">
        <w:rPr>
          <w:rFonts w:ascii="Book Antiqua" w:hAnsi="Book Antiqua" w:cs="Arial"/>
        </w:rPr>
        <w:t xml:space="preserve">. </w:t>
      </w:r>
      <w:r w:rsidR="00E82D77" w:rsidRPr="001467E4">
        <w:rPr>
          <w:rFonts w:ascii="Book Antiqua" w:hAnsi="Book Antiqua" w:cs="Arial"/>
        </w:rPr>
        <w:t>While it was first reported that the gene did not increase risk</w:t>
      </w:r>
      <w:r w:rsidR="00D236B1" w:rsidRPr="001467E4">
        <w:rPr>
          <w:rFonts w:ascii="Book Antiqua" w:hAnsi="Book Antiqua" w:cs="Arial"/>
        </w:rPr>
        <w:t xml:space="preserve"> </w:t>
      </w:r>
      <w:r w:rsidR="00D24761" w:rsidRPr="001467E4">
        <w:rPr>
          <w:rFonts w:ascii="Book Antiqua" w:hAnsi="Book Antiqua" w:cs="Arial"/>
        </w:rPr>
        <w:t>in Caucasian and Mexican mestizo APS patients</w:t>
      </w:r>
      <w:r w:rsidR="004C24F5" w:rsidRPr="001467E4">
        <w:rPr>
          <w:rFonts w:ascii="Book Antiqua" w:hAnsi="Book Antiqua" w:cs="Arial"/>
          <w:vertAlign w:val="superscript"/>
        </w:rPr>
        <w:t>[52-54]</w:t>
      </w:r>
      <w:r w:rsidR="00E82D77" w:rsidRPr="001467E4">
        <w:rPr>
          <w:rFonts w:ascii="Book Antiqua" w:hAnsi="Book Antiqua" w:cs="Arial"/>
        </w:rPr>
        <w:t>, studies that followed</w:t>
      </w:r>
      <w:r w:rsidR="00D236B1" w:rsidRPr="001467E4">
        <w:rPr>
          <w:rFonts w:ascii="Book Antiqua" w:hAnsi="Book Antiqua" w:cs="Arial"/>
        </w:rPr>
        <w:t xml:space="preserve"> demonstrated </w:t>
      </w:r>
      <w:r w:rsidR="00E82D77" w:rsidRPr="001467E4">
        <w:rPr>
          <w:rFonts w:ascii="Book Antiqua" w:hAnsi="Book Antiqua" w:cs="Arial"/>
        </w:rPr>
        <w:t xml:space="preserve">that an </w:t>
      </w:r>
      <w:r w:rsidR="004E3951" w:rsidRPr="001467E4">
        <w:rPr>
          <w:rFonts w:ascii="Book Antiqua" w:hAnsi="Book Antiqua" w:cs="Arial"/>
        </w:rPr>
        <w:t xml:space="preserve">elevated </w:t>
      </w:r>
      <w:r w:rsidR="00E82D77" w:rsidRPr="001467E4">
        <w:rPr>
          <w:rFonts w:ascii="Book Antiqua" w:hAnsi="Book Antiqua" w:cs="Arial"/>
        </w:rPr>
        <w:t>rate of</w:t>
      </w:r>
      <w:r w:rsidR="00D236B1" w:rsidRPr="001467E4">
        <w:rPr>
          <w:rFonts w:ascii="Book Antiqua" w:hAnsi="Book Antiqua" w:cs="Arial"/>
        </w:rPr>
        <w:t xml:space="preserve"> thrombo</w:t>
      </w:r>
      <w:r w:rsidR="004E3951" w:rsidRPr="001467E4">
        <w:rPr>
          <w:rFonts w:ascii="Book Antiqua" w:hAnsi="Book Antiqua" w:cs="Arial"/>
        </w:rPr>
        <w:t>tic disease</w:t>
      </w:r>
      <w:r w:rsidR="00D236B1" w:rsidRPr="001467E4">
        <w:rPr>
          <w:rFonts w:ascii="Book Antiqua" w:hAnsi="Book Antiqua" w:cs="Arial"/>
        </w:rPr>
        <w:t xml:space="preserve"> in patients</w:t>
      </w:r>
      <w:r w:rsidR="00E82D77" w:rsidRPr="001467E4">
        <w:rPr>
          <w:rFonts w:ascii="Book Antiqua" w:hAnsi="Book Antiqua" w:cs="Arial"/>
        </w:rPr>
        <w:t xml:space="preserve"> </w:t>
      </w:r>
      <w:r w:rsidR="004E3951" w:rsidRPr="001467E4">
        <w:rPr>
          <w:rFonts w:ascii="Book Antiqua" w:hAnsi="Book Antiqua" w:cs="Arial"/>
        </w:rPr>
        <w:t xml:space="preserve">with APS </w:t>
      </w:r>
      <w:r w:rsidR="00E82D77" w:rsidRPr="001467E4">
        <w:rPr>
          <w:rFonts w:ascii="Book Antiqua" w:hAnsi="Book Antiqua" w:cs="Arial"/>
        </w:rPr>
        <w:t>could be attributed to the presence of the gene.</w:t>
      </w:r>
      <w:r w:rsidR="00D236B1" w:rsidRPr="001467E4">
        <w:rPr>
          <w:rFonts w:ascii="Book Antiqua" w:hAnsi="Book Antiqua" w:cs="Arial"/>
        </w:rPr>
        <w:t xml:space="preserve"> </w:t>
      </w:r>
      <w:r w:rsidR="00E82D77" w:rsidRPr="001467E4">
        <w:rPr>
          <w:rFonts w:ascii="Book Antiqua" w:hAnsi="Book Antiqua" w:cs="Arial"/>
        </w:rPr>
        <w:t>T</w:t>
      </w:r>
      <w:r w:rsidR="00D236B1" w:rsidRPr="001467E4">
        <w:rPr>
          <w:rFonts w:ascii="Book Antiqua" w:hAnsi="Book Antiqua" w:cs="Arial"/>
        </w:rPr>
        <w:t xml:space="preserve">he </w:t>
      </w:r>
      <w:r w:rsidR="004E3951" w:rsidRPr="001467E4">
        <w:rPr>
          <w:rFonts w:ascii="Book Antiqua" w:hAnsi="Book Antiqua" w:cs="Arial"/>
        </w:rPr>
        <w:t xml:space="preserve">initial report </w:t>
      </w:r>
      <w:r w:rsidR="00D236B1" w:rsidRPr="001467E4">
        <w:rPr>
          <w:rFonts w:ascii="Book Antiqua" w:hAnsi="Book Antiqua" w:cs="Arial"/>
        </w:rPr>
        <w:t xml:space="preserve">was </w:t>
      </w:r>
      <w:r w:rsidR="00E82D77" w:rsidRPr="001467E4">
        <w:rPr>
          <w:rFonts w:ascii="Book Antiqua" w:hAnsi="Book Antiqua" w:cs="Arial"/>
        </w:rPr>
        <w:t xml:space="preserve">of </w:t>
      </w:r>
      <w:r w:rsidR="00D236B1" w:rsidRPr="001467E4">
        <w:rPr>
          <w:rFonts w:ascii="Book Antiqua" w:hAnsi="Book Antiqua" w:cs="Arial"/>
        </w:rPr>
        <w:t xml:space="preserve">a young female </w:t>
      </w:r>
      <w:r w:rsidR="00E82D77" w:rsidRPr="001467E4">
        <w:rPr>
          <w:rFonts w:ascii="Book Antiqua" w:hAnsi="Book Antiqua" w:cs="Arial"/>
        </w:rPr>
        <w:t xml:space="preserve">patient with </w:t>
      </w:r>
      <w:r w:rsidR="004E3951" w:rsidRPr="001467E4">
        <w:rPr>
          <w:rFonts w:ascii="Book Antiqua" w:hAnsi="Book Antiqua" w:cs="Arial"/>
        </w:rPr>
        <w:t xml:space="preserve">the homozygous G20210A mutation and </w:t>
      </w:r>
      <w:r w:rsidR="00E82D77" w:rsidRPr="001467E4">
        <w:rPr>
          <w:rFonts w:ascii="Book Antiqua" w:hAnsi="Book Antiqua" w:cs="Arial"/>
        </w:rPr>
        <w:t>lupus associated</w:t>
      </w:r>
      <w:r w:rsidR="00D236B1" w:rsidRPr="001467E4">
        <w:rPr>
          <w:rFonts w:ascii="Book Antiqua" w:hAnsi="Book Antiqua" w:cs="Arial"/>
        </w:rPr>
        <w:t xml:space="preserve"> APS</w:t>
      </w:r>
      <w:r w:rsidR="00D236B1" w:rsidRPr="001467E4">
        <w:rPr>
          <w:rFonts w:ascii="Book Antiqua" w:hAnsi="Book Antiqua" w:cs="Arial"/>
          <w:vertAlign w:val="superscript"/>
        </w:rPr>
        <w:t>[</w:t>
      </w:r>
      <w:r w:rsidR="004C24F5" w:rsidRPr="001467E4">
        <w:rPr>
          <w:rFonts w:ascii="Book Antiqua" w:hAnsi="Book Antiqua" w:cs="Arial"/>
          <w:vertAlign w:val="superscript"/>
        </w:rPr>
        <w:t>55-57</w:t>
      </w:r>
      <w:r w:rsidR="00D236B1" w:rsidRPr="001467E4">
        <w:rPr>
          <w:rFonts w:ascii="Book Antiqua" w:hAnsi="Book Antiqua" w:cs="Arial"/>
          <w:vertAlign w:val="superscript"/>
        </w:rPr>
        <w:t>]</w:t>
      </w:r>
      <w:r w:rsidR="00D236B1" w:rsidRPr="001467E4">
        <w:rPr>
          <w:rFonts w:ascii="Book Antiqua" w:hAnsi="Book Antiqua" w:cs="Arial"/>
        </w:rPr>
        <w:t>.</w:t>
      </w:r>
      <w:r w:rsidR="00D24761" w:rsidRPr="001467E4">
        <w:rPr>
          <w:rFonts w:ascii="Book Antiqua" w:hAnsi="Book Antiqua" w:cs="Arial"/>
        </w:rPr>
        <w:t xml:space="preserve"> </w:t>
      </w:r>
      <w:r w:rsidR="00E82D77" w:rsidRPr="001467E4">
        <w:rPr>
          <w:rFonts w:ascii="Book Antiqua" w:hAnsi="Book Antiqua" w:cs="Arial"/>
        </w:rPr>
        <w:t>However, reports that followed</w:t>
      </w:r>
      <w:r w:rsidR="00D24761" w:rsidRPr="001467E4">
        <w:rPr>
          <w:rFonts w:ascii="Book Antiqua" w:hAnsi="Book Antiqua" w:cs="Arial"/>
        </w:rPr>
        <w:t xml:space="preserve"> </w:t>
      </w:r>
      <w:r w:rsidR="00E82D77" w:rsidRPr="001467E4">
        <w:rPr>
          <w:rFonts w:ascii="Book Antiqua" w:hAnsi="Book Antiqua" w:cs="Arial"/>
        </w:rPr>
        <w:t>could not demonstrate an</w:t>
      </w:r>
      <w:r w:rsidR="00D24761" w:rsidRPr="001467E4">
        <w:rPr>
          <w:rFonts w:ascii="Book Antiqua" w:hAnsi="Book Antiqua" w:cs="Arial"/>
        </w:rPr>
        <w:t xml:space="preserve"> </w:t>
      </w:r>
      <w:r w:rsidR="00E82D77" w:rsidRPr="001467E4">
        <w:rPr>
          <w:rFonts w:ascii="Book Antiqua" w:hAnsi="Book Antiqua" w:cs="Arial"/>
        </w:rPr>
        <w:t>association</w:t>
      </w:r>
      <w:r w:rsidR="00D24761" w:rsidRPr="001467E4">
        <w:rPr>
          <w:rFonts w:ascii="Book Antiqua" w:hAnsi="Book Antiqua" w:cs="Arial"/>
        </w:rPr>
        <w:t xml:space="preserve"> between this mutation and thrombosis i</w:t>
      </w:r>
      <w:r w:rsidR="00442311">
        <w:rPr>
          <w:rFonts w:ascii="Book Antiqua" w:hAnsi="Book Antiqua" w:cs="Arial"/>
        </w:rPr>
        <w:t>n APS</w:t>
      </w:r>
      <w:r w:rsidR="00D24761" w:rsidRPr="001467E4">
        <w:rPr>
          <w:rFonts w:ascii="Book Antiqua" w:hAnsi="Book Antiqua" w:cs="Arial"/>
          <w:vertAlign w:val="superscript"/>
        </w:rPr>
        <w:t>[</w:t>
      </w:r>
      <w:r w:rsidR="004C24F5" w:rsidRPr="001467E4">
        <w:rPr>
          <w:rFonts w:ascii="Book Antiqua" w:hAnsi="Book Antiqua" w:cs="Arial"/>
          <w:vertAlign w:val="superscript"/>
        </w:rPr>
        <w:t>5</w:t>
      </w:r>
      <w:r w:rsidR="00854FEB">
        <w:rPr>
          <w:rFonts w:ascii="Book Antiqua" w:hAnsi="Book Antiqua" w:cs="Arial" w:hint="eastAsia"/>
          <w:vertAlign w:val="superscript"/>
          <w:lang w:eastAsia="zh-CN"/>
        </w:rPr>
        <w:t>1</w:t>
      </w:r>
      <w:r w:rsidR="004C24F5" w:rsidRPr="001467E4">
        <w:rPr>
          <w:rFonts w:ascii="Book Antiqua" w:hAnsi="Book Antiqua" w:cs="Arial"/>
          <w:vertAlign w:val="superscript"/>
        </w:rPr>
        <w:t>,5</w:t>
      </w:r>
      <w:r w:rsidR="00854FEB">
        <w:rPr>
          <w:rFonts w:ascii="Book Antiqua" w:hAnsi="Book Antiqua" w:cs="Arial" w:hint="eastAsia"/>
          <w:vertAlign w:val="superscript"/>
          <w:lang w:eastAsia="zh-CN"/>
        </w:rPr>
        <w:t>8</w:t>
      </w:r>
      <w:r w:rsidR="00D24761" w:rsidRPr="001467E4">
        <w:rPr>
          <w:rFonts w:ascii="Book Antiqua" w:hAnsi="Book Antiqua" w:cs="Arial"/>
          <w:vertAlign w:val="superscript"/>
        </w:rPr>
        <w:t>]</w:t>
      </w:r>
      <w:r w:rsidR="00D24761" w:rsidRPr="001467E4">
        <w:rPr>
          <w:rFonts w:ascii="Book Antiqua" w:hAnsi="Book Antiqua" w:cs="Arial"/>
        </w:rPr>
        <w:t>.</w:t>
      </w:r>
    </w:p>
    <w:p w14:paraId="659B4408" w14:textId="1019FA2D" w:rsidR="00D236B1" w:rsidRDefault="00E82D77" w:rsidP="00442311">
      <w:pPr>
        <w:tabs>
          <w:tab w:val="left" w:pos="2070"/>
        </w:tabs>
        <w:spacing w:after="0" w:line="360" w:lineRule="auto"/>
        <w:ind w:firstLineChars="100" w:firstLine="240"/>
        <w:jc w:val="both"/>
        <w:rPr>
          <w:rFonts w:ascii="Book Antiqua" w:hAnsi="Book Antiqua" w:cs="Arial"/>
          <w:lang w:eastAsia="zh-CN"/>
        </w:rPr>
      </w:pPr>
      <w:r w:rsidRPr="001467E4">
        <w:rPr>
          <w:rFonts w:ascii="Book Antiqua" w:hAnsi="Book Antiqua" w:cs="Arial"/>
        </w:rPr>
        <w:t xml:space="preserve">As a result of the rarity of </w:t>
      </w:r>
      <w:r w:rsidR="00D236B1" w:rsidRPr="001467E4">
        <w:rPr>
          <w:rFonts w:ascii="Book Antiqua" w:hAnsi="Book Antiqua" w:cs="Arial"/>
        </w:rPr>
        <w:t>deficiencies</w:t>
      </w:r>
      <w:r w:rsidR="004E3951" w:rsidRPr="001467E4">
        <w:rPr>
          <w:rFonts w:ascii="Book Antiqua" w:hAnsi="Book Antiqua" w:cs="Arial"/>
        </w:rPr>
        <w:t xml:space="preserve"> in antithrombin III and protein C and S</w:t>
      </w:r>
      <w:r w:rsidRPr="001467E4">
        <w:rPr>
          <w:rFonts w:ascii="Book Antiqua" w:hAnsi="Book Antiqua" w:cs="Arial"/>
        </w:rPr>
        <w:t xml:space="preserve"> it has proven difficult to accurately</w:t>
      </w:r>
      <w:r w:rsidR="00D236B1" w:rsidRPr="001467E4">
        <w:rPr>
          <w:rFonts w:ascii="Book Antiqua" w:hAnsi="Book Antiqua" w:cs="Arial"/>
        </w:rPr>
        <w:t xml:space="preserve"> </w:t>
      </w:r>
      <w:r w:rsidRPr="001467E4">
        <w:rPr>
          <w:rFonts w:ascii="Book Antiqua" w:hAnsi="Book Antiqua" w:cs="Arial"/>
        </w:rPr>
        <w:t>assess the</w:t>
      </w:r>
      <w:r w:rsidR="00D236B1" w:rsidRPr="001467E4">
        <w:rPr>
          <w:rFonts w:ascii="Book Antiqua" w:hAnsi="Book Antiqua" w:cs="Arial"/>
        </w:rPr>
        <w:t xml:space="preserve"> </w:t>
      </w:r>
      <w:r w:rsidR="004E3951" w:rsidRPr="001467E4">
        <w:rPr>
          <w:rFonts w:ascii="Book Antiqua" w:hAnsi="Book Antiqua" w:cs="Arial"/>
        </w:rPr>
        <w:t>role played</w:t>
      </w:r>
      <w:r w:rsidR="00D236B1" w:rsidRPr="001467E4">
        <w:rPr>
          <w:rFonts w:ascii="Book Antiqua" w:hAnsi="Book Antiqua" w:cs="Arial"/>
        </w:rPr>
        <w:t xml:space="preserve"> </w:t>
      </w:r>
      <w:r w:rsidR="004E3951" w:rsidRPr="001467E4">
        <w:rPr>
          <w:rFonts w:ascii="Book Antiqua" w:hAnsi="Book Antiqua" w:cs="Arial"/>
        </w:rPr>
        <w:t xml:space="preserve">by </w:t>
      </w:r>
      <w:r w:rsidR="00D236B1" w:rsidRPr="001467E4">
        <w:rPr>
          <w:rFonts w:ascii="Book Antiqua" w:hAnsi="Book Antiqua" w:cs="Arial"/>
        </w:rPr>
        <w:t xml:space="preserve">these mutations </w:t>
      </w:r>
      <w:r w:rsidR="004E3951" w:rsidRPr="001467E4">
        <w:rPr>
          <w:rFonts w:ascii="Book Antiqua" w:hAnsi="Book Antiqua" w:cs="Arial"/>
        </w:rPr>
        <w:t>in increasing thrombotic risk in patients with aPL</w:t>
      </w:r>
      <w:r w:rsidR="00D236B1" w:rsidRPr="001467E4">
        <w:rPr>
          <w:rFonts w:ascii="Book Antiqua" w:hAnsi="Book Antiqua" w:cs="Arial"/>
        </w:rPr>
        <w:t xml:space="preserve">. However, </w:t>
      </w:r>
      <w:r w:rsidR="000557CA" w:rsidRPr="001467E4">
        <w:rPr>
          <w:rFonts w:ascii="Book Antiqua" w:hAnsi="Book Antiqua" w:cs="Arial"/>
        </w:rPr>
        <w:t>studies have linked</w:t>
      </w:r>
      <w:r w:rsidR="00D236B1" w:rsidRPr="001467E4">
        <w:rPr>
          <w:rFonts w:ascii="Book Antiqua" w:hAnsi="Book Antiqua" w:cs="Arial"/>
        </w:rPr>
        <w:t xml:space="preserve"> </w:t>
      </w:r>
      <w:r w:rsidR="000557CA" w:rsidRPr="001467E4">
        <w:rPr>
          <w:rFonts w:ascii="Book Antiqua" w:hAnsi="Book Antiqua" w:cs="Arial"/>
        </w:rPr>
        <w:t xml:space="preserve">an </w:t>
      </w:r>
      <w:r w:rsidR="004E3951" w:rsidRPr="001467E4">
        <w:rPr>
          <w:rFonts w:ascii="Book Antiqua" w:hAnsi="Book Antiqua" w:cs="Arial"/>
        </w:rPr>
        <w:t>elevated incidence of thrombotic disease</w:t>
      </w:r>
      <w:r w:rsidR="000557CA" w:rsidRPr="001467E4">
        <w:rPr>
          <w:rFonts w:ascii="Book Antiqua" w:hAnsi="Book Antiqua" w:cs="Arial"/>
        </w:rPr>
        <w:t xml:space="preserve"> </w:t>
      </w:r>
      <w:r w:rsidR="00D236B1" w:rsidRPr="001467E4">
        <w:rPr>
          <w:rFonts w:ascii="Book Antiqua" w:hAnsi="Book Antiqua" w:cs="Arial"/>
        </w:rPr>
        <w:t xml:space="preserve">with </w:t>
      </w:r>
      <w:r w:rsidR="004E3951" w:rsidRPr="001467E4">
        <w:rPr>
          <w:rFonts w:ascii="Book Antiqua" w:hAnsi="Book Antiqua" w:cs="Arial"/>
        </w:rPr>
        <w:t>deficiencies of both protein C and S</w:t>
      </w:r>
      <w:r w:rsidR="000557CA" w:rsidRPr="001467E4">
        <w:rPr>
          <w:rFonts w:ascii="Book Antiqua" w:hAnsi="Book Antiqua" w:cs="Arial"/>
        </w:rPr>
        <w:t xml:space="preserve"> in APS</w:t>
      </w:r>
      <w:r w:rsidR="00D236B1" w:rsidRPr="001467E4">
        <w:rPr>
          <w:rFonts w:ascii="Book Antiqua" w:hAnsi="Book Antiqua" w:cs="Arial"/>
          <w:vertAlign w:val="superscript"/>
        </w:rPr>
        <w:t>[</w:t>
      </w:r>
      <w:r w:rsidR="00854FEB">
        <w:rPr>
          <w:rFonts w:ascii="Book Antiqua" w:hAnsi="Book Antiqua" w:cs="Arial" w:hint="eastAsia"/>
          <w:vertAlign w:val="superscript"/>
          <w:lang w:eastAsia="zh-CN"/>
        </w:rPr>
        <w:t>59</w:t>
      </w:r>
      <w:r w:rsidR="004C6358" w:rsidRPr="001467E4">
        <w:rPr>
          <w:rFonts w:ascii="Book Antiqua" w:hAnsi="Book Antiqua" w:cs="Arial"/>
          <w:vertAlign w:val="superscript"/>
        </w:rPr>
        <w:t>,6</w:t>
      </w:r>
      <w:r w:rsidR="00854FEB">
        <w:rPr>
          <w:rFonts w:ascii="Book Antiqua" w:hAnsi="Book Antiqua" w:cs="Arial" w:hint="eastAsia"/>
          <w:vertAlign w:val="superscript"/>
          <w:lang w:eastAsia="zh-CN"/>
        </w:rPr>
        <w:t>0</w:t>
      </w:r>
      <w:r w:rsidR="00D236B1" w:rsidRPr="001467E4">
        <w:rPr>
          <w:rFonts w:ascii="Book Antiqua" w:hAnsi="Book Antiqua" w:cs="Arial"/>
          <w:vertAlign w:val="superscript"/>
        </w:rPr>
        <w:t>]</w:t>
      </w:r>
      <w:r w:rsidR="00D236B1" w:rsidRPr="001467E4">
        <w:rPr>
          <w:rFonts w:ascii="Book Antiqua" w:hAnsi="Book Antiqua" w:cs="Arial"/>
        </w:rPr>
        <w:t xml:space="preserve">. </w:t>
      </w:r>
      <w:r w:rsidR="00964581" w:rsidRPr="001467E4">
        <w:rPr>
          <w:rFonts w:ascii="Book Antiqua" w:hAnsi="Book Antiqua" w:cs="Arial"/>
        </w:rPr>
        <w:t xml:space="preserve">Polymorphisms in </w:t>
      </w:r>
      <w:r w:rsidR="004E3951" w:rsidRPr="001467E4">
        <w:rPr>
          <w:rFonts w:ascii="Book Antiqua" w:hAnsi="Book Antiqua" w:cs="Arial"/>
        </w:rPr>
        <w:t xml:space="preserve">other relevant genes including </w:t>
      </w:r>
      <w:r w:rsidR="00964581" w:rsidRPr="001467E4">
        <w:rPr>
          <w:rFonts w:ascii="Book Antiqua" w:hAnsi="Book Antiqua" w:cs="Arial"/>
        </w:rPr>
        <w:t>thrombomodulin, annexin A5, methylenetetrahydrofolate reductase, plasminogen activator inhibitor</w:t>
      </w:r>
      <w:r w:rsidR="00F912CD" w:rsidRPr="001467E4">
        <w:rPr>
          <w:rFonts w:ascii="Book Antiqua" w:hAnsi="Book Antiqua" w:cs="Arial"/>
        </w:rPr>
        <w:t>-1</w:t>
      </w:r>
      <w:r w:rsidR="00964581" w:rsidRPr="001467E4">
        <w:rPr>
          <w:rFonts w:ascii="Book Antiqua" w:hAnsi="Book Antiqua" w:cs="Arial"/>
        </w:rPr>
        <w:t xml:space="preserve">, tumor necrosis factor </w:t>
      </w:r>
      <w:r w:rsidR="00964581" w:rsidRPr="001467E4">
        <w:rPr>
          <w:rFonts w:ascii="Book Antiqua" w:hAnsi="Book Antiqua" w:cs="Arial"/>
        </w:rPr>
        <w:sym w:font="Symbol" w:char="F061"/>
      </w:r>
      <w:r w:rsidR="00964581" w:rsidRPr="001467E4">
        <w:rPr>
          <w:rFonts w:ascii="Book Antiqua" w:hAnsi="Book Antiqua" w:cs="Arial"/>
        </w:rPr>
        <w:t xml:space="preserve">, </w:t>
      </w:r>
      <w:r w:rsidR="00D236B1" w:rsidRPr="001467E4">
        <w:rPr>
          <w:rFonts w:ascii="Book Antiqua" w:hAnsi="Book Antiqua" w:cs="Arial"/>
        </w:rPr>
        <w:t xml:space="preserve">platelet glycoproteins GP Ia/IIa and GP IIb/IIIa, </w:t>
      </w:r>
      <w:r w:rsidR="00964581" w:rsidRPr="001467E4">
        <w:rPr>
          <w:rFonts w:ascii="Book Antiqua" w:hAnsi="Book Antiqua" w:cs="Arial"/>
        </w:rPr>
        <w:t xml:space="preserve">tissue factor pathway inhibitor, </w:t>
      </w:r>
      <w:r w:rsidR="00F912CD" w:rsidRPr="001467E4">
        <w:rPr>
          <w:rFonts w:ascii="Book Antiqua" w:hAnsi="Book Antiqua" w:cs="Arial"/>
        </w:rPr>
        <w:t>can also</w:t>
      </w:r>
      <w:r w:rsidR="00964581" w:rsidRPr="001467E4">
        <w:rPr>
          <w:rFonts w:ascii="Book Antiqua" w:hAnsi="Book Antiqua" w:cs="Arial"/>
        </w:rPr>
        <w:t xml:space="preserve"> </w:t>
      </w:r>
      <w:r w:rsidR="00F912CD" w:rsidRPr="001467E4">
        <w:rPr>
          <w:rFonts w:ascii="Book Antiqua" w:hAnsi="Book Antiqua" w:cs="Arial"/>
        </w:rPr>
        <w:t xml:space="preserve">possibly increase </w:t>
      </w:r>
      <w:r w:rsidR="00964581" w:rsidRPr="001467E4">
        <w:rPr>
          <w:rFonts w:ascii="Book Antiqua" w:hAnsi="Book Antiqua" w:cs="Arial"/>
        </w:rPr>
        <w:t>the risk of thrombo</w:t>
      </w:r>
      <w:r w:rsidR="00F912CD" w:rsidRPr="001467E4">
        <w:rPr>
          <w:rFonts w:ascii="Book Antiqua" w:hAnsi="Book Antiqua" w:cs="Arial"/>
        </w:rPr>
        <w:t>tic disease</w:t>
      </w:r>
      <w:r w:rsidR="00442311">
        <w:rPr>
          <w:rFonts w:ascii="Book Antiqua" w:hAnsi="Book Antiqua" w:cs="Arial"/>
        </w:rPr>
        <w:t xml:space="preserve"> in APS but data is limited</w:t>
      </w:r>
      <w:r w:rsidR="00D236B1" w:rsidRPr="001467E4">
        <w:rPr>
          <w:rFonts w:ascii="Book Antiqua" w:hAnsi="Book Antiqua" w:cs="Arial"/>
          <w:vertAlign w:val="superscript"/>
        </w:rPr>
        <w:t>[</w:t>
      </w:r>
      <w:r w:rsidR="004C6358" w:rsidRPr="001467E4">
        <w:rPr>
          <w:rFonts w:ascii="Book Antiqua" w:hAnsi="Book Antiqua" w:cs="Arial"/>
          <w:vertAlign w:val="superscript"/>
        </w:rPr>
        <w:t>6</w:t>
      </w:r>
      <w:r w:rsidR="00854FEB">
        <w:rPr>
          <w:rFonts w:ascii="Book Antiqua" w:hAnsi="Book Antiqua" w:cs="Arial" w:hint="eastAsia"/>
          <w:vertAlign w:val="superscript"/>
          <w:lang w:eastAsia="zh-CN"/>
        </w:rPr>
        <w:t>1</w:t>
      </w:r>
      <w:r w:rsidR="00D236B1" w:rsidRPr="001467E4">
        <w:rPr>
          <w:rFonts w:ascii="Book Antiqua" w:hAnsi="Book Antiqua" w:cs="Arial"/>
          <w:vertAlign w:val="superscript"/>
        </w:rPr>
        <w:t>]</w:t>
      </w:r>
      <w:r w:rsidR="00D236B1" w:rsidRPr="001467E4">
        <w:rPr>
          <w:rFonts w:ascii="Book Antiqua" w:hAnsi="Book Antiqua" w:cs="Arial"/>
        </w:rPr>
        <w:t>.</w:t>
      </w:r>
    </w:p>
    <w:p w14:paraId="0505E7A8" w14:textId="77777777" w:rsidR="00442311" w:rsidRPr="001467E4" w:rsidRDefault="00442311" w:rsidP="00442311">
      <w:pPr>
        <w:tabs>
          <w:tab w:val="left" w:pos="2070"/>
        </w:tabs>
        <w:spacing w:after="0" w:line="360" w:lineRule="auto"/>
        <w:ind w:firstLineChars="100" w:firstLine="240"/>
        <w:jc w:val="both"/>
        <w:rPr>
          <w:rFonts w:ascii="Book Antiqua" w:hAnsi="Book Antiqua" w:cs="Arial"/>
          <w:lang w:eastAsia="zh-CN"/>
        </w:rPr>
      </w:pPr>
    </w:p>
    <w:p w14:paraId="108DC458" w14:textId="3F5B345D" w:rsidR="00D24761" w:rsidRPr="00442311" w:rsidRDefault="00442311" w:rsidP="001467E4">
      <w:pPr>
        <w:spacing w:after="0" w:line="360" w:lineRule="auto"/>
        <w:jc w:val="both"/>
        <w:rPr>
          <w:rFonts w:ascii="Book Antiqua" w:hAnsi="Book Antiqua" w:cs="Arial"/>
          <w:b/>
        </w:rPr>
      </w:pPr>
      <w:r w:rsidRPr="00442311">
        <w:rPr>
          <w:rFonts w:ascii="Book Antiqua" w:hAnsi="Book Antiqua" w:cs="Arial"/>
          <w:b/>
        </w:rPr>
        <w:t>ENVIRONMENTAL FACTORS IN ANTIPHOSPHOLIPID SYNDROME</w:t>
      </w:r>
    </w:p>
    <w:p w14:paraId="29B22ADA" w14:textId="4A79CA0B" w:rsidR="006F448B" w:rsidRPr="00442311" w:rsidRDefault="00D24761" w:rsidP="001467E4">
      <w:pPr>
        <w:spacing w:after="0" w:line="360" w:lineRule="auto"/>
        <w:jc w:val="both"/>
        <w:rPr>
          <w:rFonts w:ascii="Book Antiqua" w:hAnsi="Book Antiqua" w:cs="Arial"/>
          <w:b/>
          <w:i/>
        </w:rPr>
      </w:pPr>
      <w:r w:rsidRPr="00442311">
        <w:rPr>
          <w:rFonts w:ascii="Book Antiqua" w:hAnsi="Book Antiqua" w:cs="Arial"/>
          <w:b/>
          <w:i/>
        </w:rPr>
        <w:t xml:space="preserve">Infectious </w:t>
      </w:r>
      <w:r w:rsidR="00442311" w:rsidRPr="00442311">
        <w:rPr>
          <w:rFonts w:ascii="Book Antiqua" w:hAnsi="Book Antiqua" w:cs="Arial"/>
          <w:b/>
          <w:i/>
        </w:rPr>
        <w:t>a</w:t>
      </w:r>
      <w:r w:rsidRPr="00442311">
        <w:rPr>
          <w:rFonts w:ascii="Book Antiqua" w:hAnsi="Book Antiqua" w:cs="Arial"/>
          <w:b/>
          <w:i/>
        </w:rPr>
        <w:t>gents</w:t>
      </w:r>
    </w:p>
    <w:p w14:paraId="3322C097" w14:textId="761CE250" w:rsidR="0041656A" w:rsidRPr="001467E4" w:rsidRDefault="007D41E0" w:rsidP="001467E4">
      <w:pPr>
        <w:spacing w:after="0" w:line="360" w:lineRule="auto"/>
        <w:jc w:val="both"/>
        <w:rPr>
          <w:rFonts w:ascii="Book Antiqua" w:hAnsi="Book Antiqua" w:cs="Arial"/>
        </w:rPr>
      </w:pPr>
      <w:r w:rsidRPr="001467E4">
        <w:rPr>
          <w:rFonts w:ascii="Book Antiqua" w:hAnsi="Book Antiqua" w:cs="Arial"/>
        </w:rPr>
        <w:t>Early efforts to induce aPL production in animal models focused on immunization of animals with theorized antigenic targets</w:t>
      </w:r>
      <w:r w:rsidR="0041656A" w:rsidRPr="001467E4">
        <w:rPr>
          <w:rFonts w:ascii="Book Antiqua" w:hAnsi="Book Antiqua" w:cs="Arial"/>
        </w:rPr>
        <w:t xml:space="preserve">. Initial experiments utilized cardiolipin antigens but these failed </w:t>
      </w:r>
      <w:r w:rsidR="002D48FD" w:rsidRPr="001467E4">
        <w:rPr>
          <w:rFonts w:ascii="Book Antiqua" w:hAnsi="Book Antiqua" w:cs="Arial"/>
        </w:rPr>
        <w:t>to allow for</w:t>
      </w:r>
      <w:r w:rsidR="00D236B1" w:rsidRPr="001467E4">
        <w:rPr>
          <w:rFonts w:ascii="Book Antiqua" w:hAnsi="Book Antiqua" w:cs="Arial"/>
        </w:rPr>
        <w:t xml:space="preserve"> production of aPL in animal models</w:t>
      </w:r>
      <w:r w:rsidR="0041656A" w:rsidRPr="001467E4">
        <w:rPr>
          <w:rFonts w:ascii="Book Antiqua" w:hAnsi="Book Antiqua" w:cs="Arial"/>
          <w:vertAlign w:val="superscript"/>
        </w:rPr>
        <w:t>[</w:t>
      </w:r>
      <w:r w:rsidR="00FE0028" w:rsidRPr="001467E4">
        <w:rPr>
          <w:rFonts w:ascii="Book Antiqua" w:hAnsi="Book Antiqua" w:cs="Arial"/>
          <w:vertAlign w:val="superscript"/>
        </w:rPr>
        <w:t>6</w:t>
      </w:r>
      <w:r w:rsidR="00854FEB">
        <w:rPr>
          <w:rFonts w:ascii="Book Antiqua" w:hAnsi="Book Antiqua" w:cs="Arial" w:hint="eastAsia"/>
          <w:vertAlign w:val="superscript"/>
          <w:lang w:eastAsia="zh-CN"/>
        </w:rPr>
        <w:t>2</w:t>
      </w:r>
      <w:r w:rsidR="0041656A" w:rsidRPr="001467E4">
        <w:rPr>
          <w:rFonts w:ascii="Book Antiqua" w:hAnsi="Book Antiqua" w:cs="Arial"/>
          <w:vertAlign w:val="superscript"/>
        </w:rPr>
        <w:t>]</w:t>
      </w:r>
      <w:r w:rsidR="0041656A" w:rsidRPr="001467E4">
        <w:rPr>
          <w:rFonts w:ascii="Book Antiqua" w:hAnsi="Book Antiqua" w:cs="Arial"/>
        </w:rPr>
        <w:t xml:space="preserve">. After the discovery that the main antigenic target of pathogenic aPL was in fact </w:t>
      </w:r>
      <w:r w:rsidR="0041656A" w:rsidRPr="001467E4">
        <w:rPr>
          <w:rFonts w:ascii="Book Antiqua" w:hAnsi="Book Antiqua" w:cs="Arial"/>
        </w:rPr>
        <w:sym w:font="Symbol" w:char="F062"/>
      </w:r>
      <w:r w:rsidR="0041656A" w:rsidRPr="001467E4">
        <w:rPr>
          <w:rFonts w:ascii="Book Antiqua" w:hAnsi="Book Antiqua" w:cs="Arial"/>
          <w:vertAlign w:val="subscript"/>
        </w:rPr>
        <w:t>2</w:t>
      </w:r>
      <w:r w:rsidR="0041656A" w:rsidRPr="001467E4">
        <w:rPr>
          <w:rFonts w:ascii="Book Antiqua" w:hAnsi="Book Antiqua" w:cs="Arial"/>
        </w:rPr>
        <w:t xml:space="preserve">GPI, subsequent experiments utilized </w:t>
      </w:r>
      <w:r w:rsidR="00D236B1" w:rsidRPr="001467E4">
        <w:rPr>
          <w:rFonts w:ascii="Book Antiqua" w:hAnsi="Book Antiqua" w:cs="Arial"/>
        </w:rPr>
        <w:t xml:space="preserve">immunization with heterologous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GPI rather than pure phospholipids</w:t>
      </w:r>
      <w:r w:rsidR="0041656A" w:rsidRPr="001467E4">
        <w:rPr>
          <w:rFonts w:ascii="Book Antiqua" w:hAnsi="Book Antiqua" w:cs="Arial"/>
        </w:rPr>
        <w:t>. This led to</w:t>
      </w:r>
      <w:r w:rsidR="00D236B1" w:rsidRPr="001467E4">
        <w:rPr>
          <w:rFonts w:ascii="Book Antiqua" w:hAnsi="Book Antiqua" w:cs="Arial"/>
        </w:rPr>
        <w:t xml:space="preserve"> </w:t>
      </w:r>
      <w:r w:rsidR="0041656A" w:rsidRPr="001467E4">
        <w:rPr>
          <w:rFonts w:ascii="Book Antiqua" w:hAnsi="Book Antiqua" w:cs="Arial"/>
        </w:rPr>
        <w:t>the successful induction of aPL production in mice and these antibodies were ab</w:t>
      </w:r>
      <w:r w:rsidR="00442311">
        <w:rPr>
          <w:rFonts w:ascii="Book Antiqua" w:hAnsi="Book Antiqua" w:cs="Arial"/>
        </w:rPr>
        <w:t>le to induce pathogenic effects</w:t>
      </w:r>
      <w:r w:rsidR="00D236B1" w:rsidRPr="001467E4">
        <w:rPr>
          <w:rFonts w:ascii="Book Antiqua" w:hAnsi="Book Antiqua" w:cs="Arial"/>
          <w:vertAlign w:val="superscript"/>
        </w:rPr>
        <w:t>[</w:t>
      </w:r>
      <w:r w:rsidR="00FE0028" w:rsidRPr="001467E4">
        <w:rPr>
          <w:rFonts w:ascii="Book Antiqua" w:hAnsi="Book Antiqua" w:cs="Arial"/>
          <w:vertAlign w:val="superscript"/>
        </w:rPr>
        <w:t>2,6</w:t>
      </w:r>
      <w:r w:rsidR="00854FEB">
        <w:rPr>
          <w:rFonts w:ascii="Book Antiqua" w:hAnsi="Book Antiqua" w:cs="Arial" w:hint="eastAsia"/>
          <w:vertAlign w:val="superscript"/>
          <w:lang w:eastAsia="zh-CN"/>
        </w:rPr>
        <w:t>2</w:t>
      </w:r>
      <w:r w:rsidR="00D236B1" w:rsidRPr="001467E4">
        <w:rPr>
          <w:rFonts w:ascii="Book Antiqua" w:hAnsi="Book Antiqua" w:cs="Arial"/>
          <w:vertAlign w:val="superscript"/>
        </w:rPr>
        <w:t>]</w:t>
      </w:r>
      <w:r w:rsidR="00D236B1" w:rsidRPr="001467E4">
        <w:rPr>
          <w:rFonts w:ascii="Book Antiqua" w:hAnsi="Book Antiqua" w:cs="Arial"/>
        </w:rPr>
        <w:t xml:space="preserve">. </w:t>
      </w:r>
      <w:r w:rsidR="002D48FD" w:rsidRPr="001467E4">
        <w:rPr>
          <w:rFonts w:ascii="Book Antiqua" w:hAnsi="Book Antiqua" w:cs="Arial"/>
        </w:rPr>
        <w:t>R</w:t>
      </w:r>
      <w:r w:rsidR="00D236B1" w:rsidRPr="001467E4">
        <w:rPr>
          <w:rFonts w:ascii="Book Antiqua" w:hAnsi="Book Antiqua" w:cs="Arial"/>
        </w:rPr>
        <w:t xml:space="preserve">esearchers </w:t>
      </w:r>
      <w:r w:rsidR="002D48FD" w:rsidRPr="001467E4">
        <w:rPr>
          <w:rFonts w:ascii="Book Antiqua" w:hAnsi="Book Antiqua" w:cs="Arial"/>
        </w:rPr>
        <w:t>then hypothesized</w:t>
      </w:r>
      <w:r w:rsidR="00D236B1" w:rsidRPr="001467E4">
        <w:rPr>
          <w:rFonts w:ascii="Book Antiqua" w:hAnsi="Book Antiqua" w:cs="Arial"/>
        </w:rPr>
        <w:t xml:space="preserve"> that perhaps </w:t>
      </w:r>
      <w:r w:rsidR="00A61AA8" w:rsidRPr="001467E4">
        <w:rPr>
          <w:rFonts w:ascii="Book Antiqua" w:hAnsi="Book Antiqua" w:cs="Arial"/>
        </w:rPr>
        <w:t xml:space="preserve">molecular mimicry played a key role in pathogenic aPL production. In essence, </w:t>
      </w:r>
      <w:r w:rsidR="00D236B1" w:rsidRPr="001467E4">
        <w:rPr>
          <w:rFonts w:ascii="Book Antiqua" w:hAnsi="Book Antiqua" w:cs="Arial"/>
        </w:rPr>
        <w:t xml:space="preserve">foreign PL-binding proteins </w:t>
      </w:r>
      <w:r w:rsidR="0041656A" w:rsidRPr="001467E4">
        <w:rPr>
          <w:rFonts w:ascii="Book Antiqua" w:hAnsi="Book Antiqua" w:cs="Arial"/>
        </w:rPr>
        <w:t xml:space="preserve">that shared structural similarities to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w:t>
      </w:r>
      <w:r w:rsidR="00A61AA8" w:rsidRPr="001467E4">
        <w:rPr>
          <w:rFonts w:ascii="Book Antiqua" w:hAnsi="Book Antiqua" w:cs="Arial"/>
        </w:rPr>
        <w:t xml:space="preserve">could bind to </w:t>
      </w:r>
      <w:r w:rsidR="002D48FD" w:rsidRPr="001467E4">
        <w:rPr>
          <w:rFonts w:ascii="Book Antiqua" w:hAnsi="Book Antiqua" w:cs="Arial"/>
        </w:rPr>
        <w:t>self PLs</w:t>
      </w:r>
      <w:r w:rsidR="00D236B1" w:rsidRPr="001467E4">
        <w:rPr>
          <w:rFonts w:ascii="Book Antiqua" w:hAnsi="Book Antiqua" w:cs="Arial"/>
        </w:rPr>
        <w:t xml:space="preserve"> in APS patient</w:t>
      </w:r>
      <w:r w:rsidR="00A61AA8" w:rsidRPr="001467E4">
        <w:rPr>
          <w:rFonts w:ascii="Book Antiqua" w:hAnsi="Book Antiqua" w:cs="Arial"/>
        </w:rPr>
        <w:t xml:space="preserve">s, </w:t>
      </w:r>
      <w:r w:rsidR="002D48FD" w:rsidRPr="001467E4">
        <w:rPr>
          <w:rFonts w:ascii="Book Antiqua" w:hAnsi="Book Antiqua" w:cs="Arial"/>
        </w:rPr>
        <w:t>and in so doing allow for the</w:t>
      </w:r>
      <w:r w:rsidR="00D236B1" w:rsidRPr="001467E4">
        <w:rPr>
          <w:rFonts w:ascii="Book Antiqua" w:hAnsi="Book Antiqua" w:cs="Arial"/>
        </w:rPr>
        <w:t xml:space="preserve"> </w:t>
      </w:r>
      <w:r w:rsidR="002D48FD" w:rsidRPr="001467E4">
        <w:rPr>
          <w:rFonts w:ascii="Book Antiqua" w:hAnsi="Book Antiqua" w:cs="Arial"/>
        </w:rPr>
        <w:t xml:space="preserve">assembly </w:t>
      </w:r>
      <w:r w:rsidR="00D236B1" w:rsidRPr="001467E4">
        <w:rPr>
          <w:rFonts w:ascii="Book Antiqua" w:hAnsi="Book Antiqua" w:cs="Arial"/>
        </w:rPr>
        <w:t xml:space="preserve">of immunogenic complexes </w:t>
      </w:r>
      <w:r w:rsidR="002D48FD" w:rsidRPr="001467E4">
        <w:rPr>
          <w:rFonts w:ascii="Book Antiqua" w:hAnsi="Book Antiqua" w:cs="Arial"/>
        </w:rPr>
        <w:t>that stimulate aPL production</w:t>
      </w:r>
      <w:r w:rsidR="00D236B1" w:rsidRPr="001467E4">
        <w:rPr>
          <w:rFonts w:ascii="Book Antiqua" w:hAnsi="Book Antiqua" w:cs="Arial"/>
        </w:rPr>
        <w:t>.</w:t>
      </w:r>
    </w:p>
    <w:p w14:paraId="57434110" w14:textId="42E5A577" w:rsidR="00D236B1" w:rsidRPr="001467E4" w:rsidRDefault="0041656A" w:rsidP="00442311">
      <w:pPr>
        <w:spacing w:after="0" w:line="360" w:lineRule="auto"/>
        <w:ind w:firstLineChars="100" w:firstLine="240"/>
        <w:jc w:val="both"/>
        <w:rPr>
          <w:rFonts w:ascii="Book Antiqua" w:hAnsi="Book Antiqua" w:cs="Arial"/>
        </w:rPr>
      </w:pPr>
      <w:r w:rsidRPr="001467E4">
        <w:rPr>
          <w:rFonts w:ascii="Book Antiqua" w:hAnsi="Book Antiqua" w:cs="Arial"/>
        </w:rPr>
        <w:t>Subsequent studies made use of a</w:t>
      </w:r>
      <w:r w:rsidR="00D236B1" w:rsidRPr="001467E4">
        <w:rPr>
          <w:rFonts w:ascii="Book Antiqua" w:hAnsi="Book Antiqua" w:cs="Arial"/>
        </w:rPr>
        <w:t xml:space="preserve"> synthesized 15 amino acid peptide, GDKV, which spanned an area of the fifth domain of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GPI known to be a major PL-binding site of the molecule</w:t>
      </w:r>
      <w:r w:rsidR="00406CC2" w:rsidRPr="001467E4">
        <w:rPr>
          <w:rFonts w:ascii="Book Antiqua" w:hAnsi="Book Antiqua" w:cs="Arial"/>
        </w:rPr>
        <w:t>. This peptide</w:t>
      </w:r>
      <w:r w:rsidR="00D236B1" w:rsidRPr="001467E4">
        <w:rPr>
          <w:rFonts w:ascii="Book Antiqua" w:hAnsi="Book Antiqua" w:cs="Arial"/>
        </w:rPr>
        <w:t xml:space="preserve"> was able to induce pathogenic aPL and anti-</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w:t>
      </w:r>
      <w:r w:rsidR="00442311">
        <w:rPr>
          <w:rFonts w:ascii="Book Antiqua" w:hAnsi="Book Antiqua" w:cs="Arial"/>
        </w:rPr>
        <w:t>production in immunized mice</w:t>
      </w:r>
      <w:r w:rsidR="00D236B1" w:rsidRPr="001467E4">
        <w:rPr>
          <w:rFonts w:ascii="Book Antiqua" w:hAnsi="Book Antiqua" w:cs="Arial"/>
          <w:vertAlign w:val="superscript"/>
        </w:rPr>
        <w:t>[</w:t>
      </w:r>
      <w:r w:rsidR="00FE0028" w:rsidRPr="001467E4">
        <w:rPr>
          <w:rFonts w:ascii="Book Antiqua" w:hAnsi="Book Antiqua" w:cs="Arial"/>
          <w:vertAlign w:val="superscript"/>
        </w:rPr>
        <w:t>6</w:t>
      </w:r>
      <w:r w:rsidR="00854FEB">
        <w:rPr>
          <w:rFonts w:ascii="Book Antiqua" w:hAnsi="Book Antiqua" w:cs="Arial" w:hint="eastAsia"/>
          <w:vertAlign w:val="superscript"/>
          <w:lang w:eastAsia="zh-CN"/>
        </w:rPr>
        <w:t>3</w:t>
      </w:r>
      <w:r w:rsidR="00D236B1" w:rsidRPr="001467E4">
        <w:rPr>
          <w:rFonts w:ascii="Book Antiqua" w:hAnsi="Book Antiqua" w:cs="Arial"/>
          <w:vertAlign w:val="superscript"/>
        </w:rPr>
        <w:t>]</w:t>
      </w:r>
      <w:r w:rsidR="00D236B1" w:rsidRPr="001467E4">
        <w:rPr>
          <w:rFonts w:ascii="Book Antiqua" w:hAnsi="Book Antiqua" w:cs="Arial"/>
        </w:rPr>
        <w:t>. A monoclonal antibody with aPL and anti-</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GPI activity generated from these GDKV-immunized mice was shown to be pathogenic using in vivo models for thrombus e</w:t>
      </w:r>
      <w:r w:rsidR="00442311">
        <w:rPr>
          <w:rFonts w:ascii="Book Antiqua" w:hAnsi="Book Antiqua" w:cs="Arial"/>
        </w:rPr>
        <w:t>nhancement and microcirculation</w:t>
      </w:r>
      <w:r w:rsidR="00D236B1" w:rsidRPr="001467E4">
        <w:rPr>
          <w:rFonts w:ascii="Book Antiqua" w:hAnsi="Book Antiqua" w:cs="Arial"/>
          <w:vertAlign w:val="superscript"/>
        </w:rPr>
        <w:t>[</w:t>
      </w:r>
      <w:r w:rsidR="00FE0028" w:rsidRPr="001467E4">
        <w:rPr>
          <w:rFonts w:ascii="Book Antiqua" w:hAnsi="Book Antiqua" w:cs="Arial"/>
          <w:vertAlign w:val="superscript"/>
        </w:rPr>
        <w:t>6</w:t>
      </w:r>
      <w:r w:rsidR="00854FEB">
        <w:rPr>
          <w:rFonts w:ascii="Book Antiqua" w:hAnsi="Book Antiqua" w:cs="Arial" w:hint="eastAsia"/>
          <w:vertAlign w:val="superscript"/>
          <w:lang w:eastAsia="zh-CN"/>
        </w:rPr>
        <w:t>4</w:t>
      </w:r>
      <w:r w:rsidR="00D236B1" w:rsidRPr="001467E4">
        <w:rPr>
          <w:rFonts w:ascii="Book Antiqua" w:hAnsi="Book Antiqua" w:cs="Arial"/>
          <w:vertAlign w:val="superscript"/>
        </w:rPr>
        <w:t>]</w:t>
      </w:r>
      <w:r w:rsidR="00D236B1" w:rsidRPr="001467E4">
        <w:rPr>
          <w:rFonts w:ascii="Book Antiqua" w:hAnsi="Book Antiqua" w:cs="Arial"/>
        </w:rPr>
        <w:t xml:space="preserve">. </w:t>
      </w:r>
      <w:r w:rsidR="00406CC2" w:rsidRPr="001467E4">
        <w:rPr>
          <w:rFonts w:ascii="Book Antiqua" w:hAnsi="Book Antiqua" w:cs="Arial"/>
        </w:rPr>
        <w:t xml:space="preserve">A search for candidate peptides with structural similarities to GDKV among libraries of peptides from viral and bacterial agents produced several candidates (Table 1). </w:t>
      </w:r>
      <w:r w:rsidR="00D236B1" w:rsidRPr="001467E4">
        <w:rPr>
          <w:rFonts w:ascii="Book Antiqua" w:hAnsi="Book Antiqua" w:cs="Arial"/>
        </w:rPr>
        <w:t xml:space="preserve">Similar results </w:t>
      </w:r>
      <w:r w:rsidR="00406CC2" w:rsidRPr="001467E4">
        <w:rPr>
          <w:rFonts w:ascii="Book Antiqua" w:hAnsi="Book Antiqua" w:cs="Arial"/>
        </w:rPr>
        <w:t xml:space="preserve">in experimental animal models </w:t>
      </w:r>
      <w:r w:rsidR="00D236B1" w:rsidRPr="001467E4">
        <w:rPr>
          <w:rFonts w:ascii="Book Antiqua" w:hAnsi="Book Antiqua" w:cs="Arial"/>
        </w:rPr>
        <w:t xml:space="preserve">were </w:t>
      </w:r>
      <w:r w:rsidR="00DE65DD" w:rsidRPr="001467E4">
        <w:rPr>
          <w:rFonts w:ascii="Book Antiqua" w:hAnsi="Book Antiqua" w:cs="Arial"/>
        </w:rPr>
        <w:t>then reported</w:t>
      </w:r>
      <w:r w:rsidR="00D236B1" w:rsidRPr="001467E4">
        <w:rPr>
          <w:rFonts w:ascii="Book Antiqua" w:hAnsi="Book Antiqua" w:cs="Arial"/>
        </w:rPr>
        <w:t xml:space="preserve"> using</w:t>
      </w:r>
      <w:r w:rsidR="00406CC2" w:rsidRPr="001467E4">
        <w:rPr>
          <w:rFonts w:ascii="Book Antiqua" w:hAnsi="Book Antiqua" w:cs="Arial"/>
        </w:rPr>
        <w:t xml:space="preserve"> these candidate</w:t>
      </w:r>
      <w:r w:rsidR="00442311">
        <w:rPr>
          <w:rFonts w:ascii="Book Antiqua" w:hAnsi="Book Antiqua" w:cs="Arial"/>
        </w:rPr>
        <w:t xml:space="preserve"> peptides</w:t>
      </w:r>
      <w:r w:rsidR="00D236B1" w:rsidRPr="001467E4">
        <w:rPr>
          <w:rFonts w:ascii="Book Antiqua" w:hAnsi="Book Antiqua" w:cs="Arial"/>
          <w:vertAlign w:val="superscript"/>
        </w:rPr>
        <w:t>[</w:t>
      </w:r>
      <w:r w:rsidR="00FE0028" w:rsidRPr="001467E4">
        <w:rPr>
          <w:rFonts w:ascii="Book Antiqua" w:hAnsi="Book Antiqua" w:cs="Arial"/>
          <w:vertAlign w:val="superscript"/>
        </w:rPr>
        <w:t>6</w:t>
      </w:r>
      <w:r w:rsidR="00854FEB">
        <w:rPr>
          <w:rFonts w:ascii="Book Antiqua" w:hAnsi="Book Antiqua" w:cs="Arial" w:hint="eastAsia"/>
          <w:vertAlign w:val="superscript"/>
          <w:lang w:eastAsia="zh-CN"/>
        </w:rPr>
        <w:t>5</w:t>
      </w:r>
      <w:r w:rsidR="00D236B1" w:rsidRPr="001467E4">
        <w:rPr>
          <w:rFonts w:ascii="Book Antiqua" w:hAnsi="Book Antiqua" w:cs="Arial"/>
          <w:vertAlign w:val="superscript"/>
        </w:rPr>
        <w:t>]</w:t>
      </w:r>
      <w:r w:rsidR="00D236B1" w:rsidRPr="001467E4">
        <w:rPr>
          <w:rFonts w:ascii="Book Antiqua" w:hAnsi="Book Antiqua" w:cs="Arial"/>
        </w:rPr>
        <w:t xml:space="preserve">. </w:t>
      </w:r>
      <w:r w:rsidR="00DE65DD" w:rsidRPr="001467E4">
        <w:rPr>
          <w:rFonts w:ascii="Book Antiqua" w:hAnsi="Book Antiqua" w:cs="Arial"/>
        </w:rPr>
        <w:t xml:space="preserve">When compared to GDKV, </w:t>
      </w:r>
      <w:r w:rsidR="00D236B1" w:rsidRPr="001467E4">
        <w:rPr>
          <w:rFonts w:ascii="Book Antiqua" w:hAnsi="Book Antiqua" w:cs="Arial"/>
        </w:rPr>
        <w:t>peptides from cytomegalovirus (</w:t>
      </w:r>
      <w:r w:rsidR="00DE65DD" w:rsidRPr="001467E4">
        <w:rPr>
          <w:rFonts w:ascii="Book Antiqua" w:hAnsi="Book Antiqua" w:cs="Arial"/>
        </w:rPr>
        <w:t>TIFI and VITT</w:t>
      </w:r>
      <w:r w:rsidR="00D236B1" w:rsidRPr="001467E4">
        <w:rPr>
          <w:rFonts w:ascii="Book Antiqua" w:hAnsi="Book Antiqua" w:cs="Arial"/>
        </w:rPr>
        <w:t>), from adenovirus (</w:t>
      </w:r>
      <w:r w:rsidR="00DE65DD" w:rsidRPr="001467E4">
        <w:rPr>
          <w:rFonts w:ascii="Book Antiqua" w:hAnsi="Book Antiqua" w:cs="Arial"/>
        </w:rPr>
        <w:t>TADL</w:t>
      </w:r>
      <w:r w:rsidR="00D236B1" w:rsidRPr="001467E4">
        <w:rPr>
          <w:rFonts w:ascii="Book Antiqua" w:hAnsi="Book Antiqua" w:cs="Arial"/>
        </w:rPr>
        <w:t xml:space="preserve">) and from </w:t>
      </w:r>
      <w:r w:rsidR="00D236B1" w:rsidRPr="001467E4">
        <w:rPr>
          <w:rFonts w:ascii="Book Antiqua" w:hAnsi="Book Antiqua" w:cs="Arial"/>
          <w:i/>
        </w:rPr>
        <w:t>Bacillus subtilis</w:t>
      </w:r>
      <w:r w:rsidR="00D236B1" w:rsidRPr="001467E4">
        <w:rPr>
          <w:rFonts w:ascii="Book Antiqua" w:hAnsi="Book Antiqua" w:cs="Arial"/>
        </w:rPr>
        <w:t xml:space="preserve"> </w:t>
      </w:r>
      <w:r w:rsidR="00DE65DD" w:rsidRPr="001467E4">
        <w:rPr>
          <w:rFonts w:ascii="Book Antiqua" w:hAnsi="Book Antiqua" w:cs="Arial"/>
        </w:rPr>
        <w:t xml:space="preserve">(SGDF) </w:t>
      </w:r>
      <w:r w:rsidR="00D236B1" w:rsidRPr="001467E4">
        <w:rPr>
          <w:rFonts w:ascii="Book Antiqua" w:hAnsi="Book Antiqua" w:cs="Arial"/>
        </w:rPr>
        <w:t xml:space="preserve">all </w:t>
      </w:r>
      <w:r w:rsidR="00DE65DD" w:rsidRPr="001467E4">
        <w:rPr>
          <w:rFonts w:ascii="Book Antiqua" w:hAnsi="Book Antiqua" w:cs="Arial"/>
        </w:rPr>
        <w:t xml:space="preserve">bound to PLs with greater affinity and induced higher </w:t>
      </w:r>
      <w:r w:rsidR="00D236B1" w:rsidRPr="001467E4">
        <w:rPr>
          <w:rFonts w:ascii="Book Antiqua" w:hAnsi="Book Antiqua" w:cs="Arial"/>
        </w:rPr>
        <w:t>anti-</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w:t>
      </w:r>
      <w:r w:rsidR="00DE65DD" w:rsidRPr="001467E4">
        <w:rPr>
          <w:rFonts w:ascii="Book Antiqua" w:hAnsi="Book Antiqua" w:cs="Arial"/>
        </w:rPr>
        <w:t xml:space="preserve">levels </w:t>
      </w:r>
      <w:r w:rsidR="00D236B1" w:rsidRPr="001467E4">
        <w:rPr>
          <w:rFonts w:ascii="Book Antiqua" w:hAnsi="Book Antiqua" w:cs="Arial"/>
        </w:rPr>
        <w:t xml:space="preserve">in </w:t>
      </w:r>
      <w:r w:rsidR="00DE65DD" w:rsidRPr="001467E4">
        <w:rPr>
          <w:rFonts w:ascii="Book Antiqua" w:hAnsi="Book Antiqua" w:cs="Arial"/>
        </w:rPr>
        <w:t>experimental animals</w:t>
      </w:r>
      <w:r w:rsidR="00D236B1" w:rsidRPr="001467E4">
        <w:rPr>
          <w:rFonts w:ascii="Book Antiqua" w:hAnsi="Book Antiqua" w:cs="Arial"/>
        </w:rPr>
        <w:t xml:space="preserve">. </w:t>
      </w:r>
      <w:r w:rsidR="00DE65DD" w:rsidRPr="001467E4">
        <w:rPr>
          <w:rFonts w:ascii="Book Antiqua" w:hAnsi="Book Antiqua" w:cs="Arial"/>
        </w:rPr>
        <w:t>T</w:t>
      </w:r>
      <w:r w:rsidR="00D236B1" w:rsidRPr="001467E4">
        <w:rPr>
          <w:rFonts w:ascii="Book Antiqua" w:hAnsi="Book Antiqua" w:cs="Arial"/>
        </w:rPr>
        <w:t xml:space="preserve">he </w:t>
      </w:r>
      <w:r w:rsidR="00877AAB" w:rsidRPr="001467E4">
        <w:rPr>
          <w:rFonts w:ascii="Book Antiqua" w:hAnsi="Book Antiqua" w:cs="Arial"/>
        </w:rPr>
        <w:t xml:space="preserve">thrombogenic and proinflammatory capacity </w:t>
      </w:r>
      <w:r w:rsidR="00D236B1" w:rsidRPr="001467E4">
        <w:rPr>
          <w:rFonts w:ascii="Book Antiqua" w:hAnsi="Book Antiqua" w:cs="Arial"/>
        </w:rPr>
        <w:t xml:space="preserve">of </w:t>
      </w:r>
      <w:r w:rsidR="00877AAB" w:rsidRPr="001467E4">
        <w:rPr>
          <w:rFonts w:ascii="Book Antiqua" w:hAnsi="Book Antiqua" w:cs="Arial"/>
        </w:rPr>
        <w:t xml:space="preserve">induced </w:t>
      </w:r>
      <w:r w:rsidR="00D236B1" w:rsidRPr="001467E4">
        <w:rPr>
          <w:rFonts w:ascii="Book Antiqua" w:hAnsi="Book Antiqua" w:cs="Arial"/>
        </w:rPr>
        <w:t xml:space="preserve">antibodies </w:t>
      </w:r>
      <w:r w:rsidR="00877AAB" w:rsidRPr="001467E4">
        <w:rPr>
          <w:rFonts w:ascii="Book Antiqua" w:hAnsi="Book Antiqua" w:cs="Arial"/>
        </w:rPr>
        <w:t>in mice immunized with TIFI was subsequently confirmed</w:t>
      </w:r>
      <w:r w:rsidR="00FE0028" w:rsidRPr="001467E4">
        <w:rPr>
          <w:rFonts w:ascii="Book Antiqua" w:hAnsi="Book Antiqua" w:cs="Arial"/>
          <w:vertAlign w:val="superscript"/>
        </w:rPr>
        <w:t>[6</w:t>
      </w:r>
      <w:r w:rsidR="00854FEB">
        <w:rPr>
          <w:rFonts w:ascii="Book Antiqua" w:hAnsi="Book Antiqua" w:cs="Arial" w:hint="eastAsia"/>
          <w:vertAlign w:val="superscript"/>
          <w:lang w:eastAsia="zh-CN"/>
        </w:rPr>
        <w:t>5</w:t>
      </w:r>
      <w:r w:rsidR="00FE0028" w:rsidRPr="001467E4">
        <w:rPr>
          <w:rFonts w:ascii="Book Antiqua" w:hAnsi="Book Antiqua" w:cs="Arial"/>
          <w:vertAlign w:val="superscript"/>
        </w:rPr>
        <w:t>,6</w:t>
      </w:r>
      <w:r w:rsidR="00854FEB">
        <w:rPr>
          <w:rFonts w:ascii="Book Antiqua" w:hAnsi="Book Antiqua" w:cs="Arial" w:hint="eastAsia"/>
          <w:vertAlign w:val="superscript"/>
          <w:lang w:eastAsia="zh-CN"/>
        </w:rPr>
        <w:t>6</w:t>
      </w:r>
      <w:r w:rsidR="00D236B1" w:rsidRPr="001467E4">
        <w:rPr>
          <w:rFonts w:ascii="Book Antiqua" w:hAnsi="Book Antiqua" w:cs="Arial"/>
          <w:vertAlign w:val="superscript"/>
        </w:rPr>
        <w:t>]</w:t>
      </w:r>
      <w:r w:rsidR="00D236B1" w:rsidRPr="001467E4">
        <w:rPr>
          <w:rFonts w:ascii="Book Antiqua" w:hAnsi="Book Antiqua" w:cs="Arial"/>
        </w:rPr>
        <w:t>.</w:t>
      </w:r>
    </w:p>
    <w:p w14:paraId="4A23E558" w14:textId="4F5A56E7" w:rsidR="00EC32D4" w:rsidRPr="001467E4" w:rsidRDefault="008160C9" w:rsidP="00442311">
      <w:pPr>
        <w:spacing w:after="0" w:line="360" w:lineRule="auto"/>
        <w:ind w:firstLineChars="100" w:firstLine="240"/>
        <w:jc w:val="both"/>
        <w:rPr>
          <w:rFonts w:ascii="Book Antiqua" w:hAnsi="Book Antiqua" w:cs="Arial"/>
        </w:rPr>
      </w:pPr>
      <w:r w:rsidRPr="001467E4">
        <w:rPr>
          <w:rFonts w:ascii="Book Antiqua" w:hAnsi="Book Antiqua" w:cs="Arial"/>
        </w:rPr>
        <w:t>An interesting set of experiments that focused on a hexapeptide, TLRVYK, which is a known antigen of pathogenic monoclonal anti-</w:t>
      </w:r>
      <w:r w:rsidRPr="001467E4">
        <w:rPr>
          <w:rFonts w:ascii="Book Antiqua" w:hAnsi="Book Antiqua" w:cs="Arial"/>
        </w:rPr>
        <w:sym w:font="Symbol" w:char="F062"/>
      </w:r>
      <w:r w:rsidRPr="001467E4">
        <w:rPr>
          <w:rFonts w:ascii="Book Antiqua" w:hAnsi="Book Antiqua" w:cs="Arial"/>
          <w:vertAlign w:val="subscript"/>
        </w:rPr>
        <w:t>2</w:t>
      </w:r>
      <w:r w:rsidRPr="001467E4">
        <w:rPr>
          <w:rFonts w:ascii="Book Antiqua" w:hAnsi="Book Antiqua" w:cs="Arial"/>
        </w:rPr>
        <w:t>GPI, found in micro-organisms provided f</w:t>
      </w:r>
      <w:r w:rsidR="00D236B1" w:rsidRPr="001467E4">
        <w:rPr>
          <w:rFonts w:ascii="Book Antiqua" w:hAnsi="Book Antiqua" w:cs="Arial"/>
        </w:rPr>
        <w:t xml:space="preserve">urther evidence </w:t>
      </w:r>
      <w:r w:rsidRPr="001467E4">
        <w:rPr>
          <w:rFonts w:ascii="Book Antiqua" w:hAnsi="Book Antiqua" w:cs="Arial"/>
        </w:rPr>
        <w:t xml:space="preserve">of </w:t>
      </w:r>
      <w:r w:rsidR="00D236B1" w:rsidRPr="001467E4">
        <w:rPr>
          <w:rFonts w:ascii="Book Antiqua" w:hAnsi="Book Antiqua" w:cs="Arial"/>
        </w:rPr>
        <w:t xml:space="preserve">molecular mimicry </w:t>
      </w:r>
      <w:r w:rsidRPr="001467E4">
        <w:rPr>
          <w:rFonts w:ascii="Book Antiqua" w:hAnsi="Book Antiqua" w:cs="Arial"/>
        </w:rPr>
        <w:t>b</w:t>
      </w:r>
      <w:r w:rsidR="00442311">
        <w:rPr>
          <w:rFonts w:ascii="Book Antiqua" w:hAnsi="Book Antiqua" w:cs="Arial"/>
        </w:rPr>
        <w:t>eing involved in aPL production</w:t>
      </w:r>
      <w:r w:rsidR="00D236B1" w:rsidRPr="001467E4">
        <w:rPr>
          <w:rFonts w:ascii="Book Antiqua" w:hAnsi="Book Antiqua" w:cs="Arial"/>
          <w:vertAlign w:val="superscript"/>
        </w:rPr>
        <w:t>[</w:t>
      </w:r>
      <w:r w:rsidR="00691384" w:rsidRPr="001467E4">
        <w:rPr>
          <w:rFonts w:ascii="Book Antiqua" w:hAnsi="Book Antiqua" w:cs="Arial"/>
          <w:vertAlign w:val="superscript"/>
        </w:rPr>
        <w:t>6</w:t>
      </w:r>
      <w:r w:rsidR="00854FEB">
        <w:rPr>
          <w:rFonts w:ascii="Book Antiqua" w:hAnsi="Book Antiqua" w:cs="Arial" w:hint="eastAsia"/>
          <w:vertAlign w:val="superscript"/>
          <w:lang w:eastAsia="zh-CN"/>
        </w:rPr>
        <w:t>7</w:t>
      </w:r>
      <w:r w:rsidR="00D236B1" w:rsidRPr="001467E4">
        <w:rPr>
          <w:rFonts w:ascii="Book Antiqua" w:hAnsi="Book Antiqua" w:cs="Arial"/>
          <w:vertAlign w:val="superscript"/>
        </w:rPr>
        <w:t>]</w:t>
      </w:r>
      <w:r w:rsidR="00D236B1" w:rsidRPr="001467E4">
        <w:rPr>
          <w:rFonts w:ascii="Book Antiqua" w:hAnsi="Book Antiqua" w:cs="Arial"/>
        </w:rPr>
        <w:t xml:space="preserve">. </w:t>
      </w:r>
      <w:r w:rsidRPr="001467E4">
        <w:rPr>
          <w:rFonts w:ascii="Book Antiqua" w:hAnsi="Book Antiqua" w:cs="Arial"/>
        </w:rPr>
        <w:t>BALB/c mice immunized with</w:t>
      </w:r>
      <w:r w:rsidR="00D236B1" w:rsidRPr="001467E4">
        <w:rPr>
          <w:rFonts w:ascii="Book Antiqua" w:hAnsi="Book Antiqua" w:cs="Arial"/>
        </w:rPr>
        <w:t xml:space="preserve"> </w:t>
      </w:r>
      <w:r w:rsidR="00D236B1" w:rsidRPr="001467E4">
        <w:rPr>
          <w:rFonts w:ascii="Book Antiqua" w:hAnsi="Book Antiqua" w:cs="Arial"/>
          <w:i/>
        </w:rPr>
        <w:t>Haemophilus influenzae</w:t>
      </w:r>
      <w:r w:rsidR="00D236B1" w:rsidRPr="001467E4">
        <w:rPr>
          <w:rFonts w:ascii="Book Antiqua" w:hAnsi="Book Antiqua" w:cs="Arial"/>
        </w:rPr>
        <w:t xml:space="preserve">, </w:t>
      </w:r>
      <w:r w:rsidR="00D236B1" w:rsidRPr="001467E4">
        <w:rPr>
          <w:rFonts w:ascii="Book Antiqua" w:hAnsi="Book Antiqua" w:cs="Arial"/>
          <w:i/>
        </w:rPr>
        <w:t>Neisseria gonorrhoeae</w:t>
      </w:r>
      <w:r w:rsidR="00D236B1" w:rsidRPr="001467E4">
        <w:rPr>
          <w:rFonts w:ascii="Book Antiqua" w:hAnsi="Book Antiqua" w:cs="Arial"/>
        </w:rPr>
        <w:t xml:space="preserve"> or tetanus toxoid</w:t>
      </w:r>
      <w:r w:rsidRPr="001467E4">
        <w:rPr>
          <w:rFonts w:ascii="Book Antiqua" w:hAnsi="Book Antiqua" w:cs="Arial"/>
        </w:rPr>
        <w:t xml:space="preserve"> produced </w:t>
      </w:r>
      <w:r w:rsidR="00D236B1" w:rsidRPr="001467E4">
        <w:rPr>
          <w:rFonts w:ascii="Book Antiqua" w:hAnsi="Book Antiqua" w:cs="Arial"/>
        </w:rPr>
        <w:t>high anti-TLRVYK</w:t>
      </w:r>
      <w:r w:rsidRPr="001467E4">
        <w:rPr>
          <w:rFonts w:ascii="Book Antiqua" w:hAnsi="Book Antiqua" w:cs="Arial"/>
        </w:rPr>
        <w:t xml:space="preserve"> </w:t>
      </w:r>
      <w:r w:rsidR="00D236B1" w:rsidRPr="001467E4">
        <w:rPr>
          <w:rFonts w:ascii="Book Antiqua" w:hAnsi="Book Antiqua" w:cs="Arial"/>
        </w:rPr>
        <w:t>and anti-</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w:t>
      </w:r>
      <w:r w:rsidRPr="001467E4">
        <w:rPr>
          <w:rFonts w:ascii="Book Antiqua" w:hAnsi="Book Antiqua" w:cs="Arial"/>
        </w:rPr>
        <w:t>antibodies which were then isolated and passively transferred</w:t>
      </w:r>
      <w:r w:rsidR="00D236B1" w:rsidRPr="001467E4">
        <w:rPr>
          <w:rFonts w:ascii="Book Antiqua" w:hAnsi="Book Antiqua" w:cs="Arial"/>
        </w:rPr>
        <w:t xml:space="preserve"> </w:t>
      </w:r>
      <w:r w:rsidRPr="001467E4">
        <w:rPr>
          <w:rFonts w:ascii="Book Antiqua" w:hAnsi="Book Antiqua" w:cs="Arial"/>
        </w:rPr>
        <w:t xml:space="preserve">to </w:t>
      </w:r>
      <w:r w:rsidR="00D236B1" w:rsidRPr="001467E4">
        <w:rPr>
          <w:rFonts w:ascii="Book Antiqua" w:hAnsi="Book Antiqua" w:cs="Arial"/>
        </w:rPr>
        <w:t xml:space="preserve">naive mice at day 0 of pregnancy. </w:t>
      </w:r>
      <w:r w:rsidR="002F4D2F" w:rsidRPr="001467E4">
        <w:rPr>
          <w:rFonts w:ascii="Book Antiqua" w:hAnsi="Book Antiqua" w:cs="Arial"/>
        </w:rPr>
        <w:t xml:space="preserve">These antibodies induced a higher frequency of </w:t>
      </w:r>
      <w:r w:rsidR="00D236B1" w:rsidRPr="001467E4">
        <w:rPr>
          <w:rFonts w:ascii="Book Antiqua" w:hAnsi="Book Antiqua" w:cs="Arial"/>
        </w:rPr>
        <w:t>fetal loss</w:t>
      </w:r>
      <w:r w:rsidR="002F4D2F" w:rsidRPr="001467E4">
        <w:rPr>
          <w:rFonts w:ascii="Book Antiqua" w:hAnsi="Book Antiqua" w:cs="Arial"/>
        </w:rPr>
        <w:t>, thrombocytopenia and prolonged activated partial thromboplastin times (aPTT) at day 15 after inoculation</w:t>
      </w:r>
      <w:r w:rsidR="00D236B1" w:rsidRPr="001467E4">
        <w:rPr>
          <w:rFonts w:ascii="Book Antiqua" w:hAnsi="Book Antiqua" w:cs="Arial"/>
        </w:rPr>
        <w:t xml:space="preserve">. </w:t>
      </w:r>
      <w:r w:rsidR="00EC32D4" w:rsidRPr="001467E4">
        <w:rPr>
          <w:rFonts w:ascii="Book Antiqua" w:hAnsi="Book Antiqua" w:cs="Arial"/>
        </w:rPr>
        <w:t xml:space="preserve">Even further evidence comes from a study utilizing protein H found in </w:t>
      </w:r>
      <w:r w:rsidR="00EC32D4" w:rsidRPr="001467E4">
        <w:rPr>
          <w:rFonts w:ascii="Book Antiqua" w:hAnsi="Book Antiqua" w:cs="Arial"/>
          <w:i/>
        </w:rPr>
        <w:t>Streptococcus pyogenes</w:t>
      </w:r>
      <w:r w:rsidR="00EC32D4" w:rsidRPr="001467E4">
        <w:rPr>
          <w:rFonts w:ascii="Book Antiqua" w:hAnsi="Book Antiqua" w:cs="Arial"/>
        </w:rPr>
        <w:t xml:space="preserve"> isolates. Protein H was able to bind to </w:t>
      </w:r>
      <w:r w:rsidR="002F4D2F" w:rsidRPr="001467E4">
        <w:rPr>
          <w:rFonts w:ascii="Book Antiqua" w:hAnsi="Book Antiqua" w:cs="Arial"/>
        </w:rPr>
        <w:sym w:font="Symbol" w:char="F062"/>
      </w:r>
      <w:r w:rsidR="002F4D2F" w:rsidRPr="001467E4">
        <w:rPr>
          <w:rFonts w:ascii="Book Antiqua" w:hAnsi="Book Antiqua" w:cs="Arial"/>
          <w:vertAlign w:val="subscript"/>
        </w:rPr>
        <w:t>2</w:t>
      </w:r>
      <w:r w:rsidR="002F4D2F" w:rsidRPr="001467E4">
        <w:rPr>
          <w:rFonts w:ascii="Book Antiqua" w:hAnsi="Book Antiqua" w:cs="Arial"/>
        </w:rPr>
        <w:t xml:space="preserve">GPI, </w:t>
      </w:r>
      <w:r w:rsidR="00EC32D4" w:rsidRPr="001467E4">
        <w:rPr>
          <w:rFonts w:ascii="Book Antiqua" w:hAnsi="Book Antiqua" w:cs="Arial"/>
        </w:rPr>
        <w:t>induce changes</w:t>
      </w:r>
      <w:r w:rsidR="002F4D2F" w:rsidRPr="001467E4">
        <w:rPr>
          <w:rFonts w:ascii="Book Antiqua" w:hAnsi="Book Antiqua" w:cs="Arial"/>
        </w:rPr>
        <w:t xml:space="preserve"> in the conformation of the protein, </w:t>
      </w:r>
      <w:r w:rsidR="00EC32D4" w:rsidRPr="001467E4">
        <w:rPr>
          <w:rFonts w:ascii="Book Antiqua" w:hAnsi="Book Antiqua" w:cs="Arial"/>
        </w:rPr>
        <w:t>expos</w:t>
      </w:r>
      <w:r w:rsidR="002F4D2F" w:rsidRPr="001467E4">
        <w:rPr>
          <w:rFonts w:ascii="Book Antiqua" w:hAnsi="Book Antiqua" w:cs="Arial"/>
        </w:rPr>
        <w:t>e</w:t>
      </w:r>
      <w:r w:rsidR="00EC32D4" w:rsidRPr="001467E4">
        <w:rPr>
          <w:rFonts w:ascii="Book Antiqua" w:hAnsi="Book Antiqua" w:cs="Arial"/>
        </w:rPr>
        <w:t xml:space="preserve"> </w:t>
      </w:r>
      <w:r w:rsidR="002F4D2F" w:rsidRPr="001467E4">
        <w:rPr>
          <w:rFonts w:ascii="Book Antiqua" w:hAnsi="Book Antiqua" w:cs="Arial"/>
        </w:rPr>
        <w:t xml:space="preserve">cryptic </w:t>
      </w:r>
      <w:r w:rsidR="00EC32D4" w:rsidRPr="001467E4">
        <w:rPr>
          <w:rFonts w:ascii="Book Antiqua" w:hAnsi="Book Antiqua" w:cs="Arial"/>
        </w:rPr>
        <w:t xml:space="preserve">epitopes and </w:t>
      </w:r>
      <w:r w:rsidR="002F4D2F" w:rsidRPr="001467E4">
        <w:rPr>
          <w:rFonts w:ascii="Book Antiqua" w:hAnsi="Book Antiqua" w:cs="Arial"/>
        </w:rPr>
        <w:t>consequently allow for the development</w:t>
      </w:r>
      <w:r w:rsidR="00EC32D4" w:rsidRPr="001467E4">
        <w:rPr>
          <w:rFonts w:ascii="Book Antiqua" w:hAnsi="Book Antiqua" w:cs="Arial"/>
        </w:rPr>
        <w:t xml:space="preserve"> of anti-</w:t>
      </w:r>
      <w:r w:rsidR="002F4D2F" w:rsidRPr="001467E4">
        <w:rPr>
          <w:rFonts w:ascii="Book Antiqua" w:hAnsi="Book Antiqua" w:cs="Arial"/>
        </w:rPr>
        <w:sym w:font="Symbol" w:char="F062"/>
      </w:r>
      <w:r w:rsidR="002F4D2F" w:rsidRPr="001467E4">
        <w:rPr>
          <w:rFonts w:ascii="Book Antiqua" w:hAnsi="Book Antiqua" w:cs="Arial"/>
          <w:vertAlign w:val="subscript"/>
        </w:rPr>
        <w:t>2</w:t>
      </w:r>
      <w:r w:rsidR="00442311">
        <w:rPr>
          <w:rFonts w:ascii="Book Antiqua" w:hAnsi="Book Antiqua" w:cs="Arial"/>
        </w:rPr>
        <w:t>GPI antibodies</w:t>
      </w:r>
      <w:r w:rsidR="00EC32D4" w:rsidRPr="001467E4">
        <w:rPr>
          <w:rFonts w:ascii="Book Antiqua" w:hAnsi="Book Antiqua" w:cs="Arial"/>
          <w:vertAlign w:val="superscript"/>
        </w:rPr>
        <w:t>[</w:t>
      </w:r>
      <w:r w:rsidR="00691384" w:rsidRPr="001467E4">
        <w:rPr>
          <w:rFonts w:ascii="Book Antiqua" w:hAnsi="Book Antiqua" w:cs="Arial"/>
          <w:vertAlign w:val="superscript"/>
        </w:rPr>
        <w:t>6</w:t>
      </w:r>
      <w:r w:rsidR="00854FEB">
        <w:rPr>
          <w:rFonts w:ascii="Book Antiqua" w:hAnsi="Book Antiqua" w:cs="Arial" w:hint="eastAsia"/>
          <w:vertAlign w:val="superscript"/>
          <w:lang w:eastAsia="zh-CN"/>
        </w:rPr>
        <w:t>8</w:t>
      </w:r>
      <w:r w:rsidR="00EC32D4" w:rsidRPr="001467E4">
        <w:rPr>
          <w:rFonts w:ascii="Book Antiqua" w:hAnsi="Book Antiqua" w:cs="Arial"/>
          <w:vertAlign w:val="superscript"/>
        </w:rPr>
        <w:t>]</w:t>
      </w:r>
      <w:r w:rsidR="00EC32D4" w:rsidRPr="001467E4">
        <w:rPr>
          <w:rFonts w:ascii="Book Antiqua" w:hAnsi="Book Antiqua" w:cs="Arial"/>
        </w:rPr>
        <w:t>.</w:t>
      </w:r>
    </w:p>
    <w:p w14:paraId="6165124F" w14:textId="7F9E1131" w:rsidR="00EC32D4" w:rsidRPr="001467E4" w:rsidRDefault="0027448A" w:rsidP="00442311">
      <w:pPr>
        <w:spacing w:after="0" w:line="360" w:lineRule="auto"/>
        <w:ind w:firstLineChars="100" w:firstLine="240"/>
        <w:jc w:val="both"/>
        <w:rPr>
          <w:rFonts w:ascii="Book Antiqua" w:hAnsi="Book Antiqua" w:cs="Arial"/>
        </w:rPr>
      </w:pPr>
      <w:r w:rsidRPr="001467E4">
        <w:rPr>
          <w:rFonts w:ascii="Book Antiqua" w:hAnsi="Book Antiqua" w:cs="Arial"/>
        </w:rPr>
        <w:t>Several</w:t>
      </w:r>
      <w:r w:rsidR="00D236B1" w:rsidRPr="001467E4">
        <w:rPr>
          <w:rFonts w:ascii="Book Antiqua" w:hAnsi="Book Antiqua" w:cs="Arial"/>
        </w:rPr>
        <w:t xml:space="preserve"> </w:t>
      </w:r>
      <w:r w:rsidRPr="001467E4">
        <w:rPr>
          <w:rFonts w:ascii="Book Antiqua" w:hAnsi="Book Antiqua" w:cs="Arial"/>
        </w:rPr>
        <w:t xml:space="preserve">infectious agents have been linked to </w:t>
      </w:r>
      <w:r w:rsidR="00D236B1" w:rsidRPr="001467E4">
        <w:rPr>
          <w:rFonts w:ascii="Book Antiqua" w:hAnsi="Book Antiqua" w:cs="Arial"/>
        </w:rPr>
        <w:t xml:space="preserve">aPL production </w:t>
      </w:r>
      <w:r w:rsidRPr="001467E4">
        <w:rPr>
          <w:rFonts w:ascii="Book Antiqua" w:hAnsi="Book Antiqua" w:cs="Arial"/>
        </w:rPr>
        <w:t>and</w:t>
      </w:r>
      <w:r w:rsidR="00442311">
        <w:rPr>
          <w:rFonts w:ascii="Book Antiqua" w:hAnsi="Book Antiqua" w:cs="Arial"/>
        </w:rPr>
        <w:t xml:space="preserve"> APS manifestations</w:t>
      </w:r>
      <w:r w:rsidR="00D236B1" w:rsidRPr="001467E4">
        <w:rPr>
          <w:rFonts w:ascii="Book Antiqua" w:hAnsi="Book Antiqua" w:cs="Arial"/>
          <w:vertAlign w:val="superscript"/>
        </w:rPr>
        <w:t>[</w:t>
      </w:r>
      <w:r w:rsidR="00AB0E48">
        <w:rPr>
          <w:rFonts w:ascii="Book Antiqua" w:hAnsi="Book Antiqua" w:cs="Arial" w:hint="eastAsia"/>
          <w:vertAlign w:val="superscript"/>
          <w:lang w:eastAsia="zh-CN"/>
        </w:rPr>
        <w:t>6</w:t>
      </w:r>
      <w:r w:rsidR="00854FEB">
        <w:rPr>
          <w:rFonts w:ascii="Book Antiqua" w:hAnsi="Book Antiqua" w:cs="Arial" w:hint="eastAsia"/>
          <w:vertAlign w:val="superscript"/>
          <w:lang w:eastAsia="zh-CN"/>
        </w:rPr>
        <w:t>3</w:t>
      </w:r>
      <w:r w:rsidR="00D236B1" w:rsidRPr="001467E4">
        <w:rPr>
          <w:rFonts w:ascii="Book Antiqua" w:hAnsi="Book Antiqua" w:cs="Arial"/>
          <w:vertAlign w:val="superscript"/>
        </w:rPr>
        <w:t>]</w:t>
      </w:r>
      <w:r w:rsidR="00D236B1" w:rsidRPr="001467E4">
        <w:rPr>
          <w:rFonts w:ascii="Book Antiqua" w:hAnsi="Book Antiqua" w:cs="Arial"/>
        </w:rPr>
        <w:t xml:space="preserve">. Human immunodeficiency virus (HIV), </w:t>
      </w:r>
      <w:r w:rsidRPr="001467E4">
        <w:rPr>
          <w:rFonts w:ascii="Book Antiqua" w:hAnsi="Book Antiqua" w:cs="Arial"/>
        </w:rPr>
        <w:t xml:space="preserve">Human T-cell lymphoma/leukemia virus (HTLV), CMV, </w:t>
      </w:r>
      <w:r w:rsidR="00442311" w:rsidRPr="001467E4">
        <w:rPr>
          <w:rFonts w:ascii="Book Antiqua" w:hAnsi="Book Antiqua" w:cs="Arial"/>
        </w:rPr>
        <w:t>h</w:t>
      </w:r>
      <w:r w:rsidRPr="001467E4">
        <w:rPr>
          <w:rFonts w:ascii="Book Antiqua" w:hAnsi="Book Antiqua" w:cs="Arial"/>
        </w:rPr>
        <w:t xml:space="preserve">epatitis B and C viruses, parvovirus B19 </w:t>
      </w:r>
      <w:r w:rsidR="00D236B1" w:rsidRPr="001467E4">
        <w:rPr>
          <w:rFonts w:ascii="Book Antiqua" w:hAnsi="Book Antiqua" w:cs="Arial"/>
        </w:rPr>
        <w:t xml:space="preserve">and Varicella Zoster Virus (VZV) are </w:t>
      </w:r>
      <w:r w:rsidRPr="001467E4">
        <w:rPr>
          <w:rFonts w:ascii="Book Antiqua" w:hAnsi="Book Antiqua" w:cs="Arial"/>
        </w:rPr>
        <w:t>a few for which these associations have been reported</w:t>
      </w:r>
      <w:r w:rsidR="00D236B1" w:rsidRPr="001467E4">
        <w:rPr>
          <w:rFonts w:ascii="Book Antiqua" w:hAnsi="Book Antiqua" w:cs="Arial"/>
          <w:vertAlign w:val="superscript"/>
        </w:rPr>
        <w:t>[</w:t>
      </w:r>
      <w:r w:rsidR="00854FEB">
        <w:rPr>
          <w:rFonts w:ascii="Book Antiqua" w:hAnsi="Book Antiqua" w:cs="Arial" w:hint="eastAsia"/>
          <w:vertAlign w:val="superscript"/>
          <w:lang w:eastAsia="zh-CN"/>
        </w:rPr>
        <w:t>69</w:t>
      </w:r>
      <w:r w:rsidR="00D236B1" w:rsidRPr="001467E4">
        <w:rPr>
          <w:rFonts w:ascii="Book Antiqua" w:hAnsi="Book Antiqua" w:cs="Arial"/>
          <w:vertAlign w:val="superscript"/>
        </w:rPr>
        <w:t>]</w:t>
      </w:r>
      <w:r w:rsidR="00D236B1" w:rsidRPr="001467E4">
        <w:rPr>
          <w:rFonts w:ascii="Book Antiqua" w:hAnsi="Book Antiqua" w:cs="Arial"/>
        </w:rPr>
        <w:t>.</w:t>
      </w:r>
      <w:r w:rsidR="003549C4" w:rsidRPr="001467E4">
        <w:rPr>
          <w:rFonts w:ascii="Book Antiqua" w:hAnsi="Book Antiqua" w:cs="Arial"/>
        </w:rPr>
        <w:t xml:space="preserve"> </w:t>
      </w:r>
      <w:r w:rsidR="00EC32D4" w:rsidRPr="001467E4">
        <w:rPr>
          <w:rFonts w:ascii="Book Antiqua" w:hAnsi="Book Antiqua" w:cs="Arial"/>
        </w:rPr>
        <w:t xml:space="preserve">It is clear that infectious agents play a major role in pathogenic aPL production but what remains uncertain is the mechanism which underlies the break in tolerance allowing for these autoantibodies to be produced. </w:t>
      </w:r>
      <w:r w:rsidR="00006321" w:rsidRPr="001467E4">
        <w:rPr>
          <w:rFonts w:ascii="Book Antiqua" w:hAnsi="Book Antiqua" w:cs="Arial"/>
        </w:rPr>
        <w:t>Additional methods of autoimmune induction by infectious agents indlude</w:t>
      </w:r>
      <w:r w:rsidR="00EC32D4" w:rsidRPr="001467E4">
        <w:rPr>
          <w:rFonts w:ascii="Book Antiqua" w:hAnsi="Book Antiqua" w:cs="Arial"/>
        </w:rPr>
        <w:t xml:space="preserve"> </w:t>
      </w:r>
      <w:r w:rsidR="00006321" w:rsidRPr="001467E4">
        <w:rPr>
          <w:rFonts w:ascii="Book Antiqua" w:hAnsi="Book Antiqua" w:cs="Arial"/>
        </w:rPr>
        <w:t>the release of cytokines and chemkines,</w:t>
      </w:r>
      <w:r w:rsidR="00EC32D4" w:rsidRPr="001467E4">
        <w:rPr>
          <w:rFonts w:ascii="Book Antiqua" w:hAnsi="Book Antiqua" w:cs="Arial"/>
        </w:rPr>
        <w:t xml:space="preserve"> </w:t>
      </w:r>
      <w:r w:rsidR="00006321" w:rsidRPr="001467E4">
        <w:rPr>
          <w:rFonts w:ascii="Book Antiqua" w:hAnsi="Book Antiqua" w:cs="Arial"/>
        </w:rPr>
        <w:t>selective activation or destruction of</w:t>
      </w:r>
      <w:r w:rsidR="003549C4" w:rsidRPr="001467E4">
        <w:rPr>
          <w:rFonts w:ascii="Book Antiqua" w:hAnsi="Book Antiqua" w:cs="Arial"/>
        </w:rPr>
        <w:t xml:space="preserve"> unique lymphocyte subsets</w:t>
      </w:r>
      <w:r w:rsidR="00EC32D4" w:rsidRPr="001467E4">
        <w:rPr>
          <w:rFonts w:ascii="Book Antiqua" w:hAnsi="Book Antiqua" w:cs="Arial"/>
        </w:rPr>
        <w:t xml:space="preserve"> or </w:t>
      </w:r>
      <w:r w:rsidR="00006321" w:rsidRPr="001467E4">
        <w:rPr>
          <w:rFonts w:ascii="Book Antiqua" w:hAnsi="Book Antiqua" w:cs="Arial"/>
        </w:rPr>
        <w:t>hidden epitope exposure</w:t>
      </w:r>
      <w:r w:rsidR="00EC32D4" w:rsidRPr="001467E4">
        <w:rPr>
          <w:rFonts w:ascii="Book Antiqua" w:hAnsi="Book Antiqua" w:cs="Arial"/>
        </w:rPr>
        <w:t xml:space="preserve"> du</w:t>
      </w:r>
      <w:r w:rsidR="00442311">
        <w:rPr>
          <w:rFonts w:ascii="Book Antiqua" w:hAnsi="Book Antiqua" w:cs="Arial"/>
        </w:rPr>
        <w:t>ring cell necrosis or apoptosis</w:t>
      </w:r>
      <w:r w:rsidR="00EC32D4" w:rsidRPr="001467E4">
        <w:rPr>
          <w:rFonts w:ascii="Book Antiqua" w:hAnsi="Book Antiqua" w:cs="Arial"/>
          <w:vertAlign w:val="superscript"/>
        </w:rPr>
        <w:t>[</w:t>
      </w:r>
      <w:r w:rsidR="00AD1A5B" w:rsidRPr="001467E4">
        <w:rPr>
          <w:rFonts w:ascii="Book Antiqua" w:hAnsi="Book Antiqua" w:cs="Arial"/>
          <w:vertAlign w:val="superscript"/>
        </w:rPr>
        <w:t>7</w:t>
      </w:r>
      <w:r w:rsidR="00854FEB">
        <w:rPr>
          <w:rFonts w:ascii="Book Antiqua" w:hAnsi="Book Antiqua" w:cs="Arial" w:hint="eastAsia"/>
          <w:vertAlign w:val="superscript"/>
          <w:lang w:eastAsia="zh-CN"/>
        </w:rPr>
        <w:t>0</w:t>
      </w:r>
      <w:r w:rsidR="00AD1A5B" w:rsidRPr="001467E4">
        <w:rPr>
          <w:rFonts w:ascii="Book Antiqua" w:hAnsi="Book Antiqua" w:cs="Arial"/>
          <w:vertAlign w:val="superscript"/>
        </w:rPr>
        <w:t>-7</w:t>
      </w:r>
      <w:r w:rsidR="00854FEB">
        <w:rPr>
          <w:rFonts w:ascii="Book Antiqua" w:hAnsi="Book Antiqua" w:cs="Arial" w:hint="eastAsia"/>
          <w:vertAlign w:val="superscript"/>
          <w:lang w:eastAsia="zh-CN"/>
        </w:rPr>
        <w:t>2</w:t>
      </w:r>
      <w:r w:rsidR="00EC32D4" w:rsidRPr="001467E4">
        <w:rPr>
          <w:rFonts w:ascii="Book Antiqua" w:hAnsi="Book Antiqua" w:cs="Arial"/>
          <w:vertAlign w:val="superscript"/>
        </w:rPr>
        <w:t>]</w:t>
      </w:r>
      <w:r w:rsidR="00EC32D4" w:rsidRPr="001467E4">
        <w:rPr>
          <w:rFonts w:ascii="Book Antiqua" w:hAnsi="Book Antiqua" w:cs="Arial"/>
        </w:rPr>
        <w:t xml:space="preserve">. </w:t>
      </w:r>
    </w:p>
    <w:p w14:paraId="7D7C5A61" w14:textId="0B23895F" w:rsidR="00EC32D4" w:rsidRPr="001467E4" w:rsidRDefault="00EC32D4" w:rsidP="00442311">
      <w:pPr>
        <w:spacing w:after="0" w:line="360" w:lineRule="auto"/>
        <w:ind w:firstLineChars="100" w:firstLine="240"/>
        <w:jc w:val="both"/>
        <w:rPr>
          <w:rFonts w:ascii="Book Antiqua" w:hAnsi="Book Antiqua" w:cs="Arial"/>
        </w:rPr>
      </w:pPr>
      <w:r w:rsidRPr="001467E4">
        <w:rPr>
          <w:rFonts w:ascii="Book Antiqua" w:hAnsi="Book Antiqua" w:cs="Arial"/>
        </w:rPr>
        <w:t xml:space="preserve">The majority of circulating </w:t>
      </w:r>
      <w:r w:rsidR="0027448A" w:rsidRPr="001467E4">
        <w:rPr>
          <w:rFonts w:ascii="Book Antiqua" w:hAnsi="Book Antiqua" w:cs="Arial"/>
        </w:rPr>
        <w:sym w:font="Symbol" w:char="F062"/>
      </w:r>
      <w:r w:rsidR="0027448A" w:rsidRPr="001467E4">
        <w:rPr>
          <w:rFonts w:ascii="Book Antiqua" w:hAnsi="Book Antiqua" w:cs="Arial"/>
          <w:vertAlign w:val="subscript"/>
        </w:rPr>
        <w:t>2</w:t>
      </w:r>
      <w:r w:rsidR="0027448A" w:rsidRPr="001467E4">
        <w:rPr>
          <w:rFonts w:ascii="Book Antiqua" w:hAnsi="Book Antiqua" w:cs="Arial"/>
        </w:rPr>
        <w:t>GPI</w:t>
      </w:r>
      <w:r w:rsidRPr="001467E4">
        <w:rPr>
          <w:rFonts w:ascii="Book Antiqua" w:hAnsi="Book Antiqua" w:cs="Arial"/>
        </w:rPr>
        <w:t xml:space="preserve"> exists in a reduced form containing unpaired cysteines (free thiols), which are involved in the interaction with platelets and endothelial cells. This abundant pool of free thiols may serve as an antioxidant reservoir protecting cells or critical molecules from oxidative stress</w:t>
      </w:r>
      <w:r w:rsidR="003549C4" w:rsidRPr="001467E4">
        <w:rPr>
          <w:rFonts w:ascii="Book Antiqua" w:hAnsi="Book Antiqua" w:cs="Arial"/>
        </w:rPr>
        <w:t xml:space="preserve"> and o</w:t>
      </w:r>
      <w:r w:rsidRPr="001467E4">
        <w:rPr>
          <w:rFonts w:ascii="Book Antiqua" w:hAnsi="Book Antiqua" w:cs="Arial"/>
        </w:rPr>
        <w:t xml:space="preserve">xidation of β2GPI has been shown to confer an increase in its immunogenicity through a Th1 immunological mechanism. It is </w:t>
      </w:r>
      <w:r w:rsidR="003549C4" w:rsidRPr="001467E4">
        <w:rPr>
          <w:rFonts w:ascii="Book Antiqua" w:hAnsi="Book Antiqua" w:cs="Arial"/>
        </w:rPr>
        <w:t xml:space="preserve">therefore </w:t>
      </w:r>
      <w:r w:rsidRPr="001467E4">
        <w:rPr>
          <w:rFonts w:ascii="Book Antiqua" w:hAnsi="Book Antiqua" w:cs="Arial"/>
        </w:rPr>
        <w:t xml:space="preserve">possible that the generation of reactive oxidative and nitrosative species by certain infectious agents could allow for generation of an abundance of oxidized </w:t>
      </w:r>
      <w:r w:rsidR="00615BE9" w:rsidRPr="001467E4">
        <w:rPr>
          <w:rFonts w:ascii="Book Antiqua" w:hAnsi="Book Antiqua" w:cs="Arial"/>
        </w:rPr>
        <w:sym w:font="Symbol" w:char="F062"/>
      </w:r>
      <w:r w:rsidR="00615BE9" w:rsidRPr="001467E4">
        <w:rPr>
          <w:rFonts w:ascii="Book Antiqua" w:hAnsi="Book Antiqua" w:cs="Arial"/>
          <w:vertAlign w:val="subscript"/>
        </w:rPr>
        <w:t>2</w:t>
      </w:r>
      <w:r w:rsidR="00615BE9" w:rsidRPr="001467E4">
        <w:rPr>
          <w:rFonts w:ascii="Book Antiqua" w:hAnsi="Book Antiqua" w:cs="Arial"/>
        </w:rPr>
        <w:t>GPI</w:t>
      </w:r>
      <w:r w:rsidRPr="001467E4">
        <w:rPr>
          <w:rFonts w:ascii="Book Antiqua" w:hAnsi="Book Antiqua" w:cs="Arial"/>
        </w:rPr>
        <w:t xml:space="preserve"> and foster autoantibody production. Indeed, serum from patients with APS assessed by a novel ELISA assay, have a significant increase in oxidized </w:t>
      </w:r>
      <w:r w:rsidR="00615BE9" w:rsidRPr="001467E4">
        <w:rPr>
          <w:rFonts w:ascii="Book Antiqua" w:hAnsi="Book Antiqua" w:cs="Arial"/>
        </w:rPr>
        <w:sym w:font="Symbol" w:char="F062"/>
      </w:r>
      <w:r w:rsidR="00615BE9" w:rsidRPr="001467E4">
        <w:rPr>
          <w:rFonts w:ascii="Book Antiqua" w:hAnsi="Book Antiqua" w:cs="Arial"/>
          <w:vertAlign w:val="subscript"/>
        </w:rPr>
        <w:t>2</w:t>
      </w:r>
      <w:r w:rsidR="00615BE9" w:rsidRPr="001467E4">
        <w:rPr>
          <w:rFonts w:ascii="Book Antiqua" w:hAnsi="Book Antiqua" w:cs="Arial"/>
        </w:rPr>
        <w:t>GPI</w:t>
      </w:r>
      <w:r w:rsidRPr="001467E4">
        <w:rPr>
          <w:rFonts w:ascii="Book Antiqua" w:hAnsi="Book Antiqua" w:cs="Arial"/>
          <w:vertAlign w:val="superscript"/>
        </w:rPr>
        <w:t>[</w:t>
      </w:r>
      <w:r w:rsidR="00030158" w:rsidRPr="001467E4">
        <w:rPr>
          <w:rFonts w:ascii="Book Antiqua" w:hAnsi="Book Antiqua" w:cs="Arial"/>
          <w:vertAlign w:val="superscript"/>
        </w:rPr>
        <w:t>7</w:t>
      </w:r>
      <w:r w:rsidR="00854FEB">
        <w:rPr>
          <w:rFonts w:ascii="Book Antiqua" w:hAnsi="Book Antiqua" w:cs="Arial" w:hint="eastAsia"/>
          <w:vertAlign w:val="superscript"/>
          <w:lang w:eastAsia="zh-CN"/>
        </w:rPr>
        <w:t>3</w:t>
      </w:r>
      <w:r w:rsidRPr="001467E4">
        <w:rPr>
          <w:rFonts w:ascii="Book Antiqua" w:hAnsi="Book Antiqua" w:cs="Arial"/>
          <w:vertAlign w:val="superscript"/>
        </w:rPr>
        <w:t>]</w:t>
      </w:r>
      <w:r w:rsidR="00442311">
        <w:rPr>
          <w:rFonts w:ascii="Book Antiqua" w:hAnsi="Book Antiqua" w:cs="Arial" w:hint="eastAsia"/>
          <w:vertAlign w:val="superscript"/>
          <w:lang w:eastAsia="zh-CN"/>
        </w:rPr>
        <w:t xml:space="preserve"> </w:t>
      </w:r>
      <w:r w:rsidR="000527DB" w:rsidRPr="001467E4">
        <w:rPr>
          <w:rFonts w:ascii="Book Antiqua" w:hAnsi="Book Antiqua" w:cs="Arial"/>
        </w:rPr>
        <w:t>(Figure 1).</w:t>
      </w:r>
    </w:p>
    <w:p w14:paraId="26A43AD8" w14:textId="23E074B1" w:rsidR="003549C4" w:rsidRPr="001467E4" w:rsidRDefault="003549C4" w:rsidP="00442311">
      <w:pPr>
        <w:spacing w:after="0" w:line="360" w:lineRule="auto"/>
        <w:ind w:firstLineChars="100" w:firstLine="240"/>
        <w:jc w:val="both"/>
        <w:rPr>
          <w:rFonts w:ascii="Book Antiqua" w:hAnsi="Book Antiqua" w:cs="Arial"/>
        </w:rPr>
      </w:pPr>
      <w:r w:rsidRPr="001467E4">
        <w:rPr>
          <w:rFonts w:ascii="Book Antiqua" w:hAnsi="Book Antiqua" w:cs="Arial"/>
        </w:rPr>
        <w:t>The break in tolerance in APS patients is also likel</w:t>
      </w:r>
      <w:r w:rsidR="00442311">
        <w:rPr>
          <w:rFonts w:ascii="Book Antiqua" w:hAnsi="Book Antiqua" w:cs="Arial"/>
        </w:rPr>
        <w:t xml:space="preserve">y to involve regulatory T-cell </w:t>
      </w:r>
      <w:r w:rsidRPr="001467E4">
        <w:rPr>
          <w:rFonts w:ascii="Book Antiqua" w:hAnsi="Book Antiqua" w:cs="Arial"/>
        </w:rPr>
        <w:t>(Treg) function based on recent evidence. Peripheral blood mononuclear cells (PBMCs) isolated from healthy donors were subjected to increasing concentrations of aPL and there was evidence of significant changes in T-cel</w:t>
      </w:r>
      <w:r w:rsidR="00442311">
        <w:rPr>
          <w:rFonts w:ascii="Book Antiqua" w:hAnsi="Book Antiqua" w:cs="Arial"/>
        </w:rPr>
        <w:t>l subsets compared to controls</w:t>
      </w:r>
      <w:r w:rsidRPr="001467E4">
        <w:rPr>
          <w:rFonts w:ascii="Book Antiqua" w:hAnsi="Book Antiqua" w:cs="Arial"/>
          <w:vertAlign w:val="superscript"/>
        </w:rPr>
        <w:t>[</w:t>
      </w:r>
      <w:r w:rsidR="00030158" w:rsidRPr="001467E4">
        <w:rPr>
          <w:rFonts w:ascii="Book Antiqua" w:hAnsi="Book Antiqua" w:cs="Arial"/>
          <w:vertAlign w:val="superscript"/>
        </w:rPr>
        <w:t>7</w:t>
      </w:r>
      <w:r w:rsidR="00854FEB">
        <w:rPr>
          <w:rFonts w:ascii="Book Antiqua" w:hAnsi="Book Antiqua" w:cs="Arial" w:hint="eastAsia"/>
          <w:vertAlign w:val="superscript"/>
          <w:lang w:eastAsia="zh-CN"/>
        </w:rPr>
        <w:t>4</w:t>
      </w:r>
      <w:r w:rsidRPr="001467E4">
        <w:rPr>
          <w:rFonts w:ascii="Book Antiqua" w:hAnsi="Book Antiqua" w:cs="Arial"/>
          <w:vertAlign w:val="superscript"/>
        </w:rPr>
        <w:t>]</w:t>
      </w:r>
      <w:r w:rsidRPr="001467E4">
        <w:rPr>
          <w:rFonts w:ascii="Book Antiqua" w:hAnsi="Book Antiqua" w:cs="Arial"/>
        </w:rPr>
        <w:t>. T-helper2 (Th2) and Th17 cell frequencies were increased</w:t>
      </w:r>
      <w:r w:rsidR="00E211F2" w:rsidRPr="001467E4">
        <w:rPr>
          <w:rFonts w:ascii="Book Antiqua" w:hAnsi="Book Antiqua" w:cs="Arial"/>
        </w:rPr>
        <w:t>, while Th1 and Treg cells were decreased. Subsequently, a study done in primary APS patients reported a reduced frequency of CD4+ CD25+ foxp3+ T-regulatory cells in thes</w:t>
      </w:r>
      <w:r w:rsidR="00442311">
        <w:rPr>
          <w:rFonts w:ascii="Book Antiqua" w:hAnsi="Book Antiqua" w:cs="Arial"/>
        </w:rPr>
        <w:t>e patients compared to controls</w:t>
      </w:r>
      <w:r w:rsidR="00E211F2" w:rsidRPr="001467E4">
        <w:rPr>
          <w:rFonts w:ascii="Book Antiqua" w:hAnsi="Book Antiqua" w:cs="Arial"/>
          <w:vertAlign w:val="superscript"/>
        </w:rPr>
        <w:t>[</w:t>
      </w:r>
      <w:r w:rsidR="00030158" w:rsidRPr="001467E4">
        <w:rPr>
          <w:rFonts w:ascii="Book Antiqua" w:hAnsi="Book Antiqua" w:cs="Arial"/>
          <w:vertAlign w:val="superscript"/>
        </w:rPr>
        <w:t>7</w:t>
      </w:r>
      <w:r w:rsidR="00854FEB">
        <w:rPr>
          <w:rFonts w:ascii="Book Antiqua" w:hAnsi="Book Antiqua" w:cs="Arial" w:hint="eastAsia"/>
          <w:vertAlign w:val="superscript"/>
          <w:lang w:eastAsia="zh-CN"/>
        </w:rPr>
        <w:t>5</w:t>
      </w:r>
      <w:r w:rsidR="00030158" w:rsidRPr="001467E4">
        <w:rPr>
          <w:rFonts w:ascii="Book Antiqua" w:hAnsi="Book Antiqua" w:cs="Arial"/>
          <w:vertAlign w:val="superscript"/>
        </w:rPr>
        <w:t>]</w:t>
      </w:r>
      <w:r w:rsidR="00030158" w:rsidRPr="001467E4">
        <w:rPr>
          <w:rFonts w:ascii="Book Antiqua" w:hAnsi="Book Antiqua" w:cs="Arial"/>
        </w:rPr>
        <w:t>.</w:t>
      </w:r>
      <w:r w:rsidR="00E211F2" w:rsidRPr="001467E4">
        <w:rPr>
          <w:rFonts w:ascii="Book Antiqua" w:hAnsi="Book Antiqua" w:cs="Arial"/>
        </w:rPr>
        <w:t xml:space="preserve"> Taken together, these studies indicate that Th1/Th2 imbalance, Th17 upregulation and Treg dysfunction play potential roles in aPL production and APS development</w:t>
      </w:r>
      <w:r w:rsidR="000527DB" w:rsidRPr="001467E4">
        <w:rPr>
          <w:rFonts w:ascii="Book Antiqua" w:hAnsi="Book Antiqua" w:cs="Arial"/>
        </w:rPr>
        <w:t xml:space="preserve"> (Figure 1)</w:t>
      </w:r>
      <w:r w:rsidR="00E211F2" w:rsidRPr="001467E4">
        <w:rPr>
          <w:rFonts w:ascii="Book Antiqua" w:hAnsi="Book Antiqua" w:cs="Arial"/>
        </w:rPr>
        <w:t>.</w:t>
      </w:r>
    </w:p>
    <w:p w14:paraId="057230D6" w14:textId="6C011257" w:rsidR="00EC32D4" w:rsidRPr="001467E4" w:rsidRDefault="00EC32D4" w:rsidP="00442311">
      <w:pPr>
        <w:spacing w:after="0" w:line="360" w:lineRule="auto"/>
        <w:ind w:firstLineChars="100" w:firstLine="240"/>
        <w:jc w:val="both"/>
        <w:rPr>
          <w:rFonts w:ascii="Book Antiqua" w:hAnsi="Book Antiqua" w:cs="Arial"/>
        </w:rPr>
      </w:pPr>
      <w:r w:rsidRPr="001467E4">
        <w:rPr>
          <w:rFonts w:ascii="Book Antiqua" w:hAnsi="Book Antiqua" w:cs="Arial"/>
        </w:rPr>
        <w:t xml:space="preserve">Rauch </w:t>
      </w:r>
      <w:r w:rsidRPr="00442311">
        <w:rPr>
          <w:rFonts w:ascii="Book Antiqua" w:hAnsi="Book Antiqua" w:cs="Arial"/>
          <w:i/>
        </w:rPr>
        <w:t>et al</w:t>
      </w:r>
      <w:r w:rsidR="00442311" w:rsidRPr="001467E4">
        <w:rPr>
          <w:rFonts w:ascii="Book Antiqua" w:hAnsi="Book Antiqua" w:cs="Arial"/>
          <w:vertAlign w:val="superscript"/>
        </w:rPr>
        <w:t>[7</w:t>
      </w:r>
      <w:r w:rsidR="00854FEB">
        <w:rPr>
          <w:rFonts w:ascii="Book Antiqua" w:hAnsi="Book Antiqua" w:cs="Arial" w:hint="eastAsia"/>
          <w:vertAlign w:val="superscript"/>
          <w:lang w:eastAsia="zh-CN"/>
        </w:rPr>
        <w:t>6</w:t>
      </w:r>
      <w:r w:rsidR="00442311" w:rsidRPr="001467E4">
        <w:rPr>
          <w:rFonts w:ascii="Book Antiqua" w:hAnsi="Book Antiqua" w:cs="Arial"/>
          <w:vertAlign w:val="superscript"/>
        </w:rPr>
        <w:t>]</w:t>
      </w:r>
      <w:r w:rsidRPr="001467E4">
        <w:rPr>
          <w:rFonts w:ascii="Book Antiqua" w:hAnsi="Book Antiqua" w:cs="Arial"/>
        </w:rPr>
        <w:t xml:space="preserve"> have recently put forward a hypothesis that highlights the central part played by toll-like receptors (TLRs), especially TLR4, in inducing a break in tolerance, aPL production and epitope spread to several aut</w:t>
      </w:r>
      <w:r w:rsidR="00442311">
        <w:rPr>
          <w:rFonts w:ascii="Book Antiqua" w:hAnsi="Book Antiqua" w:cs="Arial"/>
        </w:rPr>
        <w:t>oantigens based on their work</w:t>
      </w:r>
      <w:r w:rsidR="005E6D83" w:rsidRPr="001467E4">
        <w:rPr>
          <w:rFonts w:ascii="Book Antiqua" w:hAnsi="Book Antiqua" w:cs="Arial"/>
          <w:vertAlign w:val="superscript"/>
        </w:rPr>
        <w:t>[7</w:t>
      </w:r>
      <w:r w:rsidR="00854FEB">
        <w:rPr>
          <w:rFonts w:ascii="Book Antiqua" w:hAnsi="Book Antiqua" w:cs="Arial" w:hint="eastAsia"/>
          <w:vertAlign w:val="superscript"/>
          <w:lang w:eastAsia="zh-CN"/>
        </w:rPr>
        <w:t>6</w:t>
      </w:r>
      <w:r w:rsidRPr="001467E4">
        <w:rPr>
          <w:rFonts w:ascii="Book Antiqua" w:hAnsi="Book Antiqua" w:cs="Arial"/>
          <w:vertAlign w:val="superscript"/>
        </w:rPr>
        <w:t>]</w:t>
      </w:r>
      <w:r w:rsidRPr="001467E4">
        <w:rPr>
          <w:rFonts w:ascii="Book Antiqua" w:hAnsi="Book Antiqua" w:cs="Arial"/>
        </w:rPr>
        <w:t xml:space="preserve">. Quite recently, Pierangeli </w:t>
      </w:r>
      <w:r w:rsidRPr="00727044">
        <w:rPr>
          <w:rFonts w:ascii="Book Antiqua" w:hAnsi="Book Antiqua" w:cs="Arial"/>
          <w:i/>
        </w:rPr>
        <w:t>et al</w:t>
      </w:r>
      <w:r w:rsidR="00727044" w:rsidRPr="001467E4">
        <w:rPr>
          <w:rFonts w:ascii="Book Antiqua" w:hAnsi="Book Antiqua" w:cs="Arial"/>
          <w:vertAlign w:val="superscript"/>
        </w:rPr>
        <w:t>[7</w:t>
      </w:r>
      <w:r w:rsidR="00854FEB">
        <w:rPr>
          <w:rFonts w:ascii="Book Antiqua" w:hAnsi="Book Antiqua" w:cs="Arial" w:hint="eastAsia"/>
          <w:vertAlign w:val="superscript"/>
          <w:lang w:eastAsia="zh-CN"/>
        </w:rPr>
        <w:t>7</w:t>
      </w:r>
      <w:r w:rsidR="00727044" w:rsidRPr="001467E4">
        <w:rPr>
          <w:rFonts w:ascii="Book Antiqua" w:hAnsi="Book Antiqua" w:cs="Arial"/>
          <w:vertAlign w:val="superscript"/>
        </w:rPr>
        <w:t>]</w:t>
      </w:r>
      <w:r w:rsidRPr="001467E4">
        <w:rPr>
          <w:rFonts w:ascii="Book Antiqua" w:hAnsi="Book Antiqua" w:cs="Arial"/>
        </w:rPr>
        <w:t xml:space="preserve"> demonstrated for the first time that both TLR7 and TLR9 are involved in pathogenic aPL production by utilizing lupus prone mice treated with CMV derived peptides in the presence of TLR7 or TLR9 agonists and other lupus prone mice deficien</w:t>
      </w:r>
      <w:r w:rsidR="004050EF" w:rsidRPr="001467E4">
        <w:rPr>
          <w:rFonts w:ascii="Book Antiqua" w:hAnsi="Book Antiqua" w:cs="Arial"/>
        </w:rPr>
        <w:t>t in TLR7 or both TLR7</w:t>
      </w:r>
      <w:r w:rsidR="00442311">
        <w:rPr>
          <w:rFonts w:ascii="Book Antiqua" w:hAnsi="Book Antiqua" w:cs="Arial"/>
        </w:rPr>
        <w:t xml:space="preserve"> and TLR9</w:t>
      </w:r>
      <w:r w:rsidRPr="001467E4">
        <w:rPr>
          <w:rFonts w:ascii="Book Antiqua" w:hAnsi="Book Antiqua" w:cs="Arial"/>
        </w:rPr>
        <w:t xml:space="preserve">. </w:t>
      </w:r>
    </w:p>
    <w:p w14:paraId="03D99514" w14:textId="77777777" w:rsidR="00D236B1" w:rsidRPr="001467E4" w:rsidRDefault="00D236B1" w:rsidP="001467E4">
      <w:pPr>
        <w:autoSpaceDE w:val="0"/>
        <w:autoSpaceDN w:val="0"/>
        <w:adjustRightInd w:val="0"/>
        <w:spacing w:after="0" w:line="360" w:lineRule="auto"/>
        <w:jc w:val="both"/>
        <w:rPr>
          <w:rFonts w:ascii="Book Antiqua" w:hAnsi="Book Antiqua" w:cs="Arial"/>
          <w:b/>
          <w:bCs/>
          <w:u w:val="single"/>
        </w:rPr>
      </w:pPr>
    </w:p>
    <w:p w14:paraId="4D38E234" w14:textId="3A54A2B0" w:rsidR="00D236B1" w:rsidRPr="00442311" w:rsidRDefault="00442311" w:rsidP="001467E4">
      <w:pPr>
        <w:autoSpaceDE w:val="0"/>
        <w:autoSpaceDN w:val="0"/>
        <w:adjustRightInd w:val="0"/>
        <w:spacing w:after="0" w:line="360" w:lineRule="auto"/>
        <w:jc w:val="both"/>
        <w:rPr>
          <w:rFonts w:ascii="Book Antiqua" w:hAnsi="Book Antiqua" w:cs="Arial"/>
          <w:b/>
          <w:bCs/>
          <w:i/>
        </w:rPr>
      </w:pPr>
      <w:r w:rsidRPr="00442311">
        <w:rPr>
          <w:rFonts w:ascii="Book Antiqua" w:hAnsi="Book Antiqua" w:cs="Arial"/>
          <w:b/>
          <w:bCs/>
          <w:i/>
        </w:rPr>
        <w:t>Other enviromental agents</w:t>
      </w:r>
    </w:p>
    <w:p w14:paraId="1A4AB8BD" w14:textId="200CB501" w:rsidR="00D236B1" w:rsidRPr="001467E4" w:rsidRDefault="00313129" w:rsidP="001467E4">
      <w:pPr>
        <w:pStyle w:val="NormalWeb"/>
        <w:shd w:val="clear" w:color="auto" w:fill="FFFFFF"/>
        <w:spacing w:before="0" w:beforeAutospacing="0" w:after="0" w:afterAutospacing="0" w:line="360" w:lineRule="auto"/>
        <w:jc w:val="both"/>
        <w:rPr>
          <w:rFonts w:ascii="Book Antiqua" w:hAnsi="Book Antiqua" w:cs="Arial"/>
        </w:rPr>
      </w:pPr>
      <w:r w:rsidRPr="001467E4">
        <w:rPr>
          <w:rFonts w:ascii="Book Antiqua" w:hAnsi="Book Antiqua" w:cs="Arial"/>
        </w:rPr>
        <w:t xml:space="preserve">Although there is only limited and often inconclusive data linking environmental agents such as vaccines, drugs and cancer to APS, these </w:t>
      </w:r>
      <w:r w:rsidR="00442311">
        <w:rPr>
          <w:rFonts w:ascii="Book Antiqua" w:hAnsi="Book Antiqua" w:cs="Arial"/>
        </w:rPr>
        <w:t>associations have been reported</w:t>
      </w:r>
      <w:r w:rsidR="004050EF" w:rsidRPr="001467E4">
        <w:rPr>
          <w:rFonts w:ascii="Book Antiqua" w:hAnsi="Book Antiqua" w:cs="Arial"/>
          <w:vertAlign w:val="superscript"/>
        </w:rPr>
        <w:t>[7</w:t>
      </w:r>
      <w:r w:rsidR="00854FEB">
        <w:rPr>
          <w:rFonts w:ascii="Book Antiqua" w:eastAsia="宋体" w:hAnsi="Book Antiqua" w:cs="Arial" w:hint="eastAsia"/>
          <w:vertAlign w:val="superscript"/>
          <w:lang w:eastAsia="zh-CN"/>
        </w:rPr>
        <w:t>8</w:t>
      </w:r>
      <w:r w:rsidR="004050EF" w:rsidRPr="001467E4">
        <w:rPr>
          <w:rFonts w:ascii="Book Antiqua" w:hAnsi="Book Antiqua" w:cs="Arial"/>
          <w:vertAlign w:val="superscript"/>
        </w:rPr>
        <w:t>,</w:t>
      </w:r>
      <w:r w:rsidR="00854FEB">
        <w:rPr>
          <w:rFonts w:ascii="Book Antiqua" w:eastAsia="宋体" w:hAnsi="Book Antiqua" w:cs="Arial" w:hint="eastAsia"/>
          <w:vertAlign w:val="superscript"/>
          <w:lang w:eastAsia="zh-CN"/>
        </w:rPr>
        <w:t>79</w:t>
      </w:r>
      <w:r w:rsidR="00D236B1" w:rsidRPr="001467E4">
        <w:rPr>
          <w:rFonts w:ascii="Book Antiqua" w:hAnsi="Book Antiqua" w:cs="Arial"/>
          <w:vertAlign w:val="superscript"/>
        </w:rPr>
        <w:t>]</w:t>
      </w:r>
      <w:r w:rsidR="00D236B1" w:rsidRPr="001467E4">
        <w:rPr>
          <w:rFonts w:ascii="Book Antiqua" w:hAnsi="Book Antiqua" w:cs="Arial"/>
        </w:rPr>
        <w:t xml:space="preserve">. </w:t>
      </w:r>
      <w:r w:rsidRPr="001467E4">
        <w:rPr>
          <w:rFonts w:ascii="Book Antiqua" w:hAnsi="Book Antiqua" w:cs="Arial"/>
        </w:rPr>
        <w:t xml:space="preserve">Associations with acrylamide, </w:t>
      </w:r>
      <w:r w:rsidR="00D236B1" w:rsidRPr="001467E4">
        <w:rPr>
          <w:rFonts w:ascii="Book Antiqua" w:hAnsi="Book Antiqua" w:cs="Arial"/>
        </w:rPr>
        <w:t>silicone</w:t>
      </w:r>
      <w:r w:rsidRPr="001467E4">
        <w:rPr>
          <w:rFonts w:ascii="Book Antiqua" w:hAnsi="Book Antiqua" w:cs="Arial"/>
        </w:rPr>
        <w:t xml:space="preserve"> and vaccines</w:t>
      </w:r>
      <w:r w:rsidR="00D236B1" w:rsidRPr="001467E4">
        <w:rPr>
          <w:rFonts w:ascii="Book Antiqua" w:hAnsi="Book Antiqua" w:cs="Arial"/>
        </w:rPr>
        <w:t xml:space="preserve"> </w:t>
      </w:r>
      <w:r w:rsidRPr="001467E4">
        <w:rPr>
          <w:rFonts w:ascii="Book Antiqua" w:hAnsi="Book Antiqua" w:cs="Arial"/>
        </w:rPr>
        <w:t>have been outlined in case reports but remain</w:t>
      </w:r>
      <w:r w:rsidR="00442311">
        <w:rPr>
          <w:rFonts w:ascii="Book Antiqua" w:hAnsi="Book Antiqua" w:cs="Arial"/>
        </w:rPr>
        <w:t xml:space="preserve"> unproven</w:t>
      </w:r>
      <w:r w:rsidR="005E6D83" w:rsidRPr="001467E4">
        <w:rPr>
          <w:rFonts w:ascii="Book Antiqua" w:hAnsi="Book Antiqua" w:cs="Arial"/>
          <w:vertAlign w:val="superscript"/>
        </w:rPr>
        <w:t>[8</w:t>
      </w:r>
      <w:r w:rsidR="00854FEB">
        <w:rPr>
          <w:rFonts w:ascii="Book Antiqua" w:eastAsia="宋体" w:hAnsi="Book Antiqua" w:cs="Arial" w:hint="eastAsia"/>
          <w:vertAlign w:val="superscript"/>
          <w:lang w:eastAsia="zh-CN"/>
        </w:rPr>
        <w:t>0</w:t>
      </w:r>
      <w:r w:rsidR="005E6D83" w:rsidRPr="001467E4">
        <w:rPr>
          <w:rFonts w:ascii="Book Antiqua" w:hAnsi="Book Antiqua" w:cs="Arial"/>
          <w:vertAlign w:val="superscript"/>
        </w:rPr>
        <w:t>,8</w:t>
      </w:r>
      <w:r w:rsidR="00854FEB">
        <w:rPr>
          <w:rFonts w:ascii="Book Antiqua" w:eastAsia="宋体" w:hAnsi="Book Antiqua" w:cs="Arial" w:hint="eastAsia"/>
          <w:vertAlign w:val="superscript"/>
          <w:lang w:eastAsia="zh-CN"/>
        </w:rPr>
        <w:t>1</w:t>
      </w:r>
      <w:r w:rsidR="005E6D83" w:rsidRPr="001467E4">
        <w:rPr>
          <w:rFonts w:ascii="Book Antiqua" w:hAnsi="Book Antiqua" w:cs="Arial"/>
          <w:vertAlign w:val="superscript"/>
        </w:rPr>
        <w:t>]</w:t>
      </w:r>
      <w:r w:rsidR="008D1089" w:rsidRPr="001467E4">
        <w:rPr>
          <w:rFonts w:ascii="Book Antiqua" w:hAnsi="Book Antiqua" w:cs="Arial"/>
        </w:rPr>
        <w:t>.</w:t>
      </w:r>
    </w:p>
    <w:p w14:paraId="3F9DE7F4" w14:textId="6C69611B" w:rsidR="00D236B1" w:rsidRPr="001467E4" w:rsidRDefault="008D1089" w:rsidP="00442311">
      <w:pPr>
        <w:spacing w:after="0" w:line="360" w:lineRule="auto"/>
        <w:ind w:firstLineChars="100" w:firstLine="240"/>
        <w:jc w:val="both"/>
        <w:rPr>
          <w:rFonts w:ascii="Book Antiqua" w:hAnsi="Book Antiqua" w:cs="Arial"/>
        </w:rPr>
      </w:pPr>
      <w:r w:rsidRPr="001467E4">
        <w:rPr>
          <w:rFonts w:ascii="Book Antiqua" w:hAnsi="Book Antiqua" w:cs="Arial"/>
        </w:rPr>
        <w:t xml:space="preserve">Drugs are able to bind self-antigens, alter their processing and presentation to immune cells and in essence creating neopeptides or expose cryptic epitopes, </w:t>
      </w:r>
      <w:r w:rsidR="00313129" w:rsidRPr="001467E4">
        <w:rPr>
          <w:rFonts w:ascii="Book Antiqua" w:hAnsi="Book Antiqua" w:cs="Arial"/>
        </w:rPr>
        <w:t>facilitating autoimmune induction</w:t>
      </w:r>
      <w:r w:rsidR="00D236B1" w:rsidRPr="001467E4">
        <w:rPr>
          <w:rFonts w:ascii="Book Antiqua" w:hAnsi="Book Antiqua" w:cs="Arial"/>
          <w:vertAlign w:val="superscript"/>
        </w:rPr>
        <w:t>[</w:t>
      </w:r>
      <w:r w:rsidR="005E6D83" w:rsidRPr="001467E4">
        <w:rPr>
          <w:rFonts w:ascii="Book Antiqua" w:hAnsi="Book Antiqua" w:cs="Arial"/>
          <w:vertAlign w:val="superscript"/>
        </w:rPr>
        <w:t>8</w:t>
      </w:r>
      <w:r w:rsidR="00854FEB">
        <w:rPr>
          <w:rFonts w:ascii="Book Antiqua" w:hAnsi="Book Antiqua" w:cs="Arial" w:hint="eastAsia"/>
          <w:vertAlign w:val="superscript"/>
          <w:lang w:eastAsia="zh-CN"/>
        </w:rPr>
        <w:t>2</w:t>
      </w:r>
      <w:r w:rsidR="00D236B1" w:rsidRPr="001467E4">
        <w:rPr>
          <w:rFonts w:ascii="Book Antiqua" w:hAnsi="Book Antiqua" w:cs="Arial"/>
          <w:vertAlign w:val="superscript"/>
        </w:rPr>
        <w:t>]</w:t>
      </w:r>
      <w:r w:rsidR="00D236B1" w:rsidRPr="001467E4">
        <w:rPr>
          <w:rFonts w:ascii="Book Antiqua" w:hAnsi="Book Antiqua" w:cs="Arial"/>
        </w:rPr>
        <w:t xml:space="preserve">. </w:t>
      </w:r>
      <w:r w:rsidR="00340F37" w:rsidRPr="001467E4">
        <w:rPr>
          <w:rFonts w:ascii="Book Antiqua" w:hAnsi="Book Antiqua" w:cs="Arial"/>
        </w:rPr>
        <w:t>Similar to other non-infectious environmental agents</w:t>
      </w:r>
      <w:r w:rsidR="00D236B1" w:rsidRPr="001467E4">
        <w:rPr>
          <w:rFonts w:ascii="Book Antiqua" w:hAnsi="Book Antiqua" w:cs="Arial"/>
        </w:rPr>
        <w:t xml:space="preserve">, </w:t>
      </w:r>
      <w:r w:rsidR="00340F37" w:rsidRPr="001467E4">
        <w:rPr>
          <w:rFonts w:ascii="Book Antiqua" w:hAnsi="Book Antiqua" w:cs="Arial"/>
        </w:rPr>
        <w:t xml:space="preserve">several drugs have been </w:t>
      </w:r>
      <w:r w:rsidR="0069431C" w:rsidRPr="001467E4">
        <w:rPr>
          <w:rFonts w:ascii="Book Antiqua" w:hAnsi="Book Antiqua" w:cs="Arial"/>
        </w:rPr>
        <w:t xml:space="preserve">reported to be associated with aPL production but conclusive evidence has not been presented. These drugs include antibiotics, propranolol, </w:t>
      </w:r>
      <w:r w:rsidR="00D236B1" w:rsidRPr="001467E4">
        <w:rPr>
          <w:rFonts w:ascii="Book Antiqua" w:hAnsi="Book Antiqua" w:cs="Arial"/>
        </w:rPr>
        <w:t xml:space="preserve">chlorpromazine, </w:t>
      </w:r>
      <w:r w:rsidR="0069431C" w:rsidRPr="001467E4">
        <w:rPr>
          <w:rFonts w:ascii="Book Antiqua" w:hAnsi="Book Antiqua" w:cs="Arial"/>
        </w:rPr>
        <w:t xml:space="preserve">antiarrhytmic agents, quinine, </w:t>
      </w:r>
      <w:r w:rsidR="00D236B1" w:rsidRPr="001467E4">
        <w:rPr>
          <w:rFonts w:ascii="Book Antiqua" w:hAnsi="Book Antiqua" w:cs="Arial"/>
        </w:rPr>
        <w:t xml:space="preserve">amoxicillin, phenytoin, chlorothiazide, oral contraceptives, anti-hypertensive medications, alpha-interferon, </w:t>
      </w:r>
      <w:r w:rsidRPr="001467E4">
        <w:rPr>
          <w:rFonts w:ascii="Book Antiqua" w:hAnsi="Book Antiqua" w:cs="Arial"/>
        </w:rPr>
        <w:t>and</w:t>
      </w:r>
      <w:r w:rsidR="00442311">
        <w:rPr>
          <w:rFonts w:ascii="Book Antiqua" w:hAnsi="Book Antiqua" w:cs="Arial"/>
        </w:rPr>
        <w:t xml:space="preserve"> infliximab</w:t>
      </w:r>
      <w:r w:rsidR="00D236B1" w:rsidRPr="001467E4">
        <w:rPr>
          <w:rFonts w:ascii="Book Antiqua" w:hAnsi="Book Antiqua" w:cs="Arial"/>
          <w:vertAlign w:val="superscript"/>
        </w:rPr>
        <w:t>[</w:t>
      </w:r>
      <w:r w:rsidR="005E6D83" w:rsidRPr="001467E4">
        <w:rPr>
          <w:rFonts w:ascii="Book Antiqua" w:hAnsi="Book Antiqua" w:cs="Arial"/>
          <w:vertAlign w:val="superscript"/>
        </w:rPr>
        <w:t>8</w:t>
      </w:r>
      <w:r w:rsidR="00854FEB">
        <w:rPr>
          <w:rFonts w:ascii="Book Antiqua" w:hAnsi="Book Antiqua" w:cs="Arial" w:hint="eastAsia"/>
          <w:vertAlign w:val="superscript"/>
          <w:lang w:eastAsia="zh-CN"/>
        </w:rPr>
        <w:t>2</w:t>
      </w:r>
      <w:r w:rsidR="005E6D83" w:rsidRPr="001467E4">
        <w:rPr>
          <w:rFonts w:ascii="Book Antiqua" w:hAnsi="Book Antiqua" w:cs="Arial"/>
          <w:vertAlign w:val="superscript"/>
        </w:rPr>
        <w:t>-8</w:t>
      </w:r>
      <w:r w:rsidR="00854FEB">
        <w:rPr>
          <w:rFonts w:ascii="Book Antiqua" w:hAnsi="Book Antiqua" w:cs="Arial" w:hint="eastAsia"/>
          <w:vertAlign w:val="superscript"/>
          <w:lang w:eastAsia="zh-CN"/>
        </w:rPr>
        <w:t>5</w:t>
      </w:r>
      <w:r w:rsidR="00D236B1" w:rsidRPr="001467E4">
        <w:rPr>
          <w:rFonts w:ascii="Book Antiqua" w:hAnsi="Book Antiqua" w:cs="Arial"/>
          <w:vertAlign w:val="superscript"/>
        </w:rPr>
        <w:t>]</w:t>
      </w:r>
      <w:r w:rsidR="00D236B1" w:rsidRPr="001467E4">
        <w:rPr>
          <w:rFonts w:ascii="Book Antiqua" w:hAnsi="Book Antiqua" w:cs="Arial"/>
        </w:rPr>
        <w:t xml:space="preserve">. </w:t>
      </w:r>
    </w:p>
    <w:p w14:paraId="27D84572" w14:textId="42FEE2A6" w:rsidR="00D236B1" w:rsidRPr="001467E4" w:rsidRDefault="0069431C" w:rsidP="00442311">
      <w:pPr>
        <w:spacing w:after="0" w:line="360" w:lineRule="auto"/>
        <w:ind w:firstLineChars="100" w:firstLine="240"/>
        <w:jc w:val="both"/>
        <w:rPr>
          <w:rFonts w:ascii="Book Antiqua" w:hAnsi="Book Antiqua" w:cs="Arial"/>
        </w:rPr>
      </w:pPr>
      <w:r w:rsidRPr="001467E4">
        <w:rPr>
          <w:rFonts w:ascii="Book Antiqua" w:hAnsi="Book Antiqua" w:cs="Arial"/>
        </w:rPr>
        <w:t>S</w:t>
      </w:r>
      <w:r w:rsidR="00D236B1" w:rsidRPr="001467E4">
        <w:rPr>
          <w:rFonts w:ascii="Book Antiqua" w:hAnsi="Book Antiqua" w:cs="Arial"/>
        </w:rPr>
        <w:t xml:space="preserve">olid and hematologic </w:t>
      </w:r>
      <w:r w:rsidRPr="001467E4">
        <w:rPr>
          <w:rFonts w:ascii="Book Antiqua" w:hAnsi="Book Antiqua" w:cs="Arial"/>
        </w:rPr>
        <w:t>cancers have been linked to aPL, which is perhaps most significant as it relates to an</w:t>
      </w:r>
      <w:r w:rsidR="00D236B1" w:rsidRPr="001467E4">
        <w:rPr>
          <w:rFonts w:ascii="Book Antiqua" w:hAnsi="Book Antiqua" w:cs="Arial"/>
        </w:rPr>
        <w:t xml:space="preserve"> increased risk for thrombosis </w:t>
      </w:r>
      <w:r w:rsidRPr="001467E4">
        <w:rPr>
          <w:rFonts w:ascii="Book Antiqua" w:hAnsi="Book Antiqua" w:cs="Arial"/>
        </w:rPr>
        <w:t>in patients with an already elevated risk and</w:t>
      </w:r>
      <w:r w:rsidR="00D236B1" w:rsidRPr="001467E4">
        <w:rPr>
          <w:rFonts w:ascii="Book Antiqua" w:hAnsi="Book Antiqua" w:cs="Arial"/>
        </w:rPr>
        <w:t xml:space="preserve"> the potential for </w:t>
      </w:r>
      <w:r w:rsidRPr="001467E4">
        <w:rPr>
          <w:rFonts w:ascii="Book Antiqua" w:hAnsi="Book Antiqua" w:cs="Arial"/>
        </w:rPr>
        <w:t xml:space="preserve">development of </w:t>
      </w:r>
      <w:r w:rsidR="00D236B1" w:rsidRPr="001467E4">
        <w:rPr>
          <w:rFonts w:ascii="Book Antiqua" w:hAnsi="Book Antiqua" w:cs="Arial"/>
        </w:rPr>
        <w:t xml:space="preserve">CAPS. The </w:t>
      </w:r>
      <w:r w:rsidRPr="001467E4">
        <w:rPr>
          <w:rFonts w:ascii="Book Antiqua" w:hAnsi="Book Antiqua" w:cs="Arial"/>
        </w:rPr>
        <w:t xml:space="preserve">underlying pathogenetic </w:t>
      </w:r>
      <w:r w:rsidR="00D236B1" w:rsidRPr="001467E4">
        <w:rPr>
          <w:rFonts w:ascii="Book Antiqua" w:hAnsi="Book Antiqua" w:cs="Arial"/>
        </w:rPr>
        <w:t xml:space="preserve">mechanisms </w:t>
      </w:r>
      <w:r w:rsidRPr="001467E4">
        <w:rPr>
          <w:rFonts w:ascii="Book Antiqua" w:hAnsi="Book Antiqua" w:cs="Arial"/>
        </w:rPr>
        <w:t>of to this association are as yet</w:t>
      </w:r>
      <w:r w:rsidR="00D236B1" w:rsidRPr="001467E4">
        <w:rPr>
          <w:rFonts w:ascii="Book Antiqua" w:hAnsi="Book Antiqua" w:cs="Arial"/>
        </w:rPr>
        <w:t xml:space="preserve"> unclarified but </w:t>
      </w:r>
      <w:r w:rsidRPr="001467E4">
        <w:rPr>
          <w:rFonts w:ascii="Book Antiqua" w:hAnsi="Book Antiqua" w:cs="Arial"/>
        </w:rPr>
        <w:t xml:space="preserve">may be related to an anti-tumor </w:t>
      </w:r>
      <w:r w:rsidR="00D236B1" w:rsidRPr="001467E4">
        <w:rPr>
          <w:rFonts w:ascii="Book Antiqua" w:hAnsi="Book Antiqua" w:cs="Arial"/>
        </w:rPr>
        <w:t xml:space="preserve">immune response or </w:t>
      </w:r>
      <w:r w:rsidRPr="001467E4">
        <w:rPr>
          <w:rFonts w:ascii="Book Antiqua" w:hAnsi="Book Antiqua" w:cs="Arial"/>
        </w:rPr>
        <w:t>neoantigen formation during</w:t>
      </w:r>
      <w:r w:rsidR="00D236B1" w:rsidRPr="001467E4">
        <w:rPr>
          <w:rFonts w:ascii="Book Antiqua" w:hAnsi="Book Antiqua" w:cs="Arial"/>
        </w:rPr>
        <w:t xml:space="preserve"> immunomodulatory drug therapy </w:t>
      </w:r>
      <w:r w:rsidRPr="001467E4">
        <w:rPr>
          <w:rFonts w:ascii="Book Antiqua" w:hAnsi="Book Antiqua" w:cs="Arial"/>
        </w:rPr>
        <w:t xml:space="preserve">with agents like </w:t>
      </w:r>
      <w:r w:rsidR="00D236B1" w:rsidRPr="001467E4">
        <w:rPr>
          <w:rFonts w:ascii="Book Antiqua" w:hAnsi="Book Antiqua" w:cs="Arial"/>
        </w:rPr>
        <w:t>interferon-</w:t>
      </w:r>
      <w:r w:rsidR="00D236B1" w:rsidRPr="001467E4">
        <w:rPr>
          <w:rFonts w:ascii="Book Antiqua" w:hAnsi="Book Antiqua" w:cs="Arial"/>
        </w:rPr>
        <w:sym w:font="Symbol" w:char="F061"/>
      </w:r>
      <w:r w:rsidR="00D236B1" w:rsidRPr="001467E4">
        <w:rPr>
          <w:rFonts w:ascii="Book Antiqua" w:hAnsi="Book Antiqua" w:cs="Arial"/>
        </w:rPr>
        <w:t xml:space="preserve"> (IFN</w:t>
      </w:r>
      <w:r w:rsidR="00D236B1" w:rsidRPr="001467E4">
        <w:rPr>
          <w:rFonts w:ascii="Book Antiqua" w:hAnsi="Book Antiqua" w:cs="Arial"/>
        </w:rPr>
        <w:sym w:font="Symbol" w:char="F061"/>
      </w:r>
      <w:r w:rsidR="00442311">
        <w:rPr>
          <w:rFonts w:ascii="Book Antiqua" w:hAnsi="Book Antiqua" w:cs="Arial"/>
        </w:rPr>
        <w:t>)</w:t>
      </w:r>
      <w:r w:rsidR="00D236B1" w:rsidRPr="001467E4">
        <w:rPr>
          <w:rFonts w:ascii="Book Antiqua" w:hAnsi="Book Antiqua" w:cs="Arial"/>
          <w:vertAlign w:val="superscript"/>
        </w:rPr>
        <w:t>[</w:t>
      </w:r>
      <w:r w:rsidR="00E54534" w:rsidRPr="001467E4">
        <w:rPr>
          <w:rFonts w:ascii="Book Antiqua" w:hAnsi="Book Antiqua" w:cs="Arial"/>
          <w:vertAlign w:val="superscript"/>
        </w:rPr>
        <w:t>8</w:t>
      </w:r>
      <w:r w:rsidR="00854FEB">
        <w:rPr>
          <w:rFonts w:ascii="Book Antiqua" w:hAnsi="Book Antiqua" w:cs="Arial" w:hint="eastAsia"/>
          <w:vertAlign w:val="superscript"/>
          <w:lang w:eastAsia="zh-CN"/>
        </w:rPr>
        <w:t>6</w:t>
      </w:r>
      <w:r w:rsidR="00D236B1" w:rsidRPr="001467E4">
        <w:rPr>
          <w:rFonts w:ascii="Book Antiqua" w:hAnsi="Book Antiqua" w:cs="Arial"/>
          <w:vertAlign w:val="superscript"/>
        </w:rPr>
        <w:t>]</w:t>
      </w:r>
      <w:r w:rsidR="00D236B1" w:rsidRPr="001467E4">
        <w:rPr>
          <w:rFonts w:ascii="Book Antiqua" w:hAnsi="Book Antiqua" w:cs="Arial"/>
        </w:rPr>
        <w:t>.</w:t>
      </w:r>
    </w:p>
    <w:p w14:paraId="2EECFD08" w14:textId="77777777" w:rsidR="00D236B1" w:rsidRPr="001467E4" w:rsidRDefault="00D236B1" w:rsidP="001467E4">
      <w:pPr>
        <w:pStyle w:val="PlainText"/>
        <w:spacing w:line="360" w:lineRule="auto"/>
        <w:jc w:val="both"/>
        <w:rPr>
          <w:rFonts w:ascii="Book Antiqua" w:hAnsi="Book Antiqua" w:cs="Arial"/>
          <w:b/>
          <w:sz w:val="24"/>
          <w:szCs w:val="24"/>
          <w:u w:val="single"/>
        </w:rPr>
      </w:pPr>
    </w:p>
    <w:p w14:paraId="54B3F4D8" w14:textId="2486B40E" w:rsidR="00D236B1" w:rsidRPr="00442311" w:rsidRDefault="00442311" w:rsidP="001467E4">
      <w:pPr>
        <w:pStyle w:val="PlainText"/>
        <w:spacing w:line="360" w:lineRule="auto"/>
        <w:jc w:val="both"/>
        <w:rPr>
          <w:rFonts w:ascii="Book Antiqua" w:hAnsi="Book Antiqua" w:cs="Arial"/>
          <w:b/>
          <w:sz w:val="24"/>
          <w:szCs w:val="24"/>
        </w:rPr>
      </w:pPr>
      <w:r w:rsidRPr="00442311">
        <w:rPr>
          <w:rFonts w:ascii="Book Antiqua" w:hAnsi="Book Antiqua" w:cs="Arial"/>
          <w:b/>
          <w:sz w:val="24"/>
          <w:szCs w:val="24"/>
        </w:rPr>
        <w:t>APOPTOSIS IN APS DEVELOPMENT</w:t>
      </w:r>
    </w:p>
    <w:p w14:paraId="16C4F39D" w14:textId="76D23BCF" w:rsidR="00D236B1" w:rsidRPr="001467E4" w:rsidRDefault="0069431C" w:rsidP="001467E4">
      <w:pPr>
        <w:autoSpaceDE w:val="0"/>
        <w:autoSpaceDN w:val="0"/>
        <w:adjustRightInd w:val="0"/>
        <w:spacing w:after="0" w:line="360" w:lineRule="auto"/>
        <w:jc w:val="both"/>
        <w:rPr>
          <w:rFonts w:ascii="Book Antiqua" w:hAnsi="Book Antiqua" w:cs="Arial"/>
        </w:rPr>
      </w:pPr>
      <w:r w:rsidRPr="001467E4">
        <w:rPr>
          <w:rFonts w:ascii="Book Antiqua" w:hAnsi="Book Antiqua" w:cs="Arial"/>
        </w:rPr>
        <w:t xml:space="preserve">Apoptosis is a normal regulatory process of tissue turnover in response to different homeostatic stimuli. However, as a result of this process there is continuous exposure of self-antigens to the immune system </w:t>
      </w:r>
      <w:r w:rsidR="0085105F" w:rsidRPr="001467E4">
        <w:rPr>
          <w:rFonts w:ascii="Book Antiqua" w:hAnsi="Book Antiqua" w:cs="Arial"/>
        </w:rPr>
        <w:t>and so the key to prevention of autoimmune induction is efficient clearing of apoptotic debris. In</w:t>
      </w:r>
      <w:r w:rsidR="00D236B1" w:rsidRPr="001467E4">
        <w:rPr>
          <w:rFonts w:ascii="Book Antiqua" w:hAnsi="Book Antiqua" w:cs="Arial"/>
        </w:rPr>
        <w:t xml:space="preserve"> the thymus and bone marrow</w:t>
      </w:r>
      <w:r w:rsidR="0085105F" w:rsidRPr="001467E4">
        <w:rPr>
          <w:rFonts w:ascii="Book Antiqua" w:hAnsi="Book Antiqua" w:cs="Arial"/>
        </w:rPr>
        <w:t xml:space="preserve">, these clearance mechanisms are extremely efficient and since there is also a </w:t>
      </w:r>
      <w:r w:rsidR="00D236B1" w:rsidRPr="001467E4">
        <w:rPr>
          <w:rFonts w:ascii="Book Antiqua" w:hAnsi="Book Antiqua" w:cs="Arial"/>
        </w:rPr>
        <w:t xml:space="preserve">lack of co-stimulatory signals in these central lymphoid organs, no induction of autoantibodies </w:t>
      </w:r>
      <w:r w:rsidR="00386E20" w:rsidRPr="001467E4">
        <w:rPr>
          <w:rFonts w:ascii="Book Antiqua" w:hAnsi="Book Antiqua" w:cs="Arial"/>
        </w:rPr>
        <w:t>occurs under normal circumstances</w:t>
      </w:r>
      <w:r w:rsidR="00D236B1" w:rsidRPr="001467E4">
        <w:rPr>
          <w:rFonts w:ascii="Book Antiqua" w:hAnsi="Book Antiqua" w:cs="Arial"/>
        </w:rPr>
        <w:t xml:space="preserve">. </w:t>
      </w:r>
      <w:r w:rsidR="00386E20" w:rsidRPr="001467E4">
        <w:rPr>
          <w:rFonts w:ascii="Book Antiqua" w:hAnsi="Book Antiqua" w:cs="Arial"/>
        </w:rPr>
        <w:t>However, apoptosis results in disruption of intracellular boundaries and the clustering and structural modification of nuclear, cytoplasmic and membrane antigens. In the absence of efficient clearance mechanisms, normally unexposed antigens are subject to immune recognition, resulting in autoantibody production</w:t>
      </w:r>
      <w:r w:rsidR="008F7089" w:rsidRPr="001467E4">
        <w:rPr>
          <w:rFonts w:ascii="Book Antiqua" w:hAnsi="Book Antiqua" w:cs="Arial"/>
          <w:vertAlign w:val="superscript"/>
        </w:rPr>
        <w:t>[</w:t>
      </w:r>
      <w:r w:rsidR="003E3B12" w:rsidRPr="001467E4">
        <w:rPr>
          <w:rFonts w:ascii="Book Antiqua" w:hAnsi="Book Antiqua" w:cs="Arial"/>
          <w:vertAlign w:val="superscript"/>
        </w:rPr>
        <w:t>8</w:t>
      </w:r>
      <w:r w:rsidR="00854FEB">
        <w:rPr>
          <w:rFonts w:ascii="Book Antiqua" w:hAnsi="Book Antiqua" w:cs="Arial" w:hint="eastAsia"/>
          <w:vertAlign w:val="superscript"/>
          <w:lang w:eastAsia="zh-CN"/>
        </w:rPr>
        <w:t>7</w:t>
      </w:r>
      <w:r w:rsidR="008F7089" w:rsidRPr="001467E4">
        <w:rPr>
          <w:rFonts w:ascii="Book Antiqua" w:hAnsi="Book Antiqua" w:cs="Arial"/>
          <w:vertAlign w:val="superscript"/>
        </w:rPr>
        <w:t>]</w:t>
      </w:r>
      <w:r w:rsidR="00386E20" w:rsidRPr="001467E4">
        <w:rPr>
          <w:rFonts w:ascii="Book Antiqua" w:hAnsi="Book Antiqua" w:cs="Arial"/>
        </w:rPr>
        <w:t xml:space="preserve">. </w:t>
      </w:r>
    </w:p>
    <w:p w14:paraId="1CC28C27" w14:textId="1157C2FB" w:rsidR="00D236B1" w:rsidRPr="001467E4" w:rsidRDefault="006C5C55" w:rsidP="00442311">
      <w:pPr>
        <w:autoSpaceDE w:val="0"/>
        <w:autoSpaceDN w:val="0"/>
        <w:adjustRightInd w:val="0"/>
        <w:spacing w:after="0" w:line="360" w:lineRule="auto"/>
        <w:ind w:firstLineChars="100" w:firstLine="240"/>
        <w:jc w:val="both"/>
        <w:rPr>
          <w:rFonts w:ascii="Book Antiqua" w:hAnsi="Book Antiqua" w:cs="Arial"/>
        </w:rPr>
      </w:pPr>
      <w:r w:rsidRPr="001467E4">
        <w:rPr>
          <w:rFonts w:ascii="Book Antiqua" w:hAnsi="Book Antiqua" w:cs="Arial"/>
        </w:rPr>
        <w:t>During apoptosis, a negatively charged PL, p</w:t>
      </w:r>
      <w:r w:rsidR="00386E20" w:rsidRPr="001467E4">
        <w:rPr>
          <w:rFonts w:ascii="Book Antiqua" w:hAnsi="Book Antiqua" w:cs="Arial"/>
        </w:rPr>
        <w:t xml:space="preserve">hosphatidylserine (PS), </w:t>
      </w:r>
      <w:r w:rsidRPr="001467E4">
        <w:rPr>
          <w:rFonts w:ascii="Book Antiqua" w:hAnsi="Book Antiqua" w:cs="Arial"/>
        </w:rPr>
        <w:t>which is normally found almost entirely</w:t>
      </w:r>
      <w:r w:rsidR="00386E20" w:rsidRPr="001467E4">
        <w:rPr>
          <w:rFonts w:ascii="Book Antiqua" w:hAnsi="Book Antiqua" w:cs="Arial"/>
        </w:rPr>
        <w:t xml:space="preserve"> on the inner cytoplasmic leaflet, </w:t>
      </w:r>
      <w:r w:rsidRPr="001467E4">
        <w:rPr>
          <w:rFonts w:ascii="Book Antiqua" w:hAnsi="Book Antiqua" w:cs="Arial"/>
        </w:rPr>
        <w:t xml:space="preserve">is transferred </w:t>
      </w:r>
      <w:r w:rsidR="00C365B6" w:rsidRPr="001467E4">
        <w:rPr>
          <w:rFonts w:ascii="Book Antiqua" w:hAnsi="Book Antiqua" w:cs="Arial"/>
        </w:rPr>
        <w:t xml:space="preserve">to the </w:t>
      </w:r>
      <w:r w:rsidR="00442311">
        <w:rPr>
          <w:rFonts w:ascii="Book Antiqua" w:hAnsi="Book Antiqua" w:cs="Arial"/>
        </w:rPr>
        <w:t>outer leaflet</w:t>
      </w:r>
      <w:r w:rsidR="003E3B12" w:rsidRPr="001467E4">
        <w:rPr>
          <w:rFonts w:ascii="Book Antiqua" w:hAnsi="Book Antiqua" w:cs="Arial"/>
          <w:vertAlign w:val="superscript"/>
        </w:rPr>
        <w:t>[8</w:t>
      </w:r>
      <w:r w:rsidR="00854FEB">
        <w:rPr>
          <w:rFonts w:ascii="Book Antiqua" w:hAnsi="Book Antiqua" w:cs="Arial" w:hint="eastAsia"/>
          <w:vertAlign w:val="superscript"/>
          <w:lang w:eastAsia="zh-CN"/>
        </w:rPr>
        <w:t>8</w:t>
      </w:r>
      <w:r w:rsidR="003E3B12" w:rsidRPr="001467E4">
        <w:rPr>
          <w:rFonts w:ascii="Book Antiqua" w:hAnsi="Book Antiqua" w:cs="Arial"/>
          <w:vertAlign w:val="superscript"/>
        </w:rPr>
        <w:t>,</w:t>
      </w:r>
      <w:r w:rsidR="00854FEB">
        <w:rPr>
          <w:rFonts w:ascii="Book Antiqua" w:hAnsi="Book Antiqua" w:cs="Arial" w:hint="eastAsia"/>
          <w:vertAlign w:val="superscript"/>
          <w:lang w:eastAsia="zh-CN"/>
        </w:rPr>
        <w:t>89</w:t>
      </w:r>
      <w:r w:rsidR="003E3B12" w:rsidRPr="001467E4">
        <w:rPr>
          <w:rFonts w:ascii="Book Antiqua" w:hAnsi="Book Antiqua" w:cs="Arial"/>
          <w:vertAlign w:val="superscript"/>
        </w:rPr>
        <w:t>]</w:t>
      </w:r>
      <w:r w:rsidR="003E3B12" w:rsidRPr="001467E4">
        <w:rPr>
          <w:rFonts w:ascii="Book Antiqua" w:hAnsi="Book Antiqua" w:cs="Arial"/>
        </w:rPr>
        <w:t xml:space="preserve">. </w:t>
      </w:r>
      <w:r w:rsidRPr="001467E4">
        <w:rPr>
          <w:rFonts w:ascii="Book Antiqua" w:hAnsi="Book Antiqua" w:cs="Arial"/>
        </w:rPr>
        <w:t>This is important in APS as it provides an antigen for aPL binding and such a</w:t>
      </w:r>
      <w:r w:rsidR="00D236B1" w:rsidRPr="001467E4">
        <w:rPr>
          <w:rFonts w:ascii="Book Antiqua" w:hAnsi="Book Antiqua" w:cs="Arial"/>
        </w:rPr>
        <w:t xml:space="preserve">utoantibodies </w:t>
      </w:r>
      <w:r w:rsidR="00C365B6" w:rsidRPr="001467E4">
        <w:rPr>
          <w:rFonts w:ascii="Book Antiqua" w:hAnsi="Book Antiqua" w:cs="Arial"/>
        </w:rPr>
        <w:t>that</w:t>
      </w:r>
      <w:r w:rsidRPr="001467E4">
        <w:rPr>
          <w:rFonts w:ascii="Book Antiqua" w:hAnsi="Book Antiqua" w:cs="Arial"/>
        </w:rPr>
        <w:t xml:space="preserve"> bind</w:t>
      </w:r>
      <w:r w:rsidR="00D236B1" w:rsidRPr="001467E4">
        <w:rPr>
          <w:rFonts w:ascii="Book Antiqua" w:hAnsi="Book Antiqua" w:cs="Arial"/>
        </w:rPr>
        <w:t xml:space="preserve"> apoptotic cells </w:t>
      </w:r>
      <w:r w:rsidRPr="001467E4">
        <w:rPr>
          <w:rFonts w:ascii="Book Antiqua" w:hAnsi="Book Antiqua" w:cs="Arial"/>
        </w:rPr>
        <w:t>via interaction with</w:t>
      </w:r>
      <w:r w:rsidR="00D236B1" w:rsidRPr="001467E4">
        <w:rPr>
          <w:rFonts w:ascii="Book Antiqua" w:hAnsi="Book Antiqua" w:cs="Arial"/>
        </w:rPr>
        <w:t xml:space="preserve"> </w:t>
      </w:r>
      <w:r w:rsidRPr="001467E4">
        <w:rPr>
          <w:rFonts w:ascii="Book Antiqua" w:hAnsi="Book Antiqua" w:cs="Arial"/>
        </w:rPr>
        <w:t>PL-</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w:t>
      </w:r>
      <w:r w:rsidRPr="001467E4">
        <w:rPr>
          <w:rFonts w:ascii="Book Antiqua" w:hAnsi="Book Antiqua" w:cs="Arial"/>
        </w:rPr>
        <w:t>complexes</w:t>
      </w:r>
      <w:r w:rsidR="00D236B1" w:rsidRPr="001467E4">
        <w:rPr>
          <w:rFonts w:ascii="Book Antiqua" w:hAnsi="Book Antiqua" w:cs="Arial"/>
        </w:rPr>
        <w:t xml:space="preserve"> </w:t>
      </w:r>
      <w:r w:rsidR="00442311">
        <w:rPr>
          <w:rFonts w:ascii="Book Antiqua" w:hAnsi="Book Antiqua" w:cs="Arial"/>
        </w:rPr>
        <w:t>have been identified</w:t>
      </w:r>
      <w:r w:rsidR="003E3B12" w:rsidRPr="001467E4">
        <w:rPr>
          <w:rFonts w:ascii="Book Antiqua" w:hAnsi="Book Antiqua" w:cs="Arial"/>
          <w:vertAlign w:val="superscript"/>
        </w:rPr>
        <w:t>[9</w:t>
      </w:r>
      <w:r w:rsidR="00854FEB">
        <w:rPr>
          <w:rFonts w:ascii="Book Antiqua" w:hAnsi="Book Antiqua" w:cs="Arial" w:hint="eastAsia"/>
          <w:vertAlign w:val="superscript"/>
          <w:lang w:eastAsia="zh-CN"/>
        </w:rPr>
        <w:t>0</w:t>
      </w:r>
      <w:r w:rsidR="003E3B12" w:rsidRPr="001467E4">
        <w:rPr>
          <w:rFonts w:ascii="Book Antiqua" w:hAnsi="Book Antiqua" w:cs="Arial"/>
          <w:vertAlign w:val="superscript"/>
        </w:rPr>
        <w:t>-9</w:t>
      </w:r>
      <w:r w:rsidR="00854FEB">
        <w:rPr>
          <w:rFonts w:ascii="Book Antiqua" w:hAnsi="Book Antiqua" w:cs="Arial" w:hint="eastAsia"/>
          <w:vertAlign w:val="superscript"/>
          <w:lang w:eastAsia="zh-CN"/>
        </w:rPr>
        <w:t>2</w:t>
      </w:r>
      <w:r w:rsidR="003E3B12" w:rsidRPr="001467E4">
        <w:rPr>
          <w:rFonts w:ascii="Book Antiqua" w:hAnsi="Book Antiqua" w:cs="Arial"/>
          <w:vertAlign w:val="superscript"/>
        </w:rPr>
        <w:t>]</w:t>
      </w:r>
      <w:r w:rsidR="003E3B12" w:rsidRPr="001467E4">
        <w:rPr>
          <w:rFonts w:ascii="Book Antiqua" w:hAnsi="Book Antiqua" w:cs="Arial"/>
        </w:rPr>
        <w:t>.</w:t>
      </w:r>
      <w:r w:rsidR="00D236B1" w:rsidRPr="001467E4">
        <w:rPr>
          <w:rFonts w:ascii="Book Antiqua" w:hAnsi="Book Antiqua" w:cs="Arial"/>
        </w:rPr>
        <w:t xml:space="preserve"> </w:t>
      </w:r>
      <w:r w:rsidRPr="001467E4">
        <w:rPr>
          <w:rFonts w:ascii="Book Antiqua" w:hAnsi="Book Antiqua" w:cs="Arial"/>
        </w:rPr>
        <w:t xml:space="preserve">Indeed, </w:t>
      </w:r>
      <w:r w:rsidR="00F912CD" w:rsidRPr="001467E4">
        <w:rPr>
          <w:rFonts w:ascii="Book Antiqua" w:hAnsi="Book Antiqua" w:cs="Arial"/>
        </w:rPr>
        <w:t>the antigenic reactivity of several</w:t>
      </w:r>
      <w:r w:rsidR="00D236B1" w:rsidRPr="001467E4">
        <w:rPr>
          <w:rFonts w:ascii="Book Antiqua" w:hAnsi="Book Antiqua" w:cs="Arial"/>
        </w:rPr>
        <w:t xml:space="preserve"> </w:t>
      </w:r>
      <w:r w:rsidRPr="001467E4">
        <w:rPr>
          <w:rFonts w:ascii="Book Antiqua" w:hAnsi="Book Antiqua" w:cs="Arial"/>
        </w:rPr>
        <w:t>aPL</w:t>
      </w:r>
      <w:r w:rsidR="00D236B1" w:rsidRPr="001467E4">
        <w:rPr>
          <w:rFonts w:ascii="Book Antiqua" w:hAnsi="Book Antiqua" w:cs="Arial"/>
        </w:rPr>
        <w:t xml:space="preserve"> </w:t>
      </w:r>
      <w:r w:rsidR="00F912CD" w:rsidRPr="001467E4">
        <w:rPr>
          <w:rFonts w:ascii="Book Antiqua" w:hAnsi="Book Antiqua" w:cs="Arial"/>
        </w:rPr>
        <w:t>with</w:t>
      </w:r>
      <w:r w:rsidR="00D236B1" w:rsidRPr="001467E4">
        <w:rPr>
          <w:rFonts w:ascii="Book Antiqua" w:hAnsi="Book Antiqua" w:cs="Arial"/>
        </w:rPr>
        <w:t xml:space="preserve"> a complex </w:t>
      </w:r>
      <w:r w:rsidR="00F912CD" w:rsidRPr="001467E4">
        <w:rPr>
          <w:rFonts w:ascii="Book Antiqua" w:hAnsi="Book Antiqua" w:cs="Arial"/>
        </w:rPr>
        <w:t xml:space="preserve">formed </w:t>
      </w:r>
      <w:r w:rsidR="00D236B1" w:rsidRPr="001467E4">
        <w:rPr>
          <w:rFonts w:ascii="Book Antiqua" w:hAnsi="Book Antiqua" w:cs="Arial"/>
        </w:rPr>
        <w:t>between anionic phospholipid</w:t>
      </w:r>
      <w:r w:rsidRPr="001467E4">
        <w:rPr>
          <w:rFonts w:ascii="Book Antiqua" w:hAnsi="Book Antiqua" w:cs="Arial"/>
        </w:rPr>
        <w:t xml:space="preserve"> (</w:t>
      </w:r>
      <w:r w:rsidRPr="00442311">
        <w:rPr>
          <w:rFonts w:ascii="Book Antiqua" w:hAnsi="Book Antiqua" w:cs="Arial"/>
          <w:i/>
        </w:rPr>
        <w:t>e</w:t>
      </w:r>
      <w:r w:rsidR="00442311" w:rsidRPr="00442311">
        <w:rPr>
          <w:rFonts w:ascii="Book Antiqua" w:hAnsi="Book Antiqua" w:cs="Arial" w:hint="eastAsia"/>
          <w:i/>
          <w:lang w:eastAsia="zh-CN"/>
        </w:rPr>
        <w:t>.</w:t>
      </w:r>
      <w:r w:rsidRPr="00442311">
        <w:rPr>
          <w:rFonts w:ascii="Book Antiqua" w:hAnsi="Book Antiqua" w:cs="Arial"/>
          <w:i/>
        </w:rPr>
        <w:t>g</w:t>
      </w:r>
      <w:r w:rsidRPr="001467E4">
        <w:rPr>
          <w:rFonts w:ascii="Book Antiqua" w:hAnsi="Book Antiqua" w:cs="Arial"/>
        </w:rPr>
        <w:t>.</w:t>
      </w:r>
      <w:r w:rsidR="00442311">
        <w:rPr>
          <w:rFonts w:ascii="Book Antiqua" w:hAnsi="Book Antiqua" w:cs="Arial" w:hint="eastAsia"/>
          <w:lang w:eastAsia="zh-CN"/>
        </w:rPr>
        <w:t>,</w:t>
      </w:r>
      <w:r w:rsidRPr="001467E4">
        <w:rPr>
          <w:rFonts w:ascii="Book Antiqua" w:hAnsi="Book Antiqua" w:cs="Arial"/>
        </w:rPr>
        <w:t xml:space="preserve"> PS)</w:t>
      </w:r>
      <w:r w:rsidR="00D236B1" w:rsidRPr="001467E4">
        <w:rPr>
          <w:rFonts w:ascii="Book Antiqua" w:hAnsi="Book Antiqua" w:cs="Arial"/>
        </w:rPr>
        <w:t xml:space="preserve"> and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or </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 xml:space="preserve">GPI </w:t>
      </w:r>
      <w:r w:rsidR="00442311">
        <w:rPr>
          <w:rFonts w:ascii="Book Antiqua" w:hAnsi="Book Antiqua" w:cs="Arial"/>
        </w:rPr>
        <w:t>in isolation</w:t>
      </w:r>
      <w:r w:rsidR="009134E0" w:rsidRPr="001467E4">
        <w:rPr>
          <w:rFonts w:ascii="Book Antiqua" w:hAnsi="Book Antiqua" w:cs="Arial"/>
          <w:vertAlign w:val="superscript"/>
        </w:rPr>
        <w:t>[9</w:t>
      </w:r>
      <w:r w:rsidR="00854FEB">
        <w:rPr>
          <w:rFonts w:ascii="Book Antiqua" w:hAnsi="Book Antiqua" w:cs="Arial" w:hint="eastAsia"/>
          <w:vertAlign w:val="superscript"/>
          <w:lang w:eastAsia="zh-CN"/>
        </w:rPr>
        <w:t>3</w:t>
      </w:r>
      <w:r w:rsidR="009134E0" w:rsidRPr="001467E4">
        <w:rPr>
          <w:rFonts w:ascii="Book Antiqua" w:hAnsi="Book Antiqua" w:cs="Arial"/>
          <w:vertAlign w:val="superscript"/>
        </w:rPr>
        <w:t>]</w:t>
      </w:r>
      <w:r w:rsidR="009134E0" w:rsidRPr="001467E4">
        <w:rPr>
          <w:rFonts w:ascii="Book Antiqua" w:hAnsi="Book Antiqua" w:cs="Arial"/>
        </w:rPr>
        <w:t xml:space="preserve">. </w:t>
      </w:r>
      <w:r w:rsidRPr="001467E4">
        <w:rPr>
          <w:rFonts w:ascii="Book Antiqua" w:hAnsi="Book Antiqua" w:cs="Arial"/>
        </w:rPr>
        <w:t>During the apoptotic process</w:t>
      </w:r>
      <w:r w:rsidR="00C365B6" w:rsidRPr="001467E4">
        <w:rPr>
          <w:rFonts w:ascii="Book Antiqua" w:hAnsi="Book Antiqua" w:cs="Arial"/>
        </w:rPr>
        <w:t xml:space="preserve"> in autoimmune patients</w:t>
      </w:r>
      <w:r w:rsidRPr="001467E4">
        <w:rPr>
          <w:rFonts w:ascii="Book Antiqua" w:hAnsi="Book Antiqua" w:cs="Arial"/>
        </w:rPr>
        <w:t>, the sequestration of</w:t>
      </w:r>
      <w:r w:rsidR="00D236B1" w:rsidRPr="001467E4">
        <w:rPr>
          <w:rFonts w:ascii="Book Antiqua" w:hAnsi="Book Antiqua" w:cs="Arial"/>
        </w:rPr>
        <w:t xml:space="preserve"> PS </w:t>
      </w:r>
      <w:r w:rsidRPr="001467E4">
        <w:rPr>
          <w:rFonts w:ascii="Book Antiqua" w:hAnsi="Book Antiqua" w:cs="Arial"/>
        </w:rPr>
        <w:t xml:space="preserve">induces </w:t>
      </w:r>
      <w:r w:rsidR="00D236B1" w:rsidRPr="001467E4">
        <w:rPr>
          <w:rFonts w:ascii="Book Antiqua" w:hAnsi="Book Antiqua" w:cs="Arial"/>
        </w:rPr>
        <w:t xml:space="preserve">specific recognition by macrophages </w:t>
      </w:r>
      <w:r w:rsidR="00442311">
        <w:rPr>
          <w:rFonts w:ascii="Book Antiqua" w:hAnsi="Book Antiqua" w:cs="Arial"/>
        </w:rPr>
        <w:t>and subsequent removal</w:t>
      </w:r>
      <w:r w:rsidR="009134E0" w:rsidRPr="001467E4">
        <w:rPr>
          <w:rFonts w:ascii="Book Antiqua" w:hAnsi="Book Antiqua" w:cs="Arial"/>
          <w:vertAlign w:val="superscript"/>
        </w:rPr>
        <w:t>[9</w:t>
      </w:r>
      <w:r w:rsidR="00854FEB">
        <w:rPr>
          <w:rFonts w:ascii="Book Antiqua" w:hAnsi="Book Antiqua" w:cs="Arial" w:hint="eastAsia"/>
          <w:vertAlign w:val="superscript"/>
          <w:lang w:eastAsia="zh-CN"/>
        </w:rPr>
        <w:t>4</w:t>
      </w:r>
      <w:r w:rsidR="009134E0" w:rsidRPr="001467E4">
        <w:rPr>
          <w:rFonts w:ascii="Book Antiqua" w:hAnsi="Book Antiqua" w:cs="Arial"/>
          <w:vertAlign w:val="superscript"/>
        </w:rPr>
        <w:t>]</w:t>
      </w:r>
      <w:r w:rsidR="009134E0" w:rsidRPr="001467E4">
        <w:rPr>
          <w:rFonts w:ascii="Book Antiqua" w:hAnsi="Book Antiqua" w:cs="Arial"/>
        </w:rPr>
        <w:t>,</w:t>
      </w:r>
      <w:r w:rsidR="00D236B1" w:rsidRPr="001467E4">
        <w:rPr>
          <w:rFonts w:ascii="Book Antiqua" w:hAnsi="Book Antiqua" w:cs="Arial"/>
        </w:rPr>
        <w:t xml:space="preserve"> and the PS/</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GPI complex recruit</w:t>
      </w:r>
      <w:r w:rsidRPr="001467E4">
        <w:rPr>
          <w:rFonts w:ascii="Book Antiqua" w:hAnsi="Book Antiqua" w:cs="Arial"/>
        </w:rPr>
        <w:t>s</w:t>
      </w:r>
      <w:r w:rsidR="00D236B1" w:rsidRPr="001467E4">
        <w:rPr>
          <w:rFonts w:ascii="Book Antiqua" w:hAnsi="Book Antiqua" w:cs="Arial"/>
        </w:rPr>
        <w:t xml:space="preserve"> anti-</w:t>
      </w:r>
      <w:r w:rsidR="00D236B1" w:rsidRPr="001467E4">
        <w:rPr>
          <w:rFonts w:ascii="Book Antiqua" w:hAnsi="Book Antiqua" w:cs="Arial"/>
        </w:rPr>
        <w:sym w:font="Symbol" w:char="F062"/>
      </w:r>
      <w:r w:rsidR="00D236B1" w:rsidRPr="001467E4">
        <w:rPr>
          <w:rFonts w:ascii="Book Antiqua" w:hAnsi="Book Antiqua" w:cs="Arial"/>
          <w:vertAlign w:val="subscript"/>
        </w:rPr>
        <w:t>2</w:t>
      </w:r>
      <w:r w:rsidR="00D236B1" w:rsidRPr="001467E4">
        <w:rPr>
          <w:rFonts w:ascii="Book Antiqua" w:hAnsi="Book Antiqua" w:cs="Arial"/>
        </w:rPr>
        <w:t>GPI</w:t>
      </w:r>
      <w:r w:rsidR="00C365B6" w:rsidRPr="001467E4">
        <w:rPr>
          <w:rFonts w:ascii="Book Antiqua" w:hAnsi="Book Antiqua" w:cs="Arial"/>
        </w:rPr>
        <w:t>, which then facilitates</w:t>
      </w:r>
      <w:r w:rsidR="00D236B1" w:rsidRPr="001467E4">
        <w:rPr>
          <w:rFonts w:ascii="Book Antiqua" w:hAnsi="Book Antiqua" w:cs="Arial"/>
        </w:rPr>
        <w:t xml:space="preserve"> apoptotic cell</w:t>
      </w:r>
      <w:r w:rsidR="00C365B6" w:rsidRPr="001467E4">
        <w:rPr>
          <w:rFonts w:ascii="Book Antiqua" w:hAnsi="Book Antiqua" w:cs="Arial"/>
        </w:rPr>
        <w:t xml:space="preserve"> clearance and preserves</w:t>
      </w:r>
      <w:r w:rsidR="00442311">
        <w:rPr>
          <w:rFonts w:ascii="Book Antiqua" w:hAnsi="Book Antiqua" w:cs="Arial"/>
        </w:rPr>
        <w:t xml:space="preserve"> tissue homeostasis</w:t>
      </w:r>
      <w:r w:rsidR="009134E0" w:rsidRPr="001467E4">
        <w:rPr>
          <w:rFonts w:ascii="Book Antiqua" w:hAnsi="Book Antiqua" w:cs="Arial"/>
          <w:vertAlign w:val="superscript"/>
        </w:rPr>
        <w:t>[9</w:t>
      </w:r>
      <w:r w:rsidR="00854FEB">
        <w:rPr>
          <w:rFonts w:ascii="Book Antiqua" w:hAnsi="Book Antiqua" w:cs="Arial" w:hint="eastAsia"/>
          <w:vertAlign w:val="superscript"/>
          <w:lang w:eastAsia="zh-CN"/>
        </w:rPr>
        <w:t>5</w:t>
      </w:r>
      <w:r w:rsidR="009134E0" w:rsidRPr="001467E4">
        <w:rPr>
          <w:rFonts w:ascii="Book Antiqua" w:hAnsi="Book Antiqua" w:cs="Arial"/>
          <w:vertAlign w:val="superscript"/>
        </w:rPr>
        <w:t>]</w:t>
      </w:r>
      <w:r w:rsidR="00D236B1" w:rsidRPr="001467E4">
        <w:rPr>
          <w:rFonts w:ascii="Book Antiqua" w:hAnsi="Book Antiqua" w:cs="Arial"/>
        </w:rPr>
        <w:t xml:space="preserve">. </w:t>
      </w:r>
    </w:p>
    <w:p w14:paraId="445615EA" w14:textId="2B324B96" w:rsidR="00D236B1" w:rsidRPr="001467E4" w:rsidRDefault="003B2E09" w:rsidP="00442311">
      <w:pPr>
        <w:pStyle w:val="PlainText"/>
        <w:spacing w:line="360" w:lineRule="auto"/>
        <w:ind w:firstLineChars="100" w:firstLine="240"/>
        <w:jc w:val="both"/>
        <w:rPr>
          <w:rFonts w:ascii="Book Antiqua" w:hAnsi="Book Antiqua"/>
          <w:sz w:val="24"/>
          <w:szCs w:val="24"/>
        </w:rPr>
      </w:pPr>
      <w:r w:rsidRPr="001467E4">
        <w:rPr>
          <w:rFonts w:ascii="Book Antiqua" w:hAnsi="Book Antiqua" w:cs="Arial"/>
          <w:sz w:val="24"/>
          <w:szCs w:val="24"/>
        </w:rPr>
        <w:t xml:space="preserve">The concept that apoptosis plays a role in the production of aPL was first proposed by </w:t>
      </w:r>
      <w:r w:rsidR="00D236B1" w:rsidRPr="001467E4">
        <w:rPr>
          <w:rFonts w:ascii="Book Antiqua" w:hAnsi="Book Antiqua" w:cs="Arial"/>
          <w:sz w:val="24"/>
          <w:szCs w:val="24"/>
        </w:rPr>
        <w:t xml:space="preserve">Piroux </w:t>
      </w:r>
      <w:r w:rsidR="00D236B1" w:rsidRPr="001467E4">
        <w:rPr>
          <w:rFonts w:ascii="Book Antiqua" w:hAnsi="Book Antiqua" w:cs="Arial"/>
          <w:i/>
          <w:sz w:val="24"/>
          <w:szCs w:val="24"/>
        </w:rPr>
        <w:t>et al</w:t>
      </w:r>
      <w:r w:rsidR="003E3B12" w:rsidRPr="001467E4">
        <w:rPr>
          <w:rFonts w:ascii="Book Antiqua" w:hAnsi="Book Antiqua" w:cs="Arial"/>
          <w:sz w:val="24"/>
          <w:szCs w:val="24"/>
          <w:vertAlign w:val="superscript"/>
        </w:rPr>
        <w:t>[9</w:t>
      </w:r>
      <w:r w:rsidR="00854FEB">
        <w:rPr>
          <w:rFonts w:ascii="Book Antiqua" w:hAnsi="Book Antiqua" w:cs="Arial" w:hint="eastAsia"/>
          <w:sz w:val="24"/>
          <w:szCs w:val="24"/>
          <w:vertAlign w:val="superscript"/>
          <w:lang w:eastAsia="zh-CN"/>
        </w:rPr>
        <w:t>2</w:t>
      </w:r>
      <w:r w:rsidR="003E3B12" w:rsidRPr="001467E4">
        <w:rPr>
          <w:rFonts w:ascii="Book Antiqua" w:hAnsi="Book Antiqua" w:cs="Arial"/>
          <w:sz w:val="24"/>
          <w:szCs w:val="24"/>
          <w:vertAlign w:val="superscript"/>
        </w:rPr>
        <w:t>]</w:t>
      </w:r>
      <w:r w:rsidR="003E3B12" w:rsidRPr="001467E4">
        <w:rPr>
          <w:rFonts w:ascii="Book Antiqua" w:hAnsi="Book Antiqua" w:cs="Arial"/>
          <w:sz w:val="24"/>
          <w:szCs w:val="24"/>
        </w:rPr>
        <w:t xml:space="preserve">. </w:t>
      </w:r>
      <w:r w:rsidRPr="001467E4">
        <w:rPr>
          <w:rFonts w:ascii="Book Antiqua" w:hAnsi="Book Antiqua" w:cs="Arial"/>
          <w:sz w:val="24"/>
          <w:szCs w:val="24"/>
        </w:rPr>
        <w:t>Subsequent studies have provided evidence that</w:t>
      </w:r>
      <w:r w:rsidR="00D236B1" w:rsidRPr="001467E4">
        <w:rPr>
          <w:rFonts w:ascii="Book Antiqua" w:hAnsi="Book Antiqua" w:cs="Arial"/>
          <w:sz w:val="24"/>
          <w:szCs w:val="24"/>
        </w:rPr>
        <w:t xml:space="preserve"> apoptotic cells/</w:t>
      </w:r>
      <w:r w:rsidR="00D236B1" w:rsidRPr="001467E4">
        <w:rPr>
          <w:rFonts w:ascii="Book Antiqua" w:hAnsi="Book Antiqua" w:cs="Arial"/>
          <w:sz w:val="24"/>
          <w:szCs w:val="24"/>
        </w:rPr>
        <w:sym w:font="Symbol" w:char="F062"/>
      </w:r>
      <w:r w:rsidR="00D236B1" w:rsidRPr="001467E4">
        <w:rPr>
          <w:rFonts w:ascii="Book Antiqua" w:hAnsi="Book Antiqua" w:cs="Arial"/>
          <w:sz w:val="24"/>
          <w:szCs w:val="24"/>
          <w:vertAlign w:val="subscript"/>
        </w:rPr>
        <w:t>2</w:t>
      </w:r>
      <w:r w:rsidR="00D236B1" w:rsidRPr="001467E4">
        <w:rPr>
          <w:rFonts w:ascii="Book Antiqua" w:hAnsi="Book Antiqua" w:cs="Arial"/>
          <w:sz w:val="24"/>
          <w:szCs w:val="24"/>
        </w:rPr>
        <w:t xml:space="preserve">GPI complexes </w:t>
      </w:r>
      <w:r w:rsidRPr="001467E4">
        <w:rPr>
          <w:rFonts w:ascii="Book Antiqua" w:hAnsi="Book Antiqua" w:cs="Arial"/>
          <w:sz w:val="24"/>
          <w:szCs w:val="24"/>
        </w:rPr>
        <w:t xml:space="preserve">can act </w:t>
      </w:r>
      <w:r w:rsidR="00D236B1" w:rsidRPr="001467E4">
        <w:rPr>
          <w:rFonts w:ascii="Book Antiqua" w:hAnsi="Book Antiqua" w:cs="Arial"/>
          <w:sz w:val="24"/>
          <w:szCs w:val="24"/>
        </w:rPr>
        <w:t>as a source of anti-</w:t>
      </w:r>
      <w:r w:rsidR="00D236B1" w:rsidRPr="001467E4">
        <w:rPr>
          <w:rFonts w:ascii="Book Antiqua" w:hAnsi="Book Antiqua" w:cs="Arial"/>
          <w:sz w:val="24"/>
          <w:szCs w:val="24"/>
        </w:rPr>
        <w:sym w:font="Symbol" w:char="F062"/>
      </w:r>
      <w:r w:rsidR="00D236B1" w:rsidRPr="001467E4">
        <w:rPr>
          <w:rFonts w:ascii="Book Antiqua" w:hAnsi="Book Antiqua" w:cs="Arial"/>
          <w:sz w:val="24"/>
          <w:szCs w:val="24"/>
          <w:vertAlign w:val="subscript"/>
        </w:rPr>
        <w:t>2</w:t>
      </w:r>
      <w:r w:rsidR="00D236B1" w:rsidRPr="001467E4">
        <w:rPr>
          <w:rFonts w:ascii="Book Antiqua" w:hAnsi="Book Antiqua" w:cs="Arial"/>
          <w:sz w:val="24"/>
          <w:szCs w:val="24"/>
        </w:rPr>
        <w:t xml:space="preserve">GPI antibodies. Levine </w:t>
      </w:r>
      <w:r w:rsidR="00D236B1" w:rsidRPr="001467E4">
        <w:rPr>
          <w:rFonts w:ascii="Book Antiqua" w:hAnsi="Book Antiqua" w:cs="Arial"/>
          <w:i/>
          <w:sz w:val="24"/>
          <w:szCs w:val="24"/>
        </w:rPr>
        <w:t>et al</w:t>
      </w:r>
      <w:r w:rsidR="009134E0" w:rsidRPr="001467E4">
        <w:rPr>
          <w:rFonts w:ascii="Book Antiqua" w:hAnsi="Book Antiqua" w:cs="Arial"/>
          <w:sz w:val="24"/>
          <w:szCs w:val="24"/>
          <w:vertAlign w:val="superscript"/>
        </w:rPr>
        <w:t>[9</w:t>
      </w:r>
      <w:r w:rsidR="00854FEB">
        <w:rPr>
          <w:rFonts w:ascii="Book Antiqua" w:hAnsi="Book Antiqua" w:cs="Arial" w:hint="eastAsia"/>
          <w:sz w:val="24"/>
          <w:szCs w:val="24"/>
          <w:vertAlign w:val="superscript"/>
          <w:lang w:eastAsia="zh-CN"/>
        </w:rPr>
        <w:t>6</w:t>
      </w:r>
      <w:r w:rsidR="009134E0" w:rsidRPr="001467E4">
        <w:rPr>
          <w:rFonts w:ascii="Book Antiqua" w:hAnsi="Book Antiqua" w:cs="Arial"/>
          <w:sz w:val="24"/>
          <w:szCs w:val="24"/>
          <w:vertAlign w:val="superscript"/>
        </w:rPr>
        <w:t>]</w:t>
      </w:r>
      <w:r w:rsidR="00D236B1" w:rsidRPr="001467E4">
        <w:rPr>
          <w:rFonts w:ascii="Book Antiqua" w:hAnsi="Book Antiqua" w:cs="Arial"/>
          <w:sz w:val="24"/>
          <w:szCs w:val="24"/>
        </w:rPr>
        <w:t xml:space="preserve"> </w:t>
      </w:r>
      <w:r w:rsidR="00C365B6" w:rsidRPr="001467E4">
        <w:rPr>
          <w:rFonts w:ascii="Book Antiqua" w:hAnsi="Book Antiqua" w:cs="Arial"/>
          <w:sz w:val="24"/>
          <w:szCs w:val="24"/>
        </w:rPr>
        <w:t xml:space="preserve">reported </w:t>
      </w:r>
      <w:r w:rsidR="00D236B1" w:rsidRPr="001467E4">
        <w:rPr>
          <w:rFonts w:ascii="Book Antiqua" w:hAnsi="Book Antiqua" w:cs="Arial"/>
          <w:sz w:val="24"/>
          <w:szCs w:val="24"/>
        </w:rPr>
        <w:t xml:space="preserve">that </w:t>
      </w:r>
      <w:r w:rsidR="00D236B1" w:rsidRPr="001467E4">
        <w:rPr>
          <w:rFonts w:ascii="Book Antiqua" w:hAnsi="Book Antiqua" w:cs="Arial"/>
          <w:sz w:val="24"/>
          <w:szCs w:val="24"/>
        </w:rPr>
        <w:sym w:font="Symbol" w:char="F062"/>
      </w:r>
      <w:r w:rsidR="00D236B1" w:rsidRPr="001467E4">
        <w:rPr>
          <w:rFonts w:ascii="Book Antiqua" w:hAnsi="Book Antiqua" w:cs="Arial"/>
          <w:sz w:val="24"/>
          <w:szCs w:val="24"/>
          <w:vertAlign w:val="subscript"/>
        </w:rPr>
        <w:t>2</w:t>
      </w:r>
      <w:r w:rsidR="00D236B1" w:rsidRPr="001467E4">
        <w:rPr>
          <w:rFonts w:ascii="Book Antiqua" w:hAnsi="Book Antiqua" w:cs="Arial"/>
          <w:sz w:val="24"/>
          <w:szCs w:val="24"/>
        </w:rPr>
        <w:t xml:space="preserve">GPI </w:t>
      </w:r>
      <w:r w:rsidR="00C365B6" w:rsidRPr="001467E4">
        <w:rPr>
          <w:rFonts w:ascii="Book Antiqua" w:hAnsi="Book Antiqua" w:cs="Arial"/>
          <w:sz w:val="24"/>
          <w:szCs w:val="24"/>
        </w:rPr>
        <w:t xml:space="preserve">do not readily bind to the surface of viable cells but rather </w:t>
      </w:r>
      <w:r w:rsidR="00D236B1" w:rsidRPr="001467E4">
        <w:rPr>
          <w:rFonts w:ascii="Book Antiqua" w:hAnsi="Book Antiqua" w:cs="Arial"/>
          <w:sz w:val="24"/>
          <w:szCs w:val="24"/>
        </w:rPr>
        <w:t>to the surface of apoptotic cells</w:t>
      </w:r>
      <w:r w:rsidR="00C365B6" w:rsidRPr="001467E4">
        <w:rPr>
          <w:rFonts w:ascii="Book Antiqua" w:hAnsi="Book Antiqua" w:cs="Arial"/>
          <w:sz w:val="24"/>
          <w:szCs w:val="24"/>
        </w:rPr>
        <w:t>. Once bound</w:t>
      </w:r>
      <w:r w:rsidR="00D236B1" w:rsidRPr="001467E4">
        <w:rPr>
          <w:rFonts w:ascii="Book Antiqua" w:hAnsi="Book Antiqua" w:cs="Arial"/>
          <w:sz w:val="24"/>
          <w:szCs w:val="24"/>
        </w:rPr>
        <w:t xml:space="preserve">, </w:t>
      </w:r>
      <w:r w:rsidR="00C365B6" w:rsidRPr="001467E4">
        <w:rPr>
          <w:rFonts w:ascii="Book Antiqua" w:hAnsi="Book Antiqua" w:cs="Arial"/>
          <w:sz w:val="24"/>
          <w:szCs w:val="24"/>
        </w:rPr>
        <w:t>the exposure of</w:t>
      </w:r>
      <w:r w:rsidR="00D236B1" w:rsidRPr="001467E4">
        <w:rPr>
          <w:rFonts w:ascii="Book Antiqua" w:hAnsi="Book Antiqua" w:cs="Arial"/>
          <w:sz w:val="24"/>
          <w:szCs w:val="24"/>
        </w:rPr>
        <w:t xml:space="preserve"> an </w:t>
      </w:r>
      <w:r w:rsidR="00C365B6" w:rsidRPr="001467E4">
        <w:rPr>
          <w:rFonts w:ascii="Book Antiqua" w:hAnsi="Book Antiqua" w:cs="Arial"/>
          <w:sz w:val="24"/>
          <w:szCs w:val="24"/>
        </w:rPr>
        <w:t xml:space="preserve">essential </w:t>
      </w:r>
      <w:r w:rsidR="00D236B1" w:rsidRPr="001467E4">
        <w:rPr>
          <w:rFonts w:ascii="Book Antiqua" w:hAnsi="Book Antiqua" w:cs="Arial"/>
          <w:sz w:val="24"/>
          <w:szCs w:val="24"/>
        </w:rPr>
        <w:t xml:space="preserve">epitope </w:t>
      </w:r>
      <w:r w:rsidR="00C365B6" w:rsidRPr="001467E4">
        <w:rPr>
          <w:rFonts w:ascii="Book Antiqua" w:hAnsi="Book Antiqua" w:cs="Arial"/>
          <w:sz w:val="24"/>
          <w:szCs w:val="24"/>
        </w:rPr>
        <w:t xml:space="preserve">facilitates </w:t>
      </w:r>
      <w:r w:rsidR="00D236B1" w:rsidRPr="001467E4">
        <w:rPr>
          <w:rFonts w:ascii="Book Antiqua" w:hAnsi="Book Antiqua" w:cs="Arial"/>
          <w:sz w:val="24"/>
          <w:szCs w:val="24"/>
        </w:rPr>
        <w:t>recogni</w:t>
      </w:r>
      <w:r w:rsidR="00C365B6" w:rsidRPr="001467E4">
        <w:rPr>
          <w:rFonts w:ascii="Book Antiqua" w:hAnsi="Book Antiqua" w:cs="Arial"/>
          <w:sz w:val="24"/>
          <w:szCs w:val="24"/>
        </w:rPr>
        <w:t>tion</w:t>
      </w:r>
      <w:r w:rsidR="00D236B1" w:rsidRPr="001467E4">
        <w:rPr>
          <w:rFonts w:ascii="Book Antiqua" w:hAnsi="Book Antiqua" w:cs="Arial"/>
          <w:sz w:val="24"/>
          <w:szCs w:val="24"/>
        </w:rPr>
        <w:t xml:space="preserve"> by aPL from patients with primary APS and SLE. </w:t>
      </w:r>
      <w:r w:rsidR="00C365B6" w:rsidRPr="001467E4">
        <w:rPr>
          <w:rFonts w:ascii="Book Antiqua" w:hAnsi="Book Antiqua" w:cs="Arial"/>
          <w:sz w:val="24"/>
          <w:szCs w:val="24"/>
        </w:rPr>
        <w:t>Interestingly, increased aPL production can be induced in m</w:t>
      </w:r>
      <w:r w:rsidR="00D236B1" w:rsidRPr="001467E4">
        <w:rPr>
          <w:rFonts w:ascii="Book Antiqua" w:hAnsi="Book Antiqua" w:cs="Arial"/>
          <w:sz w:val="24"/>
          <w:szCs w:val="24"/>
        </w:rPr>
        <w:t xml:space="preserve">ice immunized with apoptotic cells </w:t>
      </w:r>
      <w:r w:rsidR="00C365B6" w:rsidRPr="001467E4">
        <w:rPr>
          <w:rFonts w:ascii="Book Antiqua" w:hAnsi="Book Antiqua" w:cs="Arial"/>
          <w:sz w:val="24"/>
          <w:szCs w:val="24"/>
        </w:rPr>
        <w:t xml:space="preserve">alone </w:t>
      </w:r>
      <w:r w:rsidR="00D236B1" w:rsidRPr="001467E4">
        <w:rPr>
          <w:rFonts w:ascii="Book Antiqua" w:hAnsi="Book Antiqua" w:cs="Arial"/>
          <w:sz w:val="24"/>
          <w:szCs w:val="24"/>
        </w:rPr>
        <w:t xml:space="preserve">or </w:t>
      </w:r>
      <w:r w:rsidR="00C365B6" w:rsidRPr="001467E4">
        <w:rPr>
          <w:rFonts w:ascii="Book Antiqua" w:hAnsi="Book Antiqua" w:cs="Arial"/>
          <w:sz w:val="24"/>
          <w:szCs w:val="24"/>
        </w:rPr>
        <w:t>complexed to</w:t>
      </w:r>
      <w:r w:rsidR="00D236B1" w:rsidRPr="001467E4">
        <w:rPr>
          <w:rFonts w:ascii="Book Antiqua" w:hAnsi="Book Antiqua" w:cs="Arial"/>
          <w:sz w:val="24"/>
          <w:szCs w:val="24"/>
        </w:rPr>
        <w:t xml:space="preserve"> </w:t>
      </w:r>
      <w:r w:rsidR="00D236B1" w:rsidRPr="001467E4">
        <w:rPr>
          <w:rFonts w:ascii="Book Antiqua" w:hAnsi="Book Antiqua" w:cs="Arial"/>
          <w:sz w:val="24"/>
          <w:szCs w:val="24"/>
        </w:rPr>
        <w:sym w:font="Symbol" w:char="F062"/>
      </w:r>
      <w:r w:rsidR="00D236B1" w:rsidRPr="001467E4">
        <w:rPr>
          <w:rFonts w:ascii="Book Antiqua" w:hAnsi="Book Antiqua" w:cs="Arial"/>
          <w:sz w:val="24"/>
          <w:szCs w:val="24"/>
          <w:vertAlign w:val="subscript"/>
        </w:rPr>
        <w:t>2</w:t>
      </w:r>
      <w:r w:rsidR="00D236B1" w:rsidRPr="001467E4">
        <w:rPr>
          <w:rFonts w:ascii="Book Antiqua" w:hAnsi="Book Antiqua" w:cs="Arial"/>
          <w:sz w:val="24"/>
          <w:szCs w:val="24"/>
        </w:rPr>
        <w:t>GPI</w:t>
      </w:r>
      <w:r w:rsidR="00C365B6" w:rsidRPr="001467E4">
        <w:rPr>
          <w:rFonts w:ascii="Book Antiqua" w:hAnsi="Book Antiqua" w:cs="Arial"/>
          <w:sz w:val="24"/>
          <w:szCs w:val="24"/>
        </w:rPr>
        <w:t>.</w:t>
      </w:r>
      <w:r w:rsidR="00D236B1" w:rsidRPr="001467E4">
        <w:rPr>
          <w:rFonts w:ascii="Book Antiqua" w:hAnsi="Book Antiqua" w:cs="Arial"/>
          <w:sz w:val="24"/>
          <w:szCs w:val="24"/>
        </w:rPr>
        <w:t xml:space="preserve"> </w:t>
      </w:r>
      <w:r w:rsidR="00C365B6" w:rsidRPr="001467E4">
        <w:rPr>
          <w:rFonts w:ascii="Book Antiqua" w:hAnsi="Book Antiqua" w:cs="Arial"/>
          <w:sz w:val="24"/>
          <w:szCs w:val="24"/>
        </w:rPr>
        <w:t>A</w:t>
      </w:r>
      <w:r w:rsidR="00D236B1" w:rsidRPr="001467E4">
        <w:rPr>
          <w:rFonts w:ascii="Book Antiqua" w:hAnsi="Book Antiqua" w:cs="Arial"/>
          <w:sz w:val="24"/>
          <w:szCs w:val="24"/>
        </w:rPr>
        <w:t xml:space="preserve"> recent study </w:t>
      </w:r>
      <w:r w:rsidR="00676948" w:rsidRPr="001467E4">
        <w:rPr>
          <w:rFonts w:ascii="Book Antiqua" w:hAnsi="Book Antiqua" w:cs="Arial"/>
          <w:sz w:val="24"/>
          <w:szCs w:val="24"/>
        </w:rPr>
        <w:t xml:space="preserve">highlighted the importance of the Ro60 receptor in </w:t>
      </w:r>
      <w:r w:rsidR="0085105F" w:rsidRPr="001467E4">
        <w:rPr>
          <w:rFonts w:ascii="Book Antiqua" w:hAnsi="Book Antiqua" w:cs="Arial"/>
          <w:sz w:val="24"/>
          <w:szCs w:val="24"/>
        </w:rPr>
        <w:sym w:font="Symbol" w:char="F062"/>
      </w:r>
      <w:r w:rsidR="0085105F" w:rsidRPr="001467E4">
        <w:rPr>
          <w:rFonts w:ascii="Book Antiqua" w:hAnsi="Book Antiqua" w:cs="Arial"/>
          <w:sz w:val="24"/>
          <w:szCs w:val="24"/>
          <w:vertAlign w:val="subscript"/>
        </w:rPr>
        <w:t>2</w:t>
      </w:r>
      <w:r w:rsidR="0085105F" w:rsidRPr="001467E4">
        <w:rPr>
          <w:rFonts w:ascii="Book Antiqua" w:hAnsi="Book Antiqua" w:cs="Arial"/>
          <w:sz w:val="24"/>
          <w:szCs w:val="24"/>
        </w:rPr>
        <w:t>GPI</w:t>
      </w:r>
      <w:r w:rsidR="00D236B1" w:rsidRPr="001467E4">
        <w:rPr>
          <w:rFonts w:ascii="Book Antiqua" w:hAnsi="Book Antiqua" w:cs="Arial"/>
          <w:sz w:val="24"/>
          <w:szCs w:val="24"/>
        </w:rPr>
        <w:t xml:space="preserve"> precipita</w:t>
      </w:r>
      <w:r w:rsidR="00676948" w:rsidRPr="001467E4">
        <w:rPr>
          <w:rFonts w:ascii="Book Antiqua" w:hAnsi="Book Antiqua" w:cs="Arial"/>
          <w:sz w:val="24"/>
          <w:szCs w:val="24"/>
        </w:rPr>
        <w:t>tion</w:t>
      </w:r>
      <w:r w:rsidR="00D236B1" w:rsidRPr="001467E4">
        <w:rPr>
          <w:rFonts w:ascii="Book Antiqua" w:hAnsi="Book Antiqua" w:cs="Arial"/>
          <w:sz w:val="24"/>
          <w:szCs w:val="24"/>
        </w:rPr>
        <w:t xml:space="preserve"> in apoptotic bodies</w:t>
      </w:r>
      <w:r w:rsidR="00E12550" w:rsidRPr="001467E4">
        <w:rPr>
          <w:rFonts w:ascii="Book Antiqua" w:hAnsi="Book Antiqua" w:cs="Arial"/>
          <w:sz w:val="24"/>
          <w:szCs w:val="24"/>
          <w:vertAlign w:val="superscript"/>
        </w:rPr>
        <w:t>[9</w:t>
      </w:r>
      <w:r w:rsidR="00854FEB">
        <w:rPr>
          <w:rFonts w:ascii="Book Antiqua" w:hAnsi="Book Antiqua" w:cs="Arial" w:hint="eastAsia"/>
          <w:sz w:val="24"/>
          <w:szCs w:val="24"/>
          <w:vertAlign w:val="superscript"/>
          <w:lang w:eastAsia="zh-CN"/>
        </w:rPr>
        <w:t>5</w:t>
      </w:r>
      <w:r w:rsidR="00E12550" w:rsidRPr="001467E4">
        <w:rPr>
          <w:rFonts w:ascii="Book Antiqua" w:hAnsi="Book Antiqua" w:cs="Arial"/>
          <w:sz w:val="24"/>
          <w:szCs w:val="24"/>
          <w:vertAlign w:val="superscript"/>
        </w:rPr>
        <w:t>-</w:t>
      </w:r>
      <w:r w:rsidR="00854FEB">
        <w:rPr>
          <w:rFonts w:ascii="Book Antiqua" w:hAnsi="Book Antiqua" w:cs="Arial" w:hint="eastAsia"/>
          <w:sz w:val="24"/>
          <w:szCs w:val="24"/>
          <w:vertAlign w:val="superscript"/>
          <w:lang w:eastAsia="zh-CN"/>
        </w:rPr>
        <w:t>99</w:t>
      </w:r>
      <w:r w:rsidR="009134E0" w:rsidRPr="001467E4">
        <w:rPr>
          <w:rFonts w:ascii="Book Antiqua" w:hAnsi="Book Antiqua" w:cs="Arial"/>
          <w:sz w:val="24"/>
          <w:szCs w:val="24"/>
          <w:vertAlign w:val="superscript"/>
        </w:rPr>
        <w:t>]</w:t>
      </w:r>
      <w:r w:rsidR="009134E0" w:rsidRPr="001467E4">
        <w:rPr>
          <w:rFonts w:ascii="Book Antiqua" w:hAnsi="Book Antiqua" w:cs="Arial"/>
          <w:sz w:val="24"/>
          <w:szCs w:val="24"/>
        </w:rPr>
        <w:t>.</w:t>
      </w:r>
    </w:p>
    <w:p w14:paraId="79EA042C" w14:textId="77777777" w:rsidR="00D236B1" w:rsidRPr="001467E4" w:rsidRDefault="00D236B1" w:rsidP="001467E4">
      <w:pPr>
        <w:spacing w:after="0" w:line="360" w:lineRule="auto"/>
        <w:jc w:val="both"/>
        <w:rPr>
          <w:rFonts w:ascii="Book Antiqua" w:hAnsi="Book Antiqua" w:cs="Arial"/>
          <w:b/>
          <w:u w:val="single"/>
          <w:lang w:eastAsia="zh-CN"/>
        </w:rPr>
      </w:pPr>
    </w:p>
    <w:p w14:paraId="21AEFC9B" w14:textId="292C06BB" w:rsidR="00D236B1" w:rsidRPr="00442311" w:rsidRDefault="00442311" w:rsidP="001467E4">
      <w:pPr>
        <w:spacing w:after="0" w:line="360" w:lineRule="auto"/>
        <w:jc w:val="both"/>
        <w:rPr>
          <w:rFonts w:ascii="Book Antiqua" w:hAnsi="Book Antiqua" w:cs="Arial"/>
        </w:rPr>
      </w:pPr>
      <w:r w:rsidRPr="00442311">
        <w:rPr>
          <w:rFonts w:ascii="Book Antiqua" w:hAnsi="Book Antiqua" w:cs="Arial"/>
          <w:b/>
        </w:rPr>
        <w:t>CONCLUSION</w:t>
      </w:r>
      <w:r w:rsidRPr="00442311">
        <w:rPr>
          <w:rFonts w:ascii="Book Antiqua" w:hAnsi="Book Antiqua" w:cs="Arial"/>
        </w:rPr>
        <w:t xml:space="preserve"> </w:t>
      </w:r>
    </w:p>
    <w:p w14:paraId="511D7A15" w14:textId="467A841A" w:rsidR="00D236B1" w:rsidRPr="001467E4" w:rsidRDefault="00D236B1" w:rsidP="001467E4">
      <w:pPr>
        <w:spacing w:after="0" w:line="360" w:lineRule="auto"/>
        <w:jc w:val="both"/>
        <w:rPr>
          <w:rFonts w:ascii="Book Antiqua" w:hAnsi="Book Antiqua" w:cs="Arial"/>
        </w:rPr>
      </w:pPr>
      <w:r w:rsidRPr="001467E4">
        <w:rPr>
          <w:rFonts w:ascii="Book Antiqua" w:hAnsi="Book Antiqua" w:cs="Arial"/>
        </w:rPr>
        <w:t xml:space="preserve">The relative degree to which </w:t>
      </w:r>
      <w:r w:rsidR="00EB1D6F" w:rsidRPr="001467E4">
        <w:rPr>
          <w:rFonts w:ascii="Book Antiqua" w:hAnsi="Book Antiqua" w:cs="Arial"/>
        </w:rPr>
        <w:t>inherited and acquired</w:t>
      </w:r>
      <w:r w:rsidRPr="001467E4">
        <w:rPr>
          <w:rFonts w:ascii="Book Antiqua" w:hAnsi="Book Antiqua" w:cs="Arial"/>
        </w:rPr>
        <w:t xml:space="preserve"> factors </w:t>
      </w:r>
      <w:r w:rsidR="00EB1D6F" w:rsidRPr="001467E4">
        <w:rPr>
          <w:rFonts w:ascii="Book Antiqua" w:hAnsi="Book Antiqua" w:cs="Arial"/>
        </w:rPr>
        <w:t>determine the risk for developing aPL and APS has not been fully elucidated</w:t>
      </w:r>
      <w:r w:rsidRPr="001467E4">
        <w:rPr>
          <w:rFonts w:ascii="Book Antiqua" w:hAnsi="Book Antiqua" w:cs="Arial"/>
        </w:rPr>
        <w:t xml:space="preserve">. </w:t>
      </w:r>
      <w:r w:rsidR="00EB1D6F" w:rsidRPr="001467E4">
        <w:rPr>
          <w:rFonts w:ascii="Book Antiqua" w:hAnsi="Book Antiqua" w:cs="Arial"/>
        </w:rPr>
        <w:t>The most likely scenario is a</w:t>
      </w:r>
      <w:r w:rsidRPr="001467E4">
        <w:rPr>
          <w:rFonts w:ascii="Book Antiqua" w:hAnsi="Book Antiqua" w:cs="Arial"/>
        </w:rPr>
        <w:t xml:space="preserve"> complex interplay of </w:t>
      </w:r>
      <w:r w:rsidR="00EB1D6F" w:rsidRPr="001467E4">
        <w:rPr>
          <w:rFonts w:ascii="Book Antiqua" w:hAnsi="Book Antiqua" w:cs="Arial"/>
        </w:rPr>
        <w:t xml:space="preserve">a multitude of </w:t>
      </w:r>
      <w:r w:rsidRPr="001467E4">
        <w:rPr>
          <w:rFonts w:ascii="Book Antiqua" w:hAnsi="Book Antiqua" w:cs="Arial"/>
        </w:rPr>
        <w:t>environmental factors in a genetically susceptible patient</w:t>
      </w:r>
      <w:r w:rsidR="00EB1D6F" w:rsidRPr="001467E4">
        <w:rPr>
          <w:rFonts w:ascii="Book Antiqua" w:hAnsi="Book Antiqua" w:cs="Arial"/>
        </w:rPr>
        <w:t xml:space="preserve">, which then induces </w:t>
      </w:r>
      <w:r w:rsidRPr="001467E4">
        <w:rPr>
          <w:rFonts w:ascii="Book Antiqua" w:hAnsi="Book Antiqua" w:cs="Arial"/>
        </w:rPr>
        <w:t>autoantibod</w:t>
      </w:r>
      <w:r w:rsidR="00EB1D6F" w:rsidRPr="001467E4">
        <w:rPr>
          <w:rFonts w:ascii="Book Antiqua" w:hAnsi="Book Antiqua" w:cs="Arial"/>
        </w:rPr>
        <w:t>y development</w:t>
      </w:r>
      <w:r w:rsidRPr="001467E4">
        <w:rPr>
          <w:rFonts w:ascii="Book Antiqua" w:hAnsi="Book Antiqua" w:cs="Arial"/>
        </w:rPr>
        <w:t xml:space="preserve"> and </w:t>
      </w:r>
      <w:r w:rsidR="00EB1D6F" w:rsidRPr="001467E4">
        <w:rPr>
          <w:rFonts w:ascii="Book Antiqua" w:hAnsi="Book Antiqua" w:cs="Arial"/>
        </w:rPr>
        <w:t>consequently</w:t>
      </w:r>
      <w:r w:rsidRPr="001467E4">
        <w:rPr>
          <w:rFonts w:ascii="Book Antiqua" w:hAnsi="Book Antiqua" w:cs="Arial"/>
        </w:rPr>
        <w:t xml:space="preserve"> typical disease</w:t>
      </w:r>
      <w:r w:rsidR="00EB1D6F" w:rsidRPr="001467E4">
        <w:rPr>
          <w:rFonts w:ascii="Book Antiqua" w:hAnsi="Book Antiqua" w:cs="Arial"/>
        </w:rPr>
        <w:t xml:space="preserve"> manifestations</w:t>
      </w:r>
      <w:r w:rsidRPr="001467E4">
        <w:rPr>
          <w:rFonts w:ascii="Book Antiqua" w:hAnsi="Book Antiqua" w:cs="Arial"/>
        </w:rPr>
        <w:t xml:space="preserve">. </w:t>
      </w:r>
      <w:r w:rsidR="00EB1D6F" w:rsidRPr="001467E4">
        <w:rPr>
          <w:rFonts w:ascii="Book Antiqua" w:hAnsi="Book Antiqua" w:cs="Arial"/>
        </w:rPr>
        <w:t>Once there is a more complete comprehension of the</w:t>
      </w:r>
      <w:r w:rsidRPr="001467E4">
        <w:rPr>
          <w:rFonts w:ascii="Book Antiqua" w:hAnsi="Book Antiqua" w:cs="Arial"/>
        </w:rPr>
        <w:t xml:space="preserve"> relative contributions of these </w:t>
      </w:r>
      <w:r w:rsidR="00EB1D6F" w:rsidRPr="001467E4">
        <w:rPr>
          <w:rFonts w:ascii="Book Antiqua" w:hAnsi="Book Antiqua" w:cs="Arial"/>
        </w:rPr>
        <w:t xml:space="preserve">varied </w:t>
      </w:r>
      <w:r w:rsidRPr="001467E4">
        <w:rPr>
          <w:rFonts w:ascii="Book Antiqua" w:hAnsi="Book Antiqua" w:cs="Arial"/>
        </w:rPr>
        <w:t>factors</w:t>
      </w:r>
      <w:r w:rsidR="00EB1D6F" w:rsidRPr="001467E4">
        <w:rPr>
          <w:rFonts w:ascii="Book Antiqua" w:hAnsi="Book Antiqua" w:cs="Arial"/>
        </w:rPr>
        <w:t>, researchers and clinicians alike</w:t>
      </w:r>
      <w:r w:rsidRPr="001467E4">
        <w:rPr>
          <w:rFonts w:ascii="Book Antiqua" w:hAnsi="Book Antiqua" w:cs="Arial"/>
        </w:rPr>
        <w:t xml:space="preserve"> </w:t>
      </w:r>
      <w:r w:rsidR="00EB1D6F" w:rsidRPr="001467E4">
        <w:rPr>
          <w:rFonts w:ascii="Book Antiqua" w:hAnsi="Book Antiqua" w:cs="Arial"/>
        </w:rPr>
        <w:t xml:space="preserve">will be able to </w:t>
      </w:r>
      <w:r w:rsidR="00B56EFD" w:rsidRPr="001467E4">
        <w:rPr>
          <w:rFonts w:ascii="Book Antiqua" w:hAnsi="Book Antiqua" w:cs="Arial"/>
        </w:rPr>
        <w:t>implement</w:t>
      </w:r>
      <w:r w:rsidR="00EB1D6F" w:rsidRPr="001467E4">
        <w:rPr>
          <w:rFonts w:ascii="Book Antiqua" w:hAnsi="Book Antiqua" w:cs="Arial"/>
        </w:rPr>
        <w:t xml:space="preserve"> more effective</w:t>
      </w:r>
      <w:r w:rsidRPr="001467E4">
        <w:rPr>
          <w:rFonts w:ascii="Book Antiqua" w:hAnsi="Book Antiqua" w:cs="Arial"/>
        </w:rPr>
        <w:t xml:space="preserve"> </w:t>
      </w:r>
      <w:r w:rsidR="00EB1D6F" w:rsidRPr="001467E4">
        <w:rPr>
          <w:rFonts w:ascii="Book Antiqua" w:hAnsi="Book Antiqua" w:cs="Arial"/>
        </w:rPr>
        <w:t xml:space="preserve">preventive </w:t>
      </w:r>
      <w:r w:rsidRPr="001467E4">
        <w:rPr>
          <w:rFonts w:ascii="Book Antiqua" w:hAnsi="Book Antiqua" w:cs="Arial"/>
        </w:rPr>
        <w:t xml:space="preserve">and </w:t>
      </w:r>
      <w:r w:rsidR="00B56EFD" w:rsidRPr="001467E4">
        <w:rPr>
          <w:rFonts w:ascii="Book Antiqua" w:hAnsi="Book Antiqua" w:cs="Arial"/>
        </w:rPr>
        <w:t xml:space="preserve">therapeutic </w:t>
      </w:r>
      <w:r w:rsidRPr="001467E4">
        <w:rPr>
          <w:rFonts w:ascii="Book Antiqua" w:hAnsi="Book Antiqua" w:cs="Arial"/>
        </w:rPr>
        <w:t xml:space="preserve">management </w:t>
      </w:r>
      <w:r w:rsidR="00B56EFD" w:rsidRPr="001467E4">
        <w:rPr>
          <w:rFonts w:ascii="Book Antiqua" w:hAnsi="Book Antiqua" w:cs="Arial"/>
        </w:rPr>
        <w:t>guidelines for</w:t>
      </w:r>
      <w:r w:rsidRPr="001467E4">
        <w:rPr>
          <w:rFonts w:ascii="Book Antiqua" w:hAnsi="Book Antiqua" w:cs="Arial"/>
        </w:rPr>
        <w:t xml:space="preserve"> these patients. Future studies </w:t>
      </w:r>
      <w:r w:rsidR="00BF5701" w:rsidRPr="001467E4">
        <w:rPr>
          <w:rFonts w:ascii="Book Antiqua" w:hAnsi="Book Antiqua" w:cs="Arial"/>
        </w:rPr>
        <w:t>should focus on the elucidation of those specific immune factors leading to a break in tolerance and subsequent aPL production, as a stepping stone to the development of appropriate preventive and therapeutic modalities.</w:t>
      </w:r>
    </w:p>
    <w:p w14:paraId="6E58E030" w14:textId="77777777" w:rsidR="00CC12C0" w:rsidRPr="001467E4" w:rsidRDefault="00CC12C0" w:rsidP="001467E4">
      <w:pPr>
        <w:pStyle w:val="PlainText"/>
        <w:spacing w:line="360" w:lineRule="auto"/>
        <w:jc w:val="both"/>
        <w:rPr>
          <w:rFonts w:ascii="Book Antiqua" w:hAnsi="Book Antiqua"/>
          <w:sz w:val="24"/>
          <w:szCs w:val="24"/>
        </w:rPr>
      </w:pPr>
    </w:p>
    <w:p w14:paraId="28A0F1C0" w14:textId="33514DD7" w:rsidR="00CC12C0" w:rsidRPr="00AB0E48" w:rsidRDefault="00CC12C0" w:rsidP="00AB0E48">
      <w:pPr>
        <w:pStyle w:val="Default"/>
        <w:spacing w:line="360" w:lineRule="auto"/>
        <w:jc w:val="both"/>
        <w:rPr>
          <w:rFonts w:ascii="Book Antiqua" w:hAnsi="Book Antiqua" w:cs="Arial"/>
          <w:color w:val="auto"/>
        </w:rPr>
      </w:pPr>
      <w:r w:rsidRPr="00AB0E48">
        <w:rPr>
          <w:rFonts w:ascii="Book Antiqua" w:hAnsi="Book Antiqua" w:cs="Arial"/>
          <w:b/>
          <w:color w:val="auto"/>
        </w:rPr>
        <w:t>REFERENCES</w:t>
      </w:r>
    </w:p>
    <w:p w14:paraId="225D3E25" w14:textId="1E646ACC"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 </w:t>
      </w:r>
      <w:r w:rsidRPr="00AB0E48">
        <w:rPr>
          <w:rFonts w:ascii="Book Antiqua" w:hAnsi="Book Antiqua" w:cs="宋体"/>
          <w:b/>
          <w:bCs/>
          <w:lang w:eastAsia="zh-CN"/>
        </w:rPr>
        <w:t>Miyakis S</w:t>
      </w:r>
      <w:r w:rsidRPr="00AB0E48">
        <w:rPr>
          <w:rFonts w:ascii="Book Antiqua" w:hAnsi="Book Antiqua" w:cs="宋体"/>
          <w:lang w:eastAsia="zh-CN"/>
        </w:rPr>
        <w:t xml:space="preserve">, Lockshin MD, Atsumi T, Branch DW, Brey RL, Cervera R, Derksen RH, DE Groot PG, Koike T, Meroni PL, Reber G, Shoenfeld Y, Tincani A, Vlachoyiannopoulos PG, Krilis SA. International consensus statement on an update of the classification criteria for definite antiphospholipid syndrome (APS). </w:t>
      </w:r>
      <w:r w:rsidRPr="00AB0E48">
        <w:rPr>
          <w:rFonts w:ascii="Book Antiqua" w:hAnsi="Book Antiqua" w:cs="宋体"/>
          <w:i/>
          <w:iCs/>
          <w:lang w:eastAsia="zh-CN"/>
        </w:rPr>
        <w:t>J Thromb Haemost</w:t>
      </w:r>
      <w:r w:rsidRPr="00AB0E48">
        <w:rPr>
          <w:rFonts w:ascii="Book Antiqua" w:hAnsi="Book Antiqua" w:cs="宋体"/>
          <w:lang w:eastAsia="zh-CN"/>
        </w:rPr>
        <w:t xml:space="preserve"> 2006; </w:t>
      </w:r>
      <w:r w:rsidRPr="00AB0E48">
        <w:rPr>
          <w:rFonts w:ascii="Book Antiqua" w:hAnsi="Book Antiqua" w:cs="宋体"/>
          <w:b/>
          <w:bCs/>
          <w:lang w:eastAsia="zh-CN"/>
        </w:rPr>
        <w:t>4</w:t>
      </w:r>
      <w:r w:rsidRPr="00AB0E48">
        <w:rPr>
          <w:rFonts w:ascii="Book Antiqua" w:hAnsi="Book Antiqua" w:cs="宋体"/>
          <w:lang w:eastAsia="zh-CN"/>
        </w:rPr>
        <w:t>: 295-306 [PMID: 16420554 DOI: 10.1111/j.1538-7836.2006.01753.x</w:t>
      </w:r>
      <w:r w:rsidR="00854FEB">
        <w:rPr>
          <w:rFonts w:ascii="Book Antiqua" w:hAnsi="Book Antiqua" w:cs="宋体"/>
          <w:lang w:eastAsia="zh-CN"/>
        </w:rPr>
        <w:t>]</w:t>
      </w:r>
    </w:p>
    <w:p w14:paraId="6E25C357" w14:textId="4BD3AC9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 </w:t>
      </w:r>
      <w:r w:rsidRPr="00AB0E48">
        <w:rPr>
          <w:rFonts w:ascii="Book Antiqua" w:hAnsi="Book Antiqua" w:cs="宋体"/>
          <w:b/>
          <w:bCs/>
          <w:lang w:eastAsia="zh-CN"/>
        </w:rPr>
        <w:t>McNeil HP</w:t>
      </w:r>
      <w:r w:rsidRPr="00AB0E48">
        <w:rPr>
          <w:rFonts w:ascii="Book Antiqua" w:hAnsi="Book Antiqua" w:cs="宋体"/>
          <w:lang w:eastAsia="zh-CN"/>
        </w:rPr>
        <w:t xml:space="preserve">, Simpson RJ, Chesterman CN, Krilis SA. Anti-phospholipid antibodies are directed against a complex antigen that includes a lipid-binding inhibitor of coagulation: beta 2-glycoprotein I (apolipoprotein H). </w:t>
      </w:r>
      <w:r w:rsidR="00854FEB">
        <w:rPr>
          <w:rFonts w:ascii="Book Antiqua" w:hAnsi="Book Antiqua" w:cs="宋体"/>
          <w:i/>
          <w:iCs/>
          <w:lang w:eastAsia="zh-CN"/>
        </w:rPr>
        <w:t>Proc Natl Acad Sci US</w:t>
      </w:r>
      <w:r w:rsidRPr="00AB0E48">
        <w:rPr>
          <w:rFonts w:ascii="Book Antiqua" w:hAnsi="Book Antiqua" w:cs="宋体"/>
          <w:i/>
          <w:iCs/>
          <w:lang w:eastAsia="zh-CN"/>
        </w:rPr>
        <w:t>A</w:t>
      </w:r>
      <w:r w:rsidRPr="00AB0E48">
        <w:rPr>
          <w:rFonts w:ascii="Book Antiqua" w:hAnsi="Book Antiqua" w:cs="宋体"/>
          <w:lang w:eastAsia="zh-CN"/>
        </w:rPr>
        <w:t xml:space="preserve"> 1990; </w:t>
      </w:r>
      <w:r w:rsidRPr="00AB0E48">
        <w:rPr>
          <w:rFonts w:ascii="Book Antiqua" w:hAnsi="Book Antiqua" w:cs="宋体"/>
          <w:b/>
          <w:bCs/>
          <w:lang w:eastAsia="zh-CN"/>
        </w:rPr>
        <w:t>87</w:t>
      </w:r>
      <w:r w:rsidRPr="00AB0E48">
        <w:rPr>
          <w:rFonts w:ascii="Book Antiqua" w:hAnsi="Book Antiqua" w:cs="宋体"/>
          <w:lang w:eastAsia="zh-CN"/>
        </w:rPr>
        <w:t>: 4120-4124 [PMID: 2349221 DOI: 10.1073/pnas.87.11.4120</w:t>
      </w:r>
      <w:r w:rsidR="00854FEB">
        <w:rPr>
          <w:rFonts w:ascii="Book Antiqua" w:hAnsi="Book Antiqua" w:cs="宋体"/>
          <w:lang w:eastAsia="zh-CN"/>
        </w:rPr>
        <w:t>]</w:t>
      </w:r>
    </w:p>
    <w:p w14:paraId="39C3DFC2"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 </w:t>
      </w:r>
      <w:r w:rsidRPr="00AB0E48">
        <w:rPr>
          <w:rFonts w:ascii="Book Antiqua" w:hAnsi="Book Antiqua" w:cs="宋体"/>
          <w:b/>
          <w:bCs/>
          <w:lang w:eastAsia="zh-CN"/>
        </w:rPr>
        <w:t>Galli M</w:t>
      </w:r>
      <w:r w:rsidRPr="00AB0E48">
        <w:rPr>
          <w:rFonts w:ascii="Book Antiqua" w:hAnsi="Book Antiqua" w:cs="宋体"/>
          <w:lang w:eastAsia="zh-CN"/>
        </w:rPr>
        <w:t xml:space="preserve">, Comfurius P, Maassen C, Hemker HC, de Baets MH, van Breda-Vriesman PJ, Barbui T, Zwaal RF, Bevers EM. Anticardiolipin antibodies (ACA) directed not to cardiolipin but to a plasma protein cofactor. </w:t>
      </w:r>
      <w:r w:rsidRPr="00AB0E48">
        <w:rPr>
          <w:rFonts w:ascii="Book Antiqua" w:hAnsi="Book Antiqua" w:cs="宋体"/>
          <w:i/>
          <w:iCs/>
          <w:lang w:eastAsia="zh-CN"/>
        </w:rPr>
        <w:t>Lancet</w:t>
      </w:r>
      <w:r w:rsidRPr="00AB0E48">
        <w:rPr>
          <w:rFonts w:ascii="Book Antiqua" w:hAnsi="Book Antiqua" w:cs="宋体"/>
          <w:lang w:eastAsia="zh-CN"/>
        </w:rPr>
        <w:t xml:space="preserve"> 1990; </w:t>
      </w:r>
      <w:r w:rsidRPr="00AB0E48">
        <w:rPr>
          <w:rFonts w:ascii="Book Antiqua" w:hAnsi="Book Antiqua" w:cs="宋体"/>
          <w:b/>
          <w:bCs/>
          <w:lang w:eastAsia="zh-CN"/>
        </w:rPr>
        <w:t>335</w:t>
      </w:r>
      <w:r w:rsidRPr="00AB0E48">
        <w:rPr>
          <w:rFonts w:ascii="Book Antiqua" w:hAnsi="Book Antiqua" w:cs="宋体"/>
          <w:lang w:eastAsia="zh-CN"/>
        </w:rPr>
        <w:t>: 1544-1547 [PMID: 1972485 DOI: 10.1016/0140-6736(90)91374-J]</w:t>
      </w:r>
    </w:p>
    <w:p w14:paraId="2A6BF8C2" w14:textId="48B0CCD0"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 </w:t>
      </w:r>
      <w:r w:rsidRPr="00AB0E48">
        <w:rPr>
          <w:rFonts w:ascii="Book Antiqua" w:hAnsi="Book Antiqua" w:cs="宋体"/>
          <w:b/>
          <w:bCs/>
          <w:lang w:eastAsia="zh-CN"/>
        </w:rPr>
        <w:t>Amengual O</w:t>
      </w:r>
      <w:r w:rsidRPr="00AB0E48">
        <w:rPr>
          <w:rFonts w:ascii="Book Antiqua" w:hAnsi="Book Antiqua" w:cs="宋体"/>
          <w:lang w:eastAsia="zh-CN"/>
        </w:rPr>
        <w:t xml:space="preserve">, Atsumi T, Koike T. Antiprothombin antibodies and the diagnosis of antiphospholipid syndrome. </w:t>
      </w:r>
      <w:r w:rsidRPr="00AB0E48">
        <w:rPr>
          <w:rFonts w:ascii="Book Antiqua" w:hAnsi="Book Antiqua" w:cs="宋体"/>
          <w:i/>
          <w:iCs/>
          <w:lang w:eastAsia="zh-CN"/>
        </w:rPr>
        <w:t>Clin Immunol</w:t>
      </w:r>
      <w:r w:rsidRPr="00AB0E48">
        <w:rPr>
          <w:rFonts w:ascii="Book Antiqua" w:hAnsi="Book Antiqua" w:cs="宋体"/>
          <w:lang w:eastAsia="zh-CN"/>
        </w:rPr>
        <w:t xml:space="preserve"> 2004; </w:t>
      </w:r>
      <w:r w:rsidRPr="00AB0E48">
        <w:rPr>
          <w:rFonts w:ascii="Book Antiqua" w:hAnsi="Book Antiqua" w:cs="宋体"/>
          <w:b/>
          <w:bCs/>
          <w:lang w:eastAsia="zh-CN"/>
        </w:rPr>
        <w:t>112</w:t>
      </w:r>
      <w:r w:rsidRPr="00AB0E48">
        <w:rPr>
          <w:rFonts w:ascii="Book Antiqua" w:hAnsi="Book Antiqua" w:cs="宋体"/>
          <w:lang w:eastAsia="zh-CN"/>
        </w:rPr>
        <w:t>: 144-149 [PMID: 15240157 DOI: 10.1016/j.clim.2004.02.013</w:t>
      </w:r>
      <w:r w:rsidR="00854FEB">
        <w:rPr>
          <w:rFonts w:ascii="Book Antiqua" w:hAnsi="Book Antiqua" w:cs="宋体"/>
          <w:lang w:eastAsia="zh-CN"/>
        </w:rPr>
        <w:t>]</w:t>
      </w:r>
    </w:p>
    <w:p w14:paraId="0B32F7CE" w14:textId="50529D7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 </w:t>
      </w:r>
      <w:r w:rsidRPr="00AB0E48">
        <w:rPr>
          <w:rFonts w:ascii="Book Antiqua" w:hAnsi="Book Antiqua" w:cs="宋体"/>
          <w:b/>
          <w:bCs/>
          <w:lang w:eastAsia="zh-CN"/>
        </w:rPr>
        <w:t>Willis R</w:t>
      </w:r>
      <w:r w:rsidRPr="00AB0E48">
        <w:rPr>
          <w:rFonts w:ascii="Book Antiqua" w:hAnsi="Book Antiqua" w:cs="宋体"/>
          <w:lang w:eastAsia="zh-CN"/>
        </w:rPr>
        <w:t xml:space="preserve">, Harris EN, Pierangeli SS. Pathogenesis of the antiphospholipid syndrome. </w:t>
      </w:r>
      <w:r w:rsidRPr="00AB0E48">
        <w:rPr>
          <w:rFonts w:ascii="Book Antiqua" w:hAnsi="Book Antiqua" w:cs="宋体"/>
          <w:i/>
          <w:iCs/>
          <w:lang w:eastAsia="zh-CN"/>
        </w:rPr>
        <w:t>Semin Thromb Hemost</w:t>
      </w:r>
      <w:r w:rsidRPr="00AB0E48">
        <w:rPr>
          <w:rFonts w:ascii="Book Antiqua" w:hAnsi="Book Antiqua" w:cs="宋体"/>
          <w:lang w:eastAsia="zh-CN"/>
        </w:rPr>
        <w:t xml:space="preserve"> 2012; </w:t>
      </w:r>
      <w:r w:rsidRPr="00AB0E48">
        <w:rPr>
          <w:rFonts w:ascii="Book Antiqua" w:hAnsi="Book Antiqua" w:cs="宋体"/>
          <w:b/>
          <w:bCs/>
          <w:lang w:eastAsia="zh-CN"/>
        </w:rPr>
        <w:t>38</w:t>
      </w:r>
      <w:r w:rsidRPr="00AB0E48">
        <w:rPr>
          <w:rFonts w:ascii="Book Antiqua" w:hAnsi="Book Antiqua" w:cs="宋体"/>
          <w:lang w:eastAsia="zh-CN"/>
        </w:rPr>
        <w:t>: 305-321 [PMID: 22510982 DOI: 10.1055/s-0032-1311827</w:t>
      </w:r>
      <w:r w:rsidR="00854FEB">
        <w:rPr>
          <w:rFonts w:ascii="Book Antiqua" w:hAnsi="Book Antiqua" w:cs="宋体"/>
          <w:lang w:eastAsia="zh-CN"/>
        </w:rPr>
        <w:t>]</w:t>
      </w:r>
    </w:p>
    <w:p w14:paraId="3D595EB2" w14:textId="1B065F93"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lang w:eastAsia="zh-CN"/>
        </w:rPr>
        <w:t xml:space="preserve">6 </w:t>
      </w:r>
      <w:r w:rsidRPr="00854FEB">
        <w:rPr>
          <w:rFonts w:ascii="Book Antiqua" w:hAnsi="Book Antiqua" w:cs="宋体"/>
          <w:b/>
          <w:lang w:eastAsia="zh-CN"/>
        </w:rPr>
        <w:t>Sebastiani GD</w:t>
      </w:r>
      <w:r w:rsidR="00AB0E48" w:rsidRPr="00854FEB">
        <w:rPr>
          <w:rFonts w:ascii="Book Antiqua" w:hAnsi="Book Antiqua" w:cs="宋体"/>
          <w:b/>
          <w:lang w:eastAsia="zh-CN"/>
        </w:rPr>
        <w:t>GM</w:t>
      </w:r>
      <w:r w:rsidR="00AB0E48" w:rsidRPr="00AB0E48">
        <w:rPr>
          <w:rFonts w:ascii="Book Antiqua" w:hAnsi="Book Antiqua" w:cs="宋体"/>
          <w:lang w:eastAsia="zh-CN"/>
        </w:rPr>
        <w:t>. Genetic aspects of the antiphospholipid syndrome: HLA associations. In: Handbook of Systemic Autoimmune Diseases; Vol 10, Chapter 6.</w:t>
      </w:r>
      <w:r>
        <w:rPr>
          <w:rFonts w:ascii="Book Antiqua" w:hAnsi="Book Antiqua" w:cs="宋体" w:hint="eastAsia"/>
          <w:lang w:eastAsia="zh-CN"/>
        </w:rPr>
        <w:t xml:space="preserve"> </w:t>
      </w:r>
      <w:r w:rsidR="00AB0E48" w:rsidRPr="00AB0E48">
        <w:rPr>
          <w:rFonts w:ascii="Book Antiqua" w:hAnsi="Book Antiqua" w:cs="宋体"/>
          <w:lang w:eastAsia="zh-CN"/>
        </w:rPr>
        <w:t>Ed by C</w:t>
      </w:r>
      <w:r w:rsidR="00C8621C">
        <w:rPr>
          <w:rFonts w:ascii="Book Antiqua" w:hAnsi="Book Antiqua" w:cs="宋体"/>
          <w:lang w:eastAsia="zh-CN"/>
        </w:rPr>
        <w:t xml:space="preserve">ervera, Reverter and Khamashta. </w:t>
      </w:r>
      <w:r w:rsidR="00AB0E48" w:rsidRPr="00AB0E48">
        <w:rPr>
          <w:rFonts w:ascii="Book Antiqua" w:hAnsi="Book Antiqua" w:cs="宋体"/>
          <w:lang w:eastAsia="zh-CN"/>
        </w:rPr>
        <w:t>Oxford, UK</w:t>
      </w:r>
      <w:r w:rsidR="00C8621C">
        <w:rPr>
          <w:rFonts w:ascii="Book Antiqua" w:hAnsi="Book Antiqua" w:cs="宋体"/>
          <w:lang w:eastAsia="zh-CN"/>
        </w:rPr>
        <w:t>:</w:t>
      </w:r>
      <w:r w:rsidR="00C8621C" w:rsidRPr="00C8621C">
        <w:rPr>
          <w:rFonts w:ascii="Book Antiqua" w:hAnsi="Book Antiqua" w:cs="宋体"/>
          <w:lang w:eastAsia="zh-CN"/>
        </w:rPr>
        <w:t xml:space="preserve"> </w:t>
      </w:r>
      <w:r w:rsidR="00C8621C" w:rsidRPr="00AB0E48">
        <w:rPr>
          <w:rFonts w:ascii="Book Antiqua" w:hAnsi="Book Antiqua" w:cs="宋体"/>
          <w:lang w:eastAsia="zh-CN"/>
        </w:rPr>
        <w:t>Elsevier BC</w:t>
      </w:r>
      <w:r w:rsidR="00C8621C">
        <w:rPr>
          <w:rFonts w:ascii="Book Antiqua" w:hAnsi="Book Antiqua" w:cs="宋体" w:hint="eastAsia"/>
          <w:lang w:eastAsia="zh-CN"/>
        </w:rPr>
        <w:t>,</w:t>
      </w:r>
      <w:r w:rsidR="00AB0E48" w:rsidRPr="00AB0E48">
        <w:rPr>
          <w:rFonts w:ascii="Book Antiqua" w:hAnsi="Book Antiqua" w:cs="宋体"/>
          <w:lang w:eastAsia="zh-CN"/>
        </w:rPr>
        <w:t xml:space="preserve"> 2009</w:t>
      </w:r>
      <w:r>
        <w:rPr>
          <w:rFonts w:ascii="Book Antiqua" w:hAnsi="Book Antiqua" w:cs="宋体" w:hint="eastAsia"/>
          <w:lang w:eastAsia="zh-CN"/>
        </w:rPr>
        <w:t>:</w:t>
      </w:r>
      <w:r w:rsidRPr="00854FEB">
        <w:rPr>
          <w:rFonts w:ascii="Book Antiqua" w:hAnsi="Book Antiqua" w:cs="宋体"/>
          <w:lang w:eastAsia="zh-CN"/>
        </w:rPr>
        <w:t xml:space="preserve"> </w:t>
      </w:r>
      <w:r w:rsidRPr="00AB0E48">
        <w:rPr>
          <w:rFonts w:ascii="Book Antiqua" w:hAnsi="Book Antiqua" w:cs="宋体"/>
          <w:lang w:eastAsia="zh-CN"/>
        </w:rPr>
        <w:t>81-89</w:t>
      </w:r>
      <w:r w:rsidR="00AB0E48" w:rsidRPr="00AB0E48">
        <w:rPr>
          <w:rFonts w:ascii="Book Antiqua" w:hAnsi="Book Antiqua" w:cs="宋体"/>
          <w:lang w:eastAsia="zh-CN"/>
        </w:rPr>
        <w:t xml:space="preserve"> </w:t>
      </w:r>
      <w:r>
        <w:rPr>
          <w:rFonts w:ascii="Book Antiqua" w:hAnsi="Book Antiqua" w:cs="宋体" w:hint="eastAsia"/>
          <w:lang w:eastAsia="zh-CN"/>
        </w:rPr>
        <w:t>[</w:t>
      </w:r>
      <w:r w:rsidR="00AB0E48" w:rsidRPr="00AB0E48">
        <w:rPr>
          <w:rFonts w:ascii="Book Antiqua" w:hAnsi="Book Antiqua" w:cs="宋体"/>
          <w:lang w:eastAsia="zh-CN"/>
        </w:rPr>
        <w:t>DOI: 1</w:t>
      </w:r>
      <w:r>
        <w:rPr>
          <w:rFonts w:ascii="Book Antiqua" w:hAnsi="Book Antiqua" w:cs="宋体"/>
          <w:lang w:eastAsia="zh-CN"/>
        </w:rPr>
        <w:t>0.1111/j.1365-2141.2009.07831.x</w:t>
      </w:r>
      <w:r>
        <w:rPr>
          <w:rFonts w:ascii="Book Antiqua" w:hAnsi="Book Antiqua" w:cs="宋体" w:hint="eastAsia"/>
          <w:lang w:eastAsia="zh-CN"/>
        </w:rPr>
        <w:t>]</w:t>
      </w:r>
    </w:p>
    <w:p w14:paraId="2892A9BC" w14:textId="150EEBA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7 </w:t>
      </w:r>
      <w:r w:rsidRPr="00AB0E48">
        <w:rPr>
          <w:rFonts w:ascii="Book Antiqua" w:hAnsi="Book Antiqua" w:cs="宋体"/>
          <w:b/>
          <w:bCs/>
          <w:lang w:eastAsia="zh-CN"/>
        </w:rPr>
        <w:t>Castro-Marrero J</w:t>
      </w:r>
      <w:r w:rsidRPr="00AB0E48">
        <w:rPr>
          <w:rFonts w:ascii="Book Antiqua" w:hAnsi="Book Antiqua" w:cs="宋体"/>
          <w:lang w:eastAsia="zh-CN"/>
        </w:rPr>
        <w:t xml:space="preserve">, Balada E, Vilardell-Tarrés M, Ordi-Ros J. Genetic risk factors of thrombosis in the antiphospholipid syndrome. </w:t>
      </w:r>
      <w:r w:rsidRPr="00AB0E48">
        <w:rPr>
          <w:rFonts w:ascii="Book Antiqua" w:hAnsi="Book Antiqua" w:cs="宋体"/>
          <w:i/>
          <w:iCs/>
          <w:lang w:eastAsia="zh-CN"/>
        </w:rPr>
        <w:t>Br J Haematol</w:t>
      </w:r>
      <w:r w:rsidRPr="00AB0E48">
        <w:rPr>
          <w:rFonts w:ascii="Book Antiqua" w:hAnsi="Book Antiqua" w:cs="宋体"/>
          <w:lang w:eastAsia="zh-CN"/>
        </w:rPr>
        <w:t xml:space="preserve"> 2009; </w:t>
      </w:r>
      <w:r w:rsidRPr="00AB0E48">
        <w:rPr>
          <w:rFonts w:ascii="Book Antiqua" w:hAnsi="Book Antiqua" w:cs="宋体"/>
          <w:b/>
          <w:bCs/>
          <w:lang w:eastAsia="zh-CN"/>
        </w:rPr>
        <w:t>147</w:t>
      </w:r>
      <w:r w:rsidRPr="00AB0E48">
        <w:rPr>
          <w:rFonts w:ascii="Book Antiqua" w:hAnsi="Book Antiqua" w:cs="宋体"/>
          <w:lang w:eastAsia="zh-CN"/>
        </w:rPr>
        <w:t>: 289-296 [PMID: 19659549 DOI: 10.1016/S0889-857X(05)70219-2</w:t>
      </w:r>
      <w:r w:rsidR="00854FEB">
        <w:rPr>
          <w:rFonts w:ascii="Book Antiqua" w:hAnsi="Book Antiqua" w:cs="宋体"/>
          <w:lang w:eastAsia="zh-CN"/>
        </w:rPr>
        <w:t>]</w:t>
      </w:r>
    </w:p>
    <w:p w14:paraId="1D864753"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8 </w:t>
      </w:r>
      <w:r w:rsidRPr="00AB0E48">
        <w:rPr>
          <w:rFonts w:ascii="Book Antiqua" w:hAnsi="Book Antiqua" w:cs="宋体"/>
          <w:b/>
          <w:bCs/>
          <w:lang w:eastAsia="zh-CN"/>
        </w:rPr>
        <w:t>Gharavi AE</w:t>
      </w:r>
      <w:r w:rsidRPr="00AB0E48">
        <w:rPr>
          <w:rFonts w:ascii="Book Antiqua" w:hAnsi="Book Antiqua" w:cs="宋体"/>
          <w:lang w:eastAsia="zh-CN"/>
        </w:rPr>
        <w:t xml:space="preserve">, Pierangeli SS, Harris EN. Origin of antiphospholipid antibodies. </w:t>
      </w:r>
      <w:r w:rsidRPr="00AB0E48">
        <w:rPr>
          <w:rFonts w:ascii="Book Antiqua" w:hAnsi="Book Antiqua" w:cs="宋体"/>
          <w:i/>
          <w:iCs/>
          <w:lang w:eastAsia="zh-CN"/>
        </w:rPr>
        <w:t>Rheum Dis Clin North Am</w:t>
      </w:r>
      <w:r w:rsidRPr="00AB0E48">
        <w:rPr>
          <w:rFonts w:ascii="Book Antiqua" w:hAnsi="Book Antiqua" w:cs="宋体"/>
          <w:lang w:eastAsia="zh-CN"/>
        </w:rPr>
        <w:t xml:space="preserve"> 2001; </w:t>
      </w:r>
      <w:r w:rsidRPr="00AB0E48">
        <w:rPr>
          <w:rFonts w:ascii="Book Antiqua" w:hAnsi="Book Antiqua" w:cs="宋体"/>
          <w:b/>
          <w:bCs/>
          <w:lang w:eastAsia="zh-CN"/>
        </w:rPr>
        <w:t>27</w:t>
      </w:r>
      <w:r w:rsidRPr="00AB0E48">
        <w:rPr>
          <w:rFonts w:ascii="Book Antiqua" w:hAnsi="Book Antiqua" w:cs="宋体"/>
          <w:lang w:eastAsia="zh-CN"/>
        </w:rPr>
        <w:t>: 551-563 [PMID: 11534259]</w:t>
      </w:r>
    </w:p>
    <w:p w14:paraId="436AED34" w14:textId="5119D3E4"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9 </w:t>
      </w:r>
      <w:r w:rsidRPr="00AB0E48">
        <w:rPr>
          <w:rFonts w:ascii="Book Antiqua" w:hAnsi="Book Antiqua" w:cs="宋体"/>
          <w:b/>
          <w:bCs/>
          <w:lang w:eastAsia="zh-CN"/>
        </w:rPr>
        <w:t>Gharavi AE</w:t>
      </w:r>
      <w:r w:rsidRPr="00AB0E48">
        <w:rPr>
          <w:rFonts w:ascii="Book Antiqua" w:hAnsi="Book Antiqua" w:cs="宋体"/>
          <w:lang w:eastAsia="zh-CN"/>
        </w:rPr>
        <w:t xml:space="preserve">, Pierangeli SS, Harris EN. Viral origin of antiphospholipid antibodies: endothelial cell activation and thrombus enhancement by CMV peptide-induced APL antibodies. </w:t>
      </w:r>
      <w:r w:rsidRPr="00AB0E48">
        <w:rPr>
          <w:rFonts w:ascii="Book Antiqua" w:hAnsi="Book Antiqua" w:cs="宋体"/>
          <w:i/>
          <w:iCs/>
          <w:lang w:eastAsia="zh-CN"/>
        </w:rPr>
        <w:t>Immunobiology</w:t>
      </w:r>
      <w:r w:rsidRPr="00AB0E48">
        <w:rPr>
          <w:rFonts w:ascii="Book Antiqua" w:hAnsi="Book Antiqua" w:cs="宋体"/>
          <w:lang w:eastAsia="zh-CN"/>
        </w:rPr>
        <w:t xml:space="preserve"> 2003; </w:t>
      </w:r>
      <w:r w:rsidRPr="00AB0E48">
        <w:rPr>
          <w:rFonts w:ascii="Book Antiqua" w:hAnsi="Book Antiqua" w:cs="宋体"/>
          <w:b/>
          <w:bCs/>
          <w:lang w:eastAsia="zh-CN"/>
        </w:rPr>
        <w:t>207</w:t>
      </w:r>
      <w:r w:rsidRPr="00AB0E48">
        <w:rPr>
          <w:rFonts w:ascii="Book Antiqua" w:hAnsi="Book Antiqua" w:cs="宋体"/>
          <w:lang w:eastAsia="zh-CN"/>
        </w:rPr>
        <w:t>: 37-42 [PMID: 12638901 DOI: 10.1078/0171-2985-00216</w:t>
      </w:r>
      <w:r w:rsidR="00854FEB">
        <w:rPr>
          <w:rFonts w:ascii="Book Antiqua" w:hAnsi="Book Antiqua" w:cs="宋体"/>
          <w:lang w:eastAsia="zh-CN"/>
        </w:rPr>
        <w:t>]</w:t>
      </w:r>
    </w:p>
    <w:p w14:paraId="781ACA9D"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10 </w:t>
      </w:r>
      <w:r w:rsidRPr="00AB0E48">
        <w:rPr>
          <w:rFonts w:ascii="Book Antiqua" w:hAnsi="Book Antiqua" w:cs="宋体"/>
          <w:b/>
          <w:bCs/>
          <w:lang w:eastAsia="zh-CN"/>
        </w:rPr>
        <w:t>Hashimoto Y</w:t>
      </w:r>
      <w:r w:rsidRPr="00AB0E48">
        <w:rPr>
          <w:rFonts w:ascii="Book Antiqua" w:hAnsi="Book Antiqua" w:cs="宋体"/>
          <w:lang w:eastAsia="zh-CN"/>
        </w:rPr>
        <w:t xml:space="preserve">, Kawamura M, Ichikawa K, Suzuki T, Sumida T, Yoshida S, Matsuura E, Ikehara S, Koike T. Anticardiolipin antibodies in NZW x BXSB F1 mice. A model of antiphospholipid syndrome. </w:t>
      </w:r>
      <w:r w:rsidRPr="00AB0E48">
        <w:rPr>
          <w:rFonts w:ascii="Book Antiqua" w:hAnsi="Book Antiqua" w:cs="宋体"/>
          <w:i/>
          <w:iCs/>
          <w:lang w:eastAsia="zh-CN"/>
        </w:rPr>
        <w:t>J Immunol</w:t>
      </w:r>
      <w:r w:rsidRPr="00AB0E48">
        <w:rPr>
          <w:rFonts w:ascii="Book Antiqua" w:hAnsi="Book Antiqua" w:cs="宋体"/>
          <w:lang w:eastAsia="zh-CN"/>
        </w:rPr>
        <w:t xml:space="preserve"> 1992; </w:t>
      </w:r>
      <w:r w:rsidRPr="00AB0E48">
        <w:rPr>
          <w:rFonts w:ascii="Book Antiqua" w:hAnsi="Book Antiqua" w:cs="宋体"/>
          <w:b/>
          <w:bCs/>
          <w:lang w:eastAsia="zh-CN"/>
        </w:rPr>
        <w:t>149</w:t>
      </w:r>
      <w:r w:rsidRPr="00AB0E48">
        <w:rPr>
          <w:rFonts w:ascii="Book Antiqua" w:hAnsi="Book Antiqua" w:cs="宋体"/>
          <w:lang w:eastAsia="zh-CN"/>
        </w:rPr>
        <w:t>: 1063-1068 [PMID: 1634762]</w:t>
      </w:r>
    </w:p>
    <w:p w14:paraId="36DBEA5D" w14:textId="2358F458"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11 </w:t>
      </w:r>
      <w:r w:rsidRPr="00AB0E48">
        <w:rPr>
          <w:rFonts w:ascii="Book Antiqua" w:hAnsi="Book Antiqua" w:cs="宋体"/>
          <w:b/>
          <w:bCs/>
          <w:lang w:eastAsia="zh-CN"/>
        </w:rPr>
        <w:t>Hang LM</w:t>
      </w:r>
      <w:r w:rsidRPr="00AB0E48">
        <w:rPr>
          <w:rFonts w:ascii="Book Antiqua" w:hAnsi="Book Antiqua" w:cs="宋体"/>
          <w:lang w:eastAsia="zh-CN"/>
        </w:rPr>
        <w:t xml:space="preserve">, Izui S, Dixon FJ. (NZW x BXSB)F1 hybrid. A model of acute lupus and coronary vascular disease with myocardial infarction. </w:t>
      </w:r>
      <w:r w:rsidRPr="00AB0E48">
        <w:rPr>
          <w:rFonts w:ascii="Book Antiqua" w:hAnsi="Book Antiqua" w:cs="宋体"/>
          <w:i/>
          <w:iCs/>
          <w:lang w:eastAsia="zh-CN"/>
        </w:rPr>
        <w:t>J Exp Med</w:t>
      </w:r>
      <w:r w:rsidRPr="00AB0E48">
        <w:rPr>
          <w:rFonts w:ascii="Book Antiqua" w:hAnsi="Book Antiqua" w:cs="宋体"/>
          <w:lang w:eastAsia="zh-CN"/>
        </w:rPr>
        <w:t xml:space="preserve"> 1981; </w:t>
      </w:r>
      <w:r w:rsidRPr="00AB0E48">
        <w:rPr>
          <w:rFonts w:ascii="Book Antiqua" w:hAnsi="Book Antiqua" w:cs="宋体"/>
          <w:b/>
          <w:bCs/>
          <w:lang w:eastAsia="zh-CN"/>
        </w:rPr>
        <w:t>154</w:t>
      </w:r>
      <w:r w:rsidRPr="00AB0E48">
        <w:rPr>
          <w:rFonts w:ascii="Book Antiqua" w:hAnsi="Book Antiqua" w:cs="宋体"/>
          <w:lang w:eastAsia="zh-CN"/>
        </w:rPr>
        <w:t>: 216-221 [PMID: 7252427 DOI: 10.1084/jem.154.1.216</w:t>
      </w:r>
      <w:r w:rsidR="00854FEB">
        <w:rPr>
          <w:rFonts w:ascii="Book Antiqua" w:hAnsi="Book Antiqua" w:cs="宋体"/>
          <w:lang w:eastAsia="zh-CN"/>
        </w:rPr>
        <w:t>]</w:t>
      </w:r>
    </w:p>
    <w:p w14:paraId="2DBAB8E5" w14:textId="463E1A8C"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12 </w:t>
      </w:r>
      <w:r w:rsidRPr="00AB0E48">
        <w:rPr>
          <w:rFonts w:ascii="Book Antiqua" w:hAnsi="Book Antiqua" w:cs="宋体"/>
          <w:b/>
          <w:bCs/>
          <w:lang w:eastAsia="zh-CN"/>
        </w:rPr>
        <w:t>Oyaizu N</w:t>
      </w:r>
      <w:r w:rsidRPr="00AB0E48">
        <w:rPr>
          <w:rFonts w:ascii="Book Antiqua" w:hAnsi="Book Antiqua" w:cs="宋体"/>
          <w:lang w:eastAsia="zh-CN"/>
        </w:rPr>
        <w:t xml:space="preserve">, Yasumizu R, Miyama-Inaba M, Nomura S, Yoshida H, Miyawaki S, Shibata Y, Mitsuoka S, Yasunaga K, Morii S. (NZW x BXSB)F1 mouse. A new animal model of idiopathic thrombocytopenic purpura. </w:t>
      </w:r>
      <w:r w:rsidRPr="00AB0E48">
        <w:rPr>
          <w:rFonts w:ascii="Book Antiqua" w:hAnsi="Book Antiqua" w:cs="宋体"/>
          <w:i/>
          <w:iCs/>
          <w:lang w:eastAsia="zh-CN"/>
        </w:rPr>
        <w:t>J Exp Med</w:t>
      </w:r>
      <w:r w:rsidRPr="00AB0E48">
        <w:rPr>
          <w:rFonts w:ascii="Book Antiqua" w:hAnsi="Book Antiqua" w:cs="宋体"/>
          <w:lang w:eastAsia="zh-CN"/>
        </w:rPr>
        <w:t xml:space="preserve"> 1988; </w:t>
      </w:r>
      <w:r w:rsidRPr="00AB0E48">
        <w:rPr>
          <w:rFonts w:ascii="Book Antiqua" w:hAnsi="Book Antiqua" w:cs="宋体"/>
          <w:b/>
          <w:bCs/>
          <w:lang w:eastAsia="zh-CN"/>
        </w:rPr>
        <w:t>167</w:t>
      </w:r>
      <w:r w:rsidRPr="00AB0E48">
        <w:rPr>
          <w:rFonts w:ascii="Book Antiqua" w:hAnsi="Book Antiqua" w:cs="宋体"/>
          <w:lang w:eastAsia="zh-CN"/>
        </w:rPr>
        <w:t>: 2017-2022 [PMID: 3290385 DOI: 10.1084/jem.167.6.2017</w:t>
      </w:r>
      <w:r w:rsidR="00854FEB">
        <w:rPr>
          <w:rFonts w:ascii="Book Antiqua" w:hAnsi="Book Antiqua" w:cs="宋体"/>
          <w:lang w:eastAsia="zh-CN"/>
        </w:rPr>
        <w:t>]</w:t>
      </w:r>
    </w:p>
    <w:p w14:paraId="6F53EB20"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13 </w:t>
      </w:r>
      <w:r w:rsidRPr="00AB0E48">
        <w:rPr>
          <w:rFonts w:ascii="Book Antiqua" w:hAnsi="Book Antiqua" w:cs="宋体"/>
          <w:b/>
          <w:bCs/>
          <w:lang w:eastAsia="zh-CN"/>
        </w:rPr>
        <w:t>Kita Y</w:t>
      </w:r>
      <w:r w:rsidRPr="00AB0E48">
        <w:rPr>
          <w:rFonts w:ascii="Book Antiqua" w:hAnsi="Book Antiqua" w:cs="宋体"/>
          <w:lang w:eastAsia="zh-CN"/>
        </w:rPr>
        <w:t xml:space="preserve">, Sumida T, Iwamoto I, Yoshida S, Koike T. V gene analysis of anti-cardiolipin antibodies from (NZW x BXSB) F1 mice. </w:t>
      </w:r>
      <w:r w:rsidRPr="00AB0E48">
        <w:rPr>
          <w:rFonts w:ascii="Book Antiqua" w:hAnsi="Book Antiqua" w:cs="宋体"/>
          <w:i/>
          <w:iCs/>
          <w:lang w:eastAsia="zh-CN"/>
        </w:rPr>
        <w:t>Immunology</w:t>
      </w:r>
      <w:r w:rsidRPr="00AB0E48">
        <w:rPr>
          <w:rFonts w:ascii="Book Antiqua" w:hAnsi="Book Antiqua" w:cs="宋体"/>
          <w:lang w:eastAsia="zh-CN"/>
        </w:rPr>
        <w:t xml:space="preserve"> 1994; </w:t>
      </w:r>
      <w:r w:rsidRPr="00AB0E48">
        <w:rPr>
          <w:rFonts w:ascii="Book Antiqua" w:hAnsi="Book Antiqua" w:cs="宋体"/>
          <w:b/>
          <w:bCs/>
          <w:lang w:eastAsia="zh-CN"/>
        </w:rPr>
        <w:t>82</w:t>
      </w:r>
      <w:r w:rsidRPr="00AB0E48">
        <w:rPr>
          <w:rFonts w:ascii="Book Antiqua" w:hAnsi="Book Antiqua" w:cs="宋体"/>
          <w:lang w:eastAsia="zh-CN"/>
        </w:rPr>
        <w:t>: 494-501 [PMID: 7959886]</w:t>
      </w:r>
    </w:p>
    <w:p w14:paraId="017024D6"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14 </w:t>
      </w:r>
      <w:r w:rsidRPr="00AB0E48">
        <w:rPr>
          <w:rFonts w:ascii="Book Antiqua" w:hAnsi="Book Antiqua" w:cs="宋体"/>
          <w:b/>
          <w:bCs/>
          <w:lang w:eastAsia="zh-CN"/>
        </w:rPr>
        <w:t>Kita Y</w:t>
      </w:r>
      <w:r w:rsidRPr="00AB0E48">
        <w:rPr>
          <w:rFonts w:ascii="Book Antiqua" w:hAnsi="Book Antiqua" w:cs="宋体"/>
          <w:lang w:eastAsia="zh-CN"/>
        </w:rPr>
        <w:t xml:space="preserve">, Sumida T, Ichikawa K, Maeda T, Yonaha F, Iwamoto I, Yoshida S, Koike T. V gene analysis of anticardiolipin antibodies from MRL-lpr/lpr mice. </w:t>
      </w:r>
      <w:r w:rsidRPr="00AB0E48">
        <w:rPr>
          <w:rFonts w:ascii="Book Antiqua" w:hAnsi="Book Antiqua" w:cs="宋体"/>
          <w:i/>
          <w:iCs/>
          <w:lang w:eastAsia="zh-CN"/>
        </w:rPr>
        <w:t>J Immunol</w:t>
      </w:r>
      <w:r w:rsidRPr="00AB0E48">
        <w:rPr>
          <w:rFonts w:ascii="Book Antiqua" w:hAnsi="Book Antiqua" w:cs="宋体"/>
          <w:lang w:eastAsia="zh-CN"/>
        </w:rPr>
        <w:t xml:space="preserve"> 1993; </w:t>
      </w:r>
      <w:r w:rsidRPr="00AB0E48">
        <w:rPr>
          <w:rFonts w:ascii="Book Antiqua" w:hAnsi="Book Antiqua" w:cs="宋体"/>
          <w:b/>
          <w:bCs/>
          <w:lang w:eastAsia="zh-CN"/>
        </w:rPr>
        <w:t>151</w:t>
      </w:r>
      <w:r w:rsidRPr="00AB0E48">
        <w:rPr>
          <w:rFonts w:ascii="Book Antiqua" w:hAnsi="Book Antiqua" w:cs="宋体"/>
          <w:lang w:eastAsia="zh-CN"/>
        </w:rPr>
        <w:t>: 849-856 [PMID: 8335914]</w:t>
      </w:r>
    </w:p>
    <w:p w14:paraId="4641E31C" w14:textId="6461F5BA"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15 </w:t>
      </w:r>
      <w:r w:rsidRPr="00AB0E48">
        <w:rPr>
          <w:rFonts w:ascii="Book Antiqua" w:hAnsi="Book Antiqua" w:cs="宋体"/>
          <w:b/>
          <w:bCs/>
          <w:lang w:eastAsia="zh-CN"/>
        </w:rPr>
        <w:t>Ahmed SA</w:t>
      </w:r>
      <w:r w:rsidRPr="00AB0E48">
        <w:rPr>
          <w:rFonts w:ascii="Book Antiqua" w:hAnsi="Book Antiqua" w:cs="宋体"/>
          <w:lang w:eastAsia="zh-CN"/>
        </w:rPr>
        <w:t xml:space="preserve">, Verthelyi D. Antibodies to cardiolipin in normal C57BL/6J mice: induction by estrogen but not dihydrotestosterone. </w:t>
      </w:r>
      <w:r w:rsidRPr="00AB0E48">
        <w:rPr>
          <w:rFonts w:ascii="Book Antiqua" w:hAnsi="Book Antiqua" w:cs="宋体"/>
          <w:i/>
          <w:iCs/>
          <w:lang w:eastAsia="zh-CN"/>
        </w:rPr>
        <w:t>J Autoimmun</w:t>
      </w:r>
      <w:r w:rsidRPr="00AB0E48">
        <w:rPr>
          <w:rFonts w:ascii="Book Antiqua" w:hAnsi="Book Antiqua" w:cs="宋体"/>
          <w:lang w:eastAsia="zh-CN"/>
        </w:rPr>
        <w:t xml:space="preserve"> 1993; </w:t>
      </w:r>
      <w:r w:rsidRPr="00AB0E48">
        <w:rPr>
          <w:rFonts w:ascii="Book Antiqua" w:hAnsi="Book Antiqua" w:cs="宋体"/>
          <w:b/>
          <w:bCs/>
          <w:lang w:eastAsia="zh-CN"/>
        </w:rPr>
        <w:t>6</w:t>
      </w:r>
      <w:r w:rsidRPr="00AB0E48">
        <w:rPr>
          <w:rFonts w:ascii="Book Antiqua" w:hAnsi="Book Antiqua" w:cs="宋体"/>
          <w:lang w:eastAsia="zh-CN"/>
        </w:rPr>
        <w:t>: 265-279 [PMID: 8397711 DOI: 10.1006/jaut.1993.1023</w:t>
      </w:r>
      <w:r w:rsidR="00854FEB">
        <w:rPr>
          <w:rFonts w:ascii="Book Antiqua" w:hAnsi="Book Antiqua" w:cs="宋体"/>
          <w:lang w:eastAsia="zh-CN"/>
        </w:rPr>
        <w:t>]</w:t>
      </w:r>
    </w:p>
    <w:p w14:paraId="68B279F2" w14:textId="777AA283"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16 </w:t>
      </w:r>
      <w:r w:rsidRPr="00AB0E48">
        <w:rPr>
          <w:rFonts w:ascii="Book Antiqua" w:hAnsi="Book Antiqua" w:cs="宋体"/>
          <w:b/>
          <w:bCs/>
          <w:lang w:eastAsia="zh-CN"/>
        </w:rPr>
        <w:t>Verthelyi D</w:t>
      </w:r>
      <w:r w:rsidRPr="00AB0E48">
        <w:rPr>
          <w:rFonts w:ascii="Book Antiqua" w:hAnsi="Book Antiqua" w:cs="宋体"/>
          <w:lang w:eastAsia="zh-CN"/>
        </w:rPr>
        <w:t xml:space="preserve">, Ansar Ahmed S. Characterization of estrogen-induced autoantibodies to cardiolipin in non-autoimmune mice. </w:t>
      </w:r>
      <w:r w:rsidRPr="00AB0E48">
        <w:rPr>
          <w:rFonts w:ascii="Book Antiqua" w:hAnsi="Book Antiqua" w:cs="宋体"/>
          <w:i/>
          <w:iCs/>
          <w:lang w:eastAsia="zh-CN"/>
        </w:rPr>
        <w:t>J Autoimmun</w:t>
      </w:r>
      <w:r w:rsidRPr="00AB0E48">
        <w:rPr>
          <w:rFonts w:ascii="Book Antiqua" w:hAnsi="Book Antiqua" w:cs="宋体"/>
          <w:lang w:eastAsia="zh-CN"/>
        </w:rPr>
        <w:t xml:space="preserve"> 1997; </w:t>
      </w:r>
      <w:r w:rsidRPr="00AB0E48">
        <w:rPr>
          <w:rFonts w:ascii="Book Antiqua" w:hAnsi="Book Antiqua" w:cs="宋体"/>
          <w:b/>
          <w:bCs/>
          <w:lang w:eastAsia="zh-CN"/>
        </w:rPr>
        <w:t>10</w:t>
      </w:r>
      <w:r w:rsidRPr="00AB0E48">
        <w:rPr>
          <w:rFonts w:ascii="Book Antiqua" w:hAnsi="Book Antiqua" w:cs="宋体"/>
          <w:lang w:eastAsia="zh-CN"/>
        </w:rPr>
        <w:t>: 115-125 [PMID: 9185873 DOI: 10.1006/jaut.1996.0121</w:t>
      </w:r>
      <w:r w:rsidR="00854FEB">
        <w:rPr>
          <w:rFonts w:ascii="Book Antiqua" w:hAnsi="Book Antiqua" w:cs="宋体"/>
          <w:lang w:eastAsia="zh-CN"/>
        </w:rPr>
        <w:t>]</w:t>
      </w:r>
    </w:p>
    <w:p w14:paraId="21FD16E0"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17 </w:t>
      </w:r>
      <w:r w:rsidRPr="00AB0E48">
        <w:rPr>
          <w:rFonts w:ascii="Book Antiqua" w:hAnsi="Book Antiqua" w:cs="宋体"/>
          <w:b/>
          <w:bCs/>
          <w:lang w:eastAsia="zh-CN"/>
        </w:rPr>
        <w:t>Gharavi AE</w:t>
      </w:r>
      <w:r w:rsidRPr="00AB0E48">
        <w:rPr>
          <w:rFonts w:ascii="Book Antiqua" w:hAnsi="Book Antiqua" w:cs="宋体"/>
          <w:lang w:eastAsia="zh-CN"/>
        </w:rPr>
        <w:t xml:space="preserve">, Mellors RC, Elkon KB. IgG anti-cardiolipin antibodies in murine lupus. </w:t>
      </w:r>
      <w:r w:rsidRPr="00AB0E48">
        <w:rPr>
          <w:rFonts w:ascii="Book Antiqua" w:hAnsi="Book Antiqua" w:cs="宋体"/>
          <w:i/>
          <w:iCs/>
          <w:lang w:eastAsia="zh-CN"/>
        </w:rPr>
        <w:t>Clin Exp Immunol</w:t>
      </w:r>
      <w:r w:rsidRPr="00AB0E48">
        <w:rPr>
          <w:rFonts w:ascii="Book Antiqua" w:hAnsi="Book Antiqua" w:cs="宋体"/>
          <w:lang w:eastAsia="zh-CN"/>
        </w:rPr>
        <w:t xml:space="preserve"> 1989; </w:t>
      </w:r>
      <w:r w:rsidRPr="00AB0E48">
        <w:rPr>
          <w:rFonts w:ascii="Book Antiqua" w:hAnsi="Book Antiqua" w:cs="宋体"/>
          <w:b/>
          <w:bCs/>
          <w:lang w:eastAsia="zh-CN"/>
        </w:rPr>
        <w:t>78</w:t>
      </w:r>
      <w:r w:rsidRPr="00AB0E48">
        <w:rPr>
          <w:rFonts w:ascii="Book Antiqua" w:hAnsi="Book Antiqua" w:cs="宋体"/>
          <w:lang w:eastAsia="zh-CN"/>
        </w:rPr>
        <w:t>: 233-238 [PMID: 12412755]</w:t>
      </w:r>
    </w:p>
    <w:p w14:paraId="056360AD"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18 </w:t>
      </w:r>
      <w:r w:rsidRPr="00AB0E48">
        <w:rPr>
          <w:rFonts w:ascii="Book Antiqua" w:hAnsi="Book Antiqua" w:cs="宋体"/>
          <w:b/>
          <w:bCs/>
          <w:lang w:eastAsia="zh-CN"/>
        </w:rPr>
        <w:t>Ida A</w:t>
      </w:r>
      <w:r w:rsidRPr="00AB0E48">
        <w:rPr>
          <w:rFonts w:ascii="Book Antiqua" w:hAnsi="Book Antiqua" w:cs="宋体"/>
          <w:lang w:eastAsia="zh-CN"/>
        </w:rPr>
        <w:t xml:space="preserve">, Hirose S, Hamano Y, Kodera S, Jiang Y, Abe M, Zhang D, Nishimura H, Shirai T. Multigenic control of lupus-associated antiphospholipid syndrome in a model of (NZW x BXSB) F1 mice. </w:t>
      </w:r>
      <w:r w:rsidRPr="00AB0E48">
        <w:rPr>
          <w:rFonts w:ascii="Book Antiqua" w:hAnsi="Book Antiqua" w:cs="宋体"/>
          <w:i/>
          <w:iCs/>
          <w:lang w:eastAsia="zh-CN"/>
        </w:rPr>
        <w:t>Eur J Immunol</w:t>
      </w:r>
      <w:r w:rsidRPr="00AB0E48">
        <w:rPr>
          <w:rFonts w:ascii="Book Antiqua" w:hAnsi="Book Antiqua" w:cs="宋体"/>
          <w:lang w:eastAsia="zh-CN"/>
        </w:rPr>
        <w:t xml:space="preserve"> 1998; </w:t>
      </w:r>
      <w:r w:rsidRPr="00AB0E48">
        <w:rPr>
          <w:rFonts w:ascii="Book Antiqua" w:hAnsi="Book Antiqua" w:cs="宋体"/>
          <w:b/>
          <w:bCs/>
          <w:lang w:eastAsia="zh-CN"/>
        </w:rPr>
        <w:t>28</w:t>
      </w:r>
      <w:r w:rsidRPr="00AB0E48">
        <w:rPr>
          <w:rFonts w:ascii="Book Antiqua" w:hAnsi="Book Antiqua" w:cs="宋体"/>
          <w:lang w:eastAsia="zh-CN"/>
        </w:rPr>
        <w:t>: 2694-2703 [PMID: 9754557]</w:t>
      </w:r>
    </w:p>
    <w:p w14:paraId="50808365"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19 </w:t>
      </w:r>
      <w:r w:rsidRPr="00AB0E48">
        <w:rPr>
          <w:rFonts w:ascii="Book Antiqua" w:hAnsi="Book Antiqua" w:cs="宋体"/>
          <w:b/>
          <w:bCs/>
          <w:lang w:eastAsia="zh-CN"/>
        </w:rPr>
        <w:t>Izui S</w:t>
      </w:r>
      <w:r w:rsidRPr="00AB0E48">
        <w:rPr>
          <w:rFonts w:ascii="Book Antiqua" w:hAnsi="Book Antiqua" w:cs="宋体"/>
          <w:lang w:eastAsia="zh-CN"/>
        </w:rPr>
        <w:t xml:space="preserve">, Masuda K, Yoshida H. Acute SLE in F1 hybrids between SB/Le and NZW mice; prominently enhanced formation of gp70 immune complexes by a Y chromosome-associated factor from SB/Le mice. </w:t>
      </w:r>
      <w:r w:rsidRPr="00AB0E48">
        <w:rPr>
          <w:rFonts w:ascii="Book Antiqua" w:hAnsi="Book Antiqua" w:cs="宋体"/>
          <w:i/>
          <w:iCs/>
          <w:lang w:eastAsia="zh-CN"/>
        </w:rPr>
        <w:t>J Immunol</w:t>
      </w:r>
      <w:r w:rsidRPr="00AB0E48">
        <w:rPr>
          <w:rFonts w:ascii="Book Antiqua" w:hAnsi="Book Antiqua" w:cs="宋体"/>
          <w:lang w:eastAsia="zh-CN"/>
        </w:rPr>
        <w:t xml:space="preserve"> 1984; </w:t>
      </w:r>
      <w:r w:rsidRPr="00AB0E48">
        <w:rPr>
          <w:rFonts w:ascii="Book Antiqua" w:hAnsi="Book Antiqua" w:cs="宋体"/>
          <w:b/>
          <w:bCs/>
          <w:lang w:eastAsia="zh-CN"/>
        </w:rPr>
        <w:t>132</w:t>
      </w:r>
      <w:r w:rsidRPr="00AB0E48">
        <w:rPr>
          <w:rFonts w:ascii="Book Antiqua" w:hAnsi="Book Antiqua" w:cs="宋体"/>
          <w:lang w:eastAsia="zh-CN"/>
        </w:rPr>
        <w:t>: 701-704 [PMID: 6690614]</w:t>
      </w:r>
    </w:p>
    <w:p w14:paraId="6D3D9C85" w14:textId="053667D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20 </w:t>
      </w:r>
      <w:r w:rsidRPr="00AB0E48">
        <w:rPr>
          <w:rFonts w:ascii="Book Antiqua" w:hAnsi="Book Antiqua" w:cs="宋体"/>
          <w:b/>
          <w:bCs/>
          <w:lang w:eastAsia="zh-CN"/>
        </w:rPr>
        <w:t>Izui S</w:t>
      </w:r>
      <w:r w:rsidRPr="00AB0E48">
        <w:rPr>
          <w:rFonts w:ascii="Book Antiqua" w:hAnsi="Book Antiqua" w:cs="宋体"/>
          <w:lang w:eastAsia="zh-CN"/>
        </w:rPr>
        <w:t xml:space="preserve">, Higaki M, Morrow D, Merino R. The Y chromosome from autoimmune BXSB/MpJ mice induces a lupus-like syndrome in (NZW x C57BL/6)F1 male mice, but not in C57BL/6 male mice. </w:t>
      </w:r>
      <w:r w:rsidRPr="00AB0E48">
        <w:rPr>
          <w:rFonts w:ascii="Book Antiqua" w:hAnsi="Book Antiqua" w:cs="宋体"/>
          <w:i/>
          <w:iCs/>
          <w:lang w:eastAsia="zh-CN"/>
        </w:rPr>
        <w:t>Eur J Immunol</w:t>
      </w:r>
      <w:r w:rsidRPr="00AB0E48">
        <w:rPr>
          <w:rFonts w:ascii="Book Antiqua" w:hAnsi="Book Antiqua" w:cs="宋体"/>
          <w:lang w:eastAsia="zh-CN"/>
        </w:rPr>
        <w:t xml:space="preserve"> 1988; </w:t>
      </w:r>
      <w:r w:rsidRPr="00AB0E48">
        <w:rPr>
          <w:rFonts w:ascii="Book Antiqua" w:hAnsi="Book Antiqua" w:cs="宋体"/>
          <w:b/>
          <w:bCs/>
          <w:lang w:eastAsia="zh-CN"/>
        </w:rPr>
        <w:t>18</w:t>
      </w:r>
      <w:r w:rsidRPr="00AB0E48">
        <w:rPr>
          <w:rFonts w:ascii="Book Antiqua" w:hAnsi="Book Antiqua" w:cs="宋体"/>
          <w:lang w:eastAsia="zh-CN"/>
        </w:rPr>
        <w:t>: 911-915 [PMID: 3260184 DOI: 10.1002/eji.1830180612</w:t>
      </w:r>
      <w:r w:rsidR="00854FEB">
        <w:rPr>
          <w:rFonts w:ascii="Book Antiqua" w:hAnsi="Book Antiqua" w:cs="宋体"/>
          <w:lang w:eastAsia="zh-CN"/>
        </w:rPr>
        <w:t>]</w:t>
      </w:r>
    </w:p>
    <w:p w14:paraId="6FAA8A8E" w14:textId="5F790D30"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lang w:eastAsia="zh-CN"/>
        </w:rPr>
        <w:t xml:space="preserve">21 </w:t>
      </w:r>
      <w:r w:rsidRPr="00854FEB">
        <w:rPr>
          <w:rFonts w:ascii="Book Antiqua" w:hAnsi="Book Antiqua" w:cs="宋体"/>
          <w:b/>
          <w:lang w:eastAsia="zh-CN"/>
        </w:rPr>
        <w:t>Papalardo ER</w:t>
      </w:r>
      <w:r w:rsidR="00AB0E48" w:rsidRPr="00854FEB">
        <w:rPr>
          <w:rFonts w:ascii="Book Antiqua" w:hAnsi="Book Antiqua" w:cs="宋体"/>
          <w:b/>
          <w:lang w:eastAsia="zh-CN"/>
        </w:rPr>
        <w:t>PZ</w:t>
      </w:r>
      <w:r w:rsidR="00AB0E48" w:rsidRPr="00AB0E48">
        <w:rPr>
          <w:rFonts w:ascii="Book Antiqua" w:hAnsi="Book Antiqua" w:cs="宋体"/>
          <w:lang w:eastAsia="zh-CN"/>
        </w:rPr>
        <w:t>, Christadoss P, Pierangeli S. Induction of pathogenic antiphospholipid antibodies in vivo are dependent on expression of MHC-II genes. In: Pierangeli S, ed. International Congress on Antiphospholipid Antib</w:t>
      </w:r>
      <w:r>
        <w:rPr>
          <w:rFonts w:ascii="Book Antiqua" w:hAnsi="Book Antiqua" w:cs="宋体"/>
          <w:lang w:eastAsia="zh-CN"/>
        </w:rPr>
        <w:t>odies. Vol 19. Galveston, Texas</w:t>
      </w:r>
      <w:r w:rsidR="00AB0E48" w:rsidRPr="00AB0E48">
        <w:rPr>
          <w:rFonts w:ascii="Book Antiqua" w:hAnsi="Book Antiqua" w:cs="宋体"/>
          <w:lang w:eastAsia="zh-CN"/>
        </w:rPr>
        <w:t>: Lupus</w:t>
      </w:r>
      <w:r>
        <w:rPr>
          <w:rFonts w:ascii="Book Antiqua" w:hAnsi="Book Antiqua" w:cs="宋体" w:hint="eastAsia"/>
          <w:lang w:eastAsia="zh-CN"/>
        </w:rPr>
        <w:t>,</w:t>
      </w:r>
      <w:r>
        <w:rPr>
          <w:rFonts w:ascii="Book Antiqua" w:hAnsi="Book Antiqua" w:cs="宋体"/>
          <w:lang w:eastAsia="zh-CN"/>
        </w:rPr>
        <w:t xml:space="preserve"> 2010: 496</w:t>
      </w:r>
    </w:p>
    <w:p w14:paraId="7C926D88"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22 </w:t>
      </w:r>
      <w:r w:rsidRPr="00AB0E48">
        <w:rPr>
          <w:rFonts w:ascii="Book Antiqua" w:hAnsi="Book Antiqua" w:cs="宋体"/>
          <w:b/>
          <w:bCs/>
          <w:lang w:eastAsia="zh-CN"/>
        </w:rPr>
        <w:t>Harvey AM</w:t>
      </w:r>
      <w:r w:rsidRPr="00AB0E48">
        <w:rPr>
          <w:rFonts w:ascii="Book Antiqua" w:hAnsi="Book Antiqua" w:cs="宋体"/>
          <w:lang w:eastAsia="zh-CN"/>
        </w:rPr>
        <w:t xml:space="preserve">, Shulman LE. Connective tissue disease and the chronic biologic false-positive test for syphilis (BFP reaction). </w:t>
      </w:r>
      <w:r w:rsidRPr="00AB0E48">
        <w:rPr>
          <w:rFonts w:ascii="Book Antiqua" w:hAnsi="Book Antiqua" w:cs="宋体"/>
          <w:i/>
          <w:iCs/>
          <w:lang w:eastAsia="zh-CN"/>
        </w:rPr>
        <w:t>Med Clin North Am</w:t>
      </w:r>
      <w:r w:rsidRPr="00AB0E48">
        <w:rPr>
          <w:rFonts w:ascii="Book Antiqua" w:hAnsi="Book Antiqua" w:cs="宋体"/>
          <w:lang w:eastAsia="zh-CN"/>
        </w:rPr>
        <w:t xml:space="preserve"> 1966; </w:t>
      </w:r>
      <w:r w:rsidRPr="00AB0E48">
        <w:rPr>
          <w:rFonts w:ascii="Book Antiqua" w:hAnsi="Book Antiqua" w:cs="宋体"/>
          <w:b/>
          <w:bCs/>
          <w:lang w:eastAsia="zh-CN"/>
        </w:rPr>
        <w:t>50</w:t>
      </w:r>
      <w:r w:rsidRPr="00AB0E48">
        <w:rPr>
          <w:rFonts w:ascii="Book Antiqua" w:hAnsi="Book Antiqua" w:cs="宋体"/>
          <w:lang w:eastAsia="zh-CN"/>
        </w:rPr>
        <w:t>: 1271-1279 [PMID: 6013230]</w:t>
      </w:r>
    </w:p>
    <w:p w14:paraId="1880F5AB" w14:textId="41D5EFC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23 </w:t>
      </w:r>
      <w:r w:rsidRPr="00AB0E48">
        <w:rPr>
          <w:rFonts w:ascii="Book Antiqua" w:hAnsi="Book Antiqua" w:cs="宋体"/>
          <w:b/>
          <w:bCs/>
          <w:lang w:eastAsia="zh-CN"/>
        </w:rPr>
        <w:t>Exner T</w:t>
      </w:r>
      <w:r w:rsidRPr="00AB0E48">
        <w:rPr>
          <w:rFonts w:ascii="Book Antiqua" w:hAnsi="Book Antiqua" w:cs="宋体"/>
          <w:lang w:eastAsia="zh-CN"/>
        </w:rPr>
        <w:t xml:space="preserve">, Barber S, Kronenberg H, Rickard KA. Familial association of the lupus anticoagulant. </w:t>
      </w:r>
      <w:r w:rsidRPr="00AB0E48">
        <w:rPr>
          <w:rFonts w:ascii="Book Antiqua" w:hAnsi="Book Antiqua" w:cs="宋体"/>
          <w:i/>
          <w:iCs/>
          <w:lang w:eastAsia="zh-CN"/>
        </w:rPr>
        <w:t>Br J Haematol</w:t>
      </w:r>
      <w:r w:rsidRPr="00AB0E48">
        <w:rPr>
          <w:rFonts w:ascii="Book Antiqua" w:hAnsi="Book Antiqua" w:cs="宋体"/>
          <w:lang w:eastAsia="zh-CN"/>
        </w:rPr>
        <w:t xml:space="preserve"> 1980; </w:t>
      </w:r>
      <w:r w:rsidRPr="00AB0E48">
        <w:rPr>
          <w:rFonts w:ascii="Book Antiqua" w:hAnsi="Book Antiqua" w:cs="宋体"/>
          <w:b/>
          <w:bCs/>
          <w:lang w:eastAsia="zh-CN"/>
        </w:rPr>
        <w:t>45</w:t>
      </w:r>
      <w:r w:rsidRPr="00AB0E48">
        <w:rPr>
          <w:rFonts w:ascii="Book Antiqua" w:hAnsi="Book Antiqua" w:cs="宋体"/>
          <w:lang w:eastAsia="zh-CN"/>
        </w:rPr>
        <w:t>: 89-96 [PMID: 7378333 DOI: 10.1111/j.1365-2141.1980.tb03814.x</w:t>
      </w:r>
      <w:r w:rsidR="00854FEB">
        <w:rPr>
          <w:rFonts w:ascii="Book Antiqua" w:hAnsi="Book Antiqua" w:cs="宋体"/>
          <w:lang w:eastAsia="zh-CN"/>
        </w:rPr>
        <w:t>]</w:t>
      </w:r>
    </w:p>
    <w:p w14:paraId="265D4CF5" w14:textId="21F8E3F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24 </w:t>
      </w:r>
      <w:r w:rsidRPr="00AB0E48">
        <w:rPr>
          <w:rFonts w:ascii="Book Antiqua" w:hAnsi="Book Antiqua" w:cs="宋体"/>
          <w:b/>
          <w:bCs/>
          <w:lang w:eastAsia="zh-CN"/>
        </w:rPr>
        <w:t>Jolidon RM</w:t>
      </w:r>
      <w:r w:rsidRPr="00AB0E48">
        <w:rPr>
          <w:rFonts w:ascii="Book Antiqua" w:hAnsi="Book Antiqua" w:cs="宋体"/>
          <w:lang w:eastAsia="zh-CN"/>
        </w:rPr>
        <w:t xml:space="preserve">, Knecht H, Humair L, de Torrente A. Different clinical presentations of a lupus anticoagulant in the same family. </w:t>
      </w:r>
      <w:r w:rsidRPr="00AB0E48">
        <w:rPr>
          <w:rFonts w:ascii="Book Antiqua" w:hAnsi="Book Antiqua" w:cs="宋体"/>
          <w:i/>
          <w:iCs/>
          <w:lang w:eastAsia="zh-CN"/>
        </w:rPr>
        <w:t>Klin Wochenschr</w:t>
      </w:r>
      <w:r w:rsidRPr="00AB0E48">
        <w:rPr>
          <w:rFonts w:ascii="Book Antiqua" w:hAnsi="Book Antiqua" w:cs="宋体"/>
          <w:lang w:eastAsia="zh-CN"/>
        </w:rPr>
        <w:t xml:space="preserve"> 1991; </w:t>
      </w:r>
      <w:r w:rsidRPr="00AB0E48">
        <w:rPr>
          <w:rFonts w:ascii="Book Antiqua" w:hAnsi="Book Antiqua" w:cs="宋体"/>
          <w:b/>
          <w:bCs/>
          <w:lang w:eastAsia="zh-CN"/>
        </w:rPr>
        <w:t>69</w:t>
      </w:r>
      <w:r w:rsidRPr="00AB0E48">
        <w:rPr>
          <w:rFonts w:ascii="Book Antiqua" w:hAnsi="Book Antiqua" w:cs="宋体"/>
          <w:lang w:eastAsia="zh-CN"/>
        </w:rPr>
        <w:t>: 340-344 [PMID: 1909397 DOI: 10.1007/BF02115779</w:t>
      </w:r>
      <w:r w:rsidR="00854FEB">
        <w:rPr>
          <w:rFonts w:ascii="Book Antiqua" w:hAnsi="Book Antiqua" w:cs="宋体"/>
          <w:lang w:eastAsia="zh-CN"/>
        </w:rPr>
        <w:t>]</w:t>
      </w:r>
    </w:p>
    <w:p w14:paraId="645E1071"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25 </w:t>
      </w:r>
      <w:r w:rsidRPr="00AB0E48">
        <w:rPr>
          <w:rFonts w:ascii="Book Antiqua" w:hAnsi="Book Antiqua" w:cs="宋体"/>
          <w:b/>
          <w:bCs/>
          <w:lang w:eastAsia="zh-CN"/>
        </w:rPr>
        <w:t>Mackworth-Young C</w:t>
      </w:r>
      <w:r w:rsidRPr="00AB0E48">
        <w:rPr>
          <w:rFonts w:ascii="Book Antiqua" w:hAnsi="Book Antiqua" w:cs="宋体"/>
          <w:lang w:eastAsia="zh-CN"/>
        </w:rPr>
        <w:t xml:space="preserve">, Chan J, Harris N, Walport M, Bernstein R, Batchelor R, Hughes G, Gharavi A. High incidence of anticardiolipin antibodies in relatives of patients with systemic lupus erythematosus. </w:t>
      </w:r>
      <w:r w:rsidRPr="00AB0E48">
        <w:rPr>
          <w:rFonts w:ascii="Book Antiqua" w:hAnsi="Book Antiqua" w:cs="宋体"/>
          <w:i/>
          <w:iCs/>
          <w:lang w:eastAsia="zh-CN"/>
        </w:rPr>
        <w:t>J Rheumatol</w:t>
      </w:r>
      <w:r w:rsidRPr="00AB0E48">
        <w:rPr>
          <w:rFonts w:ascii="Book Antiqua" w:hAnsi="Book Antiqua" w:cs="宋体"/>
          <w:lang w:eastAsia="zh-CN"/>
        </w:rPr>
        <w:t xml:space="preserve"> 1987; </w:t>
      </w:r>
      <w:r w:rsidRPr="00AB0E48">
        <w:rPr>
          <w:rFonts w:ascii="Book Antiqua" w:hAnsi="Book Antiqua" w:cs="宋体"/>
          <w:b/>
          <w:bCs/>
          <w:lang w:eastAsia="zh-CN"/>
        </w:rPr>
        <w:t>14</w:t>
      </w:r>
      <w:r w:rsidRPr="00AB0E48">
        <w:rPr>
          <w:rFonts w:ascii="Book Antiqua" w:hAnsi="Book Antiqua" w:cs="宋体"/>
          <w:lang w:eastAsia="zh-CN"/>
        </w:rPr>
        <w:t>: 723-726 [PMID: 3668978]</w:t>
      </w:r>
    </w:p>
    <w:p w14:paraId="07A9BD29" w14:textId="06240B73"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26 </w:t>
      </w:r>
      <w:r w:rsidRPr="00AB0E48">
        <w:rPr>
          <w:rFonts w:ascii="Book Antiqua" w:hAnsi="Book Antiqua" w:cs="宋体"/>
          <w:b/>
          <w:bCs/>
          <w:lang w:eastAsia="zh-CN"/>
        </w:rPr>
        <w:t>Goldberg SN</w:t>
      </w:r>
      <w:r w:rsidRPr="00AB0E48">
        <w:rPr>
          <w:rFonts w:ascii="Book Antiqua" w:hAnsi="Book Antiqua" w:cs="宋体"/>
          <w:lang w:eastAsia="zh-CN"/>
        </w:rPr>
        <w:t xml:space="preserve">, Conti-Kelly AM, Greco TP. A family study of anticardiolipin antibodies and associated clinical conditions. </w:t>
      </w:r>
      <w:r w:rsidRPr="00AB0E48">
        <w:rPr>
          <w:rFonts w:ascii="Book Antiqua" w:hAnsi="Book Antiqua" w:cs="宋体"/>
          <w:i/>
          <w:iCs/>
          <w:lang w:eastAsia="zh-CN"/>
        </w:rPr>
        <w:t>Am J Med</w:t>
      </w:r>
      <w:r w:rsidRPr="00AB0E48">
        <w:rPr>
          <w:rFonts w:ascii="Book Antiqua" w:hAnsi="Book Antiqua" w:cs="宋体"/>
          <w:lang w:eastAsia="zh-CN"/>
        </w:rPr>
        <w:t xml:space="preserve"> 1995; </w:t>
      </w:r>
      <w:r w:rsidRPr="00AB0E48">
        <w:rPr>
          <w:rFonts w:ascii="Book Antiqua" w:hAnsi="Book Antiqua" w:cs="宋体"/>
          <w:b/>
          <w:bCs/>
          <w:lang w:eastAsia="zh-CN"/>
        </w:rPr>
        <w:t>99</w:t>
      </w:r>
      <w:r w:rsidRPr="00AB0E48">
        <w:rPr>
          <w:rFonts w:ascii="Book Antiqua" w:hAnsi="Book Antiqua" w:cs="宋体"/>
          <w:lang w:eastAsia="zh-CN"/>
        </w:rPr>
        <w:t>: 473-479 [PMID: 7485203 DOI: 10.1016/S0002-9343(99)80222-8</w:t>
      </w:r>
      <w:r w:rsidR="00854FEB">
        <w:rPr>
          <w:rFonts w:ascii="Book Antiqua" w:hAnsi="Book Antiqua" w:cs="宋体"/>
          <w:lang w:eastAsia="zh-CN"/>
        </w:rPr>
        <w:t>]</w:t>
      </w:r>
    </w:p>
    <w:p w14:paraId="15CA75E9"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27 </w:t>
      </w:r>
      <w:r w:rsidRPr="00AB0E48">
        <w:rPr>
          <w:rFonts w:ascii="Book Antiqua" w:hAnsi="Book Antiqua" w:cs="宋体"/>
          <w:b/>
          <w:bCs/>
          <w:lang w:eastAsia="zh-CN"/>
        </w:rPr>
        <w:t>Goel N</w:t>
      </w:r>
      <w:r w:rsidRPr="00AB0E48">
        <w:rPr>
          <w:rFonts w:ascii="Book Antiqua" w:hAnsi="Book Antiqua" w:cs="宋体"/>
          <w:lang w:eastAsia="zh-CN"/>
        </w:rPr>
        <w:t xml:space="preserve">, Ortel TL, Bali D, Anderson JP, Gourley IS, Smith H, Morris CA, DeSimone M, Branch DW, Ford P, Berdeaux D, Roubey RA, Kostyu DD, Kingsmore SF, Thiel T, Amos C, Seldin MF. Familial antiphospholipid antibody syndrome: criteria for disease and evidence for autosomal dominant inheritance. </w:t>
      </w:r>
      <w:r w:rsidRPr="00AB0E48">
        <w:rPr>
          <w:rFonts w:ascii="Book Antiqua" w:hAnsi="Book Antiqua" w:cs="宋体"/>
          <w:i/>
          <w:iCs/>
          <w:lang w:eastAsia="zh-CN"/>
        </w:rPr>
        <w:t>Arthritis Rheum</w:t>
      </w:r>
      <w:r w:rsidRPr="00AB0E48">
        <w:rPr>
          <w:rFonts w:ascii="Book Antiqua" w:hAnsi="Book Antiqua" w:cs="宋体"/>
          <w:lang w:eastAsia="zh-CN"/>
        </w:rPr>
        <w:t xml:space="preserve"> 1999; </w:t>
      </w:r>
      <w:r w:rsidRPr="00AB0E48">
        <w:rPr>
          <w:rFonts w:ascii="Book Antiqua" w:hAnsi="Book Antiqua" w:cs="宋体"/>
          <w:b/>
          <w:bCs/>
          <w:lang w:eastAsia="zh-CN"/>
        </w:rPr>
        <w:t>42</w:t>
      </w:r>
      <w:r w:rsidRPr="00AB0E48">
        <w:rPr>
          <w:rFonts w:ascii="Book Antiqua" w:hAnsi="Book Antiqua" w:cs="宋体"/>
          <w:lang w:eastAsia="zh-CN"/>
        </w:rPr>
        <w:t>: 318-327 [PMID: 10025927]</w:t>
      </w:r>
    </w:p>
    <w:p w14:paraId="131A1EF9"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28 </w:t>
      </w:r>
      <w:r w:rsidRPr="00AB0E48">
        <w:rPr>
          <w:rFonts w:ascii="Book Antiqua" w:hAnsi="Book Antiqua" w:cs="宋体"/>
          <w:b/>
          <w:bCs/>
          <w:lang w:eastAsia="zh-CN"/>
        </w:rPr>
        <w:t>Dagenais P</w:t>
      </w:r>
      <w:r w:rsidRPr="00AB0E48">
        <w:rPr>
          <w:rFonts w:ascii="Book Antiqua" w:hAnsi="Book Antiqua" w:cs="宋体"/>
          <w:lang w:eastAsia="zh-CN"/>
        </w:rPr>
        <w:t xml:space="preserve">, Urowitz MB, Gladman DD, Norman CS. A family study of the antiphospholipid syndrome associated with other autoimmune diseases. </w:t>
      </w:r>
      <w:r w:rsidRPr="00AB0E48">
        <w:rPr>
          <w:rFonts w:ascii="Book Antiqua" w:hAnsi="Book Antiqua" w:cs="宋体"/>
          <w:i/>
          <w:iCs/>
          <w:lang w:eastAsia="zh-CN"/>
        </w:rPr>
        <w:t>J Rheumatol</w:t>
      </w:r>
      <w:r w:rsidRPr="00AB0E48">
        <w:rPr>
          <w:rFonts w:ascii="Book Antiqua" w:hAnsi="Book Antiqua" w:cs="宋体"/>
          <w:lang w:eastAsia="zh-CN"/>
        </w:rPr>
        <w:t xml:space="preserve"> 1992; </w:t>
      </w:r>
      <w:r w:rsidRPr="00AB0E48">
        <w:rPr>
          <w:rFonts w:ascii="Book Antiqua" w:hAnsi="Book Antiqua" w:cs="宋体"/>
          <w:b/>
          <w:bCs/>
          <w:lang w:eastAsia="zh-CN"/>
        </w:rPr>
        <w:t>19</w:t>
      </w:r>
      <w:r w:rsidRPr="00AB0E48">
        <w:rPr>
          <w:rFonts w:ascii="Book Antiqua" w:hAnsi="Book Antiqua" w:cs="宋体"/>
          <w:lang w:eastAsia="zh-CN"/>
        </w:rPr>
        <w:t>: 1393-1396 [PMID: 1433007]</w:t>
      </w:r>
    </w:p>
    <w:p w14:paraId="6C22FA31" w14:textId="086EF5B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29 </w:t>
      </w:r>
      <w:r w:rsidRPr="00AB0E48">
        <w:rPr>
          <w:rFonts w:ascii="Book Antiqua" w:hAnsi="Book Antiqua" w:cs="宋体"/>
          <w:b/>
          <w:bCs/>
          <w:lang w:eastAsia="zh-CN"/>
        </w:rPr>
        <w:t>Rouget JP</w:t>
      </w:r>
      <w:r w:rsidRPr="00AB0E48">
        <w:rPr>
          <w:rFonts w:ascii="Book Antiqua" w:hAnsi="Book Antiqua" w:cs="宋体"/>
          <w:lang w:eastAsia="zh-CN"/>
        </w:rPr>
        <w:t xml:space="preserve">, Goudemand J, Montreuil G, Cosson A, Jaillard J. Lupus anticoagulant: a familial observation. </w:t>
      </w:r>
      <w:r w:rsidRPr="00AB0E48">
        <w:rPr>
          <w:rFonts w:ascii="Book Antiqua" w:hAnsi="Book Antiqua" w:cs="宋体"/>
          <w:i/>
          <w:iCs/>
          <w:lang w:eastAsia="zh-CN"/>
        </w:rPr>
        <w:t>Lancet</w:t>
      </w:r>
      <w:r w:rsidRPr="00AB0E48">
        <w:rPr>
          <w:rFonts w:ascii="Book Antiqua" w:hAnsi="Book Antiqua" w:cs="宋体"/>
          <w:lang w:eastAsia="zh-CN"/>
        </w:rPr>
        <w:t xml:space="preserve"> 1982; </w:t>
      </w:r>
      <w:r w:rsidRPr="00AB0E48">
        <w:rPr>
          <w:rFonts w:ascii="Book Antiqua" w:hAnsi="Book Antiqua" w:cs="宋体"/>
          <w:b/>
          <w:bCs/>
          <w:lang w:eastAsia="zh-CN"/>
        </w:rPr>
        <w:t>2</w:t>
      </w:r>
      <w:r w:rsidRPr="00AB0E48">
        <w:rPr>
          <w:rFonts w:ascii="Book Antiqua" w:hAnsi="Book Antiqua" w:cs="宋体"/>
          <w:lang w:eastAsia="zh-CN"/>
        </w:rPr>
        <w:t>: 105 [PMID: 6123796 DOI: 10.1016/S0140-6736(82)91726-3</w:t>
      </w:r>
      <w:r w:rsidR="00854FEB">
        <w:rPr>
          <w:rFonts w:ascii="Book Antiqua" w:hAnsi="Book Antiqua" w:cs="宋体"/>
          <w:lang w:eastAsia="zh-CN"/>
        </w:rPr>
        <w:t>]</w:t>
      </w:r>
    </w:p>
    <w:p w14:paraId="14E50B6F" w14:textId="403EE11E"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30 </w:t>
      </w:r>
      <w:r w:rsidRPr="00AB0E48">
        <w:rPr>
          <w:rFonts w:ascii="Book Antiqua" w:hAnsi="Book Antiqua" w:cs="宋体"/>
          <w:b/>
          <w:bCs/>
          <w:lang w:eastAsia="zh-CN"/>
        </w:rPr>
        <w:t>Mackie IJ</w:t>
      </w:r>
      <w:r w:rsidRPr="00AB0E48">
        <w:rPr>
          <w:rFonts w:ascii="Book Antiqua" w:hAnsi="Book Antiqua" w:cs="宋体"/>
          <w:lang w:eastAsia="zh-CN"/>
        </w:rPr>
        <w:t xml:space="preserve">, Colaco CB, Machin SJ. Familial lupus anticoagulants. </w:t>
      </w:r>
      <w:r w:rsidRPr="00AB0E48">
        <w:rPr>
          <w:rFonts w:ascii="Book Antiqua" w:hAnsi="Book Antiqua" w:cs="宋体"/>
          <w:i/>
          <w:iCs/>
          <w:lang w:eastAsia="zh-CN"/>
        </w:rPr>
        <w:t>Br J Haematol</w:t>
      </w:r>
      <w:r w:rsidRPr="00AB0E48">
        <w:rPr>
          <w:rFonts w:ascii="Book Antiqua" w:hAnsi="Book Antiqua" w:cs="宋体"/>
          <w:lang w:eastAsia="zh-CN"/>
        </w:rPr>
        <w:t xml:space="preserve"> 1987; </w:t>
      </w:r>
      <w:r w:rsidRPr="00AB0E48">
        <w:rPr>
          <w:rFonts w:ascii="Book Antiqua" w:hAnsi="Book Antiqua" w:cs="宋体"/>
          <w:b/>
          <w:bCs/>
          <w:lang w:eastAsia="zh-CN"/>
        </w:rPr>
        <w:t>67</w:t>
      </w:r>
      <w:r w:rsidRPr="00AB0E48">
        <w:rPr>
          <w:rFonts w:ascii="Book Antiqua" w:hAnsi="Book Antiqua" w:cs="宋体"/>
          <w:lang w:eastAsia="zh-CN"/>
        </w:rPr>
        <w:t>: 359-363 [PMID: 3689698 DOI: 10.1111/j.1365-2141.1987.tb02358.x</w:t>
      </w:r>
      <w:r w:rsidR="00854FEB">
        <w:rPr>
          <w:rFonts w:ascii="Book Antiqua" w:hAnsi="Book Antiqua" w:cs="宋体"/>
          <w:lang w:eastAsia="zh-CN"/>
        </w:rPr>
        <w:t>]</w:t>
      </w:r>
    </w:p>
    <w:p w14:paraId="31F46EE0" w14:textId="41AE1210"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31 </w:t>
      </w:r>
      <w:r w:rsidRPr="00AB0E48">
        <w:rPr>
          <w:rFonts w:ascii="Book Antiqua" w:hAnsi="Book Antiqua" w:cs="宋体"/>
          <w:b/>
          <w:bCs/>
          <w:lang w:eastAsia="zh-CN"/>
        </w:rPr>
        <w:t>May KP</w:t>
      </w:r>
      <w:r w:rsidRPr="00AB0E48">
        <w:rPr>
          <w:rFonts w:ascii="Book Antiqua" w:hAnsi="Book Antiqua" w:cs="宋体"/>
          <w:lang w:eastAsia="zh-CN"/>
        </w:rPr>
        <w:t xml:space="preserve">, West SG, Moulds J, Kotzin BL. Different manifestations of the antiphospholipid antibody syndrome in a family with systemic lupus erythematosus. </w:t>
      </w:r>
      <w:r w:rsidRPr="00AB0E48">
        <w:rPr>
          <w:rFonts w:ascii="Book Antiqua" w:hAnsi="Book Antiqua" w:cs="宋体"/>
          <w:i/>
          <w:iCs/>
          <w:lang w:eastAsia="zh-CN"/>
        </w:rPr>
        <w:t>Arthritis Rheum</w:t>
      </w:r>
      <w:r w:rsidRPr="00AB0E48">
        <w:rPr>
          <w:rFonts w:ascii="Book Antiqua" w:hAnsi="Book Antiqua" w:cs="宋体"/>
          <w:lang w:eastAsia="zh-CN"/>
        </w:rPr>
        <w:t xml:space="preserve"> 1993; </w:t>
      </w:r>
      <w:r w:rsidRPr="00AB0E48">
        <w:rPr>
          <w:rFonts w:ascii="Book Antiqua" w:hAnsi="Book Antiqua" w:cs="宋体"/>
          <w:b/>
          <w:bCs/>
          <w:lang w:eastAsia="zh-CN"/>
        </w:rPr>
        <w:t>36</w:t>
      </w:r>
      <w:r w:rsidRPr="00AB0E48">
        <w:rPr>
          <w:rFonts w:ascii="Book Antiqua" w:hAnsi="Book Antiqua" w:cs="宋体"/>
          <w:lang w:eastAsia="zh-CN"/>
        </w:rPr>
        <w:t>: 528-533 [PMID: 8457227 DOI: 10.1002/art.1780360413</w:t>
      </w:r>
      <w:r w:rsidR="00854FEB">
        <w:rPr>
          <w:rFonts w:ascii="Book Antiqua" w:hAnsi="Book Antiqua" w:cs="宋体"/>
          <w:lang w:eastAsia="zh-CN"/>
        </w:rPr>
        <w:t>]</w:t>
      </w:r>
    </w:p>
    <w:p w14:paraId="094E6125" w14:textId="35E5FE8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32 </w:t>
      </w:r>
      <w:r w:rsidRPr="00AB0E48">
        <w:rPr>
          <w:rFonts w:ascii="Book Antiqua" w:hAnsi="Book Antiqua" w:cs="宋体"/>
          <w:b/>
          <w:bCs/>
          <w:lang w:eastAsia="zh-CN"/>
        </w:rPr>
        <w:t>Arnett FC</w:t>
      </w:r>
      <w:r w:rsidRPr="00AB0E48">
        <w:rPr>
          <w:rFonts w:ascii="Book Antiqua" w:hAnsi="Book Antiqua" w:cs="宋体"/>
          <w:lang w:eastAsia="zh-CN"/>
        </w:rPr>
        <w:t xml:space="preserve">, Olsen ML, Anderson KL, Reveille JD. Molecular analysis of major histocompatibility complex alleles associated with the lupus anticoagulant. </w:t>
      </w:r>
      <w:r w:rsidRPr="00AB0E48">
        <w:rPr>
          <w:rFonts w:ascii="Book Antiqua" w:hAnsi="Book Antiqua" w:cs="宋体"/>
          <w:i/>
          <w:iCs/>
          <w:lang w:eastAsia="zh-CN"/>
        </w:rPr>
        <w:t>J Clin Invest</w:t>
      </w:r>
      <w:r w:rsidRPr="00AB0E48">
        <w:rPr>
          <w:rFonts w:ascii="Book Antiqua" w:hAnsi="Book Antiqua" w:cs="宋体"/>
          <w:lang w:eastAsia="zh-CN"/>
        </w:rPr>
        <w:t xml:space="preserve"> 1991; </w:t>
      </w:r>
      <w:r w:rsidRPr="00AB0E48">
        <w:rPr>
          <w:rFonts w:ascii="Book Antiqua" w:hAnsi="Book Antiqua" w:cs="宋体"/>
          <w:b/>
          <w:bCs/>
          <w:lang w:eastAsia="zh-CN"/>
        </w:rPr>
        <w:t>87</w:t>
      </w:r>
      <w:r w:rsidRPr="00AB0E48">
        <w:rPr>
          <w:rFonts w:ascii="Book Antiqua" w:hAnsi="Book Antiqua" w:cs="宋体"/>
          <w:lang w:eastAsia="zh-CN"/>
        </w:rPr>
        <w:t>: 1490-1495 [PMID: 1673688 DOI: 10.1172/JCI115158</w:t>
      </w:r>
      <w:r w:rsidR="00854FEB">
        <w:rPr>
          <w:rFonts w:ascii="Book Antiqua" w:hAnsi="Book Antiqua" w:cs="宋体"/>
          <w:lang w:eastAsia="zh-CN"/>
        </w:rPr>
        <w:t>]</w:t>
      </w:r>
    </w:p>
    <w:p w14:paraId="1EF16CC9" w14:textId="5C84D209"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33 </w:t>
      </w:r>
      <w:r w:rsidRPr="00AB0E48">
        <w:rPr>
          <w:rFonts w:ascii="Book Antiqua" w:hAnsi="Book Antiqua" w:cs="宋体"/>
          <w:b/>
          <w:bCs/>
          <w:lang w:eastAsia="zh-CN"/>
        </w:rPr>
        <w:t>Asherson RA</w:t>
      </w:r>
      <w:r w:rsidRPr="00AB0E48">
        <w:rPr>
          <w:rFonts w:ascii="Book Antiqua" w:hAnsi="Book Antiqua" w:cs="宋体"/>
          <w:lang w:eastAsia="zh-CN"/>
        </w:rPr>
        <w:t xml:space="preserve">, Doherty DG, Vergani D, Khamashta MA, Hughes GR. Major histocompatibility complex associations with primary antiphospholipid syndrome. </w:t>
      </w:r>
      <w:r w:rsidRPr="00AB0E48">
        <w:rPr>
          <w:rFonts w:ascii="Book Antiqua" w:hAnsi="Book Antiqua" w:cs="宋体"/>
          <w:i/>
          <w:iCs/>
          <w:lang w:eastAsia="zh-CN"/>
        </w:rPr>
        <w:t>Arthritis Rheum</w:t>
      </w:r>
      <w:r w:rsidRPr="00AB0E48">
        <w:rPr>
          <w:rFonts w:ascii="Book Antiqua" w:hAnsi="Book Antiqua" w:cs="宋体"/>
          <w:lang w:eastAsia="zh-CN"/>
        </w:rPr>
        <w:t xml:space="preserve"> 1992; </w:t>
      </w:r>
      <w:r w:rsidRPr="00AB0E48">
        <w:rPr>
          <w:rFonts w:ascii="Book Antiqua" w:hAnsi="Book Antiqua" w:cs="宋体"/>
          <w:b/>
          <w:bCs/>
          <w:lang w:eastAsia="zh-CN"/>
        </w:rPr>
        <w:t>35</w:t>
      </w:r>
      <w:r w:rsidRPr="00AB0E48">
        <w:rPr>
          <w:rFonts w:ascii="Book Antiqua" w:hAnsi="Book Antiqua" w:cs="宋体"/>
          <w:lang w:eastAsia="zh-CN"/>
        </w:rPr>
        <w:t>: 124-125 [PMID: 1731810 DOI: 10.1002/art.1780350119</w:t>
      </w:r>
      <w:r w:rsidR="00854FEB">
        <w:rPr>
          <w:rFonts w:ascii="Book Antiqua" w:hAnsi="Book Antiqua" w:cs="宋体"/>
          <w:lang w:eastAsia="zh-CN"/>
        </w:rPr>
        <w:t>]</w:t>
      </w:r>
    </w:p>
    <w:p w14:paraId="2EE7122B" w14:textId="6EC1EE73"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34 </w:t>
      </w:r>
      <w:r w:rsidRPr="00AB0E48">
        <w:rPr>
          <w:rFonts w:ascii="Book Antiqua" w:hAnsi="Book Antiqua" w:cs="宋体"/>
          <w:b/>
          <w:bCs/>
          <w:lang w:eastAsia="zh-CN"/>
        </w:rPr>
        <w:t>Caliz R</w:t>
      </w:r>
      <w:r w:rsidRPr="00AB0E48">
        <w:rPr>
          <w:rFonts w:ascii="Book Antiqua" w:hAnsi="Book Antiqua" w:cs="宋体"/>
          <w:lang w:eastAsia="zh-CN"/>
        </w:rPr>
        <w:t xml:space="preserve">, Atsumi T, Kondeatis E, Amengual O, Khamashta MA, Vaughan RW, Lanchbury JS, Hughes GR. HLA class II gene polymorphisms in antiphospholipid syndrome: haplotype analysis in 83 Caucasoid patients. </w:t>
      </w:r>
      <w:r w:rsidRPr="00AB0E48">
        <w:rPr>
          <w:rFonts w:ascii="Book Antiqua" w:hAnsi="Book Antiqua" w:cs="宋体"/>
          <w:i/>
          <w:iCs/>
          <w:lang w:eastAsia="zh-CN"/>
        </w:rPr>
        <w:t>Rheumatology (Oxford)</w:t>
      </w:r>
      <w:r w:rsidRPr="00AB0E48">
        <w:rPr>
          <w:rFonts w:ascii="Book Antiqua" w:hAnsi="Book Antiqua" w:cs="宋体"/>
          <w:lang w:eastAsia="zh-CN"/>
        </w:rPr>
        <w:t xml:space="preserve"> 2001; </w:t>
      </w:r>
      <w:r w:rsidRPr="00AB0E48">
        <w:rPr>
          <w:rFonts w:ascii="Book Antiqua" w:hAnsi="Book Antiqua" w:cs="宋体"/>
          <w:b/>
          <w:bCs/>
          <w:lang w:eastAsia="zh-CN"/>
        </w:rPr>
        <w:t>40</w:t>
      </w:r>
      <w:r w:rsidRPr="00AB0E48">
        <w:rPr>
          <w:rFonts w:ascii="Book Antiqua" w:hAnsi="Book Antiqua" w:cs="宋体"/>
          <w:lang w:eastAsia="zh-CN"/>
        </w:rPr>
        <w:t>: 31-36 [PMID: 11157139 DOI: 10.1093/rheumatology/40.1.31</w:t>
      </w:r>
      <w:r w:rsidR="00854FEB">
        <w:rPr>
          <w:rFonts w:ascii="Book Antiqua" w:hAnsi="Book Antiqua" w:cs="宋体"/>
          <w:lang w:eastAsia="zh-CN"/>
        </w:rPr>
        <w:t>]</w:t>
      </w:r>
    </w:p>
    <w:p w14:paraId="71B0C978"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35 </w:t>
      </w:r>
      <w:r w:rsidRPr="00AB0E48">
        <w:rPr>
          <w:rFonts w:ascii="Book Antiqua" w:hAnsi="Book Antiqua" w:cs="宋体"/>
          <w:b/>
          <w:bCs/>
          <w:lang w:eastAsia="zh-CN"/>
        </w:rPr>
        <w:t>Bertolaccini ML</w:t>
      </w:r>
      <w:r w:rsidRPr="00AB0E48">
        <w:rPr>
          <w:rFonts w:ascii="Book Antiqua" w:hAnsi="Book Antiqua" w:cs="宋体"/>
          <w:lang w:eastAsia="zh-CN"/>
        </w:rPr>
        <w:t xml:space="preserve">, Atsumi T, Caliz AR, Amengual O, Khamashta MA, Hughes GR, Koike T. Association of antiphosphatidylserine/prothrombin autoantibodies with HLA class II genes. </w:t>
      </w:r>
      <w:r w:rsidRPr="00AB0E48">
        <w:rPr>
          <w:rFonts w:ascii="Book Antiqua" w:hAnsi="Book Antiqua" w:cs="宋体"/>
          <w:i/>
          <w:iCs/>
          <w:lang w:eastAsia="zh-CN"/>
        </w:rPr>
        <w:t>Arthritis Rheum</w:t>
      </w:r>
      <w:r w:rsidRPr="00AB0E48">
        <w:rPr>
          <w:rFonts w:ascii="Book Antiqua" w:hAnsi="Book Antiqua" w:cs="宋体"/>
          <w:lang w:eastAsia="zh-CN"/>
        </w:rPr>
        <w:t xml:space="preserve"> 2000; </w:t>
      </w:r>
      <w:r w:rsidRPr="00AB0E48">
        <w:rPr>
          <w:rFonts w:ascii="Book Antiqua" w:hAnsi="Book Antiqua" w:cs="宋体"/>
          <w:b/>
          <w:bCs/>
          <w:lang w:eastAsia="zh-CN"/>
        </w:rPr>
        <w:t>43</w:t>
      </w:r>
      <w:r w:rsidRPr="00AB0E48">
        <w:rPr>
          <w:rFonts w:ascii="Book Antiqua" w:hAnsi="Book Antiqua" w:cs="宋体"/>
          <w:lang w:eastAsia="zh-CN"/>
        </w:rPr>
        <w:t>: 683-688 [PMID: 10728763]</w:t>
      </w:r>
    </w:p>
    <w:p w14:paraId="262DF63C" w14:textId="25740CBF"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36 </w:t>
      </w:r>
      <w:r w:rsidRPr="00AB0E48">
        <w:rPr>
          <w:rFonts w:ascii="Book Antiqua" w:hAnsi="Book Antiqua" w:cs="宋体"/>
          <w:b/>
          <w:bCs/>
          <w:lang w:eastAsia="zh-CN"/>
        </w:rPr>
        <w:t>Vargas-Alarcon G</w:t>
      </w:r>
      <w:r w:rsidRPr="00AB0E48">
        <w:rPr>
          <w:rFonts w:ascii="Book Antiqua" w:hAnsi="Book Antiqua" w:cs="宋体"/>
          <w:lang w:eastAsia="zh-CN"/>
        </w:rPr>
        <w:t xml:space="preserve">, Granados J, Bekker C, Alcocer-Varela J, Alarcón-Segovia D. Association of HLA-DR5 (possibly DRB1*1201) with the primary antiphospholipid syndrome in Mexican patients. </w:t>
      </w:r>
      <w:r w:rsidRPr="00AB0E48">
        <w:rPr>
          <w:rFonts w:ascii="Book Antiqua" w:hAnsi="Book Antiqua" w:cs="宋体"/>
          <w:i/>
          <w:iCs/>
          <w:lang w:eastAsia="zh-CN"/>
        </w:rPr>
        <w:t>Arthritis Rheum</w:t>
      </w:r>
      <w:r w:rsidRPr="00AB0E48">
        <w:rPr>
          <w:rFonts w:ascii="Book Antiqua" w:hAnsi="Book Antiqua" w:cs="宋体"/>
          <w:lang w:eastAsia="zh-CN"/>
        </w:rPr>
        <w:t xml:space="preserve"> 1995; </w:t>
      </w:r>
      <w:r w:rsidRPr="00AB0E48">
        <w:rPr>
          <w:rFonts w:ascii="Book Antiqua" w:hAnsi="Book Antiqua" w:cs="宋体"/>
          <w:b/>
          <w:bCs/>
          <w:lang w:eastAsia="zh-CN"/>
        </w:rPr>
        <w:t>38</w:t>
      </w:r>
      <w:r w:rsidRPr="00AB0E48">
        <w:rPr>
          <w:rFonts w:ascii="Book Antiqua" w:hAnsi="Book Antiqua" w:cs="宋体"/>
          <w:lang w:eastAsia="zh-CN"/>
        </w:rPr>
        <w:t>: 1340-1341 [PMID: 7575732 DOI: 10.1002/art.1780380925</w:t>
      </w:r>
      <w:r w:rsidR="00854FEB">
        <w:rPr>
          <w:rFonts w:ascii="Book Antiqua" w:hAnsi="Book Antiqua" w:cs="宋体"/>
          <w:lang w:eastAsia="zh-CN"/>
        </w:rPr>
        <w:t>]</w:t>
      </w:r>
    </w:p>
    <w:p w14:paraId="4C4C1604" w14:textId="251C7D09"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37 </w:t>
      </w:r>
      <w:r w:rsidRPr="00AB0E48">
        <w:rPr>
          <w:rFonts w:ascii="Book Antiqua" w:hAnsi="Book Antiqua" w:cs="宋体"/>
          <w:b/>
          <w:bCs/>
          <w:lang w:eastAsia="zh-CN"/>
        </w:rPr>
        <w:t>Galeazzi M</w:t>
      </w:r>
      <w:r w:rsidRPr="00AB0E48">
        <w:rPr>
          <w:rFonts w:ascii="Book Antiqua" w:hAnsi="Book Antiqua" w:cs="宋体"/>
          <w:lang w:eastAsia="zh-CN"/>
        </w:rPr>
        <w:t xml:space="preserve">, Sebastiani GD, Tincani A, Piette JC, Allegri F, Morozzi G, Bellisai F, Scorza R, Ferrara GB, Carcassi C, Font J, Passiu G, Smolen J, Papasteriades C, Houssiau F, Nebro AF, Ramon Garrido ED, Jedryka-Goral A, Marcolongo R. HLA class II alleles associations of anticardiolipin and anti-beta2GPI antibodies in a large series of European patients with systemic lupus erythematosus. </w:t>
      </w:r>
      <w:r w:rsidRPr="00AB0E48">
        <w:rPr>
          <w:rFonts w:ascii="Book Antiqua" w:hAnsi="Book Antiqua" w:cs="宋体"/>
          <w:i/>
          <w:iCs/>
          <w:lang w:eastAsia="zh-CN"/>
        </w:rPr>
        <w:t>Lupus</w:t>
      </w:r>
      <w:r w:rsidRPr="00AB0E48">
        <w:rPr>
          <w:rFonts w:ascii="Book Antiqua" w:hAnsi="Book Antiqua" w:cs="宋体"/>
          <w:lang w:eastAsia="zh-CN"/>
        </w:rPr>
        <w:t xml:space="preserve"> 2000; </w:t>
      </w:r>
      <w:r w:rsidRPr="00AB0E48">
        <w:rPr>
          <w:rFonts w:ascii="Book Antiqua" w:hAnsi="Book Antiqua" w:cs="宋体"/>
          <w:b/>
          <w:bCs/>
          <w:lang w:eastAsia="zh-CN"/>
        </w:rPr>
        <w:t>9</w:t>
      </w:r>
      <w:r w:rsidRPr="00AB0E48">
        <w:rPr>
          <w:rFonts w:ascii="Book Antiqua" w:hAnsi="Book Antiqua" w:cs="宋体"/>
          <w:lang w:eastAsia="zh-CN"/>
        </w:rPr>
        <w:t>: 47-55 [PMID: 10715100 DOI: 10.1177/096120330000900109</w:t>
      </w:r>
      <w:r w:rsidR="00854FEB">
        <w:rPr>
          <w:rFonts w:ascii="Book Antiqua" w:hAnsi="Book Antiqua" w:cs="宋体"/>
          <w:lang w:eastAsia="zh-CN"/>
        </w:rPr>
        <w:t>]</w:t>
      </w:r>
    </w:p>
    <w:p w14:paraId="1DF57677" w14:textId="41FBE10D"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38 </w:t>
      </w:r>
      <w:r w:rsidRPr="00AB0E48">
        <w:rPr>
          <w:rFonts w:ascii="Book Antiqua" w:hAnsi="Book Antiqua" w:cs="宋体"/>
          <w:b/>
          <w:bCs/>
          <w:lang w:eastAsia="zh-CN"/>
        </w:rPr>
        <w:t>Hashimoto H</w:t>
      </w:r>
      <w:r w:rsidRPr="00AB0E48">
        <w:rPr>
          <w:rFonts w:ascii="Book Antiqua" w:hAnsi="Book Antiqua" w:cs="宋体"/>
          <w:lang w:eastAsia="zh-CN"/>
        </w:rPr>
        <w:t xml:space="preserve">, Yamanaka K, Tokano Y, Iida N, Takasaki Y, Kabasawa K, Nishimura Y. HLA-DRB1 alleles and beta 2 glycoprotein I-dependent anticardiolipin antibodies in Japanese patients with systemic lupus erythematosus. </w:t>
      </w:r>
      <w:r w:rsidRPr="00AB0E48">
        <w:rPr>
          <w:rFonts w:ascii="Book Antiqua" w:hAnsi="Book Antiqua" w:cs="宋体"/>
          <w:i/>
          <w:iCs/>
          <w:lang w:eastAsia="zh-CN"/>
        </w:rPr>
        <w:t>Clin Exp Rheumatol</w:t>
      </w:r>
      <w:r w:rsidRPr="00AB0E48">
        <w:rPr>
          <w:rFonts w:ascii="Book Antiqua" w:hAnsi="Book Antiqua" w:cs="宋体"/>
          <w:lang w:eastAsia="zh-CN"/>
        </w:rPr>
        <w:t xml:space="preserve"> </w:t>
      </w:r>
      <w:r w:rsidR="00854FEB">
        <w:rPr>
          <w:rFonts w:ascii="Book Antiqua" w:hAnsi="Book Antiqua" w:cs="宋体" w:hint="eastAsia"/>
          <w:lang w:eastAsia="zh-CN"/>
        </w:rPr>
        <w:t>1998</w:t>
      </w:r>
      <w:r w:rsidRPr="00AB0E48">
        <w:rPr>
          <w:rFonts w:ascii="Book Antiqua" w:hAnsi="Book Antiqua" w:cs="宋体"/>
          <w:lang w:eastAsia="zh-CN"/>
        </w:rPr>
        <w:t xml:space="preserve">; </w:t>
      </w:r>
      <w:r w:rsidRPr="00AB0E48">
        <w:rPr>
          <w:rFonts w:ascii="Book Antiqua" w:hAnsi="Book Antiqua" w:cs="宋体"/>
          <w:b/>
          <w:bCs/>
          <w:lang w:eastAsia="zh-CN"/>
        </w:rPr>
        <w:t>16</w:t>
      </w:r>
      <w:r w:rsidRPr="00AB0E48">
        <w:rPr>
          <w:rFonts w:ascii="Book Antiqua" w:hAnsi="Book Antiqua" w:cs="宋体"/>
          <w:lang w:eastAsia="zh-CN"/>
        </w:rPr>
        <w:t>: 423-427 [PMID: 9706422]</w:t>
      </w:r>
    </w:p>
    <w:p w14:paraId="6CCE72FE"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39 </w:t>
      </w:r>
      <w:r w:rsidRPr="00AB0E48">
        <w:rPr>
          <w:rFonts w:ascii="Book Antiqua" w:hAnsi="Book Antiqua" w:cs="宋体"/>
          <w:b/>
          <w:bCs/>
          <w:lang w:eastAsia="zh-CN"/>
        </w:rPr>
        <w:t>Arnett FC</w:t>
      </w:r>
      <w:r w:rsidRPr="00AB0E48">
        <w:rPr>
          <w:rFonts w:ascii="Book Antiqua" w:hAnsi="Book Antiqua" w:cs="宋体"/>
          <w:lang w:eastAsia="zh-CN"/>
        </w:rPr>
        <w:t xml:space="preserve">, Thiagarajan P, Ahn C, Reveille JD. Associations of anti-beta2-glycoprotein I autoantibodies with HLA class II alleles in three ethnic groups. </w:t>
      </w:r>
      <w:r w:rsidRPr="00AB0E48">
        <w:rPr>
          <w:rFonts w:ascii="Book Antiqua" w:hAnsi="Book Antiqua" w:cs="宋体"/>
          <w:i/>
          <w:iCs/>
          <w:lang w:eastAsia="zh-CN"/>
        </w:rPr>
        <w:t>Arthritis Rheum</w:t>
      </w:r>
      <w:r w:rsidRPr="00AB0E48">
        <w:rPr>
          <w:rFonts w:ascii="Book Antiqua" w:hAnsi="Book Antiqua" w:cs="宋体"/>
          <w:lang w:eastAsia="zh-CN"/>
        </w:rPr>
        <w:t xml:space="preserve"> 1999; </w:t>
      </w:r>
      <w:r w:rsidRPr="00AB0E48">
        <w:rPr>
          <w:rFonts w:ascii="Book Antiqua" w:hAnsi="Book Antiqua" w:cs="宋体"/>
          <w:b/>
          <w:bCs/>
          <w:lang w:eastAsia="zh-CN"/>
        </w:rPr>
        <w:t>42</w:t>
      </w:r>
      <w:r w:rsidRPr="00AB0E48">
        <w:rPr>
          <w:rFonts w:ascii="Book Antiqua" w:hAnsi="Book Antiqua" w:cs="宋体"/>
          <w:lang w:eastAsia="zh-CN"/>
        </w:rPr>
        <w:t>: 268-274 [PMID: 10025920]</w:t>
      </w:r>
    </w:p>
    <w:p w14:paraId="471E6A37"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40 </w:t>
      </w:r>
      <w:r w:rsidRPr="00AB0E48">
        <w:rPr>
          <w:rFonts w:ascii="Book Antiqua" w:hAnsi="Book Antiqua" w:cs="宋体"/>
          <w:b/>
          <w:bCs/>
          <w:lang w:eastAsia="zh-CN"/>
        </w:rPr>
        <w:t>Wilson WA</w:t>
      </w:r>
      <w:r w:rsidRPr="00AB0E48">
        <w:rPr>
          <w:rFonts w:ascii="Book Antiqua" w:hAnsi="Book Antiqua" w:cs="宋体"/>
          <w:lang w:eastAsia="zh-CN"/>
        </w:rPr>
        <w:t xml:space="preserve">, Perez MC, Michalski JP, Armatis PE. Cardiolipin antibodies and null alleles of C4 in black Americans with systemic lupus erythematosus. </w:t>
      </w:r>
      <w:r w:rsidRPr="00AB0E48">
        <w:rPr>
          <w:rFonts w:ascii="Book Antiqua" w:hAnsi="Book Antiqua" w:cs="宋体"/>
          <w:i/>
          <w:iCs/>
          <w:lang w:eastAsia="zh-CN"/>
        </w:rPr>
        <w:t>J Rheumatol</w:t>
      </w:r>
      <w:r w:rsidRPr="00AB0E48">
        <w:rPr>
          <w:rFonts w:ascii="Book Antiqua" w:hAnsi="Book Antiqua" w:cs="宋体"/>
          <w:lang w:eastAsia="zh-CN"/>
        </w:rPr>
        <w:t xml:space="preserve"> 1988; </w:t>
      </w:r>
      <w:r w:rsidRPr="00AB0E48">
        <w:rPr>
          <w:rFonts w:ascii="Book Antiqua" w:hAnsi="Book Antiqua" w:cs="宋体"/>
          <w:b/>
          <w:bCs/>
          <w:lang w:eastAsia="zh-CN"/>
        </w:rPr>
        <w:t>15</w:t>
      </w:r>
      <w:r w:rsidRPr="00AB0E48">
        <w:rPr>
          <w:rFonts w:ascii="Book Antiqua" w:hAnsi="Book Antiqua" w:cs="宋体"/>
          <w:lang w:eastAsia="zh-CN"/>
        </w:rPr>
        <w:t>: 1768-1772 [PMID: 3265959]</w:t>
      </w:r>
    </w:p>
    <w:p w14:paraId="74DDA80E"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41 </w:t>
      </w:r>
      <w:r w:rsidRPr="00AB0E48">
        <w:rPr>
          <w:rFonts w:ascii="Book Antiqua" w:hAnsi="Book Antiqua" w:cs="宋体"/>
          <w:b/>
          <w:bCs/>
          <w:lang w:eastAsia="zh-CN"/>
        </w:rPr>
        <w:t>Wilson WA</w:t>
      </w:r>
      <w:r w:rsidRPr="00AB0E48">
        <w:rPr>
          <w:rFonts w:ascii="Book Antiqua" w:hAnsi="Book Antiqua" w:cs="宋体"/>
          <w:lang w:eastAsia="zh-CN"/>
        </w:rPr>
        <w:t xml:space="preserve">, Scopelitis E, Michalski JP, Pierangeli SS, Silveira LH, Elston RC, Harris EN. Familial anticardiolipin antibodies and C4 deficiency genotypes that coexist with MHC DQB1 risk factors. </w:t>
      </w:r>
      <w:r w:rsidRPr="00AB0E48">
        <w:rPr>
          <w:rFonts w:ascii="Book Antiqua" w:hAnsi="Book Antiqua" w:cs="宋体"/>
          <w:i/>
          <w:iCs/>
          <w:lang w:eastAsia="zh-CN"/>
        </w:rPr>
        <w:t>J Rheumatol</w:t>
      </w:r>
      <w:r w:rsidRPr="00AB0E48">
        <w:rPr>
          <w:rFonts w:ascii="Book Antiqua" w:hAnsi="Book Antiqua" w:cs="宋体"/>
          <w:lang w:eastAsia="zh-CN"/>
        </w:rPr>
        <w:t xml:space="preserve"> 1995; </w:t>
      </w:r>
      <w:r w:rsidRPr="00AB0E48">
        <w:rPr>
          <w:rFonts w:ascii="Book Antiqua" w:hAnsi="Book Antiqua" w:cs="宋体"/>
          <w:b/>
          <w:bCs/>
          <w:lang w:eastAsia="zh-CN"/>
        </w:rPr>
        <w:t>22</w:t>
      </w:r>
      <w:r w:rsidRPr="00AB0E48">
        <w:rPr>
          <w:rFonts w:ascii="Book Antiqua" w:hAnsi="Book Antiqua" w:cs="宋体"/>
          <w:lang w:eastAsia="zh-CN"/>
        </w:rPr>
        <w:t>: 227-235 [PMID: 7738943]</w:t>
      </w:r>
    </w:p>
    <w:p w14:paraId="76850663"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42 </w:t>
      </w:r>
      <w:r w:rsidRPr="00AB0E48">
        <w:rPr>
          <w:rFonts w:ascii="Book Antiqua" w:hAnsi="Book Antiqua" w:cs="宋体"/>
          <w:b/>
          <w:bCs/>
          <w:lang w:eastAsia="zh-CN"/>
        </w:rPr>
        <w:t>Petri M</w:t>
      </w:r>
      <w:r w:rsidRPr="00AB0E48">
        <w:rPr>
          <w:rFonts w:ascii="Book Antiqua" w:hAnsi="Book Antiqua" w:cs="宋体"/>
          <w:lang w:eastAsia="zh-CN"/>
        </w:rPr>
        <w:t xml:space="preserve">, Watson R, Winkelstein JA, McLean RH. Clinical expression of systemic lupus erythematosus in patients with C4A deficiency. </w:t>
      </w:r>
      <w:r w:rsidRPr="00AB0E48">
        <w:rPr>
          <w:rFonts w:ascii="Book Antiqua" w:hAnsi="Book Antiqua" w:cs="宋体"/>
          <w:i/>
          <w:iCs/>
          <w:lang w:eastAsia="zh-CN"/>
        </w:rPr>
        <w:t xml:space="preserve">Medicine </w:t>
      </w:r>
      <w:r w:rsidRPr="00854FEB">
        <w:rPr>
          <w:rFonts w:ascii="Book Antiqua" w:hAnsi="Book Antiqua" w:cs="宋体"/>
          <w:iCs/>
          <w:lang w:eastAsia="zh-CN"/>
        </w:rPr>
        <w:t>(Baltimore)</w:t>
      </w:r>
      <w:r w:rsidRPr="00AB0E48">
        <w:rPr>
          <w:rFonts w:ascii="Book Antiqua" w:hAnsi="Book Antiqua" w:cs="宋体"/>
          <w:lang w:eastAsia="zh-CN"/>
        </w:rPr>
        <w:t xml:space="preserve"> 1993; </w:t>
      </w:r>
      <w:r w:rsidRPr="00AB0E48">
        <w:rPr>
          <w:rFonts w:ascii="Book Antiqua" w:hAnsi="Book Antiqua" w:cs="宋体"/>
          <w:b/>
          <w:bCs/>
          <w:lang w:eastAsia="zh-CN"/>
        </w:rPr>
        <w:t>72</w:t>
      </w:r>
      <w:r w:rsidRPr="00AB0E48">
        <w:rPr>
          <w:rFonts w:ascii="Book Antiqua" w:hAnsi="Book Antiqua" w:cs="宋体"/>
          <w:lang w:eastAsia="zh-CN"/>
        </w:rPr>
        <w:t>: 236-244 [PMID: 8341140]</w:t>
      </w:r>
    </w:p>
    <w:p w14:paraId="6852F3FB"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43 </w:t>
      </w:r>
      <w:r w:rsidRPr="00AB0E48">
        <w:rPr>
          <w:rFonts w:ascii="Book Antiqua" w:hAnsi="Book Antiqua" w:cs="宋体"/>
          <w:b/>
          <w:bCs/>
          <w:lang w:eastAsia="zh-CN"/>
        </w:rPr>
        <w:t>Hirose N</w:t>
      </w:r>
      <w:r w:rsidRPr="00AB0E48">
        <w:rPr>
          <w:rFonts w:ascii="Book Antiqua" w:hAnsi="Book Antiqua" w:cs="宋体"/>
          <w:lang w:eastAsia="zh-CN"/>
        </w:rPr>
        <w:t xml:space="preserve">, Williams R, Alberts AR, Furie RA, Chartash EK, Jain RI, Sison C, Lahita RG, Merrill JT, Cucurull E, Gharavi AE, Sammaritano LR, Salmon JE, Hashimoto S, Sawada T, Chu CC, Gregersen PK, Chiorazzi N. A role for the polymorphism at position 247 of the beta2-glycoprotein I gene in the generation of anti-beta2-glycoprotein I antibodies in the antiphospholipid syndrome. </w:t>
      </w:r>
      <w:r w:rsidRPr="00AB0E48">
        <w:rPr>
          <w:rFonts w:ascii="Book Antiqua" w:hAnsi="Book Antiqua" w:cs="宋体"/>
          <w:i/>
          <w:iCs/>
          <w:lang w:eastAsia="zh-CN"/>
        </w:rPr>
        <w:t>Arthritis Rheum</w:t>
      </w:r>
      <w:r w:rsidRPr="00AB0E48">
        <w:rPr>
          <w:rFonts w:ascii="Book Antiqua" w:hAnsi="Book Antiqua" w:cs="宋体"/>
          <w:lang w:eastAsia="zh-CN"/>
        </w:rPr>
        <w:t xml:space="preserve"> 1999; </w:t>
      </w:r>
      <w:r w:rsidRPr="00AB0E48">
        <w:rPr>
          <w:rFonts w:ascii="Book Antiqua" w:hAnsi="Book Antiqua" w:cs="宋体"/>
          <w:b/>
          <w:bCs/>
          <w:lang w:eastAsia="zh-CN"/>
        </w:rPr>
        <w:t>42</w:t>
      </w:r>
      <w:r w:rsidRPr="00AB0E48">
        <w:rPr>
          <w:rFonts w:ascii="Book Antiqua" w:hAnsi="Book Antiqua" w:cs="宋体"/>
          <w:lang w:eastAsia="zh-CN"/>
        </w:rPr>
        <w:t>: 1655-1661 [PMID: 10446865]</w:t>
      </w:r>
    </w:p>
    <w:p w14:paraId="5166D34D" w14:textId="7705CBC6"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44 </w:t>
      </w:r>
      <w:r w:rsidRPr="00AB0E48">
        <w:rPr>
          <w:rFonts w:ascii="Book Antiqua" w:hAnsi="Book Antiqua" w:cs="宋体"/>
          <w:b/>
          <w:bCs/>
          <w:lang w:eastAsia="zh-CN"/>
        </w:rPr>
        <w:t>Atsumi T</w:t>
      </w:r>
      <w:r w:rsidRPr="00AB0E48">
        <w:rPr>
          <w:rFonts w:ascii="Book Antiqua" w:hAnsi="Book Antiqua" w:cs="宋体"/>
          <w:lang w:eastAsia="zh-CN"/>
        </w:rPr>
        <w:t xml:space="preserve">, Tsutsumi A, Amengual O, Khamashta MA, Hughes GR, Miyoshi Y, Ichikawa K, Koike T. Correlation between beta2-glycoprotein I valine/leucine247 polymorphism and anti-beta2-glycoprotein I antibodies in patients with primary antiphospholipid syndrome. </w:t>
      </w:r>
      <w:r w:rsidRPr="00AB0E48">
        <w:rPr>
          <w:rFonts w:ascii="Book Antiqua" w:hAnsi="Book Antiqua" w:cs="宋体"/>
          <w:i/>
          <w:iCs/>
          <w:lang w:eastAsia="zh-CN"/>
        </w:rPr>
        <w:t xml:space="preserve">Rheumatology </w:t>
      </w:r>
      <w:r w:rsidRPr="00854FEB">
        <w:rPr>
          <w:rFonts w:ascii="Book Antiqua" w:hAnsi="Book Antiqua" w:cs="宋体"/>
          <w:iCs/>
          <w:lang w:eastAsia="zh-CN"/>
        </w:rPr>
        <w:t>(Oxford)</w:t>
      </w:r>
      <w:r w:rsidRPr="00854FEB">
        <w:rPr>
          <w:rFonts w:ascii="Book Antiqua" w:hAnsi="Book Antiqua" w:cs="宋体"/>
          <w:lang w:eastAsia="zh-CN"/>
        </w:rPr>
        <w:t xml:space="preserve"> </w:t>
      </w:r>
      <w:r w:rsidRPr="00AB0E48">
        <w:rPr>
          <w:rFonts w:ascii="Book Antiqua" w:hAnsi="Book Antiqua" w:cs="宋体"/>
          <w:lang w:eastAsia="zh-CN"/>
        </w:rPr>
        <w:t xml:space="preserve">1999; </w:t>
      </w:r>
      <w:r w:rsidRPr="00AB0E48">
        <w:rPr>
          <w:rFonts w:ascii="Book Antiqua" w:hAnsi="Book Antiqua" w:cs="宋体"/>
          <w:b/>
          <w:bCs/>
          <w:lang w:eastAsia="zh-CN"/>
        </w:rPr>
        <w:t>38</w:t>
      </w:r>
      <w:r w:rsidRPr="00AB0E48">
        <w:rPr>
          <w:rFonts w:ascii="Book Antiqua" w:hAnsi="Book Antiqua" w:cs="宋体"/>
          <w:lang w:eastAsia="zh-CN"/>
        </w:rPr>
        <w:t>: 721-723 [PMID: 10501418 DOI: 10.1093/rheumatology/38.8.721</w:t>
      </w:r>
      <w:r w:rsidR="00854FEB">
        <w:rPr>
          <w:rFonts w:ascii="Book Antiqua" w:hAnsi="Book Antiqua" w:cs="宋体"/>
          <w:lang w:eastAsia="zh-CN"/>
        </w:rPr>
        <w:t>]</w:t>
      </w:r>
    </w:p>
    <w:p w14:paraId="70C5191F" w14:textId="7F9F7C6C"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45 </w:t>
      </w:r>
      <w:r w:rsidRPr="00AB0E48">
        <w:rPr>
          <w:rFonts w:ascii="Book Antiqua" w:hAnsi="Book Antiqua" w:cs="宋体"/>
          <w:b/>
          <w:bCs/>
          <w:lang w:eastAsia="zh-CN"/>
        </w:rPr>
        <w:t>Prieto GA</w:t>
      </w:r>
      <w:r w:rsidRPr="00AB0E48">
        <w:rPr>
          <w:rFonts w:ascii="Book Antiqua" w:hAnsi="Book Antiqua" w:cs="宋体"/>
          <w:lang w:eastAsia="zh-CN"/>
        </w:rPr>
        <w:t xml:space="preserve">, Cabral AR, Zapata-Zuñiga M, Simón AJ, Villa AR, Alarcón-Segovia D, Cabiedes J. Valine/valine genotype at position 247 of the beta2-glycoprotein I gene in Mexican patients with primary antiphospholipid syndrome: association with anti-beta2-glycoprotein I antibodies. </w:t>
      </w:r>
      <w:r w:rsidRPr="00AB0E48">
        <w:rPr>
          <w:rFonts w:ascii="Book Antiqua" w:hAnsi="Book Antiqua" w:cs="宋体"/>
          <w:i/>
          <w:iCs/>
          <w:lang w:eastAsia="zh-CN"/>
        </w:rPr>
        <w:t>Arthritis Rheum</w:t>
      </w:r>
      <w:r w:rsidRPr="00AB0E48">
        <w:rPr>
          <w:rFonts w:ascii="Book Antiqua" w:hAnsi="Book Antiqua" w:cs="宋体"/>
          <w:lang w:eastAsia="zh-CN"/>
        </w:rPr>
        <w:t xml:space="preserve"> 2003; </w:t>
      </w:r>
      <w:r w:rsidRPr="00AB0E48">
        <w:rPr>
          <w:rFonts w:ascii="Book Antiqua" w:hAnsi="Book Antiqua" w:cs="宋体"/>
          <w:b/>
          <w:bCs/>
          <w:lang w:eastAsia="zh-CN"/>
        </w:rPr>
        <w:t>48</w:t>
      </w:r>
      <w:r w:rsidRPr="00AB0E48">
        <w:rPr>
          <w:rFonts w:ascii="Book Antiqua" w:hAnsi="Book Antiqua" w:cs="宋体"/>
          <w:lang w:eastAsia="zh-CN"/>
        </w:rPr>
        <w:t>: 471-474 [PMID: 12571857 DOI: 10.1002/art.10771</w:t>
      </w:r>
      <w:r w:rsidR="00854FEB">
        <w:rPr>
          <w:rFonts w:ascii="Book Antiqua" w:hAnsi="Book Antiqua" w:cs="宋体"/>
          <w:lang w:eastAsia="zh-CN"/>
        </w:rPr>
        <w:t>]</w:t>
      </w:r>
    </w:p>
    <w:p w14:paraId="5461A688" w14:textId="2813F89D"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46</w:t>
      </w:r>
      <w:r w:rsidR="00854FEB">
        <w:rPr>
          <w:rFonts w:ascii="Book Antiqua" w:hAnsi="Book Antiqua" w:cs="宋体"/>
          <w:lang w:eastAsia="zh-CN"/>
        </w:rPr>
        <w:t xml:space="preserve"> </w:t>
      </w:r>
      <w:r w:rsidR="00854FEB" w:rsidRPr="00854FEB">
        <w:rPr>
          <w:rFonts w:ascii="Book Antiqua" w:hAnsi="Book Antiqua" w:cs="宋体"/>
          <w:b/>
          <w:lang w:eastAsia="zh-CN"/>
        </w:rPr>
        <w:t>Reverter JC</w:t>
      </w:r>
      <w:r w:rsidRPr="00854FEB">
        <w:rPr>
          <w:rFonts w:ascii="Book Antiqua" w:hAnsi="Book Antiqua" w:cs="宋体"/>
          <w:b/>
          <w:lang w:eastAsia="zh-CN"/>
        </w:rPr>
        <w:t>TM</w:t>
      </w:r>
      <w:r w:rsidRPr="00AB0E48">
        <w:rPr>
          <w:rFonts w:ascii="Book Antiqua" w:hAnsi="Book Antiqua" w:cs="宋体"/>
          <w:lang w:eastAsia="zh-CN"/>
        </w:rPr>
        <w:t>. Genetic aspects of the antiphospholipid syndrome: associations with clinical manifestations. In: Asherson RA, ed. Antiphospholipid Syndrome in Systemic Autoimmune Disease Vol 10. Johannesburg, Sout</w:t>
      </w:r>
      <w:r w:rsidR="00854FEB">
        <w:rPr>
          <w:rFonts w:ascii="Book Antiqua" w:hAnsi="Book Antiqua" w:cs="宋体"/>
          <w:lang w:eastAsia="zh-CN"/>
        </w:rPr>
        <w:t>h Africa: Elsevier</w:t>
      </w:r>
      <w:r w:rsidR="00C8621C">
        <w:rPr>
          <w:rFonts w:ascii="Book Antiqua" w:hAnsi="Book Antiqua" w:cs="宋体" w:hint="eastAsia"/>
          <w:lang w:eastAsia="zh-CN"/>
        </w:rPr>
        <w:t>,</w:t>
      </w:r>
      <w:r w:rsidR="00854FEB">
        <w:rPr>
          <w:rFonts w:ascii="Book Antiqua" w:hAnsi="Book Antiqua" w:cs="宋体"/>
          <w:lang w:eastAsia="zh-CN"/>
        </w:rPr>
        <w:t xml:space="preserve"> 2009: 91-10 </w:t>
      </w:r>
      <w:r w:rsidR="00854FEB">
        <w:rPr>
          <w:rFonts w:ascii="Book Antiqua" w:hAnsi="Book Antiqua" w:cs="宋体" w:hint="eastAsia"/>
          <w:lang w:eastAsia="zh-CN"/>
        </w:rPr>
        <w:t>[</w:t>
      </w:r>
      <w:r w:rsidRPr="00AB0E48">
        <w:rPr>
          <w:rFonts w:ascii="Book Antiqua" w:hAnsi="Book Antiqua" w:cs="宋体"/>
          <w:lang w:eastAsia="zh-CN"/>
        </w:rPr>
        <w:t>DOI: 1</w:t>
      </w:r>
      <w:r w:rsidR="00854FEB">
        <w:rPr>
          <w:rFonts w:ascii="Book Antiqua" w:hAnsi="Book Antiqua" w:cs="宋体"/>
          <w:lang w:eastAsia="zh-CN"/>
        </w:rPr>
        <w:t>0.1016/S1571-5078(08)00407-8</w:t>
      </w:r>
      <w:r w:rsidR="00854FEB">
        <w:rPr>
          <w:rFonts w:ascii="Book Antiqua" w:hAnsi="Book Antiqua" w:cs="宋体" w:hint="eastAsia"/>
          <w:lang w:eastAsia="zh-CN"/>
        </w:rPr>
        <w:t>]</w:t>
      </w:r>
    </w:p>
    <w:p w14:paraId="413E9B61" w14:textId="3E68010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47 </w:t>
      </w:r>
      <w:r w:rsidRPr="00AB0E48">
        <w:rPr>
          <w:rFonts w:ascii="Book Antiqua" w:hAnsi="Book Antiqua" w:cs="宋体"/>
          <w:b/>
          <w:bCs/>
          <w:lang w:eastAsia="zh-CN"/>
        </w:rPr>
        <w:t>Rees DC</w:t>
      </w:r>
      <w:r w:rsidRPr="00AB0E48">
        <w:rPr>
          <w:rFonts w:ascii="Book Antiqua" w:hAnsi="Book Antiqua" w:cs="宋体"/>
          <w:lang w:eastAsia="zh-CN"/>
        </w:rPr>
        <w:t xml:space="preserve">, Cox M, Clegg JB. World distribution of factor V Leiden. </w:t>
      </w:r>
      <w:r w:rsidRPr="00AB0E48">
        <w:rPr>
          <w:rFonts w:ascii="Book Antiqua" w:hAnsi="Book Antiqua" w:cs="宋体"/>
          <w:i/>
          <w:iCs/>
          <w:lang w:eastAsia="zh-CN"/>
        </w:rPr>
        <w:t>Lancet</w:t>
      </w:r>
      <w:r w:rsidRPr="00AB0E48">
        <w:rPr>
          <w:rFonts w:ascii="Book Antiqua" w:hAnsi="Book Antiqua" w:cs="宋体"/>
          <w:lang w:eastAsia="zh-CN"/>
        </w:rPr>
        <w:t xml:space="preserve"> 1995; </w:t>
      </w:r>
      <w:r w:rsidRPr="00AB0E48">
        <w:rPr>
          <w:rFonts w:ascii="Book Antiqua" w:hAnsi="Book Antiqua" w:cs="宋体"/>
          <w:b/>
          <w:bCs/>
          <w:lang w:eastAsia="zh-CN"/>
        </w:rPr>
        <w:t>346</w:t>
      </w:r>
      <w:r w:rsidRPr="00AB0E48">
        <w:rPr>
          <w:rFonts w:ascii="Book Antiqua" w:hAnsi="Book Antiqua" w:cs="宋体"/>
          <w:lang w:eastAsia="zh-CN"/>
        </w:rPr>
        <w:t>: 1133-1134 [PMID: 7475606 DOI: 10.1016/S0140-6736(95)91803-5</w:t>
      </w:r>
      <w:r w:rsidR="00854FEB">
        <w:rPr>
          <w:rFonts w:ascii="Book Antiqua" w:hAnsi="Book Antiqua" w:cs="宋体"/>
          <w:lang w:eastAsia="zh-CN"/>
        </w:rPr>
        <w:t>]</w:t>
      </w:r>
    </w:p>
    <w:p w14:paraId="19DBA844"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48 </w:t>
      </w:r>
      <w:r w:rsidRPr="00AB0E48">
        <w:rPr>
          <w:rFonts w:ascii="Book Antiqua" w:hAnsi="Book Antiqua" w:cs="宋体"/>
          <w:b/>
          <w:bCs/>
          <w:lang w:eastAsia="zh-CN"/>
        </w:rPr>
        <w:t>Franco RF</w:t>
      </w:r>
      <w:r w:rsidRPr="00AB0E48">
        <w:rPr>
          <w:rFonts w:ascii="Book Antiqua" w:hAnsi="Book Antiqua" w:cs="宋体"/>
          <w:lang w:eastAsia="zh-CN"/>
        </w:rPr>
        <w:t xml:space="preserve">, Elion J, Tavella MH, Santos SE, Zago MA. The prevalence of factor V Arg306--&amp; gt; Thr (factor V Cambridge) and factor V Arg306--&amp; gt; Gly mutations in different human populations. </w:t>
      </w:r>
      <w:r w:rsidRPr="00AB0E48">
        <w:rPr>
          <w:rFonts w:ascii="Book Antiqua" w:hAnsi="Book Antiqua" w:cs="宋体"/>
          <w:i/>
          <w:iCs/>
          <w:lang w:eastAsia="zh-CN"/>
        </w:rPr>
        <w:t>Thromb Haemost</w:t>
      </w:r>
      <w:r w:rsidRPr="00AB0E48">
        <w:rPr>
          <w:rFonts w:ascii="Book Antiqua" w:hAnsi="Book Antiqua" w:cs="宋体"/>
          <w:lang w:eastAsia="zh-CN"/>
        </w:rPr>
        <w:t xml:space="preserve"> 1999; </w:t>
      </w:r>
      <w:r w:rsidRPr="00AB0E48">
        <w:rPr>
          <w:rFonts w:ascii="Book Antiqua" w:hAnsi="Book Antiqua" w:cs="宋体"/>
          <w:b/>
          <w:bCs/>
          <w:lang w:eastAsia="zh-CN"/>
        </w:rPr>
        <w:t>81</w:t>
      </w:r>
      <w:r w:rsidRPr="00AB0E48">
        <w:rPr>
          <w:rFonts w:ascii="Book Antiqua" w:hAnsi="Book Antiqua" w:cs="宋体"/>
          <w:lang w:eastAsia="zh-CN"/>
        </w:rPr>
        <w:t>: 312-313 [PMID: 10064012]</w:t>
      </w:r>
    </w:p>
    <w:p w14:paraId="1AD2EBE2" w14:textId="04A98FAF"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49 </w:t>
      </w:r>
      <w:r w:rsidRPr="00AB0E48">
        <w:rPr>
          <w:rFonts w:ascii="Book Antiqua" w:hAnsi="Book Antiqua" w:cs="宋体"/>
          <w:b/>
          <w:bCs/>
          <w:lang w:eastAsia="zh-CN"/>
        </w:rPr>
        <w:t>Schütt M</w:t>
      </w:r>
      <w:r w:rsidRPr="00AB0E48">
        <w:rPr>
          <w:rFonts w:ascii="Book Antiqua" w:hAnsi="Book Antiqua" w:cs="宋体"/>
          <w:lang w:eastAsia="zh-CN"/>
        </w:rPr>
        <w:t xml:space="preserve">, Klüter H, Hagedorn-Greiwe M, Fehm HL, Wiedemann GJ. Familial coexistence of primary antiphospholipid syndrome and factor VLeiden. </w:t>
      </w:r>
      <w:r w:rsidRPr="00AB0E48">
        <w:rPr>
          <w:rFonts w:ascii="Book Antiqua" w:hAnsi="Book Antiqua" w:cs="宋体"/>
          <w:i/>
          <w:iCs/>
          <w:lang w:eastAsia="zh-CN"/>
        </w:rPr>
        <w:t>Lupus</w:t>
      </w:r>
      <w:r w:rsidRPr="00AB0E48">
        <w:rPr>
          <w:rFonts w:ascii="Book Antiqua" w:hAnsi="Book Antiqua" w:cs="宋体"/>
          <w:lang w:eastAsia="zh-CN"/>
        </w:rPr>
        <w:t xml:space="preserve"> 1998; </w:t>
      </w:r>
      <w:r w:rsidRPr="00AB0E48">
        <w:rPr>
          <w:rFonts w:ascii="Book Antiqua" w:hAnsi="Book Antiqua" w:cs="宋体"/>
          <w:b/>
          <w:bCs/>
          <w:lang w:eastAsia="zh-CN"/>
        </w:rPr>
        <w:t>7</w:t>
      </w:r>
      <w:r w:rsidRPr="00AB0E48">
        <w:rPr>
          <w:rFonts w:ascii="Book Antiqua" w:hAnsi="Book Antiqua" w:cs="宋体"/>
          <w:lang w:eastAsia="zh-CN"/>
        </w:rPr>
        <w:t>: 176-182 [PMID: 9607641 DOI: 10.1191/096120398678919967</w:t>
      </w:r>
      <w:r w:rsidR="00854FEB">
        <w:rPr>
          <w:rFonts w:ascii="Book Antiqua" w:hAnsi="Book Antiqua" w:cs="宋体"/>
          <w:lang w:eastAsia="zh-CN"/>
        </w:rPr>
        <w:t>]</w:t>
      </w:r>
    </w:p>
    <w:p w14:paraId="28AFF2E7" w14:textId="4A9067D0"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50 </w:t>
      </w:r>
      <w:r w:rsidRPr="00AB0E48">
        <w:rPr>
          <w:rFonts w:ascii="Book Antiqua" w:hAnsi="Book Antiqua" w:cs="宋体"/>
          <w:b/>
          <w:bCs/>
          <w:lang w:eastAsia="zh-CN"/>
        </w:rPr>
        <w:t>Brenner B</w:t>
      </w:r>
      <w:r w:rsidRPr="00AB0E48">
        <w:rPr>
          <w:rFonts w:ascii="Book Antiqua" w:hAnsi="Book Antiqua" w:cs="宋体"/>
          <w:lang w:eastAsia="zh-CN"/>
        </w:rPr>
        <w:t xml:space="preserve">, Vulfsons SL, Lanir N, Nahir M. Coexistence of familial antiphospholipid syndrome and factor V Leiden: impact on thrombotic diathesis. </w:t>
      </w:r>
      <w:r w:rsidRPr="00AB0E48">
        <w:rPr>
          <w:rFonts w:ascii="Book Antiqua" w:hAnsi="Book Antiqua" w:cs="宋体"/>
          <w:i/>
          <w:iCs/>
          <w:lang w:eastAsia="zh-CN"/>
        </w:rPr>
        <w:t>Br J Haematol</w:t>
      </w:r>
      <w:r w:rsidRPr="00AB0E48">
        <w:rPr>
          <w:rFonts w:ascii="Book Antiqua" w:hAnsi="Book Antiqua" w:cs="宋体"/>
          <w:lang w:eastAsia="zh-CN"/>
        </w:rPr>
        <w:t xml:space="preserve"> 1996; </w:t>
      </w:r>
      <w:r w:rsidRPr="00AB0E48">
        <w:rPr>
          <w:rFonts w:ascii="Book Antiqua" w:hAnsi="Book Antiqua" w:cs="宋体"/>
          <w:b/>
          <w:bCs/>
          <w:lang w:eastAsia="zh-CN"/>
        </w:rPr>
        <w:t>94</w:t>
      </w:r>
      <w:r w:rsidRPr="00AB0E48">
        <w:rPr>
          <w:rFonts w:ascii="Book Antiqua" w:hAnsi="Book Antiqua" w:cs="宋体"/>
          <w:lang w:eastAsia="zh-CN"/>
        </w:rPr>
        <w:t>: 166-167 [PMID: 8757529 DOI: 10.1046/j.1365-2141.1996.d01-1757.x</w:t>
      </w:r>
      <w:r w:rsidR="00854FEB">
        <w:rPr>
          <w:rFonts w:ascii="Book Antiqua" w:hAnsi="Book Antiqua" w:cs="宋体"/>
          <w:lang w:eastAsia="zh-CN"/>
        </w:rPr>
        <w:t>]</w:t>
      </w:r>
    </w:p>
    <w:p w14:paraId="01064B6F"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51 </w:t>
      </w:r>
      <w:r w:rsidRPr="00AB0E48">
        <w:rPr>
          <w:rFonts w:ascii="Book Antiqua" w:hAnsi="Book Antiqua" w:cs="宋体"/>
          <w:b/>
          <w:bCs/>
          <w:lang w:eastAsia="zh-CN"/>
        </w:rPr>
        <w:t>Chopra N</w:t>
      </w:r>
      <w:r w:rsidRPr="00AB0E48">
        <w:rPr>
          <w:rFonts w:ascii="Book Antiqua" w:hAnsi="Book Antiqua" w:cs="宋体"/>
          <w:lang w:eastAsia="zh-CN"/>
        </w:rPr>
        <w:t xml:space="preserve">, Koren S, Greer WL, Fortin PR, Rauch J, Fortin I, Senécal JL, Docherty P, Hanly JG. Factor V Leiden, prothrombin gene mutation, and thrombosis risk in patients with antiphospholipid antibodies. </w:t>
      </w:r>
      <w:r w:rsidRPr="00AB0E48">
        <w:rPr>
          <w:rFonts w:ascii="Book Antiqua" w:hAnsi="Book Antiqua" w:cs="宋体"/>
          <w:i/>
          <w:iCs/>
          <w:lang w:eastAsia="zh-CN"/>
        </w:rPr>
        <w:t>J Rheumatol</w:t>
      </w:r>
      <w:r w:rsidRPr="00AB0E48">
        <w:rPr>
          <w:rFonts w:ascii="Book Antiqua" w:hAnsi="Book Antiqua" w:cs="宋体"/>
          <w:lang w:eastAsia="zh-CN"/>
        </w:rPr>
        <w:t xml:space="preserve"> 2002; </w:t>
      </w:r>
      <w:r w:rsidRPr="00AB0E48">
        <w:rPr>
          <w:rFonts w:ascii="Book Antiqua" w:hAnsi="Book Antiqua" w:cs="宋体"/>
          <w:b/>
          <w:bCs/>
          <w:lang w:eastAsia="zh-CN"/>
        </w:rPr>
        <w:t>29</w:t>
      </w:r>
      <w:r w:rsidRPr="00AB0E48">
        <w:rPr>
          <w:rFonts w:ascii="Book Antiqua" w:hAnsi="Book Antiqua" w:cs="宋体"/>
          <w:lang w:eastAsia="zh-CN"/>
        </w:rPr>
        <w:t>: 1683-1688 [PMID: 12180730]</w:t>
      </w:r>
    </w:p>
    <w:p w14:paraId="698887AF"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52 </w:t>
      </w:r>
      <w:r w:rsidRPr="00AB0E48">
        <w:rPr>
          <w:rFonts w:ascii="Book Antiqua" w:hAnsi="Book Antiqua" w:cs="宋体"/>
          <w:b/>
          <w:bCs/>
          <w:lang w:eastAsia="zh-CN"/>
        </w:rPr>
        <w:t>Bentolila S</w:t>
      </w:r>
      <w:r w:rsidRPr="00AB0E48">
        <w:rPr>
          <w:rFonts w:ascii="Book Antiqua" w:hAnsi="Book Antiqua" w:cs="宋体"/>
          <w:lang w:eastAsia="zh-CN"/>
        </w:rPr>
        <w:t xml:space="preserve">, Ripoll L, Drouet L, Crassard I, Tournier-Lasserve E, Piette JC. Lack of association between thrombosis in primary antiphospholipid syndrome and the recently described thrombophilic 3'-untranslated prothrombin gene polymorphism. </w:t>
      </w:r>
      <w:r w:rsidRPr="00AB0E48">
        <w:rPr>
          <w:rFonts w:ascii="Book Antiqua" w:hAnsi="Book Antiqua" w:cs="宋体"/>
          <w:i/>
          <w:iCs/>
          <w:lang w:eastAsia="zh-CN"/>
        </w:rPr>
        <w:t>Thromb Haemost</w:t>
      </w:r>
      <w:r w:rsidRPr="00AB0E48">
        <w:rPr>
          <w:rFonts w:ascii="Book Antiqua" w:hAnsi="Book Antiqua" w:cs="宋体"/>
          <w:lang w:eastAsia="zh-CN"/>
        </w:rPr>
        <w:t xml:space="preserve"> 1997; </w:t>
      </w:r>
      <w:r w:rsidRPr="00AB0E48">
        <w:rPr>
          <w:rFonts w:ascii="Book Antiqua" w:hAnsi="Book Antiqua" w:cs="宋体"/>
          <w:b/>
          <w:bCs/>
          <w:lang w:eastAsia="zh-CN"/>
        </w:rPr>
        <w:t>78</w:t>
      </w:r>
      <w:r w:rsidRPr="00AB0E48">
        <w:rPr>
          <w:rFonts w:ascii="Book Antiqua" w:hAnsi="Book Antiqua" w:cs="宋体"/>
          <w:lang w:eastAsia="zh-CN"/>
        </w:rPr>
        <w:t>: 1415 [PMID: 9408029]</w:t>
      </w:r>
    </w:p>
    <w:p w14:paraId="35CA44C7"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53 </w:t>
      </w:r>
      <w:r w:rsidRPr="00AB0E48">
        <w:rPr>
          <w:rFonts w:ascii="Book Antiqua" w:hAnsi="Book Antiqua" w:cs="宋体"/>
          <w:b/>
          <w:bCs/>
          <w:lang w:eastAsia="zh-CN"/>
        </w:rPr>
        <w:t>Bertolaccini ML</w:t>
      </w:r>
      <w:r w:rsidRPr="00AB0E48">
        <w:rPr>
          <w:rFonts w:ascii="Book Antiqua" w:hAnsi="Book Antiqua" w:cs="宋体"/>
          <w:lang w:eastAsia="zh-CN"/>
        </w:rPr>
        <w:t xml:space="preserve">, Atsumi T, Hunt BJ, Amengual O, Khamashta MA, Hughes GR. Prothrombin mutation is not associated with thrombosis in patients with antiphospholipid syndrome. </w:t>
      </w:r>
      <w:r w:rsidRPr="00AB0E48">
        <w:rPr>
          <w:rFonts w:ascii="Book Antiqua" w:hAnsi="Book Antiqua" w:cs="宋体"/>
          <w:i/>
          <w:iCs/>
          <w:lang w:eastAsia="zh-CN"/>
        </w:rPr>
        <w:t>Thromb Haemost</w:t>
      </w:r>
      <w:r w:rsidRPr="00AB0E48">
        <w:rPr>
          <w:rFonts w:ascii="Book Antiqua" w:hAnsi="Book Antiqua" w:cs="宋体"/>
          <w:lang w:eastAsia="zh-CN"/>
        </w:rPr>
        <w:t xml:space="preserve"> 1998; </w:t>
      </w:r>
      <w:r w:rsidRPr="00AB0E48">
        <w:rPr>
          <w:rFonts w:ascii="Book Antiqua" w:hAnsi="Book Antiqua" w:cs="宋体"/>
          <w:b/>
          <w:bCs/>
          <w:lang w:eastAsia="zh-CN"/>
        </w:rPr>
        <w:t>80</w:t>
      </w:r>
      <w:r w:rsidRPr="00AB0E48">
        <w:rPr>
          <w:rFonts w:ascii="Book Antiqua" w:hAnsi="Book Antiqua" w:cs="宋体"/>
          <w:lang w:eastAsia="zh-CN"/>
        </w:rPr>
        <w:t>: 202-203 [PMID: 9684813]</w:t>
      </w:r>
    </w:p>
    <w:p w14:paraId="2BBD636E" w14:textId="04B3E08A"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54 </w:t>
      </w:r>
      <w:r w:rsidRPr="00AB0E48">
        <w:rPr>
          <w:rFonts w:ascii="Book Antiqua" w:hAnsi="Book Antiqua" w:cs="宋体"/>
          <w:b/>
          <w:bCs/>
          <w:lang w:eastAsia="zh-CN"/>
        </w:rPr>
        <w:t>Ruiz-Argüelles GJ</w:t>
      </w:r>
      <w:r w:rsidRPr="00AB0E48">
        <w:rPr>
          <w:rFonts w:ascii="Book Antiqua" w:hAnsi="Book Antiqua" w:cs="宋体"/>
          <w:lang w:eastAsia="zh-CN"/>
        </w:rPr>
        <w:t xml:space="preserve">, Garcés-Eisele J, Ruiz-Delgado GJ, Alarcón-Segovia D. The G20210A polymorphism in the 3'-untranslated region of the prothrombin gene in Mexican mestizo patients with primary antiphospholipid syndrome. </w:t>
      </w:r>
      <w:r w:rsidRPr="00AB0E48">
        <w:rPr>
          <w:rFonts w:ascii="Book Antiqua" w:hAnsi="Book Antiqua" w:cs="宋体"/>
          <w:i/>
          <w:iCs/>
          <w:lang w:eastAsia="zh-CN"/>
        </w:rPr>
        <w:t>Clin Appl Thromb Hemost</w:t>
      </w:r>
      <w:r w:rsidRPr="00AB0E48">
        <w:rPr>
          <w:rFonts w:ascii="Book Antiqua" w:hAnsi="Book Antiqua" w:cs="宋体"/>
          <w:lang w:eastAsia="zh-CN"/>
        </w:rPr>
        <w:t xml:space="preserve"> 1999; </w:t>
      </w:r>
      <w:r w:rsidRPr="00AB0E48">
        <w:rPr>
          <w:rFonts w:ascii="Book Antiqua" w:hAnsi="Book Antiqua" w:cs="宋体"/>
          <w:b/>
          <w:bCs/>
          <w:lang w:eastAsia="zh-CN"/>
        </w:rPr>
        <w:t>5</w:t>
      </w:r>
      <w:r w:rsidRPr="00AB0E48">
        <w:rPr>
          <w:rFonts w:ascii="Book Antiqua" w:hAnsi="Book Antiqua" w:cs="宋体"/>
          <w:lang w:eastAsia="zh-CN"/>
        </w:rPr>
        <w:t>: 158-160 [PMID: 10726001 DOI: 10.1177/107602969900500303</w:t>
      </w:r>
      <w:r w:rsidR="00854FEB">
        <w:rPr>
          <w:rFonts w:ascii="Book Antiqua" w:hAnsi="Book Antiqua" w:cs="宋体"/>
          <w:lang w:eastAsia="zh-CN"/>
        </w:rPr>
        <w:t>]</w:t>
      </w:r>
    </w:p>
    <w:p w14:paraId="1B9C4456"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55 </w:t>
      </w:r>
      <w:r w:rsidRPr="00AB0E48">
        <w:rPr>
          <w:rFonts w:ascii="Book Antiqua" w:hAnsi="Book Antiqua" w:cs="宋体"/>
          <w:b/>
          <w:bCs/>
          <w:lang w:eastAsia="zh-CN"/>
        </w:rPr>
        <w:t>Sivera P</w:t>
      </w:r>
      <w:r w:rsidRPr="00AB0E48">
        <w:rPr>
          <w:rFonts w:ascii="Book Antiqua" w:hAnsi="Book Antiqua" w:cs="宋体"/>
          <w:lang w:eastAsia="zh-CN"/>
        </w:rPr>
        <w:t xml:space="preserve">, Bosio S, Bertero MT, Demaestri M, Mazza U, Camaschella C. G20210A homozygosity in antiphospholipid syndrome secondary to systemic lupus erythematosus. </w:t>
      </w:r>
      <w:r w:rsidRPr="00AB0E48">
        <w:rPr>
          <w:rFonts w:ascii="Book Antiqua" w:hAnsi="Book Antiqua" w:cs="宋体"/>
          <w:i/>
          <w:iCs/>
          <w:lang w:eastAsia="zh-CN"/>
        </w:rPr>
        <w:t>Haematologica</w:t>
      </w:r>
      <w:r w:rsidRPr="00AB0E48">
        <w:rPr>
          <w:rFonts w:ascii="Book Antiqua" w:hAnsi="Book Antiqua" w:cs="宋体"/>
          <w:lang w:eastAsia="zh-CN"/>
        </w:rPr>
        <w:t xml:space="preserve"> 2000; </w:t>
      </w:r>
      <w:r w:rsidRPr="00AB0E48">
        <w:rPr>
          <w:rFonts w:ascii="Book Antiqua" w:hAnsi="Book Antiqua" w:cs="宋体"/>
          <w:b/>
          <w:bCs/>
          <w:lang w:eastAsia="zh-CN"/>
        </w:rPr>
        <w:t>85</w:t>
      </w:r>
      <w:r w:rsidRPr="00AB0E48">
        <w:rPr>
          <w:rFonts w:ascii="Book Antiqua" w:hAnsi="Book Antiqua" w:cs="宋体"/>
          <w:lang w:eastAsia="zh-CN"/>
        </w:rPr>
        <w:t>: 109-110 [PMID: 10629608]</w:t>
      </w:r>
    </w:p>
    <w:p w14:paraId="54F654C2" w14:textId="09A3FF92"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56 </w:t>
      </w:r>
      <w:r w:rsidRPr="00AB0E48">
        <w:rPr>
          <w:rFonts w:ascii="Book Antiqua" w:hAnsi="Book Antiqua" w:cs="宋体"/>
          <w:b/>
          <w:bCs/>
          <w:lang w:eastAsia="zh-CN"/>
        </w:rPr>
        <w:t>Torresan M</w:t>
      </w:r>
      <w:r w:rsidRPr="00AB0E48">
        <w:rPr>
          <w:rFonts w:ascii="Book Antiqua" w:hAnsi="Book Antiqua" w:cs="宋体"/>
          <w:lang w:eastAsia="zh-CN"/>
        </w:rPr>
        <w:t xml:space="preserve">, Machado TF, Siqueira LH, Ozelo MC, Arruda VR, Annichino-Bizzacchi JM. The impact of the search for thrombophilia risk factors among antiphospholipid syndrome patients with thrombosis. </w:t>
      </w:r>
      <w:r w:rsidRPr="00AB0E48">
        <w:rPr>
          <w:rFonts w:ascii="Book Antiqua" w:hAnsi="Book Antiqua" w:cs="宋体"/>
          <w:i/>
          <w:iCs/>
          <w:lang w:eastAsia="zh-CN"/>
        </w:rPr>
        <w:t>Blood Coagul Fibrinolysis</w:t>
      </w:r>
      <w:r w:rsidRPr="00AB0E48">
        <w:rPr>
          <w:rFonts w:ascii="Book Antiqua" w:hAnsi="Book Antiqua" w:cs="宋体"/>
          <w:lang w:eastAsia="zh-CN"/>
        </w:rPr>
        <w:t xml:space="preserve"> 2000; </w:t>
      </w:r>
      <w:r w:rsidRPr="00AB0E48">
        <w:rPr>
          <w:rFonts w:ascii="Book Antiqua" w:hAnsi="Book Antiqua" w:cs="宋体"/>
          <w:b/>
          <w:bCs/>
          <w:lang w:eastAsia="zh-CN"/>
        </w:rPr>
        <w:t>11</w:t>
      </w:r>
      <w:r w:rsidRPr="00AB0E48">
        <w:rPr>
          <w:rFonts w:ascii="Book Antiqua" w:hAnsi="Book Antiqua" w:cs="宋体"/>
          <w:lang w:eastAsia="zh-CN"/>
        </w:rPr>
        <w:t>: 679-682 [PMID: 11085290 DOI: 10.1097/00001721-200010000-00014</w:t>
      </w:r>
      <w:r w:rsidR="00854FEB">
        <w:rPr>
          <w:rFonts w:ascii="Book Antiqua" w:hAnsi="Book Antiqua" w:cs="宋体"/>
          <w:lang w:eastAsia="zh-CN"/>
        </w:rPr>
        <w:t>]</w:t>
      </w:r>
    </w:p>
    <w:p w14:paraId="091E7531" w14:textId="7777777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57 </w:t>
      </w:r>
      <w:r w:rsidRPr="00AB0E48">
        <w:rPr>
          <w:rFonts w:ascii="Book Antiqua" w:hAnsi="Book Antiqua" w:cs="宋体"/>
          <w:b/>
          <w:bCs/>
          <w:lang w:eastAsia="zh-CN"/>
        </w:rPr>
        <w:t>Forastiero R</w:t>
      </w:r>
      <w:r w:rsidRPr="00AB0E48">
        <w:rPr>
          <w:rFonts w:ascii="Book Antiqua" w:hAnsi="Book Antiqua" w:cs="宋体"/>
          <w:lang w:eastAsia="zh-CN"/>
        </w:rPr>
        <w:t xml:space="preserve">, Martinuzzo M, Adamczuk Y, Varela ML, Pombo G, Carreras LO. The combination of thrombophilic genotypes is associated with definite antiphospholipid syndrome. </w:t>
      </w:r>
      <w:r w:rsidRPr="00AB0E48">
        <w:rPr>
          <w:rFonts w:ascii="Book Antiqua" w:hAnsi="Book Antiqua" w:cs="宋体"/>
          <w:i/>
          <w:iCs/>
          <w:lang w:eastAsia="zh-CN"/>
        </w:rPr>
        <w:t>Haematologica</w:t>
      </w:r>
      <w:r w:rsidRPr="00AB0E48">
        <w:rPr>
          <w:rFonts w:ascii="Book Antiqua" w:hAnsi="Book Antiqua" w:cs="宋体"/>
          <w:lang w:eastAsia="zh-CN"/>
        </w:rPr>
        <w:t xml:space="preserve"> 2001; </w:t>
      </w:r>
      <w:r w:rsidRPr="00AB0E48">
        <w:rPr>
          <w:rFonts w:ascii="Book Antiqua" w:hAnsi="Book Antiqua" w:cs="宋体"/>
          <w:b/>
          <w:bCs/>
          <w:lang w:eastAsia="zh-CN"/>
        </w:rPr>
        <w:t>86</w:t>
      </w:r>
      <w:r w:rsidRPr="00AB0E48">
        <w:rPr>
          <w:rFonts w:ascii="Book Antiqua" w:hAnsi="Book Antiqua" w:cs="宋体"/>
          <w:lang w:eastAsia="zh-CN"/>
        </w:rPr>
        <w:t>: 735-741 [PMID: 11454529]</w:t>
      </w:r>
    </w:p>
    <w:p w14:paraId="70827CB0" w14:textId="7E021C62"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 xml:space="preserve">58 </w:t>
      </w:r>
      <w:r w:rsidRPr="00AB0E48">
        <w:rPr>
          <w:rFonts w:ascii="Book Antiqua" w:hAnsi="Book Antiqua" w:cs="宋体"/>
          <w:b/>
          <w:bCs/>
          <w:lang w:eastAsia="zh-CN"/>
        </w:rPr>
        <w:t>Galli M</w:t>
      </w:r>
      <w:r w:rsidRPr="00AB0E48">
        <w:rPr>
          <w:rFonts w:ascii="Book Antiqua" w:hAnsi="Book Antiqua" w:cs="宋体"/>
          <w:lang w:eastAsia="zh-CN"/>
        </w:rPr>
        <w:t xml:space="preserve">, Finazzi G, Duca F, Norbis F, Moia M. The G1691 --&amp; gt; A mutation of factor V, but not the G20210 --&amp; gt; A mutation of factor II or the C677 --&amp; gt; T mutation of methylenetetrahydrofolate reductase genes, is associated with venous thrombosis in patients with lupus anticoagulants. </w:t>
      </w:r>
      <w:r w:rsidRPr="00AB0E48">
        <w:rPr>
          <w:rFonts w:ascii="Book Antiqua" w:hAnsi="Book Antiqua" w:cs="宋体"/>
          <w:i/>
          <w:iCs/>
          <w:lang w:eastAsia="zh-CN"/>
        </w:rPr>
        <w:t>Br J Haematol</w:t>
      </w:r>
      <w:r w:rsidRPr="00AB0E48">
        <w:rPr>
          <w:rFonts w:ascii="Book Antiqua" w:hAnsi="Book Antiqua" w:cs="宋体"/>
          <w:lang w:eastAsia="zh-CN"/>
        </w:rPr>
        <w:t xml:space="preserve"> 2000; </w:t>
      </w:r>
      <w:r w:rsidRPr="00AB0E48">
        <w:rPr>
          <w:rFonts w:ascii="Book Antiqua" w:hAnsi="Book Antiqua" w:cs="宋体"/>
          <w:b/>
          <w:bCs/>
          <w:lang w:eastAsia="zh-CN"/>
        </w:rPr>
        <w:t>108</w:t>
      </w:r>
      <w:r w:rsidRPr="00AB0E48">
        <w:rPr>
          <w:rFonts w:ascii="Book Antiqua" w:hAnsi="Book Antiqua" w:cs="宋体"/>
          <w:lang w:eastAsia="zh-CN"/>
        </w:rPr>
        <w:t>: 865-870 [PMID: 10792297 DOI: 10.1046/j.1365-2141.2000.01964.x</w:t>
      </w:r>
      <w:r w:rsidR="00854FEB">
        <w:rPr>
          <w:rFonts w:ascii="Book Antiqua" w:hAnsi="Book Antiqua" w:cs="宋体"/>
          <w:lang w:eastAsia="zh-CN"/>
        </w:rPr>
        <w:t>]</w:t>
      </w:r>
    </w:p>
    <w:p w14:paraId="58F66C5D" w14:textId="6949CE88"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hint="eastAsia"/>
          <w:lang w:eastAsia="zh-CN"/>
        </w:rPr>
        <w:t>59</w:t>
      </w:r>
      <w:r w:rsidR="00AB0E48" w:rsidRPr="00AB0E48">
        <w:rPr>
          <w:rFonts w:ascii="Book Antiqua" w:hAnsi="Book Antiqua" w:cs="宋体"/>
          <w:lang w:eastAsia="zh-CN"/>
        </w:rPr>
        <w:t xml:space="preserve"> </w:t>
      </w:r>
      <w:r w:rsidR="00AB0E48" w:rsidRPr="00AB0E48">
        <w:rPr>
          <w:rFonts w:ascii="Book Antiqua" w:hAnsi="Book Antiqua" w:cs="宋体"/>
          <w:b/>
          <w:bCs/>
          <w:lang w:eastAsia="zh-CN"/>
        </w:rPr>
        <w:t>de Visser MC</w:t>
      </w:r>
      <w:r w:rsidR="00AB0E48" w:rsidRPr="00AB0E48">
        <w:rPr>
          <w:rFonts w:ascii="Book Antiqua" w:hAnsi="Book Antiqua" w:cs="宋体"/>
          <w:lang w:eastAsia="zh-CN"/>
        </w:rPr>
        <w:t xml:space="preserve">, Rosendaal FR, Bertina RM. A reduced sensitivity for activated protein C in the absence of factor V Leiden increases the risk of venous thrombosis. </w:t>
      </w:r>
      <w:r w:rsidR="00AB0E48" w:rsidRPr="00AB0E48">
        <w:rPr>
          <w:rFonts w:ascii="Book Antiqua" w:hAnsi="Book Antiqua" w:cs="宋体"/>
          <w:i/>
          <w:iCs/>
          <w:lang w:eastAsia="zh-CN"/>
        </w:rPr>
        <w:t>Blood</w:t>
      </w:r>
      <w:r w:rsidR="00AB0E48" w:rsidRPr="00AB0E48">
        <w:rPr>
          <w:rFonts w:ascii="Book Antiqua" w:hAnsi="Book Antiqua" w:cs="宋体"/>
          <w:lang w:eastAsia="zh-CN"/>
        </w:rPr>
        <w:t xml:space="preserve"> 1999; </w:t>
      </w:r>
      <w:r w:rsidR="00AB0E48" w:rsidRPr="00AB0E48">
        <w:rPr>
          <w:rFonts w:ascii="Book Antiqua" w:hAnsi="Book Antiqua" w:cs="宋体"/>
          <w:b/>
          <w:bCs/>
          <w:lang w:eastAsia="zh-CN"/>
        </w:rPr>
        <w:t>93</w:t>
      </w:r>
      <w:r w:rsidR="00AB0E48" w:rsidRPr="00AB0E48">
        <w:rPr>
          <w:rFonts w:ascii="Book Antiqua" w:hAnsi="Book Antiqua" w:cs="宋体"/>
          <w:lang w:eastAsia="zh-CN"/>
        </w:rPr>
        <w:t>: 1271-1276 [PMID: 9949170]</w:t>
      </w:r>
    </w:p>
    <w:p w14:paraId="00A8125E" w14:textId="41DECDEF"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0</w:t>
      </w:r>
      <w:r w:rsidRPr="00AB0E48">
        <w:rPr>
          <w:rFonts w:ascii="Book Antiqua" w:hAnsi="Book Antiqua" w:cs="宋体"/>
          <w:lang w:eastAsia="zh-CN"/>
        </w:rPr>
        <w:t xml:space="preserve"> </w:t>
      </w:r>
      <w:r w:rsidRPr="00AB0E48">
        <w:rPr>
          <w:rFonts w:ascii="Book Antiqua" w:hAnsi="Book Antiqua" w:cs="宋体"/>
          <w:b/>
          <w:bCs/>
          <w:lang w:eastAsia="zh-CN"/>
        </w:rPr>
        <w:t>Erkan D</w:t>
      </w:r>
      <w:r w:rsidRPr="00AB0E48">
        <w:rPr>
          <w:rFonts w:ascii="Book Antiqua" w:hAnsi="Book Antiqua" w:cs="宋体"/>
          <w:lang w:eastAsia="zh-CN"/>
        </w:rPr>
        <w:t xml:space="preserve">, Zhang HW, Shriky RC, Merrill JT. Dual antibody reactivity to beta2-glycoprotein I and protein S: increased association with thrombotic events in the antiphospholipid syndrome. </w:t>
      </w:r>
      <w:r w:rsidRPr="00AB0E48">
        <w:rPr>
          <w:rFonts w:ascii="Book Antiqua" w:hAnsi="Book Antiqua" w:cs="宋体"/>
          <w:i/>
          <w:iCs/>
          <w:lang w:eastAsia="zh-CN"/>
        </w:rPr>
        <w:t>Lupus</w:t>
      </w:r>
      <w:r w:rsidRPr="00AB0E48">
        <w:rPr>
          <w:rFonts w:ascii="Book Antiqua" w:hAnsi="Book Antiqua" w:cs="宋体"/>
          <w:lang w:eastAsia="zh-CN"/>
        </w:rPr>
        <w:t xml:space="preserve"> 2002; </w:t>
      </w:r>
      <w:r w:rsidRPr="00AB0E48">
        <w:rPr>
          <w:rFonts w:ascii="Book Antiqua" w:hAnsi="Book Antiqua" w:cs="宋体"/>
          <w:b/>
          <w:bCs/>
          <w:lang w:eastAsia="zh-CN"/>
        </w:rPr>
        <w:t>11</w:t>
      </w:r>
      <w:r w:rsidRPr="00AB0E48">
        <w:rPr>
          <w:rFonts w:ascii="Book Antiqua" w:hAnsi="Book Antiqua" w:cs="宋体"/>
          <w:lang w:eastAsia="zh-CN"/>
        </w:rPr>
        <w:t>: 215-220 [PMID: 12043884 DOI: 10.1191/0961203302lu178oa</w:t>
      </w:r>
      <w:r w:rsidR="00854FEB">
        <w:rPr>
          <w:rFonts w:ascii="Book Antiqua" w:hAnsi="Book Antiqua" w:cs="宋体"/>
          <w:lang w:eastAsia="zh-CN"/>
        </w:rPr>
        <w:t>]</w:t>
      </w:r>
    </w:p>
    <w:p w14:paraId="4AD546D0" w14:textId="5DAE3E8C"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1</w:t>
      </w:r>
      <w:r w:rsidRPr="00854FEB">
        <w:rPr>
          <w:rFonts w:ascii="Book Antiqua" w:hAnsi="Book Antiqua" w:cs="宋体"/>
          <w:b/>
          <w:lang w:eastAsia="zh-CN"/>
        </w:rPr>
        <w:t xml:space="preserve"> </w:t>
      </w:r>
      <w:r w:rsidR="00854FEB" w:rsidRPr="00854FEB">
        <w:rPr>
          <w:rFonts w:ascii="Book Antiqua" w:hAnsi="Book Antiqua" w:cs="Arial"/>
          <w:b/>
        </w:rPr>
        <w:t>Castro-Marrero J</w:t>
      </w:r>
      <w:r w:rsidR="00854FEB" w:rsidRPr="001467E4">
        <w:rPr>
          <w:rFonts w:ascii="Book Antiqua" w:hAnsi="Book Antiqua" w:cs="Arial"/>
        </w:rPr>
        <w:t>, Balada E, Ordi-Rios J, Vilardell-Tarrés M. Genetics of Antiphospholipid Syndrome. In: Antiphospholipid Syndrome; Chapter 3. Ed by Buliková A. InTech, Croatia</w:t>
      </w:r>
      <w:r w:rsidR="00854FEB">
        <w:rPr>
          <w:rFonts w:ascii="Book Antiqua" w:hAnsi="Book Antiqua" w:cs="Arial" w:hint="eastAsia"/>
          <w:lang w:eastAsia="zh-CN"/>
        </w:rPr>
        <w:t>,</w:t>
      </w:r>
      <w:r w:rsidR="00854FEB" w:rsidRPr="001467E4">
        <w:rPr>
          <w:rFonts w:ascii="Book Antiqua" w:hAnsi="Book Antiqua" w:cs="Arial"/>
        </w:rPr>
        <w:t xml:space="preserve"> 2012</w:t>
      </w:r>
      <w:r w:rsidR="00854FEB">
        <w:rPr>
          <w:rFonts w:ascii="Book Antiqua" w:hAnsi="Book Antiqua" w:cs="Arial" w:hint="eastAsia"/>
          <w:lang w:eastAsia="zh-CN"/>
        </w:rPr>
        <w:t xml:space="preserve">: </w:t>
      </w:r>
      <w:r w:rsidR="00854FEB">
        <w:rPr>
          <w:rFonts w:ascii="Book Antiqua" w:hAnsi="Book Antiqua" w:cs="Arial"/>
        </w:rPr>
        <w:t>35-66</w:t>
      </w:r>
      <w:r w:rsidR="00854FEB">
        <w:rPr>
          <w:rFonts w:ascii="Book Antiqua" w:hAnsi="Book Antiqua" w:cs="宋体"/>
          <w:lang w:eastAsia="zh-CN"/>
        </w:rPr>
        <w:t xml:space="preserve"> </w:t>
      </w:r>
      <w:r w:rsidR="00854FEB">
        <w:rPr>
          <w:rFonts w:ascii="Book Antiqua" w:hAnsi="Book Antiqua" w:cs="宋体" w:hint="eastAsia"/>
          <w:lang w:eastAsia="zh-CN"/>
        </w:rPr>
        <w:t>[</w:t>
      </w:r>
      <w:r w:rsidR="00854FEB">
        <w:rPr>
          <w:rFonts w:ascii="Book Antiqua" w:hAnsi="Book Antiqua" w:cs="宋体"/>
          <w:lang w:eastAsia="zh-CN"/>
        </w:rPr>
        <w:t>DOI: 10.5772/31921</w:t>
      </w:r>
      <w:r w:rsidR="00854FEB">
        <w:rPr>
          <w:rFonts w:ascii="Book Antiqua" w:hAnsi="Book Antiqua" w:cs="宋体" w:hint="eastAsia"/>
          <w:lang w:eastAsia="zh-CN"/>
        </w:rPr>
        <w:t>]</w:t>
      </w:r>
    </w:p>
    <w:p w14:paraId="730A68E9" w14:textId="73E52400"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2</w:t>
      </w:r>
      <w:r w:rsidRPr="00AB0E48">
        <w:rPr>
          <w:rFonts w:ascii="Book Antiqua" w:hAnsi="Book Antiqua" w:cs="宋体"/>
          <w:lang w:eastAsia="zh-CN"/>
        </w:rPr>
        <w:t xml:space="preserve"> </w:t>
      </w:r>
      <w:r w:rsidRPr="00AB0E48">
        <w:rPr>
          <w:rFonts w:ascii="Book Antiqua" w:hAnsi="Book Antiqua" w:cs="宋体"/>
          <w:b/>
          <w:bCs/>
          <w:lang w:eastAsia="zh-CN"/>
        </w:rPr>
        <w:t>Gharavi AE</w:t>
      </w:r>
      <w:r w:rsidRPr="00AB0E48">
        <w:rPr>
          <w:rFonts w:ascii="Book Antiqua" w:hAnsi="Book Antiqua" w:cs="宋体"/>
          <w:lang w:eastAsia="zh-CN"/>
        </w:rPr>
        <w:t xml:space="preserve">, Sammaritano LR, Wen J, Elkon KB. Induction of antiphospholipid autoantibodies by immunization with beta 2 glycoprotein I (apolipoprotein H). </w:t>
      </w:r>
      <w:r w:rsidRPr="00AB0E48">
        <w:rPr>
          <w:rFonts w:ascii="Book Antiqua" w:hAnsi="Book Antiqua" w:cs="宋体"/>
          <w:i/>
          <w:iCs/>
          <w:lang w:eastAsia="zh-CN"/>
        </w:rPr>
        <w:t>J Clin Invest</w:t>
      </w:r>
      <w:r w:rsidRPr="00AB0E48">
        <w:rPr>
          <w:rFonts w:ascii="Book Antiqua" w:hAnsi="Book Antiqua" w:cs="宋体"/>
          <w:lang w:eastAsia="zh-CN"/>
        </w:rPr>
        <w:t xml:space="preserve"> 1992; </w:t>
      </w:r>
      <w:r w:rsidRPr="00AB0E48">
        <w:rPr>
          <w:rFonts w:ascii="Book Antiqua" w:hAnsi="Book Antiqua" w:cs="宋体"/>
          <w:b/>
          <w:bCs/>
          <w:lang w:eastAsia="zh-CN"/>
        </w:rPr>
        <w:t>90</w:t>
      </w:r>
      <w:r w:rsidRPr="00AB0E48">
        <w:rPr>
          <w:rFonts w:ascii="Book Antiqua" w:hAnsi="Book Antiqua" w:cs="宋体"/>
          <w:lang w:eastAsia="zh-CN"/>
        </w:rPr>
        <w:t>: 1105-1109 [PMID: 1522219 DOI: 10.1172/JCI115927</w:t>
      </w:r>
      <w:r w:rsidR="00854FEB">
        <w:rPr>
          <w:rFonts w:ascii="Book Antiqua" w:hAnsi="Book Antiqua" w:cs="宋体"/>
          <w:lang w:eastAsia="zh-CN"/>
        </w:rPr>
        <w:t>]</w:t>
      </w:r>
    </w:p>
    <w:p w14:paraId="7167A5A8" w14:textId="6298B40B"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3</w:t>
      </w:r>
      <w:r w:rsidRPr="00AB0E48">
        <w:rPr>
          <w:rFonts w:ascii="Book Antiqua" w:hAnsi="Book Antiqua" w:cs="宋体"/>
          <w:lang w:eastAsia="zh-CN"/>
        </w:rPr>
        <w:t xml:space="preserve"> </w:t>
      </w:r>
      <w:r w:rsidRPr="00AB0E48">
        <w:rPr>
          <w:rFonts w:ascii="Book Antiqua" w:hAnsi="Book Antiqua" w:cs="宋体"/>
          <w:b/>
          <w:bCs/>
          <w:lang w:eastAsia="zh-CN"/>
        </w:rPr>
        <w:t>Gharavi AE</w:t>
      </w:r>
      <w:r w:rsidRPr="00AB0E48">
        <w:rPr>
          <w:rFonts w:ascii="Book Antiqua" w:hAnsi="Book Antiqua" w:cs="宋体"/>
          <w:lang w:eastAsia="zh-CN"/>
        </w:rPr>
        <w:t xml:space="preserve">, Pierangeli SS, Colden-Stanfield M, Liu XW, Espinola RG, Harris EN. GDKV-induced antiphospholipid antibodies enhance thrombosis and activate endothelial cells in vivo and in vitro. </w:t>
      </w:r>
      <w:r w:rsidRPr="00AB0E48">
        <w:rPr>
          <w:rFonts w:ascii="Book Antiqua" w:hAnsi="Book Antiqua" w:cs="宋体"/>
          <w:i/>
          <w:iCs/>
          <w:lang w:eastAsia="zh-CN"/>
        </w:rPr>
        <w:t>J Immunol</w:t>
      </w:r>
      <w:r w:rsidRPr="00AB0E48">
        <w:rPr>
          <w:rFonts w:ascii="Book Antiqua" w:hAnsi="Book Antiqua" w:cs="宋体"/>
          <w:lang w:eastAsia="zh-CN"/>
        </w:rPr>
        <w:t xml:space="preserve"> 1999; </w:t>
      </w:r>
      <w:r w:rsidRPr="00AB0E48">
        <w:rPr>
          <w:rFonts w:ascii="Book Antiqua" w:hAnsi="Book Antiqua" w:cs="宋体"/>
          <w:b/>
          <w:bCs/>
          <w:lang w:eastAsia="zh-CN"/>
        </w:rPr>
        <w:t>163</w:t>
      </w:r>
      <w:r w:rsidRPr="00AB0E48">
        <w:rPr>
          <w:rFonts w:ascii="Book Antiqua" w:hAnsi="Book Antiqua" w:cs="宋体"/>
          <w:lang w:eastAsia="zh-CN"/>
        </w:rPr>
        <w:t>: 2922-2927 [PMID: 10453040]</w:t>
      </w:r>
    </w:p>
    <w:p w14:paraId="304B1757" w14:textId="0B9B1D52"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4</w:t>
      </w:r>
      <w:r w:rsidRPr="00AB0E48">
        <w:rPr>
          <w:rFonts w:ascii="Book Antiqua" w:hAnsi="Book Antiqua" w:cs="宋体"/>
          <w:lang w:eastAsia="zh-CN"/>
        </w:rPr>
        <w:t xml:space="preserve"> </w:t>
      </w:r>
      <w:r w:rsidRPr="00AB0E48">
        <w:rPr>
          <w:rFonts w:ascii="Book Antiqua" w:hAnsi="Book Antiqua" w:cs="宋体"/>
          <w:b/>
          <w:bCs/>
          <w:lang w:eastAsia="zh-CN"/>
        </w:rPr>
        <w:t>Gharavi AE</w:t>
      </w:r>
      <w:r w:rsidRPr="00AB0E48">
        <w:rPr>
          <w:rFonts w:ascii="Book Antiqua" w:hAnsi="Book Antiqua" w:cs="宋体"/>
          <w:lang w:eastAsia="zh-CN"/>
        </w:rPr>
        <w:t xml:space="preserve">, Pierangeli SS, Gharavi EE, Hua T, Liu XW, Barker JH, Anderson GH, Harris EN. Thrombogenic properties of antiphospholipid antibodies do not depend on their binding to beta2 glycoprotein 1 (beta2GP1) alone. </w:t>
      </w:r>
      <w:r w:rsidRPr="00AB0E48">
        <w:rPr>
          <w:rFonts w:ascii="Book Antiqua" w:hAnsi="Book Antiqua" w:cs="宋体"/>
          <w:i/>
          <w:iCs/>
          <w:lang w:eastAsia="zh-CN"/>
        </w:rPr>
        <w:t>Lupus</w:t>
      </w:r>
      <w:r w:rsidRPr="00AB0E48">
        <w:rPr>
          <w:rFonts w:ascii="Book Antiqua" w:hAnsi="Book Antiqua" w:cs="宋体"/>
          <w:lang w:eastAsia="zh-CN"/>
        </w:rPr>
        <w:t xml:space="preserve"> 1998; </w:t>
      </w:r>
      <w:r w:rsidRPr="00AB0E48">
        <w:rPr>
          <w:rFonts w:ascii="Book Antiqua" w:hAnsi="Book Antiqua" w:cs="宋体"/>
          <w:b/>
          <w:bCs/>
          <w:lang w:eastAsia="zh-CN"/>
        </w:rPr>
        <w:t>7</w:t>
      </w:r>
      <w:r w:rsidRPr="00AB0E48">
        <w:rPr>
          <w:rFonts w:ascii="Book Antiqua" w:hAnsi="Book Antiqua" w:cs="宋体"/>
          <w:lang w:eastAsia="zh-CN"/>
        </w:rPr>
        <w:t>: 341-346 [PMID: 9696138 DOI: 10.1191/096120398678920190</w:t>
      </w:r>
      <w:r w:rsidR="00854FEB">
        <w:rPr>
          <w:rFonts w:ascii="Book Antiqua" w:hAnsi="Book Antiqua" w:cs="宋体"/>
          <w:lang w:eastAsia="zh-CN"/>
        </w:rPr>
        <w:t>]</w:t>
      </w:r>
    </w:p>
    <w:p w14:paraId="4BCB4171" w14:textId="6BE05C66"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5</w:t>
      </w:r>
      <w:r w:rsidRPr="00AB0E48">
        <w:rPr>
          <w:rFonts w:ascii="Book Antiqua" w:hAnsi="Book Antiqua" w:cs="宋体"/>
          <w:lang w:eastAsia="zh-CN"/>
        </w:rPr>
        <w:t xml:space="preserve"> </w:t>
      </w:r>
      <w:r w:rsidRPr="00AB0E48">
        <w:rPr>
          <w:rFonts w:ascii="Book Antiqua" w:hAnsi="Book Antiqua" w:cs="宋体"/>
          <w:b/>
          <w:bCs/>
          <w:lang w:eastAsia="zh-CN"/>
        </w:rPr>
        <w:t>Gharavi AE</w:t>
      </w:r>
      <w:r w:rsidRPr="00AB0E48">
        <w:rPr>
          <w:rFonts w:ascii="Book Antiqua" w:hAnsi="Book Antiqua" w:cs="宋体"/>
          <w:lang w:eastAsia="zh-CN"/>
        </w:rPr>
        <w:t xml:space="preserve">, Pierangeli SS, Espinola RG, Liu X, Colden-Stanfield M, Harris EN. Antiphospholipid antibodies induced in mice by immunization with a cytomegalovirus-derived peptide cause thrombosis and activation of endothelial cells in vivo. </w:t>
      </w:r>
      <w:r w:rsidRPr="00AB0E48">
        <w:rPr>
          <w:rFonts w:ascii="Book Antiqua" w:hAnsi="Book Antiqua" w:cs="宋体"/>
          <w:i/>
          <w:iCs/>
          <w:lang w:eastAsia="zh-CN"/>
        </w:rPr>
        <w:t>Arthritis Rheum</w:t>
      </w:r>
      <w:r w:rsidRPr="00AB0E48">
        <w:rPr>
          <w:rFonts w:ascii="Book Antiqua" w:hAnsi="Book Antiqua" w:cs="宋体"/>
          <w:lang w:eastAsia="zh-CN"/>
        </w:rPr>
        <w:t xml:space="preserve"> 2002; </w:t>
      </w:r>
      <w:r w:rsidRPr="00AB0E48">
        <w:rPr>
          <w:rFonts w:ascii="Book Antiqua" w:hAnsi="Book Antiqua" w:cs="宋体"/>
          <w:b/>
          <w:bCs/>
          <w:lang w:eastAsia="zh-CN"/>
        </w:rPr>
        <w:t>46</w:t>
      </w:r>
      <w:r w:rsidRPr="00AB0E48">
        <w:rPr>
          <w:rFonts w:ascii="Book Antiqua" w:hAnsi="Book Antiqua" w:cs="宋体"/>
          <w:lang w:eastAsia="zh-CN"/>
        </w:rPr>
        <w:t>: 545-552 [PMID: 11840458 DOI: 10.1002/art.10130</w:t>
      </w:r>
      <w:r w:rsidR="00854FEB">
        <w:rPr>
          <w:rFonts w:ascii="Book Antiqua" w:hAnsi="Book Antiqua" w:cs="宋体"/>
          <w:lang w:eastAsia="zh-CN"/>
        </w:rPr>
        <w:t>]</w:t>
      </w:r>
    </w:p>
    <w:p w14:paraId="4F9A67EA" w14:textId="2227D813"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6</w:t>
      </w:r>
      <w:r w:rsidRPr="00AB0E48">
        <w:rPr>
          <w:rFonts w:ascii="Book Antiqua" w:hAnsi="Book Antiqua" w:cs="宋体"/>
          <w:lang w:eastAsia="zh-CN"/>
        </w:rPr>
        <w:t xml:space="preserve"> </w:t>
      </w:r>
      <w:r w:rsidRPr="00AB0E48">
        <w:rPr>
          <w:rFonts w:ascii="Book Antiqua" w:hAnsi="Book Antiqua" w:cs="宋体"/>
          <w:b/>
          <w:bCs/>
          <w:lang w:eastAsia="zh-CN"/>
        </w:rPr>
        <w:t>Gharavi AE</w:t>
      </w:r>
      <w:r w:rsidRPr="00AB0E48">
        <w:rPr>
          <w:rFonts w:ascii="Book Antiqua" w:hAnsi="Book Antiqua" w:cs="宋体"/>
          <w:lang w:eastAsia="zh-CN"/>
        </w:rPr>
        <w:t xml:space="preserve">, Vega-Ostertag M, Espinola RG, Liu X, Cole L, Cox NT, Romagnoli P, Labat K, Pierangeli SS. Intrauterine fetal death in mice caused by cytomegalovirus-derived peptide induced aPL antibodies. </w:t>
      </w:r>
      <w:r w:rsidRPr="00AB0E48">
        <w:rPr>
          <w:rFonts w:ascii="Book Antiqua" w:hAnsi="Book Antiqua" w:cs="宋体"/>
          <w:i/>
          <w:iCs/>
          <w:lang w:eastAsia="zh-CN"/>
        </w:rPr>
        <w:t>Lupus</w:t>
      </w:r>
      <w:r w:rsidRPr="00AB0E48">
        <w:rPr>
          <w:rFonts w:ascii="Book Antiqua" w:hAnsi="Book Antiqua" w:cs="宋体"/>
          <w:lang w:eastAsia="zh-CN"/>
        </w:rPr>
        <w:t xml:space="preserve"> 2004; </w:t>
      </w:r>
      <w:r w:rsidRPr="00AB0E48">
        <w:rPr>
          <w:rFonts w:ascii="Book Antiqua" w:hAnsi="Book Antiqua" w:cs="宋体"/>
          <w:b/>
          <w:bCs/>
          <w:lang w:eastAsia="zh-CN"/>
        </w:rPr>
        <w:t>13</w:t>
      </w:r>
      <w:r w:rsidRPr="00AB0E48">
        <w:rPr>
          <w:rFonts w:ascii="Book Antiqua" w:hAnsi="Book Antiqua" w:cs="宋体"/>
          <w:lang w:eastAsia="zh-CN"/>
        </w:rPr>
        <w:t>: 17-23 [PMID: 14870913 DOI: 10.1191/0961203304lu484oa</w:t>
      </w:r>
      <w:r w:rsidR="00854FEB">
        <w:rPr>
          <w:rFonts w:ascii="Book Antiqua" w:hAnsi="Book Antiqua" w:cs="宋体"/>
          <w:lang w:eastAsia="zh-CN"/>
        </w:rPr>
        <w:t>]</w:t>
      </w:r>
    </w:p>
    <w:p w14:paraId="71914A01" w14:textId="2343E3A9"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7</w:t>
      </w:r>
      <w:r w:rsidRPr="00AB0E48">
        <w:rPr>
          <w:rFonts w:ascii="Book Antiqua" w:hAnsi="Book Antiqua" w:cs="宋体"/>
          <w:lang w:eastAsia="zh-CN"/>
        </w:rPr>
        <w:t xml:space="preserve"> </w:t>
      </w:r>
      <w:r w:rsidRPr="00AB0E48">
        <w:rPr>
          <w:rFonts w:ascii="Book Antiqua" w:hAnsi="Book Antiqua" w:cs="宋体"/>
          <w:b/>
          <w:bCs/>
          <w:lang w:eastAsia="zh-CN"/>
        </w:rPr>
        <w:t>Blank M</w:t>
      </w:r>
      <w:r w:rsidRPr="00AB0E48">
        <w:rPr>
          <w:rFonts w:ascii="Book Antiqua" w:hAnsi="Book Antiqua" w:cs="宋体"/>
          <w:lang w:eastAsia="zh-CN"/>
        </w:rPr>
        <w:t xml:space="preserve">, Krause I, Fridkin M, Keller N, Kopolovic J, Goldberg I, Tobar A, Shoenfeld Y. Bacterial induction of autoantibodies to beta2-glycoprotein-I accounts for the infectious etiology of antiphospholipid syndrome. </w:t>
      </w:r>
      <w:r w:rsidRPr="00AB0E48">
        <w:rPr>
          <w:rFonts w:ascii="Book Antiqua" w:hAnsi="Book Antiqua" w:cs="宋体"/>
          <w:i/>
          <w:iCs/>
          <w:lang w:eastAsia="zh-CN"/>
        </w:rPr>
        <w:t>J Clin Invest</w:t>
      </w:r>
      <w:r w:rsidRPr="00AB0E48">
        <w:rPr>
          <w:rFonts w:ascii="Book Antiqua" w:hAnsi="Book Antiqua" w:cs="宋体"/>
          <w:lang w:eastAsia="zh-CN"/>
        </w:rPr>
        <w:t xml:space="preserve"> 2002; </w:t>
      </w:r>
      <w:r w:rsidRPr="00AB0E48">
        <w:rPr>
          <w:rFonts w:ascii="Book Antiqua" w:hAnsi="Book Antiqua" w:cs="宋体"/>
          <w:b/>
          <w:bCs/>
          <w:lang w:eastAsia="zh-CN"/>
        </w:rPr>
        <w:t>109</w:t>
      </w:r>
      <w:r w:rsidRPr="00AB0E48">
        <w:rPr>
          <w:rFonts w:ascii="Book Antiqua" w:hAnsi="Book Antiqua" w:cs="宋体"/>
          <w:lang w:eastAsia="zh-CN"/>
        </w:rPr>
        <w:t>: 797-804 [PMID: 11901188 DOI: 10.1172/JCI200212337]</w:t>
      </w:r>
    </w:p>
    <w:p w14:paraId="6DD10BEF" w14:textId="4C7B3B0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6</w:t>
      </w:r>
      <w:r w:rsidR="00854FEB">
        <w:rPr>
          <w:rFonts w:ascii="Book Antiqua" w:hAnsi="Book Antiqua" w:cs="宋体" w:hint="eastAsia"/>
          <w:lang w:eastAsia="zh-CN"/>
        </w:rPr>
        <w:t>8</w:t>
      </w:r>
      <w:r w:rsidRPr="00AB0E48">
        <w:rPr>
          <w:rFonts w:ascii="Book Antiqua" w:hAnsi="Book Antiqua" w:cs="宋体"/>
          <w:lang w:eastAsia="zh-CN"/>
        </w:rPr>
        <w:t xml:space="preserve"> </w:t>
      </w:r>
      <w:r w:rsidRPr="00AB0E48">
        <w:rPr>
          <w:rFonts w:ascii="Book Antiqua" w:hAnsi="Book Antiqua" w:cs="宋体"/>
          <w:b/>
          <w:bCs/>
          <w:lang w:eastAsia="zh-CN"/>
        </w:rPr>
        <w:t>van Os GM</w:t>
      </w:r>
      <w:r w:rsidRPr="00AB0E48">
        <w:rPr>
          <w:rFonts w:ascii="Book Antiqua" w:hAnsi="Book Antiqua" w:cs="宋体"/>
          <w:lang w:eastAsia="zh-CN"/>
        </w:rPr>
        <w:t xml:space="preserve">, Meijers JC, Agar Ç, Seron MV, Marquart JA, Åkesson P, Urbanus RT, Derksen RH, Herwald H, Mörgelin M, D E Groot PG. Induction of anti-β2 -glycoprotein I autoantibodies in mice by protein H of Streptococcus pyogenes. </w:t>
      </w:r>
      <w:r w:rsidRPr="00AB0E48">
        <w:rPr>
          <w:rFonts w:ascii="Book Antiqua" w:hAnsi="Book Antiqua" w:cs="宋体"/>
          <w:i/>
          <w:iCs/>
          <w:lang w:eastAsia="zh-CN"/>
        </w:rPr>
        <w:t>J Thromb Haemost</w:t>
      </w:r>
      <w:r w:rsidRPr="00AB0E48">
        <w:rPr>
          <w:rFonts w:ascii="Book Antiqua" w:hAnsi="Book Antiqua" w:cs="宋体"/>
          <w:lang w:eastAsia="zh-CN"/>
        </w:rPr>
        <w:t xml:space="preserve"> 2011; </w:t>
      </w:r>
      <w:r w:rsidRPr="00AB0E48">
        <w:rPr>
          <w:rFonts w:ascii="Book Antiqua" w:hAnsi="Book Antiqua" w:cs="宋体"/>
          <w:b/>
          <w:bCs/>
          <w:lang w:eastAsia="zh-CN"/>
        </w:rPr>
        <w:t>9</w:t>
      </w:r>
      <w:r w:rsidRPr="00AB0E48">
        <w:rPr>
          <w:rFonts w:ascii="Book Antiqua" w:hAnsi="Book Antiqua" w:cs="宋体"/>
          <w:lang w:eastAsia="zh-CN"/>
        </w:rPr>
        <w:t>: 2447-2456 [PMID: 21985124 DOI: 10.1111/j.1538-7836.2011.04532.x</w:t>
      </w:r>
      <w:r w:rsidR="00854FEB">
        <w:rPr>
          <w:rFonts w:ascii="Book Antiqua" w:hAnsi="Book Antiqua" w:cs="宋体"/>
          <w:lang w:eastAsia="zh-CN"/>
        </w:rPr>
        <w:t>]</w:t>
      </w:r>
    </w:p>
    <w:p w14:paraId="07C3CE88" w14:textId="20666A87"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hint="eastAsia"/>
          <w:lang w:eastAsia="zh-CN"/>
        </w:rPr>
        <w:t>69</w:t>
      </w:r>
      <w:r w:rsidR="00AB0E48" w:rsidRPr="00AB0E48">
        <w:rPr>
          <w:rFonts w:ascii="Book Antiqua" w:hAnsi="Book Antiqua" w:cs="宋体"/>
          <w:lang w:eastAsia="zh-CN"/>
        </w:rPr>
        <w:t xml:space="preserve"> </w:t>
      </w:r>
      <w:r w:rsidR="00AB0E48" w:rsidRPr="00AB0E48">
        <w:rPr>
          <w:rFonts w:ascii="Book Antiqua" w:hAnsi="Book Antiqua" w:cs="宋体"/>
          <w:b/>
          <w:bCs/>
          <w:lang w:eastAsia="zh-CN"/>
        </w:rPr>
        <w:t>Sène D</w:t>
      </w:r>
      <w:r w:rsidR="00AB0E48" w:rsidRPr="00AB0E48">
        <w:rPr>
          <w:rFonts w:ascii="Book Antiqua" w:hAnsi="Book Antiqua" w:cs="宋体"/>
          <w:lang w:eastAsia="zh-CN"/>
        </w:rPr>
        <w:t xml:space="preserve">, Piette JC, Cacoub P. [Antiphospholipid antibodies, antiphospholipid syndrome and viral infections]. </w:t>
      </w:r>
      <w:r w:rsidR="00AB0E48" w:rsidRPr="00AB0E48">
        <w:rPr>
          <w:rFonts w:ascii="Book Antiqua" w:hAnsi="Book Antiqua" w:cs="宋体"/>
          <w:i/>
          <w:iCs/>
          <w:lang w:eastAsia="zh-CN"/>
        </w:rPr>
        <w:t>Rev Med Interne</w:t>
      </w:r>
      <w:r w:rsidR="00AB0E48" w:rsidRPr="00AB0E48">
        <w:rPr>
          <w:rFonts w:ascii="Book Antiqua" w:hAnsi="Book Antiqua" w:cs="宋体"/>
          <w:lang w:eastAsia="zh-CN"/>
        </w:rPr>
        <w:t xml:space="preserve"> 2009; </w:t>
      </w:r>
      <w:r w:rsidR="00AB0E48" w:rsidRPr="00AB0E48">
        <w:rPr>
          <w:rFonts w:ascii="Book Antiqua" w:hAnsi="Book Antiqua" w:cs="宋体"/>
          <w:b/>
          <w:bCs/>
          <w:lang w:eastAsia="zh-CN"/>
        </w:rPr>
        <w:t>30</w:t>
      </w:r>
      <w:r w:rsidR="00AB0E48" w:rsidRPr="00AB0E48">
        <w:rPr>
          <w:rFonts w:ascii="Book Antiqua" w:hAnsi="Book Antiqua" w:cs="宋体"/>
          <w:lang w:eastAsia="zh-CN"/>
        </w:rPr>
        <w:t>: 135-141 [PMID: 18926604 DOI: 10.1016/j.revmed.2008.05.020</w:t>
      </w:r>
      <w:r>
        <w:rPr>
          <w:rFonts w:ascii="Book Antiqua" w:hAnsi="Book Antiqua" w:cs="宋体"/>
          <w:lang w:eastAsia="zh-CN"/>
        </w:rPr>
        <w:t>]</w:t>
      </w:r>
    </w:p>
    <w:p w14:paraId="7DD6F0DF" w14:textId="7E5B15DC"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0</w:t>
      </w:r>
      <w:r w:rsidRPr="00AB0E48">
        <w:rPr>
          <w:rFonts w:ascii="Book Antiqua" w:hAnsi="Book Antiqua" w:cs="宋体"/>
          <w:lang w:eastAsia="zh-CN"/>
        </w:rPr>
        <w:t xml:space="preserve"> </w:t>
      </w:r>
      <w:r w:rsidRPr="00AB0E48">
        <w:rPr>
          <w:rFonts w:ascii="Book Antiqua" w:hAnsi="Book Antiqua" w:cs="宋体"/>
          <w:b/>
          <w:bCs/>
          <w:lang w:eastAsia="zh-CN"/>
        </w:rPr>
        <w:t>van de Berg PJ</w:t>
      </w:r>
      <w:r w:rsidRPr="00AB0E48">
        <w:rPr>
          <w:rFonts w:ascii="Book Antiqua" w:hAnsi="Book Antiqua" w:cs="宋体"/>
          <w:lang w:eastAsia="zh-CN"/>
        </w:rPr>
        <w:t xml:space="preserve">, Heutinck KM, Raabe R, Minnee RC, Young SL, van Donselaar-van der Pant KA, Bemelman FJ, van Lier RA, ten Berge IJ. Human cytomegalovirus induces systemic immune activation characterized by a type 1 cytokine signature. </w:t>
      </w:r>
      <w:r w:rsidRPr="00AB0E48">
        <w:rPr>
          <w:rFonts w:ascii="Book Antiqua" w:hAnsi="Book Antiqua" w:cs="宋体"/>
          <w:i/>
          <w:iCs/>
          <w:lang w:eastAsia="zh-CN"/>
        </w:rPr>
        <w:t>J Infect Dis</w:t>
      </w:r>
      <w:r w:rsidRPr="00AB0E48">
        <w:rPr>
          <w:rFonts w:ascii="Book Antiqua" w:hAnsi="Book Antiqua" w:cs="宋体"/>
          <w:lang w:eastAsia="zh-CN"/>
        </w:rPr>
        <w:t xml:space="preserve"> 2010; </w:t>
      </w:r>
      <w:r w:rsidRPr="00AB0E48">
        <w:rPr>
          <w:rFonts w:ascii="Book Antiqua" w:hAnsi="Book Antiqua" w:cs="宋体"/>
          <w:b/>
          <w:bCs/>
          <w:lang w:eastAsia="zh-CN"/>
        </w:rPr>
        <w:t>202</w:t>
      </w:r>
      <w:r w:rsidRPr="00AB0E48">
        <w:rPr>
          <w:rFonts w:ascii="Book Antiqua" w:hAnsi="Book Antiqua" w:cs="宋体"/>
          <w:lang w:eastAsia="zh-CN"/>
        </w:rPr>
        <w:t>: 690-699 [PMID: 20632887]</w:t>
      </w:r>
    </w:p>
    <w:p w14:paraId="39E3A76E" w14:textId="6E429F3B"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1</w:t>
      </w:r>
      <w:r w:rsidRPr="00AB0E48">
        <w:rPr>
          <w:rFonts w:ascii="Book Antiqua" w:hAnsi="Book Antiqua" w:cs="宋体"/>
          <w:lang w:eastAsia="zh-CN"/>
        </w:rPr>
        <w:t xml:space="preserve"> </w:t>
      </w:r>
      <w:r w:rsidRPr="00AB0E48">
        <w:rPr>
          <w:rFonts w:ascii="Book Antiqua" w:hAnsi="Book Antiqua" w:cs="宋体"/>
          <w:b/>
          <w:bCs/>
          <w:lang w:eastAsia="zh-CN"/>
        </w:rPr>
        <w:t>Prandota J</w:t>
      </w:r>
      <w:r w:rsidRPr="00AB0E48">
        <w:rPr>
          <w:rFonts w:ascii="Book Antiqua" w:hAnsi="Book Antiqua" w:cs="宋体"/>
          <w:lang w:eastAsia="zh-CN"/>
        </w:rPr>
        <w:t xml:space="preserve">. Possible pathomechanism of autoimmune hepatitis. </w:t>
      </w:r>
      <w:r w:rsidRPr="00AB0E48">
        <w:rPr>
          <w:rFonts w:ascii="Book Antiqua" w:hAnsi="Book Antiqua" w:cs="宋体"/>
          <w:i/>
          <w:iCs/>
          <w:lang w:eastAsia="zh-CN"/>
        </w:rPr>
        <w:t>Am J Ther</w:t>
      </w:r>
      <w:r w:rsidRPr="00AB0E48">
        <w:rPr>
          <w:rFonts w:ascii="Book Antiqua" w:hAnsi="Book Antiqua" w:cs="宋体"/>
          <w:lang w:eastAsia="zh-CN"/>
        </w:rPr>
        <w:t xml:space="preserve"> </w:t>
      </w:r>
      <w:r w:rsidR="00854FEB">
        <w:rPr>
          <w:rFonts w:ascii="Book Antiqua" w:hAnsi="Book Antiqua" w:cs="宋体" w:hint="eastAsia"/>
          <w:lang w:eastAsia="zh-CN"/>
        </w:rPr>
        <w:t>2003</w:t>
      </w:r>
      <w:r w:rsidRPr="00AB0E48">
        <w:rPr>
          <w:rFonts w:ascii="Book Antiqua" w:hAnsi="Book Antiqua" w:cs="宋体"/>
          <w:lang w:eastAsia="zh-CN"/>
        </w:rPr>
        <w:t xml:space="preserve">; </w:t>
      </w:r>
      <w:r w:rsidRPr="00AB0E48">
        <w:rPr>
          <w:rFonts w:ascii="Book Antiqua" w:hAnsi="Book Antiqua" w:cs="宋体"/>
          <w:b/>
          <w:bCs/>
          <w:lang w:eastAsia="zh-CN"/>
        </w:rPr>
        <w:t>10</w:t>
      </w:r>
      <w:r w:rsidRPr="00AB0E48">
        <w:rPr>
          <w:rFonts w:ascii="Book Antiqua" w:hAnsi="Book Antiqua" w:cs="宋体"/>
          <w:lang w:eastAsia="zh-CN"/>
        </w:rPr>
        <w:t>: 51-57 [PMID: 12522521 DOI: 10.1097/00045391-200301000-00012</w:t>
      </w:r>
      <w:r w:rsidR="00854FEB">
        <w:rPr>
          <w:rFonts w:ascii="Book Antiqua" w:hAnsi="Book Antiqua" w:cs="宋体"/>
          <w:lang w:eastAsia="zh-CN"/>
        </w:rPr>
        <w:t>]</w:t>
      </w:r>
    </w:p>
    <w:p w14:paraId="6D9AE992" w14:textId="0E80012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2</w:t>
      </w:r>
      <w:r w:rsidRPr="00AB0E48">
        <w:rPr>
          <w:rFonts w:ascii="Book Antiqua" w:hAnsi="Book Antiqua" w:cs="宋体"/>
          <w:lang w:eastAsia="zh-CN"/>
        </w:rPr>
        <w:t xml:space="preserve"> </w:t>
      </w:r>
      <w:r w:rsidRPr="00AB0E48">
        <w:rPr>
          <w:rFonts w:ascii="Book Antiqua" w:hAnsi="Book Antiqua" w:cs="宋体"/>
          <w:b/>
          <w:bCs/>
          <w:lang w:eastAsia="zh-CN"/>
        </w:rPr>
        <w:t>Nakagawa K</w:t>
      </w:r>
      <w:r w:rsidRPr="00AB0E48">
        <w:rPr>
          <w:rFonts w:ascii="Book Antiqua" w:hAnsi="Book Antiqua" w:cs="宋体"/>
          <w:lang w:eastAsia="zh-CN"/>
        </w:rPr>
        <w:t xml:space="preserve">, Harrison LC. The potential roles of endogenous retroviruses in autoimmunity. </w:t>
      </w:r>
      <w:r w:rsidRPr="00AB0E48">
        <w:rPr>
          <w:rFonts w:ascii="Book Antiqua" w:hAnsi="Book Antiqua" w:cs="宋体"/>
          <w:i/>
          <w:iCs/>
          <w:lang w:eastAsia="zh-CN"/>
        </w:rPr>
        <w:t>Immunol Rev</w:t>
      </w:r>
      <w:r w:rsidRPr="00AB0E48">
        <w:rPr>
          <w:rFonts w:ascii="Book Antiqua" w:hAnsi="Book Antiqua" w:cs="宋体"/>
          <w:lang w:eastAsia="zh-CN"/>
        </w:rPr>
        <w:t xml:space="preserve"> 1996; </w:t>
      </w:r>
      <w:r w:rsidRPr="00AB0E48">
        <w:rPr>
          <w:rFonts w:ascii="Book Antiqua" w:hAnsi="Book Antiqua" w:cs="宋体"/>
          <w:b/>
          <w:bCs/>
          <w:lang w:eastAsia="zh-CN"/>
        </w:rPr>
        <w:t>152</w:t>
      </w:r>
      <w:r w:rsidRPr="00AB0E48">
        <w:rPr>
          <w:rFonts w:ascii="Book Antiqua" w:hAnsi="Book Antiqua" w:cs="宋体"/>
          <w:lang w:eastAsia="zh-CN"/>
        </w:rPr>
        <w:t>: 193-236 [PMID: 8930674 DOI: 10.1111/j.1600-065X.1996.tb00917.x</w:t>
      </w:r>
      <w:r w:rsidR="00854FEB">
        <w:rPr>
          <w:rFonts w:ascii="Book Antiqua" w:hAnsi="Book Antiqua" w:cs="宋体"/>
          <w:lang w:eastAsia="zh-CN"/>
        </w:rPr>
        <w:t>]</w:t>
      </w:r>
    </w:p>
    <w:p w14:paraId="6AFF723C" w14:textId="3196BD2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3</w:t>
      </w:r>
      <w:r w:rsidRPr="00AB0E48">
        <w:rPr>
          <w:rFonts w:ascii="Book Antiqua" w:hAnsi="Book Antiqua" w:cs="宋体"/>
          <w:lang w:eastAsia="zh-CN"/>
        </w:rPr>
        <w:t xml:space="preserve"> </w:t>
      </w:r>
      <w:r w:rsidRPr="00AB0E48">
        <w:rPr>
          <w:rFonts w:ascii="Book Antiqua" w:hAnsi="Book Antiqua" w:cs="宋体"/>
          <w:b/>
          <w:bCs/>
          <w:lang w:eastAsia="zh-CN"/>
        </w:rPr>
        <w:t>Passam FH</w:t>
      </w:r>
      <w:r w:rsidRPr="00AB0E48">
        <w:rPr>
          <w:rFonts w:ascii="Book Antiqua" w:hAnsi="Book Antiqua" w:cs="宋体"/>
          <w:lang w:eastAsia="zh-CN"/>
        </w:rPr>
        <w:t xml:space="preserve">, Giannakopoulos B, Mirarabshahi P, Krilis SA. Molecular pathophysiology of the antiphospholipid syndrome: the role of oxidative post-translational modification of beta 2 glycoprotein I. </w:t>
      </w:r>
      <w:r w:rsidRPr="00AB0E48">
        <w:rPr>
          <w:rFonts w:ascii="Book Antiqua" w:hAnsi="Book Antiqua" w:cs="宋体"/>
          <w:i/>
          <w:iCs/>
          <w:lang w:eastAsia="zh-CN"/>
        </w:rPr>
        <w:t>J Thromb Haemost</w:t>
      </w:r>
      <w:r w:rsidRPr="00AB0E48">
        <w:rPr>
          <w:rFonts w:ascii="Book Antiqua" w:hAnsi="Book Antiqua" w:cs="宋体"/>
          <w:lang w:eastAsia="zh-CN"/>
        </w:rPr>
        <w:t xml:space="preserve"> 2011; </w:t>
      </w:r>
      <w:r w:rsidRPr="00AB0E48">
        <w:rPr>
          <w:rFonts w:ascii="Book Antiqua" w:hAnsi="Book Antiqua" w:cs="宋体"/>
          <w:b/>
          <w:bCs/>
          <w:lang w:eastAsia="zh-CN"/>
        </w:rPr>
        <w:t>9</w:t>
      </w:r>
      <w:r w:rsidRPr="00854FEB">
        <w:rPr>
          <w:rFonts w:ascii="Book Antiqua" w:hAnsi="Book Antiqua" w:cs="宋体"/>
          <w:bCs/>
          <w:lang w:eastAsia="zh-CN"/>
        </w:rPr>
        <w:t xml:space="preserve"> Suppl 1</w:t>
      </w:r>
      <w:r w:rsidRPr="00854FEB">
        <w:rPr>
          <w:rFonts w:ascii="Book Antiqua" w:hAnsi="Book Antiqua" w:cs="宋体"/>
          <w:lang w:eastAsia="zh-CN"/>
        </w:rPr>
        <w:t xml:space="preserve">: </w:t>
      </w:r>
      <w:r w:rsidRPr="00AB0E48">
        <w:rPr>
          <w:rFonts w:ascii="Book Antiqua" w:hAnsi="Book Antiqua" w:cs="宋体"/>
          <w:lang w:eastAsia="zh-CN"/>
        </w:rPr>
        <w:t>275-282 [PMID: 21781264 DOI: 10.1111/j.1538-7836.2011.04301.x</w:t>
      </w:r>
      <w:r w:rsidR="00854FEB">
        <w:rPr>
          <w:rFonts w:ascii="Book Antiqua" w:hAnsi="Book Antiqua" w:cs="宋体"/>
          <w:lang w:eastAsia="zh-CN"/>
        </w:rPr>
        <w:t>]</w:t>
      </w:r>
    </w:p>
    <w:p w14:paraId="64CE4CB9" w14:textId="726C55CD"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4</w:t>
      </w:r>
      <w:r w:rsidRPr="00AB0E48">
        <w:rPr>
          <w:rFonts w:ascii="Book Antiqua" w:hAnsi="Book Antiqua" w:cs="宋体"/>
          <w:lang w:eastAsia="zh-CN"/>
        </w:rPr>
        <w:t xml:space="preserve"> </w:t>
      </w:r>
      <w:r w:rsidRPr="00AB0E48">
        <w:rPr>
          <w:rFonts w:ascii="Book Antiqua" w:hAnsi="Book Antiqua" w:cs="宋体"/>
          <w:b/>
          <w:bCs/>
          <w:lang w:eastAsia="zh-CN"/>
        </w:rPr>
        <w:t>Xiao J</w:t>
      </w:r>
      <w:r w:rsidRPr="00AB0E48">
        <w:rPr>
          <w:rFonts w:ascii="Book Antiqua" w:hAnsi="Book Antiqua" w:cs="宋体"/>
          <w:lang w:eastAsia="zh-CN"/>
        </w:rPr>
        <w:t xml:space="preserve">, Zhu F, Liu X, Xiong J. Th1/Th2/Th17/Treg expression in cultured PBMCs with antiphospholipid antibodies. </w:t>
      </w:r>
      <w:r w:rsidRPr="00AB0E48">
        <w:rPr>
          <w:rFonts w:ascii="Book Antiqua" w:hAnsi="Book Antiqua" w:cs="宋体"/>
          <w:i/>
          <w:iCs/>
          <w:lang w:eastAsia="zh-CN"/>
        </w:rPr>
        <w:t>Mol Med Rep</w:t>
      </w:r>
      <w:r w:rsidRPr="00AB0E48">
        <w:rPr>
          <w:rFonts w:ascii="Book Antiqua" w:hAnsi="Book Antiqua" w:cs="宋体"/>
          <w:lang w:eastAsia="zh-CN"/>
        </w:rPr>
        <w:t xml:space="preserve"> 2012; </w:t>
      </w:r>
      <w:r w:rsidRPr="00AB0E48">
        <w:rPr>
          <w:rFonts w:ascii="Book Antiqua" w:hAnsi="Book Antiqua" w:cs="宋体"/>
          <w:b/>
          <w:bCs/>
          <w:lang w:eastAsia="zh-CN"/>
        </w:rPr>
        <w:t>6</w:t>
      </w:r>
      <w:r w:rsidRPr="00AB0E48">
        <w:rPr>
          <w:rFonts w:ascii="Book Antiqua" w:hAnsi="Book Antiqua" w:cs="宋体"/>
          <w:lang w:eastAsia="zh-CN"/>
        </w:rPr>
        <w:t>: 1035-1039 [PMID: 22941119]</w:t>
      </w:r>
    </w:p>
    <w:p w14:paraId="596248D2" w14:textId="34001568"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5</w:t>
      </w:r>
      <w:r w:rsidRPr="00AB0E48">
        <w:rPr>
          <w:rFonts w:ascii="Book Antiqua" w:hAnsi="Book Antiqua" w:cs="宋体"/>
          <w:lang w:eastAsia="zh-CN"/>
        </w:rPr>
        <w:t xml:space="preserve"> </w:t>
      </w:r>
      <w:r w:rsidRPr="00AB0E48">
        <w:rPr>
          <w:rFonts w:ascii="Book Antiqua" w:hAnsi="Book Antiqua" w:cs="宋体"/>
          <w:b/>
          <w:bCs/>
          <w:lang w:eastAsia="zh-CN"/>
        </w:rPr>
        <w:t>Dal Ben ER</w:t>
      </w:r>
      <w:r w:rsidRPr="00AB0E48">
        <w:rPr>
          <w:rFonts w:ascii="Book Antiqua" w:hAnsi="Book Antiqua" w:cs="宋体"/>
          <w:lang w:eastAsia="zh-CN"/>
        </w:rPr>
        <w:t xml:space="preserve">, do Prado CH, Baptista TS, Bauer ME, Staub HL. Decreased levels of circulating CD4+CD25+Foxp3+ regulatory T cells in patients with primary antiphospholipid syndrome. </w:t>
      </w:r>
      <w:r w:rsidRPr="00AB0E48">
        <w:rPr>
          <w:rFonts w:ascii="Book Antiqua" w:hAnsi="Book Antiqua" w:cs="宋体"/>
          <w:i/>
          <w:iCs/>
          <w:lang w:eastAsia="zh-CN"/>
        </w:rPr>
        <w:t>J Clin Immunol</w:t>
      </w:r>
      <w:r w:rsidRPr="00AB0E48">
        <w:rPr>
          <w:rFonts w:ascii="Book Antiqua" w:hAnsi="Book Antiqua" w:cs="宋体"/>
          <w:lang w:eastAsia="zh-CN"/>
        </w:rPr>
        <w:t xml:space="preserve"> 2013; </w:t>
      </w:r>
      <w:r w:rsidRPr="00AB0E48">
        <w:rPr>
          <w:rFonts w:ascii="Book Antiqua" w:hAnsi="Book Antiqua" w:cs="宋体"/>
          <w:b/>
          <w:bCs/>
          <w:lang w:eastAsia="zh-CN"/>
        </w:rPr>
        <w:t>33</w:t>
      </w:r>
      <w:r w:rsidRPr="00AB0E48">
        <w:rPr>
          <w:rFonts w:ascii="Book Antiqua" w:hAnsi="Book Antiqua" w:cs="宋体"/>
          <w:lang w:eastAsia="zh-CN"/>
        </w:rPr>
        <w:t>: 876-879 [PMID: 23354908 DOI: 10.1007/s10875-012-9857-y</w:t>
      </w:r>
      <w:r w:rsidR="00854FEB">
        <w:rPr>
          <w:rFonts w:ascii="Book Antiqua" w:hAnsi="Book Antiqua" w:cs="宋体"/>
          <w:lang w:eastAsia="zh-CN"/>
        </w:rPr>
        <w:t>]</w:t>
      </w:r>
    </w:p>
    <w:p w14:paraId="2A90848B" w14:textId="39A46B08"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6</w:t>
      </w:r>
      <w:r w:rsidRPr="00AB0E48">
        <w:rPr>
          <w:rFonts w:ascii="Book Antiqua" w:hAnsi="Book Antiqua" w:cs="宋体"/>
          <w:lang w:eastAsia="zh-CN"/>
        </w:rPr>
        <w:t xml:space="preserve"> </w:t>
      </w:r>
      <w:r w:rsidRPr="00AB0E48">
        <w:rPr>
          <w:rFonts w:ascii="Book Antiqua" w:hAnsi="Book Antiqua" w:cs="宋体"/>
          <w:b/>
          <w:bCs/>
          <w:lang w:eastAsia="zh-CN"/>
        </w:rPr>
        <w:t>Rauch J</w:t>
      </w:r>
      <w:r w:rsidRPr="00AB0E48">
        <w:rPr>
          <w:rFonts w:ascii="Book Antiqua" w:hAnsi="Book Antiqua" w:cs="宋体"/>
          <w:lang w:eastAsia="zh-CN"/>
        </w:rPr>
        <w:t xml:space="preserve">, Dieudé M, Subang R, Levine JS. The dual role of innate immunity in the antiphospholipid syndrome. </w:t>
      </w:r>
      <w:r w:rsidRPr="00AB0E48">
        <w:rPr>
          <w:rFonts w:ascii="Book Antiqua" w:hAnsi="Book Antiqua" w:cs="宋体"/>
          <w:i/>
          <w:iCs/>
          <w:lang w:eastAsia="zh-CN"/>
        </w:rPr>
        <w:t>Lupus</w:t>
      </w:r>
      <w:r w:rsidRPr="00AB0E48">
        <w:rPr>
          <w:rFonts w:ascii="Book Antiqua" w:hAnsi="Book Antiqua" w:cs="宋体"/>
          <w:lang w:eastAsia="zh-CN"/>
        </w:rPr>
        <w:t xml:space="preserve"> 2010; </w:t>
      </w:r>
      <w:r w:rsidRPr="00AB0E48">
        <w:rPr>
          <w:rFonts w:ascii="Book Antiqua" w:hAnsi="Book Antiqua" w:cs="宋体"/>
          <w:b/>
          <w:bCs/>
          <w:lang w:eastAsia="zh-CN"/>
        </w:rPr>
        <w:t>19</w:t>
      </w:r>
      <w:r w:rsidRPr="00AB0E48">
        <w:rPr>
          <w:rFonts w:ascii="Book Antiqua" w:hAnsi="Book Antiqua" w:cs="宋体"/>
          <w:lang w:eastAsia="zh-CN"/>
        </w:rPr>
        <w:t>: 347-353 [PMID: 20353968 DOI: 10.1177/0961203310361492</w:t>
      </w:r>
      <w:r w:rsidR="00854FEB">
        <w:rPr>
          <w:rFonts w:ascii="Book Antiqua" w:hAnsi="Book Antiqua" w:cs="宋体"/>
          <w:lang w:eastAsia="zh-CN"/>
        </w:rPr>
        <w:t>]</w:t>
      </w:r>
    </w:p>
    <w:p w14:paraId="0539A3B0" w14:textId="5E8D5A93"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lang w:eastAsia="zh-CN"/>
        </w:rPr>
        <w:t>7</w:t>
      </w:r>
      <w:r>
        <w:rPr>
          <w:rFonts w:ascii="Book Antiqua" w:hAnsi="Book Antiqua" w:cs="宋体" w:hint="eastAsia"/>
          <w:lang w:eastAsia="zh-CN"/>
        </w:rPr>
        <w:t>7</w:t>
      </w:r>
      <w:r>
        <w:rPr>
          <w:rFonts w:ascii="Book Antiqua" w:hAnsi="Book Antiqua" w:cs="宋体"/>
          <w:lang w:eastAsia="zh-CN"/>
        </w:rPr>
        <w:t xml:space="preserve"> </w:t>
      </w:r>
      <w:r w:rsidR="00AB0E48" w:rsidRPr="00854FEB">
        <w:rPr>
          <w:rFonts w:ascii="Book Antiqua" w:hAnsi="Book Antiqua" w:cs="宋体"/>
          <w:b/>
          <w:lang w:eastAsia="zh-CN"/>
        </w:rPr>
        <w:t>Aguilar-Valenzuela R</w:t>
      </w:r>
      <w:r w:rsidR="00AB0E48" w:rsidRPr="00AB0E48">
        <w:rPr>
          <w:rFonts w:ascii="Book Antiqua" w:hAnsi="Book Antiqua" w:cs="宋体"/>
          <w:lang w:eastAsia="zh-CN"/>
        </w:rPr>
        <w:t>, Nickerson K, Romay-Penabad Z, Shlomchik MJ, Vargas G, Shilagard T, Pierangeli S. Involvement of TLR7 and TLR9 in the production of antiphospholipid antibodi</w:t>
      </w:r>
      <w:r>
        <w:rPr>
          <w:rFonts w:ascii="Book Antiqua" w:hAnsi="Book Antiqua" w:cs="宋体"/>
          <w:lang w:eastAsia="zh-CN"/>
        </w:rPr>
        <w:t xml:space="preserve">es. </w:t>
      </w:r>
      <w:r w:rsidRPr="00854FEB">
        <w:rPr>
          <w:rFonts w:ascii="Book Antiqua" w:hAnsi="Book Antiqua" w:cs="宋体"/>
          <w:i/>
          <w:lang w:eastAsia="zh-CN"/>
        </w:rPr>
        <w:t>Arthritis Rheum</w:t>
      </w:r>
      <w:r>
        <w:rPr>
          <w:rFonts w:ascii="Book Antiqua" w:hAnsi="Book Antiqua" w:cs="宋体"/>
          <w:lang w:eastAsia="zh-CN"/>
        </w:rPr>
        <w:t xml:space="preserve"> 2011; </w:t>
      </w:r>
      <w:r w:rsidRPr="00854FEB">
        <w:rPr>
          <w:rFonts w:ascii="Book Antiqua" w:hAnsi="Book Antiqua" w:cs="宋体"/>
          <w:b/>
          <w:lang w:eastAsia="zh-CN"/>
        </w:rPr>
        <w:t>63</w:t>
      </w:r>
      <w:r w:rsidR="00AB0E48" w:rsidRPr="00AB0E48">
        <w:rPr>
          <w:rFonts w:ascii="Book Antiqua" w:hAnsi="Book Antiqua" w:cs="宋体"/>
          <w:lang w:eastAsia="zh-CN"/>
        </w:rPr>
        <w:t>: s281 (abstract 723)</w:t>
      </w:r>
      <w:r w:rsidR="00C8621C">
        <w:rPr>
          <w:rFonts w:ascii="Book Antiqua" w:hAnsi="Book Antiqua" w:cs="宋体"/>
          <w:lang w:eastAsia="zh-CN"/>
        </w:rPr>
        <w:t>.</w:t>
      </w:r>
      <w:r w:rsidR="00AB0E48" w:rsidRPr="00AB0E48">
        <w:rPr>
          <w:rFonts w:ascii="Book Antiqua" w:hAnsi="Book Antiqua" w:cs="宋体"/>
          <w:lang w:eastAsia="zh-CN"/>
        </w:rPr>
        <w:t xml:space="preserve"> Available from: URL: http: //www.blackwellpublishing.com/acrmeeting/abstract.asp?MeetingID=781&amp;id=95469</w:t>
      </w:r>
    </w:p>
    <w:p w14:paraId="0F494C97" w14:textId="2787735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7</w:t>
      </w:r>
      <w:r w:rsidR="00854FEB">
        <w:rPr>
          <w:rFonts w:ascii="Book Antiqua" w:hAnsi="Book Antiqua" w:cs="宋体" w:hint="eastAsia"/>
          <w:lang w:eastAsia="zh-CN"/>
        </w:rPr>
        <w:t>8</w:t>
      </w:r>
      <w:r w:rsidRPr="00AB0E48">
        <w:rPr>
          <w:rFonts w:ascii="Book Antiqua" w:hAnsi="Book Antiqua" w:cs="宋体"/>
          <w:lang w:eastAsia="zh-CN"/>
        </w:rPr>
        <w:t xml:space="preserve"> </w:t>
      </w:r>
      <w:r w:rsidRPr="00AB0E48">
        <w:rPr>
          <w:rFonts w:ascii="Book Antiqua" w:hAnsi="Book Antiqua" w:cs="宋体"/>
          <w:b/>
          <w:bCs/>
          <w:lang w:eastAsia="zh-CN"/>
        </w:rPr>
        <w:t>Molina V</w:t>
      </w:r>
      <w:r w:rsidRPr="00AB0E48">
        <w:rPr>
          <w:rFonts w:ascii="Book Antiqua" w:hAnsi="Book Antiqua" w:cs="宋体"/>
          <w:lang w:eastAsia="zh-CN"/>
        </w:rPr>
        <w:t xml:space="preserve">, Shoenfeld Y. Infection, vaccines and other environmental triggers of autoimmunity. </w:t>
      </w:r>
      <w:r w:rsidRPr="00AB0E48">
        <w:rPr>
          <w:rFonts w:ascii="Book Antiqua" w:hAnsi="Book Antiqua" w:cs="宋体"/>
          <w:i/>
          <w:iCs/>
          <w:lang w:eastAsia="zh-CN"/>
        </w:rPr>
        <w:t>Autoimmunity</w:t>
      </w:r>
      <w:r w:rsidRPr="00AB0E48">
        <w:rPr>
          <w:rFonts w:ascii="Book Antiqua" w:hAnsi="Book Antiqua" w:cs="宋体"/>
          <w:lang w:eastAsia="zh-CN"/>
        </w:rPr>
        <w:t xml:space="preserve"> 2005; </w:t>
      </w:r>
      <w:r w:rsidRPr="00AB0E48">
        <w:rPr>
          <w:rFonts w:ascii="Book Antiqua" w:hAnsi="Book Antiqua" w:cs="宋体"/>
          <w:b/>
          <w:bCs/>
          <w:lang w:eastAsia="zh-CN"/>
        </w:rPr>
        <w:t>38</w:t>
      </w:r>
      <w:r w:rsidRPr="00AB0E48">
        <w:rPr>
          <w:rFonts w:ascii="Book Antiqua" w:hAnsi="Book Antiqua" w:cs="宋体"/>
          <w:lang w:eastAsia="zh-CN"/>
        </w:rPr>
        <w:t>: 235-245 [PMID: 16126512 DOI: 10.1080/08916930500050277</w:t>
      </w:r>
      <w:r w:rsidR="00854FEB">
        <w:rPr>
          <w:rFonts w:ascii="Book Antiqua" w:hAnsi="Book Antiqua" w:cs="宋体"/>
          <w:lang w:eastAsia="zh-CN"/>
        </w:rPr>
        <w:t>]</w:t>
      </w:r>
    </w:p>
    <w:p w14:paraId="0A0BF26F" w14:textId="113904AB"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hint="eastAsia"/>
          <w:lang w:eastAsia="zh-CN"/>
        </w:rPr>
        <w:t>79</w:t>
      </w:r>
      <w:r w:rsidR="00AB0E48" w:rsidRPr="00AB0E48">
        <w:rPr>
          <w:rFonts w:ascii="Book Antiqua" w:hAnsi="Book Antiqua" w:cs="宋体"/>
          <w:lang w:eastAsia="zh-CN"/>
        </w:rPr>
        <w:t xml:space="preserve"> </w:t>
      </w:r>
      <w:r w:rsidR="00AB0E48" w:rsidRPr="00AB0E48">
        <w:rPr>
          <w:rFonts w:ascii="Book Antiqua" w:hAnsi="Book Antiqua" w:cs="宋体"/>
          <w:b/>
          <w:bCs/>
          <w:lang w:eastAsia="zh-CN"/>
        </w:rPr>
        <w:t>Martinuc Porobic J</w:t>
      </w:r>
      <w:r w:rsidR="00AB0E48" w:rsidRPr="00AB0E48">
        <w:rPr>
          <w:rFonts w:ascii="Book Antiqua" w:hAnsi="Book Antiqua" w:cs="宋体"/>
          <w:lang w:eastAsia="zh-CN"/>
        </w:rPr>
        <w:t xml:space="preserve">, Avcin T, Bozic B, Kuhar M, Cucnik S, Zupancic M, Prosenc K, Kveder T, Rozman B. Anti-phospholipid antibodies following vaccination with recombinant hepatitis B vaccine. </w:t>
      </w:r>
      <w:r w:rsidR="00AB0E48" w:rsidRPr="00AB0E48">
        <w:rPr>
          <w:rFonts w:ascii="Book Antiqua" w:hAnsi="Book Antiqua" w:cs="宋体"/>
          <w:i/>
          <w:iCs/>
          <w:lang w:eastAsia="zh-CN"/>
        </w:rPr>
        <w:t>Clin Exp Immunol</w:t>
      </w:r>
      <w:r w:rsidR="00AB0E48" w:rsidRPr="00AB0E48">
        <w:rPr>
          <w:rFonts w:ascii="Book Antiqua" w:hAnsi="Book Antiqua" w:cs="宋体"/>
          <w:lang w:eastAsia="zh-CN"/>
        </w:rPr>
        <w:t xml:space="preserve"> 2005; </w:t>
      </w:r>
      <w:r w:rsidR="00AB0E48" w:rsidRPr="00AB0E48">
        <w:rPr>
          <w:rFonts w:ascii="Book Antiqua" w:hAnsi="Book Antiqua" w:cs="宋体"/>
          <w:b/>
          <w:bCs/>
          <w:lang w:eastAsia="zh-CN"/>
        </w:rPr>
        <w:t>142</w:t>
      </w:r>
      <w:r w:rsidR="00AB0E48" w:rsidRPr="00AB0E48">
        <w:rPr>
          <w:rFonts w:ascii="Book Antiqua" w:hAnsi="Book Antiqua" w:cs="宋体"/>
          <w:lang w:eastAsia="zh-CN"/>
        </w:rPr>
        <w:t>: 377-380 [PMID: 16232227 DOI: 10.1111/j.1365-2249.2005.02923.x</w:t>
      </w:r>
      <w:r>
        <w:rPr>
          <w:rFonts w:ascii="Book Antiqua" w:hAnsi="Book Antiqua" w:cs="宋体"/>
          <w:lang w:eastAsia="zh-CN"/>
        </w:rPr>
        <w:t>]</w:t>
      </w:r>
    </w:p>
    <w:p w14:paraId="07603AEF" w14:textId="409E9B53"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0</w:t>
      </w:r>
      <w:r w:rsidRPr="00AB0E48">
        <w:rPr>
          <w:rFonts w:ascii="Book Antiqua" w:hAnsi="Book Antiqua" w:cs="宋体"/>
          <w:lang w:eastAsia="zh-CN"/>
        </w:rPr>
        <w:t xml:space="preserve"> </w:t>
      </w:r>
      <w:r w:rsidRPr="00AB0E48">
        <w:rPr>
          <w:rFonts w:ascii="Book Antiqua" w:hAnsi="Book Antiqua" w:cs="宋体"/>
          <w:b/>
          <w:bCs/>
          <w:lang w:eastAsia="zh-CN"/>
        </w:rPr>
        <w:t>Alusík S</w:t>
      </w:r>
      <w:r w:rsidRPr="00AB0E48">
        <w:rPr>
          <w:rFonts w:ascii="Book Antiqua" w:hAnsi="Book Antiqua" w:cs="宋体"/>
          <w:lang w:eastAsia="zh-CN"/>
        </w:rPr>
        <w:t xml:space="preserve">, Jandová R, Gebauerová M, Tesárek B, Fabián J. [The anticardiolipin syndrome after breast reconstruction]. </w:t>
      </w:r>
      <w:r w:rsidRPr="00AB0E48">
        <w:rPr>
          <w:rFonts w:ascii="Book Antiqua" w:hAnsi="Book Antiqua" w:cs="宋体"/>
          <w:i/>
          <w:iCs/>
          <w:lang w:eastAsia="zh-CN"/>
        </w:rPr>
        <w:t>Rozhl Chir</w:t>
      </w:r>
      <w:r w:rsidRPr="00AB0E48">
        <w:rPr>
          <w:rFonts w:ascii="Book Antiqua" w:hAnsi="Book Antiqua" w:cs="宋体"/>
          <w:lang w:eastAsia="zh-CN"/>
        </w:rPr>
        <w:t xml:space="preserve"> 1990; </w:t>
      </w:r>
      <w:r w:rsidRPr="00AB0E48">
        <w:rPr>
          <w:rFonts w:ascii="Book Antiqua" w:hAnsi="Book Antiqua" w:cs="宋体"/>
          <w:b/>
          <w:bCs/>
          <w:lang w:eastAsia="zh-CN"/>
        </w:rPr>
        <w:t>69</w:t>
      </w:r>
      <w:r w:rsidRPr="00AB0E48">
        <w:rPr>
          <w:rFonts w:ascii="Book Antiqua" w:hAnsi="Book Antiqua" w:cs="宋体"/>
          <w:lang w:eastAsia="zh-CN"/>
        </w:rPr>
        <w:t>: 298-301 [PMID: 2136447]</w:t>
      </w:r>
    </w:p>
    <w:p w14:paraId="11C1958E" w14:textId="2F264ED3"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1</w:t>
      </w:r>
      <w:r w:rsidRPr="00AB0E48">
        <w:rPr>
          <w:rFonts w:ascii="Book Antiqua" w:hAnsi="Book Antiqua" w:cs="宋体"/>
          <w:lang w:eastAsia="zh-CN"/>
        </w:rPr>
        <w:t xml:space="preserve"> </w:t>
      </w:r>
      <w:r w:rsidRPr="00AB0E48">
        <w:rPr>
          <w:rFonts w:ascii="Book Antiqua" w:hAnsi="Book Antiqua" w:cs="宋体"/>
          <w:b/>
          <w:bCs/>
          <w:lang w:eastAsia="zh-CN"/>
        </w:rPr>
        <w:t>Rothschild B</w:t>
      </w:r>
      <w:r w:rsidRPr="00AB0E48">
        <w:rPr>
          <w:rFonts w:ascii="Book Antiqua" w:hAnsi="Book Antiqua" w:cs="宋体"/>
          <w:lang w:eastAsia="zh-CN"/>
        </w:rPr>
        <w:t xml:space="preserve">. Acrylamine-induced autoimmune phenomena. </w:t>
      </w:r>
      <w:r w:rsidRPr="00AB0E48">
        <w:rPr>
          <w:rFonts w:ascii="Book Antiqua" w:hAnsi="Book Antiqua" w:cs="宋体"/>
          <w:i/>
          <w:iCs/>
          <w:lang w:eastAsia="zh-CN"/>
        </w:rPr>
        <w:t>Clin Rheumatol</w:t>
      </w:r>
      <w:r w:rsidRPr="00AB0E48">
        <w:rPr>
          <w:rFonts w:ascii="Book Antiqua" w:hAnsi="Book Antiqua" w:cs="宋体"/>
          <w:lang w:eastAsia="zh-CN"/>
        </w:rPr>
        <w:t xml:space="preserve"> 2010; </w:t>
      </w:r>
      <w:r w:rsidRPr="00AB0E48">
        <w:rPr>
          <w:rFonts w:ascii="Book Antiqua" w:hAnsi="Book Antiqua" w:cs="宋体"/>
          <w:b/>
          <w:bCs/>
          <w:lang w:eastAsia="zh-CN"/>
        </w:rPr>
        <w:t>29</w:t>
      </w:r>
      <w:r w:rsidRPr="00AB0E48">
        <w:rPr>
          <w:rFonts w:ascii="Book Antiqua" w:hAnsi="Book Antiqua" w:cs="宋体"/>
          <w:lang w:eastAsia="zh-CN"/>
        </w:rPr>
        <w:t>: 999-1005 [PMID: 20544243]</w:t>
      </w:r>
    </w:p>
    <w:p w14:paraId="4A931AF0" w14:textId="11509A01"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2</w:t>
      </w:r>
      <w:r w:rsidRPr="00AB0E48">
        <w:rPr>
          <w:rFonts w:ascii="Book Antiqua" w:hAnsi="Book Antiqua" w:cs="宋体"/>
          <w:lang w:eastAsia="zh-CN"/>
        </w:rPr>
        <w:t xml:space="preserve"> </w:t>
      </w:r>
      <w:r w:rsidRPr="00AB0E48">
        <w:rPr>
          <w:rFonts w:ascii="Book Antiqua" w:hAnsi="Book Antiqua" w:cs="宋体"/>
          <w:b/>
          <w:bCs/>
          <w:lang w:eastAsia="zh-CN"/>
        </w:rPr>
        <w:t>Uetrecht J</w:t>
      </w:r>
      <w:r w:rsidRPr="00AB0E48">
        <w:rPr>
          <w:rFonts w:ascii="Book Antiqua" w:hAnsi="Book Antiqua" w:cs="宋体"/>
          <w:lang w:eastAsia="zh-CN"/>
        </w:rPr>
        <w:t xml:space="preserve">. Current trends in drug-induced autoimmunity. </w:t>
      </w:r>
      <w:r w:rsidRPr="00AB0E48">
        <w:rPr>
          <w:rFonts w:ascii="Book Antiqua" w:hAnsi="Book Antiqua" w:cs="宋体"/>
          <w:i/>
          <w:iCs/>
          <w:lang w:eastAsia="zh-CN"/>
        </w:rPr>
        <w:t>Autoimmun Rev</w:t>
      </w:r>
      <w:r w:rsidRPr="00AB0E48">
        <w:rPr>
          <w:rFonts w:ascii="Book Antiqua" w:hAnsi="Book Antiqua" w:cs="宋体"/>
          <w:lang w:eastAsia="zh-CN"/>
        </w:rPr>
        <w:t xml:space="preserve"> 2005; </w:t>
      </w:r>
      <w:r w:rsidRPr="00AB0E48">
        <w:rPr>
          <w:rFonts w:ascii="Book Antiqua" w:hAnsi="Book Antiqua" w:cs="宋体"/>
          <w:b/>
          <w:bCs/>
          <w:lang w:eastAsia="zh-CN"/>
        </w:rPr>
        <w:t>4</w:t>
      </w:r>
      <w:r w:rsidRPr="00AB0E48">
        <w:rPr>
          <w:rFonts w:ascii="Book Antiqua" w:hAnsi="Book Antiqua" w:cs="宋体"/>
          <w:lang w:eastAsia="zh-CN"/>
        </w:rPr>
        <w:t>: 309-314 [PMID: 15990079 DOI: 10.1016/j.autrev.2005.01.002</w:t>
      </w:r>
      <w:r w:rsidR="00854FEB">
        <w:rPr>
          <w:rFonts w:ascii="Book Antiqua" w:hAnsi="Book Antiqua" w:cs="宋体"/>
          <w:lang w:eastAsia="zh-CN"/>
        </w:rPr>
        <w:t>]</w:t>
      </w:r>
    </w:p>
    <w:p w14:paraId="087D456E" w14:textId="55879A1B"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3</w:t>
      </w:r>
      <w:r w:rsidRPr="00AB0E48">
        <w:rPr>
          <w:rFonts w:ascii="Book Antiqua" w:hAnsi="Book Antiqua" w:cs="宋体"/>
          <w:lang w:eastAsia="zh-CN"/>
        </w:rPr>
        <w:t xml:space="preserve"> </w:t>
      </w:r>
      <w:r w:rsidRPr="00AB0E48">
        <w:rPr>
          <w:rFonts w:ascii="Book Antiqua" w:hAnsi="Book Antiqua" w:cs="宋体"/>
          <w:b/>
          <w:bCs/>
          <w:lang w:eastAsia="zh-CN"/>
        </w:rPr>
        <w:t>El-Rayes BF</w:t>
      </w:r>
      <w:r w:rsidRPr="00AB0E48">
        <w:rPr>
          <w:rFonts w:ascii="Book Antiqua" w:hAnsi="Book Antiqua" w:cs="宋体"/>
          <w:lang w:eastAsia="zh-CN"/>
        </w:rPr>
        <w:t xml:space="preserve">, Edelstein M. Unusual case of antiphospholipid antibody syndrome presenting with extensive cutaneous infarcts in a patient on long-term procainamide therapy. </w:t>
      </w:r>
      <w:r w:rsidRPr="00AB0E48">
        <w:rPr>
          <w:rFonts w:ascii="Book Antiqua" w:hAnsi="Book Antiqua" w:cs="宋体"/>
          <w:i/>
          <w:iCs/>
          <w:lang w:eastAsia="zh-CN"/>
        </w:rPr>
        <w:t>Am J Hematol</w:t>
      </w:r>
      <w:r w:rsidRPr="00AB0E48">
        <w:rPr>
          <w:rFonts w:ascii="Book Antiqua" w:hAnsi="Book Antiqua" w:cs="宋体"/>
          <w:lang w:eastAsia="zh-CN"/>
        </w:rPr>
        <w:t xml:space="preserve"> 2003; </w:t>
      </w:r>
      <w:r w:rsidRPr="00AB0E48">
        <w:rPr>
          <w:rFonts w:ascii="Book Antiqua" w:hAnsi="Book Antiqua" w:cs="宋体"/>
          <w:b/>
          <w:bCs/>
          <w:lang w:eastAsia="zh-CN"/>
        </w:rPr>
        <w:t>72</w:t>
      </w:r>
      <w:r w:rsidRPr="00AB0E48">
        <w:rPr>
          <w:rFonts w:ascii="Book Antiqua" w:hAnsi="Book Antiqua" w:cs="宋体"/>
          <w:lang w:eastAsia="zh-CN"/>
        </w:rPr>
        <w:t>: 154 [PMID: 12555226 DOI: 10.1002/ajh.10274</w:t>
      </w:r>
      <w:r w:rsidR="00854FEB">
        <w:rPr>
          <w:rFonts w:ascii="Book Antiqua" w:hAnsi="Book Antiqua" w:cs="宋体"/>
          <w:lang w:eastAsia="zh-CN"/>
        </w:rPr>
        <w:t>]</w:t>
      </w:r>
    </w:p>
    <w:p w14:paraId="48DD3113" w14:textId="1EA433A2"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4</w:t>
      </w:r>
      <w:r w:rsidRPr="00AB0E48">
        <w:rPr>
          <w:rFonts w:ascii="Book Antiqua" w:hAnsi="Book Antiqua" w:cs="宋体"/>
          <w:lang w:eastAsia="zh-CN"/>
        </w:rPr>
        <w:t xml:space="preserve"> </w:t>
      </w:r>
      <w:r w:rsidRPr="00AB0E48">
        <w:rPr>
          <w:rFonts w:ascii="Book Antiqua" w:hAnsi="Book Antiqua" w:cs="宋体"/>
          <w:b/>
          <w:bCs/>
          <w:lang w:eastAsia="zh-CN"/>
        </w:rPr>
        <w:t>Sherer Y</w:t>
      </w:r>
      <w:r w:rsidRPr="00AB0E48">
        <w:rPr>
          <w:rFonts w:ascii="Book Antiqua" w:hAnsi="Book Antiqua" w:cs="宋体"/>
          <w:lang w:eastAsia="zh-CN"/>
        </w:rPr>
        <w:t xml:space="preserve">, Blank M, Shoenfeld Y. Antiphospholipid syndrome (APS): where does it come from? </w:t>
      </w:r>
      <w:r w:rsidRPr="00AB0E48">
        <w:rPr>
          <w:rFonts w:ascii="Book Antiqua" w:hAnsi="Book Antiqua" w:cs="宋体"/>
          <w:i/>
          <w:iCs/>
          <w:lang w:eastAsia="zh-CN"/>
        </w:rPr>
        <w:t>Best Pract Res Clin Rheumatol</w:t>
      </w:r>
      <w:r w:rsidRPr="00AB0E48">
        <w:rPr>
          <w:rFonts w:ascii="Book Antiqua" w:hAnsi="Book Antiqua" w:cs="宋体"/>
          <w:lang w:eastAsia="zh-CN"/>
        </w:rPr>
        <w:t xml:space="preserve"> 2007; </w:t>
      </w:r>
      <w:r w:rsidRPr="00AB0E48">
        <w:rPr>
          <w:rFonts w:ascii="Book Antiqua" w:hAnsi="Book Antiqua" w:cs="宋体"/>
          <w:b/>
          <w:bCs/>
          <w:lang w:eastAsia="zh-CN"/>
        </w:rPr>
        <w:t>21</w:t>
      </w:r>
      <w:r w:rsidRPr="00AB0E48">
        <w:rPr>
          <w:rFonts w:ascii="Book Antiqua" w:hAnsi="Book Antiqua" w:cs="宋体"/>
          <w:lang w:eastAsia="zh-CN"/>
        </w:rPr>
        <w:t>: 1071-1078 [PMID: 18068862 DOI: 10.1016/j.berh.2007.09.005</w:t>
      </w:r>
      <w:r w:rsidR="00854FEB">
        <w:rPr>
          <w:rFonts w:ascii="Book Antiqua" w:hAnsi="Book Antiqua" w:cs="宋体"/>
          <w:lang w:eastAsia="zh-CN"/>
        </w:rPr>
        <w:t>]</w:t>
      </w:r>
    </w:p>
    <w:p w14:paraId="68B094DE" w14:textId="49D58996"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5</w:t>
      </w:r>
      <w:r w:rsidRPr="00AB0E48">
        <w:rPr>
          <w:rFonts w:ascii="Book Antiqua" w:hAnsi="Book Antiqua" w:cs="宋体"/>
          <w:lang w:eastAsia="zh-CN"/>
        </w:rPr>
        <w:t xml:space="preserve"> </w:t>
      </w:r>
      <w:r w:rsidRPr="00AB0E48">
        <w:rPr>
          <w:rFonts w:ascii="Book Antiqua" w:hAnsi="Book Antiqua" w:cs="宋体"/>
          <w:b/>
          <w:bCs/>
          <w:lang w:eastAsia="zh-CN"/>
        </w:rPr>
        <w:t>Merrill JT</w:t>
      </w:r>
      <w:r w:rsidRPr="00AB0E48">
        <w:rPr>
          <w:rFonts w:ascii="Book Antiqua" w:hAnsi="Book Antiqua" w:cs="宋体"/>
          <w:lang w:eastAsia="zh-CN"/>
        </w:rPr>
        <w:t xml:space="preserve">, Shen C, Gugnani M, Lahita RG, Mongey AB. High prevalence of antiphospholipid antibodies in patients taking procainamide. </w:t>
      </w:r>
      <w:r w:rsidRPr="00AB0E48">
        <w:rPr>
          <w:rFonts w:ascii="Book Antiqua" w:hAnsi="Book Antiqua" w:cs="宋体"/>
          <w:i/>
          <w:iCs/>
          <w:lang w:eastAsia="zh-CN"/>
        </w:rPr>
        <w:t>J Rheumatol</w:t>
      </w:r>
      <w:r w:rsidRPr="00AB0E48">
        <w:rPr>
          <w:rFonts w:ascii="Book Antiqua" w:hAnsi="Book Antiqua" w:cs="宋体"/>
          <w:lang w:eastAsia="zh-CN"/>
        </w:rPr>
        <w:t xml:space="preserve"> 1997; </w:t>
      </w:r>
      <w:r w:rsidRPr="00AB0E48">
        <w:rPr>
          <w:rFonts w:ascii="Book Antiqua" w:hAnsi="Book Antiqua" w:cs="宋体"/>
          <w:b/>
          <w:bCs/>
          <w:lang w:eastAsia="zh-CN"/>
        </w:rPr>
        <w:t>24</w:t>
      </w:r>
      <w:r w:rsidRPr="00AB0E48">
        <w:rPr>
          <w:rFonts w:ascii="Book Antiqua" w:hAnsi="Book Antiqua" w:cs="宋体"/>
          <w:lang w:eastAsia="zh-CN"/>
        </w:rPr>
        <w:t>: 1083-1088 [PMID: 9195513]</w:t>
      </w:r>
    </w:p>
    <w:p w14:paraId="594C0939" w14:textId="0923BB5A"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6</w:t>
      </w:r>
      <w:r w:rsidRPr="00AB0E48">
        <w:rPr>
          <w:rFonts w:ascii="Book Antiqua" w:hAnsi="Book Antiqua" w:cs="宋体"/>
          <w:lang w:eastAsia="zh-CN"/>
        </w:rPr>
        <w:t xml:space="preserve"> </w:t>
      </w:r>
      <w:r w:rsidRPr="00AB0E48">
        <w:rPr>
          <w:rFonts w:ascii="Book Antiqua" w:hAnsi="Book Antiqua" w:cs="宋体"/>
          <w:b/>
          <w:bCs/>
          <w:lang w:eastAsia="zh-CN"/>
        </w:rPr>
        <w:t>Uthman IW</w:t>
      </w:r>
      <w:r w:rsidRPr="00AB0E48">
        <w:rPr>
          <w:rFonts w:ascii="Book Antiqua" w:hAnsi="Book Antiqua" w:cs="宋体"/>
          <w:lang w:eastAsia="zh-CN"/>
        </w:rPr>
        <w:t xml:space="preserve">, Gharavi AE. Viral infections and antiphospholipid antibodies. </w:t>
      </w:r>
      <w:r w:rsidRPr="00AB0E48">
        <w:rPr>
          <w:rFonts w:ascii="Book Antiqua" w:hAnsi="Book Antiqua" w:cs="宋体"/>
          <w:i/>
          <w:iCs/>
          <w:lang w:eastAsia="zh-CN"/>
        </w:rPr>
        <w:t>Semin Arthritis Rheum</w:t>
      </w:r>
      <w:r w:rsidRPr="00AB0E48">
        <w:rPr>
          <w:rFonts w:ascii="Book Antiqua" w:hAnsi="Book Antiqua" w:cs="宋体"/>
          <w:lang w:eastAsia="zh-CN"/>
        </w:rPr>
        <w:t xml:space="preserve"> 2002; </w:t>
      </w:r>
      <w:r w:rsidRPr="00AB0E48">
        <w:rPr>
          <w:rFonts w:ascii="Book Antiqua" w:hAnsi="Book Antiqua" w:cs="宋体"/>
          <w:b/>
          <w:bCs/>
          <w:lang w:eastAsia="zh-CN"/>
        </w:rPr>
        <w:t>31</w:t>
      </w:r>
      <w:r w:rsidRPr="00AB0E48">
        <w:rPr>
          <w:rFonts w:ascii="Book Antiqua" w:hAnsi="Book Antiqua" w:cs="宋体"/>
          <w:lang w:eastAsia="zh-CN"/>
        </w:rPr>
        <w:t>: 256-263 [PMID: 11836658 DOI: 10.1053/sarh.2002.28303</w:t>
      </w:r>
      <w:r w:rsidR="00854FEB">
        <w:rPr>
          <w:rFonts w:ascii="Book Antiqua" w:hAnsi="Book Antiqua" w:cs="宋体"/>
          <w:lang w:eastAsia="zh-CN"/>
        </w:rPr>
        <w:t>]</w:t>
      </w:r>
    </w:p>
    <w:p w14:paraId="550AC438" w14:textId="68697CF3"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7</w:t>
      </w:r>
      <w:r w:rsidRPr="00AB0E48">
        <w:rPr>
          <w:rFonts w:ascii="Book Antiqua" w:hAnsi="Book Antiqua" w:cs="宋体"/>
          <w:lang w:eastAsia="zh-CN"/>
        </w:rPr>
        <w:t xml:space="preserve"> </w:t>
      </w:r>
      <w:r w:rsidRPr="00AB0E48">
        <w:rPr>
          <w:rFonts w:ascii="Book Antiqua" w:hAnsi="Book Antiqua" w:cs="宋体"/>
          <w:b/>
          <w:bCs/>
          <w:lang w:eastAsia="zh-CN"/>
        </w:rPr>
        <w:t>Sherer Y</w:t>
      </w:r>
      <w:r w:rsidRPr="00AB0E48">
        <w:rPr>
          <w:rFonts w:ascii="Book Antiqua" w:hAnsi="Book Antiqua" w:cs="宋体"/>
          <w:lang w:eastAsia="zh-CN"/>
        </w:rPr>
        <w:t xml:space="preserve">, Gorstein A, Fritzler MJ, Shoenfeld Y. Autoantibody explosion in systemic lupus erythematosus: more than 100 different antibodies found in SLE patients. </w:t>
      </w:r>
      <w:r w:rsidRPr="00AB0E48">
        <w:rPr>
          <w:rFonts w:ascii="Book Antiqua" w:hAnsi="Book Antiqua" w:cs="宋体"/>
          <w:i/>
          <w:iCs/>
          <w:lang w:eastAsia="zh-CN"/>
        </w:rPr>
        <w:t>Semin Arthritis Rheum</w:t>
      </w:r>
      <w:r w:rsidRPr="00AB0E48">
        <w:rPr>
          <w:rFonts w:ascii="Book Antiqua" w:hAnsi="Book Antiqua" w:cs="宋体"/>
          <w:lang w:eastAsia="zh-CN"/>
        </w:rPr>
        <w:t xml:space="preserve"> 2004; </w:t>
      </w:r>
      <w:r w:rsidRPr="00AB0E48">
        <w:rPr>
          <w:rFonts w:ascii="Book Antiqua" w:hAnsi="Book Antiqua" w:cs="宋体"/>
          <w:b/>
          <w:bCs/>
          <w:lang w:eastAsia="zh-CN"/>
        </w:rPr>
        <w:t>34</w:t>
      </w:r>
      <w:r w:rsidRPr="00AB0E48">
        <w:rPr>
          <w:rFonts w:ascii="Book Antiqua" w:hAnsi="Book Antiqua" w:cs="宋体"/>
          <w:lang w:eastAsia="zh-CN"/>
        </w:rPr>
        <w:t>: 501-537 [PMID: 15505768 DOI: 10.1016/j.semarthrit.2004.07.002</w:t>
      </w:r>
      <w:r w:rsidR="00854FEB">
        <w:rPr>
          <w:rFonts w:ascii="Book Antiqua" w:hAnsi="Book Antiqua" w:cs="宋体"/>
          <w:lang w:eastAsia="zh-CN"/>
        </w:rPr>
        <w:t>]</w:t>
      </w:r>
    </w:p>
    <w:p w14:paraId="1916837E" w14:textId="2E6FBDEA"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8</w:t>
      </w:r>
      <w:r w:rsidR="00854FEB">
        <w:rPr>
          <w:rFonts w:ascii="Book Antiqua" w:hAnsi="Book Antiqua" w:cs="宋体" w:hint="eastAsia"/>
          <w:lang w:eastAsia="zh-CN"/>
        </w:rPr>
        <w:t>8</w:t>
      </w:r>
      <w:r w:rsidRPr="00AB0E48">
        <w:rPr>
          <w:rFonts w:ascii="Book Antiqua" w:hAnsi="Book Antiqua" w:cs="宋体"/>
          <w:lang w:eastAsia="zh-CN"/>
        </w:rPr>
        <w:t xml:space="preserve"> </w:t>
      </w:r>
      <w:r w:rsidRPr="00AB0E48">
        <w:rPr>
          <w:rFonts w:ascii="Book Antiqua" w:hAnsi="Book Antiqua" w:cs="宋体"/>
          <w:b/>
          <w:bCs/>
          <w:lang w:eastAsia="zh-CN"/>
        </w:rPr>
        <w:t>Vermes I</w:t>
      </w:r>
      <w:r w:rsidRPr="00AB0E48">
        <w:rPr>
          <w:rFonts w:ascii="Book Antiqua" w:hAnsi="Book Antiqua" w:cs="宋体"/>
          <w:lang w:eastAsia="zh-CN"/>
        </w:rPr>
        <w:t xml:space="preserve">, Haanen C, Steffens-Nakken H, Reutelingsperger C. A novel assay for apoptosis. Flow cytometric detection of phosphatidylserine expression on early apoptotic cells using fluorescein labelled Annexin V. </w:t>
      </w:r>
      <w:r w:rsidRPr="00AB0E48">
        <w:rPr>
          <w:rFonts w:ascii="Book Antiqua" w:hAnsi="Book Antiqua" w:cs="宋体"/>
          <w:i/>
          <w:iCs/>
          <w:lang w:eastAsia="zh-CN"/>
        </w:rPr>
        <w:t>J Immunol Methods</w:t>
      </w:r>
      <w:r w:rsidRPr="00AB0E48">
        <w:rPr>
          <w:rFonts w:ascii="Book Antiqua" w:hAnsi="Book Antiqua" w:cs="宋体"/>
          <w:lang w:eastAsia="zh-CN"/>
        </w:rPr>
        <w:t xml:space="preserve"> 1995; </w:t>
      </w:r>
      <w:r w:rsidRPr="00AB0E48">
        <w:rPr>
          <w:rFonts w:ascii="Book Antiqua" w:hAnsi="Book Antiqua" w:cs="宋体"/>
          <w:b/>
          <w:bCs/>
          <w:lang w:eastAsia="zh-CN"/>
        </w:rPr>
        <w:t>184</w:t>
      </w:r>
      <w:r w:rsidRPr="00AB0E48">
        <w:rPr>
          <w:rFonts w:ascii="Book Antiqua" w:hAnsi="Book Antiqua" w:cs="宋体"/>
          <w:lang w:eastAsia="zh-CN"/>
        </w:rPr>
        <w:t>: 39-51 [PMID: 7622868 DOI: 10.1016/0022-1759(95)00072-I</w:t>
      </w:r>
      <w:r w:rsidR="00854FEB">
        <w:rPr>
          <w:rFonts w:ascii="Book Antiqua" w:hAnsi="Book Antiqua" w:cs="宋体"/>
          <w:lang w:eastAsia="zh-CN"/>
        </w:rPr>
        <w:t>]</w:t>
      </w:r>
    </w:p>
    <w:p w14:paraId="0FBF48E0" w14:textId="61CE4014"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hint="eastAsia"/>
          <w:lang w:eastAsia="zh-CN"/>
        </w:rPr>
        <w:t>89</w:t>
      </w:r>
      <w:r w:rsidR="00AB0E48" w:rsidRPr="00AB0E48">
        <w:rPr>
          <w:rFonts w:ascii="Book Antiqua" w:hAnsi="Book Antiqua" w:cs="宋体"/>
          <w:lang w:eastAsia="zh-CN"/>
        </w:rPr>
        <w:t xml:space="preserve"> </w:t>
      </w:r>
      <w:r w:rsidR="00AB0E48" w:rsidRPr="00AB0E48">
        <w:rPr>
          <w:rFonts w:ascii="Book Antiqua" w:hAnsi="Book Antiqua" w:cs="宋体"/>
          <w:b/>
          <w:bCs/>
          <w:lang w:eastAsia="zh-CN"/>
        </w:rPr>
        <w:t>Verhoven B</w:t>
      </w:r>
      <w:r w:rsidR="00AB0E48" w:rsidRPr="00AB0E48">
        <w:rPr>
          <w:rFonts w:ascii="Book Antiqua" w:hAnsi="Book Antiqua" w:cs="宋体"/>
          <w:lang w:eastAsia="zh-CN"/>
        </w:rPr>
        <w:t xml:space="preserve">, Schlegel RA, Williamson P. Mechanisms of phosphatidylserine exposure, a phagocyte recognition signal, on apoptotic T lymphocytes. </w:t>
      </w:r>
      <w:r w:rsidR="00AB0E48" w:rsidRPr="00AB0E48">
        <w:rPr>
          <w:rFonts w:ascii="Book Antiqua" w:hAnsi="Book Antiqua" w:cs="宋体"/>
          <w:i/>
          <w:iCs/>
          <w:lang w:eastAsia="zh-CN"/>
        </w:rPr>
        <w:t>J Exp Med</w:t>
      </w:r>
      <w:r w:rsidR="00AB0E48" w:rsidRPr="00AB0E48">
        <w:rPr>
          <w:rFonts w:ascii="Book Antiqua" w:hAnsi="Book Antiqua" w:cs="宋体"/>
          <w:lang w:eastAsia="zh-CN"/>
        </w:rPr>
        <w:t xml:space="preserve"> 1995; </w:t>
      </w:r>
      <w:r w:rsidR="00AB0E48" w:rsidRPr="00AB0E48">
        <w:rPr>
          <w:rFonts w:ascii="Book Antiqua" w:hAnsi="Book Antiqua" w:cs="宋体"/>
          <w:b/>
          <w:bCs/>
          <w:lang w:eastAsia="zh-CN"/>
        </w:rPr>
        <w:t>182</w:t>
      </w:r>
      <w:r w:rsidR="00AB0E48" w:rsidRPr="00AB0E48">
        <w:rPr>
          <w:rFonts w:ascii="Book Antiqua" w:hAnsi="Book Antiqua" w:cs="宋体"/>
          <w:lang w:eastAsia="zh-CN"/>
        </w:rPr>
        <w:t>: 1597-1601 [PMID: 7595231 DOI: 10.1084/jem.182.5.1597</w:t>
      </w:r>
      <w:r>
        <w:rPr>
          <w:rFonts w:ascii="Book Antiqua" w:hAnsi="Book Antiqua" w:cs="宋体"/>
          <w:lang w:eastAsia="zh-CN"/>
        </w:rPr>
        <w:t>]</w:t>
      </w:r>
    </w:p>
    <w:p w14:paraId="385B7385" w14:textId="1E356492"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0</w:t>
      </w:r>
      <w:r w:rsidRPr="00AB0E48">
        <w:rPr>
          <w:rFonts w:ascii="Book Antiqua" w:hAnsi="Book Antiqua" w:cs="宋体"/>
          <w:lang w:eastAsia="zh-CN"/>
        </w:rPr>
        <w:t xml:space="preserve"> </w:t>
      </w:r>
      <w:r w:rsidRPr="00AB0E48">
        <w:rPr>
          <w:rFonts w:ascii="Book Antiqua" w:hAnsi="Book Antiqua" w:cs="宋体"/>
          <w:b/>
          <w:bCs/>
          <w:lang w:eastAsia="zh-CN"/>
        </w:rPr>
        <w:t>Price BE</w:t>
      </w:r>
      <w:r w:rsidRPr="00AB0E48">
        <w:rPr>
          <w:rFonts w:ascii="Book Antiqua" w:hAnsi="Book Antiqua" w:cs="宋体"/>
          <w:lang w:eastAsia="zh-CN"/>
        </w:rPr>
        <w:t xml:space="preserve">, Rauch J, Shia MA, Walsh MT, Lieberthal W, Gilligan HM, O'Laughlin T, Koh JS, Levine JS. Anti-phospholipid autoantibodies bind to apoptotic, but not viable, thymocytes in a beta 2-glycoprotein I-dependent manner. </w:t>
      </w:r>
      <w:r w:rsidRPr="00AB0E48">
        <w:rPr>
          <w:rFonts w:ascii="Book Antiqua" w:hAnsi="Book Antiqua" w:cs="宋体"/>
          <w:i/>
          <w:iCs/>
          <w:lang w:eastAsia="zh-CN"/>
        </w:rPr>
        <w:t>J Immunol</w:t>
      </w:r>
      <w:r w:rsidRPr="00AB0E48">
        <w:rPr>
          <w:rFonts w:ascii="Book Antiqua" w:hAnsi="Book Antiqua" w:cs="宋体"/>
          <w:lang w:eastAsia="zh-CN"/>
        </w:rPr>
        <w:t xml:space="preserve"> 1996; </w:t>
      </w:r>
      <w:r w:rsidRPr="00AB0E48">
        <w:rPr>
          <w:rFonts w:ascii="Book Antiqua" w:hAnsi="Book Antiqua" w:cs="宋体"/>
          <w:b/>
          <w:bCs/>
          <w:lang w:eastAsia="zh-CN"/>
        </w:rPr>
        <w:t>157</w:t>
      </w:r>
      <w:r w:rsidRPr="00AB0E48">
        <w:rPr>
          <w:rFonts w:ascii="Book Antiqua" w:hAnsi="Book Antiqua" w:cs="宋体"/>
          <w:lang w:eastAsia="zh-CN"/>
        </w:rPr>
        <w:t>: 2201-2208 [PMID: 8757347]</w:t>
      </w:r>
    </w:p>
    <w:p w14:paraId="276B8D5C" w14:textId="5C50091C"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1</w:t>
      </w:r>
      <w:r w:rsidRPr="00AB0E48">
        <w:rPr>
          <w:rFonts w:ascii="Book Antiqua" w:hAnsi="Book Antiqua" w:cs="宋体"/>
          <w:lang w:eastAsia="zh-CN"/>
        </w:rPr>
        <w:t xml:space="preserve"> </w:t>
      </w:r>
      <w:r w:rsidRPr="00AB0E48">
        <w:rPr>
          <w:rFonts w:ascii="Book Antiqua" w:hAnsi="Book Antiqua" w:cs="宋体"/>
          <w:b/>
          <w:bCs/>
          <w:lang w:eastAsia="zh-CN"/>
        </w:rPr>
        <w:t>Casciola-Rosen L</w:t>
      </w:r>
      <w:r w:rsidRPr="00AB0E48">
        <w:rPr>
          <w:rFonts w:ascii="Book Antiqua" w:hAnsi="Book Antiqua" w:cs="宋体"/>
          <w:lang w:eastAsia="zh-CN"/>
        </w:rPr>
        <w:t xml:space="preserve">, Rosen A, Petri M, Schlissel M. Surface blebs on apoptotic cells are sites of enhanced procoagulant activity: implications for coagulation events and antigenic spread in systemic lupus erythematosus. </w:t>
      </w:r>
      <w:r w:rsidR="00854FEB">
        <w:rPr>
          <w:rFonts w:ascii="Book Antiqua" w:hAnsi="Book Antiqua" w:cs="宋体"/>
          <w:i/>
          <w:iCs/>
          <w:lang w:eastAsia="zh-CN"/>
        </w:rPr>
        <w:t>Proc Natl Acad Sci US</w:t>
      </w:r>
      <w:r w:rsidRPr="00AB0E48">
        <w:rPr>
          <w:rFonts w:ascii="Book Antiqua" w:hAnsi="Book Antiqua" w:cs="宋体"/>
          <w:i/>
          <w:iCs/>
          <w:lang w:eastAsia="zh-CN"/>
        </w:rPr>
        <w:t>A</w:t>
      </w:r>
      <w:r w:rsidRPr="00AB0E48">
        <w:rPr>
          <w:rFonts w:ascii="Book Antiqua" w:hAnsi="Book Antiqua" w:cs="宋体"/>
          <w:lang w:eastAsia="zh-CN"/>
        </w:rPr>
        <w:t xml:space="preserve"> 1996; </w:t>
      </w:r>
      <w:r w:rsidRPr="00AB0E48">
        <w:rPr>
          <w:rFonts w:ascii="Book Antiqua" w:hAnsi="Book Antiqua" w:cs="宋体"/>
          <w:b/>
          <w:bCs/>
          <w:lang w:eastAsia="zh-CN"/>
        </w:rPr>
        <w:t>93</w:t>
      </w:r>
      <w:r w:rsidRPr="00AB0E48">
        <w:rPr>
          <w:rFonts w:ascii="Book Antiqua" w:hAnsi="Book Antiqua" w:cs="宋体"/>
          <w:lang w:eastAsia="zh-CN"/>
        </w:rPr>
        <w:t>: 1624-1629 [PMID: 8643681 DOI: 10.1073/pnas.93.4.1624</w:t>
      </w:r>
      <w:r w:rsidR="00854FEB">
        <w:rPr>
          <w:rFonts w:ascii="Book Antiqua" w:hAnsi="Book Antiqua" w:cs="宋体"/>
          <w:lang w:eastAsia="zh-CN"/>
        </w:rPr>
        <w:t>]</w:t>
      </w:r>
    </w:p>
    <w:p w14:paraId="641AC64E" w14:textId="40C4DA40"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2</w:t>
      </w:r>
      <w:r w:rsidRPr="00AB0E48">
        <w:rPr>
          <w:rFonts w:ascii="Book Antiqua" w:hAnsi="Book Antiqua" w:cs="宋体"/>
          <w:lang w:eastAsia="zh-CN"/>
        </w:rPr>
        <w:t xml:space="preserve"> </w:t>
      </w:r>
      <w:r w:rsidRPr="00AB0E48">
        <w:rPr>
          <w:rFonts w:ascii="Book Antiqua" w:hAnsi="Book Antiqua" w:cs="宋体"/>
          <w:b/>
          <w:bCs/>
          <w:lang w:eastAsia="zh-CN"/>
        </w:rPr>
        <w:t>Piroux V</w:t>
      </w:r>
      <w:r w:rsidRPr="00AB0E48">
        <w:rPr>
          <w:rFonts w:ascii="Book Antiqua" w:hAnsi="Book Antiqua" w:cs="宋体"/>
          <w:lang w:eastAsia="zh-CN"/>
        </w:rPr>
        <w:t xml:space="preserve">, Eschwège V, Freyssinet JM. Cell damage at the origin of antiphospholipid antibodies and their pathogenic potential in recurrent pregnancy loss. </w:t>
      </w:r>
      <w:r w:rsidRPr="00AB0E48">
        <w:rPr>
          <w:rFonts w:ascii="Book Antiqua" w:hAnsi="Book Antiqua" w:cs="宋体"/>
          <w:i/>
          <w:iCs/>
          <w:lang w:eastAsia="zh-CN"/>
        </w:rPr>
        <w:t>Infect Dis Obstet Gynecol</w:t>
      </w:r>
      <w:r w:rsidRPr="00AB0E48">
        <w:rPr>
          <w:rFonts w:ascii="Book Antiqua" w:hAnsi="Book Antiqua" w:cs="宋体"/>
          <w:lang w:eastAsia="zh-CN"/>
        </w:rPr>
        <w:t xml:space="preserve"> 1997; </w:t>
      </w:r>
      <w:r w:rsidRPr="00AB0E48">
        <w:rPr>
          <w:rFonts w:ascii="Book Antiqua" w:hAnsi="Book Antiqua" w:cs="宋体"/>
          <w:b/>
          <w:bCs/>
          <w:lang w:eastAsia="zh-CN"/>
        </w:rPr>
        <w:t>5</w:t>
      </w:r>
      <w:r w:rsidRPr="00AB0E48">
        <w:rPr>
          <w:rFonts w:ascii="Book Antiqua" w:hAnsi="Book Antiqua" w:cs="宋体"/>
          <w:lang w:eastAsia="zh-CN"/>
        </w:rPr>
        <w:t>: 176-180 [PMID: 18476171 DOI: 10.1155/S1064744997000264</w:t>
      </w:r>
      <w:r w:rsidR="00854FEB">
        <w:rPr>
          <w:rFonts w:ascii="Book Antiqua" w:hAnsi="Book Antiqua" w:cs="宋体"/>
          <w:lang w:eastAsia="zh-CN"/>
        </w:rPr>
        <w:t>]</w:t>
      </w:r>
    </w:p>
    <w:p w14:paraId="72368DE7" w14:textId="1E44A699"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3</w:t>
      </w:r>
      <w:r w:rsidRPr="00AB0E48">
        <w:rPr>
          <w:rFonts w:ascii="Book Antiqua" w:hAnsi="Book Antiqua" w:cs="宋体"/>
          <w:lang w:eastAsia="zh-CN"/>
        </w:rPr>
        <w:t xml:space="preserve"> </w:t>
      </w:r>
      <w:r w:rsidRPr="00AB0E48">
        <w:rPr>
          <w:rFonts w:ascii="Book Antiqua" w:hAnsi="Book Antiqua" w:cs="宋体"/>
          <w:b/>
          <w:bCs/>
          <w:lang w:eastAsia="zh-CN"/>
        </w:rPr>
        <w:t>Koike T</w:t>
      </w:r>
      <w:r w:rsidRPr="00AB0E48">
        <w:rPr>
          <w:rFonts w:ascii="Book Antiqua" w:hAnsi="Book Antiqua" w:cs="宋体"/>
          <w:lang w:eastAsia="zh-CN"/>
        </w:rPr>
        <w:t xml:space="preserve">, Bohgaki M, Amengual O, Atsumi T. Antiphospholipid antibodies: lessons from the bench. </w:t>
      </w:r>
      <w:r w:rsidRPr="00AB0E48">
        <w:rPr>
          <w:rFonts w:ascii="Book Antiqua" w:hAnsi="Book Antiqua" w:cs="宋体"/>
          <w:i/>
          <w:iCs/>
          <w:lang w:eastAsia="zh-CN"/>
        </w:rPr>
        <w:t>J Autoimmun</w:t>
      </w:r>
      <w:r w:rsidRPr="00AB0E48">
        <w:rPr>
          <w:rFonts w:ascii="Book Antiqua" w:hAnsi="Book Antiqua" w:cs="宋体"/>
          <w:lang w:eastAsia="zh-CN"/>
        </w:rPr>
        <w:t xml:space="preserve"> </w:t>
      </w:r>
      <w:r w:rsidR="00854FEB">
        <w:rPr>
          <w:rFonts w:ascii="Book Antiqua" w:hAnsi="Book Antiqua" w:cs="宋体" w:hint="eastAsia"/>
          <w:lang w:eastAsia="zh-CN"/>
        </w:rPr>
        <w:t>2007</w:t>
      </w:r>
      <w:r w:rsidRPr="00AB0E48">
        <w:rPr>
          <w:rFonts w:ascii="Book Antiqua" w:hAnsi="Book Antiqua" w:cs="宋体"/>
          <w:lang w:eastAsia="zh-CN"/>
        </w:rPr>
        <w:t xml:space="preserve">; </w:t>
      </w:r>
      <w:r w:rsidRPr="00AB0E48">
        <w:rPr>
          <w:rFonts w:ascii="Book Antiqua" w:hAnsi="Book Antiqua" w:cs="宋体"/>
          <w:b/>
          <w:bCs/>
          <w:lang w:eastAsia="zh-CN"/>
        </w:rPr>
        <w:t>28</w:t>
      </w:r>
      <w:r w:rsidRPr="00AB0E48">
        <w:rPr>
          <w:rFonts w:ascii="Book Antiqua" w:hAnsi="Book Antiqua" w:cs="宋体"/>
          <w:lang w:eastAsia="zh-CN"/>
        </w:rPr>
        <w:t>: 129-133 [PMID: 17383159 DOI: 10.1016/j.jaut.2007.02.009</w:t>
      </w:r>
      <w:r w:rsidR="00854FEB">
        <w:rPr>
          <w:rFonts w:ascii="Book Antiqua" w:hAnsi="Book Antiqua" w:cs="宋体"/>
          <w:lang w:eastAsia="zh-CN"/>
        </w:rPr>
        <w:t>]</w:t>
      </w:r>
    </w:p>
    <w:p w14:paraId="31EEC284" w14:textId="0D71E317"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4</w:t>
      </w:r>
      <w:r w:rsidRPr="00AB0E48">
        <w:rPr>
          <w:rFonts w:ascii="Book Antiqua" w:hAnsi="Book Antiqua" w:cs="宋体"/>
          <w:lang w:eastAsia="zh-CN"/>
        </w:rPr>
        <w:t xml:space="preserve"> </w:t>
      </w:r>
      <w:r w:rsidRPr="00AB0E48">
        <w:rPr>
          <w:rFonts w:ascii="Book Antiqua" w:hAnsi="Book Antiqua" w:cs="宋体"/>
          <w:b/>
          <w:bCs/>
          <w:lang w:eastAsia="zh-CN"/>
        </w:rPr>
        <w:t>Fadok VA</w:t>
      </w:r>
      <w:r w:rsidRPr="00AB0E48">
        <w:rPr>
          <w:rFonts w:ascii="Book Antiqua" w:hAnsi="Book Antiqua" w:cs="宋体"/>
          <w:lang w:eastAsia="zh-CN"/>
        </w:rPr>
        <w:t xml:space="preserve">, Voelker DR, Campbell PA, Cohen JJ, Bratton DL, Henson PM. Exposure of phosphatidylserine on the surface of apoptotic lymphocytes triggers specific recognition and removal by macrophages. </w:t>
      </w:r>
      <w:r w:rsidRPr="00AB0E48">
        <w:rPr>
          <w:rFonts w:ascii="Book Antiqua" w:hAnsi="Book Antiqua" w:cs="宋体"/>
          <w:i/>
          <w:iCs/>
          <w:lang w:eastAsia="zh-CN"/>
        </w:rPr>
        <w:t>J Immunol</w:t>
      </w:r>
      <w:r w:rsidRPr="00AB0E48">
        <w:rPr>
          <w:rFonts w:ascii="Book Antiqua" w:hAnsi="Book Antiqua" w:cs="宋体"/>
          <w:lang w:eastAsia="zh-CN"/>
        </w:rPr>
        <w:t xml:space="preserve"> 1992; </w:t>
      </w:r>
      <w:r w:rsidRPr="00AB0E48">
        <w:rPr>
          <w:rFonts w:ascii="Book Antiqua" w:hAnsi="Book Antiqua" w:cs="宋体"/>
          <w:b/>
          <w:bCs/>
          <w:lang w:eastAsia="zh-CN"/>
        </w:rPr>
        <w:t>148</w:t>
      </w:r>
      <w:r w:rsidRPr="00AB0E48">
        <w:rPr>
          <w:rFonts w:ascii="Book Antiqua" w:hAnsi="Book Antiqua" w:cs="宋体"/>
          <w:lang w:eastAsia="zh-CN"/>
        </w:rPr>
        <w:t>: 2207-2216 [PMID: 1545126]</w:t>
      </w:r>
    </w:p>
    <w:p w14:paraId="2FA91580" w14:textId="56482084"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5</w:t>
      </w:r>
      <w:r w:rsidRPr="00AB0E48">
        <w:rPr>
          <w:rFonts w:ascii="Book Antiqua" w:hAnsi="Book Antiqua" w:cs="宋体"/>
          <w:lang w:eastAsia="zh-CN"/>
        </w:rPr>
        <w:t xml:space="preserve"> </w:t>
      </w:r>
      <w:r w:rsidRPr="00AB0E48">
        <w:rPr>
          <w:rFonts w:ascii="Book Antiqua" w:hAnsi="Book Antiqua" w:cs="宋体"/>
          <w:b/>
          <w:bCs/>
          <w:lang w:eastAsia="zh-CN"/>
        </w:rPr>
        <w:t>Manfredi AA</w:t>
      </w:r>
      <w:r w:rsidRPr="00AB0E48">
        <w:rPr>
          <w:rFonts w:ascii="Book Antiqua" w:hAnsi="Book Antiqua" w:cs="宋体"/>
          <w:lang w:eastAsia="zh-CN"/>
        </w:rPr>
        <w:t xml:space="preserve">, Rovere P, Heltai S, Galati G, Nebbia G, Tincani A, Balestrieri G, Sabbadini MG. Apoptotic cell clearance in systemic lupus erythematosus. II. Role of beta2-glycoprotein I. </w:t>
      </w:r>
      <w:r w:rsidRPr="00AB0E48">
        <w:rPr>
          <w:rFonts w:ascii="Book Antiqua" w:hAnsi="Book Antiqua" w:cs="宋体"/>
          <w:i/>
          <w:iCs/>
          <w:lang w:eastAsia="zh-CN"/>
        </w:rPr>
        <w:t>Arthritis Rheum</w:t>
      </w:r>
      <w:r w:rsidRPr="00AB0E48">
        <w:rPr>
          <w:rFonts w:ascii="Book Antiqua" w:hAnsi="Book Antiqua" w:cs="宋体"/>
          <w:lang w:eastAsia="zh-CN"/>
        </w:rPr>
        <w:t xml:space="preserve"> 1998; </w:t>
      </w:r>
      <w:r w:rsidRPr="00AB0E48">
        <w:rPr>
          <w:rFonts w:ascii="Book Antiqua" w:hAnsi="Book Antiqua" w:cs="宋体"/>
          <w:b/>
          <w:bCs/>
          <w:lang w:eastAsia="zh-CN"/>
        </w:rPr>
        <w:t>41</w:t>
      </w:r>
      <w:r w:rsidRPr="00AB0E48">
        <w:rPr>
          <w:rFonts w:ascii="Book Antiqua" w:hAnsi="Book Antiqua" w:cs="宋体"/>
          <w:lang w:eastAsia="zh-CN"/>
        </w:rPr>
        <w:t>: 215-223 [PMID: 9485079]</w:t>
      </w:r>
    </w:p>
    <w:p w14:paraId="04AA9749" w14:textId="2B976125"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6</w:t>
      </w:r>
      <w:r w:rsidRPr="00AB0E48">
        <w:rPr>
          <w:rFonts w:ascii="Book Antiqua" w:hAnsi="Book Antiqua" w:cs="宋体"/>
          <w:lang w:eastAsia="zh-CN"/>
        </w:rPr>
        <w:t xml:space="preserve"> </w:t>
      </w:r>
      <w:r w:rsidRPr="00AB0E48">
        <w:rPr>
          <w:rFonts w:ascii="Book Antiqua" w:hAnsi="Book Antiqua" w:cs="宋体"/>
          <w:b/>
          <w:bCs/>
          <w:lang w:eastAsia="zh-CN"/>
        </w:rPr>
        <w:t>Levine JS</w:t>
      </w:r>
      <w:r w:rsidRPr="00AB0E48">
        <w:rPr>
          <w:rFonts w:ascii="Book Antiqua" w:hAnsi="Book Antiqua" w:cs="宋体"/>
          <w:lang w:eastAsia="zh-CN"/>
        </w:rPr>
        <w:t xml:space="preserve">, Subang R, Nasr SH, Fournier S, Lajoie G, Wither J, Rauch J. Immunization with an apoptotic cell-binding protein recapitulates the nephritis and sequential autoantibody emergence of systemic lupus erythematosus. </w:t>
      </w:r>
      <w:r w:rsidRPr="00AB0E48">
        <w:rPr>
          <w:rFonts w:ascii="Book Antiqua" w:hAnsi="Book Antiqua" w:cs="宋体"/>
          <w:i/>
          <w:iCs/>
          <w:lang w:eastAsia="zh-CN"/>
        </w:rPr>
        <w:t>J Immunol</w:t>
      </w:r>
      <w:r w:rsidRPr="00AB0E48">
        <w:rPr>
          <w:rFonts w:ascii="Book Antiqua" w:hAnsi="Book Antiqua" w:cs="宋体"/>
          <w:lang w:eastAsia="zh-CN"/>
        </w:rPr>
        <w:t xml:space="preserve"> 2006; </w:t>
      </w:r>
      <w:r w:rsidRPr="00AB0E48">
        <w:rPr>
          <w:rFonts w:ascii="Book Antiqua" w:hAnsi="Book Antiqua" w:cs="宋体"/>
          <w:b/>
          <w:bCs/>
          <w:lang w:eastAsia="zh-CN"/>
        </w:rPr>
        <w:t>177</w:t>
      </w:r>
      <w:r w:rsidRPr="00AB0E48">
        <w:rPr>
          <w:rFonts w:ascii="Book Antiqua" w:hAnsi="Book Antiqua" w:cs="宋体"/>
          <w:lang w:eastAsia="zh-CN"/>
        </w:rPr>
        <w:t>: 6504-6516 [PMID: 17056583 DOI: 10.4049/jimmunol.177.9.6504</w:t>
      </w:r>
      <w:r w:rsidR="00854FEB">
        <w:rPr>
          <w:rFonts w:ascii="Book Antiqua" w:hAnsi="Book Antiqua" w:cs="宋体"/>
          <w:lang w:eastAsia="zh-CN"/>
        </w:rPr>
        <w:t>]</w:t>
      </w:r>
    </w:p>
    <w:p w14:paraId="1F7A7F72" w14:textId="04C9D206"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7</w:t>
      </w:r>
      <w:r w:rsidRPr="00AB0E48">
        <w:rPr>
          <w:rFonts w:ascii="Book Antiqua" w:hAnsi="Book Antiqua" w:cs="宋体"/>
          <w:lang w:eastAsia="zh-CN"/>
        </w:rPr>
        <w:t xml:space="preserve"> </w:t>
      </w:r>
      <w:r w:rsidRPr="00AB0E48">
        <w:rPr>
          <w:rFonts w:ascii="Book Antiqua" w:hAnsi="Book Antiqua" w:cs="宋体"/>
          <w:b/>
          <w:bCs/>
          <w:lang w:eastAsia="zh-CN"/>
        </w:rPr>
        <w:t>Mevorach D</w:t>
      </w:r>
      <w:r w:rsidRPr="00AB0E48">
        <w:rPr>
          <w:rFonts w:ascii="Book Antiqua" w:hAnsi="Book Antiqua" w:cs="宋体"/>
          <w:lang w:eastAsia="zh-CN"/>
        </w:rPr>
        <w:t xml:space="preserve">, Zhou JL, Song X, Elkon KB. Systemic exposure to irradiated apoptotic cells induces autoantibody production. </w:t>
      </w:r>
      <w:r w:rsidRPr="00AB0E48">
        <w:rPr>
          <w:rFonts w:ascii="Book Antiqua" w:hAnsi="Book Antiqua" w:cs="宋体"/>
          <w:i/>
          <w:iCs/>
          <w:lang w:eastAsia="zh-CN"/>
        </w:rPr>
        <w:t>J Exp Med</w:t>
      </w:r>
      <w:r w:rsidRPr="00AB0E48">
        <w:rPr>
          <w:rFonts w:ascii="Book Antiqua" w:hAnsi="Book Antiqua" w:cs="宋体"/>
          <w:lang w:eastAsia="zh-CN"/>
        </w:rPr>
        <w:t xml:space="preserve"> 1998; </w:t>
      </w:r>
      <w:r w:rsidRPr="00AB0E48">
        <w:rPr>
          <w:rFonts w:ascii="Book Antiqua" w:hAnsi="Book Antiqua" w:cs="宋体"/>
          <w:b/>
          <w:bCs/>
          <w:lang w:eastAsia="zh-CN"/>
        </w:rPr>
        <w:t>188</w:t>
      </w:r>
      <w:r w:rsidRPr="00AB0E48">
        <w:rPr>
          <w:rFonts w:ascii="Book Antiqua" w:hAnsi="Book Antiqua" w:cs="宋体"/>
          <w:lang w:eastAsia="zh-CN"/>
        </w:rPr>
        <w:t>: 387-392 [PMID: 9670050 DOI: 10.1084/jem.188.2.387</w:t>
      </w:r>
      <w:r w:rsidR="00854FEB">
        <w:rPr>
          <w:rFonts w:ascii="Book Antiqua" w:hAnsi="Book Antiqua" w:cs="宋体"/>
          <w:lang w:eastAsia="zh-CN"/>
        </w:rPr>
        <w:t>]</w:t>
      </w:r>
    </w:p>
    <w:p w14:paraId="39780D89" w14:textId="66A25ACD" w:rsidR="00AB0E48" w:rsidRPr="00AB0E48" w:rsidRDefault="00AB0E48" w:rsidP="00AB0E48">
      <w:pPr>
        <w:spacing w:after="0" w:line="360" w:lineRule="auto"/>
        <w:jc w:val="both"/>
        <w:rPr>
          <w:rFonts w:ascii="Book Antiqua" w:hAnsi="Book Antiqua" w:cs="宋体"/>
          <w:lang w:eastAsia="zh-CN"/>
        </w:rPr>
      </w:pPr>
      <w:r w:rsidRPr="00AB0E48">
        <w:rPr>
          <w:rFonts w:ascii="Book Antiqua" w:hAnsi="Book Antiqua" w:cs="宋体"/>
          <w:lang w:eastAsia="zh-CN"/>
        </w:rPr>
        <w:t>9</w:t>
      </w:r>
      <w:r w:rsidR="00854FEB">
        <w:rPr>
          <w:rFonts w:ascii="Book Antiqua" w:hAnsi="Book Antiqua" w:cs="宋体" w:hint="eastAsia"/>
          <w:lang w:eastAsia="zh-CN"/>
        </w:rPr>
        <w:t>8</w:t>
      </w:r>
      <w:r w:rsidRPr="00AB0E48">
        <w:rPr>
          <w:rFonts w:ascii="Book Antiqua" w:hAnsi="Book Antiqua" w:cs="宋体"/>
          <w:lang w:eastAsia="zh-CN"/>
        </w:rPr>
        <w:t xml:space="preserve"> </w:t>
      </w:r>
      <w:r w:rsidRPr="00AB0E48">
        <w:rPr>
          <w:rFonts w:ascii="Book Antiqua" w:hAnsi="Book Antiqua" w:cs="宋体"/>
          <w:b/>
          <w:bCs/>
          <w:lang w:eastAsia="zh-CN"/>
        </w:rPr>
        <w:t>Levine JS</w:t>
      </w:r>
      <w:r w:rsidRPr="00AB0E48">
        <w:rPr>
          <w:rFonts w:ascii="Book Antiqua" w:hAnsi="Book Antiqua" w:cs="宋体"/>
          <w:lang w:eastAsia="zh-CN"/>
        </w:rPr>
        <w:t xml:space="preserve">, Subang R, Koh JS, Rauch J. Induction of anti-phospholipid autoantibodies by beta2-glycoprotein I bound to apoptotic thymocytes. </w:t>
      </w:r>
      <w:r w:rsidRPr="00AB0E48">
        <w:rPr>
          <w:rFonts w:ascii="Book Antiqua" w:hAnsi="Book Antiqua" w:cs="宋体"/>
          <w:i/>
          <w:iCs/>
          <w:lang w:eastAsia="zh-CN"/>
        </w:rPr>
        <w:t>J Autoimmun</w:t>
      </w:r>
      <w:r w:rsidRPr="00AB0E48">
        <w:rPr>
          <w:rFonts w:ascii="Book Antiqua" w:hAnsi="Book Antiqua" w:cs="宋体"/>
          <w:lang w:eastAsia="zh-CN"/>
        </w:rPr>
        <w:t xml:space="preserve"> 1998; </w:t>
      </w:r>
      <w:r w:rsidRPr="00AB0E48">
        <w:rPr>
          <w:rFonts w:ascii="Book Antiqua" w:hAnsi="Book Antiqua" w:cs="宋体"/>
          <w:b/>
          <w:bCs/>
          <w:lang w:eastAsia="zh-CN"/>
        </w:rPr>
        <w:t>11</w:t>
      </w:r>
      <w:r w:rsidRPr="00AB0E48">
        <w:rPr>
          <w:rFonts w:ascii="Book Antiqua" w:hAnsi="Book Antiqua" w:cs="宋体"/>
          <w:lang w:eastAsia="zh-CN"/>
        </w:rPr>
        <w:t>: 413-424 [PMID: 9802924 DOI: 10.1006/jaut.1998.0235</w:t>
      </w:r>
      <w:r w:rsidR="00854FEB">
        <w:rPr>
          <w:rFonts w:ascii="Book Antiqua" w:hAnsi="Book Antiqua" w:cs="宋体"/>
          <w:lang w:eastAsia="zh-CN"/>
        </w:rPr>
        <w:t>]</w:t>
      </w:r>
    </w:p>
    <w:p w14:paraId="4DAC016F" w14:textId="3BFFBF9B" w:rsidR="00AB0E48" w:rsidRPr="00AB0E48" w:rsidRDefault="00854FEB" w:rsidP="00AB0E48">
      <w:pPr>
        <w:spacing w:after="0" w:line="360" w:lineRule="auto"/>
        <w:jc w:val="both"/>
        <w:rPr>
          <w:rFonts w:ascii="Book Antiqua" w:hAnsi="Book Antiqua" w:cs="宋体"/>
          <w:lang w:eastAsia="zh-CN"/>
        </w:rPr>
      </w:pPr>
      <w:r>
        <w:rPr>
          <w:rFonts w:ascii="Book Antiqua" w:hAnsi="Book Antiqua" w:cs="宋体" w:hint="eastAsia"/>
          <w:lang w:eastAsia="zh-CN"/>
        </w:rPr>
        <w:t>99</w:t>
      </w:r>
      <w:r w:rsidR="00AB0E48" w:rsidRPr="00AB0E48">
        <w:rPr>
          <w:rFonts w:ascii="Book Antiqua" w:hAnsi="Book Antiqua" w:cs="宋体"/>
          <w:lang w:eastAsia="zh-CN"/>
        </w:rPr>
        <w:t xml:space="preserve"> </w:t>
      </w:r>
      <w:r w:rsidR="00AB0E48" w:rsidRPr="00AB0E48">
        <w:rPr>
          <w:rFonts w:ascii="Book Antiqua" w:hAnsi="Book Antiqua" w:cs="宋体"/>
          <w:b/>
          <w:bCs/>
          <w:lang w:eastAsia="zh-CN"/>
        </w:rPr>
        <w:t>Rauch J</w:t>
      </w:r>
      <w:r w:rsidR="00AB0E48" w:rsidRPr="00AB0E48">
        <w:rPr>
          <w:rFonts w:ascii="Book Antiqua" w:hAnsi="Book Antiqua" w:cs="宋体"/>
          <w:lang w:eastAsia="zh-CN"/>
        </w:rPr>
        <w:t xml:space="preserve">, Subang R, D'Agnillo P, Koh JS, Levine JS. Apoptosis and the antiphospholipid syndrome. </w:t>
      </w:r>
      <w:r w:rsidR="00AB0E48" w:rsidRPr="00AB0E48">
        <w:rPr>
          <w:rFonts w:ascii="Book Antiqua" w:hAnsi="Book Antiqua" w:cs="宋体"/>
          <w:i/>
          <w:iCs/>
          <w:lang w:eastAsia="zh-CN"/>
        </w:rPr>
        <w:t>J Autoimmun</w:t>
      </w:r>
      <w:r w:rsidR="00AB0E48" w:rsidRPr="00AB0E48">
        <w:rPr>
          <w:rFonts w:ascii="Book Antiqua" w:hAnsi="Book Antiqua" w:cs="宋体"/>
          <w:lang w:eastAsia="zh-CN"/>
        </w:rPr>
        <w:t xml:space="preserve"> 2000; </w:t>
      </w:r>
      <w:r w:rsidR="00AB0E48" w:rsidRPr="00AB0E48">
        <w:rPr>
          <w:rFonts w:ascii="Book Antiqua" w:hAnsi="Book Antiqua" w:cs="宋体"/>
          <w:b/>
          <w:bCs/>
          <w:lang w:eastAsia="zh-CN"/>
        </w:rPr>
        <w:t>15</w:t>
      </w:r>
      <w:r w:rsidR="00AB0E48" w:rsidRPr="00AB0E48">
        <w:rPr>
          <w:rFonts w:ascii="Book Antiqua" w:hAnsi="Book Antiqua" w:cs="宋体"/>
          <w:lang w:eastAsia="zh-CN"/>
        </w:rPr>
        <w:t>: 231-235 [PMID: 10968916 DOI: 10.1006/jaut.2000.0396</w:t>
      </w:r>
      <w:r>
        <w:rPr>
          <w:rFonts w:ascii="Book Antiqua" w:hAnsi="Book Antiqua" w:cs="宋体"/>
          <w:lang w:eastAsia="zh-CN"/>
        </w:rPr>
        <w:t>]</w:t>
      </w:r>
    </w:p>
    <w:p w14:paraId="5ABFCFCC" w14:textId="77777777" w:rsidR="00AB0E48" w:rsidRPr="00AB0E48" w:rsidRDefault="00AB0E48" w:rsidP="00AB0E48">
      <w:pPr>
        <w:spacing w:after="0" w:line="360" w:lineRule="auto"/>
        <w:jc w:val="both"/>
        <w:rPr>
          <w:rFonts w:ascii="Book Antiqua" w:hAnsi="Book Antiqua" w:cs="宋体"/>
          <w:lang w:eastAsia="zh-CN"/>
        </w:rPr>
      </w:pPr>
    </w:p>
    <w:p w14:paraId="310C1245" w14:textId="2184B11C" w:rsidR="00442311" w:rsidRPr="00AB0E48" w:rsidRDefault="00442311" w:rsidP="00854FEB">
      <w:pPr>
        <w:pStyle w:val="PlainText"/>
        <w:spacing w:line="360" w:lineRule="auto"/>
        <w:jc w:val="right"/>
        <w:rPr>
          <w:rFonts w:ascii="Book Antiqua" w:hAnsi="Book Antiqua"/>
          <w:b/>
          <w:sz w:val="24"/>
          <w:szCs w:val="24"/>
        </w:rPr>
      </w:pPr>
      <w:r w:rsidRPr="00AB0E48">
        <w:rPr>
          <w:rFonts w:ascii="Book Antiqua" w:hAnsi="Book Antiqua"/>
          <w:b/>
          <w:sz w:val="24"/>
          <w:szCs w:val="24"/>
        </w:rPr>
        <w:t>P-Reviewer:</w:t>
      </w:r>
      <w:r w:rsidRPr="00AB0E48">
        <w:rPr>
          <w:rFonts w:ascii="Book Antiqua" w:hAnsi="Book Antiqua" w:cs="Tahoma"/>
          <w:color w:val="000000"/>
          <w:sz w:val="24"/>
          <w:szCs w:val="24"/>
          <w:shd w:val="clear" w:color="auto" w:fill="FFFFFF"/>
        </w:rPr>
        <w:t xml:space="preserve"> Blanco</w:t>
      </w:r>
      <w:r w:rsidRPr="00AB0E48">
        <w:rPr>
          <w:rFonts w:ascii="Book Antiqua" w:hAnsi="Book Antiqua" w:cs="Tahoma"/>
          <w:color w:val="000000"/>
          <w:sz w:val="24"/>
          <w:szCs w:val="24"/>
          <w:shd w:val="clear" w:color="auto" w:fill="FFFFFF"/>
          <w:lang w:eastAsia="zh-CN"/>
        </w:rPr>
        <w:t xml:space="preserve"> LP, </w:t>
      </w:r>
      <w:r w:rsidRPr="00AB0E48">
        <w:rPr>
          <w:rFonts w:ascii="Book Antiqua" w:hAnsi="Book Antiqua" w:cs="Tahoma"/>
          <w:color w:val="000000"/>
          <w:sz w:val="24"/>
          <w:szCs w:val="24"/>
          <w:shd w:val="clear" w:color="auto" w:fill="FFFFFF"/>
        </w:rPr>
        <w:t>Toubi</w:t>
      </w:r>
      <w:r w:rsidRPr="00AB0E48">
        <w:rPr>
          <w:rFonts w:ascii="Book Antiqua" w:hAnsi="Book Antiqua" w:cs="Tahoma"/>
          <w:color w:val="000000"/>
          <w:sz w:val="24"/>
          <w:szCs w:val="24"/>
          <w:shd w:val="clear" w:color="auto" w:fill="FFFFFF"/>
          <w:lang w:eastAsia="zh-CN"/>
        </w:rPr>
        <w:t xml:space="preserve"> E</w:t>
      </w:r>
      <w:r w:rsidRPr="00AB0E48">
        <w:rPr>
          <w:rFonts w:ascii="Book Antiqua" w:hAnsi="Book Antiqua"/>
          <w:b/>
          <w:sz w:val="24"/>
          <w:szCs w:val="24"/>
        </w:rPr>
        <w:t xml:space="preserve"> S-Editor: </w:t>
      </w:r>
      <w:r w:rsidRPr="00AB0E48">
        <w:rPr>
          <w:rFonts w:ascii="Book Antiqua" w:hAnsi="Book Antiqua"/>
          <w:sz w:val="24"/>
          <w:szCs w:val="24"/>
        </w:rPr>
        <w:t>Ji FF</w:t>
      </w:r>
      <w:r w:rsidRPr="00AB0E48">
        <w:rPr>
          <w:rFonts w:ascii="Book Antiqua" w:hAnsi="Book Antiqua"/>
          <w:b/>
          <w:sz w:val="24"/>
          <w:szCs w:val="24"/>
        </w:rPr>
        <w:t xml:space="preserve"> L-Editor: E-Editor:</w:t>
      </w:r>
    </w:p>
    <w:p w14:paraId="5308B41D" w14:textId="77777777" w:rsidR="002E04BC" w:rsidRPr="001467E4" w:rsidRDefault="002E04BC" w:rsidP="001467E4">
      <w:pPr>
        <w:pStyle w:val="PlainText"/>
        <w:spacing w:line="360" w:lineRule="auto"/>
        <w:jc w:val="both"/>
        <w:rPr>
          <w:rFonts w:ascii="Book Antiqua" w:hAnsi="Book Antiqua"/>
          <w:sz w:val="24"/>
          <w:szCs w:val="24"/>
        </w:rPr>
      </w:pPr>
    </w:p>
    <w:p w14:paraId="0FF06700" w14:textId="77777777" w:rsidR="002E04BC" w:rsidRPr="001467E4" w:rsidRDefault="002E04BC" w:rsidP="001467E4">
      <w:pPr>
        <w:pStyle w:val="PlainText"/>
        <w:spacing w:line="360" w:lineRule="auto"/>
        <w:jc w:val="both"/>
        <w:rPr>
          <w:rFonts w:ascii="Book Antiqua" w:hAnsi="Book Antiqua"/>
          <w:sz w:val="24"/>
          <w:szCs w:val="24"/>
        </w:rPr>
      </w:pPr>
    </w:p>
    <w:p w14:paraId="7F616C24" w14:textId="0C25C3FF" w:rsidR="00EF6B75" w:rsidRPr="007F3E04" w:rsidRDefault="00442311" w:rsidP="001467E4">
      <w:pPr>
        <w:spacing w:after="0" w:line="360" w:lineRule="auto"/>
        <w:jc w:val="both"/>
        <w:rPr>
          <w:rFonts w:ascii="Book Antiqua" w:hAnsi="Book Antiqua"/>
          <w:b/>
          <w:lang w:eastAsia="zh-CN"/>
        </w:rPr>
      </w:pPr>
      <w:r w:rsidRPr="00442311">
        <w:rPr>
          <w:rFonts w:ascii="Book Antiqua" w:hAnsi="Book Antiqua"/>
          <w:b/>
        </w:rPr>
        <w:t>Table 1</w:t>
      </w:r>
      <w:r w:rsidR="00EF6B75" w:rsidRPr="00442311">
        <w:rPr>
          <w:rFonts w:ascii="Book Antiqua" w:hAnsi="Book Antiqua"/>
          <w:b/>
        </w:rPr>
        <w:t xml:space="preserve"> Candidate peptides with structural and functional similarity to the </w:t>
      </w:r>
      <w:r w:rsidRPr="00442311">
        <w:rPr>
          <w:rFonts w:ascii="Book Antiqua" w:hAnsi="Book Antiqua"/>
          <w:b/>
        </w:rPr>
        <w:t>phospholipid</w:t>
      </w:r>
      <w:r w:rsidR="00EF6B75" w:rsidRPr="00442311">
        <w:rPr>
          <w:rFonts w:ascii="Book Antiqua" w:hAnsi="Book Antiqua"/>
          <w:b/>
        </w:rPr>
        <w:t xml:space="preserve">-binding region of domain V of </w:t>
      </w:r>
      <w:r w:rsidRPr="00442311">
        <w:rPr>
          <w:rFonts w:ascii="Book Antiqua" w:hAnsi="Book Antiqua"/>
          <w:b/>
        </w:rPr>
        <w:t>beta-2 glycoprotein 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1916"/>
        <w:gridCol w:w="3520"/>
        <w:gridCol w:w="1935"/>
      </w:tblGrid>
      <w:tr w:rsidR="001467E4" w:rsidRPr="001467E4" w14:paraId="03ACE727" w14:textId="77777777" w:rsidTr="00442311">
        <w:tc>
          <w:tcPr>
            <w:tcW w:w="2214" w:type="dxa"/>
            <w:tcBorders>
              <w:top w:val="single" w:sz="4" w:space="0" w:color="auto"/>
              <w:bottom w:val="single" w:sz="4" w:space="0" w:color="auto"/>
            </w:tcBorders>
          </w:tcPr>
          <w:p w14:paraId="577E8CD3"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Peptide</w:t>
            </w:r>
          </w:p>
        </w:tc>
        <w:tc>
          <w:tcPr>
            <w:tcW w:w="2214" w:type="dxa"/>
            <w:tcBorders>
              <w:top w:val="single" w:sz="4" w:space="0" w:color="auto"/>
              <w:bottom w:val="single" w:sz="4" w:space="0" w:color="auto"/>
            </w:tcBorders>
          </w:tcPr>
          <w:p w14:paraId="2CED5C49"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Source</w:t>
            </w:r>
          </w:p>
        </w:tc>
        <w:tc>
          <w:tcPr>
            <w:tcW w:w="2214" w:type="dxa"/>
            <w:tcBorders>
              <w:top w:val="single" w:sz="4" w:space="0" w:color="auto"/>
              <w:bottom w:val="single" w:sz="4" w:space="0" w:color="auto"/>
            </w:tcBorders>
          </w:tcPr>
          <w:p w14:paraId="28FA29FF" w14:textId="096D4DB3" w:rsidR="00EF6B75" w:rsidRPr="001467E4" w:rsidRDefault="00EF6B75" w:rsidP="001467E4">
            <w:pPr>
              <w:spacing w:after="0" w:line="360" w:lineRule="auto"/>
              <w:jc w:val="both"/>
              <w:rPr>
                <w:rFonts w:ascii="Book Antiqua" w:hAnsi="Book Antiqua"/>
              </w:rPr>
            </w:pPr>
            <w:r w:rsidRPr="001467E4">
              <w:rPr>
                <w:rFonts w:ascii="Book Antiqua" w:hAnsi="Book Antiqua"/>
              </w:rPr>
              <w:t xml:space="preserve">Amino </w:t>
            </w:r>
            <w:r w:rsidR="00442311" w:rsidRPr="001467E4">
              <w:rPr>
                <w:rFonts w:ascii="Book Antiqua" w:hAnsi="Book Antiqua"/>
              </w:rPr>
              <w:t>acid sequ</w:t>
            </w:r>
            <w:r w:rsidRPr="001467E4">
              <w:rPr>
                <w:rFonts w:ascii="Book Antiqua" w:hAnsi="Book Antiqua"/>
              </w:rPr>
              <w:t>ence</w:t>
            </w:r>
          </w:p>
        </w:tc>
        <w:tc>
          <w:tcPr>
            <w:tcW w:w="2214" w:type="dxa"/>
            <w:tcBorders>
              <w:top w:val="single" w:sz="4" w:space="0" w:color="auto"/>
              <w:bottom w:val="single" w:sz="4" w:space="0" w:color="auto"/>
            </w:tcBorders>
          </w:tcPr>
          <w:p w14:paraId="2029EE6F" w14:textId="2F87E29C" w:rsidR="00EF6B75" w:rsidRPr="001467E4" w:rsidRDefault="00EF6B75" w:rsidP="00442311">
            <w:pPr>
              <w:spacing w:after="0" w:line="360" w:lineRule="auto"/>
              <w:jc w:val="both"/>
              <w:rPr>
                <w:rFonts w:ascii="Book Antiqua" w:hAnsi="Book Antiqua"/>
                <w:lang w:eastAsia="zh-CN"/>
              </w:rPr>
            </w:pPr>
            <w:r w:rsidRPr="001467E4">
              <w:rPr>
                <w:rFonts w:ascii="Book Antiqua" w:hAnsi="Book Antiqua"/>
              </w:rPr>
              <w:t>Inhibition of B2GPI binding to CL (%)</w:t>
            </w:r>
            <w:r w:rsidR="00442311" w:rsidRPr="00442311">
              <w:rPr>
                <w:rFonts w:ascii="Book Antiqua" w:hAnsi="Book Antiqua" w:hint="eastAsia"/>
                <w:vertAlign w:val="superscript"/>
                <w:lang w:eastAsia="zh-CN"/>
              </w:rPr>
              <w:t>1</w:t>
            </w:r>
          </w:p>
        </w:tc>
      </w:tr>
      <w:tr w:rsidR="001467E4" w:rsidRPr="001467E4" w14:paraId="762292A3" w14:textId="77777777" w:rsidTr="00442311">
        <w:tc>
          <w:tcPr>
            <w:tcW w:w="2214" w:type="dxa"/>
            <w:tcBorders>
              <w:top w:val="single" w:sz="4" w:space="0" w:color="auto"/>
            </w:tcBorders>
          </w:tcPr>
          <w:p w14:paraId="1B2C79F1"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GDKV</w:t>
            </w:r>
          </w:p>
        </w:tc>
        <w:tc>
          <w:tcPr>
            <w:tcW w:w="2214" w:type="dxa"/>
            <w:tcBorders>
              <w:top w:val="single" w:sz="4" w:space="0" w:color="auto"/>
            </w:tcBorders>
          </w:tcPr>
          <w:p w14:paraId="144EE3ED"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Gly</w:t>
            </w:r>
            <w:r w:rsidRPr="001467E4">
              <w:rPr>
                <w:rFonts w:ascii="Book Antiqua" w:hAnsi="Book Antiqua"/>
                <w:vertAlign w:val="subscript"/>
              </w:rPr>
              <w:t>274</w:t>
            </w:r>
            <w:r w:rsidRPr="001467E4">
              <w:rPr>
                <w:rFonts w:ascii="Book Antiqua" w:hAnsi="Book Antiqua"/>
              </w:rPr>
              <w:t>-Cys</w:t>
            </w:r>
            <w:r w:rsidRPr="001467E4">
              <w:rPr>
                <w:rFonts w:ascii="Book Antiqua" w:hAnsi="Book Antiqua"/>
                <w:vertAlign w:val="subscript"/>
              </w:rPr>
              <w:t>288</w:t>
            </w:r>
            <w:r w:rsidRPr="001467E4">
              <w:rPr>
                <w:rFonts w:ascii="Book Antiqua" w:hAnsi="Book Antiqua"/>
              </w:rPr>
              <w:t xml:space="preserve"> in domain V of human B2GPI</w:t>
            </w:r>
          </w:p>
        </w:tc>
        <w:tc>
          <w:tcPr>
            <w:tcW w:w="2214" w:type="dxa"/>
            <w:tcBorders>
              <w:top w:val="single" w:sz="4" w:space="0" w:color="auto"/>
            </w:tcBorders>
          </w:tcPr>
          <w:p w14:paraId="318AB89D"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GDKVSFFCKNKKC</w:t>
            </w:r>
          </w:p>
        </w:tc>
        <w:tc>
          <w:tcPr>
            <w:tcW w:w="2214" w:type="dxa"/>
            <w:tcBorders>
              <w:top w:val="single" w:sz="4" w:space="0" w:color="auto"/>
            </w:tcBorders>
          </w:tcPr>
          <w:p w14:paraId="31D93DBF"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43</w:t>
            </w:r>
          </w:p>
        </w:tc>
      </w:tr>
      <w:tr w:rsidR="001467E4" w:rsidRPr="001467E4" w14:paraId="5B7D00A4" w14:textId="77777777" w:rsidTr="00442311">
        <w:tc>
          <w:tcPr>
            <w:tcW w:w="2214" w:type="dxa"/>
          </w:tcPr>
          <w:p w14:paraId="276077A5"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GDKV</w:t>
            </w:r>
            <w:r w:rsidRPr="001467E4">
              <w:rPr>
                <w:rFonts w:ascii="Book Antiqua" w:hAnsi="Book Antiqua"/>
                <w:vertAlign w:val="subscript"/>
              </w:rPr>
              <w:t>2</w:t>
            </w:r>
          </w:p>
        </w:tc>
        <w:tc>
          <w:tcPr>
            <w:tcW w:w="2214" w:type="dxa"/>
          </w:tcPr>
          <w:p w14:paraId="3ADAB54E"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Modified GDKV with all six residues between Lys</w:t>
            </w:r>
            <w:r w:rsidRPr="001467E4">
              <w:rPr>
                <w:rFonts w:ascii="Book Antiqua" w:hAnsi="Book Antiqua"/>
                <w:vertAlign w:val="subscript"/>
              </w:rPr>
              <w:t>282</w:t>
            </w:r>
            <w:r w:rsidRPr="001467E4">
              <w:rPr>
                <w:rFonts w:ascii="Book Antiqua" w:hAnsi="Book Antiqua"/>
              </w:rPr>
              <w:t>-Lys</w:t>
            </w:r>
            <w:r w:rsidRPr="001467E4">
              <w:rPr>
                <w:rFonts w:ascii="Book Antiqua" w:hAnsi="Book Antiqua"/>
                <w:vertAlign w:val="subscript"/>
              </w:rPr>
              <w:t>287</w:t>
            </w:r>
            <w:r w:rsidRPr="001467E4">
              <w:rPr>
                <w:rFonts w:ascii="Book Antiqua" w:hAnsi="Book Antiqua"/>
              </w:rPr>
              <w:t xml:space="preserve"> replaced with Lys</w:t>
            </w:r>
          </w:p>
        </w:tc>
        <w:tc>
          <w:tcPr>
            <w:tcW w:w="2214" w:type="dxa"/>
          </w:tcPr>
          <w:p w14:paraId="736A4C4C"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GDKVSFFCKKKKKKC</w:t>
            </w:r>
          </w:p>
        </w:tc>
        <w:tc>
          <w:tcPr>
            <w:tcW w:w="2214" w:type="dxa"/>
          </w:tcPr>
          <w:p w14:paraId="4FFDED14"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56</w:t>
            </w:r>
          </w:p>
        </w:tc>
      </w:tr>
      <w:tr w:rsidR="001467E4" w:rsidRPr="001467E4" w14:paraId="18AC9FDA" w14:textId="77777777" w:rsidTr="00442311">
        <w:tc>
          <w:tcPr>
            <w:tcW w:w="2214" w:type="dxa"/>
          </w:tcPr>
          <w:p w14:paraId="658E6E64"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TADL</w:t>
            </w:r>
          </w:p>
        </w:tc>
        <w:tc>
          <w:tcPr>
            <w:tcW w:w="2214" w:type="dxa"/>
          </w:tcPr>
          <w:p w14:paraId="242DD1DD"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Thr</w:t>
            </w:r>
            <w:r w:rsidRPr="001467E4">
              <w:rPr>
                <w:rFonts w:ascii="Book Antiqua" w:hAnsi="Book Antiqua"/>
                <w:vertAlign w:val="subscript"/>
              </w:rPr>
              <w:t>77</w:t>
            </w:r>
            <w:r w:rsidRPr="001467E4">
              <w:rPr>
                <w:rFonts w:ascii="Book Antiqua" w:hAnsi="Book Antiqua"/>
              </w:rPr>
              <w:t>-Glu</w:t>
            </w:r>
            <w:r w:rsidRPr="001467E4">
              <w:rPr>
                <w:rFonts w:ascii="Book Antiqua" w:hAnsi="Book Antiqua"/>
                <w:vertAlign w:val="subscript"/>
              </w:rPr>
              <w:t>96</w:t>
            </w:r>
            <w:r w:rsidRPr="001467E4">
              <w:rPr>
                <w:rFonts w:ascii="Book Antiqua" w:hAnsi="Book Antiqua"/>
              </w:rPr>
              <w:t xml:space="preserve"> of Adv type2 DNA binding protein</w:t>
            </w:r>
          </w:p>
        </w:tc>
        <w:tc>
          <w:tcPr>
            <w:tcW w:w="2214" w:type="dxa"/>
          </w:tcPr>
          <w:p w14:paraId="0CD8D578"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TADLAIASKKKKKRPSPKPE</w:t>
            </w:r>
          </w:p>
        </w:tc>
        <w:tc>
          <w:tcPr>
            <w:tcW w:w="2214" w:type="dxa"/>
          </w:tcPr>
          <w:p w14:paraId="75820953"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68</w:t>
            </w:r>
          </w:p>
        </w:tc>
      </w:tr>
      <w:tr w:rsidR="001467E4" w:rsidRPr="001467E4" w14:paraId="3EA3AC1A" w14:textId="77777777" w:rsidTr="00442311">
        <w:tc>
          <w:tcPr>
            <w:tcW w:w="2214" w:type="dxa"/>
          </w:tcPr>
          <w:p w14:paraId="317D3AD9"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TIFI</w:t>
            </w:r>
          </w:p>
        </w:tc>
        <w:tc>
          <w:tcPr>
            <w:tcW w:w="2214" w:type="dxa"/>
          </w:tcPr>
          <w:p w14:paraId="2C4769B4"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Thr</w:t>
            </w:r>
            <w:r w:rsidRPr="001467E4">
              <w:rPr>
                <w:rFonts w:ascii="Book Antiqua" w:hAnsi="Book Antiqua"/>
                <w:vertAlign w:val="subscript"/>
              </w:rPr>
              <w:t>101</w:t>
            </w:r>
            <w:r w:rsidRPr="001467E4">
              <w:rPr>
                <w:rFonts w:ascii="Book Antiqua" w:hAnsi="Book Antiqua"/>
              </w:rPr>
              <w:t>-Thr</w:t>
            </w:r>
            <w:r w:rsidRPr="001467E4">
              <w:rPr>
                <w:rFonts w:ascii="Book Antiqua" w:hAnsi="Book Antiqua"/>
                <w:vertAlign w:val="subscript"/>
              </w:rPr>
              <w:t>120</w:t>
            </w:r>
            <w:r w:rsidRPr="001467E4">
              <w:rPr>
                <w:rFonts w:ascii="Book Antiqua" w:hAnsi="Book Antiqua"/>
              </w:rPr>
              <w:t xml:space="preserve"> of ULB0-HCMVA from human CMV</w:t>
            </w:r>
          </w:p>
        </w:tc>
        <w:tc>
          <w:tcPr>
            <w:tcW w:w="2214" w:type="dxa"/>
          </w:tcPr>
          <w:p w14:paraId="4AAEF42F"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TIFILFCCSKEKRKKKQAAT</w:t>
            </w:r>
          </w:p>
        </w:tc>
        <w:tc>
          <w:tcPr>
            <w:tcW w:w="2214" w:type="dxa"/>
          </w:tcPr>
          <w:p w14:paraId="34DA8817"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75</w:t>
            </w:r>
          </w:p>
        </w:tc>
      </w:tr>
      <w:tr w:rsidR="001467E4" w:rsidRPr="001467E4" w14:paraId="34164579" w14:textId="77777777" w:rsidTr="00442311">
        <w:tc>
          <w:tcPr>
            <w:tcW w:w="2214" w:type="dxa"/>
          </w:tcPr>
          <w:p w14:paraId="280E41CE"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VITT</w:t>
            </w:r>
          </w:p>
        </w:tc>
        <w:tc>
          <w:tcPr>
            <w:tcW w:w="2214" w:type="dxa"/>
          </w:tcPr>
          <w:p w14:paraId="45FF45F1"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Val51-Ile70 of US27-HCMVA from human CMV</w:t>
            </w:r>
          </w:p>
        </w:tc>
        <w:tc>
          <w:tcPr>
            <w:tcW w:w="2214" w:type="dxa"/>
          </w:tcPr>
          <w:p w14:paraId="6D2AFAAD"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VITTILYYRRKKKSPSDT</w:t>
            </w:r>
          </w:p>
        </w:tc>
        <w:tc>
          <w:tcPr>
            <w:tcW w:w="2214" w:type="dxa"/>
          </w:tcPr>
          <w:p w14:paraId="24DFADAB"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83</w:t>
            </w:r>
          </w:p>
        </w:tc>
      </w:tr>
      <w:tr w:rsidR="001467E4" w:rsidRPr="001467E4" w14:paraId="6C405F96" w14:textId="77777777" w:rsidTr="00442311">
        <w:tc>
          <w:tcPr>
            <w:tcW w:w="2214" w:type="dxa"/>
          </w:tcPr>
          <w:p w14:paraId="55741051"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SGDF</w:t>
            </w:r>
          </w:p>
        </w:tc>
        <w:tc>
          <w:tcPr>
            <w:tcW w:w="2214" w:type="dxa"/>
          </w:tcPr>
          <w:p w14:paraId="60A2D9B4"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Ser</w:t>
            </w:r>
            <w:r w:rsidRPr="001467E4">
              <w:rPr>
                <w:rFonts w:ascii="Book Antiqua" w:hAnsi="Book Antiqua"/>
                <w:vertAlign w:val="subscript"/>
              </w:rPr>
              <w:t>237</w:t>
            </w:r>
            <w:r w:rsidRPr="001467E4">
              <w:rPr>
                <w:rFonts w:ascii="Book Antiqua" w:hAnsi="Book Antiqua"/>
              </w:rPr>
              <w:t>-Ser</w:t>
            </w:r>
            <w:r w:rsidRPr="001467E4">
              <w:rPr>
                <w:rFonts w:ascii="Book Antiqua" w:hAnsi="Book Antiqua"/>
                <w:vertAlign w:val="subscript"/>
              </w:rPr>
              <w:t>256</w:t>
            </w:r>
            <w:r w:rsidRPr="001467E4">
              <w:rPr>
                <w:rFonts w:ascii="Book Antiqua" w:hAnsi="Book Antiqua"/>
              </w:rPr>
              <w:t xml:space="preserve"> of TLP-BACSU from </w:t>
            </w:r>
            <w:r w:rsidRPr="001467E4">
              <w:rPr>
                <w:rFonts w:ascii="Book Antiqua" w:hAnsi="Book Antiqua"/>
                <w:i/>
              </w:rPr>
              <w:t>Bacillus subtilis</w:t>
            </w:r>
          </w:p>
        </w:tc>
        <w:tc>
          <w:tcPr>
            <w:tcW w:w="2214" w:type="dxa"/>
          </w:tcPr>
          <w:p w14:paraId="6286A5E8" w14:textId="77777777" w:rsidR="00EF6B75" w:rsidRPr="001467E4" w:rsidRDefault="00EF6B75" w:rsidP="001467E4">
            <w:pPr>
              <w:spacing w:after="0" w:line="360" w:lineRule="auto"/>
              <w:jc w:val="both"/>
              <w:rPr>
                <w:rFonts w:ascii="Book Antiqua" w:hAnsi="Book Antiqua"/>
              </w:rPr>
            </w:pPr>
            <w:r w:rsidRPr="001467E4">
              <w:rPr>
                <w:rFonts w:ascii="Book Antiqua" w:hAnsi="Book Antiqua"/>
              </w:rPr>
              <w:t>SGDFEYTYKGKKKKMAFATS</w:t>
            </w:r>
          </w:p>
        </w:tc>
        <w:tc>
          <w:tcPr>
            <w:tcW w:w="2214" w:type="dxa"/>
          </w:tcPr>
          <w:p w14:paraId="6297951D" w14:textId="6C9FA88D" w:rsidR="00EF6B75" w:rsidRPr="001467E4" w:rsidRDefault="00442311" w:rsidP="001467E4">
            <w:pPr>
              <w:spacing w:after="0" w:line="360" w:lineRule="auto"/>
              <w:jc w:val="both"/>
              <w:rPr>
                <w:rFonts w:ascii="Book Antiqua" w:hAnsi="Book Antiqua"/>
              </w:rPr>
            </w:pPr>
            <w:r>
              <w:rPr>
                <w:rFonts w:ascii="Book Antiqua" w:hAnsi="Book Antiqua"/>
              </w:rPr>
              <w:t>N</w:t>
            </w:r>
            <w:r w:rsidRPr="001467E4">
              <w:rPr>
                <w:rFonts w:ascii="Book Antiqua" w:hAnsi="Book Antiqua"/>
              </w:rPr>
              <w:t>A</w:t>
            </w:r>
          </w:p>
        </w:tc>
      </w:tr>
    </w:tbl>
    <w:p w14:paraId="1D594F81" w14:textId="652A79C5" w:rsidR="00EF6B75" w:rsidRPr="001467E4" w:rsidRDefault="00442311" w:rsidP="001467E4">
      <w:pPr>
        <w:spacing w:after="0" w:line="360" w:lineRule="auto"/>
        <w:jc w:val="both"/>
        <w:rPr>
          <w:rFonts w:ascii="Book Antiqua" w:hAnsi="Book Antiqua"/>
          <w:lang w:eastAsia="zh-CN"/>
        </w:rPr>
      </w:pPr>
      <w:r w:rsidRPr="00442311">
        <w:rPr>
          <w:rFonts w:ascii="Book Antiqua" w:hAnsi="Book Antiqua" w:hint="eastAsia"/>
          <w:vertAlign w:val="superscript"/>
          <w:lang w:eastAsia="zh-CN"/>
        </w:rPr>
        <w:t>1</w:t>
      </w:r>
      <w:r w:rsidR="00EF6B75" w:rsidRPr="001467E4">
        <w:rPr>
          <w:rFonts w:ascii="Book Antiqua" w:hAnsi="Book Antiqua"/>
        </w:rPr>
        <w:t>Refers to the percentage of inhibition of 100nM of beta-2 glycoprotein I (B2GPI) binding to cardiolipin (CL) produced by 6uM of each peptide</w:t>
      </w:r>
      <w:r>
        <w:rPr>
          <w:rFonts w:ascii="Book Antiqua" w:hAnsi="Book Antiqua" w:hint="eastAsia"/>
          <w:lang w:eastAsia="zh-CN"/>
        </w:rPr>
        <w:t xml:space="preserve">. </w:t>
      </w:r>
      <w:r w:rsidR="00EF6B75" w:rsidRPr="001467E4">
        <w:rPr>
          <w:rFonts w:ascii="Book Antiqua" w:hAnsi="Book Antiqua"/>
        </w:rPr>
        <w:t>CMV</w:t>
      </w:r>
      <w:r>
        <w:rPr>
          <w:rFonts w:ascii="Book Antiqua" w:hAnsi="Book Antiqua" w:hint="eastAsia"/>
          <w:lang w:eastAsia="zh-CN"/>
        </w:rPr>
        <w:t>:</w:t>
      </w:r>
      <w:r>
        <w:rPr>
          <w:rFonts w:ascii="Book Antiqua" w:hAnsi="Book Antiqua"/>
          <w:lang w:eastAsia="zh-CN"/>
        </w:rPr>
        <w:t xml:space="preserve"> </w:t>
      </w:r>
      <w:r w:rsidRPr="001467E4">
        <w:rPr>
          <w:rFonts w:ascii="Book Antiqua" w:hAnsi="Book Antiqua"/>
        </w:rPr>
        <w:t>C</w:t>
      </w:r>
      <w:r w:rsidR="00EF6B75" w:rsidRPr="001467E4">
        <w:rPr>
          <w:rFonts w:ascii="Book Antiqua" w:hAnsi="Book Antiqua"/>
        </w:rPr>
        <w:t>ytomegalovirus</w:t>
      </w:r>
      <w:r>
        <w:rPr>
          <w:rFonts w:ascii="Book Antiqua" w:hAnsi="Book Antiqua" w:hint="eastAsia"/>
          <w:lang w:eastAsia="zh-CN"/>
        </w:rPr>
        <w:t>:</w:t>
      </w:r>
      <w:r>
        <w:rPr>
          <w:rFonts w:ascii="Book Antiqua" w:hAnsi="Book Antiqua"/>
        </w:rPr>
        <w:t xml:space="preserve"> N</w:t>
      </w:r>
      <w:r w:rsidR="00EF6B75" w:rsidRPr="001467E4">
        <w:rPr>
          <w:rFonts w:ascii="Book Antiqua" w:hAnsi="Book Antiqua"/>
        </w:rPr>
        <w:t>A</w:t>
      </w:r>
      <w:r>
        <w:rPr>
          <w:rFonts w:ascii="Book Antiqua" w:hAnsi="Book Antiqua" w:hint="eastAsia"/>
          <w:lang w:eastAsia="zh-CN"/>
        </w:rPr>
        <w:t>:</w:t>
      </w:r>
      <w:r w:rsidR="00EF6B75" w:rsidRPr="001467E4">
        <w:rPr>
          <w:rFonts w:ascii="Book Antiqua" w:hAnsi="Book Antiqua"/>
        </w:rPr>
        <w:t xml:space="preserve"> </w:t>
      </w:r>
      <w:r w:rsidRPr="001467E4">
        <w:rPr>
          <w:rFonts w:ascii="Book Antiqua" w:hAnsi="Book Antiqua"/>
        </w:rPr>
        <w:t>N</w:t>
      </w:r>
      <w:r w:rsidR="00EF6B75" w:rsidRPr="001467E4">
        <w:rPr>
          <w:rFonts w:ascii="Book Antiqua" w:hAnsi="Book Antiqua"/>
        </w:rPr>
        <w:t>ot available</w:t>
      </w:r>
      <w:r>
        <w:rPr>
          <w:rFonts w:ascii="Book Antiqua" w:hAnsi="Book Antiqua" w:hint="eastAsia"/>
          <w:lang w:eastAsia="zh-CN"/>
        </w:rPr>
        <w:t>.</w:t>
      </w:r>
    </w:p>
    <w:p w14:paraId="33E49CC7" w14:textId="77777777" w:rsidR="00EF6B75" w:rsidRPr="001467E4" w:rsidRDefault="00EF6B75" w:rsidP="001467E4">
      <w:pPr>
        <w:pStyle w:val="PlainText"/>
        <w:spacing w:line="360" w:lineRule="auto"/>
        <w:jc w:val="both"/>
        <w:rPr>
          <w:rFonts w:ascii="Book Antiqua" w:hAnsi="Book Antiqua"/>
          <w:sz w:val="24"/>
          <w:szCs w:val="24"/>
        </w:rPr>
      </w:pPr>
    </w:p>
    <w:p w14:paraId="7BCD3936" w14:textId="532CBA27" w:rsidR="00EF6B75" w:rsidRPr="001467E4" w:rsidRDefault="00442311" w:rsidP="001467E4">
      <w:pPr>
        <w:pStyle w:val="PlainText"/>
        <w:spacing w:line="360" w:lineRule="auto"/>
        <w:jc w:val="both"/>
        <w:rPr>
          <w:rFonts w:ascii="Book Antiqua" w:hAnsi="Book Antiqua"/>
          <w:sz w:val="24"/>
          <w:szCs w:val="24"/>
        </w:rPr>
      </w:pPr>
      <w:r w:rsidRPr="00442311">
        <w:rPr>
          <w:rFonts w:ascii="Book Antiqua" w:hAnsi="Book Antiqua"/>
          <w:noProof/>
          <w:sz w:val="24"/>
          <w:szCs w:val="24"/>
        </w:rPr>
        <w:drawing>
          <wp:inline distT="0" distB="0" distL="0" distR="0" wp14:anchorId="75EE3C83" wp14:editId="4F945F55">
            <wp:extent cx="5486400" cy="5486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486400"/>
                    </a:xfrm>
                    <a:prstGeom prst="rect">
                      <a:avLst/>
                    </a:prstGeom>
                  </pic:spPr>
                </pic:pic>
              </a:graphicData>
            </a:graphic>
          </wp:inline>
        </w:drawing>
      </w:r>
    </w:p>
    <w:p w14:paraId="5F7548D7" w14:textId="5211B3A6" w:rsidR="00EF6B75" w:rsidRPr="00442311" w:rsidRDefault="00442311" w:rsidP="001467E4">
      <w:pPr>
        <w:spacing w:after="0" w:line="360" w:lineRule="auto"/>
        <w:jc w:val="both"/>
        <w:rPr>
          <w:rFonts w:ascii="Book Antiqua" w:hAnsi="Book Antiqua"/>
          <w:b/>
          <w:lang w:eastAsia="zh-CN"/>
        </w:rPr>
      </w:pPr>
      <w:r w:rsidRPr="00442311">
        <w:rPr>
          <w:rFonts w:ascii="Book Antiqua" w:hAnsi="Book Antiqua"/>
          <w:b/>
        </w:rPr>
        <w:t>Figure 1</w:t>
      </w:r>
      <w:r w:rsidR="00EF6B75" w:rsidRPr="00442311">
        <w:rPr>
          <w:rFonts w:ascii="Book Antiqua" w:hAnsi="Book Antiqua"/>
          <w:b/>
        </w:rPr>
        <w:t xml:space="preserve"> Proposed </w:t>
      </w:r>
      <w:r w:rsidRPr="00442311">
        <w:rPr>
          <w:rFonts w:ascii="Book Antiqua" w:hAnsi="Book Antiqua"/>
          <w:b/>
        </w:rPr>
        <w:t>pathogenetic mechanisms leading to antiphospholipid antibody pro</w:t>
      </w:r>
      <w:r w:rsidR="00EF6B75" w:rsidRPr="00442311">
        <w:rPr>
          <w:rFonts w:ascii="Book Antiqua" w:hAnsi="Book Antiqua"/>
          <w:b/>
        </w:rPr>
        <w:t xml:space="preserve">duction in </w:t>
      </w:r>
      <w:r w:rsidR="007F3E04">
        <w:rPr>
          <w:rFonts w:ascii="Book Antiqua" w:hAnsi="Book Antiqua" w:hint="eastAsia"/>
          <w:b/>
          <w:lang w:eastAsia="zh-CN"/>
        </w:rPr>
        <w:t>a</w:t>
      </w:r>
      <w:r w:rsidR="00EF6B75" w:rsidRPr="00442311">
        <w:rPr>
          <w:rFonts w:ascii="Book Antiqua" w:hAnsi="Book Antiqua"/>
          <w:b/>
        </w:rPr>
        <w:t xml:space="preserve">ntiphospholipid </w:t>
      </w:r>
      <w:r w:rsidR="007F3E04">
        <w:rPr>
          <w:rFonts w:ascii="Book Antiqua" w:hAnsi="Book Antiqua" w:hint="eastAsia"/>
          <w:b/>
          <w:lang w:eastAsia="zh-CN"/>
        </w:rPr>
        <w:t>s</w:t>
      </w:r>
      <w:r w:rsidR="00EF6B75" w:rsidRPr="00442311">
        <w:rPr>
          <w:rFonts w:ascii="Book Antiqua" w:hAnsi="Book Antiqua"/>
          <w:b/>
        </w:rPr>
        <w:t>yndrome</w:t>
      </w:r>
      <w:r w:rsidRPr="00442311">
        <w:rPr>
          <w:rFonts w:ascii="Book Antiqua" w:hAnsi="Book Antiqua" w:hint="eastAsia"/>
          <w:b/>
          <w:lang w:eastAsia="zh-CN"/>
        </w:rPr>
        <w:t>.</w:t>
      </w:r>
    </w:p>
    <w:p w14:paraId="317840B0" w14:textId="77777777" w:rsidR="00EF6B75" w:rsidRPr="001467E4" w:rsidRDefault="00EF6B75" w:rsidP="001467E4">
      <w:pPr>
        <w:spacing w:after="0" w:line="360" w:lineRule="auto"/>
        <w:jc w:val="both"/>
        <w:rPr>
          <w:rFonts w:ascii="Book Antiqua" w:hAnsi="Book Antiqua"/>
        </w:rPr>
      </w:pPr>
    </w:p>
    <w:p w14:paraId="6D567EF2" w14:textId="686720E7" w:rsidR="00EF6B75" w:rsidRPr="001467E4" w:rsidRDefault="00EF6B75" w:rsidP="001467E4">
      <w:pPr>
        <w:spacing w:after="0" w:line="360" w:lineRule="auto"/>
        <w:jc w:val="both"/>
        <w:rPr>
          <w:rFonts w:ascii="Book Antiqua" w:hAnsi="Book Antiqua"/>
        </w:rPr>
      </w:pPr>
    </w:p>
    <w:p w14:paraId="0B18C136" w14:textId="77777777" w:rsidR="00EF6B75" w:rsidRPr="001467E4" w:rsidRDefault="00EF6B75" w:rsidP="001467E4">
      <w:pPr>
        <w:pStyle w:val="PlainText"/>
        <w:spacing w:line="360" w:lineRule="auto"/>
        <w:jc w:val="both"/>
        <w:rPr>
          <w:rFonts w:ascii="Book Antiqua" w:hAnsi="Book Antiqua"/>
          <w:sz w:val="24"/>
          <w:szCs w:val="24"/>
        </w:rPr>
      </w:pPr>
      <w:bookmarkStart w:id="4" w:name="_GoBack"/>
      <w:bookmarkEnd w:id="4"/>
    </w:p>
    <w:sectPr w:rsidR="00EF6B75" w:rsidRPr="001467E4" w:rsidSect="006F448B">
      <w:footerReference w:type="even" r:id="rId11"/>
      <w:footerReference w:type="default" r:id="rId12"/>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57EE8" w14:textId="77777777" w:rsidR="007A21C1" w:rsidRDefault="007A21C1">
      <w:pPr>
        <w:spacing w:after="0"/>
      </w:pPr>
      <w:r>
        <w:separator/>
      </w:r>
    </w:p>
  </w:endnote>
  <w:endnote w:type="continuationSeparator" w:id="0">
    <w:p w14:paraId="6C0FBC81" w14:textId="77777777" w:rsidR="007A21C1" w:rsidRDefault="007A21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Calibri">
    <w:panose1 w:val="020F0502020204030204"/>
    <w:charset w:val="00"/>
    <w:family w:val="auto"/>
    <w:pitch w:val="variable"/>
    <w:sig w:usb0="E10002FF" w:usb1="4000ACFF" w:usb2="00000009" w:usb3="00000000" w:csb0="0000019F" w:csb1="00000000"/>
  </w:font>
  <w:font w:name="MS Gothi">
    <w:altName w:val="~??eg"/>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82485" w14:textId="77777777" w:rsidR="00AB0E48" w:rsidRDefault="00AB0E48" w:rsidP="00D236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DF268" w14:textId="77777777" w:rsidR="00AB0E48" w:rsidRDefault="00AB0E48" w:rsidP="00D236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8C9E2" w14:textId="77777777" w:rsidR="00AB0E48" w:rsidRDefault="00AB0E48" w:rsidP="00D236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621C">
      <w:rPr>
        <w:rStyle w:val="PageNumber"/>
        <w:noProof/>
      </w:rPr>
      <w:t>1</w:t>
    </w:r>
    <w:r>
      <w:rPr>
        <w:rStyle w:val="PageNumber"/>
      </w:rPr>
      <w:fldChar w:fldCharType="end"/>
    </w:r>
  </w:p>
  <w:p w14:paraId="0935B47A" w14:textId="77777777" w:rsidR="00AB0E48" w:rsidRDefault="00AB0E48" w:rsidP="00D236B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D856A" w14:textId="77777777" w:rsidR="007A21C1" w:rsidRDefault="007A21C1">
      <w:pPr>
        <w:spacing w:after="0"/>
      </w:pPr>
      <w:r>
        <w:separator/>
      </w:r>
    </w:p>
  </w:footnote>
  <w:footnote w:type="continuationSeparator" w:id="0">
    <w:p w14:paraId="45D3CD2D" w14:textId="77777777" w:rsidR="007A21C1" w:rsidRDefault="007A21C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2475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7A73"/>
    <w:multiLevelType w:val="hybridMultilevel"/>
    <w:tmpl w:val="1C2294FE"/>
    <w:lvl w:ilvl="0" w:tplc="9D46F3E4">
      <w:start w:val="108"/>
      <w:numFmt w:val="decimal"/>
      <w:lvlText w:val="%1."/>
      <w:lvlJc w:val="left"/>
      <w:pPr>
        <w:ind w:left="800" w:hanging="440"/>
      </w:pPr>
      <w:rPr>
        <w:rFonts w:eastAsia="Times New Roman"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C40590"/>
    <w:multiLevelType w:val="multilevel"/>
    <w:tmpl w:val="50C2BA72"/>
    <w:lvl w:ilvl="0">
      <w:start w:val="115"/>
      <w:numFmt w:val="decimal"/>
      <w:lvlText w:val="%1."/>
      <w:lvlJc w:val="left"/>
      <w:pPr>
        <w:ind w:left="942" w:hanging="440"/>
      </w:pPr>
      <w:rPr>
        <w:rFonts w:cs="Times New Roman" w:hint="default"/>
      </w:rPr>
    </w:lvl>
    <w:lvl w:ilvl="1">
      <w:start w:val="1"/>
      <w:numFmt w:val="lowerLetter"/>
      <w:lvlText w:val="%2."/>
      <w:lvlJc w:val="left"/>
      <w:pPr>
        <w:ind w:left="1582" w:hanging="360"/>
      </w:pPr>
      <w:rPr>
        <w:rFonts w:cs="Times New Roman"/>
      </w:rPr>
    </w:lvl>
    <w:lvl w:ilvl="2">
      <w:start w:val="1"/>
      <w:numFmt w:val="lowerRoman"/>
      <w:lvlText w:val="%3."/>
      <w:lvlJc w:val="right"/>
      <w:pPr>
        <w:ind w:left="2302" w:hanging="180"/>
      </w:pPr>
      <w:rPr>
        <w:rFonts w:cs="Times New Roman"/>
      </w:rPr>
    </w:lvl>
    <w:lvl w:ilvl="3">
      <w:start w:val="1"/>
      <w:numFmt w:val="decimal"/>
      <w:lvlText w:val="%4."/>
      <w:lvlJc w:val="left"/>
      <w:pPr>
        <w:ind w:left="3022" w:hanging="360"/>
      </w:pPr>
      <w:rPr>
        <w:rFonts w:cs="Times New Roman"/>
      </w:rPr>
    </w:lvl>
    <w:lvl w:ilvl="4">
      <w:start w:val="1"/>
      <w:numFmt w:val="lowerLetter"/>
      <w:lvlText w:val="%5."/>
      <w:lvlJc w:val="left"/>
      <w:pPr>
        <w:ind w:left="3742" w:hanging="360"/>
      </w:pPr>
      <w:rPr>
        <w:rFonts w:cs="Times New Roman"/>
      </w:rPr>
    </w:lvl>
    <w:lvl w:ilvl="5">
      <w:start w:val="1"/>
      <w:numFmt w:val="lowerRoman"/>
      <w:lvlText w:val="%6."/>
      <w:lvlJc w:val="right"/>
      <w:pPr>
        <w:ind w:left="4462" w:hanging="180"/>
      </w:pPr>
      <w:rPr>
        <w:rFonts w:cs="Times New Roman"/>
      </w:rPr>
    </w:lvl>
    <w:lvl w:ilvl="6">
      <w:start w:val="1"/>
      <w:numFmt w:val="decimal"/>
      <w:lvlText w:val="%7."/>
      <w:lvlJc w:val="left"/>
      <w:pPr>
        <w:ind w:left="5182" w:hanging="360"/>
      </w:pPr>
      <w:rPr>
        <w:rFonts w:cs="Times New Roman"/>
      </w:rPr>
    </w:lvl>
    <w:lvl w:ilvl="7">
      <w:start w:val="1"/>
      <w:numFmt w:val="lowerLetter"/>
      <w:lvlText w:val="%8."/>
      <w:lvlJc w:val="left"/>
      <w:pPr>
        <w:ind w:left="5902" w:hanging="360"/>
      </w:pPr>
      <w:rPr>
        <w:rFonts w:cs="Times New Roman"/>
      </w:rPr>
    </w:lvl>
    <w:lvl w:ilvl="8">
      <w:start w:val="1"/>
      <w:numFmt w:val="lowerRoman"/>
      <w:lvlText w:val="%9."/>
      <w:lvlJc w:val="right"/>
      <w:pPr>
        <w:ind w:left="6622" w:hanging="180"/>
      </w:pPr>
      <w:rPr>
        <w:rFonts w:cs="Times New Roman"/>
      </w:rPr>
    </w:lvl>
  </w:abstractNum>
  <w:abstractNum w:abstractNumId="3">
    <w:nsid w:val="066804C0"/>
    <w:multiLevelType w:val="hybridMultilevel"/>
    <w:tmpl w:val="9056B52A"/>
    <w:lvl w:ilvl="0" w:tplc="04090015">
      <w:start w:val="28"/>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9842D10"/>
    <w:multiLevelType w:val="hybridMultilevel"/>
    <w:tmpl w:val="1496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085457"/>
    <w:multiLevelType w:val="hybridMultilevel"/>
    <w:tmpl w:val="6A48D85A"/>
    <w:lvl w:ilvl="0" w:tplc="0409000F">
      <w:start w:val="9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DB621E"/>
    <w:multiLevelType w:val="hybridMultilevel"/>
    <w:tmpl w:val="196E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2690A"/>
    <w:multiLevelType w:val="hybridMultilevel"/>
    <w:tmpl w:val="FE12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163B7"/>
    <w:multiLevelType w:val="multilevel"/>
    <w:tmpl w:val="4162D9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1BF4DE8"/>
    <w:multiLevelType w:val="hybridMultilevel"/>
    <w:tmpl w:val="0356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367AE5"/>
    <w:multiLevelType w:val="hybridMultilevel"/>
    <w:tmpl w:val="13B202FA"/>
    <w:lvl w:ilvl="0" w:tplc="1200E1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4273CB"/>
    <w:multiLevelType w:val="multilevel"/>
    <w:tmpl w:val="43FC9A26"/>
    <w:lvl w:ilvl="0">
      <w:start w:val="1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56F66B5E"/>
    <w:multiLevelType w:val="multilevel"/>
    <w:tmpl w:val="61600BCE"/>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57BE51D4"/>
    <w:multiLevelType w:val="hybridMultilevel"/>
    <w:tmpl w:val="43FC9A26"/>
    <w:lvl w:ilvl="0" w:tplc="0409000F">
      <w:start w:val="1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7C747E6"/>
    <w:multiLevelType w:val="multilevel"/>
    <w:tmpl w:val="3F3A089A"/>
    <w:lvl w:ilvl="0">
      <w:start w:val="100"/>
      <w:numFmt w:val="decimal"/>
      <w:lvlText w:val="%1."/>
      <w:lvlJc w:val="left"/>
      <w:pPr>
        <w:ind w:left="860" w:hanging="5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59D76777"/>
    <w:multiLevelType w:val="hybridMultilevel"/>
    <w:tmpl w:val="7E1A131A"/>
    <w:lvl w:ilvl="0" w:tplc="1CD2FA8C">
      <w:start w:val="104"/>
      <w:numFmt w:val="decimal"/>
      <w:lvlText w:val="%1."/>
      <w:lvlJc w:val="left"/>
      <w:pPr>
        <w:ind w:left="800" w:hanging="440"/>
      </w:pPr>
      <w:rPr>
        <w:rFonts w:ascii="Cambria" w:hAnsi="Cambria"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C167523"/>
    <w:multiLevelType w:val="hybridMultilevel"/>
    <w:tmpl w:val="A07C42EE"/>
    <w:lvl w:ilvl="0" w:tplc="0409000F">
      <w:start w:val="1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F795E50"/>
    <w:multiLevelType w:val="multilevel"/>
    <w:tmpl w:val="9056B52A"/>
    <w:lvl w:ilvl="0">
      <w:start w:val="28"/>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2C97409"/>
    <w:multiLevelType w:val="hybridMultilevel"/>
    <w:tmpl w:val="07D2477C"/>
    <w:lvl w:ilvl="0" w:tplc="A1EA0DA0">
      <w:start w:val="1"/>
      <w:numFmt w:val="decimal"/>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4AB473F"/>
    <w:multiLevelType w:val="hybridMultilevel"/>
    <w:tmpl w:val="E43A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9C40AC"/>
    <w:multiLevelType w:val="hybridMultilevel"/>
    <w:tmpl w:val="4ADC4850"/>
    <w:lvl w:ilvl="0" w:tplc="04090015">
      <w:start w:val="29"/>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D6D3DEC"/>
    <w:multiLevelType w:val="hybridMultilevel"/>
    <w:tmpl w:val="50C2BA72"/>
    <w:lvl w:ilvl="0" w:tplc="F04A0AD8">
      <w:start w:val="115"/>
      <w:numFmt w:val="decimal"/>
      <w:lvlText w:val="%1."/>
      <w:lvlJc w:val="left"/>
      <w:pPr>
        <w:ind w:left="942" w:hanging="440"/>
      </w:pPr>
      <w:rPr>
        <w:rFonts w:cs="Times New Roman" w:hint="default"/>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23">
    <w:nsid w:val="71B460E9"/>
    <w:multiLevelType w:val="hybridMultilevel"/>
    <w:tmpl w:val="61600BC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4FB14A0"/>
    <w:multiLevelType w:val="hybridMultilevel"/>
    <w:tmpl w:val="DCC4D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2D13D9"/>
    <w:multiLevelType w:val="hybridMultilevel"/>
    <w:tmpl w:val="3F3A089A"/>
    <w:lvl w:ilvl="0" w:tplc="A1C0EB3E">
      <w:start w:val="100"/>
      <w:numFmt w:val="decimal"/>
      <w:lvlText w:val="%1."/>
      <w:lvlJc w:val="left"/>
      <w:pPr>
        <w:ind w:left="860" w:hanging="5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A9748EC"/>
    <w:multiLevelType w:val="hybridMultilevel"/>
    <w:tmpl w:val="AD8A33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ACE12AB"/>
    <w:multiLevelType w:val="hybridMultilevel"/>
    <w:tmpl w:val="51D250F6"/>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CB1530C"/>
    <w:multiLevelType w:val="hybridMultilevel"/>
    <w:tmpl w:val="07D2477C"/>
    <w:lvl w:ilvl="0" w:tplc="A1EA0DA0">
      <w:start w:val="1"/>
      <w:numFmt w:val="decimal"/>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CB279B9"/>
    <w:multiLevelType w:val="hybridMultilevel"/>
    <w:tmpl w:val="1138FD62"/>
    <w:lvl w:ilvl="0" w:tplc="2B5A8BDE">
      <w:start w:val="1"/>
      <w:numFmt w:val="bullet"/>
      <w:lvlText w:val=" "/>
      <w:lvlJc w:val="left"/>
      <w:pPr>
        <w:tabs>
          <w:tab w:val="num" w:pos="720"/>
        </w:tabs>
        <w:ind w:left="720" w:hanging="360"/>
      </w:pPr>
      <w:rPr>
        <w:rFonts w:ascii="Times" w:hAnsi="Times" w:hint="default"/>
      </w:rPr>
    </w:lvl>
    <w:lvl w:ilvl="1" w:tplc="3B3CE188" w:tentative="1">
      <w:start w:val="1"/>
      <w:numFmt w:val="bullet"/>
      <w:lvlText w:val=" "/>
      <w:lvlJc w:val="left"/>
      <w:pPr>
        <w:tabs>
          <w:tab w:val="num" w:pos="1440"/>
        </w:tabs>
        <w:ind w:left="1440" w:hanging="360"/>
      </w:pPr>
      <w:rPr>
        <w:rFonts w:ascii="Times" w:hAnsi="Times" w:hint="default"/>
      </w:rPr>
    </w:lvl>
    <w:lvl w:ilvl="2" w:tplc="CA58340E" w:tentative="1">
      <w:start w:val="1"/>
      <w:numFmt w:val="bullet"/>
      <w:lvlText w:val=" "/>
      <w:lvlJc w:val="left"/>
      <w:pPr>
        <w:tabs>
          <w:tab w:val="num" w:pos="2160"/>
        </w:tabs>
        <w:ind w:left="2160" w:hanging="360"/>
      </w:pPr>
      <w:rPr>
        <w:rFonts w:ascii="Times" w:hAnsi="Times" w:hint="default"/>
      </w:rPr>
    </w:lvl>
    <w:lvl w:ilvl="3" w:tplc="4FACEA40" w:tentative="1">
      <w:start w:val="1"/>
      <w:numFmt w:val="bullet"/>
      <w:lvlText w:val=" "/>
      <w:lvlJc w:val="left"/>
      <w:pPr>
        <w:tabs>
          <w:tab w:val="num" w:pos="2880"/>
        </w:tabs>
        <w:ind w:left="2880" w:hanging="360"/>
      </w:pPr>
      <w:rPr>
        <w:rFonts w:ascii="Times" w:hAnsi="Times" w:hint="default"/>
      </w:rPr>
    </w:lvl>
    <w:lvl w:ilvl="4" w:tplc="3DC2B51C" w:tentative="1">
      <w:start w:val="1"/>
      <w:numFmt w:val="bullet"/>
      <w:lvlText w:val=" "/>
      <w:lvlJc w:val="left"/>
      <w:pPr>
        <w:tabs>
          <w:tab w:val="num" w:pos="3600"/>
        </w:tabs>
        <w:ind w:left="3600" w:hanging="360"/>
      </w:pPr>
      <w:rPr>
        <w:rFonts w:ascii="Times" w:hAnsi="Times" w:hint="default"/>
      </w:rPr>
    </w:lvl>
    <w:lvl w:ilvl="5" w:tplc="858CD13E" w:tentative="1">
      <w:start w:val="1"/>
      <w:numFmt w:val="bullet"/>
      <w:lvlText w:val=" "/>
      <w:lvlJc w:val="left"/>
      <w:pPr>
        <w:tabs>
          <w:tab w:val="num" w:pos="4320"/>
        </w:tabs>
        <w:ind w:left="4320" w:hanging="360"/>
      </w:pPr>
      <w:rPr>
        <w:rFonts w:ascii="Times" w:hAnsi="Times" w:hint="default"/>
      </w:rPr>
    </w:lvl>
    <w:lvl w:ilvl="6" w:tplc="F1DABA14" w:tentative="1">
      <w:start w:val="1"/>
      <w:numFmt w:val="bullet"/>
      <w:lvlText w:val=" "/>
      <w:lvlJc w:val="left"/>
      <w:pPr>
        <w:tabs>
          <w:tab w:val="num" w:pos="5040"/>
        </w:tabs>
        <w:ind w:left="5040" w:hanging="360"/>
      </w:pPr>
      <w:rPr>
        <w:rFonts w:ascii="Times" w:hAnsi="Times" w:hint="default"/>
      </w:rPr>
    </w:lvl>
    <w:lvl w:ilvl="7" w:tplc="05B091BC" w:tentative="1">
      <w:start w:val="1"/>
      <w:numFmt w:val="bullet"/>
      <w:lvlText w:val=" "/>
      <w:lvlJc w:val="left"/>
      <w:pPr>
        <w:tabs>
          <w:tab w:val="num" w:pos="5760"/>
        </w:tabs>
        <w:ind w:left="5760" w:hanging="360"/>
      </w:pPr>
      <w:rPr>
        <w:rFonts w:ascii="Times" w:hAnsi="Times" w:hint="default"/>
      </w:rPr>
    </w:lvl>
    <w:lvl w:ilvl="8" w:tplc="79DA3864" w:tentative="1">
      <w:start w:val="1"/>
      <w:numFmt w:val="bullet"/>
      <w:lvlText w:val=" "/>
      <w:lvlJc w:val="left"/>
      <w:pPr>
        <w:tabs>
          <w:tab w:val="num" w:pos="6480"/>
        </w:tabs>
        <w:ind w:left="6480" w:hanging="360"/>
      </w:pPr>
      <w:rPr>
        <w:rFonts w:ascii="Times" w:hAnsi="Times" w:hint="default"/>
      </w:rPr>
    </w:lvl>
  </w:abstractNum>
  <w:num w:numId="1">
    <w:abstractNumId w:val="23"/>
  </w:num>
  <w:num w:numId="2">
    <w:abstractNumId w:val="8"/>
  </w:num>
  <w:num w:numId="3">
    <w:abstractNumId w:val="3"/>
  </w:num>
  <w:num w:numId="4">
    <w:abstractNumId w:val="17"/>
  </w:num>
  <w:num w:numId="5">
    <w:abstractNumId w:val="21"/>
  </w:num>
  <w:num w:numId="6">
    <w:abstractNumId w:val="27"/>
  </w:num>
  <w:num w:numId="7">
    <w:abstractNumId w:val="12"/>
  </w:num>
  <w:num w:numId="8">
    <w:abstractNumId w:val="16"/>
  </w:num>
  <w:num w:numId="9">
    <w:abstractNumId w:val="13"/>
  </w:num>
  <w:num w:numId="10">
    <w:abstractNumId w:val="20"/>
  </w:num>
  <w:num w:numId="11">
    <w:abstractNumId w:val="9"/>
  </w:num>
  <w:num w:numId="12">
    <w:abstractNumId w:val="4"/>
  </w:num>
  <w:num w:numId="13">
    <w:abstractNumId w:val="6"/>
  </w:num>
  <w:num w:numId="14">
    <w:abstractNumId w:val="7"/>
  </w:num>
  <w:num w:numId="15">
    <w:abstractNumId w:val="24"/>
  </w:num>
  <w:num w:numId="16">
    <w:abstractNumId w:val="11"/>
  </w:num>
  <w:num w:numId="17">
    <w:abstractNumId w:val="26"/>
  </w:num>
  <w:num w:numId="18">
    <w:abstractNumId w:val="28"/>
  </w:num>
  <w:num w:numId="19">
    <w:abstractNumId w:val="19"/>
  </w:num>
  <w:num w:numId="20">
    <w:abstractNumId w:val="25"/>
  </w:num>
  <w:num w:numId="21">
    <w:abstractNumId w:val="15"/>
  </w:num>
  <w:num w:numId="22">
    <w:abstractNumId w:val="1"/>
  </w:num>
  <w:num w:numId="23">
    <w:abstractNumId w:val="22"/>
  </w:num>
  <w:num w:numId="24">
    <w:abstractNumId w:val="14"/>
  </w:num>
  <w:num w:numId="25">
    <w:abstractNumId w:val="5"/>
  </w:num>
  <w:num w:numId="26">
    <w:abstractNumId w:val="2"/>
  </w:num>
  <w:num w:numId="27">
    <w:abstractNumId w:val="29"/>
  </w:num>
  <w:num w:numId="28">
    <w:abstractNumId w:val="0"/>
  </w:num>
  <w:num w:numId="29">
    <w:abstractNumId w:val="1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2B4"/>
    <w:rsid w:val="000009D4"/>
    <w:rsid w:val="000039AA"/>
    <w:rsid w:val="00006321"/>
    <w:rsid w:val="0001409D"/>
    <w:rsid w:val="00030158"/>
    <w:rsid w:val="00052011"/>
    <w:rsid w:val="000527DB"/>
    <w:rsid w:val="000557CA"/>
    <w:rsid w:val="000A68D5"/>
    <w:rsid w:val="000D53B9"/>
    <w:rsid w:val="000D67DA"/>
    <w:rsid w:val="001028CA"/>
    <w:rsid w:val="00127705"/>
    <w:rsid w:val="001467E4"/>
    <w:rsid w:val="00146982"/>
    <w:rsid w:val="00171FFE"/>
    <w:rsid w:val="001A3621"/>
    <w:rsid w:val="001D6BCF"/>
    <w:rsid w:val="001F1672"/>
    <w:rsid w:val="00222F3C"/>
    <w:rsid w:val="00232727"/>
    <w:rsid w:val="0027448A"/>
    <w:rsid w:val="00295DB8"/>
    <w:rsid w:val="002B6A96"/>
    <w:rsid w:val="002C4E3E"/>
    <w:rsid w:val="002D48FD"/>
    <w:rsid w:val="002E04BC"/>
    <w:rsid w:val="002F0A98"/>
    <w:rsid w:val="002F4D2F"/>
    <w:rsid w:val="00313129"/>
    <w:rsid w:val="0031317C"/>
    <w:rsid w:val="0032168F"/>
    <w:rsid w:val="00327AE6"/>
    <w:rsid w:val="00340F37"/>
    <w:rsid w:val="003549C4"/>
    <w:rsid w:val="00383C5E"/>
    <w:rsid w:val="00386E20"/>
    <w:rsid w:val="00395A1A"/>
    <w:rsid w:val="003B2E09"/>
    <w:rsid w:val="003B5DB5"/>
    <w:rsid w:val="003B6C34"/>
    <w:rsid w:val="003D4C5E"/>
    <w:rsid w:val="003E3B12"/>
    <w:rsid w:val="00401AE6"/>
    <w:rsid w:val="004050EF"/>
    <w:rsid w:val="00406CC2"/>
    <w:rsid w:val="0041656A"/>
    <w:rsid w:val="004228FF"/>
    <w:rsid w:val="004277EF"/>
    <w:rsid w:val="00442311"/>
    <w:rsid w:val="004642B4"/>
    <w:rsid w:val="004662BC"/>
    <w:rsid w:val="0049772C"/>
    <w:rsid w:val="004C24F5"/>
    <w:rsid w:val="004C310F"/>
    <w:rsid w:val="004C6358"/>
    <w:rsid w:val="004E3951"/>
    <w:rsid w:val="0054201F"/>
    <w:rsid w:val="00551419"/>
    <w:rsid w:val="00567EA5"/>
    <w:rsid w:val="00577AA3"/>
    <w:rsid w:val="00581476"/>
    <w:rsid w:val="0059359A"/>
    <w:rsid w:val="005B169F"/>
    <w:rsid w:val="005B4012"/>
    <w:rsid w:val="005E6D83"/>
    <w:rsid w:val="005F5345"/>
    <w:rsid w:val="00615BE9"/>
    <w:rsid w:val="006220A6"/>
    <w:rsid w:val="00660C5B"/>
    <w:rsid w:val="00663C1E"/>
    <w:rsid w:val="00676948"/>
    <w:rsid w:val="00676ACB"/>
    <w:rsid w:val="00691384"/>
    <w:rsid w:val="0069431C"/>
    <w:rsid w:val="006C5C55"/>
    <w:rsid w:val="006E1EDE"/>
    <w:rsid w:val="006E3EA4"/>
    <w:rsid w:val="006F3578"/>
    <w:rsid w:val="006F448B"/>
    <w:rsid w:val="006F7490"/>
    <w:rsid w:val="00705483"/>
    <w:rsid w:val="00711489"/>
    <w:rsid w:val="00711CEE"/>
    <w:rsid w:val="00727044"/>
    <w:rsid w:val="007A21C1"/>
    <w:rsid w:val="007B00D1"/>
    <w:rsid w:val="007C7FCC"/>
    <w:rsid w:val="007D41E0"/>
    <w:rsid w:val="007E21A7"/>
    <w:rsid w:val="007F3E04"/>
    <w:rsid w:val="00811B0F"/>
    <w:rsid w:val="00815253"/>
    <w:rsid w:val="008160C9"/>
    <w:rsid w:val="0085105F"/>
    <w:rsid w:val="00854FEB"/>
    <w:rsid w:val="00866EB8"/>
    <w:rsid w:val="00877AAB"/>
    <w:rsid w:val="0089074C"/>
    <w:rsid w:val="00890AB0"/>
    <w:rsid w:val="008D1089"/>
    <w:rsid w:val="008F7089"/>
    <w:rsid w:val="008F7E1A"/>
    <w:rsid w:val="009134E0"/>
    <w:rsid w:val="00914EF3"/>
    <w:rsid w:val="00964581"/>
    <w:rsid w:val="009A1D1F"/>
    <w:rsid w:val="009A4137"/>
    <w:rsid w:val="009E636A"/>
    <w:rsid w:val="009F01CE"/>
    <w:rsid w:val="00A117B3"/>
    <w:rsid w:val="00A25C54"/>
    <w:rsid w:val="00A352A0"/>
    <w:rsid w:val="00A4173D"/>
    <w:rsid w:val="00A61AA8"/>
    <w:rsid w:val="00A671EC"/>
    <w:rsid w:val="00A85D0D"/>
    <w:rsid w:val="00AB0E48"/>
    <w:rsid w:val="00AB64DC"/>
    <w:rsid w:val="00AC715B"/>
    <w:rsid w:val="00AD1A5B"/>
    <w:rsid w:val="00AD26AC"/>
    <w:rsid w:val="00AF5FB6"/>
    <w:rsid w:val="00B021A6"/>
    <w:rsid w:val="00B04198"/>
    <w:rsid w:val="00B123FD"/>
    <w:rsid w:val="00B169ED"/>
    <w:rsid w:val="00B30935"/>
    <w:rsid w:val="00B42374"/>
    <w:rsid w:val="00B56EFD"/>
    <w:rsid w:val="00BE3EFB"/>
    <w:rsid w:val="00BF5701"/>
    <w:rsid w:val="00C03677"/>
    <w:rsid w:val="00C10AAB"/>
    <w:rsid w:val="00C31144"/>
    <w:rsid w:val="00C365B6"/>
    <w:rsid w:val="00C42CD8"/>
    <w:rsid w:val="00C43124"/>
    <w:rsid w:val="00C6741B"/>
    <w:rsid w:val="00C8621C"/>
    <w:rsid w:val="00CA5CF9"/>
    <w:rsid w:val="00CC0989"/>
    <w:rsid w:val="00CC12C0"/>
    <w:rsid w:val="00CE558C"/>
    <w:rsid w:val="00CE7FF6"/>
    <w:rsid w:val="00D1649D"/>
    <w:rsid w:val="00D236B1"/>
    <w:rsid w:val="00D24761"/>
    <w:rsid w:val="00D356E7"/>
    <w:rsid w:val="00D5114A"/>
    <w:rsid w:val="00D94EAA"/>
    <w:rsid w:val="00DA370D"/>
    <w:rsid w:val="00DE1E57"/>
    <w:rsid w:val="00DE300A"/>
    <w:rsid w:val="00DE65DD"/>
    <w:rsid w:val="00E12550"/>
    <w:rsid w:val="00E142B8"/>
    <w:rsid w:val="00E211F2"/>
    <w:rsid w:val="00E54534"/>
    <w:rsid w:val="00E82D77"/>
    <w:rsid w:val="00EB1D6F"/>
    <w:rsid w:val="00EC32D4"/>
    <w:rsid w:val="00EF6B75"/>
    <w:rsid w:val="00F5213A"/>
    <w:rsid w:val="00F56B6E"/>
    <w:rsid w:val="00F76193"/>
    <w:rsid w:val="00F765CE"/>
    <w:rsid w:val="00F8575B"/>
    <w:rsid w:val="00F912CD"/>
    <w:rsid w:val="00F95690"/>
    <w:rsid w:val="00FE0028"/>
    <w:rsid w:val="00FE4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5D975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64A"/>
    <w:pPr>
      <w:spacing w:after="200"/>
    </w:pPr>
    <w:rPr>
      <w:sz w:val="24"/>
      <w:szCs w:val="24"/>
    </w:rPr>
  </w:style>
  <w:style w:type="paragraph" w:styleId="Heading1">
    <w:name w:val="heading 1"/>
    <w:basedOn w:val="Normal"/>
    <w:link w:val="Heading1Char"/>
    <w:uiPriority w:val="99"/>
    <w:qFormat/>
    <w:rsid w:val="001D1C91"/>
    <w:pPr>
      <w:spacing w:before="100" w:beforeAutospacing="1" w:after="100" w:afterAutospacing="1" w:line="264" w:lineRule="atLeast"/>
      <w:outlineLvl w:val="0"/>
    </w:pPr>
    <w:rPr>
      <w:rFonts w:ascii="Times New Roman" w:eastAsia="Times New Roman" w:hAnsi="Times New Roman"/>
      <w:b/>
      <w:bCs/>
      <w:kern w:val="36"/>
      <w:sz w:val="36"/>
      <w:szCs w:val="36"/>
      <w:lang w:bidi="he-IL"/>
    </w:rPr>
  </w:style>
  <w:style w:type="paragraph" w:styleId="Heading2">
    <w:name w:val="heading 2"/>
    <w:basedOn w:val="Normal"/>
    <w:link w:val="Heading2Char"/>
    <w:uiPriority w:val="99"/>
    <w:qFormat/>
    <w:rsid w:val="001D1C91"/>
    <w:pPr>
      <w:spacing w:before="100" w:beforeAutospacing="1" w:after="100" w:afterAutospacing="1"/>
      <w:outlineLvl w:val="1"/>
    </w:pPr>
    <w:rPr>
      <w:rFonts w:ascii="Times New Roman" w:eastAsia="Times New Roman" w:hAnsi="Times New Roman"/>
      <w:b/>
      <w:bCs/>
      <w:sz w:val="43"/>
      <w:szCs w:val="43"/>
      <w:lang w:bidi="he-IL"/>
    </w:rPr>
  </w:style>
  <w:style w:type="paragraph" w:styleId="Heading3">
    <w:name w:val="heading 3"/>
    <w:basedOn w:val="Normal"/>
    <w:next w:val="Normal"/>
    <w:link w:val="Heading3Char"/>
    <w:uiPriority w:val="99"/>
    <w:qFormat/>
    <w:rsid w:val="001D1C91"/>
    <w:pPr>
      <w:keepNext/>
      <w:keepLines/>
      <w:bidi/>
      <w:spacing w:before="200" w:after="0" w:line="276" w:lineRule="auto"/>
      <w:outlineLvl w:val="2"/>
    </w:pPr>
    <w:rPr>
      <w:rFonts w:ascii="Calibri" w:eastAsia="MS Gothi" w:hAnsi="Calibri"/>
      <w:b/>
      <w:bCs/>
      <w:color w:val="4F81BD"/>
      <w:sz w:val="22"/>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D1C91"/>
    <w:rPr>
      <w:rFonts w:ascii="Times New Roman" w:hAnsi="Times New Roman" w:cs="Times New Roman"/>
      <w:b/>
      <w:bCs/>
      <w:kern w:val="36"/>
      <w:sz w:val="36"/>
      <w:szCs w:val="36"/>
      <w:lang w:bidi="he-IL"/>
    </w:rPr>
  </w:style>
  <w:style w:type="character" w:customStyle="1" w:styleId="Heading2Char">
    <w:name w:val="Heading 2 Char"/>
    <w:link w:val="Heading2"/>
    <w:uiPriority w:val="99"/>
    <w:locked/>
    <w:rsid w:val="001D1C91"/>
    <w:rPr>
      <w:rFonts w:ascii="Times New Roman" w:hAnsi="Times New Roman" w:cs="Times New Roman"/>
      <w:b/>
      <w:bCs/>
      <w:sz w:val="43"/>
      <w:szCs w:val="43"/>
      <w:lang w:bidi="he-IL"/>
    </w:rPr>
  </w:style>
  <w:style w:type="character" w:customStyle="1" w:styleId="Heading3Char">
    <w:name w:val="Heading 3 Char"/>
    <w:link w:val="Heading3"/>
    <w:uiPriority w:val="99"/>
    <w:semiHidden/>
    <w:locked/>
    <w:rsid w:val="001D1C91"/>
    <w:rPr>
      <w:rFonts w:ascii="Calibri" w:eastAsia="MS Gothi" w:hAnsi="Calibri" w:cs="Times New Roman"/>
      <w:b/>
      <w:bCs/>
      <w:color w:val="4F81BD"/>
      <w:sz w:val="22"/>
      <w:szCs w:val="22"/>
      <w:lang w:bidi="he-IL"/>
    </w:rPr>
  </w:style>
  <w:style w:type="paragraph" w:styleId="BalloonText">
    <w:name w:val="Balloon Text"/>
    <w:basedOn w:val="Normal"/>
    <w:link w:val="BalloonTextChar"/>
    <w:uiPriority w:val="99"/>
    <w:semiHidden/>
    <w:rsid w:val="00BE4688"/>
    <w:pPr>
      <w:spacing w:after="0"/>
    </w:pPr>
    <w:rPr>
      <w:rFonts w:ascii="Lucida Grande" w:hAnsi="Lucida Grande" w:cs="Lucida Grande"/>
      <w:sz w:val="18"/>
      <w:szCs w:val="18"/>
    </w:rPr>
  </w:style>
  <w:style w:type="character" w:customStyle="1" w:styleId="BalloonTextChar">
    <w:name w:val="Balloon Text Char"/>
    <w:link w:val="BalloonText"/>
    <w:uiPriority w:val="99"/>
    <w:semiHidden/>
    <w:locked/>
    <w:rsid w:val="00BE4688"/>
    <w:rPr>
      <w:rFonts w:ascii="Lucida Grande" w:hAnsi="Lucida Grande" w:cs="Lucida Grande"/>
      <w:sz w:val="18"/>
      <w:szCs w:val="18"/>
    </w:rPr>
  </w:style>
  <w:style w:type="character" w:styleId="Hyperlink">
    <w:name w:val="Hyperlink"/>
    <w:uiPriority w:val="99"/>
    <w:semiHidden/>
    <w:rsid w:val="00184F8A"/>
    <w:rPr>
      <w:rFonts w:cs="Times New Roman"/>
      <w:color w:val="0000FF"/>
      <w:u w:val="single"/>
    </w:rPr>
  </w:style>
  <w:style w:type="paragraph" w:styleId="Footer">
    <w:name w:val="footer"/>
    <w:basedOn w:val="Normal"/>
    <w:link w:val="FooterChar"/>
    <w:uiPriority w:val="99"/>
    <w:rsid w:val="00B17E01"/>
    <w:pPr>
      <w:tabs>
        <w:tab w:val="center" w:pos="4320"/>
        <w:tab w:val="right" w:pos="8640"/>
      </w:tabs>
      <w:spacing w:after="0"/>
    </w:pPr>
  </w:style>
  <w:style w:type="character" w:customStyle="1" w:styleId="FooterChar">
    <w:name w:val="Footer Char"/>
    <w:link w:val="Footer"/>
    <w:uiPriority w:val="99"/>
    <w:locked/>
    <w:rsid w:val="00B17E01"/>
    <w:rPr>
      <w:rFonts w:cs="Times New Roman"/>
      <w:sz w:val="24"/>
      <w:szCs w:val="24"/>
    </w:rPr>
  </w:style>
  <w:style w:type="character" w:styleId="PageNumber">
    <w:name w:val="page number"/>
    <w:uiPriority w:val="99"/>
    <w:semiHidden/>
    <w:rsid w:val="00B17E01"/>
    <w:rPr>
      <w:rFonts w:cs="Times New Roman"/>
    </w:rPr>
  </w:style>
  <w:style w:type="paragraph" w:styleId="ListParagraph">
    <w:name w:val="List Paragraph"/>
    <w:basedOn w:val="Normal"/>
    <w:uiPriority w:val="34"/>
    <w:qFormat/>
    <w:rsid w:val="00886E4A"/>
    <w:pPr>
      <w:ind w:left="720"/>
      <w:contextualSpacing/>
    </w:pPr>
  </w:style>
  <w:style w:type="character" w:styleId="Emphasis">
    <w:name w:val="Emphasis"/>
    <w:uiPriority w:val="99"/>
    <w:qFormat/>
    <w:rsid w:val="00886E4A"/>
    <w:rPr>
      <w:rFonts w:cs="Times New Roman"/>
      <w:i/>
    </w:rPr>
  </w:style>
  <w:style w:type="table" w:styleId="TableGrid">
    <w:name w:val="Table Grid"/>
    <w:basedOn w:val="TableNormal"/>
    <w:uiPriority w:val="59"/>
    <w:rsid w:val="00184E6E"/>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rsid w:val="008D143D"/>
    <w:pPr>
      <w:spacing w:after="0"/>
    </w:pPr>
    <w:rPr>
      <w:rFonts w:ascii="Consolas" w:hAnsi="Consolas"/>
      <w:sz w:val="21"/>
      <w:szCs w:val="21"/>
    </w:rPr>
  </w:style>
  <w:style w:type="character" w:customStyle="1" w:styleId="PlainTextChar">
    <w:name w:val="Plain Text Char"/>
    <w:link w:val="PlainText"/>
    <w:uiPriority w:val="99"/>
    <w:locked/>
    <w:rsid w:val="008D143D"/>
    <w:rPr>
      <w:rFonts w:ascii="Consolas" w:hAnsi="Consolas" w:cs="Times New Roman"/>
      <w:sz w:val="21"/>
      <w:szCs w:val="21"/>
    </w:rPr>
  </w:style>
  <w:style w:type="paragraph" w:customStyle="1" w:styleId="title1">
    <w:name w:val="title1"/>
    <w:basedOn w:val="Normal"/>
    <w:uiPriority w:val="99"/>
    <w:rsid w:val="001D1C91"/>
    <w:pPr>
      <w:spacing w:after="0"/>
    </w:pPr>
    <w:rPr>
      <w:rFonts w:ascii="Times New Roman" w:eastAsia="Times New Roman" w:hAnsi="Times New Roman"/>
      <w:sz w:val="29"/>
      <w:szCs w:val="29"/>
      <w:lang w:bidi="he-IL"/>
    </w:rPr>
  </w:style>
  <w:style w:type="paragraph" w:customStyle="1" w:styleId="desc2">
    <w:name w:val="desc2"/>
    <w:basedOn w:val="Normal"/>
    <w:uiPriority w:val="99"/>
    <w:rsid w:val="001D1C91"/>
    <w:pPr>
      <w:spacing w:before="100" w:beforeAutospacing="1" w:after="100" w:afterAutospacing="1"/>
    </w:pPr>
    <w:rPr>
      <w:rFonts w:ascii="Times New Roman" w:eastAsia="Times New Roman" w:hAnsi="Times New Roman"/>
      <w:sz w:val="28"/>
      <w:szCs w:val="28"/>
      <w:lang w:bidi="he-IL"/>
    </w:rPr>
  </w:style>
  <w:style w:type="paragraph" w:customStyle="1" w:styleId="details1">
    <w:name w:val="details1"/>
    <w:basedOn w:val="Normal"/>
    <w:uiPriority w:val="99"/>
    <w:rsid w:val="001D1C91"/>
    <w:pPr>
      <w:spacing w:before="100" w:beforeAutospacing="1" w:after="100" w:afterAutospacing="1"/>
    </w:pPr>
    <w:rPr>
      <w:rFonts w:ascii="Times New Roman" w:eastAsia="Times New Roman" w:hAnsi="Times New Roman"/>
      <w:lang w:bidi="he-IL"/>
    </w:rPr>
  </w:style>
  <w:style w:type="character" w:customStyle="1" w:styleId="jrnl">
    <w:name w:val="jrnl"/>
    <w:uiPriority w:val="99"/>
    <w:rsid w:val="001D1C91"/>
    <w:rPr>
      <w:rFonts w:cs="Times New Roman"/>
    </w:rPr>
  </w:style>
  <w:style w:type="paragraph" w:styleId="NormalWeb">
    <w:name w:val="Normal (Web)"/>
    <w:basedOn w:val="Normal"/>
    <w:uiPriority w:val="99"/>
    <w:semiHidden/>
    <w:rsid w:val="001D1C91"/>
    <w:pPr>
      <w:spacing w:before="100" w:beforeAutospacing="1" w:after="100" w:afterAutospacing="1"/>
    </w:pPr>
    <w:rPr>
      <w:rFonts w:ascii="Times New Roman" w:eastAsia="Times New Roman" w:hAnsi="Times New Roman"/>
      <w:lang w:bidi="he-IL"/>
    </w:rPr>
  </w:style>
  <w:style w:type="paragraph" w:styleId="Header">
    <w:name w:val="header"/>
    <w:basedOn w:val="Normal"/>
    <w:link w:val="HeaderChar"/>
    <w:uiPriority w:val="99"/>
    <w:rsid w:val="001D1C91"/>
    <w:pPr>
      <w:tabs>
        <w:tab w:val="center" w:pos="4153"/>
        <w:tab w:val="right" w:pos="8306"/>
      </w:tabs>
      <w:bidi/>
      <w:spacing w:after="0"/>
    </w:pPr>
    <w:rPr>
      <w:sz w:val="22"/>
      <w:szCs w:val="22"/>
      <w:lang w:bidi="he-IL"/>
    </w:rPr>
  </w:style>
  <w:style w:type="character" w:customStyle="1" w:styleId="HeaderChar">
    <w:name w:val="Header Char"/>
    <w:link w:val="Header"/>
    <w:uiPriority w:val="99"/>
    <w:locked/>
    <w:rsid w:val="001D1C91"/>
    <w:rPr>
      <w:rFonts w:cs="Times New Roman"/>
      <w:sz w:val="22"/>
      <w:szCs w:val="22"/>
      <w:lang w:bidi="he-IL"/>
    </w:rPr>
  </w:style>
  <w:style w:type="character" w:styleId="FollowedHyperlink">
    <w:name w:val="FollowedHyperlink"/>
    <w:uiPriority w:val="99"/>
    <w:semiHidden/>
    <w:rsid w:val="007B3876"/>
    <w:rPr>
      <w:rFonts w:cs="Times New Roman"/>
      <w:color w:val="800080"/>
      <w:u w:val="single"/>
    </w:rPr>
  </w:style>
  <w:style w:type="character" w:styleId="CommentReference">
    <w:name w:val="annotation reference"/>
    <w:uiPriority w:val="99"/>
    <w:semiHidden/>
    <w:rsid w:val="00496CB8"/>
    <w:rPr>
      <w:rFonts w:cs="Times New Roman"/>
      <w:sz w:val="16"/>
      <w:szCs w:val="16"/>
    </w:rPr>
  </w:style>
  <w:style w:type="paragraph" w:styleId="CommentText">
    <w:name w:val="annotation text"/>
    <w:basedOn w:val="Normal"/>
    <w:link w:val="CommentTextChar"/>
    <w:uiPriority w:val="99"/>
    <w:semiHidden/>
    <w:rsid w:val="00496CB8"/>
    <w:rPr>
      <w:sz w:val="20"/>
      <w:szCs w:val="20"/>
    </w:rPr>
  </w:style>
  <w:style w:type="character" w:customStyle="1" w:styleId="CommentTextChar">
    <w:name w:val="Comment Text Char"/>
    <w:link w:val="CommentText"/>
    <w:uiPriority w:val="99"/>
    <w:semiHidden/>
    <w:locked/>
    <w:rsid w:val="009A64B8"/>
    <w:rPr>
      <w:rFonts w:cs="Times New Roman"/>
      <w:sz w:val="20"/>
      <w:szCs w:val="20"/>
    </w:rPr>
  </w:style>
  <w:style w:type="paragraph" w:styleId="CommentSubject">
    <w:name w:val="annotation subject"/>
    <w:basedOn w:val="CommentText"/>
    <w:next w:val="CommentText"/>
    <w:link w:val="CommentSubjectChar"/>
    <w:uiPriority w:val="99"/>
    <w:semiHidden/>
    <w:rsid w:val="00496CB8"/>
    <w:rPr>
      <w:b/>
      <w:bCs/>
    </w:rPr>
  </w:style>
  <w:style w:type="character" w:customStyle="1" w:styleId="CommentSubjectChar">
    <w:name w:val="Comment Subject Char"/>
    <w:link w:val="CommentSubject"/>
    <w:uiPriority w:val="99"/>
    <w:semiHidden/>
    <w:locked/>
    <w:rsid w:val="009A64B8"/>
    <w:rPr>
      <w:rFonts w:cs="Times New Roman"/>
      <w:b/>
      <w:bCs/>
      <w:sz w:val="20"/>
      <w:szCs w:val="20"/>
    </w:rPr>
  </w:style>
  <w:style w:type="paragraph" w:customStyle="1" w:styleId="Default">
    <w:name w:val="Default"/>
    <w:rsid w:val="00373505"/>
    <w:pPr>
      <w:autoSpaceDE w:val="0"/>
      <w:autoSpaceDN w:val="0"/>
      <w:adjustRightInd w:val="0"/>
    </w:pPr>
    <w:rPr>
      <w:rFonts w:ascii="Calibri" w:hAnsi="Calibri" w:cs="Calibri"/>
      <w:color w:val="000000"/>
      <w:sz w:val="24"/>
      <w:szCs w:val="24"/>
    </w:rPr>
  </w:style>
  <w:style w:type="character" w:customStyle="1" w:styleId="hui1218">
    <w:name w:val="hui1218"/>
    <w:basedOn w:val="DefaultParagraphFont"/>
    <w:rsid w:val="00CA5C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64A"/>
    <w:pPr>
      <w:spacing w:after="200"/>
    </w:pPr>
    <w:rPr>
      <w:sz w:val="24"/>
      <w:szCs w:val="24"/>
    </w:rPr>
  </w:style>
  <w:style w:type="paragraph" w:styleId="Heading1">
    <w:name w:val="heading 1"/>
    <w:basedOn w:val="Normal"/>
    <w:link w:val="Heading1Char"/>
    <w:uiPriority w:val="99"/>
    <w:qFormat/>
    <w:rsid w:val="001D1C91"/>
    <w:pPr>
      <w:spacing w:before="100" w:beforeAutospacing="1" w:after="100" w:afterAutospacing="1" w:line="264" w:lineRule="atLeast"/>
      <w:outlineLvl w:val="0"/>
    </w:pPr>
    <w:rPr>
      <w:rFonts w:ascii="Times New Roman" w:eastAsia="Times New Roman" w:hAnsi="Times New Roman"/>
      <w:b/>
      <w:bCs/>
      <w:kern w:val="36"/>
      <w:sz w:val="36"/>
      <w:szCs w:val="36"/>
      <w:lang w:bidi="he-IL"/>
    </w:rPr>
  </w:style>
  <w:style w:type="paragraph" w:styleId="Heading2">
    <w:name w:val="heading 2"/>
    <w:basedOn w:val="Normal"/>
    <w:link w:val="Heading2Char"/>
    <w:uiPriority w:val="99"/>
    <w:qFormat/>
    <w:rsid w:val="001D1C91"/>
    <w:pPr>
      <w:spacing w:before="100" w:beforeAutospacing="1" w:after="100" w:afterAutospacing="1"/>
      <w:outlineLvl w:val="1"/>
    </w:pPr>
    <w:rPr>
      <w:rFonts w:ascii="Times New Roman" w:eastAsia="Times New Roman" w:hAnsi="Times New Roman"/>
      <w:b/>
      <w:bCs/>
      <w:sz w:val="43"/>
      <w:szCs w:val="43"/>
      <w:lang w:bidi="he-IL"/>
    </w:rPr>
  </w:style>
  <w:style w:type="paragraph" w:styleId="Heading3">
    <w:name w:val="heading 3"/>
    <w:basedOn w:val="Normal"/>
    <w:next w:val="Normal"/>
    <w:link w:val="Heading3Char"/>
    <w:uiPriority w:val="99"/>
    <w:qFormat/>
    <w:rsid w:val="001D1C91"/>
    <w:pPr>
      <w:keepNext/>
      <w:keepLines/>
      <w:bidi/>
      <w:spacing w:before="200" w:after="0" w:line="276" w:lineRule="auto"/>
      <w:outlineLvl w:val="2"/>
    </w:pPr>
    <w:rPr>
      <w:rFonts w:ascii="Calibri" w:eastAsia="MS Gothi" w:hAnsi="Calibri"/>
      <w:b/>
      <w:bCs/>
      <w:color w:val="4F81BD"/>
      <w:sz w:val="22"/>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D1C91"/>
    <w:rPr>
      <w:rFonts w:ascii="Times New Roman" w:hAnsi="Times New Roman" w:cs="Times New Roman"/>
      <w:b/>
      <w:bCs/>
      <w:kern w:val="36"/>
      <w:sz w:val="36"/>
      <w:szCs w:val="36"/>
      <w:lang w:bidi="he-IL"/>
    </w:rPr>
  </w:style>
  <w:style w:type="character" w:customStyle="1" w:styleId="Heading2Char">
    <w:name w:val="Heading 2 Char"/>
    <w:link w:val="Heading2"/>
    <w:uiPriority w:val="99"/>
    <w:locked/>
    <w:rsid w:val="001D1C91"/>
    <w:rPr>
      <w:rFonts w:ascii="Times New Roman" w:hAnsi="Times New Roman" w:cs="Times New Roman"/>
      <w:b/>
      <w:bCs/>
      <w:sz w:val="43"/>
      <w:szCs w:val="43"/>
      <w:lang w:bidi="he-IL"/>
    </w:rPr>
  </w:style>
  <w:style w:type="character" w:customStyle="1" w:styleId="Heading3Char">
    <w:name w:val="Heading 3 Char"/>
    <w:link w:val="Heading3"/>
    <w:uiPriority w:val="99"/>
    <w:semiHidden/>
    <w:locked/>
    <w:rsid w:val="001D1C91"/>
    <w:rPr>
      <w:rFonts w:ascii="Calibri" w:eastAsia="MS Gothi" w:hAnsi="Calibri" w:cs="Times New Roman"/>
      <w:b/>
      <w:bCs/>
      <w:color w:val="4F81BD"/>
      <w:sz w:val="22"/>
      <w:szCs w:val="22"/>
      <w:lang w:bidi="he-IL"/>
    </w:rPr>
  </w:style>
  <w:style w:type="paragraph" w:styleId="BalloonText">
    <w:name w:val="Balloon Text"/>
    <w:basedOn w:val="Normal"/>
    <w:link w:val="BalloonTextChar"/>
    <w:uiPriority w:val="99"/>
    <w:semiHidden/>
    <w:rsid w:val="00BE4688"/>
    <w:pPr>
      <w:spacing w:after="0"/>
    </w:pPr>
    <w:rPr>
      <w:rFonts w:ascii="Lucida Grande" w:hAnsi="Lucida Grande" w:cs="Lucida Grande"/>
      <w:sz w:val="18"/>
      <w:szCs w:val="18"/>
    </w:rPr>
  </w:style>
  <w:style w:type="character" w:customStyle="1" w:styleId="BalloonTextChar">
    <w:name w:val="Balloon Text Char"/>
    <w:link w:val="BalloonText"/>
    <w:uiPriority w:val="99"/>
    <w:semiHidden/>
    <w:locked/>
    <w:rsid w:val="00BE4688"/>
    <w:rPr>
      <w:rFonts w:ascii="Lucida Grande" w:hAnsi="Lucida Grande" w:cs="Lucida Grande"/>
      <w:sz w:val="18"/>
      <w:szCs w:val="18"/>
    </w:rPr>
  </w:style>
  <w:style w:type="character" w:styleId="Hyperlink">
    <w:name w:val="Hyperlink"/>
    <w:uiPriority w:val="99"/>
    <w:semiHidden/>
    <w:rsid w:val="00184F8A"/>
    <w:rPr>
      <w:rFonts w:cs="Times New Roman"/>
      <w:color w:val="0000FF"/>
      <w:u w:val="single"/>
    </w:rPr>
  </w:style>
  <w:style w:type="paragraph" w:styleId="Footer">
    <w:name w:val="footer"/>
    <w:basedOn w:val="Normal"/>
    <w:link w:val="FooterChar"/>
    <w:uiPriority w:val="99"/>
    <w:rsid w:val="00B17E01"/>
    <w:pPr>
      <w:tabs>
        <w:tab w:val="center" w:pos="4320"/>
        <w:tab w:val="right" w:pos="8640"/>
      </w:tabs>
      <w:spacing w:after="0"/>
    </w:pPr>
  </w:style>
  <w:style w:type="character" w:customStyle="1" w:styleId="FooterChar">
    <w:name w:val="Footer Char"/>
    <w:link w:val="Footer"/>
    <w:uiPriority w:val="99"/>
    <w:locked/>
    <w:rsid w:val="00B17E01"/>
    <w:rPr>
      <w:rFonts w:cs="Times New Roman"/>
      <w:sz w:val="24"/>
      <w:szCs w:val="24"/>
    </w:rPr>
  </w:style>
  <w:style w:type="character" w:styleId="PageNumber">
    <w:name w:val="page number"/>
    <w:uiPriority w:val="99"/>
    <w:semiHidden/>
    <w:rsid w:val="00B17E01"/>
    <w:rPr>
      <w:rFonts w:cs="Times New Roman"/>
    </w:rPr>
  </w:style>
  <w:style w:type="paragraph" w:styleId="ListParagraph">
    <w:name w:val="List Paragraph"/>
    <w:basedOn w:val="Normal"/>
    <w:uiPriority w:val="34"/>
    <w:qFormat/>
    <w:rsid w:val="00886E4A"/>
    <w:pPr>
      <w:ind w:left="720"/>
      <w:contextualSpacing/>
    </w:pPr>
  </w:style>
  <w:style w:type="character" w:styleId="Emphasis">
    <w:name w:val="Emphasis"/>
    <w:uiPriority w:val="99"/>
    <w:qFormat/>
    <w:rsid w:val="00886E4A"/>
    <w:rPr>
      <w:rFonts w:cs="Times New Roman"/>
      <w:i/>
    </w:rPr>
  </w:style>
  <w:style w:type="table" w:styleId="TableGrid">
    <w:name w:val="Table Grid"/>
    <w:basedOn w:val="TableNormal"/>
    <w:uiPriority w:val="59"/>
    <w:rsid w:val="00184E6E"/>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rsid w:val="008D143D"/>
    <w:pPr>
      <w:spacing w:after="0"/>
    </w:pPr>
    <w:rPr>
      <w:rFonts w:ascii="Consolas" w:hAnsi="Consolas"/>
      <w:sz w:val="21"/>
      <w:szCs w:val="21"/>
    </w:rPr>
  </w:style>
  <w:style w:type="character" w:customStyle="1" w:styleId="PlainTextChar">
    <w:name w:val="Plain Text Char"/>
    <w:link w:val="PlainText"/>
    <w:uiPriority w:val="99"/>
    <w:locked/>
    <w:rsid w:val="008D143D"/>
    <w:rPr>
      <w:rFonts w:ascii="Consolas" w:hAnsi="Consolas" w:cs="Times New Roman"/>
      <w:sz w:val="21"/>
      <w:szCs w:val="21"/>
    </w:rPr>
  </w:style>
  <w:style w:type="paragraph" w:customStyle="1" w:styleId="title1">
    <w:name w:val="title1"/>
    <w:basedOn w:val="Normal"/>
    <w:uiPriority w:val="99"/>
    <w:rsid w:val="001D1C91"/>
    <w:pPr>
      <w:spacing w:after="0"/>
    </w:pPr>
    <w:rPr>
      <w:rFonts w:ascii="Times New Roman" w:eastAsia="Times New Roman" w:hAnsi="Times New Roman"/>
      <w:sz w:val="29"/>
      <w:szCs w:val="29"/>
      <w:lang w:bidi="he-IL"/>
    </w:rPr>
  </w:style>
  <w:style w:type="paragraph" w:customStyle="1" w:styleId="desc2">
    <w:name w:val="desc2"/>
    <w:basedOn w:val="Normal"/>
    <w:uiPriority w:val="99"/>
    <w:rsid w:val="001D1C91"/>
    <w:pPr>
      <w:spacing w:before="100" w:beforeAutospacing="1" w:after="100" w:afterAutospacing="1"/>
    </w:pPr>
    <w:rPr>
      <w:rFonts w:ascii="Times New Roman" w:eastAsia="Times New Roman" w:hAnsi="Times New Roman"/>
      <w:sz w:val="28"/>
      <w:szCs w:val="28"/>
      <w:lang w:bidi="he-IL"/>
    </w:rPr>
  </w:style>
  <w:style w:type="paragraph" w:customStyle="1" w:styleId="details1">
    <w:name w:val="details1"/>
    <w:basedOn w:val="Normal"/>
    <w:uiPriority w:val="99"/>
    <w:rsid w:val="001D1C91"/>
    <w:pPr>
      <w:spacing w:before="100" w:beforeAutospacing="1" w:after="100" w:afterAutospacing="1"/>
    </w:pPr>
    <w:rPr>
      <w:rFonts w:ascii="Times New Roman" w:eastAsia="Times New Roman" w:hAnsi="Times New Roman"/>
      <w:lang w:bidi="he-IL"/>
    </w:rPr>
  </w:style>
  <w:style w:type="character" w:customStyle="1" w:styleId="jrnl">
    <w:name w:val="jrnl"/>
    <w:uiPriority w:val="99"/>
    <w:rsid w:val="001D1C91"/>
    <w:rPr>
      <w:rFonts w:cs="Times New Roman"/>
    </w:rPr>
  </w:style>
  <w:style w:type="paragraph" w:styleId="NormalWeb">
    <w:name w:val="Normal (Web)"/>
    <w:basedOn w:val="Normal"/>
    <w:uiPriority w:val="99"/>
    <w:semiHidden/>
    <w:rsid w:val="001D1C91"/>
    <w:pPr>
      <w:spacing w:before="100" w:beforeAutospacing="1" w:after="100" w:afterAutospacing="1"/>
    </w:pPr>
    <w:rPr>
      <w:rFonts w:ascii="Times New Roman" w:eastAsia="Times New Roman" w:hAnsi="Times New Roman"/>
      <w:lang w:bidi="he-IL"/>
    </w:rPr>
  </w:style>
  <w:style w:type="paragraph" w:styleId="Header">
    <w:name w:val="header"/>
    <w:basedOn w:val="Normal"/>
    <w:link w:val="HeaderChar"/>
    <w:uiPriority w:val="99"/>
    <w:rsid w:val="001D1C91"/>
    <w:pPr>
      <w:tabs>
        <w:tab w:val="center" w:pos="4153"/>
        <w:tab w:val="right" w:pos="8306"/>
      </w:tabs>
      <w:bidi/>
      <w:spacing w:after="0"/>
    </w:pPr>
    <w:rPr>
      <w:sz w:val="22"/>
      <w:szCs w:val="22"/>
      <w:lang w:bidi="he-IL"/>
    </w:rPr>
  </w:style>
  <w:style w:type="character" w:customStyle="1" w:styleId="HeaderChar">
    <w:name w:val="Header Char"/>
    <w:link w:val="Header"/>
    <w:uiPriority w:val="99"/>
    <w:locked/>
    <w:rsid w:val="001D1C91"/>
    <w:rPr>
      <w:rFonts w:cs="Times New Roman"/>
      <w:sz w:val="22"/>
      <w:szCs w:val="22"/>
      <w:lang w:bidi="he-IL"/>
    </w:rPr>
  </w:style>
  <w:style w:type="character" w:styleId="FollowedHyperlink">
    <w:name w:val="FollowedHyperlink"/>
    <w:uiPriority w:val="99"/>
    <w:semiHidden/>
    <w:rsid w:val="007B3876"/>
    <w:rPr>
      <w:rFonts w:cs="Times New Roman"/>
      <w:color w:val="800080"/>
      <w:u w:val="single"/>
    </w:rPr>
  </w:style>
  <w:style w:type="character" w:styleId="CommentReference">
    <w:name w:val="annotation reference"/>
    <w:uiPriority w:val="99"/>
    <w:semiHidden/>
    <w:rsid w:val="00496CB8"/>
    <w:rPr>
      <w:rFonts w:cs="Times New Roman"/>
      <w:sz w:val="16"/>
      <w:szCs w:val="16"/>
    </w:rPr>
  </w:style>
  <w:style w:type="paragraph" w:styleId="CommentText">
    <w:name w:val="annotation text"/>
    <w:basedOn w:val="Normal"/>
    <w:link w:val="CommentTextChar"/>
    <w:uiPriority w:val="99"/>
    <w:semiHidden/>
    <w:rsid w:val="00496CB8"/>
    <w:rPr>
      <w:sz w:val="20"/>
      <w:szCs w:val="20"/>
    </w:rPr>
  </w:style>
  <w:style w:type="character" w:customStyle="1" w:styleId="CommentTextChar">
    <w:name w:val="Comment Text Char"/>
    <w:link w:val="CommentText"/>
    <w:uiPriority w:val="99"/>
    <w:semiHidden/>
    <w:locked/>
    <w:rsid w:val="009A64B8"/>
    <w:rPr>
      <w:rFonts w:cs="Times New Roman"/>
      <w:sz w:val="20"/>
      <w:szCs w:val="20"/>
    </w:rPr>
  </w:style>
  <w:style w:type="paragraph" w:styleId="CommentSubject">
    <w:name w:val="annotation subject"/>
    <w:basedOn w:val="CommentText"/>
    <w:next w:val="CommentText"/>
    <w:link w:val="CommentSubjectChar"/>
    <w:uiPriority w:val="99"/>
    <w:semiHidden/>
    <w:rsid w:val="00496CB8"/>
    <w:rPr>
      <w:b/>
      <w:bCs/>
    </w:rPr>
  </w:style>
  <w:style w:type="character" w:customStyle="1" w:styleId="CommentSubjectChar">
    <w:name w:val="Comment Subject Char"/>
    <w:link w:val="CommentSubject"/>
    <w:uiPriority w:val="99"/>
    <w:semiHidden/>
    <w:locked/>
    <w:rsid w:val="009A64B8"/>
    <w:rPr>
      <w:rFonts w:cs="Times New Roman"/>
      <w:b/>
      <w:bCs/>
      <w:sz w:val="20"/>
      <w:szCs w:val="20"/>
    </w:rPr>
  </w:style>
  <w:style w:type="paragraph" w:customStyle="1" w:styleId="Default">
    <w:name w:val="Default"/>
    <w:rsid w:val="00373505"/>
    <w:pPr>
      <w:autoSpaceDE w:val="0"/>
      <w:autoSpaceDN w:val="0"/>
      <w:adjustRightInd w:val="0"/>
    </w:pPr>
    <w:rPr>
      <w:rFonts w:ascii="Calibri" w:hAnsi="Calibri" w:cs="Calibri"/>
      <w:color w:val="000000"/>
      <w:sz w:val="24"/>
      <w:szCs w:val="24"/>
    </w:rPr>
  </w:style>
  <w:style w:type="character" w:customStyle="1" w:styleId="hui1218">
    <w:name w:val="hui1218"/>
    <w:basedOn w:val="DefaultParagraphFont"/>
    <w:rsid w:val="00CA5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89944">
      <w:bodyDiv w:val="1"/>
      <w:marLeft w:val="0"/>
      <w:marRight w:val="0"/>
      <w:marTop w:val="0"/>
      <w:marBottom w:val="0"/>
      <w:divBdr>
        <w:top w:val="none" w:sz="0" w:space="0" w:color="auto"/>
        <w:left w:val="none" w:sz="0" w:space="0" w:color="auto"/>
        <w:bottom w:val="none" w:sz="0" w:space="0" w:color="auto"/>
        <w:right w:val="none" w:sz="0" w:space="0" w:color="auto"/>
      </w:divBdr>
    </w:div>
    <w:div w:id="147864704">
      <w:bodyDiv w:val="1"/>
      <w:marLeft w:val="0"/>
      <w:marRight w:val="0"/>
      <w:marTop w:val="0"/>
      <w:marBottom w:val="0"/>
      <w:divBdr>
        <w:top w:val="none" w:sz="0" w:space="0" w:color="auto"/>
        <w:left w:val="none" w:sz="0" w:space="0" w:color="auto"/>
        <w:bottom w:val="none" w:sz="0" w:space="0" w:color="auto"/>
        <w:right w:val="none" w:sz="0" w:space="0" w:color="auto"/>
      </w:divBdr>
    </w:div>
    <w:div w:id="247270836">
      <w:bodyDiv w:val="1"/>
      <w:marLeft w:val="0"/>
      <w:marRight w:val="0"/>
      <w:marTop w:val="0"/>
      <w:marBottom w:val="0"/>
      <w:divBdr>
        <w:top w:val="none" w:sz="0" w:space="0" w:color="auto"/>
        <w:left w:val="none" w:sz="0" w:space="0" w:color="auto"/>
        <w:bottom w:val="none" w:sz="0" w:space="0" w:color="auto"/>
        <w:right w:val="none" w:sz="0" w:space="0" w:color="auto"/>
      </w:divBdr>
    </w:div>
    <w:div w:id="268314396">
      <w:bodyDiv w:val="1"/>
      <w:marLeft w:val="0"/>
      <w:marRight w:val="0"/>
      <w:marTop w:val="0"/>
      <w:marBottom w:val="0"/>
      <w:divBdr>
        <w:top w:val="none" w:sz="0" w:space="0" w:color="auto"/>
        <w:left w:val="none" w:sz="0" w:space="0" w:color="auto"/>
        <w:bottom w:val="none" w:sz="0" w:space="0" w:color="auto"/>
        <w:right w:val="none" w:sz="0" w:space="0" w:color="auto"/>
      </w:divBdr>
    </w:div>
    <w:div w:id="296226606">
      <w:bodyDiv w:val="1"/>
      <w:marLeft w:val="0"/>
      <w:marRight w:val="0"/>
      <w:marTop w:val="0"/>
      <w:marBottom w:val="0"/>
      <w:divBdr>
        <w:top w:val="none" w:sz="0" w:space="0" w:color="auto"/>
        <w:left w:val="none" w:sz="0" w:space="0" w:color="auto"/>
        <w:bottom w:val="none" w:sz="0" w:space="0" w:color="auto"/>
        <w:right w:val="none" w:sz="0" w:space="0" w:color="auto"/>
      </w:divBdr>
      <w:divsChild>
        <w:div w:id="1132602050">
          <w:marLeft w:val="0"/>
          <w:marRight w:val="0"/>
          <w:marTop w:val="0"/>
          <w:marBottom w:val="0"/>
          <w:divBdr>
            <w:top w:val="none" w:sz="0" w:space="0" w:color="auto"/>
            <w:left w:val="none" w:sz="0" w:space="0" w:color="auto"/>
            <w:bottom w:val="none" w:sz="0" w:space="0" w:color="auto"/>
            <w:right w:val="none" w:sz="0" w:space="0" w:color="auto"/>
          </w:divBdr>
        </w:div>
      </w:divsChild>
    </w:div>
    <w:div w:id="357894897">
      <w:bodyDiv w:val="1"/>
      <w:marLeft w:val="0"/>
      <w:marRight w:val="0"/>
      <w:marTop w:val="0"/>
      <w:marBottom w:val="0"/>
      <w:divBdr>
        <w:top w:val="none" w:sz="0" w:space="0" w:color="auto"/>
        <w:left w:val="none" w:sz="0" w:space="0" w:color="auto"/>
        <w:bottom w:val="none" w:sz="0" w:space="0" w:color="auto"/>
        <w:right w:val="none" w:sz="0" w:space="0" w:color="auto"/>
      </w:divBdr>
      <w:divsChild>
        <w:div w:id="1963338999">
          <w:marLeft w:val="0"/>
          <w:marRight w:val="0"/>
          <w:marTop w:val="0"/>
          <w:marBottom w:val="0"/>
          <w:divBdr>
            <w:top w:val="none" w:sz="0" w:space="0" w:color="auto"/>
            <w:left w:val="none" w:sz="0" w:space="0" w:color="auto"/>
            <w:bottom w:val="none" w:sz="0" w:space="0" w:color="auto"/>
            <w:right w:val="none" w:sz="0" w:space="0" w:color="auto"/>
          </w:divBdr>
        </w:div>
      </w:divsChild>
    </w:div>
    <w:div w:id="596526788">
      <w:bodyDiv w:val="1"/>
      <w:marLeft w:val="0"/>
      <w:marRight w:val="0"/>
      <w:marTop w:val="0"/>
      <w:marBottom w:val="0"/>
      <w:divBdr>
        <w:top w:val="none" w:sz="0" w:space="0" w:color="auto"/>
        <w:left w:val="none" w:sz="0" w:space="0" w:color="auto"/>
        <w:bottom w:val="none" w:sz="0" w:space="0" w:color="auto"/>
        <w:right w:val="none" w:sz="0" w:space="0" w:color="auto"/>
      </w:divBdr>
    </w:div>
    <w:div w:id="737361775">
      <w:bodyDiv w:val="1"/>
      <w:marLeft w:val="0"/>
      <w:marRight w:val="0"/>
      <w:marTop w:val="0"/>
      <w:marBottom w:val="0"/>
      <w:divBdr>
        <w:top w:val="none" w:sz="0" w:space="0" w:color="auto"/>
        <w:left w:val="none" w:sz="0" w:space="0" w:color="auto"/>
        <w:bottom w:val="none" w:sz="0" w:space="0" w:color="auto"/>
        <w:right w:val="none" w:sz="0" w:space="0" w:color="auto"/>
      </w:divBdr>
    </w:div>
    <w:div w:id="939145859">
      <w:bodyDiv w:val="1"/>
      <w:marLeft w:val="0"/>
      <w:marRight w:val="0"/>
      <w:marTop w:val="0"/>
      <w:marBottom w:val="0"/>
      <w:divBdr>
        <w:top w:val="none" w:sz="0" w:space="0" w:color="auto"/>
        <w:left w:val="none" w:sz="0" w:space="0" w:color="auto"/>
        <w:bottom w:val="none" w:sz="0" w:space="0" w:color="auto"/>
        <w:right w:val="none" w:sz="0" w:space="0" w:color="auto"/>
      </w:divBdr>
      <w:divsChild>
        <w:div w:id="1490056452">
          <w:marLeft w:val="0"/>
          <w:marRight w:val="0"/>
          <w:marTop w:val="0"/>
          <w:marBottom w:val="0"/>
          <w:divBdr>
            <w:top w:val="none" w:sz="0" w:space="0" w:color="auto"/>
            <w:left w:val="none" w:sz="0" w:space="0" w:color="auto"/>
            <w:bottom w:val="none" w:sz="0" w:space="0" w:color="auto"/>
            <w:right w:val="none" w:sz="0" w:space="0" w:color="auto"/>
          </w:divBdr>
        </w:div>
      </w:divsChild>
    </w:div>
    <w:div w:id="1206524090">
      <w:bodyDiv w:val="1"/>
      <w:marLeft w:val="0"/>
      <w:marRight w:val="0"/>
      <w:marTop w:val="0"/>
      <w:marBottom w:val="0"/>
      <w:divBdr>
        <w:top w:val="none" w:sz="0" w:space="0" w:color="auto"/>
        <w:left w:val="none" w:sz="0" w:space="0" w:color="auto"/>
        <w:bottom w:val="none" w:sz="0" w:space="0" w:color="auto"/>
        <w:right w:val="none" w:sz="0" w:space="0" w:color="auto"/>
      </w:divBdr>
      <w:divsChild>
        <w:div w:id="2106731255">
          <w:marLeft w:val="0"/>
          <w:marRight w:val="0"/>
          <w:marTop w:val="0"/>
          <w:marBottom w:val="0"/>
          <w:divBdr>
            <w:top w:val="none" w:sz="0" w:space="0" w:color="auto"/>
            <w:left w:val="none" w:sz="0" w:space="0" w:color="auto"/>
            <w:bottom w:val="none" w:sz="0" w:space="0" w:color="auto"/>
            <w:right w:val="none" w:sz="0" w:space="0" w:color="auto"/>
          </w:divBdr>
        </w:div>
      </w:divsChild>
    </w:div>
    <w:div w:id="1348143129">
      <w:bodyDiv w:val="1"/>
      <w:marLeft w:val="0"/>
      <w:marRight w:val="0"/>
      <w:marTop w:val="0"/>
      <w:marBottom w:val="0"/>
      <w:divBdr>
        <w:top w:val="none" w:sz="0" w:space="0" w:color="auto"/>
        <w:left w:val="none" w:sz="0" w:space="0" w:color="auto"/>
        <w:bottom w:val="none" w:sz="0" w:space="0" w:color="auto"/>
        <w:right w:val="none" w:sz="0" w:space="0" w:color="auto"/>
      </w:divBdr>
    </w:div>
    <w:div w:id="1444307799">
      <w:bodyDiv w:val="1"/>
      <w:marLeft w:val="0"/>
      <w:marRight w:val="0"/>
      <w:marTop w:val="0"/>
      <w:marBottom w:val="0"/>
      <w:divBdr>
        <w:top w:val="none" w:sz="0" w:space="0" w:color="auto"/>
        <w:left w:val="none" w:sz="0" w:space="0" w:color="auto"/>
        <w:bottom w:val="none" w:sz="0" w:space="0" w:color="auto"/>
        <w:right w:val="none" w:sz="0" w:space="0" w:color="auto"/>
      </w:divBdr>
    </w:div>
    <w:div w:id="1457993254">
      <w:bodyDiv w:val="1"/>
      <w:marLeft w:val="0"/>
      <w:marRight w:val="0"/>
      <w:marTop w:val="0"/>
      <w:marBottom w:val="0"/>
      <w:divBdr>
        <w:top w:val="none" w:sz="0" w:space="0" w:color="auto"/>
        <w:left w:val="none" w:sz="0" w:space="0" w:color="auto"/>
        <w:bottom w:val="none" w:sz="0" w:space="0" w:color="auto"/>
        <w:right w:val="none" w:sz="0" w:space="0" w:color="auto"/>
      </w:divBdr>
    </w:div>
    <w:div w:id="1513371536">
      <w:bodyDiv w:val="1"/>
      <w:marLeft w:val="0"/>
      <w:marRight w:val="0"/>
      <w:marTop w:val="0"/>
      <w:marBottom w:val="0"/>
      <w:divBdr>
        <w:top w:val="none" w:sz="0" w:space="0" w:color="auto"/>
        <w:left w:val="none" w:sz="0" w:space="0" w:color="auto"/>
        <w:bottom w:val="none" w:sz="0" w:space="0" w:color="auto"/>
        <w:right w:val="none" w:sz="0" w:space="0" w:color="auto"/>
      </w:divBdr>
    </w:div>
    <w:div w:id="1754623446">
      <w:bodyDiv w:val="1"/>
      <w:marLeft w:val="0"/>
      <w:marRight w:val="0"/>
      <w:marTop w:val="0"/>
      <w:marBottom w:val="0"/>
      <w:divBdr>
        <w:top w:val="none" w:sz="0" w:space="0" w:color="auto"/>
        <w:left w:val="none" w:sz="0" w:space="0" w:color="auto"/>
        <w:bottom w:val="none" w:sz="0" w:space="0" w:color="auto"/>
        <w:right w:val="none" w:sz="0" w:space="0" w:color="auto"/>
      </w:divBdr>
      <w:divsChild>
        <w:div w:id="1486387547">
          <w:marLeft w:val="0"/>
          <w:marRight w:val="0"/>
          <w:marTop w:val="0"/>
          <w:marBottom w:val="0"/>
          <w:divBdr>
            <w:top w:val="none" w:sz="0" w:space="0" w:color="auto"/>
            <w:left w:val="none" w:sz="0" w:space="0" w:color="auto"/>
            <w:bottom w:val="none" w:sz="0" w:space="0" w:color="auto"/>
            <w:right w:val="none" w:sz="0" w:space="0" w:color="auto"/>
          </w:divBdr>
          <w:divsChild>
            <w:div w:id="1618675881">
              <w:marLeft w:val="0"/>
              <w:marRight w:val="0"/>
              <w:marTop w:val="0"/>
              <w:marBottom w:val="0"/>
              <w:divBdr>
                <w:top w:val="none" w:sz="0" w:space="0" w:color="auto"/>
                <w:left w:val="none" w:sz="0" w:space="0" w:color="auto"/>
                <w:bottom w:val="none" w:sz="0" w:space="0" w:color="auto"/>
                <w:right w:val="none" w:sz="0" w:space="0" w:color="auto"/>
              </w:divBdr>
            </w:div>
            <w:div w:id="1340962467">
              <w:marLeft w:val="0"/>
              <w:marRight w:val="0"/>
              <w:marTop w:val="0"/>
              <w:marBottom w:val="0"/>
              <w:divBdr>
                <w:top w:val="none" w:sz="0" w:space="0" w:color="auto"/>
                <w:left w:val="none" w:sz="0" w:space="0" w:color="auto"/>
                <w:bottom w:val="none" w:sz="0" w:space="0" w:color="auto"/>
                <w:right w:val="none" w:sz="0" w:space="0" w:color="auto"/>
              </w:divBdr>
            </w:div>
            <w:div w:id="1736512970">
              <w:marLeft w:val="0"/>
              <w:marRight w:val="0"/>
              <w:marTop w:val="0"/>
              <w:marBottom w:val="0"/>
              <w:divBdr>
                <w:top w:val="none" w:sz="0" w:space="0" w:color="auto"/>
                <w:left w:val="none" w:sz="0" w:space="0" w:color="auto"/>
                <w:bottom w:val="none" w:sz="0" w:space="0" w:color="auto"/>
                <w:right w:val="none" w:sz="0" w:space="0" w:color="auto"/>
              </w:divBdr>
            </w:div>
            <w:div w:id="2138334038">
              <w:marLeft w:val="0"/>
              <w:marRight w:val="0"/>
              <w:marTop w:val="0"/>
              <w:marBottom w:val="0"/>
              <w:divBdr>
                <w:top w:val="none" w:sz="0" w:space="0" w:color="auto"/>
                <w:left w:val="none" w:sz="0" w:space="0" w:color="auto"/>
                <w:bottom w:val="none" w:sz="0" w:space="0" w:color="auto"/>
                <w:right w:val="none" w:sz="0" w:space="0" w:color="auto"/>
              </w:divBdr>
            </w:div>
            <w:div w:id="172111259">
              <w:marLeft w:val="0"/>
              <w:marRight w:val="0"/>
              <w:marTop w:val="0"/>
              <w:marBottom w:val="0"/>
              <w:divBdr>
                <w:top w:val="none" w:sz="0" w:space="0" w:color="auto"/>
                <w:left w:val="none" w:sz="0" w:space="0" w:color="auto"/>
                <w:bottom w:val="none" w:sz="0" w:space="0" w:color="auto"/>
                <w:right w:val="none" w:sz="0" w:space="0" w:color="auto"/>
              </w:divBdr>
            </w:div>
            <w:div w:id="227229497">
              <w:marLeft w:val="0"/>
              <w:marRight w:val="0"/>
              <w:marTop w:val="0"/>
              <w:marBottom w:val="0"/>
              <w:divBdr>
                <w:top w:val="none" w:sz="0" w:space="0" w:color="auto"/>
                <w:left w:val="none" w:sz="0" w:space="0" w:color="auto"/>
                <w:bottom w:val="none" w:sz="0" w:space="0" w:color="auto"/>
                <w:right w:val="none" w:sz="0" w:space="0" w:color="auto"/>
              </w:divBdr>
            </w:div>
            <w:div w:id="413430999">
              <w:marLeft w:val="0"/>
              <w:marRight w:val="0"/>
              <w:marTop w:val="0"/>
              <w:marBottom w:val="0"/>
              <w:divBdr>
                <w:top w:val="none" w:sz="0" w:space="0" w:color="auto"/>
                <w:left w:val="none" w:sz="0" w:space="0" w:color="auto"/>
                <w:bottom w:val="none" w:sz="0" w:space="0" w:color="auto"/>
                <w:right w:val="none" w:sz="0" w:space="0" w:color="auto"/>
              </w:divBdr>
            </w:div>
            <w:div w:id="2048262981">
              <w:marLeft w:val="0"/>
              <w:marRight w:val="0"/>
              <w:marTop w:val="0"/>
              <w:marBottom w:val="0"/>
              <w:divBdr>
                <w:top w:val="none" w:sz="0" w:space="0" w:color="auto"/>
                <w:left w:val="none" w:sz="0" w:space="0" w:color="auto"/>
                <w:bottom w:val="none" w:sz="0" w:space="0" w:color="auto"/>
                <w:right w:val="none" w:sz="0" w:space="0" w:color="auto"/>
              </w:divBdr>
            </w:div>
            <w:div w:id="1996104285">
              <w:marLeft w:val="0"/>
              <w:marRight w:val="0"/>
              <w:marTop w:val="0"/>
              <w:marBottom w:val="0"/>
              <w:divBdr>
                <w:top w:val="none" w:sz="0" w:space="0" w:color="auto"/>
                <w:left w:val="none" w:sz="0" w:space="0" w:color="auto"/>
                <w:bottom w:val="none" w:sz="0" w:space="0" w:color="auto"/>
                <w:right w:val="none" w:sz="0" w:space="0" w:color="auto"/>
              </w:divBdr>
            </w:div>
            <w:div w:id="1442920979">
              <w:marLeft w:val="0"/>
              <w:marRight w:val="0"/>
              <w:marTop w:val="0"/>
              <w:marBottom w:val="0"/>
              <w:divBdr>
                <w:top w:val="none" w:sz="0" w:space="0" w:color="auto"/>
                <w:left w:val="none" w:sz="0" w:space="0" w:color="auto"/>
                <w:bottom w:val="none" w:sz="0" w:space="0" w:color="auto"/>
                <w:right w:val="none" w:sz="0" w:space="0" w:color="auto"/>
              </w:divBdr>
            </w:div>
            <w:div w:id="2136559215">
              <w:marLeft w:val="0"/>
              <w:marRight w:val="0"/>
              <w:marTop w:val="0"/>
              <w:marBottom w:val="0"/>
              <w:divBdr>
                <w:top w:val="none" w:sz="0" w:space="0" w:color="auto"/>
                <w:left w:val="none" w:sz="0" w:space="0" w:color="auto"/>
                <w:bottom w:val="none" w:sz="0" w:space="0" w:color="auto"/>
                <w:right w:val="none" w:sz="0" w:space="0" w:color="auto"/>
              </w:divBdr>
            </w:div>
            <w:div w:id="105738772">
              <w:marLeft w:val="0"/>
              <w:marRight w:val="0"/>
              <w:marTop w:val="0"/>
              <w:marBottom w:val="0"/>
              <w:divBdr>
                <w:top w:val="none" w:sz="0" w:space="0" w:color="auto"/>
                <w:left w:val="none" w:sz="0" w:space="0" w:color="auto"/>
                <w:bottom w:val="none" w:sz="0" w:space="0" w:color="auto"/>
                <w:right w:val="none" w:sz="0" w:space="0" w:color="auto"/>
              </w:divBdr>
            </w:div>
            <w:div w:id="633562203">
              <w:marLeft w:val="0"/>
              <w:marRight w:val="0"/>
              <w:marTop w:val="0"/>
              <w:marBottom w:val="0"/>
              <w:divBdr>
                <w:top w:val="none" w:sz="0" w:space="0" w:color="auto"/>
                <w:left w:val="none" w:sz="0" w:space="0" w:color="auto"/>
                <w:bottom w:val="none" w:sz="0" w:space="0" w:color="auto"/>
                <w:right w:val="none" w:sz="0" w:space="0" w:color="auto"/>
              </w:divBdr>
            </w:div>
            <w:div w:id="770778002">
              <w:marLeft w:val="0"/>
              <w:marRight w:val="0"/>
              <w:marTop w:val="0"/>
              <w:marBottom w:val="0"/>
              <w:divBdr>
                <w:top w:val="none" w:sz="0" w:space="0" w:color="auto"/>
                <w:left w:val="none" w:sz="0" w:space="0" w:color="auto"/>
                <w:bottom w:val="none" w:sz="0" w:space="0" w:color="auto"/>
                <w:right w:val="none" w:sz="0" w:space="0" w:color="auto"/>
              </w:divBdr>
            </w:div>
            <w:div w:id="672270002">
              <w:marLeft w:val="0"/>
              <w:marRight w:val="0"/>
              <w:marTop w:val="0"/>
              <w:marBottom w:val="0"/>
              <w:divBdr>
                <w:top w:val="none" w:sz="0" w:space="0" w:color="auto"/>
                <w:left w:val="none" w:sz="0" w:space="0" w:color="auto"/>
                <w:bottom w:val="none" w:sz="0" w:space="0" w:color="auto"/>
                <w:right w:val="none" w:sz="0" w:space="0" w:color="auto"/>
              </w:divBdr>
            </w:div>
            <w:div w:id="1853521373">
              <w:marLeft w:val="0"/>
              <w:marRight w:val="0"/>
              <w:marTop w:val="0"/>
              <w:marBottom w:val="0"/>
              <w:divBdr>
                <w:top w:val="none" w:sz="0" w:space="0" w:color="auto"/>
                <w:left w:val="none" w:sz="0" w:space="0" w:color="auto"/>
                <w:bottom w:val="none" w:sz="0" w:space="0" w:color="auto"/>
                <w:right w:val="none" w:sz="0" w:space="0" w:color="auto"/>
              </w:divBdr>
            </w:div>
            <w:div w:id="811140902">
              <w:marLeft w:val="0"/>
              <w:marRight w:val="0"/>
              <w:marTop w:val="0"/>
              <w:marBottom w:val="0"/>
              <w:divBdr>
                <w:top w:val="none" w:sz="0" w:space="0" w:color="auto"/>
                <w:left w:val="none" w:sz="0" w:space="0" w:color="auto"/>
                <w:bottom w:val="none" w:sz="0" w:space="0" w:color="auto"/>
                <w:right w:val="none" w:sz="0" w:space="0" w:color="auto"/>
              </w:divBdr>
            </w:div>
            <w:div w:id="1164317354">
              <w:marLeft w:val="0"/>
              <w:marRight w:val="0"/>
              <w:marTop w:val="0"/>
              <w:marBottom w:val="0"/>
              <w:divBdr>
                <w:top w:val="none" w:sz="0" w:space="0" w:color="auto"/>
                <w:left w:val="none" w:sz="0" w:space="0" w:color="auto"/>
                <w:bottom w:val="none" w:sz="0" w:space="0" w:color="auto"/>
                <w:right w:val="none" w:sz="0" w:space="0" w:color="auto"/>
              </w:divBdr>
            </w:div>
            <w:div w:id="185993299">
              <w:marLeft w:val="0"/>
              <w:marRight w:val="0"/>
              <w:marTop w:val="0"/>
              <w:marBottom w:val="0"/>
              <w:divBdr>
                <w:top w:val="none" w:sz="0" w:space="0" w:color="auto"/>
                <w:left w:val="none" w:sz="0" w:space="0" w:color="auto"/>
                <w:bottom w:val="none" w:sz="0" w:space="0" w:color="auto"/>
                <w:right w:val="none" w:sz="0" w:space="0" w:color="auto"/>
              </w:divBdr>
            </w:div>
            <w:div w:id="1447430523">
              <w:marLeft w:val="0"/>
              <w:marRight w:val="0"/>
              <w:marTop w:val="0"/>
              <w:marBottom w:val="0"/>
              <w:divBdr>
                <w:top w:val="none" w:sz="0" w:space="0" w:color="auto"/>
                <w:left w:val="none" w:sz="0" w:space="0" w:color="auto"/>
                <w:bottom w:val="none" w:sz="0" w:space="0" w:color="auto"/>
                <w:right w:val="none" w:sz="0" w:space="0" w:color="auto"/>
              </w:divBdr>
            </w:div>
            <w:div w:id="944263544">
              <w:marLeft w:val="0"/>
              <w:marRight w:val="0"/>
              <w:marTop w:val="0"/>
              <w:marBottom w:val="0"/>
              <w:divBdr>
                <w:top w:val="none" w:sz="0" w:space="0" w:color="auto"/>
                <w:left w:val="none" w:sz="0" w:space="0" w:color="auto"/>
                <w:bottom w:val="none" w:sz="0" w:space="0" w:color="auto"/>
                <w:right w:val="none" w:sz="0" w:space="0" w:color="auto"/>
              </w:divBdr>
            </w:div>
            <w:div w:id="2110347351">
              <w:marLeft w:val="0"/>
              <w:marRight w:val="0"/>
              <w:marTop w:val="0"/>
              <w:marBottom w:val="0"/>
              <w:divBdr>
                <w:top w:val="none" w:sz="0" w:space="0" w:color="auto"/>
                <w:left w:val="none" w:sz="0" w:space="0" w:color="auto"/>
                <w:bottom w:val="none" w:sz="0" w:space="0" w:color="auto"/>
                <w:right w:val="none" w:sz="0" w:space="0" w:color="auto"/>
              </w:divBdr>
            </w:div>
            <w:div w:id="534930736">
              <w:marLeft w:val="0"/>
              <w:marRight w:val="0"/>
              <w:marTop w:val="0"/>
              <w:marBottom w:val="0"/>
              <w:divBdr>
                <w:top w:val="none" w:sz="0" w:space="0" w:color="auto"/>
                <w:left w:val="none" w:sz="0" w:space="0" w:color="auto"/>
                <w:bottom w:val="none" w:sz="0" w:space="0" w:color="auto"/>
                <w:right w:val="none" w:sz="0" w:space="0" w:color="auto"/>
              </w:divBdr>
            </w:div>
            <w:div w:id="340402516">
              <w:marLeft w:val="0"/>
              <w:marRight w:val="0"/>
              <w:marTop w:val="0"/>
              <w:marBottom w:val="0"/>
              <w:divBdr>
                <w:top w:val="none" w:sz="0" w:space="0" w:color="auto"/>
                <w:left w:val="none" w:sz="0" w:space="0" w:color="auto"/>
                <w:bottom w:val="none" w:sz="0" w:space="0" w:color="auto"/>
                <w:right w:val="none" w:sz="0" w:space="0" w:color="auto"/>
              </w:divBdr>
            </w:div>
            <w:div w:id="315229078">
              <w:marLeft w:val="0"/>
              <w:marRight w:val="0"/>
              <w:marTop w:val="0"/>
              <w:marBottom w:val="0"/>
              <w:divBdr>
                <w:top w:val="none" w:sz="0" w:space="0" w:color="auto"/>
                <w:left w:val="none" w:sz="0" w:space="0" w:color="auto"/>
                <w:bottom w:val="none" w:sz="0" w:space="0" w:color="auto"/>
                <w:right w:val="none" w:sz="0" w:space="0" w:color="auto"/>
              </w:divBdr>
            </w:div>
            <w:div w:id="125659633">
              <w:marLeft w:val="0"/>
              <w:marRight w:val="0"/>
              <w:marTop w:val="0"/>
              <w:marBottom w:val="0"/>
              <w:divBdr>
                <w:top w:val="none" w:sz="0" w:space="0" w:color="auto"/>
                <w:left w:val="none" w:sz="0" w:space="0" w:color="auto"/>
                <w:bottom w:val="none" w:sz="0" w:space="0" w:color="auto"/>
                <w:right w:val="none" w:sz="0" w:space="0" w:color="auto"/>
              </w:divBdr>
            </w:div>
            <w:div w:id="2067680978">
              <w:marLeft w:val="0"/>
              <w:marRight w:val="0"/>
              <w:marTop w:val="0"/>
              <w:marBottom w:val="0"/>
              <w:divBdr>
                <w:top w:val="none" w:sz="0" w:space="0" w:color="auto"/>
                <w:left w:val="none" w:sz="0" w:space="0" w:color="auto"/>
                <w:bottom w:val="none" w:sz="0" w:space="0" w:color="auto"/>
                <w:right w:val="none" w:sz="0" w:space="0" w:color="auto"/>
              </w:divBdr>
            </w:div>
            <w:div w:id="1535534784">
              <w:marLeft w:val="0"/>
              <w:marRight w:val="0"/>
              <w:marTop w:val="0"/>
              <w:marBottom w:val="0"/>
              <w:divBdr>
                <w:top w:val="none" w:sz="0" w:space="0" w:color="auto"/>
                <w:left w:val="none" w:sz="0" w:space="0" w:color="auto"/>
                <w:bottom w:val="none" w:sz="0" w:space="0" w:color="auto"/>
                <w:right w:val="none" w:sz="0" w:space="0" w:color="auto"/>
              </w:divBdr>
            </w:div>
            <w:div w:id="1799496714">
              <w:marLeft w:val="0"/>
              <w:marRight w:val="0"/>
              <w:marTop w:val="0"/>
              <w:marBottom w:val="0"/>
              <w:divBdr>
                <w:top w:val="none" w:sz="0" w:space="0" w:color="auto"/>
                <w:left w:val="none" w:sz="0" w:space="0" w:color="auto"/>
                <w:bottom w:val="none" w:sz="0" w:space="0" w:color="auto"/>
                <w:right w:val="none" w:sz="0" w:space="0" w:color="auto"/>
              </w:divBdr>
            </w:div>
            <w:div w:id="745037748">
              <w:marLeft w:val="0"/>
              <w:marRight w:val="0"/>
              <w:marTop w:val="0"/>
              <w:marBottom w:val="0"/>
              <w:divBdr>
                <w:top w:val="none" w:sz="0" w:space="0" w:color="auto"/>
                <w:left w:val="none" w:sz="0" w:space="0" w:color="auto"/>
                <w:bottom w:val="none" w:sz="0" w:space="0" w:color="auto"/>
                <w:right w:val="none" w:sz="0" w:space="0" w:color="auto"/>
              </w:divBdr>
            </w:div>
            <w:div w:id="605234680">
              <w:marLeft w:val="0"/>
              <w:marRight w:val="0"/>
              <w:marTop w:val="0"/>
              <w:marBottom w:val="0"/>
              <w:divBdr>
                <w:top w:val="none" w:sz="0" w:space="0" w:color="auto"/>
                <w:left w:val="none" w:sz="0" w:space="0" w:color="auto"/>
                <w:bottom w:val="none" w:sz="0" w:space="0" w:color="auto"/>
                <w:right w:val="none" w:sz="0" w:space="0" w:color="auto"/>
              </w:divBdr>
            </w:div>
            <w:div w:id="839858481">
              <w:marLeft w:val="0"/>
              <w:marRight w:val="0"/>
              <w:marTop w:val="0"/>
              <w:marBottom w:val="0"/>
              <w:divBdr>
                <w:top w:val="none" w:sz="0" w:space="0" w:color="auto"/>
                <w:left w:val="none" w:sz="0" w:space="0" w:color="auto"/>
                <w:bottom w:val="none" w:sz="0" w:space="0" w:color="auto"/>
                <w:right w:val="none" w:sz="0" w:space="0" w:color="auto"/>
              </w:divBdr>
            </w:div>
            <w:div w:id="593514816">
              <w:marLeft w:val="0"/>
              <w:marRight w:val="0"/>
              <w:marTop w:val="0"/>
              <w:marBottom w:val="0"/>
              <w:divBdr>
                <w:top w:val="none" w:sz="0" w:space="0" w:color="auto"/>
                <w:left w:val="none" w:sz="0" w:space="0" w:color="auto"/>
                <w:bottom w:val="none" w:sz="0" w:space="0" w:color="auto"/>
                <w:right w:val="none" w:sz="0" w:space="0" w:color="auto"/>
              </w:divBdr>
            </w:div>
            <w:div w:id="736972922">
              <w:marLeft w:val="0"/>
              <w:marRight w:val="0"/>
              <w:marTop w:val="0"/>
              <w:marBottom w:val="0"/>
              <w:divBdr>
                <w:top w:val="none" w:sz="0" w:space="0" w:color="auto"/>
                <w:left w:val="none" w:sz="0" w:space="0" w:color="auto"/>
                <w:bottom w:val="none" w:sz="0" w:space="0" w:color="auto"/>
                <w:right w:val="none" w:sz="0" w:space="0" w:color="auto"/>
              </w:divBdr>
            </w:div>
            <w:div w:id="2013679426">
              <w:marLeft w:val="0"/>
              <w:marRight w:val="0"/>
              <w:marTop w:val="0"/>
              <w:marBottom w:val="0"/>
              <w:divBdr>
                <w:top w:val="none" w:sz="0" w:space="0" w:color="auto"/>
                <w:left w:val="none" w:sz="0" w:space="0" w:color="auto"/>
                <w:bottom w:val="none" w:sz="0" w:space="0" w:color="auto"/>
                <w:right w:val="none" w:sz="0" w:space="0" w:color="auto"/>
              </w:divBdr>
            </w:div>
            <w:div w:id="853298838">
              <w:marLeft w:val="0"/>
              <w:marRight w:val="0"/>
              <w:marTop w:val="0"/>
              <w:marBottom w:val="0"/>
              <w:divBdr>
                <w:top w:val="none" w:sz="0" w:space="0" w:color="auto"/>
                <w:left w:val="none" w:sz="0" w:space="0" w:color="auto"/>
                <w:bottom w:val="none" w:sz="0" w:space="0" w:color="auto"/>
                <w:right w:val="none" w:sz="0" w:space="0" w:color="auto"/>
              </w:divBdr>
            </w:div>
            <w:div w:id="2083135842">
              <w:marLeft w:val="0"/>
              <w:marRight w:val="0"/>
              <w:marTop w:val="0"/>
              <w:marBottom w:val="0"/>
              <w:divBdr>
                <w:top w:val="none" w:sz="0" w:space="0" w:color="auto"/>
                <w:left w:val="none" w:sz="0" w:space="0" w:color="auto"/>
                <w:bottom w:val="none" w:sz="0" w:space="0" w:color="auto"/>
                <w:right w:val="none" w:sz="0" w:space="0" w:color="auto"/>
              </w:divBdr>
            </w:div>
            <w:div w:id="806246183">
              <w:marLeft w:val="0"/>
              <w:marRight w:val="0"/>
              <w:marTop w:val="0"/>
              <w:marBottom w:val="0"/>
              <w:divBdr>
                <w:top w:val="none" w:sz="0" w:space="0" w:color="auto"/>
                <w:left w:val="none" w:sz="0" w:space="0" w:color="auto"/>
                <w:bottom w:val="none" w:sz="0" w:space="0" w:color="auto"/>
                <w:right w:val="none" w:sz="0" w:space="0" w:color="auto"/>
              </w:divBdr>
            </w:div>
            <w:div w:id="113258099">
              <w:marLeft w:val="0"/>
              <w:marRight w:val="0"/>
              <w:marTop w:val="0"/>
              <w:marBottom w:val="0"/>
              <w:divBdr>
                <w:top w:val="none" w:sz="0" w:space="0" w:color="auto"/>
                <w:left w:val="none" w:sz="0" w:space="0" w:color="auto"/>
                <w:bottom w:val="none" w:sz="0" w:space="0" w:color="auto"/>
                <w:right w:val="none" w:sz="0" w:space="0" w:color="auto"/>
              </w:divBdr>
            </w:div>
            <w:div w:id="81411435">
              <w:marLeft w:val="0"/>
              <w:marRight w:val="0"/>
              <w:marTop w:val="0"/>
              <w:marBottom w:val="0"/>
              <w:divBdr>
                <w:top w:val="none" w:sz="0" w:space="0" w:color="auto"/>
                <w:left w:val="none" w:sz="0" w:space="0" w:color="auto"/>
                <w:bottom w:val="none" w:sz="0" w:space="0" w:color="auto"/>
                <w:right w:val="none" w:sz="0" w:space="0" w:color="auto"/>
              </w:divBdr>
            </w:div>
            <w:div w:id="1420836230">
              <w:marLeft w:val="0"/>
              <w:marRight w:val="0"/>
              <w:marTop w:val="0"/>
              <w:marBottom w:val="0"/>
              <w:divBdr>
                <w:top w:val="none" w:sz="0" w:space="0" w:color="auto"/>
                <w:left w:val="none" w:sz="0" w:space="0" w:color="auto"/>
                <w:bottom w:val="none" w:sz="0" w:space="0" w:color="auto"/>
                <w:right w:val="none" w:sz="0" w:space="0" w:color="auto"/>
              </w:divBdr>
            </w:div>
            <w:div w:id="1180192836">
              <w:marLeft w:val="0"/>
              <w:marRight w:val="0"/>
              <w:marTop w:val="0"/>
              <w:marBottom w:val="0"/>
              <w:divBdr>
                <w:top w:val="none" w:sz="0" w:space="0" w:color="auto"/>
                <w:left w:val="none" w:sz="0" w:space="0" w:color="auto"/>
                <w:bottom w:val="none" w:sz="0" w:space="0" w:color="auto"/>
                <w:right w:val="none" w:sz="0" w:space="0" w:color="auto"/>
              </w:divBdr>
            </w:div>
            <w:div w:id="1910578418">
              <w:marLeft w:val="0"/>
              <w:marRight w:val="0"/>
              <w:marTop w:val="0"/>
              <w:marBottom w:val="0"/>
              <w:divBdr>
                <w:top w:val="none" w:sz="0" w:space="0" w:color="auto"/>
                <w:left w:val="none" w:sz="0" w:space="0" w:color="auto"/>
                <w:bottom w:val="none" w:sz="0" w:space="0" w:color="auto"/>
                <w:right w:val="none" w:sz="0" w:space="0" w:color="auto"/>
              </w:divBdr>
            </w:div>
            <w:div w:id="1896314534">
              <w:marLeft w:val="0"/>
              <w:marRight w:val="0"/>
              <w:marTop w:val="0"/>
              <w:marBottom w:val="0"/>
              <w:divBdr>
                <w:top w:val="none" w:sz="0" w:space="0" w:color="auto"/>
                <w:left w:val="none" w:sz="0" w:space="0" w:color="auto"/>
                <w:bottom w:val="none" w:sz="0" w:space="0" w:color="auto"/>
                <w:right w:val="none" w:sz="0" w:space="0" w:color="auto"/>
              </w:divBdr>
            </w:div>
            <w:div w:id="1820801577">
              <w:marLeft w:val="0"/>
              <w:marRight w:val="0"/>
              <w:marTop w:val="0"/>
              <w:marBottom w:val="0"/>
              <w:divBdr>
                <w:top w:val="none" w:sz="0" w:space="0" w:color="auto"/>
                <w:left w:val="none" w:sz="0" w:space="0" w:color="auto"/>
                <w:bottom w:val="none" w:sz="0" w:space="0" w:color="auto"/>
                <w:right w:val="none" w:sz="0" w:space="0" w:color="auto"/>
              </w:divBdr>
            </w:div>
            <w:div w:id="1133792980">
              <w:marLeft w:val="0"/>
              <w:marRight w:val="0"/>
              <w:marTop w:val="0"/>
              <w:marBottom w:val="0"/>
              <w:divBdr>
                <w:top w:val="none" w:sz="0" w:space="0" w:color="auto"/>
                <w:left w:val="none" w:sz="0" w:space="0" w:color="auto"/>
                <w:bottom w:val="none" w:sz="0" w:space="0" w:color="auto"/>
                <w:right w:val="none" w:sz="0" w:space="0" w:color="auto"/>
              </w:divBdr>
            </w:div>
            <w:div w:id="719548510">
              <w:marLeft w:val="0"/>
              <w:marRight w:val="0"/>
              <w:marTop w:val="0"/>
              <w:marBottom w:val="0"/>
              <w:divBdr>
                <w:top w:val="none" w:sz="0" w:space="0" w:color="auto"/>
                <w:left w:val="none" w:sz="0" w:space="0" w:color="auto"/>
                <w:bottom w:val="none" w:sz="0" w:space="0" w:color="auto"/>
                <w:right w:val="none" w:sz="0" w:space="0" w:color="auto"/>
              </w:divBdr>
            </w:div>
            <w:div w:id="1948082321">
              <w:marLeft w:val="0"/>
              <w:marRight w:val="0"/>
              <w:marTop w:val="0"/>
              <w:marBottom w:val="0"/>
              <w:divBdr>
                <w:top w:val="none" w:sz="0" w:space="0" w:color="auto"/>
                <w:left w:val="none" w:sz="0" w:space="0" w:color="auto"/>
                <w:bottom w:val="none" w:sz="0" w:space="0" w:color="auto"/>
                <w:right w:val="none" w:sz="0" w:space="0" w:color="auto"/>
              </w:divBdr>
            </w:div>
            <w:div w:id="1261985788">
              <w:marLeft w:val="0"/>
              <w:marRight w:val="0"/>
              <w:marTop w:val="0"/>
              <w:marBottom w:val="0"/>
              <w:divBdr>
                <w:top w:val="none" w:sz="0" w:space="0" w:color="auto"/>
                <w:left w:val="none" w:sz="0" w:space="0" w:color="auto"/>
                <w:bottom w:val="none" w:sz="0" w:space="0" w:color="auto"/>
                <w:right w:val="none" w:sz="0" w:space="0" w:color="auto"/>
              </w:divBdr>
            </w:div>
            <w:div w:id="1750231622">
              <w:marLeft w:val="0"/>
              <w:marRight w:val="0"/>
              <w:marTop w:val="0"/>
              <w:marBottom w:val="0"/>
              <w:divBdr>
                <w:top w:val="none" w:sz="0" w:space="0" w:color="auto"/>
                <w:left w:val="none" w:sz="0" w:space="0" w:color="auto"/>
                <w:bottom w:val="none" w:sz="0" w:space="0" w:color="auto"/>
                <w:right w:val="none" w:sz="0" w:space="0" w:color="auto"/>
              </w:divBdr>
            </w:div>
            <w:div w:id="869606700">
              <w:marLeft w:val="0"/>
              <w:marRight w:val="0"/>
              <w:marTop w:val="0"/>
              <w:marBottom w:val="0"/>
              <w:divBdr>
                <w:top w:val="none" w:sz="0" w:space="0" w:color="auto"/>
                <w:left w:val="none" w:sz="0" w:space="0" w:color="auto"/>
                <w:bottom w:val="none" w:sz="0" w:space="0" w:color="auto"/>
                <w:right w:val="none" w:sz="0" w:space="0" w:color="auto"/>
              </w:divBdr>
            </w:div>
            <w:div w:id="498427702">
              <w:marLeft w:val="0"/>
              <w:marRight w:val="0"/>
              <w:marTop w:val="0"/>
              <w:marBottom w:val="0"/>
              <w:divBdr>
                <w:top w:val="none" w:sz="0" w:space="0" w:color="auto"/>
                <w:left w:val="none" w:sz="0" w:space="0" w:color="auto"/>
                <w:bottom w:val="none" w:sz="0" w:space="0" w:color="auto"/>
                <w:right w:val="none" w:sz="0" w:space="0" w:color="auto"/>
              </w:divBdr>
            </w:div>
            <w:div w:id="421995964">
              <w:marLeft w:val="0"/>
              <w:marRight w:val="0"/>
              <w:marTop w:val="0"/>
              <w:marBottom w:val="0"/>
              <w:divBdr>
                <w:top w:val="none" w:sz="0" w:space="0" w:color="auto"/>
                <w:left w:val="none" w:sz="0" w:space="0" w:color="auto"/>
                <w:bottom w:val="none" w:sz="0" w:space="0" w:color="auto"/>
                <w:right w:val="none" w:sz="0" w:space="0" w:color="auto"/>
              </w:divBdr>
            </w:div>
            <w:div w:id="968169553">
              <w:marLeft w:val="0"/>
              <w:marRight w:val="0"/>
              <w:marTop w:val="0"/>
              <w:marBottom w:val="0"/>
              <w:divBdr>
                <w:top w:val="none" w:sz="0" w:space="0" w:color="auto"/>
                <w:left w:val="none" w:sz="0" w:space="0" w:color="auto"/>
                <w:bottom w:val="none" w:sz="0" w:space="0" w:color="auto"/>
                <w:right w:val="none" w:sz="0" w:space="0" w:color="auto"/>
              </w:divBdr>
            </w:div>
            <w:div w:id="1597593649">
              <w:marLeft w:val="0"/>
              <w:marRight w:val="0"/>
              <w:marTop w:val="0"/>
              <w:marBottom w:val="0"/>
              <w:divBdr>
                <w:top w:val="none" w:sz="0" w:space="0" w:color="auto"/>
                <w:left w:val="none" w:sz="0" w:space="0" w:color="auto"/>
                <w:bottom w:val="none" w:sz="0" w:space="0" w:color="auto"/>
                <w:right w:val="none" w:sz="0" w:space="0" w:color="auto"/>
              </w:divBdr>
            </w:div>
            <w:div w:id="2004241960">
              <w:marLeft w:val="0"/>
              <w:marRight w:val="0"/>
              <w:marTop w:val="0"/>
              <w:marBottom w:val="0"/>
              <w:divBdr>
                <w:top w:val="none" w:sz="0" w:space="0" w:color="auto"/>
                <w:left w:val="none" w:sz="0" w:space="0" w:color="auto"/>
                <w:bottom w:val="none" w:sz="0" w:space="0" w:color="auto"/>
                <w:right w:val="none" w:sz="0" w:space="0" w:color="auto"/>
              </w:divBdr>
            </w:div>
            <w:div w:id="81682661">
              <w:marLeft w:val="0"/>
              <w:marRight w:val="0"/>
              <w:marTop w:val="0"/>
              <w:marBottom w:val="0"/>
              <w:divBdr>
                <w:top w:val="none" w:sz="0" w:space="0" w:color="auto"/>
                <w:left w:val="none" w:sz="0" w:space="0" w:color="auto"/>
                <w:bottom w:val="none" w:sz="0" w:space="0" w:color="auto"/>
                <w:right w:val="none" w:sz="0" w:space="0" w:color="auto"/>
              </w:divBdr>
            </w:div>
            <w:div w:id="1646353018">
              <w:marLeft w:val="0"/>
              <w:marRight w:val="0"/>
              <w:marTop w:val="0"/>
              <w:marBottom w:val="0"/>
              <w:divBdr>
                <w:top w:val="none" w:sz="0" w:space="0" w:color="auto"/>
                <w:left w:val="none" w:sz="0" w:space="0" w:color="auto"/>
                <w:bottom w:val="none" w:sz="0" w:space="0" w:color="auto"/>
                <w:right w:val="none" w:sz="0" w:space="0" w:color="auto"/>
              </w:divBdr>
            </w:div>
            <w:div w:id="227812755">
              <w:marLeft w:val="0"/>
              <w:marRight w:val="0"/>
              <w:marTop w:val="0"/>
              <w:marBottom w:val="0"/>
              <w:divBdr>
                <w:top w:val="none" w:sz="0" w:space="0" w:color="auto"/>
                <w:left w:val="none" w:sz="0" w:space="0" w:color="auto"/>
                <w:bottom w:val="none" w:sz="0" w:space="0" w:color="auto"/>
                <w:right w:val="none" w:sz="0" w:space="0" w:color="auto"/>
              </w:divBdr>
            </w:div>
            <w:div w:id="2064985094">
              <w:marLeft w:val="0"/>
              <w:marRight w:val="0"/>
              <w:marTop w:val="0"/>
              <w:marBottom w:val="0"/>
              <w:divBdr>
                <w:top w:val="none" w:sz="0" w:space="0" w:color="auto"/>
                <w:left w:val="none" w:sz="0" w:space="0" w:color="auto"/>
                <w:bottom w:val="none" w:sz="0" w:space="0" w:color="auto"/>
                <w:right w:val="none" w:sz="0" w:space="0" w:color="auto"/>
              </w:divBdr>
            </w:div>
            <w:div w:id="38942006">
              <w:marLeft w:val="0"/>
              <w:marRight w:val="0"/>
              <w:marTop w:val="0"/>
              <w:marBottom w:val="0"/>
              <w:divBdr>
                <w:top w:val="none" w:sz="0" w:space="0" w:color="auto"/>
                <w:left w:val="none" w:sz="0" w:space="0" w:color="auto"/>
                <w:bottom w:val="none" w:sz="0" w:space="0" w:color="auto"/>
                <w:right w:val="none" w:sz="0" w:space="0" w:color="auto"/>
              </w:divBdr>
            </w:div>
            <w:div w:id="2027056571">
              <w:marLeft w:val="0"/>
              <w:marRight w:val="0"/>
              <w:marTop w:val="0"/>
              <w:marBottom w:val="0"/>
              <w:divBdr>
                <w:top w:val="none" w:sz="0" w:space="0" w:color="auto"/>
                <w:left w:val="none" w:sz="0" w:space="0" w:color="auto"/>
                <w:bottom w:val="none" w:sz="0" w:space="0" w:color="auto"/>
                <w:right w:val="none" w:sz="0" w:space="0" w:color="auto"/>
              </w:divBdr>
            </w:div>
            <w:div w:id="1215972042">
              <w:marLeft w:val="0"/>
              <w:marRight w:val="0"/>
              <w:marTop w:val="0"/>
              <w:marBottom w:val="0"/>
              <w:divBdr>
                <w:top w:val="none" w:sz="0" w:space="0" w:color="auto"/>
                <w:left w:val="none" w:sz="0" w:space="0" w:color="auto"/>
                <w:bottom w:val="none" w:sz="0" w:space="0" w:color="auto"/>
                <w:right w:val="none" w:sz="0" w:space="0" w:color="auto"/>
              </w:divBdr>
            </w:div>
            <w:div w:id="1309477159">
              <w:marLeft w:val="0"/>
              <w:marRight w:val="0"/>
              <w:marTop w:val="0"/>
              <w:marBottom w:val="0"/>
              <w:divBdr>
                <w:top w:val="none" w:sz="0" w:space="0" w:color="auto"/>
                <w:left w:val="none" w:sz="0" w:space="0" w:color="auto"/>
                <w:bottom w:val="none" w:sz="0" w:space="0" w:color="auto"/>
                <w:right w:val="none" w:sz="0" w:space="0" w:color="auto"/>
              </w:divBdr>
            </w:div>
            <w:div w:id="596522535">
              <w:marLeft w:val="0"/>
              <w:marRight w:val="0"/>
              <w:marTop w:val="0"/>
              <w:marBottom w:val="0"/>
              <w:divBdr>
                <w:top w:val="none" w:sz="0" w:space="0" w:color="auto"/>
                <w:left w:val="none" w:sz="0" w:space="0" w:color="auto"/>
                <w:bottom w:val="none" w:sz="0" w:space="0" w:color="auto"/>
                <w:right w:val="none" w:sz="0" w:space="0" w:color="auto"/>
              </w:divBdr>
            </w:div>
            <w:div w:id="108817089">
              <w:marLeft w:val="0"/>
              <w:marRight w:val="0"/>
              <w:marTop w:val="0"/>
              <w:marBottom w:val="0"/>
              <w:divBdr>
                <w:top w:val="none" w:sz="0" w:space="0" w:color="auto"/>
                <w:left w:val="none" w:sz="0" w:space="0" w:color="auto"/>
                <w:bottom w:val="none" w:sz="0" w:space="0" w:color="auto"/>
                <w:right w:val="none" w:sz="0" w:space="0" w:color="auto"/>
              </w:divBdr>
            </w:div>
            <w:div w:id="606471245">
              <w:marLeft w:val="0"/>
              <w:marRight w:val="0"/>
              <w:marTop w:val="0"/>
              <w:marBottom w:val="0"/>
              <w:divBdr>
                <w:top w:val="none" w:sz="0" w:space="0" w:color="auto"/>
                <w:left w:val="none" w:sz="0" w:space="0" w:color="auto"/>
                <w:bottom w:val="none" w:sz="0" w:space="0" w:color="auto"/>
                <w:right w:val="none" w:sz="0" w:space="0" w:color="auto"/>
              </w:divBdr>
            </w:div>
            <w:div w:id="2063676612">
              <w:marLeft w:val="0"/>
              <w:marRight w:val="0"/>
              <w:marTop w:val="0"/>
              <w:marBottom w:val="0"/>
              <w:divBdr>
                <w:top w:val="none" w:sz="0" w:space="0" w:color="auto"/>
                <w:left w:val="none" w:sz="0" w:space="0" w:color="auto"/>
                <w:bottom w:val="none" w:sz="0" w:space="0" w:color="auto"/>
                <w:right w:val="none" w:sz="0" w:space="0" w:color="auto"/>
              </w:divBdr>
            </w:div>
            <w:div w:id="1540512801">
              <w:marLeft w:val="0"/>
              <w:marRight w:val="0"/>
              <w:marTop w:val="0"/>
              <w:marBottom w:val="0"/>
              <w:divBdr>
                <w:top w:val="none" w:sz="0" w:space="0" w:color="auto"/>
                <w:left w:val="none" w:sz="0" w:space="0" w:color="auto"/>
                <w:bottom w:val="none" w:sz="0" w:space="0" w:color="auto"/>
                <w:right w:val="none" w:sz="0" w:space="0" w:color="auto"/>
              </w:divBdr>
            </w:div>
            <w:div w:id="2067949587">
              <w:marLeft w:val="0"/>
              <w:marRight w:val="0"/>
              <w:marTop w:val="0"/>
              <w:marBottom w:val="0"/>
              <w:divBdr>
                <w:top w:val="none" w:sz="0" w:space="0" w:color="auto"/>
                <w:left w:val="none" w:sz="0" w:space="0" w:color="auto"/>
                <w:bottom w:val="none" w:sz="0" w:space="0" w:color="auto"/>
                <w:right w:val="none" w:sz="0" w:space="0" w:color="auto"/>
              </w:divBdr>
            </w:div>
            <w:div w:id="1093284310">
              <w:marLeft w:val="0"/>
              <w:marRight w:val="0"/>
              <w:marTop w:val="0"/>
              <w:marBottom w:val="0"/>
              <w:divBdr>
                <w:top w:val="none" w:sz="0" w:space="0" w:color="auto"/>
                <w:left w:val="none" w:sz="0" w:space="0" w:color="auto"/>
                <w:bottom w:val="none" w:sz="0" w:space="0" w:color="auto"/>
                <w:right w:val="none" w:sz="0" w:space="0" w:color="auto"/>
              </w:divBdr>
            </w:div>
            <w:div w:id="83651504">
              <w:marLeft w:val="0"/>
              <w:marRight w:val="0"/>
              <w:marTop w:val="0"/>
              <w:marBottom w:val="0"/>
              <w:divBdr>
                <w:top w:val="none" w:sz="0" w:space="0" w:color="auto"/>
                <w:left w:val="none" w:sz="0" w:space="0" w:color="auto"/>
                <w:bottom w:val="none" w:sz="0" w:space="0" w:color="auto"/>
                <w:right w:val="none" w:sz="0" w:space="0" w:color="auto"/>
              </w:divBdr>
            </w:div>
            <w:div w:id="1836261754">
              <w:marLeft w:val="0"/>
              <w:marRight w:val="0"/>
              <w:marTop w:val="0"/>
              <w:marBottom w:val="0"/>
              <w:divBdr>
                <w:top w:val="none" w:sz="0" w:space="0" w:color="auto"/>
                <w:left w:val="none" w:sz="0" w:space="0" w:color="auto"/>
                <w:bottom w:val="none" w:sz="0" w:space="0" w:color="auto"/>
                <w:right w:val="none" w:sz="0" w:space="0" w:color="auto"/>
              </w:divBdr>
            </w:div>
            <w:div w:id="1758862923">
              <w:marLeft w:val="0"/>
              <w:marRight w:val="0"/>
              <w:marTop w:val="0"/>
              <w:marBottom w:val="0"/>
              <w:divBdr>
                <w:top w:val="none" w:sz="0" w:space="0" w:color="auto"/>
                <w:left w:val="none" w:sz="0" w:space="0" w:color="auto"/>
                <w:bottom w:val="none" w:sz="0" w:space="0" w:color="auto"/>
                <w:right w:val="none" w:sz="0" w:space="0" w:color="auto"/>
              </w:divBdr>
            </w:div>
            <w:div w:id="571499969">
              <w:marLeft w:val="0"/>
              <w:marRight w:val="0"/>
              <w:marTop w:val="0"/>
              <w:marBottom w:val="0"/>
              <w:divBdr>
                <w:top w:val="none" w:sz="0" w:space="0" w:color="auto"/>
                <w:left w:val="none" w:sz="0" w:space="0" w:color="auto"/>
                <w:bottom w:val="none" w:sz="0" w:space="0" w:color="auto"/>
                <w:right w:val="none" w:sz="0" w:space="0" w:color="auto"/>
              </w:divBdr>
            </w:div>
            <w:div w:id="1017544550">
              <w:marLeft w:val="0"/>
              <w:marRight w:val="0"/>
              <w:marTop w:val="0"/>
              <w:marBottom w:val="0"/>
              <w:divBdr>
                <w:top w:val="none" w:sz="0" w:space="0" w:color="auto"/>
                <w:left w:val="none" w:sz="0" w:space="0" w:color="auto"/>
                <w:bottom w:val="none" w:sz="0" w:space="0" w:color="auto"/>
                <w:right w:val="none" w:sz="0" w:space="0" w:color="auto"/>
              </w:divBdr>
            </w:div>
            <w:div w:id="697587539">
              <w:marLeft w:val="0"/>
              <w:marRight w:val="0"/>
              <w:marTop w:val="0"/>
              <w:marBottom w:val="0"/>
              <w:divBdr>
                <w:top w:val="none" w:sz="0" w:space="0" w:color="auto"/>
                <w:left w:val="none" w:sz="0" w:space="0" w:color="auto"/>
                <w:bottom w:val="none" w:sz="0" w:space="0" w:color="auto"/>
                <w:right w:val="none" w:sz="0" w:space="0" w:color="auto"/>
              </w:divBdr>
            </w:div>
            <w:div w:id="536046965">
              <w:marLeft w:val="0"/>
              <w:marRight w:val="0"/>
              <w:marTop w:val="0"/>
              <w:marBottom w:val="0"/>
              <w:divBdr>
                <w:top w:val="none" w:sz="0" w:space="0" w:color="auto"/>
                <w:left w:val="none" w:sz="0" w:space="0" w:color="auto"/>
                <w:bottom w:val="none" w:sz="0" w:space="0" w:color="auto"/>
                <w:right w:val="none" w:sz="0" w:space="0" w:color="auto"/>
              </w:divBdr>
            </w:div>
            <w:div w:id="1264260241">
              <w:marLeft w:val="0"/>
              <w:marRight w:val="0"/>
              <w:marTop w:val="0"/>
              <w:marBottom w:val="0"/>
              <w:divBdr>
                <w:top w:val="none" w:sz="0" w:space="0" w:color="auto"/>
                <w:left w:val="none" w:sz="0" w:space="0" w:color="auto"/>
                <w:bottom w:val="none" w:sz="0" w:space="0" w:color="auto"/>
                <w:right w:val="none" w:sz="0" w:space="0" w:color="auto"/>
              </w:divBdr>
            </w:div>
            <w:div w:id="197549691">
              <w:marLeft w:val="0"/>
              <w:marRight w:val="0"/>
              <w:marTop w:val="0"/>
              <w:marBottom w:val="0"/>
              <w:divBdr>
                <w:top w:val="none" w:sz="0" w:space="0" w:color="auto"/>
                <w:left w:val="none" w:sz="0" w:space="0" w:color="auto"/>
                <w:bottom w:val="none" w:sz="0" w:space="0" w:color="auto"/>
                <w:right w:val="none" w:sz="0" w:space="0" w:color="auto"/>
              </w:divBdr>
            </w:div>
            <w:div w:id="1052314125">
              <w:marLeft w:val="0"/>
              <w:marRight w:val="0"/>
              <w:marTop w:val="0"/>
              <w:marBottom w:val="0"/>
              <w:divBdr>
                <w:top w:val="none" w:sz="0" w:space="0" w:color="auto"/>
                <w:left w:val="none" w:sz="0" w:space="0" w:color="auto"/>
                <w:bottom w:val="none" w:sz="0" w:space="0" w:color="auto"/>
                <w:right w:val="none" w:sz="0" w:space="0" w:color="auto"/>
              </w:divBdr>
            </w:div>
            <w:div w:id="282544043">
              <w:marLeft w:val="0"/>
              <w:marRight w:val="0"/>
              <w:marTop w:val="0"/>
              <w:marBottom w:val="0"/>
              <w:divBdr>
                <w:top w:val="none" w:sz="0" w:space="0" w:color="auto"/>
                <w:left w:val="none" w:sz="0" w:space="0" w:color="auto"/>
                <w:bottom w:val="none" w:sz="0" w:space="0" w:color="auto"/>
                <w:right w:val="none" w:sz="0" w:space="0" w:color="auto"/>
              </w:divBdr>
            </w:div>
            <w:div w:id="265771837">
              <w:marLeft w:val="0"/>
              <w:marRight w:val="0"/>
              <w:marTop w:val="0"/>
              <w:marBottom w:val="0"/>
              <w:divBdr>
                <w:top w:val="none" w:sz="0" w:space="0" w:color="auto"/>
                <w:left w:val="none" w:sz="0" w:space="0" w:color="auto"/>
                <w:bottom w:val="none" w:sz="0" w:space="0" w:color="auto"/>
                <w:right w:val="none" w:sz="0" w:space="0" w:color="auto"/>
              </w:divBdr>
            </w:div>
            <w:div w:id="1763182350">
              <w:marLeft w:val="0"/>
              <w:marRight w:val="0"/>
              <w:marTop w:val="0"/>
              <w:marBottom w:val="0"/>
              <w:divBdr>
                <w:top w:val="none" w:sz="0" w:space="0" w:color="auto"/>
                <w:left w:val="none" w:sz="0" w:space="0" w:color="auto"/>
                <w:bottom w:val="none" w:sz="0" w:space="0" w:color="auto"/>
                <w:right w:val="none" w:sz="0" w:space="0" w:color="auto"/>
              </w:divBdr>
            </w:div>
            <w:div w:id="966356800">
              <w:marLeft w:val="0"/>
              <w:marRight w:val="0"/>
              <w:marTop w:val="0"/>
              <w:marBottom w:val="0"/>
              <w:divBdr>
                <w:top w:val="none" w:sz="0" w:space="0" w:color="auto"/>
                <w:left w:val="none" w:sz="0" w:space="0" w:color="auto"/>
                <w:bottom w:val="none" w:sz="0" w:space="0" w:color="auto"/>
                <w:right w:val="none" w:sz="0" w:space="0" w:color="auto"/>
              </w:divBdr>
            </w:div>
            <w:div w:id="228535658">
              <w:marLeft w:val="0"/>
              <w:marRight w:val="0"/>
              <w:marTop w:val="0"/>
              <w:marBottom w:val="0"/>
              <w:divBdr>
                <w:top w:val="none" w:sz="0" w:space="0" w:color="auto"/>
                <w:left w:val="none" w:sz="0" w:space="0" w:color="auto"/>
                <w:bottom w:val="none" w:sz="0" w:space="0" w:color="auto"/>
                <w:right w:val="none" w:sz="0" w:space="0" w:color="auto"/>
              </w:divBdr>
            </w:div>
            <w:div w:id="1526677637">
              <w:marLeft w:val="0"/>
              <w:marRight w:val="0"/>
              <w:marTop w:val="0"/>
              <w:marBottom w:val="0"/>
              <w:divBdr>
                <w:top w:val="none" w:sz="0" w:space="0" w:color="auto"/>
                <w:left w:val="none" w:sz="0" w:space="0" w:color="auto"/>
                <w:bottom w:val="none" w:sz="0" w:space="0" w:color="auto"/>
                <w:right w:val="none" w:sz="0" w:space="0" w:color="auto"/>
              </w:divBdr>
            </w:div>
            <w:div w:id="1243947401">
              <w:marLeft w:val="0"/>
              <w:marRight w:val="0"/>
              <w:marTop w:val="0"/>
              <w:marBottom w:val="0"/>
              <w:divBdr>
                <w:top w:val="none" w:sz="0" w:space="0" w:color="auto"/>
                <w:left w:val="none" w:sz="0" w:space="0" w:color="auto"/>
                <w:bottom w:val="none" w:sz="0" w:space="0" w:color="auto"/>
                <w:right w:val="none" w:sz="0" w:space="0" w:color="auto"/>
              </w:divBdr>
            </w:div>
            <w:div w:id="300963702">
              <w:marLeft w:val="0"/>
              <w:marRight w:val="0"/>
              <w:marTop w:val="0"/>
              <w:marBottom w:val="0"/>
              <w:divBdr>
                <w:top w:val="none" w:sz="0" w:space="0" w:color="auto"/>
                <w:left w:val="none" w:sz="0" w:space="0" w:color="auto"/>
                <w:bottom w:val="none" w:sz="0" w:space="0" w:color="auto"/>
                <w:right w:val="none" w:sz="0" w:space="0" w:color="auto"/>
              </w:divBdr>
            </w:div>
            <w:div w:id="1748067287">
              <w:marLeft w:val="0"/>
              <w:marRight w:val="0"/>
              <w:marTop w:val="0"/>
              <w:marBottom w:val="0"/>
              <w:divBdr>
                <w:top w:val="none" w:sz="0" w:space="0" w:color="auto"/>
                <w:left w:val="none" w:sz="0" w:space="0" w:color="auto"/>
                <w:bottom w:val="none" w:sz="0" w:space="0" w:color="auto"/>
                <w:right w:val="none" w:sz="0" w:space="0" w:color="auto"/>
              </w:divBdr>
            </w:div>
            <w:div w:id="1572079666">
              <w:marLeft w:val="0"/>
              <w:marRight w:val="0"/>
              <w:marTop w:val="0"/>
              <w:marBottom w:val="0"/>
              <w:divBdr>
                <w:top w:val="none" w:sz="0" w:space="0" w:color="auto"/>
                <w:left w:val="none" w:sz="0" w:space="0" w:color="auto"/>
                <w:bottom w:val="none" w:sz="0" w:space="0" w:color="auto"/>
                <w:right w:val="none" w:sz="0" w:space="0" w:color="auto"/>
              </w:divBdr>
            </w:div>
            <w:div w:id="1964338536">
              <w:marLeft w:val="0"/>
              <w:marRight w:val="0"/>
              <w:marTop w:val="0"/>
              <w:marBottom w:val="0"/>
              <w:divBdr>
                <w:top w:val="none" w:sz="0" w:space="0" w:color="auto"/>
                <w:left w:val="none" w:sz="0" w:space="0" w:color="auto"/>
                <w:bottom w:val="none" w:sz="0" w:space="0" w:color="auto"/>
                <w:right w:val="none" w:sz="0" w:space="0" w:color="auto"/>
              </w:divBdr>
            </w:div>
            <w:div w:id="1375081388">
              <w:marLeft w:val="0"/>
              <w:marRight w:val="0"/>
              <w:marTop w:val="0"/>
              <w:marBottom w:val="0"/>
              <w:divBdr>
                <w:top w:val="none" w:sz="0" w:space="0" w:color="auto"/>
                <w:left w:val="none" w:sz="0" w:space="0" w:color="auto"/>
                <w:bottom w:val="none" w:sz="0" w:space="0" w:color="auto"/>
                <w:right w:val="none" w:sz="0" w:space="0" w:color="auto"/>
              </w:divBdr>
            </w:div>
            <w:div w:id="1207834613">
              <w:marLeft w:val="0"/>
              <w:marRight w:val="0"/>
              <w:marTop w:val="0"/>
              <w:marBottom w:val="0"/>
              <w:divBdr>
                <w:top w:val="none" w:sz="0" w:space="0" w:color="auto"/>
                <w:left w:val="none" w:sz="0" w:space="0" w:color="auto"/>
                <w:bottom w:val="none" w:sz="0" w:space="0" w:color="auto"/>
                <w:right w:val="none" w:sz="0" w:space="0" w:color="auto"/>
              </w:divBdr>
            </w:div>
            <w:div w:id="362093972">
              <w:marLeft w:val="0"/>
              <w:marRight w:val="0"/>
              <w:marTop w:val="0"/>
              <w:marBottom w:val="0"/>
              <w:divBdr>
                <w:top w:val="none" w:sz="0" w:space="0" w:color="auto"/>
                <w:left w:val="none" w:sz="0" w:space="0" w:color="auto"/>
                <w:bottom w:val="none" w:sz="0" w:space="0" w:color="auto"/>
                <w:right w:val="none" w:sz="0" w:space="0" w:color="auto"/>
              </w:divBdr>
            </w:div>
            <w:div w:id="1141506373">
              <w:marLeft w:val="0"/>
              <w:marRight w:val="0"/>
              <w:marTop w:val="0"/>
              <w:marBottom w:val="0"/>
              <w:divBdr>
                <w:top w:val="none" w:sz="0" w:space="0" w:color="auto"/>
                <w:left w:val="none" w:sz="0" w:space="0" w:color="auto"/>
                <w:bottom w:val="none" w:sz="0" w:space="0" w:color="auto"/>
                <w:right w:val="none" w:sz="0" w:space="0" w:color="auto"/>
              </w:divBdr>
            </w:div>
            <w:div w:id="1196968135">
              <w:marLeft w:val="0"/>
              <w:marRight w:val="0"/>
              <w:marTop w:val="0"/>
              <w:marBottom w:val="0"/>
              <w:divBdr>
                <w:top w:val="none" w:sz="0" w:space="0" w:color="auto"/>
                <w:left w:val="none" w:sz="0" w:space="0" w:color="auto"/>
                <w:bottom w:val="none" w:sz="0" w:space="0" w:color="auto"/>
                <w:right w:val="none" w:sz="0" w:space="0" w:color="auto"/>
              </w:divBdr>
            </w:div>
            <w:div w:id="155341351">
              <w:marLeft w:val="0"/>
              <w:marRight w:val="0"/>
              <w:marTop w:val="0"/>
              <w:marBottom w:val="0"/>
              <w:divBdr>
                <w:top w:val="none" w:sz="0" w:space="0" w:color="auto"/>
                <w:left w:val="none" w:sz="0" w:space="0" w:color="auto"/>
                <w:bottom w:val="none" w:sz="0" w:space="0" w:color="auto"/>
                <w:right w:val="none" w:sz="0" w:space="0" w:color="auto"/>
              </w:divBdr>
            </w:div>
            <w:div w:id="13210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1085">
      <w:bodyDiv w:val="1"/>
      <w:marLeft w:val="0"/>
      <w:marRight w:val="0"/>
      <w:marTop w:val="0"/>
      <w:marBottom w:val="0"/>
      <w:divBdr>
        <w:top w:val="none" w:sz="0" w:space="0" w:color="auto"/>
        <w:left w:val="none" w:sz="0" w:space="0" w:color="auto"/>
        <w:bottom w:val="none" w:sz="0" w:space="0" w:color="auto"/>
        <w:right w:val="none" w:sz="0" w:space="0" w:color="auto"/>
      </w:divBdr>
      <w:divsChild>
        <w:div w:id="2034263674">
          <w:marLeft w:val="0"/>
          <w:marRight w:val="0"/>
          <w:marTop w:val="0"/>
          <w:marBottom w:val="0"/>
          <w:divBdr>
            <w:top w:val="none" w:sz="0" w:space="0" w:color="auto"/>
            <w:left w:val="none" w:sz="0" w:space="0" w:color="auto"/>
            <w:bottom w:val="none" w:sz="0" w:space="0" w:color="auto"/>
            <w:right w:val="none" w:sz="0" w:space="0" w:color="auto"/>
          </w:divBdr>
        </w:div>
      </w:divsChild>
    </w:div>
    <w:div w:id="1863010258">
      <w:bodyDiv w:val="1"/>
      <w:marLeft w:val="0"/>
      <w:marRight w:val="0"/>
      <w:marTop w:val="0"/>
      <w:marBottom w:val="0"/>
      <w:divBdr>
        <w:top w:val="none" w:sz="0" w:space="0" w:color="auto"/>
        <w:left w:val="none" w:sz="0" w:space="0" w:color="auto"/>
        <w:bottom w:val="none" w:sz="0" w:space="0" w:color="auto"/>
        <w:right w:val="none" w:sz="0" w:space="0" w:color="auto"/>
      </w:divBdr>
    </w:div>
    <w:div w:id="2035574475">
      <w:bodyDiv w:val="1"/>
      <w:marLeft w:val="0"/>
      <w:marRight w:val="0"/>
      <w:marTop w:val="0"/>
      <w:marBottom w:val="0"/>
      <w:divBdr>
        <w:top w:val="none" w:sz="0" w:space="0" w:color="auto"/>
        <w:left w:val="none" w:sz="0" w:space="0" w:color="auto"/>
        <w:bottom w:val="none" w:sz="0" w:space="0" w:color="auto"/>
        <w:right w:val="none" w:sz="0" w:space="0" w:color="auto"/>
      </w:divBdr>
      <w:divsChild>
        <w:div w:id="1956592677">
          <w:marLeft w:val="0"/>
          <w:marRight w:val="0"/>
          <w:marTop w:val="0"/>
          <w:marBottom w:val="0"/>
          <w:divBdr>
            <w:top w:val="none" w:sz="0" w:space="0" w:color="auto"/>
            <w:left w:val="none" w:sz="0" w:space="0" w:color="auto"/>
            <w:bottom w:val="none" w:sz="0" w:space="0" w:color="auto"/>
            <w:right w:val="none" w:sz="0" w:space="0" w:color="auto"/>
          </w:divBdr>
        </w:div>
      </w:divsChild>
    </w:div>
    <w:div w:id="2099593862">
      <w:bodyDiv w:val="1"/>
      <w:marLeft w:val="0"/>
      <w:marRight w:val="0"/>
      <w:marTop w:val="0"/>
      <w:marBottom w:val="0"/>
      <w:divBdr>
        <w:top w:val="none" w:sz="0" w:space="0" w:color="auto"/>
        <w:left w:val="none" w:sz="0" w:space="0" w:color="auto"/>
        <w:bottom w:val="none" w:sz="0" w:space="0" w:color="auto"/>
        <w:right w:val="none" w:sz="0" w:space="0" w:color="auto"/>
      </w:divBdr>
    </w:div>
    <w:div w:id="213741011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D4E02-0B80-CD45-90F9-EDA6DCC8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7936</Words>
  <Characters>45240</Characters>
  <Application>Microsoft Macintosh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獫票楧栮捯洀鉭曮㞱Û뜰⠲쎔딁烊皭〼፥ᙼ䕸忤઱</Company>
  <LinksUpToDate>false</LinksUpToDate>
  <CharactersWithSpaces>53070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乩歫椠䱡畳椀㸲㻸ꔿ㌋䬮ꍰ䞮誀圇짗꾬钒붤鏊꣊㥊揤鞁</dc:creator>
  <cp:keywords/>
  <dc:description/>
  <cp:lastModifiedBy>NA MA</cp:lastModifiedBy>
  <cp:revision>2</cp:revision>
  <cp:lastPrinted>2011-07-13T18:13:00Z</cp:lastPrinted>
  <dcterms:created xsi:type="dcterms:W3CDTF">2015-04-11T03:35:00Z</dcterms:created>
  <dcterms:modified xsi:type="dcterms:W3CDTF">2015-04-11T03:35:00Z</dcterms:modified>
</cp:coreProperties>
</file>