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12A" w:rsidRPr="009D2289" w:rsidRDefault="002D612A" w:rsidP="009D2289">
      <w:pPr>
        <w:adjustRightInd w:val="0"/>
        <w:snapToGrid w:val="0"/>
        <w:spacing w:line="360" w:lineRule="auto"/>
        <w:rPr>
          <w:rFonts w:ascii="Book Antiqua" w:eastAsia="BatangChe" w:hAnsi="Book Antiqua"/>
          <w:i/>
          <w:sz w:val="24"/>
          <w:szCs w:val="24"/>
        </w:rPr>
      </w:pPr>
      <w:r w:rsidRPr="009D2289">
        <w:rPr>
          <w:rFonts w:ascii="Book Antiqua" w:eastAsia="BatangChe" w:hAnsi="Book Antiqua"/>
          <w:b/>
          <w:sz w:val="24"/>
          <w:szCs w:val="24"/>
        </w:rPr>
        <w:t xml:space="preserve">Name of journal: </w:t>
      </w:r>
      <w:r w:rsidRPr="009D2289">
        <w:rPr>
          <w:rFonts w:ascii="Book Antiqua" w:eastAsia="BatangChe" w:hAnsi="Book Antiqua"/>
          <w:i/>
          <w:sz w:val="24"/>
          <w:szCs w:val="24"/>
        </w:rPr>
        <w:t>World Journal of Gastroenterology</w:t>
      </w:r>
    </w:p>
    <w:p w:rsidR="002D612A" w:rsidRPr="009D2289" w:rsidRDefault="002D612A" w:rsidP="009D2289">
      <w:pPr>
        <w:adjustRightInd w:val="0"/>
        <w:snapToGrid w:val="0"/>
        <w:spacing w:line="360" w:lineRule="auto"/>
        <w:rPr>
          <w:rFonts w:ascii="Book Antiqua" w:hAnsi="Book Antiqua"/>
          <w:b/>
          <w:sz w:val="24"/>
          <w:szCs w:val="24"/>
        </w:rPr>
      </w:pPr>
      <w:r w:rsidRPr="009D2289">
        <w:rPr>
          <w:rFonts w:ascii="Book Antiqua" w:eastAsia="BatangChe" w:hAnsi="Book Antiqua"/>
          <w:b/>
          <w:sz w:val="24"/>
          <w:szCs w:val="24"/>
        </w:rPr>
        <w:t>ESPS Manuscript NO:</w:t>
      </w:r>
      <w:r w:rsidRPr="009D2289">
        <w:rPr>
          <w:rFonts w:ascii="Book Antiqua" w:hAnsi="Book Antiqua"/>
          <w:b/>
          <w:sz w:val="24"/>
          <w:szCs w:val="24"/>
        </w:rPr>
        <w:t xml:space="preserve"> 1232</w:t>
      </w:r>
    </w:p>
    <w:p w:rsidR="002D612A" w:rsidRPr="009D2289" w:rsidRDefault="002D612A" w:rsidP="009D2289">
      <w:pPr>
        <w:adjustRightInd w:val="0"/>
        <w:snapToGrid w:val="0"/>
        <w:spacing w:line="360" w:lineRule="auto"/>
        <w:rPr>
          <w:rFonts w:ascii="Book Antiqua" w:hAnsi="Book Antiqua"/>
          <w:b/>
          <w:sz w:val="24"/>
          <w:szCs w:val="24"/>
        </w:rPr>
      </w:pPr>
      <w:r w:rsidRPr="009D2289">
        <w:rPr>
          <w:rFonts w:ascii="Book Antiqua" w:eastAsia="BatangChe" w:hAnsi="Book Antiqua"/>
          <w:b/>
          <w:sz w:val="24"/>
          <w:szCs w:val="24"/>
        </w:rPr>
        <w:t>Columns:</w:t>
      </w:r>
      <w:r w:rsidRPr="009D2289">
        <w:rPr>
          <w:rFonts w:ascii="Book Antiqua" w:hAnsi="Book Antiqua"/>
          <w:sz w:val="24"/>
          <w:szCs w:val="24"/>
        </w:rPr>
        <w:t xml:space="preserve"> </w:t>
      </w:r>
      <w:r w:rsidRPr="009D2289">
        <w:rPr>
          <w:rFonts w:ascii="Book Antiqua" w:hAnsi="Book Antiqua"/>
          <w:b/>
          <w:sz w:val="24"/>
          <w:szCs w:val="24"/>
        </w:rPr>
        <w:t>BRIEF ARTICLE</w:t>
      </w:r>
    </w:p>
    <w:p w:rsidR="002D612A" w:rsidRPr="009D2289" w:rsidRDefault="002D612A" w:rsidP="009D2289">
      <w:pPr>
        <w:adjustRightInd w:val="0"/>
        <w:snapToGrid w:val="0"/>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sz w:val="24"/>
          <w:szCs w:val="24"/>
        </w:rPr>
      </w:pPr>
      <w:r w:rsidRPr="009D2289">
        <w:rPr>
          <w:rFonts w:ascii="Book Antiqua" w:hAnsi="Book Antiqua"/>
          <w:b/>
          <w:i/>
          <w:sz w:val="24"/>
          <w:szCs w:val="24"/>
        </w:rPr>
        <w:t>Helicobacter pylori</w:t>
      </w:r>
      <w:r w:rsidRPr="009D2289">
        <w:rPr>
          <w:rFonts w:ascii="Book Antiqua" w:hAnsi="Book Antiqua"/>
          <w:b/>
          <w:sz w:val="24"/>
          <w:szCs w:val="24"/>
        </w:rPr>
        <w:t xml:space="preserve"> and Crohn’s disease: A retrospective single-center study from </w:t>
      </w:r>
      <w:smartTag w:uri="urn:schemas-microsoft-com:office:smarttags" w:element="place">
        <w:smartTag w:uri="urn:schemas-microsoft-com:office:smarttags" w:element="country-region">
          <w:r w:rsidRPr="009D2289">
            <w:rPr>
              <w:rFonts w:ascii="Book Antiqua" w:hAnsi="Book Antiqua"/>
              <w:b/>
              <w:sz w:val="24"/>
              <w:szCs w:val="24"/>
            </w:rPr>
            <w:t>China</w:t>
          </w:r>
        </w:smartTag>
      </w:smartTag>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bCs/>
          <w:sz w:val="24"/>
          <w:szCs w:val="24"/>
        </w:rPr>
      </w:pPr>
      <w:r w:rsidRPr="009D2289">
        <w:rPr>
          <w:rFonts w:ascii="Book Antiqua" w:hAnsi="Book Antiqua"/>
          <w:bCs/>
          <w:sz w:val="24"/>
          <w:szCs w:val="24"/>
        </w:rPr>
        <w:t xml:space="preserve">Xiang Z </w:t>
      </w:r>
      <w:r w:rsidRPr="009D2289">
        <w:rPr>
          <w:rFonts w:ascii="Book Antiqua" w:hAnsi="Book Antiqua"/>
          <w:bCs/>
          <w:i/>
          <w:sz w:val="24"/>
          <w:szCs w:val="24"/>
        </w:rPr>
        <w:t>et al</w:t>
      </w:r>
      <w:r w:rsidRPr="009D2289">
        <w:rPr>
          <w:rFonts w:ascii="Book Antiqua" w:hAnsi="Book Antiqua"/>
          <w:bCs/>
          <w:sz w:val="24"/>
          <w:szCs w:val="24"/>
        </w:rPr>
        <w:t xml:space="preserve">. </w:t>
      </w:r>
      <w:r w:rsidRPr="009D2289">
        <w:rPr>
          <w:rFonts w:ascii="Book Antiqua" w:hAnsi="Book Antiqua"/>
          <w:bCs/>
          <w:i/>
          <w:sz w:val="24"/>
          <w:szCs w:val="24"/>
        </w:rPr>
        <w:t>H. pylori</w:t>
      </w:r>
      <w:r w:rsidRPr="009D2289">
        <w:rPr>
          <w:rFonts w:ascii="Book Antiqua" w:hAnsi="Book Antiqua"/>
          <w:bCs/>
          <w:sz w:val="24"/>
          <w:szCs w:val="24"/>
        </w:rPr>
        <w:t xml:space="preserve"> and CD</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Zun Xiang, Yi-Peng Chen, Yue-Fang Ye, Kui-Fen Ma, Shao-Hua Chen, Lin Zheng, Yi-Da Yang, Xi Jin</w:t>
      </w:r>
    </w:p>
    <w:p w:rsidR="002D612A" w:rsidRPr="009D2289" w:rsidRDefault="002D612A" w:rsidP="009D2289">
      <w:pPr>
        <w:spacing w:line="360" w:lineRule="auto"/>
        <w:rPr>
          <w:rFonts w:ascii="Book Antiqua" w:hAnsi="Book Antiqua"/>
          <w:sz w:val="24"/>
          <w:szCs w:val="24"/>
          <w:vertAlign w:val="superscript"/>
        </w:rPr>
      </w:pPr>
    </w:p>
    <w:p w:rsidR="002D612A" w:rsidRPr="009D2289" w:rsidRDefault="007E4BC5" w:rsidP="009D2289">
      <w:pPr>
        <w:pStyle w:val="30"/>
        <w:spacing w:line="360" w:lineRule="auto"/>
        <w:rPr>
          <w:rFonts w:ascii="Book Antiqua" w:hAnsi="Book Antiqua"/>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-15875</wp:posOffset>
                </wp:positionH>
                <wp:positionV relativeFrom="paragraph">
                  <wp:posOffset>33655</wp:posOffset>
                </wp:positionV>
                <wp:extent cx="5314950" cy="8255"/>
                <wp:effectExtent l="12700" t="14605" r="15875" b="1524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14950" cy="8255"/>
                        </a:xfrm>
                        <a:prstGeom prst="line">
                          <a:avLst/>
                        </a:prstGeom>
                        <a:noFill/>
                        <a:ln w="25400">
                          <a:solidFill>
                            <a:srgbClr val="BFBFB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65pt" to="417.2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" strokecolor="#bfbfbf" strokeweight="2pt">
                <v:shadow opacity="24903f" origin=",.5" offset="0,.55556mm"/>
              </v:line>
            </w:pict>
          </mc:Fallback>
        </mc:AlternateContent>
      </w:r>
    </w:p>
    <w:p w:rsidR="002D612A" w:rsidRPr="009D2289" w:rsidRDefault="002D612A" w:rsidP="009D2289">
      <w:pPr>
        <w:pStyle w:val="30"/>
        <w:spacing w:line="360" w:lineRule="auto"/>
        <w:rPr>
          <w:rFonts w:ascii="Book Antiqua" w:hAnsi="Book Antiqua"/>
          <w:sz w:val="24"/>
          <w:szCs w:val="24"/>
        </w:rPr>
      </w:pPr>
      <w:r w:rsidRPr="009D2289">
        <w:rPr>
          <w:rFonts w:ascii="Book Antiqua" w:hAnsi="Book Antiqua"/>
          <w:b/>
          <w:sz w:val="24"/>
          <w:szCs w:val="24"/>
        </w:rPr>
        <w:t>Zun Xiang, Yi-Peng Chen, Shao-Hua Chen, Xi Jin,</w:t>
      </w:r>
      <w:r w:rsidRPr="009D2289">
        <w:rPr>
          <w:rFonts w:ascii="Book Antiqua" w:hAnsi="Book Antiqua"/>
          <w:sz w:val="24"/>
          <w:szCs w:val="24"/>
        </w:rPr>
        <w:t xml:space="preserve"> Department of Gastroenterology, The First Affiliated Hospital, College of Medicine, Zhejiang University, Hangzhou 310003, Zhejiang Province,</w:t>
      </w:r>
      <w:r>
        <w:rPr>
          <w:rFonts w:ascii="Book Antiqua" w:hAnsi="Book Antiqua"/>
          <w:sz w:val="24"/>
          <w:szCs w:val="24"/>
        </w:rPr>
        <w:t xml:space="preserve"> </w:t>
      </w:r>
      <w:r w:rsidRPr="009D2289">
        <w:rPr>
          <w:rFonts w:ascii="Book Antiqua" w:hAnsi="Book Antiqua"/>
          <w:sz w:val="24"/>
          <w:szCs w:val="24"/>
        </w:rPr>
        <w:t>China</w:t>
      </w:r>
    </w:p>
    <w:p w:rsidR="002D612A" w:rsidRPr="009D2289" w:rsidRDefault="002D612A" w:rsidP="009D2289">
      <w:pPr>
        <w:pStyle w:val="30"/>
        <w:tabs>
          <w:tab w:val="left" w:pos="1035"/>
        </w:tabs>
        <w:spacing w:line="360" w:lineRule="auto"/>
        <w:rPr>
          <w:rFonts w:ascii="Book Antiqua" w:hAnsi="Book Antiqua"/>
          <w:b/>
          <w:sz w:val="24"/>
          <w:szCs w:val="24"/>
        </w:rPr>
      </w:pPr>
    </w:p>
    <w:p w:rsidR="002D612A" w:rsidRPr="009D2289" w:rsidRDefault="002D612A" w:rsidP="009D2289">
      <w:pPr>
        <w:pStyle w:val="30"/>
        <w:tabs>
          <w:tab w:val="left" w:pos="1035"/>
        </w:tabs>
        <w:spacing w:line="360" w:lineRule="auto"/>
        <w:rPr>
          <w:rFonts w:ascii="Book Antiqua" w:hAnsi="Book Antiqua"/>
          <w:sz w:val="24"/>
          <w:szCs w:val="24"/>
        </w:rPr>
      </w:pPr>
      <w:r w:rsidRPr="009D2289">
        <w:rPr>
          <w:rFonts w:ascii="Book Antiqua" w:hAnsi="Book Antiqua"/>
          <w:b/>
          <w:sz w:val="24"/>
          <w:szCs w:val="24"/>
        </w:rPr>
        <w:t>Yue-Fang Ye,</w:t>
      </w:r>
      <w:r w:rsidRPr="009D2289">
        <w:rPr>
          <w:rFonts w:ascii="Book Antiqua" w:hAnsi="Book Antiqua"/>
          <w:color w:val="2A2A2A"/>
          <w:sz w:val="24"/>
          <w:szCs w:val="24"/>
        </w:rPr>
        <w:t xml:space="preserve"> Department of Gastroenterology, The Affiliated Hospital, College of Medicine, Hangzhou Normal University, Hangzhou 310015, </w:t>
      </w:r>
      <w:r w:rsidRPr="009D2289">
        <w:rPr>
          <w:rFonts w:ascii="Book Antiqua" w:hAnsi="Book Antiqua"/>
          <w:sz w:val="24"/>
          <w:szCs w:val="24"/>
        </w:rPr>
        <w:t xml:space="preserve">Zhejiang Province, </w:t>
      </w:r>
      <w:r w:rsidRPr="009D2289">
        <w:rPr>
          <w:rFonts w:ascii="Book Antiqua" w:hAnsi="Book Antiqua"/>
          <w:color w:val="2A2A2A"/>
          <w:sz w:val="24"/>
          <w:szCs w:val="24"/>
        </w:rPr>
        <w:t>China</w:t>
      </w:r>
    </w:p>
    <w:p w:rsidR="002D612A" w:rsidRPr="009D2289" w:rsidRDefault="002D612A" w:rsidP="009D2289">
      <w:pPr>
        <w:pStyle w:val="30"/>
        <w:spacing w:line="360" w:lineRule="auto"/>
        <w:rPr>
          <w:rFonts w:ascii="Book Antiqua" w:hAnsi="Book Antiqua"/>
          <w:b/>
          <w:sz w:val="24"/>
          <w:szCs w:val="24"/>
        </w:rPr>
      </w:pPr>
    </w:p>
    <w:p w:rsidR="002D612A" w:rsidRPr="009D2289" w:rsidRDefault="002D612A" w:rsidP="009D2289">
      <w:pPr>
        <w:pStyle w:val="30"/>
        <w:spacing w:line="360" w:lineRule="auto"/>
        <w:rPr>
          <w:rFonts w:ascii="Book Antiqua" w:hAnsi="Book Antiqua"/>
          <w:sz w:val="24"/>
          <w:szCs w:val="24"/>
        </w:rPr>
      </w:pPr>
      <w:r w:rsidRPr="009D2289">
        <w:rPr>
          <w:rFonts w:ascii="Book Antiqua" w:hAnsi="Book Antiqua"/>
          <w:b/>
          <w:sz w:val="24"/>
          <w:szCs w:val="24"/>
        </w:rPr>
        <w:t>Kui-Fen Ma,</w:t>
      </w:r>
      <w:r w:rsidRPr="009D2289">
        <w:rPr>
          <w:rFonts w:ascii="Book Antiqua" w:hAnsi="Book Antiqua"/>
          <w:sz w:val="24"/>
          <w:szCs w:val="24"/>
        </w:rPr>
        <w:t xml:space="preserve"> Department of Pharmacy, The First Affiliated Hospital, College of Medicine, Zhejiang University, Hangzhou 310003, Zhejiang Province, China</w:t>
      </w:r>
    </w:p>
    <w:p w:rsidR="002D612A" w:rsidRPr="009D2289" w:rsidRDefault="002D612A" w:rsidP="009D2289">
      <w:pPr>
        <w:pStyle w:val="30"/>
        <w:tabs>
          <w:tab w:val="left" w:pos="1035"/>
        </w:tabs>
        <w:spacing w:line="360" w:lineRule="auto"/>
        <w:rPr>
          <w:rFonts w:ascii="Book Antiqua" w:hAnsi="Book Antiqua"/>
          <w:b/>
          <w:sz w:val="24"/>
          <w:szCs w:val="24"/>
        </w:rPr>
      </w:pPr>
    </w:p>
    <w:p w:rsidR="002D612A" w:rsidRPr="009D2289" w:rsidRDefault="002D612A" w:rsidP="009D2289">
      <w:pPr>
        <w:pStyle w:val="30"/>
        <w:tabs>
          <w:tab w:val="left" w:pos="1035"/>
        </w:tabs>
        <w:spacing w:line="360" w:lineRule="auto"/>
        <w:rPr>
          <w:rFonts w:ascii="Book Antiqua" w:hAnsi="Book Antiqua"/>
          <w:sz w:val="24"/>
          <w:szCs w:val="24"/>
        </w:rPr>
      </w:pPr>
      <w:r w:rsidRPr="009D2289">
        <w:rPr>
          <w:rFonts w:ascii="Book Antiqua" w:hAnsi="Book Antiqua"/>
          <w:b/>
          <w:sz w:val="24"/>
          <w:szCs w:val="24"/>
        </w:rPr>
        <w:t>Lin Zheng, Yi-Da Yang,</w:t>
      </w:r>
      <w:r w:rsidRPr="009D2289">
        <w:rPr>
          <w:rFonts w:ascii="Book Antiqua" w:hAnsi="Book Antiqua"/>
          <w:sz w:val="24"/>
          <w:szCs w:val="24"/>
          <w:vertAlign w:val="superscript"/>
        </w:rPr>
        <w:t xml:space="preserve"> </w:t>
      </w:r>
      <w:r w:rsidRPr="009D2289">
        <w:rPr>
          <w:rFonts w:ascii="Book Antiqua" w:hAnsi="Book Antiqua"/>
          <w:sz w:val="24"/>
          <w:szCs w:val="24"/>
        </w:rPr>
        <w:t>Department of Infectious Disease, The First Affiliated Hospital, College of Medicine, Zhejiang University, Hangzhou 310003, Zhejiang Province,</w:t>
      </w:r>
      <w:r>
        <w:rPr>
          <w:rFonts w:ascii="Book Antiqua" w:hAnsi="Book Antiqua"/>
          <w:sz w:val="24"/>
          <w:szCs w:val="24"/>
        </w:rPr>
        <w:t xml:space="preserve"> </w:t>
      </w:r>
      <w:r w:rsidRPr="009D2289">
        <w:rPr>
          <w:rFonts w:ascii="Book Antiqua" w:hAnsi="Book Antiqua"/>
          <w:sz w:val="24"/>
          <w:szCs w:val="24"/>
        </w:rPr>
        <w:t>China</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pStyle w:val="30"/>
        <w:spacing w:line="360" w:lineRule="auto"/>
        <w:rPr>
          <w:rFonts w:ascii="Book Antiqua" w:hAnsi="Book Antiqua"/>
          <w:b/>
          <w:sz w:val="24"/>
          <w:szCs w:val="24"/>
        </w:rPr>
      </w:pPr>
      <w:r w:rsidRPr="009D2289">
        <w:rPr>
          <w:rFonts w:ascii="Book Antiqua" w:hAnsi="Book Antiqua"/>
          <w:b/>
          <w:sz w:val="24"/>
          <w:szCs w:val="24"/>
        </w:rPr>
        <w:t xml:space="preserve">Author contributions: </w:t>
      </w:r>
      <w:r w:rsidRPr="009D2289">
        <w:rPr>
          <w:rFonts w:ascii="Book Antiqua" w:hAnsi="Book Antiqua"/>
          <w:sz w:val="24"/>
          <w:szCs w:val="24"/>
        </w:rPr>
        <w:t>Xiang Z, Chen YP and Ye YF performed the experiments and contributed equally to the study; Ma KF, Chen SH, Zheng L and Yang YD collected the clinical data and performed the statistical analysis; Jin X designed the study and wrote the manuscript.</w:t>
      </w:r>
      <w:r w:rsidRPr="009D2289">
        <w:rPr>
          <w:rFonts w:ascii="Book Antiqua" w:hAnsi="Book Antiqua"/>
          <w:b/>
          <w:sz w:val="24"/>
          <w:szCs w:val="24"/>
        </w:rPr>
        <w:t xml:space="preserve"> </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Supported by</w:t>
      </w:r>
      <w:r w:rsidRPr="009D2289">
        <w:rPr>
          <w:rFonts w:ascii="Book Antiqua" w:hAnsi="Book Antiqua"/>
          <w:sz w:val="24"/>
          <w:szCs w:val="24"/>
        </w:rPr>
        <w:t xml:space="preserve"> The National Natural Science Foundation of China, No. 81000169, 81100277, and 81200284; the</w:t>
      </w:r>
      <w:r w:rsidRPr="009D2289">
        <w:rPr>
          <w:rFonts w:ascii="Book Antiqua" w:hAnsi="Book Antiqua"/>
          <w:color w:val="2A2A2A"/>
          <w:sz w:val="24"/>
          <w:szCs w:val="24"/>
        </w:rPr>
        <w:t xml:space="preserve"> </w:t>
      </w:r>
      <w:r w:rsidRPr="009D2289">
        <w:rPr>
          <w:rFonts w:ascii="Book Antiqua" w:hAnsi="Book Antiqua"/>
          <w:sz w:val="24"/>
          <w:szCs w:val="24"/>
        </w:rPr>
        <w:t>Excellent Young Investigator Foundation of Health Bureau of Zhejiang Province, No.</w:t>
      </w:r>
      <w:r>
        <w:rPr>
          <w:rFonts w:ascii="Book Antiqua" w:hAnsi="Book Antiqua"/>
          <w:sz w:val="24"/>
          <w:szCs w:val="24"/>
        </w:rPr>
        <w:t xml:space="preserve"> </w:t>
      </w:r>
      <w:r w:rsidRPr="009D2289">
        <w:rPr>
          <w:rFonts w:ascii="Book Antiqua" w:eastAsia="仿宋_GB2312" w:hAnsi="Book Antiqua"/>
          <w:kern w:val="0"/>
          <w:sz w:val="24"/>
          <w:szCs w:val="24"/>
        </w:rPr>
        <w:t>2010QNA011</w:t>
      </w:r>
      <w:r w:rsidRPr="009D2289">
        <w:rPr>
          <w:rFonts w:ascii="Book Antiqua" w:hAnsi="Book Antiqua"/>
          <w:sz w:val="24"/>
          <w:szCs w:val="24"/>
        </w:rPr>
        <w:t xml:space="preserve">; the Excellent Young Investigator Natural Science Foundation of Zhejiang Province, No. Project </w:t>
      </w:r>
      <w:r w:rsidRPr="009D2289">
        <w:rPr>
          <w:rFonts w:ascii="Book Antiqua" w:hAnsi="Book Antiqua"/>
          <w:kern w:val="0"/>
          <w:sz w:val="24"/>
          <w:szCs w:val="24"/>
        </w:rPr>
        <w:t>R2110159</w:t>
      </w:r>
      <w:r w:rsidRPr="009D2289">
        <w:rPr>
          <w:rFonts w:ascii="Book Antiqua" w:hAnsi="Book Antiqua"/>
          <w:sz w:val="24"/>
          <w:szCs w:val="24"/>
        </w:rPr>
        <w:t xml:space="preserve">; and the National Technology Supporting Project, No. 2008BAI52B03 </w:t>
      </w:r>
    </w:p>
    <w:p w:rsidR="002D612A" w:rsidRPr="009D2289" w:rsidRDefault="002D612A" w:rsidP="009D2289">
      <w:pPr>
        <w:spacing w:line="360" w:lineRule="auto"/>
        <w:rPr>
          <w:rFonts w:ascii="Book Antiqua" w:hAnsi="Book Antiqua" w:cs="Arial"/>
          <w:b/>
          <w:color w:val="000000"/>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cs="Arial"/>
          <w:b/>
          <w:color w:val="000000"/>
          <w:sz w:val="24"/>
          <w:szCs w:val="24"/>
        </w:rPr>
        <w:t>Correspondence to:</w:t>
      </w:r>
      <w:r w:rsidRPr="009D2289">
        <w:rPr>
          <w:rFonts w:ascii="Book Antiqua" w:hAnsi="Book Antiqua" w:cs="Arial"/>
          <w:color w:val="000000"/>
          <w:sz w:val="24"/>
          <w:szCs w:val="24"/>
        </w:rPr>
        <w:t xml:space="preserve"> </w:t>
      </w:r>
      <w:r w:rsidRPr="009D2289">
        <w:rPr>
          <w:rFonts w:ascii="Book Antiqua" w:hAnsi="Book Antiqua" w:cs="Arial"/>
          <w:b/>
          <w:color w:val="000000"/>
          <w:sz w:val="24"/>
          <w:szCs w:val="24"/>
        </w:rPr>
        <w:t xml:space="preserve">Xi </w:t>
      </w:r>
      <w:r w:rsidRPr="009D2289">
        <w:rPr>
          <w:rFonts w:ascii="Book Antiqua" w:hAnsi="Book Antiqua"/>
          <w:b/>
          <w:sz w:val="24"/>
          <w:szCs w:val="24"/>
        </w:rPr>
        <w:t>Jin,</w:t>
      </w:r>
      <w:r w:rsidRPr="009D2289">
        <w:rPr>
          <w:rFonts w:ascii="Book Antiqua" w:hAnsi="Book Antiqua"/>
          <w:sz w:val="24"/>
          <w:szCs w:val="24"/>
        </w:rPr>
        <w:t xml:space="preserve"> </w:t>
      </w:r>
      <w:r w:rsidRPr="009D2289">
        <w:rPr>
          <w:rFonts w:ascii="Book Antiqua" w:hAnsi="Book Antiqua"/>
          <w:b/>
          <w:sz w:val="24"/>
          <w:szCs w:val="24"/>
        </w:rPr>
        <w:t>MD,</w:t>
      </w:r>
      <w:r w:rsidRPr="009D2289">
        <w:rPr>
          <w:rFonts w:ascii="Book Antiqua" w:hAnsi="Book Antiqua"/>
          <w:sz w:val="24"/>
          <w:szCs w:val="24"/>
        </w:rPr>
        <w:t xml:space="preserve"> Department of Gastroenterology, The First Affiliated Hospital, College of Medicine, Zhejiang University, No. 79 Qingchun Road, Hangzhou 310003, Zhejiang Province, China. jxfl007@hotmail.com</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Telephone:</w:t>
      </w:r>
      <w:r w:rsidRPr="009D2289">
        <w:rPr>
          <w:rFonts w:ascii="Book Antiqua" w:hAnsi="Book Antiqua"/>
          <w:sz w:val="24"/>
          <w:szCs w:val="24"/>
        </w:rPr>
        <w:t xml:space="preserve"> +86-571-87236611 </w:t>
      </w:r>
      <w:r w:rsidRPr="009D2289">
        <w:rPr>
          <w:rFonts w:ascii="Book Antiqua" w:hAnsi="Book Antiqua"/>
          <w:sz w:val="24"/>
          <w:szCs w:val="24"/>
        </w:rPr>
        <w:tab/>
      </w:r>
      <w:r w:rsidRPr="009D2289">
        <w:rPr>
          <w:rFonts w:ascii="Book Antiqua" w:hAnsi="Book Antiqua"/>
          <w:b/>
          <w:sz w:val="24"/>
          <w:szCs w:val="24"/>
        </w:rPr>
        <w:t xml:space="preserve">Fax: </w:t>
      </w:r>
      <w:r w:rsidRPr="009D2289">
        <w:rPr>
          <w:rFonts w:ascii="Book Antiqua" w:hAnsi="Book Antiqua"/>
          <w:sz w:val="24"/>
          <w:szCs w:val="24"/>
        </w:rPr>
        <w:t>+86-571-87236603</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Received:</w:t>
      </w:r>
      <w:r w:rsidRPr="009D2289">
        <w:rPr>
          <w:rFonts w:ascii="Book Antiqua" w:hAnsi="Book Antiqua"/>
          <w:sz w:val="24"/>
          <w:szCs w:val="24"/>
        </w:rPr>
        <w:t xml:space="preserve"> November 26, 2012</w:t>
      </w:r>
      <w:r w:rsidRPr="009D2289">
        <w:rPr>
          <w:rFonts w:ascii="Book Antiqua" w:hAnsi="Book Antiqua"/>
          <w:sz w:val="24"/>
          <w:szCs w:val="24"/>
        </w:rPr>
        <w:tab/>
      </w:r>
      <w:r w:rsidRPr="009D2289">
        <w:rPr>
          <w:rFonts w:ascii="Book Antiqua" w:hAnsi="Book Antiqua"/>
          <w:b/>
          <w:sz w:val="24"/>
          <w:szCs w:val="24"/>
        </w:rPr>
        <w:t xml:space="preserve">Revised: </w:t>
      </w:r>
      <w:r w:rsidRPr="009D2289">
        <w:rPr>
          <w:rFonts w:ascii="Book Antiqua" w:hAnsi="Book Antiqua"/>
          <w:sz w:val="24"/>
          <w:szCs w:val="24"/>
        </w:rPr>
        <w:t>May 30, 2013</w:t>
      </w:r>
    </w:p>
    <w:p w:rsidR="007E4BC5" w:rsidRPr="00174DCC" w:rsidRDefault="002D612A" w:rsidP="007E4BC5">
      <w:pPr>
        <w:rPr>
          <w:rFonts w:ascii="Book Antiqua" w:hAnsi="Book Antiqua"/>
          <w:sz w:val="24"/>
          <w:szCs w:val="24"/>
        </w:rPr>
      </w:pPr>
      <w:r w:rsidRPr="009D2289">
        <w:rPr>
          <w:rFonts w:ascii="Book Antiqua" w:hAnsi="Book Antiqua"/>
          <w:b/>
          <w:sz w:val="24"/>
          <w:szCs w:val="24"/>
        </w:rPr>
        <w:t>Accepted:</w:t>
      </w:r>
      <w:bookmarkStart w:id="0" w:name="OLE_LINK1"/>
      <w:bookmarkStart w:id="1" w:name="OLE_LINK2"/>
      <w:r w:rsidR="007E4BC5" w:rsidRPr="007E4BC5">
        <w:rPr>
          <w:rFonts w:ascii="Book Antiqua" w:hAnsi="Book Antiqua"/>
          <w:sz w:val="24"/>
          <w:szCs w:val="24"/>
        </w:rPr>
        <w:t xml:space="preserve"> </w:t>
      </w:r>
      <w:r w:rsidR="007E4BC5" w:rsidRPr="00174DCC">
        <w:rPr>
          <w:rFonts w:ascii="Book Antiqua" w:hAnsi="Book Antiqua"/>
          <w:sz w:val="24"/>
          <w:szCs w:val="24"/>
        </w:rPr>
        <w:t>June 19, 2013</w:t>
      </w:r>
      <w:bookmarkEnd w:id="0"/>
      <w:bookmarkEnd w:id="1"/>
    </w:p>
    <w:p w:rsidR="002D612A" w:rsidRPr="009D2289" w:rsidRDefault="002D612A" w:rsidP="009D2289">
      <w:pPr>
        <w:spacing w:line="360" w:lineRule="auto"/>
        <w:rPr>
          <w:rFonts w:ascii="Book Antiqua" w:hAnsi="Book Antiqua"/>
          <w:b/>
          <w:sz w:val="24"/>
          <w:szCs w:val="24"/>
        </w:rPr>
      </w:pPr>
      <w:bookmarkStart w:id="2" w:name="_GoBack"/>
      <w:bookmarkEnd w:id="2"/>
      <w:r>
        <w:rPr>
          <w:rFonts w:ascii="Book Antiqua" w:hAnsi="Book Antiqua"/>
          <w:b/>
          <w:sz w:val="24"/>
          <w:szCs w:val="24"/>
        </w:rPr>
        <w:t xml:space="preserve"> </w:t>
      </w:r>
      <w:r w:rsidRPr="009D2289">
        <w:rPr>
          <w:rFonts w:ascii="Book Antiqua" w:hAnsi="Book Antiqua"/>
          <w:b/>
          <w:sz w:val="24"/>
          <w:szCs w:val="24"/>
        </w:rPr>
        <w:tab/>
      </w:r>
      <w:r w:rsidRPr="009D2289">
        <w:rPr>
          <w:rFonts w:ascii="Book Antiqua" w:hAnsi="Book Antiqua"/>
          <w:b/>
          <w:sz w:val="24"/>
          <w:szCs w:val="24"/>
        </w:rPr>
        <w:tab/>
      </w:r>
      <w:r w:rsidRPr="009D2289">
        <w:rPr>
          <w:rFonts w:ascii="Book Antiqua" w:hAnsi="Book Antiqua"/>
          <w:b/>
          <w:sz w:val="24"/>
          <w:szCs w:val="24"/>
        </w:rPr>
        <w:tab/>
      </w:r>
      <w:r w:rsidRPr="009D2289">
        <w:rPr>
          <w:rFonts w:ascii="Book Antiqua" w:hAnsi="Book Antiqua"/>
          <w:b/>
          <w:sz w:val="24"/>
          <w:szCs w:val="24"/>
        </w:rPr>
        <w:tab/>
      </w:r>
      <w:r w:rsidRPr="009D2289">
        <w:rPr>
          <w:rFonts w:ascii="Book Antiqua" w:hAnsi="Book Antiqua"/>
          <w:b/>
          <w:sz w:val="24"/>
          <w:szCs w:val="24"/>
        </w:rPr>
        <w:tab/>
      </w:r>
    </w:p>
    <w:p w:rsidR="002D612A" w:rsidRPr="009D2289" w:rsidRDefault="002D612A" w:rsidP="009D2289">
      <w:pPr>
        <w:spacing w:line="360" w:lineRule="auto"/>
        <w:rPr>
          <w:rFonts w:ascii="Book Antiqua" w:hAnsi="Book Antiqua"/>
          <w:b/>
          <w:sz w:val="24"/>
          <w:szCs w:val="24"/>
        </w:rPr>
      </w:pPr>
      <w:r w:rsidRPr="009D2289">
        <w:rPr>
          <w:rFonts w:ascii="Book Antiqua" w:hAnsi="Book Antiqua"/>
          <w:b/>
          <w:sz w:val="24"/>
          <w:szCs w:val="24"/>
        </w:rPr>
        <w:t xml:space="preserve">Published online: </w:t>
      </w:r>
    </w:p>
    <w:p w:rsidR="002D612A" w:rsidRPr="00B126CB" w:rsidRDefault="002D612A" w:rsidP="00B126CB">
      <w:pPr>
        <w:widowControl/>
        <w:spacing w:line="360" w:lineRule="auto"/>
        <w:rPr>
          <w:rFonts w:ascii="Book Antiqua" w:hAnsi="Book Antiqua"/>
          <w:sz w:val="24"/>
          <w:szCs w:val="24"/>
        </w:rPr>
      </w:pPr>
      <w:r w:rsidRPr="009D2289">
        <w:rPr>
          <w:rFonts w:ascii="Book Antiqua" w:hAnsi="Book Antiqua"/>
          <w:sz w:val="24"/>
          <w:szCs w:val="24"/>
        </w:rPr>
        <w:br w:type="page"/>
      </w:r>
      <w:r w:rsidRPr="009D2289">
        <w:rPr>
          <w:rFonts w:ascii="Book Antiqua" w:hAnsi="Book Antiqua"/>
          <w:b/>
          <w:sz w:val="24"/>
          <w:szCs w:val="24"/>
        </w:rPr>
        <w:lastRenderedPageBreak/>
        <w:t>Abstract</w:t>
      </w: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AIM:</w:t>
      </w:r>
      <w:r w:rsidRPr="009D2289">
        <w:rPr>
          <w:rFonts w:ascii="Book Antiqua" w:hAnsi="Book Antiqua"/>
          <w:sz w:val="24"/>
          <w:szCs w:val="24"/>
        </w:rPr>
        <w:t xml:space="preserve"> To investigate the association between </w:t>
      </w:r>
      <w:r w:rsidRPr="009D2289">
        <w:rPr>
          <w:rFonts w:ascii="Book Antiqua" w:hAnsi="Book Antiqua"/>
          <w:i/>
          <w:sz w:val="24"/>
          <w:szCs w:val="24"/>
        </w:rPr>
        <w:t>Helicobacter pylori</w:t>
      </w:r>
      <w:r w:rsidRPr="009D2289">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 xml:space="preserve">) infection and the prevalence of Crohn’s disease (CD). </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METHODS:</w:t>
      </w:r>
      <w:r>
        <w:rPr>
          <w:rFonts w:ascii="Book Antiqua" w:hAnsi="Book Antiqua"/>
          <w:b/>
          <w:sz w:val="24"/>
          <w:szCs w:val="24"/>
        </w:rPr>
        <w:t xml:space="preserve"> </w:t>
      </w:r>
      <w:r w:rsidRPr="009D2289">
        <w:rPr>
          <w:rFonts w:ascii="Book Antiqua" w:hAnsi="Book Antiqua"/>
          <w:sz w:val="24"/>
          <w:szCs w:val="24"/>
        </w:rPr>
        <w:t>Subjects were selected from patients admitted the gastrointestinal (GI) department at The First Affiliated Hospital School of Medicine (</w:t>
      </w:r>
      <w:smartTag w:uri="urn:schemas-microsoft-com:office:smarttags" w:element="place">
        <w:smartTag w:uri="urn:schemas-microsoft-com:office:smarttags" w:element="PlaceName">
          <w:r w:rsidRPr="009D2289">
            <w:rPr>
              <w:rFonts w:ascii="Book Antiqua" w:hAnsi="Book Antiqua"/>
              <w:sz w:val="24"/>
              <w:szCs w:val="24"/>
            </w:rPr>
            <w:t>Zhejiang</w:t>
          </w:r>
        </w:smartTag>
        <w:r w:rsidRPr="009D2289">
          <w:rPr>
            <w:rFonts w:ascii="Book Antiqua" w:hAnsi="Book Antiqua"/>
            <w:sz w:val="24"/>
            <w:szCs w:val="24"/>
          </w:rPr>
          <w:t xml:space="preserve"> </w:t>
        </w:r>
        <w:smartTag w:uri="urn:schemas-microsoft-com:office:smarttags" w:element="PlaceType">
          <w:r w:rsidRPr="009D2289">
            <w:rPr>
              <w:rFonts w:ascii="Book Antiqua" w:hAnsi="Book Antiqua"/>
              <w:sz w:val="24"/>
              <w:szCs w:val="24"/>
            </w:rPr>
            <w:t>University</w:t>
          </w:r>
        </w:smartTag>
      </w:smartTag>
      <w:r w:rsidRPr="009D2289">
        <w:rPr>
          <w:rFonts w:ascii="Book Antiqua" w:hAnsi="Book Antiqua"/>
          <w:sz w:val="24"/>
          <w:szCs w:val="24"/>
        </w:rPr>
        <w:t xml:space="preserve">) for abdominal pain, hematochezia, diarrhea and other GI symptoms between January 2008 and September 2012. CD was diagnosed by endoscopy and biopsy. </w:t>
      </w:r>
      <w:r w:rsidRPr="009D2289">
        <w:rPr>
          <w:rFonts w:ascii="Book Antiqua" w:hAnsi="Book Antiqua"/>
          <w:i/>
          <w:sz w:val="24"/>
          <w:szCs w:val="24"/>
        </w:rPr>
        <w:t>H. pylori</w:t>
      </w:r>
      <w:r w:rsidRPr="009D2289">
        <w:rPr>
          <w:rFonts w:ascii="Book Antiqua" w:hAnsi="Book Antiqua"/>
          <w:sz w:val="24"/>
          <w:szCs w:val="24"/>
        </w:rPr>
        <w:t xml:space="preserve"> infection was detected by a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vertAlign w:val="superscript"/>
          </w:rPr>
          <w:t>14</w:t>
        </w:r>
        <w:r w:rsidRPr="009D2289">
          <w:rPr>
            <w:rFonts w:ascii="Book Antiqua" w:hAnsi="Book Antiqua"/>
            <w:sz w:val="24"/>
            <w:szCs w:val="24"/>
          </w:rPr>
          <w:t>C</w:t>
        </w:r>
      </w:smartTag>
      <w:r w:rsidRPr="009D2289">
        <w:rPr>
          <w:rFonts w:ascii="Book Antiqua" w:hAnsi="Book Antiqua"/>
          <w:sz w:val="24"/>
          <w:szCs w:val="24"/>
        </w:rPr>
        <w:t xml:space="preserve">-urea breath test and culturing of the biopsy sample. Demographic, anthropometric and serologic data were collected for each patient. </w:t>
      </w:r>
      <w:r w:rsidRPr="009D2289">
        <w:rPr>
          <w:rFonts w:ascii="Book Antiqua" w:hAnsi="Book Antiqua"/>
          <w:i/>
          <w:sz w:val="24"/>
          <w:szCs w:val="24"/>
        </w:rPr>
        <w:t>H. pylori</w:t>
      </w:r>
      <w:r w:rsidRPr="009D2289">
        <w:rPr>
          <w:rFonts w:ascii="Book Antiqua" w:hAnsi="Book Antiqua"/>
          <w:sz w:val="24"/>
          <w:szCs w:val="24"/>
        </w:rPr>
        <w:t xml:space="preserve"> infection rate was compared between CD and control groups, followed by a subgroup analysis based on extent and severity of CD. Student’s </w:t>
      </w:r>
      <w:r w:rsidRPr="009D2289">
        <w:rPr>
          <w:rFonts w:ascii="Book Antiqua" w:hAnsi="Book Antiqua"/>
          <w:i/>
          <w:sz w:val="24"/>
          <w:szCs w:val="24"/>
        </w:rPr>
        <w:t>t</w:t>
      </w:r>
      <w:r w:rsidRPr="009D2289">
        <w:rPr>
          <w:rFonts w:ascii="Book Antiqua" w:hAnsi="Book Antiqua"/>
          <w:sz w:val="24"/>
          <w:szCs w:val="24"/>
        </w:rPr>
        <w:t xml:space="preserve">, Mann-Whiney </w:t>
      </w:r>
      <w:r w:rsidRPr="009D2289">
        <w:rPr>
          <w:rFonts w:ascii="Book Antiqua" w:hAnsi="Book Antiqua"/>
          <w:i/>
          <w:sz w:val="24"/>
          <w:szCs w:val="24"/>
        </w:rPr>
        <w:t>U</w:t>
      </w:r>
      <w:r w:rsidRPr="009D2289">
        <w:rPr>
          <w:rFonts w:ascii="Book Antiqua" w:hAnsi="Book Antiqua"/>
          <w:sz w:val="24"/>
          <w:szCs w:val="24"/>
        </w:rPr>
        <w:t>, and</w:t>
      </w:r>
      <w:r w:rsidRPr="009D2289">
        <w:rPr>
          <w:rFonts w:ascii="Book Antiqua" w:hAnsi="Book Antiqua"/>
          <w:i/>
          <w:sz w:val="24"/>
          <w:szCs w:val="24"/>
        </w:rPr>
        <w:t xml:space="preserve"> χ</w:t>
      </w:r>
      <w:r w:rsidRPr="009D2289">
        <w:rPr>
          <w:rFonts w:ascii="Book Antiqua" w:hAnsi="Book Antiqua"/>
          <w:i/>
          <w:sz w:val="24"/>
          <w:szCs w:val="24"/>
          <w:vertAlign w:val="superscript"/>
        </w:rPr>
        <w:t>2</w:t>
      </w:r>
      <w:r w:rsidRPr="009D2289">
        <w:rPr>
          <w:rFonts w:ascii="Book Antiqua" w:hAnsi="Book Antiqua"/>
          <w:sz w:val="24"/>
          <w:szCs w:val="24"/>
        </w:rPr>
        <w:t xml:space="preserve"> tests were used to analyze the data. </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RESULTS:</w:t>
      </w:r>
      <w:r w:rsidRPr="009D2289">
        <w:rPr>
          <w:rFonts w:ascii="Book Antiqua" w:hAnsi="Book Antiqua"/>
          <w:sz w:val="24"/>
          <w:szCs w:val="24"/>
        </w:rPr>
        <w:t xml:space="preserve"> A total of 447 patients were analyzed, including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rPr>
          <w:t>229 in</w:t>
        </w:r>
      </w:smartTag>
      <w:r w:rsidRPr="009D2289">
        <w:rPr>
          <w:rFonts w:ascii="Book Antiqua" w:hAnsi="Book Antiqua"/>
          <w:sz w:val="24"/>
          <w:szCs w:val="24"/>
        </w:rPr>
        <w:t xml:space="preserve"> the CD group and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rPr>
          <w:t>248 in</w:t>
        </w:r>
      </w:smartTag>
      <w:r w:rsidRPr="009D2289">
        <w:rPr>
          <w:rFonts w:ascii="Book Antiqua" w:hAnsi="Book Antiqua"/>
          <w:sz w:val="24"/>
          <w:szCs w:val="24"/>
        </w:rPr>
        <w:t xml:space="preserve"> the control group. There were no significant differences in age, sex, and rates of hypertension or diabetes. However, the CD group showed significantly higher rates of smoking history (34.9% </w:t>
      </w:r>
      <w:r w:rsidRPr="009D2289">
        <w:rPr>
          <w:rFonts w:ascii="Book Antiqua" w:hAnsi="Book Antiqua"/>
          <w:i/>
          <w:sz w:val="24"/>
          <w:szCs w:val="24"/>
        </w:rPr>
        <w:t xml:space="preserve">vs </w:t>
      </w:r>
      <w:r w:rsidRPr="009D2289">
        <w:rPr>
          <w:rFonts w:ascii="Book Antiqua" w:hAnsi="Book Antiqua"/>
          <w:sz w:val="24"/>
          <w:szCs w:val="24"/>
        </w:rPr>
        <w:t xml:space="preserve">18.1%), alcohol intake (17.4% </w:t>
      </w:r>
      <w:r w:rsidRPr="009D2289">
        <w:rPr>
          <w:rFonts w:ascii="Book Antiqua" w:hAnsi="Book Antiqua"/>
          <w:i/>
          <w:sz w:val="24"/>
          <w:szCs w:val="24"/>
        </w:rPr>
        <w:t>vs</w:t>
      </w:r>
      <w:r w:rsidRPr="009D2289">
        <w:rPr>
          <w:rFonts w:ascii="Book Antiqua" w:hAnsi="Book Antiqua"/>
          <w:sz w:val="24"/>
          <w:szCs w:val="24"/>
        </w:rPr>
        <w:t xml:space="preserve"> 8.1%), white blood cell count (9.7 ± 2.9 </w:t>
      </w:r>
      <w:r w:rsidRPr="009D2289">
        <w:rPr>
          <w:rFonts w:ascii="Book Antiqua" w:hAnsi="Book Antiqua"/>
          <w:i/>
          <w:sz w:val="24"/>
          <w:szCs w:val="24"/>
        </w:rPr>
        <w:t>vs</w:t>
      </w:r>
      <w:r w:rsidRPr="009D2289">
        <w:rPr>
          <w:rFonts w:ascii="Book Antiqua" w:hAnsi="Book Antiqua"/>
          <w:sz w:val="24"/>
          <w:szCs w:val="24"/>
        </w:rPr>
        <w:t xml:space="preserve"> 4.3 ± 0.9), and C-reactive protein (36.3 ± 20.8 </w:t>
      </w:r>
      <w:r w:rsidRPr="009D2289">
        <w:rPr>
          <w:rFonts w:ascii="Book Antiqua" w:hAnsi="Book Antiqua"/>
          <w:i/>
          <w:sz w:val="24"/>
          <w:szCs w:val="24"/>
        </w:rPr>
        <w:t xml:space="preserve">vs </w:t>
      </w:r>
      <w:r w:rsidRPr="009D2289">
        <w:rPr>
          <w:rFonts w:ascii="Book Antiqua" w:hAnsi="Book Antiqua"/>
          <w:sz w:val="24"/>
          <w:szCs w:val="24"/>
        </w:rPr>
        <w:t xml:space="preserve">5.5 ± 2.3) but lower body mass index (24.5 ± 2.0 </w:t>
      </w:r>
      <w:r w:rsidRPr="009D2289">
        <w:rPr>
          <w:rFonts w:ascii="Book Antiqua" w:hAnsi="Book Antiqua"/>
          <w:i/>
          <w:sz w:val="24"/>
          <w:szCs w:val="24"/>
        </w:rPr>
        <w:t>vs</w:t>
      </w:r>
      <w:r w:rsidRPr="009D2289">
        <w:rPr>
          <w:rFonts w:ascii="Book Antiqua" w:hAnsi="Book Antiqua"/>
          <w:sz w:val="24"/>
          <w:szCs w:val="24"/>
        </w:rPr>
        <w:t xml:space="preserve"> 26.0 ± 2.2) than the control group. The </w:t>
      </w:r>
      <w:r w:rsidRPr="009D2289">
        <w:rPr>
          <w:rFonts w:ascii="Book Antiqua" w:hAnsi="Book Antiqua"/>
          <w:i/>
          <w:sz w:val="24"/>
          <w:szCs w:val="24"/>
        </w:rPr>
        <w:t xml:space="preserve">H. pylori </w:t>
      </w:r>
      <w:r w:rsidRPr="009D2289">
        <w:rPr>
          <w:rFonts w:ascii="Book Antiqua" w:hAnsi="Book Antiqua"/>
          <w:sz w:val="24"/>
          <w:szCs w:val="24"/>
        </w:rPr>
        <w:t xml:space="preserve">infection rate in the CD group was 27.1%, significantly lower than that of 47.9% in the control group. Furthermore, the </w:t>
      </w:r>
      <w:r w:rsidRPr="009D2289">
        <w:rPr>
          <w:rFonts w:ascii="Book Antiqua" w:hAnsi="Book Antiqua"/>
          <w:i/>
          <w:sz w:val="24"/>
          <w:szCs w:val="24"/>
        </w:rPr>
        <w:t>H. pylori</w:t>
      </w:r>
      <w:r w:rsidRPr="009D2289">
        <w:rPr>
          <w:rFonts w:ascii="Book Antiqua" w:hAnsi="Book Antiqua"/>
          <w:sz w:val="24"/>
          <w:szCs w:val="24"/>
        </w:rPr>
        <w:t xml:space="preserve"> infection rates in patients with colonic, small intestine, ileocolonic and extensive CD were 31.1%, 28.9%, 26.8% and 25.9% respectively, all of which were significantly lower than in the control group. Finally, the </w:t>
      </w:r>
      <w:r w:rsidRPr="009D2289">
        <w:rPr>
          <w:rFonts w:ascii="Book Antiqua" w:hAnsi="Book Antiqua"/>
          <w:i/>
          <w:sz w:val="24"/>
          <w:szCs w:val="24"/>
        </w:rPr>
        <w:t>H. pylori</w:t>
      </w:r>
      <w:r w:rsidRPr="009D2289">
        <w:rPr>
          <w:rFonts w:ascii="Book Antiqua" w:hAnsi="Book Antiqua"/>
          <w:sz w:val="24"/>
          <w:szCs w:val="24"/>
        </w:rPr>
        <w:t xml:space="preserve"> infection rates in patients with remission, moderate and severe CD were 34.3%, 30.7% and 22.0% respectively, which were also significantly lower than in the control group. </w:t>
      </w:r>
    </w:p>
    <w:p w:rsidR="002D612A" w:rsidRPr="009D2289" w:rsidRDefault="002D612A" w:rsidP="009D2289">
      <w:pPr>
        <w:pStyle w:val="ab"/>
        <w:spacing w:before="0" w:beforeAutospacing="0" w:after="0" w:afterAutospacing="0" w:line="360" w:lineRule="auto"/>
        <w:jc w:val="both"/>
        <w:rPr>
          <w:rStyle w:val="3Char"/>
          <w:rFonts w:ascii="Book Antiqua" w:hAnsi="Book Antiqua"/>
          <w:b w:val="0"/>
          <w:sz w:val="24"/>
          <w:szCs w:val="24"/>
        </w:rPr>
      </w:pPr>
      <w:r w:rsidRPr="009D2289">
        <w:rPr>
          <w:rFonts w:ascii="Book Antiqua" w:hAnsi="Book Antiqua"/>
          <w:b/>
        </w:rPr>
        <w:lastRenderedPageBreak/>
        <w:t>CONCLUSION:</w:t>
      </w:r>
      <w:r w:rsidRPr="009D2289">
        <w:rPr>
          <w:rFonts w:ascii="Book Antiqua" w:hAnsi="Book Antiqua"/>
        </w:rPr>
        <w:t xml:space="preserve"> Lower </w:t>
      </w:r>
      <w:r w:rsidRPr="009D2289">
        <w:rPr>
          <w:rFonts w:ascii="Book Antiqua" w:hAnsi="Book Antiqua"/>
          <w:i/>
        </w:rPr>
        <w:t>H. pylori</w:t>
      </w:r>
      <w:r w:rsidRPr="009D2289">
        <w:rPr>
          <w:rFonts w:ascii="Book Antiqua" w:hAnsi="Book Antiqua"/>
        </w:rPr>
        <w:t xml:space="preserve"> infection in CD patients suggests a correlation between bacterial infection and CD, suggesting caution when considering </w:t>
      </w:r>
      <w:r w:rsidRPr="009D2289">
        <w:rPr>
          <w:rFonts w:ascii="Book Antiqua" w:hAnsi="Book Antiqua"/>
          <w:i/>
        </w:rPr>
        <w:t>H. pylori</w:t>
      </w:r>
      <w:r w:rsidRPr="009D2289">
        <w:rPr>
          <w:rFonts w:ascii="Book Antiqua" w:hAnsi="Book Antiqua"/>
        </w:rPr>
        <w:t xml:space="preserve"> eradication in CD patients.</w:t>
      </w:r>
      <w:r w:rsidRPr="009D2289">
        <w:rPr>
          <w:rStyle w:val="3Char"/>
          <w:rFonts w:ascii="Book Antiqua" w:hAnsi="Book Antiqua"/>
          <w:b w:val="0"/>
          <w:sz w:val="24"/>
          <w:szCs w:val="24"/>
        </w:rPr>
        <w:t xml:space="preserve"> </w:t>
      </w:r>
      <w:r w:rsidRPr="009D2289">
        <w:rPr>
          <w:rStyle w:val="3Char"/>
          <w:rFonts w:ascii="Book Antiqua" w:hAnsi="Book Antiqua"/>
          <w:b w:val="0"/>
          <w:sz w:val="24"/>
          <w:szCs w:val="24"/>
        </w:rPr>
        <w:br/>
      </w:r>
    </w:p>
    <w:p w:rsidR="002D612A" w:rsidRPr="009D2289" w:rsidRDefault="002D612A" w:rsidP="009D2289">
      <w:pPr>
        <w:pStyle w:val="ab"/>
        <w:spacing w:before="0" w:beforeAutospacing="0" w:after="0" w:afterAutospacing="0" w:line="360" w:lineRule="auto"/>
        <w:jc w:val="both"/>
        <w:rPr>
          <w:rStyle w:val="3Char"/>
          <w:rFonts w:ascii="Book Antiqua" w:hAnsi="Book Antiqua"/>
          <w:b w:val="0"/>
          <w:sz w:val="24"/>
          <w:szCs w:val="24"/>
        </w:rPr>
      </w:pPr>
      <w:r w:rsidRPr="009D2289">
        <w:rPr>
          <w:rStyle w:val="3Char"/>
          <w:rFonts w:ascii="Book Antiqua" w:hAnsi="Book Antiqua"/>
          <w:b w:val="0"/>
          <w:sz w:val="24"/>
          <w:szCs w:val="24"/>
        </w:rPr>
        <w:sym w:font="Symbol" w:char="F0D3"/>
      </w:r>
      <w:r w:rsidRPr="009D2289">
        <w:rPr>
          <w:rStyle w:val="3Char"/>
          <w:rFonts w:ascii="Book Antiqua" w:hAnsi="Book Antiqua"/>
          <w:b w:val="0"/>
          <w:sz w:val="24"/>
          <w:szCs w:val="24"/>
        </w:rPr>
        <w:t xml:space="preserve"> 2013 Baishideng. All rights reserved.</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 xml:space="preserve">Key words: </w:t>
      </w:r>
      <w:r w:rsidRPr="009D2289">
        <w:rPr>
          <w:rFonts w:ascii="Book Antiqua" w:hAnsi="Book Antiqua"/>
          <w:sz w:val="24"/>
          <w:szCs w:val="24"/>
        </w:rPr>
        <w:t xml:space="preserve">Crohn’s disease; </w:t>
      </w:r>
      <w:r w:rsidRPr="009D2289">
        <w:rPr>
          <w:rFonts w:ascii="Book Antiqua" w:hAnsi="Book Antiqua"/>
          <w:i/>
          <w:sz w:val="24"/>
          <w:szCs w:val="24"/>
        </w:rPr>
        <w:t>Helicobacter pylori</w:t>
      </w:r>
      <w:r w:rsidRPr="009D2289">
        <w:rPr>
          <w:rFonts w:ascii="Book Antiqua" w:hAnsi="Book Antiqua"/>
          <w:sz w:val="24"/>
          <w:szCs w:val="24"/>
        </w:rPr>
        <w:t>; Urea breath test; Biopsy; Pathogenesis; Inflammatory bowel disease; Bacteria</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Core tip:</w:t>
      </w:r>
      <w:r w:rsidRPr="009D2289">
        <w:rPr>
          <w:rFonts w:ascii="Book Antiqua" w:hAnsi="Book Antiqua"/>
          <w:sz w:val="24"/>
          <w:szCs w:val="24"/>
        </w:rPr>
        <w:t xml:space="preserve"> The association between </w:t>
      </w:r>
      <w:r w:rsidRPr="009D2289">
        <w:rPr>
          <w:rFonts w:ascii="Book Antiqua" w:hAnsi="Book Antiqua"/>
          <w:i/>
          <w:sz w:val="24"/>
          <w:szCs w:val="24"/>
        </w:rPr>
        <w:t>Helicobacter pylori</w:t>
      </w:r>
      <w:r w:rsidRPr="009D2289">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 xml:space="preserve">) infection and Crohn’s disease (CD) prevalence is still unclear. In this retrospective study, we collected 229 CD patients and 248 control subjects to investigate the risk factors for prevalence, extent and severity of CD. Through extensive analysis, we found significantly lower </w:t>
      </w:r>
      <w:r w:rsidRPr="009D2289">
        <w:rPr>
          <w:rFonts w:ascii="Book Antiqua" w:hAnsi="Book Antiqua"/>
          <w:i/>
          <w:sz w:val="24"/>
          <w:szCs w:val="24"/>
        </w:rPr>
        <w:t>H. pylori</w:t>
      </w:r>
      <w:r w:rsidRPr="009D2289">
        <w:rPr>
          <w:rFonts w:ascii="Book Antiqua" w:hAnsi="Book Antiqua"/>
          <w:sz w:val="24"/>
          <w:szCs w:val="24"/>
        </w:rPr>
        <w:t xml:space="preserve"> infection rates in CD patients having different disease extent and severity, providing evidence for bacteria involvement in CD pathogenesis and serving as a reminder for clinicians to remain cautious when considering </w:t>
      </w:r>
      <w:r w:rsidRPr="009D2289">
        <w:rPr>
          <w:rFonts w:ascii="Book Antiqua" w:hAnsi="Book Antiqua"/>
          <w:i/>
          <w:sz w:val="24"/>
          <w:szCs w:val="24"/>
        </w:rPr>
        <w:t xml:space="preserve">H. pylori </w:t>
      </w:r>
      <w:r w:rsidRPr="009D2289">
        <w:rPr>
          <w:rFonts w:ascii="Book Antiqua" w:hAnsi="Book Antiqua"/>
          <w:sz w:val="24"/>
          <w:szCs w:val="24"/>
        </w:rPr>
        <w:t>eradication in CD patients.</w:t>
      </w:r>
    </w:p>
    <w:p w:rsidR="002D612A" w:rsidRPr="009D2289" w:rsidRDefault="002D612A" w:rsidP="009D2289">
      <w:pPr>
        <w:widowControl/>
        <w:spacing w:line="360" w:lineRule="auto"/>
        <w:rPr>
          <w:rFonts w:ascii="Book Antiqua" w:eastAsia="Gulim" w:hAnsi="Book Antiqua" w:cs="Arial"/>
          <w:b/>
          <w:sz w:val="24"/>
          <w:szCs w:val="24"/>
        </w:rPr>
      </w:pPr>
    </w:p>
    <w:p w:rsidR="002D612A" w:rsidRPr="009D2289" w:rsidRDefault="002D612A" w:rsidP="009D2289">
      <w:pPr>
        <w:spacing w:line="360" w:lineRule="auto"/>
        <w:rPr>
          <w:rFonts w:ascii="Book Antiqua" w:hAnsi="Book Antiqua"/>
          <w:b/>
          <w:sz w:val="24"/>
          <w:szCs w:val="24"/>
        </w:rPr>
      </w:pPr>
      <w:r w:rsidRPr="009D2289">
        <w:rPr>
          <w:rFonts w:ascii="Book Antiqua" w:hAnsi="Book Antiqua"/>
          <w:sz w:val="24"/>
          <w:szCs w:val="24"/>
        </w:rPr>
        <w:t>Xiang Z, Chen YP, Ye YF, Ma KF, Chen SH, Zheng L, Yang YD, Jin X.</w:t>
      </w:r>
      <w:r w:rsidRPr="009D2289">
        <w:rPr>
          <w:rFonts w:ascii="Book Antiqua" w:hAnsi="Book Antiqua"/>
          <w:b/>
          <w:i/>
          <w:sz w:val="24"/>
          <w:szCs w:val="24"/>
        </w:rPr>
        <w:t xml:space="preserve"> </w:t>
      </w:r>
      <w:r w:rsidRPr="009D2289">
        <w:rPr>
          <w:rFonts w:ascii="Book Antiqua" w:hAnsi="Book Antiqua"/>
          <w:i/>
          <w:sz w:val="24"/>
          <w:szCs w:val="24"/>
        </w:rPr>
        <w:t>Helicobacter pylori</w:t>
      </w:r>
      <w:r w:rsidRPr="009D2289">
        <w:rPr>
          <w:rFonts w:ascii="Book Antiqua" w:hAnsi="Book Antiqua"/>
          <w:sz w:val="24"/>
          <w:szCs w:val="24"/>
        </w:rPr>
        <w:t xml:space="preserve"> and Crohn’s disease: A retrospective single-center study from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rPr>
          <w:t>China</w:t>
        </w:r>
      </w:smartTag>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Available from:</w:t>
      </w:r>
      <w:r w:rsidRPr="009D2289">
        <w:rPr>
          <w:rFonts w:ascii="Book Antiqua" w:hAnsi="Book Antiqua"/>
          <w:sz w:val="24"/>
          <w:szCs w:val="24"/>
        </w:rPr>
        <w:t xml:space="preserve"> </w:t>
      </w:r>
    </w:p>
    <w:p w:rsidR="002D612A" w:rsidRPr="009D2289" w:rsidRDefault="002D612A" w:rsidP="009D2289">
      <w:pPr>
        <w:spacing w:line="360" w:lineRule="auto"/>
        <w:rPr>
          <w:rFonts w:ascii="Book Antiqua" w:hAnsi="Book Antiqua"/>
          <w:sz w:val="24"/>
          <w:szCs w:val="24"/>
        </w:rPr>
      </w:pPr>
      <w:r w:rsidRPr="009D2289">
        <w:rPr>
          <w:rFonts w:ascii="Book Antiqua" w:hAnsi="Book Antiqua"/>
          <w:b/>
          <w:sz w:val="24"/>
          <w:szCs w:val="24"/>
        </w:rPr>
        <w:t>DOI:</w:t>
      </w:r>
    </w:p>
    <w:p w:rsidR="002D612A" w:rsidRPr="009D2289" w:rsidRDefault="002D612A" w:rsidP="000E2302">
      <w:pPr>
        <w:widowControl/>
        <w:spacing w:line="360" w:lineRule="auto"/>
        <w:rPr>
          <w:rFonts w:ascii="Book Antiqua" w:eastAsia="Gulim" w:hAnsi="Book Antiqua" w:cs="Arial"/>
          <w:b/>
          <w:sz w:val="24"/>
          <w:szCs w:val="24"/>
        </w:rPr>
      </w:pPr>
      <w:r w:rsidRPr="009D2289">
        <w:rPr>
          <w:rFonts w:ascii="Book Antiqua" w:eastAsia="Gulim" w:hAnsi="Book Antiqua" w:cs="Arial"/>
          <w:b/>
          <w:sz w:val="24"/>
          <w:szCs w:val="24"/>
        </w:rPr>
        <w:br w:type="page"/>
      </w:r>
      <w:r w:rsidRPr="009D2289">
        <w:rPr>
          <w:rFonts w:ascii="Book Antiqua" w:eastAsia="Gulim" w:hAnsi="Book Antiqua" w:cs="Arial"/>
          <w:b/>
          <w:sz w:val="24"/>
          <w:szCs w:val="24"/>
        </w:rPr>
        <w:lastRenderedPageBreak/>
        <w:t>INTRODUCTION</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Crohn’s disease (CD) is a chronic and relapsing inflammatory disease affecting any part of the intestine, most commonly involving the distal ileal, ileocecal and colonic sections</w:t>
      </w:r>
      <w:r w:rsidRPr="009D2289">
        <w:rPr>
          <w:rFonts w:ascii="Book Antiqua" w:hAnsi="Book Antiqua"/>
          <w:sz w:val="24"/>
          <w:szCs w:val="24"/>
          <w:vertAlign w:val="superscript"/>
        </w:rPr>
        <w:t>[1]</w:t>
      </w:r>
      <w:r w:rsidRPr="009D2289">
        <w:rPr>
          <w:rFonts w:ascii="Book Antiqua" w:hAnsi="Book Antiqua"/>
          <w:sz w:val="24"/>
          <w:szCs w:val="24"/>
        </w:rPr>
        <w:t xml:space="preserve">. CD is more common in northern Europe and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rPr>
          <w:t>America</w:t>
        </w:r>
      </w:smartTag>
      <w:r w:rsidRPr="009D2289">
        <w:rPr>
          <w:rFonts w:ascii="Book Antiqua" w:hAnsi="Book Antiqua"/>
          <w:sz w:val="24"/>
          <w:szCs w:val="24"/>
        </w:rPr>
        <w:t xml:space="preserve"> than in southern </w:t>
      </w:r>
      <w:smartTag w:uri="urn:schemas-microsoft-com:office:smarttags" w:element="chmetcnv">
        <w:smartTagPr>
          <w:attr w:name="UnitName" w:val="C"/>
          <w:attr w:name="SourceValue" w:val="13"/>
          <w:attr w:name="HasSpace" w:val="False"/>
          <w:attr w:name="Negative" w:val="False"/>
          <w:attr w:name="NumberType" w:val="1"/>
          <w:attr w:name="TCSC" w:val="0"/>
        </w:smartTagPr>
        <w:r w:rsidRPr="009D2289">
          <w:rPr>
            <w:rFonts w:ascii="Book Antiqua" w:hAnsi="Book Antiqua"/>
            <w:sz w:val="24"/>
            <w:szCs w:val="24"/>
          </w:rPr>
          <w:t>Europe</w:t>
        </w:r>
      </w:smartTag>
      <w:r w:rsidRPr="009D2289">
        <w:rPr>
          <w:rFonts w:ascii="Book Antiqua" w:hAnsi="Book Antiqua"/>
          <w:sz w:val="24"/>
          <w:szCs w:val="24"/>
        </w:rPr>
        <w:t xml:space="preserve"> and developing countries, and its prevalence has increased since the mid-1970s</w:t>
      </w:r>
      <w:r w:rsidRPr="009D2289">
        <w:rPr>
          <w:rFonts w:ascii="Book Antiqua" w:hAnsi="Book Antiqua"/>
          <w:noProof/>
          <w:sz w:val="24"/>
          <w:szCs w:val="24"/>
          <w:vertAlign w:val="superscript"/>
        </w:rPr>
        <w:t>[2,3]</w:t>
      </w:r>
      <w:r w:rsidRPr="009D2289">
        <w:rPr>
          <w:rFonts w:ascii="Book Antiqua" w:hAnsi="Book Antiqua"/>
          <w:sz w:val="24"/>
          <w:szCs w:val="24"/>
        </w:rPr>
        <w:t>. The pathogenesis of CD is unclear and increasing evidence supports the hypothesis of combinational involvement of genetic predisposition, immune response, and the environment, especially the gut bacteria and antigens</w:t>
      </w:r>
      <w:r w:rsidRPr="009D2289">
        <w:rPr>
          <w:rFonts w:ascii="Book Antiqua" w:hAnsi="Book Antiqua"/>
          <w:noProof/>
          <w:sz w:val="24"/>
          <w:szCs w:val="24"/>
          <w:vertAlign w:val="superscript"/>
        </w:rPr>
        <w:t>[4]</w:t>
      </w:r>
      <w:r w:rsidRPr="009D2289">
        <w:rPr>
          <w:rFonts w:ascii="Book Antiqua" w:hAnsi="Book Antiqua"/>
          <w:sz w:val="24"/>
          <w:szCs w:val="24"/>
        </w:rPr>
        <w:t>. Though several pathogens have been considered as infectious agents in CD, conclusive data is still lacking</w:t>
      </w:r>
      <w:r w:rsidRPr="009D2289">
        <w:rPr>
          <w:rFonts w:ascii="Book Antiqua" w:hAnsi="Book Antiqua"/>
          <w:noProof/>
          <w:sz w:val="24"/>
          <w:szCs w:val="24"/>
          <w:vertAlign w:val="superscript"/>
        </w:rPr>
        <w:t>[5]</w:t>
      </w:r>
      <w:r w:rsidRPr="009D2289">
        <w:rPr>
          <w:rFonts w:ascii="Book Antiqua" w:hAnsi="Book Antiqua"/>
          <w:sz w:val="24"/>
          <w:szCs w:val="24"/>
        </w:rPr>
        <w:t>. Therefore, identifying the correlation between a potential bacteria and CD pathogenesis is of clinical importance.</w:t>
      </w:r>
    </w:p>
    <w:p w:rsidR="002D612A" w:rsidRPr="009D2289" w:rsidRDefault="002D612A" w:rsidP="009D2289">
      <w:pPr>
        <w:spacing w:line="360" w:lineRule="auto"/>
        <w:ind w:firstLine="360"/>
        <w:rPr>
          <w:rFonts w:ascii="Book Antiqua" w:hAnsi="Book Antiqua"/>
          <w:sz w:val="24"/>
          <w:szCs w:val="24"/>
        </w:rPr>
      </w:pPr>
      <w:r w:rsidRPr="009D2289">
        <w:rPr>
          <w:rFonts w:ascii="Book Antiqua" w:hAnsi="Book Antiqua"/>
          <w:i/>
          <w:sz w:val="24"/>
          <w:szCs w:val="24"/>
        </w:rPr>
        <w:t>Helicobacter pylori</w:t>
      </w:r>
      <w:r w:rsidRPr="009D2289">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 belongs to the family of curved or spiral flagellated, Gram-negative microaerophilic bacterium that is thought to have co-existed with humans for over 5000 years</w:t>
      </w:r>
      <w:r w:rsidRPr="009D2289">
        <w:rPr>
          <w:rFonts w:ascii="Book Antiqua" w:hAnsi="Book Antiqua"/>
          <w:noProof/>
          <w:sz w:val="24"/>
          <w:szCs w:val="24"/>
          <w:vertAlign w:val="superscript"/>
        </w:rPr>
        <w:t>[6,7]</w:t>
      </w:r>
      <w:r w:rsidRPr="009D2289">
        <w:rPr>
          <w:rFonts w:ascii="Book Antiqua" w:hAnsi="Book Antiqua"/>
          <w:sz w:val="24"/>
          <w:szCs w:val="24"/>
        </w:rPr>
        <w:t>. Since its discovery in 1984</w:t>
      </w:r>
      <w:r w:rsidRPr="009D2289">
        <w:rPr>
          <w:rFonts w:ascii="Book Antiqua" w:hAnsi="Book Antiqua"/>
          <w:noProof/>
          <w:sz w:val="24"/>
          <w:szCs w:val="24"/>
          <w:vertAlign w:val="superscript"/>
        </w:rPr>
        <w:t>[8]</w:t>
      </w:r>
      <w:r w:rsidRPr="009D2289">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 xml:space="preserve"> has been characterized as the causative agent for peptic ulceration and has been implicated in various autoimmune diseases</w:t>
      </w:r>
      <w:r w:rsidRPr="009D2289">
        <w:rPr>
          <w:rFonts w:ascii="Book Antiqua" w:hAnsi="Book Antiqua"/>
          <w:noProof/>
          <w:sz w:val="24"/>
          <w:szCs w:val="24"/>
          <w:vertAlign w:val="superscript"/>
        </w:rPr>
        <w:t>[9]</w:t>
      </w:r>
      <w:r w:rsidRPr="009D2289">
        <w:rPr>
          <w:rFonts w:ascii="Book Antiqua" w:hAnsi="Book Antiqua"/>
          <w:sz w:val="24"/>
          <w:szCs w:val="24"/>
        </w:rPr>
        <w:t xml:space="preserve">. </w:t>
      </w:r>
      <w:r w:rsidRPr="009D2289">
        <w:rPr>
          <w:rFonts w:ascii="Book Antiqua" w:hAnsi="Book Antiqua"/>
          <w:i/>
          <w:sz w:val="24"/>
          <w:szCs w:val="24"/>
        </w:rPr>
        <w:t>Helicobacter</w:t>
      </w:r>
      <w:r w:rsidRPr="009D2289">
        <w:rPr>
          <w:rFonts w:ascii="Book Antiqua" w:hAnsi="Book Antiqua"/>
          <w:sz w:val="24"/>
          <w:szCs w:val="24"/>
        </w:rPr>
        <w:t xml:space="preserve"> are also excellent colonizers of the gastrointestinal surface for their microaerophilic metabolism, spiral shape, and peculiar motility. Considering the immune regulation, the capacity for colonization, and the nature of autoimmune-related damage in CD, it is theoretically plausible that </w:t>
      </w:r>
      <w:r w:rsidRPr="009D2289">
        <w:rPr>
          <w:rFonts w:ascii="Book Antiqua" w:hAnsi="Book Antiqua"/>
          <w:i/>
          <w:sz w:val="24"/>
          <w:szCs w:val="24"/>
        </w:rPr>
        <w:t>H. pylori</w:t>
      </w:r>
      <w:r w:rsidRPr="009D2289">
        <w:rPr>
          <w:rFonts w:ascii="Book Antiqua" w:hAnsi="Book Antiqua"/>
          <w:sz w:val="24"/>
          <w:szCs w:val="24"/>
        </w:rPr>
        <w:t xml:space="preserve"> infection may take part in the pathogenesis of CD.</w:t>
      </w:r>
    </w:p>
    <w:p w:rsidR="002D612A" w:rsidRPr="009D2289" w:rsidRDefault="002D612A" w:rsidP="009D2289">
      <w:pPr>
        <w:spacing w:line="360" w:lineRule="auto"/>
        <w:ind w:firstLineChars="150" w:firstLine="360"/>
        <w:rPr>
          <w:rFonts w:ascii="Book Antiqua" w:hAnsi="Book Antiqua"/>
          <w:sz w:val="24"/>
          <w:szCs w:val="24"/>
        </w:rPr>
      </w:pPr>
      <w:r w:rsidRPr="009D2289">
        <w:rPr>
          <w:rFonts w:ascii="Book Antiqua" w:hAnsi="Book Antiqua"/>
          <w:sz w:val="24"/>
          <w:szCs w:val="24"/>
        </w:rPr>
        <w:t xml:space="preserve">In immunodeficient rodents, </w:t>
      </w:r>
      <w:r w:rsidRPr="009D2289">
        <w:rPr>
          <w:rFonts w:ascii="Book Antiqua" w:hAnsi="Book Antiqua"/>
          <w:i/>
          <w:sz w:val="24"/>
          <w:szCs w:val="24"/>
        </w:rPr>
        <w:t>Helicobacter hepaticus</w:t>
      </w:r>
      <w:r w:rsidRPr="009D2289">
        <w:rPr>
          <w:rFonts w:ascii="Book Antiqua" w:hAnsi="Book Antiqua"/>
          <w:sz w:val="24"/>
          <w:szCs w:val="24"/>
        </w:rPr>
        <w:t xml:space="preserve"> and </w:t>
      </w:r>
      <w:r w:rsidRPr="009D2289">
        <w:rPr>
          <w:rFonts w:ascii="Book Antiqua" w:hAnsi="Book Antiqua"/>
          <w:i/>
          <w:sz w:val="24"/>
          <w:szCs w:val="24"/>
        </w:rPr>
        <w:t>Helicobacter bilis</w:t>
      </w:r>
      <w:r w:rsidRPr="009D2289">
        <w:rPr>
          <w:rFonts w:ascii="Book Antiqua" w:hAnsi="Book Antiqua"/>
          <w:sz w:val="24"/>
          <w:szCs w:val="24"/>
        </w:rPr>
        <w:t xml:space="preserve"> induce a persistent inflammation of the colon and cecum</w:t>
      </w:r>
      <w:r w:rsidRPr="009D2289">
        <w:rPr>
          <w:rFonts w:ascii="Book Antiqua" w:hAnsi="Book Antiqua"/>
          <w:noProof/>
          <w:sz w:val="24"/>
          <w:szCs w:val="24"/>
          <w:vertAlign w:val="superscript"/>
        </w:rPr>
        <w:t>[10,11]</w:t>
      </w:r>
      <w:r w:rsidRPr="009D2289">
        <w:rPr>
          <w:rFonts w:ascii="Book Antiqua" w:hAnsi="Book Antiqua"/>
          <w:sz w:val="24"/>
          <w:szCs w:val="24"/>
        </w:rPr>
        <w:t xml:space="preserve">. Nevertheless, the observations from human studies were confusing. </w:t>
      </w:r>
      <w:r w:rsidRPr="009D2289">
        <w:rPr>
          <w:rFonts w:ascii="Book Antiqua" w:hAnsi="Book Antiqua"/>
          <w:i/>
          <w:sz w:val="24"/>
          <w:szCs w:val="24"/>
        </w:rPr>
        <w:t>Helicobacter</w:t>
      </w:r>
      <w:r w:rsidRPr="009D2289">
        <w:rPr>
          <w:rFonts w:ascii="Book Antiqua" w:hAnsi="Book Antiqua"/>
          <w:sz w:val="24"/>
          <w:szCs w:val="24"/>
        </w:rPr>
        <w:t xml:space="preserve"> was absent or only detected in the intestinal mucosa of a small subgroup of patients in both an English and an Australian study</w:t>
      </w:r>
      <w:r w:rsidRPr="009D2289">
        <w:rPr>
          <w:rFonts w:ascii="Book Antiqua" w:hAnsi="Book Antiqua"/>
          <w:noProof/>
          <w:sz w:val="24"/>
          <w:szCs w:val="24"/>
          <w:vertAlign w:val="superscript"/>
        </w:rPr>
        <w:t>[12,13]</w:t>
      </w:r>
      <w:r w:rsidRPr="009D2289">
        <w:rPr>
          <w:rFonts w:ascii="Book Antiqua" w:hAnsi="Book Antiqua"/>
          <w:sz w:val="24"/>
          <w:szCs w:val="24"/>
        </w:rPr>
        <w:t xml:space="preserve">. In contrast, Bohr </w:t>
      </w:r>
      <w:r w:rsidRPr="009D2289">
        <w:rPr>
          <w:rFonts w:ascii="Book Antiqua" w:hAnsi="Book Antiqua"/>
          <w:i/>
          <w:sz w:val="24"/>
          <w:szCs w:val="24"/>
        </w:rPr>
        <w:t>et al</w:t>
      </w:r>
      <w:r w:rsidRPr="009D2289">
        <w:rPr>
          <w:rFonts w:ascii="Book Antiqua" w:hAnsi="Book Antiqua"/>
          <w:noProof/>
          <w:sz w:val="24"/>
          <w:szCs w:val="24"/>
          <w:vertAlign w:val="superscript"/>
        </w:rPr>
        <w:t>[14]</w:t>
      </w:r>
      <w:r w:rsidRPr="009D2289">
        <w:rPr>
          <w:rFonts w:ascii="Book Antiqua" w:hAnsi="Book Antiqua"/>
          <w:sz w:val="24"/>
          <w:szCs w:val="24"/>
        </w:rPr>
        <w:t xml:space="preserve"> identified enterohepatic </w:t>
      </w:r>
      <w:r w:rsidRPr="009D2289">
        <w:rPr>
          <w:rFonts w:ascii="Book Antiqua" w:hAnsi="Book Antiqua"/>
          <w:i/>
          <w:sz w:val="24"/>
          <w:szCs w:val="24"/>
        </w:rPr>
        <w:t>Helicobacter</w:t>
      </w:r>
      <w:r w:rsidRPr="009D2289">
        <w:rPr>
          <w:rFonts w:ascii="Book Antiqua" w:hAnsi="Book Antiqua"/>
          <w:sz w:val="24"/>
          <w:szCs w:val="24"/>
        </w:rPr>
        <w:t xml:space="preserve"> species in patients with inflammatory bowel disease (IBD)</w:t>
      </w:r>
      <w:r w:rsidRPr="009D2289">
        <w:rPr>
          <w:rFonts w:ascii="Book Antiqua" w:hAnsi="Book Antiqua"/>
          <w:noProof/>
          <w:sz w:val="24"/>
          <w:szCs w:val="24"/>
        </w:rPr>
        <w:t>.</w:t>
      </w:r>
      <w:r>
        <w:rPr>
          <w:rFonts w:ascii="Book Antiqua" w:hAnsi="Book Antiqua"/>
          <w:sz w:val="24"/>
          <w:szCs w:val="24"/>
        </w:rPr>
        <w:t xml:space="preserve"> </w:t>
      </w:r>
      <w:r w:rsidRPr="009D2289">
        <w:rPr>
          <w:rFonts w:ascii="Book Antiqua" w:hAnsi="Book Antiqua"/>
          <w:sz w:val="24"/>
          <w:szCs w:val="24"/>
        </w:rPr>
        <w:t xml:space="preserve">Furthermore, a meta-analysis suggested a protective role of </w:t>
      </w:r>
      <w:r w:rsidRPr="009D2289">
        <w:rPr>
          <w:rFonts w:ascii="Book Antiqua" w:hAnsi="Book Antiqua"/>
          <w:i/>
          <w:sz w:val="24"/>
          <w:szCs w:val="24"/>
        </w:rPr>
        <w:t>H. pylori</w:t>
      </w:r>
      <w:r w:rsidRPr="009D2289">
        <w:rPr>
          <w:rFonts w:ascii="Book Antiqua" w:hAnsi="Book Antiqua"/>
          <w:sz w:val="24"/>
          <w:szCs w:val="24"/>
        </w:rPr>
        <w:t xml:space="preserve"> infection in CD pathogenesis but the heterogeneity among </w:t>
      </w:r>
      <w:r w:rsidRPr="009D2289">
        <w:rPr>
          <w:rFonts w:ascii="Book Antiqua" w:hAnsi="Book Antiqua"/>
          <w:sz w:val="24"/>
          <w:szCs w:val="24"/>
        </w:rPr>
        <w:lastRenderedPageBreak/>
        <w:t>enrolled studies and the possibilities of publication bias limited the confidence of these results</w:t>
      </w:r>
      <w:r w:rsidRPr="009D2289">
        <w:rPr>
          <w:rFonts w:ascii="Book Antiqua" w:hAnsi="Book Antiqua"/>
          <w:noProof/>
          <w:sz w:val="24"/>
          <w:szCs w:val="24"/>
          <w:vertAlign w:val="superscript"/>
        </w:rPr>
        <w:t>[15]</w:t>
      </w:r>
      <w:r w:rsidRPr="009D2289">
        <w:rPr>
          <w:rFonts w:ascii="Book Antiqua" w:hAnsi="Book Antiqua"/>
          <w:sz w:val="24"/>
          <w:szCs w:val="24"/>
        </w:rPr>
        <w:t xml:space="preserve">. Therefore, we conducted a large-scale case control study to investigate the association between </w:t>
      </w:r>
      <w:r w:rsidRPr="009D2289">
        <w:rPr>
          <w:rFonts w:ascii="Book Antiqua" w:hAnsi="Book Antiqua"/>
          <w:i/>
          <w:sz w:val="24"/>
          <w:szCs w:val="24"/>
        </w:rPr>
        <w:t>H. pylori</w:t>
      </w:r>
      <w:r w:rsidRPr="009D2289">
        <w:rPr>
          <w:rFonts w:ascii="Book Antiqua" w:hAnsi="Book Antiqua"/>
          <w:sz w:val="24"/>
          <w:szCs w:val="24"/>
        </w:rPr>
        <w:t xml:space="preserve"> infection and different severity and types of CD. </w:t>
      </w:r>
    </w:p>
    <w:p w:rsidR="002D612A" w:rsidRPr="009D2289" w:rsidRDefault="002D612A" w:rsidP="009D2289">
      <w:pPr>
        <w:spacing w:line="360" w:lineRule="auto"/>
        <w:ind w:firstLineChars="150" w:firstLine="360"/>
        <w:rPr>
          <w:rFonts w:ascii="Book Antiqua" w:hAnsi="Book Antiqua"/>
          <w:sz w:val="24"/>
          <w:szCs w:val="24"/>
        </w:rPr>
      </w:pPr>
    </w:p>
    <w:p w:rsidR="002D612A" w:rsidRPr="009D2289" w:rsidRDefault="002D612A" w:rsidP="009D2289">
      <w:pPr>
        <w:spacing w:line="360" w:lineRule="auto"/>
        <w:rPr>
          <w:rFonts w:ascii="Book Antiqua" w:hAnsi="Book Antiqua"/>
          <w:b/>
          <w:sz w:val="24"/>
          <w:szCs w:val="24"/>
        </w:rPr>
      </w:pPr>
      <w:r w:rsidRPr="009D2289">
        <w:rPr>
          <w:rFonts w:ascii="Book Antiqua" w:hAnsi="Book Antiqua"/>
          <w:b/>
          <w:sz w:val="24"/>
          <w:szCs w:val="24"/>
        </w:rPr>
        <w:t>MATERIALS AND METHODS</w:t>
      </w:r>
    </w:p>
    <w:p w:rsidR="002D612A" w:rsidRPr="009D2289" w:rsidRDefault="002D612A" w:rsidP="009D2289">
      <w:pPr>
        <w:tabs>
          <w:tab w:val="left" w:pos="4815"/>
        </w:tabs>
        <w:spacing w:line="360" w:lineRule="auto"/>
        <w:rPr>
          <w:rFonts w:ascii="Book Antiqua" w:hAnsi="Book Antiqua"/>
          <w:b/>
          <w:i/>
          <w:sz w:val="24"/>
          <w:szCs w:val="24"/>
        </w:rPr>
      </w:pPr>
      <w:r w:rsidRPr="009D2289">
        <w:rPr>
          <w:rFonts w:ascii="Book Antiqua" w:hAnsi="Book Antiqua"/>
          <w:b/>
          <w:i/>
          <w:sz w:val="24"/>
          <w:szCs w:val="24"/>
        </w:rPr>
        <w:t>Patients</w:t>
      </w:r>
      <w:r w:rsidRPr="009D2289">
        <w:rPr>
          <w:rFonts w:ascii="Book Antiqua" w:hAnsi="Book Antiqua"/>
          <w:b/>
          <w:i/>
          <w:sz w:val="24"/>
          <w:szCs w:val="24"/>
        </w:rPr>
        <w:tab/>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Study subjects were selected from patients who were admitted for abdominal pain, hematochezia, diarrhea, and other GI symptoms between January 2008 and September 2012. Patients either underwent both a </w:t>
      </w:r>
      <w:r w:rsidRPr="009D2289">
        <w:rPr>
          <w:rFonts w:ascii="Book Antiqua" w:hAnsi="Book Antiqua"/>
          <w:i/>
          <w:sz w:val="24"/>
          <w:szCs w:val="24"/>
        </w:rPr>
        <w:t>H. pylori</w:t>
      </w:r>
      <w:r w:rsidRPr="009D2289">
        <w:rPr>
          <w:rFonts w:ascii="Book Antiqua" w:hAnsi="Book Antiqua"/>
          <w:sz w:val="24"/>
          <w:szCs w:val="24"/>
        </w:rPr>
        <w:t xml:space="preserve"> test and endoscopy (gastroscopy, colonoscopy, or capsule) screen during admission or had recorded evidence of current </w:t>
      </w:r>
      <w:r w:rsidRPr="009D2289">
        <w:rPr>
          <w:rFonts w:ascii="Book Antiqua" w:hAnsi="Book Antiqua"/>
          <w:i/>
          <w:sz w:val="24"/>
          <w:szCs w:val="24"/>
        </w:rPr>
        <w:t>H. pylori</w:t>
      </w:r>
      <w:r w:rsidRPr="009D2289">
        <w:rPr>
          <w:rFonts w:ascii="Book Antiqua" w:hAnsi="Book Antiqua"/>
          <w:sz w:val="24"/>
          <w:szCs w:val="24"/>
        </w:rPr>
        <w:t xml:space="preserve"> infection and CD. For the CD group, diagnosis was based on endoscopy manifestation and biopsy, as adopted by the Asia-Pacific consensus</w:t>
      </w:r>
      <w:r w:rsidRPr="009D2289">
        <w:rPr>
          <w:rFonts w:ascii="Book Antiqua" w:hAnsi="Book Antiqua"/>
          <w:noProof/>
          <w:sz w:val="24"/>
          <w:szCs w:val="24"/>
          <w:vertAlign w:val="superscript"/>
        </w:rPr>
        <w:t>[17]</w:t>
      </w:r>
      <w:r w:rsidRPr="009D2289">
        <w:rPr>
          <w:rFonts w:ascii="Book Antiqua" w:hAnsi="Book Antiqua"/>
          <w:sz w:val="24"/>
          <w:szCs w:val="24"/>
        </w:rPr>
        <w:t xml:space="preserve">. Exclusion criteria included previous acid inhibition or </w:t>
      </w:r>
      <w:r w:rsidRPr="009D2289">
        <w:rPr>
          <w:rFonts w:ascii="Book Antiqua" w:hAnsi="Book Antiqua"/>
          <w:i/>
          <w:sz w:val="24"/>
          <w:szCs w:val="24"/>
        </w:rPr>
        <w:t>H. pylori</w:t>
      </w:r>
      <w:r w:rsidRPr="009D2289">
        <w:rPr>
          <w:rFonts w:ascii="Book Antiqua" w:hAnsi="Book Antiqua"/>
          <w:sz w:val="24"/>
          <w:szCs w:val="24"/>
        </w:rPr>
        <w:t xml:space="preserve"> eradication, 5-aminosalicylic administration and differential diagnosis with intestinal tuberculosis, ulcerative colitis (UC), Beh</w:t>
      </w:r>
      <w:r w:rsidRPr="009D2289">
        <w:rPr>
          <w:rFonts w:ascii="Book Antiqua" w:hAnsi="Book Antiqua" w:cs="Lucida Grande"/>
          <w:color w:val="000000"/>
          <w:sz w:val="24"/>
          <w:szCs w:val="24"/>
        </w:rPr>
        <w:t>ç</w:t>
      </w:r>
      <w:r w:rsidRPr="009D2289">
        <w:rPr>
          <w:rFonts w:ascii="Book Antiqua" w:hAnsi="Book Antiqua"/>
          <w:sz w:val="24"/>
          <w:szCs w:val="24"/>
        </w:rPr>
        <w:t xml:space="preserve">et's disease, or ischemic colitis. The control group was comprised of patients who underwent the initial screening but were subsequently excluded by negative results for CD and other known GI diseases. </w:t>
      </w:r>
    </w:p>
    <w:p w:rsidR="002D612A" w:rsidRPr="009D2289" w:rsidRDefault="002D612A" w:rsidP="009D2289">
      <w:pPr>
        <w:spacing w:line="360" w:lineRule="auto"/>
        <w:ind w:firstLine="360"/>
        <w:rPr>
          <w:rFonts w:ascii="Book Antiqua" w:hAnsi="Book Antiqua"/>
          <w:sz w:val="24"/>
          <w:szCs w:val="24"/>
        </w:rPr>
      </w:pPr>
      <w:r w:rsidRPr="009D2289">
        <w:rPr>
          <w:rFonts w:ascii="Book Antiqua" w:hAnsi="Book Antiqua"/>
          <w:sz w:val="24"/>
          <w:szCs w:val="24"/>
        </w:rPr>
        <w:t>CD patients were further categorized into subgroups according to the severity and extent of disease following the Chinese IBD guidelines</w:t>
      </w:r>
      <w:r w:rsidRPr="009D2289">
        <w:rPr>
          <w:rFonts w:ascii="Book Antiqua" w:hAnsi="Book Antiqua"/>
          <w:noProof/>
          <w:sz w:val="24"/>
          <w:szCs w:val="24"/>
          <w:vertAlign w:val="superscript"/>
        </w:rPr>
        <w:t>[18]</w:t>
      </w:r>
      <w:r w:rsidRPr="009D2289">
        <w:rPr>
          <w:rFonts w:ascii="Book Antiqua" w:hAnsi="Book Antiqua"/>
          <w:sz w:val="24"/>
          <w:szCs w:val="24"/>
        </w:rPr>
        <w:t>. For convenience, we adopted the Harvey-Bradshaw index (HBI)</w:t>
      </w:r>
      <w:r w:rsidRPr="009D2289">
        <w:rPr>
          <w:rFonts w:ascii="Book Antiqua" w:hAnsi="Book Antiqua"/>
          <w:noProof/>
          <w:sz w:val="24"/>
          <w:szCs w:val="24"/>
          <w:vertAlign w:val="superscript"/>
        </w:rPr>
        <w:t>[19]</w:t>
      </w:r>
      <w:r w:rsidRPr="009D2289">
        <w:rPr>
          <w:rFonts w:ascii="Book Antiqua" w:hAnsi="Book Antiqua"/>
          <w:sz w:val="24"/>
          <w:szCs w:val="24"/>
        </w:rPr>
        <w:t xml:space="preserve">, a simplified version of the Crohn’s disease activity index (CDAI), to evaluate CD severity. This index comprises general conditions, degree of abdominal pain, frequency of diarrhea, existence of abdominal mass, and complications such as arthritis, nodular erythema, gangrenous pyoderma, aphthous stomatitis, fistula, and abscess. Scores of 0-4 were appointed to each parameter according to disease severity. The HBI score was the summary of scores from each parameter, where ≤ 4 was remission, 5-8 was moderate, and ≥ 9 was severe. In addition, according to the extent revealed from radiology and endoscopy, CD was </w:t>
      </w:r>
      <w:r w:rsidRPr="009D2289">
        <w:rPr>
          <w:rFonts w:ascii="Book Antiqua" w:hAnsi="Book Antiqua"/>
          <w:sz w:val="24"/>
          <w:szCs w:val="24"/>
        </w:rPr>
        <w:lastRenderedPageBreak/>
        <w:t>further divided into small intestinal CD, colonic CD, ileocolonic CD, and extensive CD, where the involved scale was over 100 cm.</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t>Analysis of demographic, anthropometric and serologic data</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Demographic and anthropometric data were retrieved from the medical records of enrolled patients and included age, sex, smoking history, alcohol intake history (with positive designation made according to the Chinese guideline of alcoholic liver disease</w:t>
      </w:r>
      <w:r w:rsidRPr="009D2289">
        <w:rPr>
          <w:rFonts w:ascii="Book Antiqua" w:hAnsi="Book Antiqua"/>
          <w:noProof/>
          <w:sz w:val="24"/>
          <w:szCs w:val="24"/>
          <w:vertAlign w:val="superscript"/>
        </w:rPr>
        <w:t>[20]</w:t>
      </w:r>
      <w:r w:rsidRPr="009D2289">
        <w:rPr>
          <w:rFonts w:ascii="Book Antiqua" w:hAnsi="Book Antiqua"/>
          <w:noProof/>
          <w:sz w:val="24"/>
          <w:szCs w:val="24"/>
        </w:rPr>
        <w:t>)</w:t>
      </w:r>
      <w:r w:rsidRPr="009D2289">
        <w:rPr>
          <w:rFonts w:ascii="Book Antiqua" w:hAnsi="Book Antiqua"/>
          <w:sz w:val="24"/>
          <w:szCs w:val="24"/>
        </w:rPr>
        <w:t xml:space="preserve">, hypertension (defined as a patient on antihypertensive drug for blood pressure over 140/90 mmHg), body mass index (BMI; calculated as weight in kilograms divided by height in meters squared), and diabetes mellitus (DM; defined as fasting glucose ≥ 7.0 mmol/L or with past history of diagnosed DM). Patient blood samples were routinely gathered and tested for general condition and inflammation, including C-reactive protein (CRP) and complete blood cell counts. The main complications of CD were also recorded, including fistula and obstruction. </w:t>
      </w:r>
    </w:p>
    <w:p w:rsidR="002D612A" w:rsidRPr="009D2289" w:rsidRDefault="002D612A" w:rsidP="009D2289">
      <w:pPr>
        <w:spacing w:line="360" w:lineRule="auto"/>
        <w:rPr>
          <w:rFonts w:ascii="Book Antiqua" w:hAnsi="Book Antiqua"/>
          <w:b/>
          <w:sz w:val="24"/>
          <w:szCs w:val="24"/>
          <w:vertAlign w:val="superscript"/>
        </w:rPr>
      </w:pP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vertAlign w:val="superscript"/>
        </w:rPr>
        <w:t>14</w:t>
      </w:r>
      <w:r w:rsidRPr="009D2289">
        <w:rPr>
          <w:rFonts w:ascii="Book Antiqua" w:hAnsi="Book Antiqua"/>
          <w:b/>
          <w:i/>
          <w:sz w:val="24"/>
          <w:szCs w:val="24"/>
        </w:rPr>
        <w:t>C-urea blood test and biopsy sample culture</w:t>
      </w:r>
    </w:p>
    <w:p w:rsidR="002D612A" w:rsidRPr="009D2289" w:rsidRDefault="002D612A" w:rsidP="009D2289">
      <w:pPr>
        <w:spacing w:line="360" w:lineRule="auto"/>
        <w:rPr>
          <w:rFonts w:ascii="Book Antiqua" w:hAnsi="Book Antiqua"/>
          <w:sz w:val="24"/>
          <w:szCs w:val="24"/>
        </w:rPr>
      </w:pPr>
      <w:r w:rsidRPr="009D2289">
        <w:rPr>
          <w:rFonts w:ascii="Book Antiqua" w:hAnsi="Book Antiqua"/>
          <w:i/>
          <w:sz w:val="24"/>
          <w:szCs w:val="24"/>
        </w:rPr>
        <w:t>H. pylori</w:t>
      </w:r>
      <w:r w:rsidRPr="009D2289">
        <w:rPr>
          <w:rFonts w:ascii="Book Antiqua" w:hAnsi="Book Antiqua"/>
          <w:sz w:val="24"/>
          <w:szCs w:val="24"/>
        </w:rPr>
        <w:t xml:space="preserve"> infection was detected by a </w:t>
      </w:r>
      <w:r w:rsidRPr="009D2289">
        <w:rPr>
          <w:rFonts w:ascii="Book Antiqua" w:hAnsi="Book Antiqua"/>
          <w:sz w:val="24"/>
          <w:szCs w:val="24"/>
          <w:vertAlign w:val="superscript"/>
        </w:rPr>
        <w:t>14</w:t>
      </w:r>
      <w:r w:rsidRPr="009D2289">
        <w:rPr>
          <w:rFonts w:ascii="Book Antiqua" w:hAnsi="Book Antiqua"/>
          <w:sz w:val="24"/>
          <w:szCs w:val="24"/>
        </w:rPr>
        <w:t xml:space="preserve">C-urea blood test (UBT) and biopsy sample culture. Serum </w:t>
      </w:r>
      <w:r w:rsidRPr="009D2289">
        <w:rPr>
          <w:rFonts w:ascii="Book Antiqua" w:hAnsi="Book Antiqua"/>
          <w:i/>
          <w:sz w:val="24"/>
          <w:szCs w:val="24"/>
        </w:rPr>
        <w:t>H. pylori</w:t>
      </w:r>
      <w:r w:rsidRPr="009D2289">
        <w:rPr>
          <w:rFonts w:ascii="Book Antiqua" w:hAnsi="Book Antiqua"/>
          <w:sz w:val="24"/>
          <w:szCs w:val="24"/>
        </w:rPr>
        <w:t>-IgG was not accepted as a diagnostic tool, as it does not reflect the current infection status. First described in 1989</w:t>
      </w:r>
      <w:r w:rsidRPr="009D2289">
        <w:rPr>
          <w:rFonts w:ascii="Book Antiqua" w:hAnsi="Book Antiqua"/>
          <w:noProof/>
          <w:sz w:val="24"/>
          <w:szCs w:val="24"/>
          <w:vertAlign w:val="superscript"/>
        </w:rPr>
        <w:t>[21]</w:t>
      </w:r>
      <w:r w:rsidRPr="009D2289">
        <w:rPr>
          <w:rFonts w:ascii="Book Antiqua" w:hAnsi="Book Antiqua"/>
          <w:sz w:val="24"/>
          <w:szCs w:val="24"/>
        </w:rPr>
        <w:t xml:space="preserve">, </w:t>
      </w:r>
      <w:r w:rsidRPr="009D2289">
        <w:rPr>
          <w:rFonts w:ascii="Book Antiqua" w:hAnsi="Book Antiqua"/>
          <w:sz w:val="24"/>
          <w:szCs w:val="24"/>
          <w:vertAlign w:val="superscript"/>
        </w:rPr>
        <w:t>14</w:t>
      </w:r>
      <w:r w:rsidRPr="009D2289">
        <w:rPr>
          <w:rFonts w:ascii="Book Antiqua" w:hAnsi="Book Antiqua"/>
          <w:sz w:val="24"/>
          <w:szCs w:val="24"/>
        </w:rPr>
        <w:t xml:space="preserve">C-UBT is considered a rapid diagnostic procedure for </w:t>
      </w:r>
      <w:r w:rsidRPr="009D2289">
        <w:rPr>
          <w:rFonts w:ascii="Book Antiqua" w:hAnsi="Book Antiqua"/>
          <w:i/>
          <w:sz w:val="24"/>
          <w:szCs w:val="24"/>
        </w:rPr>
        <w:t>H. pylori</w:t>
      </w:r>
      <w:r w:rsidRPr="009D2289">
        <w:rPr>
          <w:rFonts w:ascii="Book Antiqua" w:hAnsi="Book Antiqua"/>
          <w:sz w:val="24"/>
          <w:szCs w:val="24"/>
        </w:rPr>
        <w:t xml:space="preserve"> detection for its ability to convert urea to ammonia and carbon dioxide. UBT is also recommended in leading society guidelines as a preferred non-invasive choice for </w:t>
      </w:r>
      <w:r w:rsidRPr="009D2289">
        <w:rPr>
          <w:rFonts w:ascii="Book Antiqua" w:hAnsi="Book Antiqua"/>
          <w:i/>
          <w:sz w:val="24"/>
          <w:szCs w:val="24"/>
        </w:rPr>
        <w:t>H. pylori</w:t>
      </w:r>
      <w:r w:rsidRPr="009D2289">
        <w:rPr>
          <w:rFonts w:ascii="Book Antiqua" w:hAnsi="Book Antiqua"/>
          <w:sz w:val="24"/>
          <w:szCs w:val="24"/>
        </w:rPr>
        <w:t xml:space="preserve"> detection</w:t>
      </w:r>
      <w:r w:rsidRPr="009D2289">
        <w:rPr>
          <w:rFonts w:ascii="Book Antiqua" w:hAnsi="Book Antiqua"/>
          <w:noProof/>
          <w:sz w:val="24"/>
          <w:szCs w:val="24"/>
          <w:vertAlign w:val="superscript"/>
        </w:rPr>
        <w:t>[22]</w:t>
      </w:r>
      <w:r w:rsidRPr="009D2289">
        <w:rPr>
          <w:rFonts w:ascii="Book Antiqua" w:hAnsi="Book Antiqua"/>
          <w:sz w:val="24"/>
          <w:szCs w:val="24"/>
        </w:rPr>
        <w:t xml:space="preserve">. According to the manufacturer’s instruction (Headway, Shenzhen, China), patients were given a tablet of urea labeled with an uncommon isotope of radioactive carbon-14. In the following 30 min, the amount of isotope labeled carbon dioxide was measured in exhaled breath by scintillation. A positive result indicated the existence of </w:t>
      </w:r>
      <w:r w:rsidRPr="009D2289">
        <w:rPr>
          <w:rFonts w:ascii="Book Antiqua" w:hAnsi="Book Antiqua"/>
          <w:i/>
          <w:sz w:val="24"/>
          <w:szCs w:val="24"/>
        </w:rPr>
        <w:t>H. pylori</w:t>
      </w:r>
      <w:r w:rsidRPr="009D2289">
        <w:rPr>
          <w:rFonts w:ascii="Book Antiqua" w:hAnsi="Book Antiqua"/>
          <w:sz w:val="24"/>
          <w:szCs w:val="24"/>
        </w:rPr>
        <w:t xml:space="preserve">. For biopsy sample culture, samples from the gastric antrum obtained by gastroscopy were cultured for </w:t>
      </w:r>
      <w:r w:rsidRPr="009D2289">
        <w:rPr>
          <w:rFonts w:ascii="Book Antiqua" w:hAnsi="Book Antiqua"/>
          <w:i/>
          <w:sz w:val="24"/>
          <w:szCs w:val="24"/>
        </w:rPr>
        <w:t>H. pylori</w:t>
      </w:r>
      <w:r w:rsidRPr="009D2289">
        <w:rPr>
          <w:rFonts w:ascii="Book Antiqua" w:hAnsi="Book Antiqua"/>
          <w:sz w:val="24"/>
          <w:szCs w:val="24"/>
        </w:rPr>
        <w:t xml:space="preserve"> as previously described</w:t>
      </w:r>
      <w:r w:rsidRPr="009D2289">
        <w:rPr>
          <w:rFonts w:ascii="Book Antiqua" w:hAnsi="Book Antiqua"/>
          <w:noProof/>
          <w:sz w:val="24"/>
          <w:szCs w:val="24"/>
          <w:vertAlign w:val="superscript"/>
        </w:rPr>
        <w:t>[23]</w:t>
      </w:r>
      <w:r w:rsidRPr="009D2289">
        <w:rPr>
          <w:rFonts w:ascii="Book Antiqua" w:hAnsi="Book Antiqua"/>
          <w:sz w:val="24"/>
          <w:szCs w:val="24"/>
        </w:rPr>
        <w:t>.</w:t>
      </w: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lastRenderedPageBreak/>
        <w:t>Ethics statement</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The protocol was approved by the institutional review board at Zhejiang University and conducted in accordance with the Declaration of Helsinki. We followed guidelines from the STROBE statement when designing the study and preparing the manuscript</w:t>
      </w:r>
      <w:r w:rsidRPr="009D2289">
        <w:rPr>
          <w:rFonts w:ascii="Book Antiqua" w:hAnsi="Book Antiqua"/>
          <w:noProof/>
          <w:sz w:val="24"/>
          <w:szCs w:val="24"/>
          <w:vertAlign w:val="superscript"/>
        </w:rPr>
        <w:t>[16]</w:t>
      </w:r>
      <w:r w:rsidRPr="009D2289">
        <w:rPr>
          <w:rFonts w:ascii="Book Antiqua" w:hAnsi="Book Antiqua"/>
          <w:sz w:val="24"/>
          <w:szCs w:val="24"/>
        </w:rPr>
        <w:t xml:space="preserve">. Written informed consent was collected from all patients. </w:t>
      </w:r>
    </w:p>
    <w:p w:rsidR="002D612A" w:rsidRPr="009D2289" w:rsidRDefault="002D612A" w:rsidP="009D2289">
      <w:pPr>
        <w:tabs>
          <w:tab w:val="left" w:pos="4815"/>
        </w:tabs>
        <w:spacing w:line="360" w:lineRule="auto"/>
        <w:rPr>
          <w:rFonts w:ascii="Book Antiqua" w:hAnsi="Book Antiqua"/>
          <w:i/>
          <w:sz w:val="24"/>
          <w:szCs w:val="24"/>
        </w:rPr>
      </w:pP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t>Statistical analysis</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Data were assessed for normality, and log-transformed as needed. Quantitative variants were expressed as mean ± SD, and analyzed by Student’s </w:t>
      </w:r>
      <w:r w:rsidRPr="009D2289">
        <w:rPr>
          <w:rFonts w:ascii="Book Antiqua" w:hAnsi="Book Antiqua"/>
          <w:i/>
          <w:sz w:val="24"/>
          <w:szCs w:val="24"/>
        </w:rPr>
        <w:t>t</w:t>
      </w:r>
      <w:r w:rsidRPr="009D2289">
        <w:rPr>
          <w:rFonts w:ascii="Book Antiqua" w:hAnsi="Book Antiqua"/>
          <w:sz w:val="24"/>
          <w:szCs w:val="24"/>
        </w:rPr>
        <w:t xml:space="preserve">-test or Mann-Whiney </w:t>
      </w:r>
      <w:r w:rsidRPr="009D2289">
        <w:rPr>
          <w:rFonts w:ascii="Book Antiqua" w:hAnsi="Book Antiqua"/>
          <w:i/>
          <w:sz w:val="24"/>
          <w:szCs w:val="24"/>
        </w:rPr>
        <w:t>U</w:t>
      </w:r>
      <w:r w:rsidRPr="009D2289">
        <w:rPr>
          <w:rFonts w:ascii="Book Antiqua" w:hAnsi="Book Antiqua"/>
          <w:sz w:val="24"/>
          <w:szCs w:val="24"/>
        </w:rPr>
        <w:t xml:space="preserve"> test. For qualitative variants, percentages or frequencies were calculated and a</w:t>
      </w:r>
      <w:r w:rsidRPr="009D2289">
        <w:rPr>
          <w:rFonts w:ascii="Book Antiqua" w:hAnsi="Book Antiqua"/>
          <w:i/>
          <w:sz w:val="24"/>
          <w:szCs w:val="24"/>
        </w:rPr>
        <w:t>χ</w:t>
      </w:r>
      <w:r w:rsidRPr="009D2289">
        <w:rPr>
          <w:rFonts w:ascii="Book Antiqua" w:hAnsi="Book Antiqua"/>
          <w:i/>
          <w:sz w:val="24"/>
          <w:szCs w:val="24"/>
          <w:vertAlign w:val="superscript"/>
        </w:rPr>
        <w:t>2</w:t>
      </w:r>
      <w:r w:rsidRPr="009D2289">
        <w:rPr>
          <w:rFonts w:ascii="Book Antiqua" w:hAnsi="Book Antiqua"/>
          <w:sz w:val="24"/>
          <w:szCs w:val="24"/>
        </w:rPr>
        <w:t xml:space="preserve"> test was used for comparison. SPSS 17.0 software (Chicago, IL) was used for all statistical analyses, and a </w:t>
      </w:r>
      <w:r w:rsidRPr="009D2289">
        <w:rPr>
          <w:rFonts w:ascii="Book Antiqua" w:hAnsi="Book Antiqua"/>
          <w:i/>
          <w:sz w:val="24"/>
          <w:szCs w:val="24"/>
        </w:rPr>
        <w:t>P</w:t>
      </w:r>
      <w:r w:rsidRPr="009D2289">
        <w:rPr>
          <w:rFonts w:ascii="Book Antiqua" w:hAnsi="Book Antiqua"/>
          <w:sz w:val="24"/>
          <w:szCs w:val="24"/>
        </w:rPr>
        <w:t xml:space="preserve">-value &lt; 0.05 was considered statistically significant. </w:t>
      </w:r>
    </w:p>
    <w:p w:rsidR="002D612A" w:rsidRPr="009D2289" w:rsidRDefault="002D612A" w:rsidP="009D2289">
      <w:pPr>
        <w:widowControl/>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sz w:val="24"/>
          <w:szCs w:val="24"/>
        </w:rPr>
      </w:pPr>
      <w:r w:rsidRPr="009D2289">
        <w:rPr>
          <w:rFonts w:ascii="Book Antiqua" w:hAnsi="Book Antiqua"/>
          <w:b/>
          <w:sz w:val="24"/>
          <w:szCs w:val="24"/>
        </w:rPr>
        <w:t>RESULTS</w:t>
      </w: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t xml:space="preserve">Characteristics of study subjects </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Following careful review of medical records, we identified 1563 patients that had been admitted to our ward for abdominal pain, hematochezia, diarrhea, and other GI symptoms over the past five years. Among these patients, 1231 were selected according to their having undergone both endoscopy and </w:t>
      </w:r>
      <w:r w:rsidRPr="009D2289">
        <w:rPr>
          <w:rFonts w:ascii="Book Antiqua" w:hAnsi="Book Antiqua"/>
          <w:i/>
          <w:sz w:val="24"/>
          <w:szCs w:val="24"/>
        </w:rPr>
        <w:t>H. pylori</w:t>
      </w:r>
      <w:r w:rsidRPr="009D2289">
        <w:rPr>
          <w:rFonts w:ascii="Book Antiqua" w:hAnsi="Book Antiqua"/>
          <w:sz w:val="24"/>
          <w:szCs w:val="24"/>
        </w:rPr>
        <w:t xml:space="preserve"> test. The endoscopic diagnosis of CD was given to 921 patients by colonoscopy, 603 by gastroscopy, and 105 by capsule endoscopy. Furthermore, many of the patients had received more than one type of endoscopy. For the </w:t>
      </w:r>
      <w:r w:rsidRPr="009D2289">
        <w:rPr>
          <w:rFonts w:ascii="Book Antiqua" w:hAnsi="Book Antiqua"/>
          <w:i/>
          <w:sz w:val="24"/>
          <w:szCs w:val="24"/>
        </w:rPr>
        <w:t>H. pylori</w:t>
      </w:r>
      <w:r w:rsidRPr="009D2289">
        <w:rPr>
          <w:rFonts w:ascii="Book Antiqua" w:hAnsi="Book Antiqua"/>
          <w:sz w:val="24"/>
          <w:szCs w:val="24"/>
        </w:rPr>
        <w:t xml:space="preserve"> infection test, 603 patients were investigated by biopsy sample culturing and 628 patients were investigated by </w:t>
      </w:r>
      <w:r w:rsidRPr="009D2289">
        <w:rPr>
          <w:rFonts w:ascii="Book Antiqua" w:hAnsi="Book Antiqua"/>
          <w:sz w:val="24"/>
          <w:szCs w:val="24"/>
          <w:vertAlign w:val="superscript"/>
        </w:rPr>
        <w:t>14</w:t>
      </w:r>
      <w:r w:rsidRPr="009D2289">
        <w:rPr>
          <w:rFonts w:ascii="Book Antiqua" w:hAnsi="Book Antiqua"/>
          <w:sz w:val="24"/>
          <w:szCs w:val="24"/>
        </w:rPr>
        <w:t xml:space="preserve">C-UBT. Among these 1231 subjects, 287 were diagnosed as CD by endoscopy and/or biopsy confirmation, with 18 of these patients having already received 5-aminosalicylic therapy, 11 being under proton pump inhibitor (PPI) therapy for reflux symptoms, and 21 having achieved </w:t>
      </w:r>
      <w:r w:rsidRPr="009D2289">
        <w:rPr>
          <w:rFonts w:ascii="Book Antiqua" w:hAnsi="Book Antiqua"/>
          <w:i/>
          <w:sz w:val="24"/>
          <w:szCs w:val="24"/>
        </w:rPr>
        <w:t>H. pylori</w:t>
      </w:r>
      <w:r w:rsidRPr="009D2289">
        <w:rPr>
          <w:rFonts w:ascii="Book Antiqua" w:hAnsi="Book Antiqua"/>
          <w:sz w:val="24"/>
          <w:szCs w:val="24"/>
        </w:rPr>
        <w:t xml:space="preserve"> eradication. Among </w:t>
      </w:r>
      <w:r w:rsidRPr="009D2289">
        <w:rPr>
          <w:rFonts w:ascii="Book Antiqua" w:hAnsi="Book Antiqua"/>
          <w:sz w:val="24"/>
          <w:szCs w:val="24"/>
        </w:rPr>
        <w:lastRenderedPageBreak/>
        <w:t xml:space="preserve">the remaining patients, 8 were further excluded due to positive serum </w:t>
      </w:r>
      <w:r w:rsidRPr="009D2289">
        <w:rPr>
          <w:rFonts w:ascii="Book Antiqua" w:hAnsi="Book Antiqua"/>
          <w:i/>
          <w:sz w:val="24"/>
          <w:szCs w:val="24"/>
        </w:rPr>
        <w:t>H. pylori</w:t>
      </w:r>
      <w:r w:rsidRPr="009D2289">
        <w:rPr>
          <w:rFonts w:ascii="Book Antiqua" w:hAnsi="Book Antiqua"/>
          <w:sz w:val="24"/>
          <w:szCs w:val="24"/>
        </w:rPr>
        <w:t xml:space="preserve">-IgG but negative </w:t>
      </w:r>
      <w:r w:rsidRPr="009D2289">
        <w:rPr>
          <w:rFonts w:ascii="Book Antiqua" w:hAnsi="Book Antiqua"/>
          <w:sz w:val="24"/>
          <w:szCs w:val="24"/>
          <w:vertAlign w:val="superscript"/>
        </w:rPr>
        <w:t>14</w:t>
      </w:r>
      <w:r w:rsidRPr="009D2289">
        <w:rPr>
          <w:rFonts w:ascii="Book Antiqua" w:hAnsi="Book Antiqua"/>
          <w:sz w:val="24"/>
          <w:szCs w:val="24"/>
        </w:rPr>
        <w:t xml:space="preserve">C-UBT or biopsy sample culture results. Finally, a total of 229 patients were enrolled into the CD group. Among them, 132 and 97 patients had </w:t>
      </w:r>
      <w:r w:rsidRPr="009D2289">
        <w:rPr>
          <w:rFonts w:ascii="Book Antiqua" w:hAnsi="Book Antiqua"/>
          <w:sz w:val="24"/>
          <w:szCs w:val="24"/>
          <w:vertAlign w:val="superscript"/>
        </w:rPr>
        <w:t>14</w:t>
      </w:r>
      <w:r w:rsidRPr="009D2289">
        <w:rPr>
          <w:rFonts w:ascii="Book Antiqua" w:hAnsi="Book Antiqua"/>
          <w:sz w:val="24"/>
          <w:szCs w:val="24"/>
        </w:rPr>
        <w:t>C-UBT and biopsy sample culture, respectively.</w:t>
      </w:r>
    </w:p>
    <w:p w:rsidR="002D612A" w:rsidRPr="009D2289" w:rsidRDefault="002D612A" w:rsidP="009D2289">
      <w:pPr>
        <w:spacing w:line="360" w:lineRule="auto"/>
        <w:ind w:firstLineChars="150" w:firstLine="360"/>
        <w:rPr>
          <w:rFonts w:ascii="Book Antiqua" w:hAnsi="Book Antiqua"/>
          <w:sz w:val="24"/>
          <w:szCs w:val="24"/>
        </w:rPr>
      </w:pPr>
      <w:r w:rsidRPr="009D2289">
        <w:rPr>
          <w:rFonts w:ascii="Book Antiqua" w:hAnsi="Book Antiqua"/>
          <w:sz w:val="24"/>
          <w:szCs w:val="24"/>
        </w:rPr>
        <w:t>Among 1231 subjects, 251 were diagnosed with UC, 279 with different degrees of hemorrhoids, 41 with ischemic colitis, 7 with antibiotic-associated colitis, 5 with radiation enterocolitis, 11 with intestinal tuberculosis, 71 with sigmoiditis and proctitis, and 2 with Beh</w:t>
      </w:r>
      <w:r w:rsidRPr="009D2289">
        <w:rPr>
          <w:rFonts w:ascii="Book Antiqua" w:hAnsi="Book Antiqua" w:cs="Lucida Grande"/>
          <w:color w:val="000000"/>
          <w:sz w:val="24"/>
          <w:szCs w:val="24"/>
        </w:rPr>
        <w:t>ç</w:t>
      </w:r>
      <w:r w:rsidRPr="009D2289">
        <w:rPr>
          <w:rFonts w:ascii="Book Antiqua" w:hAnsi="Book Antiqua"/>
          <w:sz w:val="24"/>
          <w:szCs w:val="24"/>
        </w:rPr>
        <w:t>et's disease. The remaining 277 patients had GI symptoms but normal endoscopy and biopsy results. Nevertheless, there were still 14 patients under anti-acid therapy (10 with PPI and 4 with H</w:t>
      </w:r>
      <w:r w:rsidRPr="009D2289">
        <w:rPr>
          <w:rFonts w:ascii="Book Antiqua" w:hAnsi="Book Antiqua"/>
          <w:sz w:val="24"/>
          <w:szCs w:val="24"/>
          <w:vertAlign w:val="subscript"/>
        </w:rPr>
        <w:t>2</w:t>
      </w:r>
      <w:r w:rsidRPr="009D2289">
        <w:rPr>
          <w:rFonts w:ascii="Book Antiqua" w:hAnsi="Book Antiqua"/>
          <w:sz w:val="24"/>
          <w:szCs w:val="24"/>
        </w:rPr>
        <w:t xml:space="preserve"> receptor antagonist) and 15 patients in which </w:t>
      </w:r>
      <w:r w:rsidRPr="009D2289">
        <w:rPr>
          <w:rFonts w:ascii="Book Antiqua" w:hAnsi="Book Antiqua"/>
          <w:i/>
          <w:sz w:val="24"/>
          <w:szCs w:val="24"/>
        </w:rPr>
        <w:t>H. pylori</w:t>
      </w:r>
      <w:r w:rsidRPr="009D2289">
        <w:rPr>
          <w:rFonts w:ascii="Book Antiqua" w:hAnsi="Book Antiqua"/>
          <w:sz w:val="24"/>
          <w:szCs w:val="24"/>
        </w:rPr>
        <w:t xml:space="preserve"> had been eradicated. Finally, there were 248 patients enrolled into control group. Among them, 147 and 101 patients had </w:t>
      </w:r>
      <w:r w:rsidRPr="009D2289">
        <w:rPr>
          <w:rFonts w:ascii="Book Antiqua" w:hAnsi="Book Antiqua"/>
          <w:sz w:val="24"/>
          <w:szCs w:val="24"/>
          <w:vertAlign w:val="superscript"/>
        </w:rPr>
        <w:t>14</w:t>
      </w:r>
      <w:r w:rsidRPr="009D2289">
        <w:rPr>
          <w:rFonts w:ascii="Book Antiqua" w:hAnsi="Book Antiqua"/>
          <w:sz w:val="24"/>
          <w:szCs w:val="24"/>
        </w:rPr>
        <w:t xml:space="preserve">C-UBT and biopsy sample cultures, respectively. </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t>Demographic, anthropometric and serologic data of enrolled patients</w:t>
      </w:r>
      <w:r>
        <w:rPr>
          <w:rFonts w:ascii="Book Antiqua" w:hAnsi="Book Antiqua"/>
          <w:b/>
          <w:i/>
          <w:sz w:val="24"/>
          <w:szCs w:val="24"/>
        </w:rPr>
        <w:t xml:space="preserve"> </w:t>
      </w:r>
      <w:r w:rsidRPr="009D2289">
        <w:rPr>
          <w:rFonts w:ascii="Book Antiqua" w:hAnsi="Book Antiqua"/>
          <w:b/>
          <w:i/>
          <w:sz w:val="24"/>
          <w:szCs w:val="24"/>
        </w:rPr>
        <w:t xml:space="preserve"> </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The average age and sex distribution of patients were balanced between two groups (Table 1). Differences in the rates of hypertension and DM between the two groups were not significant. However, BMI was significantly lower in the CD group than that in the control group, while the rate of smoking history was approximately twice that of the CD group (</w:t>
      </w:r>
      <w:r w:rsidRPr="009D2289">
        <w:rPr>
          <w:rFonts w:ascii="Book Antiqua" w:hAnsi="Book Antiqua"/>
          <w:i/>
          <w:sz w:val="24"/>
          <w:szCs w:val="24"/>
        </w:rPr>
        <w:t xml:space="preserve">P </w:t>
      </w:r>
      <w:r w:rsidRPr="009D2289">
        <w:rPr>
          <w:rFonts w:ascii="Book Antiqua" w:hAnsi="Book Antiqua"/>
          <w:sz w:val="24"/>
          <w:szCs w:val="24"/>
        </w:rPr>
        <w:t>&lt; 0.01), reinforcing a correlation between smoking history and CD pathogenesis. In addition, percentage of alcohol intake was also significantly higher in the CD group. Finally, the two inflammation-associated markers, CRP and white blood cell (WBC) count, were significantly higher in the CD group, supporting the potential involvement of inflammation in CD.</w:t>
      </w:r>
    </w:p>
    <w:p w:rsidR="002D612A" w:rsidRPr="009D2289" w:rsidRDefault="002D612A" w:rsidP="009D2289">
      <w:pPr>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i/>
          <w:sz w:val="24"/>
          <w:szCs w:val="24"/>
        </w:rPr>
      </w:pPr>
      <w:r w:rsidRPr="009D2289">
        <w:rPr>
          <w:rFonts w:ascii="Book Antiqua" w:hAnsi="Book Antiqua"/>
          <w:b/>
          <w:i/>
          <w:sz w:val="24"/>
          <w:szCs w:val="24"/>
        </w:rPr>
        <w:t>Association between CD and H. pylori infection</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Total </w:t>
      </w:r>
      <w:r w:rsidRPr="009D2289">
        <w:rPr>
          <w:rFonts w:ascii="Book Antiqua" w:hAnsi="Book Antiqua"/>
          <w:i/>
          <w:sz w:val="24"/>
          <w:szCs w:val="24"/>
        </w:rPr>
        <w:t>H. pylori</w:t>
      </w:r>
      <w:r w:rsidRPr="009D2289">
        <w:rPr>
          <w:rFonts w:ascii="Book Antiqua" w:hAnsi="Book Antiqua"/>
          <w:sz w:val="24"/>
          <w:szCs w:val="24"/>
        </w:rPr>
        <w:t xml:space="preserve"> infection rate in the CD group was 27.1%, significantly lower than that of 47.9% in the control group. In the CD group, there were 45 </w:t>
      </w:r>
      <w:r w:rsidRPr="009D2289">
        <w:rPr>
          <w:rFonts w:ascii="Book Antiqua" w:hAnsi="Book Antiqua"/>
          <w:sz w:val="24"/>
          <w:szCs w:val="24"/>
        </w:rPr>
        <w:lastRenderedPageBreak/>
        <w:t xml:space="preserve">patients with colonic CD, 28 with small intestine CD, 112 with ileocolonic CD, and 34 with extensive CD. In a subgroup analysis, all of the above-mentioned CD subgroups had significantly lower </w:t>
      </w:r>
      <w:r w:rsidRPr="009D2289">
        <w:rPr>
          <w:rFonts w:ascii="Book Antiqua" w:hAnsi="Book Antiqua"/>
          <w:i/>
          <w:sz w:val="24"/>
          <w:szCs w:val="24"/>
        </w:rPr>
        <w:t>H. pylori</w:t>
      </w:r>
      <w:r w:rsidRPr="009D2289">
        <w:rPr>
          <w:rFonts w:ascii="Book Antiqua" w:hAnsi="Book Antiqua"/>
          <w:sz w:val="24"/>
          <w:szCs w:val="24"/>
        </w:rPr>
        <w:t xml:space="preserve"> infection rate than that in the control group, but the differences among these subgroups did not reach statistical significance (Table 2). We further divided the CD group into three subgroups according to severity determined by endoscopic appearance. Briefly, there were 32, 88 and 109 patients in the CD subgroups of remission, moderate CD, and severe CD, with corresponding </w:t>
      </w:r>
      <w:r w:rsidRPr="009D2289">
        <w:rPr>
          <w:rFonts w:ascii="Book Antiqua" w:hAnsi="Book Antiqua"/>
          <w:i/>
          <w:sz w:val="24"/>
          <w:szCs w:val="24"/>
        </w:rPr>
        <w:t>H. pylori</w:t>
      </w:r>
      <w:r w:rsidRPr="009D2289">
        <w:rPr>
          <w:rFonts w:ascii="Book Antiqua" w:hAnsi="Book Antiqua"/>
          <w:sz w:val="24"/>
          <w:szCs w:val="24"/>
        </w:rPr>
        <w:t xml:space="preserve">-positive rates of 34.3%, 30.7% and 22.0% respectively (Table 3). All three subgroups had significantly lower </w:t>
      </w:r>
      <w:r w:rsidRPr="009D2289">
        <w:rPr>
          <w:rFonts w:ascii="Book Antiqua" w:hAnsi="Book Antiqua"/>
          <w:i/>
          <w:sz w:val="24"/>
          <w:szCs w:val="24"/>
        </w:rPr>
        <w:t>H. pylori</w:t>
      </w:r>
      <w:r w:rsidRPr="009D2289">
        <w:rPr>
          <w:rFonts w:ascii="Book Antiqua" w:hAnsi="Book Antiqua"/>
          <w:sz w:val="24"/>
          <w:szCs w:val="24"/>
        </w:rPr>
        <w:t xml:space="preserve"> infection rates than the control group. Nevertheless, though there was a decrease trend in </w:t>
      </w:r>
      <w:r w:rsidRPr="009D2289">
        <w:rPr>
          <w:rFonts w:ascii="Book Antiqua" w:hAnsi="Book Antiqua"/>
          <w:i/>
          <w:sz w:val="24"/>
          <w:szCs w:val="24"/>
        </w:rPr>
        <w:t>H. pylori</w:t>
      </w:r>
      <w:r w:rsidRPr="009D2289">
        <w:rPr>
          <w:rFonts w:ascii="Book Antiqua" w:hAnsi="Book Antiqua"/>
          <w:sz w:val="24"/>
          <w:szCs w:val="24"/>
        </w:rPr>
        <w:t xml:space="preserve"> infection rate from the CD remission group to the severe CD group, there was no significant difference among these three groups</w:t>
      </w:r>
    </w:p>
    <w:p w:rsidR="002D612A" w:rsidRPr="009D2289" w:rsidRDefault="002D612A" w:rsidP="009D2289">
      <w:pPr>
        <w:widowControl/>
        <w:spacing w:line="360" w:lineRule="auto"/>
        <w:rPr>
          <w:rFonts w:ascii="Book Antiqua" w:hAnsi="Book Antiqua"/>
          <w:b/>
          <w:sz w:val="24"/>
          <w:szCs w:val="24"/>
        </w:rPr>
      </w:pPr>
    </w:p>
    <w:p w:rsidR="002D612A" w:rsidRPr="009D2289" w:rsidRDefault="002D612A" w:rsidP="009D2289">
      <w:pPr>
        <w:spacing w:line="360" w:lineRule="auto"/>
        <w:rPr>
          <w:rFonts w:ascii="Book Antiqua" w:hAnsi="Book Antiqua"/>
          <w:b/>
          <w:sz w:val="24"/>
          <w:szCs w:val="24"/>
        </w:rPr>
      </w:pPr>
      <w:r w:rsidRPr="009D2289">
        <w:rPr>
          <w:rFonts w:ascii="Book Antiqua" w:hAnsi="Book Antiqua"/>
          <w:b/>
          <w:sz w:val="24"/>
          <w:szCs w:val="24"/>
        </w:rPr>
        <w:t>DISCUSSION</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Crohn’s disease can affect the entire digestive system from mouth to anus, but it is most commonly seen in the final segment of the small bowel and the first part of the colon. The frequency of CD has significantly increased in the last century, becoming a heavy economic burden</w:t>
      </w:r>
      <w:r w:rsidRPr="009D2289">
        <w:rPr>
          <w:rFonts w:ascii="Book Antiqua" w:hAnsi="Book Antiqua"/>
          <w:noProof/>
          <w:sz w:val="24"/>
          <w:szCs w:val="24"/>
          <w:vertAlign w:val="superscript"/>
        </w:rPr>
        <w:t>[24]</w:t>
      </w:r>
      <w:r w:rsidRPr="009D2289">
        <w:rPr>
          <w:rFonts w:ascii="Book Antiqua" w:hAnsi="Book Antiqua"/>
          <w:sz w:val="24"/>
          <w:szCs w:val="24"/>
        </w:rPr>
        <w:t>. The etiology of CD is still not completely understood</w:t>
      </w:r>
      <w:r w:rsidRPr="009D2289">
        <w:rPr>
          <w:rFonts w:ascii="Book Antiqua" w:hAnsi="Book Antiqua"/>
          <w:noProof/>
          <w:sz w:val="24"/>
          <w:szCs w:val="24"/>
          <w:vertAlign w:val="superscript"/>
        </w:rPr>
        <w:t>[25]</w:t>
      </w:r>
      <w:r w:rsidRPr="009D2289">
        <w:rPr>
          <w:rFonts w:ascii="Book Antiqua" w:hAnsi="Book Antiqua"/>
          <w:sz w:val="24"/>
          <w:szCs w:val="24"/>
        </w:rPr>
        <w:t xml:space="preserve">, although </w:t>
      </w:r>
      <w:r w:rsidRPr="009D2289">
        <w:rPr>
          <w:rFonts w:ascii="Book Antiqua" w:hAnsi="Book Antiqua"/>
          <w:i/>
          <w:sz w:val="24"/>
          <w:szCs w:val="24"/>
        </w:rPr>
        <w:t>NOD2/CARD15</w:t>
      </w:r>
      <w:r w:rsidRPr="009D2289">
        <w:rPr>
          <w:rFonts w:ascii="Book Antiqua" w:hAnsi="Book Antiqua"/>
          <w:sz w:val="24"/>
          <w:szCs w:val="24"/>
        </w:rPr>
        <w:t xml:space="preserve"> was the first CD susceptibility gene to be discovered</w:t>
      </w:r>
      <w:r w:rsidRPr="009D2289">
        <w:rPr>
          <w:rFonts w:ascii="Book Antiqua" w:hAnsi="Book Antiqua"/>
          <w:noProof/>
          <w:sz w:val="24"/>
          <w:szCs w:val="24"/>
          <w:vertAlign w:val="superscript"/>
        </w:rPr>
        <w:t>[26]</w:t>
      </w:r>
      <w:r w:rsidRPr="009D2289">
        <w:rPr>
          <w:rFonts w:ascii="Book Antiqua" w:hAnsi="Book Antiqua"/>
          <w:sz w:val="24"/>
          <w:szCs w:val="24"/>
        </w:rPr>
        <w:t>. Oxidative stress, autophagy, endoplasmic reticulum stress and other molecular pathways have been correlated with CD prevalence</w:t>
      </w:r>
      <w:r w:rsidRPr="009D2289">
        <w:rPr>
          <w:rFonts w:ascii="Book Antiqua" w:hAnsi="Book Antiqua"/>
          <w:noProof/>
          <w:sz w:val="24"/>
          <w:szCs w:val="24"/>
          <w:vertAlign w:val="superscript"/>
        </w:rPr>
        <w:t>[27,28]</w:t>
      </w:r>
      <w:r w:rsidRPr="009D2289">
        <w:rPr>
          <w:rFonts w:ascii="Book Antiqua" w:hAnsi="Book Antiqua"/>
          <w:sz w:val="24"/>
          <w:szCs w:val="24"/>
        </w:rPr>
        <w:t>. Moreover, an infectious organism might be the initiating factor for CD pathogenesis. This hypothesis was supported by evidence from animal models showing that spontaneous colitis did not develop in a germ-free environment</w:t>
      </w:r>
      <w:r w:rsidRPr="009D2289">
        <w:rPr>
          <w:rFonts w:ascii="Book Antiqua" w:hAnsi="Book Antiqua"/>
          <w:noProof/>
          <w:sz w:val="24"/>
          <w:szCs w:val="24"/>
          <w:vertAlign w:val="superscript"/>
        </w:rPr>
        <w:t>[29]</w:t>
      </w:r>
      <w:r w:rsidRPr="009D2289">
        <w:rPr>
          <w:rFonts w:ascii="Book Antiqua" w:hAnsi="Book Antiqua"/>
          <w:sz w:val="24"/>
          <w:szCs w:val="24"/>
        </w:rPr>
        <w:t>. Nevertheless, none of suggested bacterial causes have been conclusively proven</w:t>
      </w:r>
      <w:r w:rsidRPr="009D2289">
        <w:rPr>
          <w:rFonts w:ascii="Book Antiqua" w:hAnsi="Book Antiqua"/>
          <w:noProof/>
          <w:sz w:val="24"/>
          <w:szCs w:val="24"/>
          <w:vertAlign w:val="superscript"/>
        </w:rPr>
        <w:t>[5]</w:t>
      </w:r>
      <w:r w:rsidRPr="009D2289">
        <w:rPr>
          <w:rFonts w:ascii="Book Antiqua" w:hAnsi="Book Antiqua"/>
          <w:sz w:val="24"/>
          <w:szCs w:val="24"/>
        </w:rPr>
        <w:t xml:space="preserve">. </w:t>
      </w:r>
    </w:p>
    <w:p w:rsidR="002D612A" w:rsidRPr="009D2289" w:rsidRDefault="002D612A" w:rsidP="009D2289">
      <w:pPr>
        <w:spacing w:line="360" w:lineRule="auto"/>
        <w:ind w:firstLine="360"/>
        <w:rPr>
          <w:rFonts w:ascii="Book Antiqua" w:hAnsi="Book Antiqua"/>
          <w:sz w:val="24"/>
          <w:szCs w:val="24"/>
        </w:rPr>
      </w:pPr>
      <w:r w:rsidRPr="009D2289">
        <w:rPr>
          <w:rFonts w:ascii="Book Antiqua" w:hAnsi="Book Antiqua"/>
          <w:sz w:val="24"/>
          <w:szCs w:val="24"/>
        </w:rPr>
        <w:t xml:space="preserve">The role of </w:t>
      </w:r>
      <w:r w:rsidRPr="009D2289">
        <w:rPr>
          <w:rFonts w:ascii="Book Antiqua" w:hAnsi="Book Antiqua"/>
          <w:i/>
          <w:sz w:val="24"/>
          <w:szCs w:val="24"/>
        </w:rPr>
        <w:t>H. pylori</w:t>
      </w:r>
      <w:r w:rsidRPr="009D2289">
        <w:rPr>
          <w:rFonts w:ascii="Book Antiqua" w:hAnsi="Book Antiqua"/>
          <w:sz w:val="24"/>
          <w:szCs w:val="24"/>
        </w:rPr>
        <w:t xml:space="preserve"> in IBD pathogenesis has been enticing. Generally, </w:t>
      </w:r>
      <w:r w:rsidRPr="009D2289">
        <w:rPr>
          <w:rFonts w:ascii="Book Antiqua" w:hAnsi="Book Antiqua"/>
          <w:i/>
          <w:sz w:val="24"/>
          <w:szCs w:val="24"/>
        </w:rPr>
        <w:t>H. pylori</w:t>
      </w:r>
      <w:r w:rsidRPr="009D2289">
        <w:rPr>
          <w:rFonts w:ascii="Book Antiqua" w:hAnsi="Book Antiqua"/>
          <w:sz w:val="24"/>
          <w:szCs w:val="24"/>
        </w:rPr>
        <w:t xml:space="preserve"> had two main subgroups: gastric </w:t>
      </w:r>
      <w:r w:rsidRPr="009D2289">
        <w:rPr>
          <w:rFonts w:ascii="Book Antiqua" w:hAnsi="Book Antiqua"/>
          <w:i/>
          <w:sz w:val="24"/>
          <w:szCs w:val="24"/>
        </w:rPr>
        <w:t>Helicobacter</w:t>
      </w:r>
      <w:r w:rsidRPr="009D2289">
        <w:rPr>
          <w:rFonts w:ascii="Book Antiqua" w:hAnsi="Book Antiqua"/>
          <w:sz w:val="24"/>
          <w:szCs w:val="24"/>
        </w:rPr>
        <w:t xml:space="preserve"> that preferentially colonize the stomach, and enterohepatic </w:t>
      </w:r>
      <w:r w:rsidRPr="009D2289">
        <w:rPr>
          <w:rFonts w:ascii="Book Antiqua" w:hAnsi="Book Antiqua"/>
          <w:i/>
          <w:sz w:val="24"/>
          <w:szCs w:val="24"/>
        </w:rPr>
        <w:t>Helicobacter</w:t>
      </w:r>
      <w:r w:rsidRPr="009D2289">
        <w:rPr>
          <w:rFonts w:ascii="Book Antiqua" w:hAnsi="Book Antiqua"/>
          <w:sz w:val="24"/>
          <w:szCs w:val="24"/>
        </w:rPr>
        <w:t xml:space="preserve"> that infect the intestinal or </w:t>
      </w:r>
      <w:r w:rsidRPr="009D2289">
        <w:rPr>
          <w:rFonts w:ascii="Book Antiqua" w:hAnsi="Book Antiqua"/>
          <w:sz w:val="24"/>
          <w:szCs w:val="24"/>
        </w:rPr>
        <w:lastRenderedPageBreak/>
        <w:t>hepatobiliary system</w:t>
      </w:r>
      <w:r w:rsidRPr="009D2289">
        <w:rPr>
          <w:rFonts w:ascii="Book Antiqua" w:hAnsi="Book Antiqua"/>
          <w:noProof/>
          <w:sz w:val="24"/>
          <w:szCs w:val="24"/>
          <w:vertAlign w:val="superscript"/>
        </w:rPr>
        <w:t>[30]</w:t>
      </w:r>
      <w:r w:rsidRPr="009D2289">
        <w:rPr>
          <w:rFonts w:ascii="Book Antiqua" w:hAnsi="Book Antiqua"/>
          <w:sz w:val="24"/>
          <w:szCs w:val="24"/>
        </w:rPr>
        <w:t>. Accumulating evidence from gene knockout rodents indicate that the presence of enterohepatic helicobacter worsens the severity or hastens the development of colitis</w:t>
      </w:r>
      <w:r w:rsidRPr="009D2289">
        <w:rPr>
          <w:rFonts w:ascii="Book Antiqua" w:hAnsi="Book Antiqua"/>
          <w:noProof/>
          <w:sz w:val="24"/>
          <w:szCs w:val="24"/>
          <w:vertAlign w:val="superscript"/>
        </w:rPr>
        <w:t>[31,32]</w:t>
      </w:r>
      <w:r w:rsidRPr="009D2289">
        <w:rPr>
          <w:rFonts w:ascii="Book Antiqua" w:hAnsi="Book Antiqua"/>
          <w:sz w:val="24"/>
          <w:szCs w:val="24"/>
        </w:rPr>
        <w:t xml:space="preserve">. A more causative role was suggested by the observation that </w:t>
      </w:r>
      <w:r w:rsidRPr="009D2289">
        <w:rPr>
          <w:rFonts w:ascii="Book Antiqua" w:hAnsi="Book Antiqua"/>
          <w:i/>
          <w:sz w:val="24"/>
          <w:szCs w:val="24"/>
        </w:rPr>
        <w:t>Helicobacter muridarum</w:t>
      </w:r>
      <w:r w:rsidRPr="009D2289">
        <w:rPr>
          <w:rFonts w:ascii="Book Antiqua" w:hAnsi="Book Antiqua"/>
          <w:sz w:val="24"/>
          <w:szCs w:val="24"/>
        </w:rPr>
        <w:t xml:space="preserve"> can provoke CD in </w:t>
      </w:r>
      <w:r w:rsidRPr="009D2289">
        <w:rPr>
          <w:rStyle w:val="st"/>
          <w:rFonts w:ascii="Book Antiqua" w:hAnsi="Book Antiqua"/>
          <w:sz w:val="24"/>
          <w:szCs w:val="24"/>
        </w:rPr>
        <w:t>severe combined immunodeficiency</w:t>
      </w:r>
      <w:r w:rsidRPr="009D2289">
        <w:rPr>
          <w:rFonts w:ascii="Book Antiqua" w:hAnsi="Book Antiqua"/>
          <w:sz w:val="24"/>
          <w:szCs w:val="24"/>
        </w:rPr>
        <w:t xml:space="preserve"> mice upon receipt of T cells</w:t>
      </w:r>
      <w:r w:rsidRPr="009D2289">
        <w:rPr>
          <w:rFonts w:ascii="Book Antiqua" w:hAnsi="Book Antiqua"/>
          <w:noProof/>
          <w:sz w:val="24"/>
          <w:szCs w:val="24"/>
          <w:vertAlign w:val="superscript"/>
        </w:rPr>
        <w:t>[33]</w:t>
      </w:r>
      <w:r w:rsidRPr="009D2289">
        <w:rPr>
          <w:rFonts w:ascii="Book Antiqua" w:hAnsi="Book Antiqua"/>
          <w:sz w:val="24"/>
          <w:szCs w:val="24"/>
        </w:rPr>
        <w:t xml:space="preserve">. In addition, lower </w:t>
      </w:r>
      <w:r w:rsidRPr="009D2289">
        <w:rPr>
          <w:rFonts w:ascii="Book Antiqua" w:hAnsi="Book Antiqua"/>
          <w:i/>
          <w:sz w:val="24"/>
          <w:szCs w:val="24"/>
        </w:rPr>
        <w:t>H. pylori</w:t>
      </w:r>
      <w:r w:rsidRPr="009D2289">
        <w:rPr>
          <w:rFonts w:ascii="Book Antiqua" w:hAnsi="Book Antiqua"/>
          <w:sz w:val="24"/>
          <w:szCs w:val="24"/>
        </w:rPr>
        <w:t xml:space="preserve"> infection rate in CD patients was not influenced by antibiotic use</w:t>
      </w:r>
      <w:r w:rsidRPr="009D2289">
        <w:rPr>
          <w:rFonts w:ascii="Book Antiqua" w:hAnsi="Book Antiqua"/>
          <w:noProof/>
          <w:sz w:val="24"/>
          <w:szCs w:val="24"/>
          <w:vertAlign w:val="superscript"/>
        </w:rPr>
        <w:t>[34]</w:t>
      </w:r>
      <w:r w:rsidRPr="009D2289">
        <w:rPr>
          <w:rFonts w:ascii="Book Antiqua" w:hAnsi="Book Antiqua"/>
          <w:sz w:val="24"/>
          <w:szCs w:val="24"/>
        </w:rPr>
        <w:t xml:space="preserve">. However, the results from human studies are confusing. The largest study examining the association between </w:t>
      </w:r>
      <w:r w:rsidRPr="009D2289">
        <w:rPr>
          <w:rFonts w:ascii="Book Antiqua" w:hAnsi="Book Antiqua"/>
          <w:i/>
          <w:sz w:val="24"/>
          <w:szCs w:val="24"/>
        </w:rPr>
        <w:t>H. pylori</w:t>
      </w:r>
      <w:r w:rsidRPr="009D2289">
        <w:rPr>
          <w:rFonts w:ascii="Book Antiqua" w:hAnsi="Book Antiqua"/>
          <w:sz w:val="24"/>
          <w:szCs w:val="24"/>
        </w:rPr>
        <w:t xml:space="preserve"> infection and CD was conducted in the Netherlands by Wagtmans </w:t>
      </w:r>
      <w:r w:rsidRPr="009D2289">
        <w:rPr>
          <w:rFonts w:ascii="Book Antiqua" w:hAnsi="Book Antiqua"/>
          <w:i/>
          <w:sz w:val="24"/>
          <w:szCs w:val="24"/>
        </w:rPr>
        <w:t>et al.</w:t>
      </w:r>
      <w:r w:rsidRPr="009D2289">
        <w:rPr>
          <w:rFonts w:ascii="Book Antiqua" w:hAnsi="Book Antiqua"/>
          <w:sz w:val="24"/>
          <w:szCs w:val="24"/>
        </w:rPr>
        <w:t>, which enrolled 386 CD patients and 277 controls</w:t>
      </w:r>
      <w:r w:rsidRPr="009D2289">
        <w:rPr>
          <w:rFonts w:ascii="Book Antiqua" w:hAnsi="Book Antiqua"/>
          <w:noProof/>
          <w:sz w:val="24"/>
          <w:szCs w:val="24"/>
          <w:vertAlign w:val="superscript"/>
        </w:rPr>
        <w:t>[35]</w:t>
      </w:r>
      <w:r w:rsidRPr="009D2289">
        <w:rPr>
          <w:rFonts w:ascii="Book Antiqua" w:hAnsi="Book Antiqua"/>
          <w:sz w:val="24"/>
          <w:szCs w:val="24"/>
        </w:rPr>
        <w:t xml:space="preserve">. Though their results supported the positive association between </w:t>
      </w:r>
      <w:r w:rsidRPr="009D2289">
        <w:rPr>
          <w:rFonts w:ascii="Book Antiqua" w:hAnsi="Book Antiqua"/>
          <w:i/>
          <w:sz w:val="24"/>
          <w:szCs w:val="24"/>
        </w:rPr>
        <w:t>H. pylori</w:t>
      </w:r>
      <w:r w:rsidRPr="009D2289">
        <w:rPr>
          <w:rFonts w:ascii="Book Antiqua" w:hAnsi="Book Antiqua"/>
          <w:sz w:val="24"/>
          <w:szCs w:val="24"/>
        </w:rPr>
        <w:t xml:space="preserve"> infection and CD prevalence, the credibility of these findings was weakened by the use of serum </w:t>
      </w:r>
      <w:r w:rsidRPr="009D2289">
        <w:rPr>
          <w:rFonts w:ascii="Book Antiqua" w:hAnsi="Book Antiqua"/>
          <w:i/>
          <w:sz w:val="24"/>
          <w:szCs w:val="24"/>
        </w:rPr>
        <w:t>H. pylori</w:t>
      </w:r>
      <w:r w:rsidRPr="009D2289">
        <w:rPr>
          <w:rFonts w:ascii="Book Antiqua" w:hAnsi="Book Antiqua"/>
          <w:sz w:val="24"/>
          <w:szCs w:val="24"/>
        </w:rPr>
        <w:t xml:space="preserve">-IgG as the diagnostic tool. A meta-analysis was conducted that supported the involvement of </w:t>
      </w:r>
      <w:r w:rsidRPr="009D2289">
        <w:rPr>
          <w:rFonts w:ascii="Book Antiqua" w:hAnsi="Book Antiqua"/>
          <w:i/>
          <w:sz w:val="24"/>
          <w:szCs w:val="24"/>
        </w:rPr>
        <w:t>H. pylori</w:t>
      </w:r>
      <w:r w:rsidRPr="009D2289">
        <w:rPr>
          <w:rFonts w:ascii="Book Antiqua" w:hAnsi="Book Antiqua"/>
          <w:sz w:val="24"/>
          <w:szCs w:val="24"/>
        </w:rPr>
        <w:t xml:space="preserve"> infection in CD, but study heterogeneity and publication bias decreased its credibility</w:t>
      </w:r>
      <w:r w:rsidRPr="009D2289">
        <w:rPr>
          <w:rFonts w:ascii="Book Antiqua" w:hAnsi="Book Antiqua"/>
          <w:noProof/>
          <w:sz w:val="24"/>
          <w:szCs w:val="24"/>
          <w:vertAlign w:val="superscript"/>
        </w:rPr>
        <w:t>[15]</w:t>
      </w:r>
      <w:r w:rsidRPr="009D2289">
        <w:rPr>
          <w:rFonts w:ascii="Book Antiqua" w:hAnsi="Book Antiqua"/>
          <w:sz w:val="24"/>
          <w:szCs w:val="24"/>
        </w:rPr>
        <w:t xml:space="preserve">. In contrast, two independent studies found higher </w:t>
      </w:r>
      <w:r w:rsidRPr="009D2289">
        <w:rPr>
          <w:rFonts w:ascii="Book Antiqua" w:hAnsi="Book Antiqua"/>
          <w:i/>
          <w:sz w:val="24"/>
          <w:szCs w:val="24"/>
        </w:rPr>
        <w:t>H. pylori</w:t>
      </w:r>
      <w:r w:rsidRPr="009D2289">
        <w:rPr>
          <w:rFonts w:ascii="Book Antiqua" w:hAnsi="Book Antiqua"/>
          <w:sz w:val="24"/>
          <w:szCs w:val="24"/>
        </w:rPr>
        <w:t xml:space="preserve"> infection in CD patients than in controls (12% </w:t>
      </w:r>
      <w:r w:rsidRPr="009D2289">
        <w:rPr>
          <w:rFonts w:ascii="Book Antiqua" w:hAnsi="Book Antiqua"/>
          <w:i/>
          <w:sz w:val="24"/>
          <w:szCs w:val="24"/>
        </w:rPr>
        <w:t>vs</w:t>
      </w:r>
      <w:r w:rsidRPr="009D2289">
        <w:rPr>
          <w:rFonts w:ascii="Book Antiqua" w:hAnsi="Book Antiqua"/>
          <w:sz w:val="24"/>
          <w:szCs w:val="24"/>
        </w:rPr>
        <w:t xml:space="preserve"> 4% and 14% </w:t>
      </w:r>
      <w:r w:rsidRPr="009D2289">
        <w:rPr>
          <w:rFonts w:ascii="Book Antiqua" w:hAnsi="Book Antiqua"/>
          <w:i/>
          <w:sz w:val="24"/>
          <w:szCs w:val="24"/>
        </w:rPr>
        <w:t>vs</w:t>
      </w:r>
      <w:r w:rsidRPr="009D2289">
        <w:rPr>
          <w:rFonts w:ascii="Book Antiqua" w:hAnsi="Book Antiqua"/>
          <w:sz w:val="24"/>
          <w:szCs w:val="24"/>
        </w:rPr>
        <w:t xml:space="preserve"> 1.4%, respectively)</w:t>
      </w:r>
      <w:r w:rsidRPr="009D2289">
        <w:rPr>
          <w:rFonts w:ascii="Book Antiqua" w:hAnsi="Book Antiqua"/>
          <w:sz w:val="24"/>
          <w:szCs w:val="24"/>
          <w:vertAlign w:val="superscript"/>
        </w:rPr>
        <w:t>[14,36]</w:t>
      </w:r>
      <w:r w:rsidRPr="009D2289">
        <w:rPr>
          <w:rFonts w:ascii="Book Antiqua" w:hAnsi="Book Antiqua"/>
          <w:sz w:val="24"/>
          <w:szCs w:val="24"/>
        </w:rPr>
        <w:t xml:space="preserve">. Furthermore, other studies investigating </w:t>
      </w:r>
      <w:r w:rsidRPr="009D2289">
        <w:rPr>
          <w:rFonts w:ascii="Book Antiqua" w:hAnsi="Book Antiqua"/>
          <w:i/>
          <w:sz w:val="24"/>
          <w:szCs w:val="24"/>
        </w:rPr>
        <w:t>Helicobacter</w:t>
      </w:r>
      <w:r w:rsidRPr="009D2289">
        <w:rPr>
          <w:rFonts w:ascii="Book Antiqua" w:hAnsi="Book Antiqua"/>
          <w:sz w:val="24"/>
          <w:szCs w:val="24"/>
        </w:rPr>
        <w:t xml:space="preserve"> species in human colon also failed to find any correlation with CD</w:t>
      </w:r>
      <w:r w:rsidRPr="009D2289">
        <w:rPr>
          <w:rFonts w:ascii="Book Antiqua" w:hAnsi="Book Antiqua"/>
          <w:noProof/>
          <w:sz w:val="24"/>
          <w:szCs w:val="24"/>
          <w:vertAlign w:val="superscript"/>
        </w:rPr>
        <w:t>[37,38]</w:t>
      </w:r>
      <w:r w:rsidRPr="009D2289">
        <w:rPr>
          <w:rFonts w:ascii="Book Antiqua" w:hAnsi="Book Antiqua"/>
          <w:sz w:val="24"/>
          <w:szCs w:val="24"/>
        </w:rPr>
        <w:t>.</w:t>
      </w:r>
    </w:p>
    <w:p w:rsidR="002D612A" w:rsidRPr="009D2289" w:rsidRDefault="002D612A" w:rsidP="009D2289">
      <w:pPr>
        <w:spacing w:line="360" w:lineRule="auto"/>
        <w:ind w:firstLine="360"/>
        <w:rPr>
          <w:rFonts w:ascii="Book Antiqua" w:hAnsi="Book Antiqua"/>
          <w:sz w:val="24"/>
          <w:szCs w:val="24"/>
        </w:rPr>
      </w:pPr>
      <w:r w:rsidRPr="009D2289">
        <w:rPr>
          <w:rFonts w:ascii="Book Antiqua" w:hAnsi="Book Antiqua"/>
          <w:sz w:val="24"/>
          <w:szCs w:val="24"/>
        </w:rPr>
        <w:t xml:space="preserve">To tackle this discordancy, we retrospectively investigated the association between </w:t>
      </w:r>
      <w:r w:rsidRPr="009D2289">
        <w:rPr>
          <w:rFonts w:ascii="Book Antiqua" w:hAnsi="Book Antiqua"/>
          <w:i/>
          <w:sz w:val="24"/>
          <w:szCs w:val="24"/>
        </w:rPr>
        <w:t>H. pylori</w:t>
      </w:r>
      <w:r w:rsidRPr="009D2289">
        <w:rPr>
          <w:rFonts w:ascii="Book Antiqua" w:hAnsi="Book Antiqua"/>
          <w:sz w:val="24"/>
          <w:szCs w:val="24"/>
        </w:rPr>
        <w:t xml:space="preserve"> infection and CD in a large case control study of Chinese patients. The initial results showed a significantly lower </w:t>
      </w:r>
      <w:r w:rsidRPr="009D2289">
        <w:rPr>
          <w:rFonts w:ascii="Book Antiqua" w:hAnsi="Book Antiqua"/>
          <w:i/>
          <w:sz w:val="24"/>
          <w:szCs w:val="24"/>
        </w:rPr>
        <w:t>H. pylori</w:t>
      </w:r>
      <w:r w:rsidRPr="009D2289">
        <w:rPr>
          <w:rFonts w:ascii="Book Antiqua" w:hAnsi="Book Antiqua"/>
          <w:sz w:val="24"/>
          <w:szCs w:val="24"/>
        </w:rPr>
        <w:t xml:space="preserve"> infection rate in the CD group, which is in accordance with the previous meta-analysis</w:t>
      </w:r>
      <w:r w:rsidRPr="009D2289">
        <w:rPr>
          <w:rFonts w:ascii="Book Antiqua" w:hAnsi="Book Antiqua"/>
          <w:noProof/>
          <w:sz w:val="24"/>
          <w:szCs w:val="24"/>
          <w:vertAlign w:val="superscript"/>
        </w:rPr>
        <w:t>[15]</w:t>
      </w:r>
      <w:r w:rsidRPr="009D2289">
        <w:rPr>
          <w:rFonts w:ascii="Book Antiqua" w:hAnsi="Book Antiqua"/>
          <w:sz w:val="24"/>
          <w:szCs w:val="24"/>
        </w:rPr>
        <w:t xml:space="preserve">. The </w:t>
      </w:r>
      <w:r w:rsidRPr="009D2289">
        <w:rPr>
          <w:rFonts w:ascii="Book Antiqua" w:hAnsi="Book Antiqua"/>
          <w:sz w:val="24"/>
          <w:szCs w:val="24"/>
          <w:vertAlign w:val="superscript"/>
        </w:rPr>
        <w:t>14</w:t>
      </w:r>
      <w:r w:rsidRPr="009D2289">
        <w:rPr>
          <w:rFonts w:ascii="Book Antiqua" w:hAnsi="Book Antiqua"/>
          <w:sz w:val="24"/>
          <w:szCs w:val="24"/>
        </w:rPr>
        <w:t xml:space="preserve">C-UBT and biopsy sample culture had higher sensitivity and specificity than the serum </w:t>
      </w:r>
      <w:r w:rsidRPr="009D2289">
        <w:rPr>
          <w:rFonts w:ascii="Book Antiqua" w:hAnsi="Book Antiqua"/>
          <w:i/>
          <w:sz w:val="24"/>
          <w:szCs w:val="24"/>
        </w:rPr>
        <w:t>H. pylori</w:t>
      </w:r>
      <w:r w:rsidRPr="009D2289">
        <w:rPr>
          <w:rFonts w:ascii="Book Antiqua" w:hAnsi="Book Antiqua"/>
          <w:sz w:val="24"/>
          <w:szCs w:val="24"/>
        </w:rPr>
        <w:t xml:space="preserve">-IgG test, increasing the credibility of these findings. The significantly lower BMI in CD patients may be due to malnutrition caused by diarrhea and other GI symptoms. Based on subgroup analysis (Tables 2 and 3), we found significantly lower </w:t>
      </w:r>
      <w:r w:rsidRPr="009D2289">
        <w:rPr>
          <w:rFonts w:ascii="Book Antiqua" w:hAnsi="Book Antiqua"/>
          <w:i/>
          <w:sz w:val="24"/>
          <w:szCs w:val="24"/>
        </w:rPr>
        <w:t>H. pylori</w:t>
      </w:r>
      <w:r w:rsidRPr="009D2289">
        <w:rPr>
          <w:rFonts w:ascii="Book Antiqua" w:hAnsi="Book Antiqua"/>
          <w:sz w:val="24"/>
          <w:szCs w:val="24"/>
        </w:rPr>
        <w:t xml:space="preserve"> infection in each CD subgroup and a trend of decreased </w:t>
      </w:r>
      <w:r w:rsidRPr="009D2289">
        <w:rPr>
          <w:rFonts w:ascii="Book Antiqua" w:hAnsi="Book Antiqua"/>
          <w:i/>
          <w:sz w:val="24"/>
          <w:szCs w:val="24"/>
        </w:rPr>
        <w:t>H. pylori</w:t>
      </w:r>
      <w:r w:rsidRPr="009D2289">
        <w:rPr>
          <w:rFonts w:ascii="Book Antiqua" w:hAnsi="Book Antiqua"/>
          <w:sz w:val="24"/>
          <w:szCs w:val="24"/>
        </w:rPr>
        <w:t xml:space="preserve"> infection paralleling with increased CD severity, increasing the correlation between </w:t>
      </w:r>
      <w:r w:rsidRPr="009D2289">
        <w:rPr>
          <w:rFonts w:ascii="Book Antiqua" w:hAnsi="Book Antiqua"/>
          <w:i/>
          <w:sz w:val="24"/>
          <w:szCs w:val="24"/>
        </w:rPr>
        <w:t xml:space="preserve">H. </w:t>
      </w:r>
      <w:r w:rsidRPr="009D2289">
        <w:rPr>
          <w:rFonts w:ascii="Book Antiqua" w:hAnsi="Book Antiqua"/>
          <w:i/>
          <w:sz w:val="24"/>
          <w:szCs w:val="24"/>
        </w:rPr>
        <w:lastRenderedPageBreak/>
        <w:t>pylori</w:t>
      </w:r>
      <w:r w:rsidRPr="009D2289">
        <w:rPr>
          <w:rFonts w:ascii="Book Antiqua" w:hAnsi="Book Antiqua"/>
          <w:sz w:val="24"/>
          <w:szCs w:val="24"/>
        </w:rPr>
        <w:t xml:space="preserve"> infection and CD. Theoretically, it is possible for a protective role of </w:t>
      </w:r>
      <w:r w:rsidRPr="009D2289">
        <w:rPr>
          <w:rFonts w:ascii="Book Antiqua" w:hAnsi="Book Antiqua"/>
          <w:i/>
          <w:sz w:val="24"/>
          <w:szCs w:val="24"/>
        </w:rPr>
        <w:t>H. pylori</w:t>
      </w:r>
      <w:r w:rsidRPr="009D2289">
        <w:rPr>
          <w:rFonts w:ascii="Book Antiqua" w:hAnsi="Book Antiqua"/>
          <w:sz w:val="24"/>
          <w:szCs w:val="24"/>
        </w:rPr>
        <w:t xml:space="preserve"> infection in CD</w:t>
      </w:r>
      <w:r w:rsidRPr="009D2289">
        <w:rPr>
          <w:rFonts w:ascii="Book Antiqua" w:hAnsi="Book Antiqua"/>
          <w:noProof/>
          <w:sz w:val="24"/>
          <w:szCs w:val="24"/>
          <w:vertAlign w:val="superscript"/>
        </w:rPr>
        <w:t>[39]</w:t>
      </w:r>
      <w:r w:rsidRPr="009D2289">
        <w:rPr>
          <w:rFonts w:ascii="Book Antiqua" w:hAnsi="Book Antiqua"/>
          <w:sz w:val="24"/>
          <w:szCs w:val="24"/>
        </w:rPr>
        <w:t xml:space="preserve">. In detail, </w:t>
      </w:r>
      <w:r w:rsidRPr="009D2289">
        <w:rPr>
          <w:rFonts w:ascii="Book Antiqua" w:hAnsi="Book Antiqua"/>
          <w:i/>
          <w:sz w:val="24"/>
          <w:szCs w:val="24"/>
        </w:rPr>
        <w:t>H. pylori</w:t>
      </w:r>
      <w:r w:rsidRPr="009D2289">
        <w:rPr>
          <w:rFonts w:ascii="Book Antiqua" w:hAnsi="Book Antiqua"/>
          <w:sz w:val="24"/>
          <w:szCs w:val="24"/>
        </w:rPr>
        <w:t xml:space="preserve"> is able to decrease immune-mediated intestinal injury by triggering Th1 dominated cell defense</w:t>
      </w:r>
      <w:r w:rsidRPr="009D2289">
        <w:rPr>
          <w:rFonts w:ascii="Book Antiqua" w:hAnsi="Book Antiqua"/>
          <w:noProof/>
          <w:sz w:val="24"/>
          <w:szCs w:val="24"/>
          <w:vertAlign w:val="superscript"/>
        </w:rPr>
        <w:t>[40]</w:t>
      </w:r>
      <w:r w:rsidRPr="009D2289">
        <w:rPr>
          <w:rFonts w:ascii="Book Antiqua" w:hAnsi="Book Antiqua"/>
          <w:sz w:val="24"/>
          <w:szCs w:val="24"/>
        </w:rPr>
        <w:t xml:space="preserve"> and inhibit other bacterially-induced mucosal damage by inducing antibacterial peptide production</w:t>
      </w:r>
      <w:r w:rsidRPr="009D2289">
        <w:rPr>
          <w:rFonts w:ascii="Book Antiqua" w:hAnsi="Book Antiqua"/>
          <w:noProof/>
          <w:sz w:val="24"/>
          <w:szCs w:val="24"/>
          <w:vertAlign w:val="superscript"/>
        </w:rPr>
        <w:t>[41]</w:t>
      </w:r>
      <w:r w:rsidRPr="009D2289">
        <w:rPr>
          <w:rFonts w:ascii="Book Antiqua" w:hAnsi="Book Antiqua"/>
          <w:sz w:val="24"/>
          <w:szCs w:val="24"/>
        </w:rPr>
        <w:t>.</w:t>
      </w:r>
    </w:p>
    <w:p w:rsidR="002D612A" w:rsidRPr="009D2289" w:rsidRDefault="002D612A" w:rsidP="009D2289">
      <w:pPr>
        <w:spacing w:line="360" w:lineRule="auto"/>
        <w:ind w:firstLineChars="150" w:firstLine="360"/>
        <w:rPr>
          <w:rFonts w:ascii="Book Antiqua" w:hAnsi="Book Antiqua"/>
          <w:sz w:val="24"/>
          <w:szCs w:val="24"/>
        </w:rPr>
      </w:pPr>
      <w:r w:rsidRPr="009D2289">
        <w:rPr>
          <w:rFonts w:ascii="Book Antiqua" w:hAnsi="Book Antiqua"/>
          <w:sz w:val="24"/>
          <w:szCs w:val="24"/>
        </w:rPr>
        <w:t xml:space="preserve">Several limitations of this study should be acknowledged. First, </w:t>
      </w:r>
      <w:r w:rsidRPr="009D2289">
        <w:rPr>
          <w:rFonts w:ascii="Book Antiqua" w:hAnsi="Book Antiqua"/>
          <w:i/>
          <w:sz w:val="24"/>
          <w:szCs w:val="24"/>
        </w:rPr>
        <w:t>H. pylori</w:t>
      </w:r>
      <w:r w:rsidRPr="009D2289">
        <w:rPr>
          <w:rFonts w:ascii="Book Antiqua" w:hAnsi="Book Antiqua"/>
          <w:sz w:val="24"/>
          <w:szCs w:val="24"/>
        </w:rPr>
        <w:t xml:space="preserve"> infection in colon biopsy was not detected, which may decrease disease occurrence rate. Furthermore, </w:t>
      </w:r>
      <w:r w:rsidRPr="009D2289">
        <w:rPr>
          <w:rFonts w:ascii="Book Antiqua" w:hAnsi="Book Antiqua"/>
          <w:color w:val="000000"/>
          <w:sz w:val="24"/>
          <w:szCs w:val="24"/>
        </w:rPr>
        <w:t xml:space="preserve">other members of the </w:t>
      </w:r>
      <w:r w:rsidRPr="009D2289">
        <w:rPr>
          <w:rFonts w:ascii="Book Antiqua" w:hAnsi="Book Antiqua"/>
          <w:i/>
          <w:color w:val="000000"/>
          <w:sz w:val="24"/>
          <w:szCs w:val="24"/>
        </w:rPr>
        <w:t>Helicobacter</w:t>
      </w:r>
      <w:r w:rsidRPr="009D2289">
        <w:rPr>
          <w:rFonts w:ascii="Book Antiqua" w:hAnsi="Book Antiqua"/>
          <w:color w:val="000000"/>
          <w:sz w:val="24"/>
          <w:szCs w:val="24"/>
        </w:rPr>
        <w:t xml:space="preserve"> family are associated with the development of gut inflammation and some are found more commonly in people with IBD when compared to healthy controls. However, these members colonize the lower gut, rather than having a location limited to the stomach. Therefore, while these data are convincing, it would be helpful to detect them in another independent experiment. </w:t>
      </w:r>
      <w:r w:rsidRPr="009D2289">
        <w:rPr>
          <w:rFonts w:ascii="Book Antiqua" w:hAnsi="Book Antiqua"/>
          <w:sz w:val="24"/>
          <w:szCs w:val="24"/>
        </w:rPr>
        <w:t xml:space="preserve">Second, it is better to use </w:t>
      </w:r>
      <w:r w:rsidRPr="009D2289">
        <w:rPr>
          <w:rFonts w:ascii="Book Antiqua" w:hAnsi="Book Antiqua"/>
          <w:sz w:val="24"/>
          <w:szCs w:val="24"/>
          <w:vertAlign w:val="superscript"/>
        </w:rPr>
        <w:t>13</w:t>
      </w:r>
      <w:r w:rsidRPr="009D2289">
        <w:rPr>
          <w:rFonts w:ascii="Book Antiqua" w:hAnsi="Book Antiqua"/>
          <w:sz w:val="24"/>
          <w:szCs w:val="24"/>
        </w:rPr>
        <w:t xml:space="preserve">C-UBT instead of </w:t>
      </w:r>
      <w:r w:rsidRPr="009D2289">
        <w:rPr>
          <w:rFonts w:ascii="Book Antiqua" w:hAnsi="Book Antiqua"/>
          <w:sz w:val="24"/>
          <w:szCs w:val="24"/>
          <w:vertAlign w:val="superscript"/>
        </w:rPr>
        <w:t>14</w:t>
      </w:r>
      <w:r w:rsidRPr="009D2289">
        <w:rPr>
          <w:rFonts w:ascii="Book Antiqua" w:hAnsi="Book Antiqua"/>
          <w:sz w:val="24"/>
          <w:szCs w:val="24"/>
        </w:rPr>
        <w:t>C-UBT, since the former has no radiation and is safer for patients</w:t>
      </w:r>
      <w:r w:rsidRPr="009D2289">
        <w:rPr>
          <w:rFonts w:ascii="Book Antiqua" w:hAnsi="Book Antiqua"/>
          <w:noProof/>
          <w:sz w:val="24"/>
          <w:szCs w:val="24"/>
          <w:vertAlign w:val="superscript"/>
        </w:rPr>
        <w:t>[42]</w:t>
      </w:r>
      <w:r w:rsidRPr="009D2289">
        <w:rPr>
          <w:rFonts w:ascii="Book Antiqua" w:hAnsi="Book Antiqua"/>
          <w:sz w:val="24"/>
          <w:szCs w:val="24"/>
        </w:rPr>
        <w:t>. We have plans to implement this technique in our laboratory in the future. Third, wireless capsule endoscopy was used to detect small intestine CD. Though the effect of capsule endoscopy in small intestine CD diagnosis has been recognized</w:t>
      </w:r>
      <w:r w:rsidRPr="009D2289">
        <w:rPr>
          <w:rFonts w:ascii="Book Antiqua" w:hAnsi="Book Antiqua"/>
          <w:noProof/>
          <w:sz w:val="24"/>
          <w:szCs w:val="24"/>
          <w:vertAlign w:val="superscript"/>
        </w:rPr>
        <w:t>[43]</w:t>
      </w:r>
      <w:r w:rsidRPr="009D2289">
        <w:rPr>
          <w:rFonts w:ascii="Book Antiqua" w:hAnsi="Book Antiqua"/>
          <w:sz w:val="24"/>
          <w:szCs w:val="24"/>
        </w:rPr>
        <w:t xml:space="preserve">, the lack of biopsy results may decrease its credibility. It would be helpful to include double balloon small bowel endoscopy. Fourth, the trend of decreased </w:t>
      </w:r>
      <w:r w:rsidRPr="009D2289">
        <w:rPr>
          <w:rFonts w:ascii="Book Antiqua" w:hAnsi="Book Antiqua"/>
          <w:i/>
          <w:sz w:val="24"/>
          <w:szCs w:val="24"/>
        </w:rPr>
        <w:t>H. pylori</w:t>
      </w:r>
      <w:r w:rsidRPr="009D2289">
        <w:rPr>
          <w:rFonts w:ascii="Book Antiqua" w:hAnsi="Book Antiqua"/>
          <w:sz w:val="24"/>
          <w:szCs w:val="24"/>
        </w:rPr>
        <w:t xml:space="preserve"> infection paralleling with increased CD severity should be repeated in a larger clinical trial for statistical significance. Fifth, it is better to report </w:t>
      </w:r>
      <w:r w:rsidRPr="009D2289">
        <w:rPr>
          <w:rFonts w:ascii="Book Antiqua" w:hAnsi="Book Antiqua"/>
          <w:i/>
          <w:sz w:val="24"/>
          <w:szCs w:val="24"/>
        </w:rPr>
        <w:t>H. pylori</w:t>
      </w:r>
      <w:r w:rsidRPr="009D2289">
        <w:rPr>
          <w:rFonts w:ascii="Book Antiqua" w:hAnsi="Book Antiqua"/>
          <w:sz w:val="24"/>
          <w:szCs w:val="24"/>
        </w:rPr>
        <w:t xml:space="preserve"> infection rate in IBD, where </w:t>
      </w:r>
      <w:r w:rsidRPr="009D2289">
        <w:rPr>
          <w:rFonts w:ascii="Book Antiqua" w:hAnsi="Book Antiqua"/>
          <w:i/>
          <w:sz w:val="24"/>
          <w:szCs w:val="24"/>
        </w:rPr>
        <w:t xml:space="preserve">H. pylori </w:t>
      </w:r>
      <w:r w:rsidRPr="009D2289">
        <w:rPr>
          <w:rFonts w:ascii="Book Antiqua" w:hAnsi="Book Antiqua"/>
          <w:sz w:val="24"/>
          <w:szCs w:val="24"/>
        </w:rPr>
        <w:t xml:space="preserve">in UC should be reported. We found a 30.5% </w:t>
      </w:r>
      <w:r w:rsidRPr="009D2289">
        <w:rPr>
          <w:rFonts w:ascii="Book Antiqua" w:hAnsi="Book Antiqua"/>
          <w:i/>
          <w:sz w:val="24"/>
          <w:szCs w:val="24"/>
        </w:rPr>
        <w:t xml:space="preserve">H. pylori </w:t>
      </w:r>
      <w:r w:rsidRPr="009D2289">
        <w:rPr>
          <w:rFonts w:ascii="Book Antiqua" w:hAnsi="Book Antiqua"/>
          <w:sz w:val="24"/>
          <w:szCs w:val="24"/>
        </w:rPr>
        <w:t xml:space="preserve">infection rate in UC patients and are currently preparing these data for submission. Finally, the causative effect of </w:t>
      </w:r>
      <w:r w:rsidRPr="009D2289">
        <w:rPr>
          <w:rFonts w:ascii="Book Antiqua" w:hAnsi="Book Antiqua"/>
          <w:i/>
          <w:sz w:val="24"/>
          <w:szCs w:val="24"/>
        </w:rPr>
        <w:t>H. pylori</w:t>
      </w:r>
      <w:r w:rsidRPr="009D2289">
        <w:rPr>
          <w:rFonts w:ascii="Book Antiqua" w:hAnsi="Book Antiqua"/>
          <w:sz w:val="24"/>
          <w:szCs w:val="24"/>
        </w:rPr>
        <w:t xml:space="preserve"> infection in CD cannot be established through case control studies and further prospective clinical trial data are necessary. </w:t>
      </w:r>
    </w:p>
    <w:p w:rsidR="002D612A" w:rsidRPr="009D2289" w:rsidRDefault="002D612A" w:rsidP="009D2289">
      <w:pPr>
        <w:spacing w:line="360" w:lineRule="auto"/>
        <w:ind w:firstLineChars="150" w:firstLine="360"/>
        <w:rPr>
          <w:rFonts w:ascii="Book Antiqua" w:hAnsi="Book Antiqua"/>
          <w:color w:val="000000"/>
          <w:sz w:val="24"/>
          <w:szCs w:val="24"/>
          <w:shd w:val="clear" w:color="auto" w:fill="E4E4E4"/>
        </w:rPr>
      </w:pPr>
      <w:r w:rsidRPr="009D2289">
        <w:rPr>
          <w:rFonts w:ascii="Book Antiqua" w:hAnsi="Book Antiqua"/>
          <w:sz w:val="24"/>
          <w:szCs w:val="24"/>
        </w:rPr>
        <w:t xml:space="preserve">In conclusion, our results provide evidence for the involvement of </w:t>
      </w:r>
      <w:r w:rsidRPr="009D2289">
        <w:rPr>
          <w:rFonts w:ascii="Book Antiqua" w:hAnsi="Book Antiqua"/>
          <w:i/>
          <w:sz w:val="24"/>
          <w:szCs w:val="24"/>
        </w:rPr>
        <w:t>H. pylori</w:t>
      </w:r>
      <w:r w:rsidRPr="009D2289">
        <w:rPr>
          <w:rFonts w:ascii="Book Antiqua" w:hAnsi="Book Antiqua"/>
          <w:sz w:val="24"/>
          <w:szCs w:val="24"/>
        </w:rPr>
        <w:t xml:space="preserve"> in CD prevalence. These findings should serve as an important reminder to clinicians when considering </w:t>
      </w:r>
      <w:r w:rsidRPr="009D2289">
        <w:rPr>
          <w:rFonts w:ascii="Book Antiqua" w:hAnsi="Book Antiqua"/>
          <w:i/>
          <w:sz w:val="24"/>
          <w:szCs w:val="24"/>
        </w:rPr>
        <w:t>H. pylori</w:t>
      </w:r>
      <w:r w:rsidRPr="009D2289">
        <w:rPr>
          <w:rFonts w:ascii="Book Antiqua" w:hAnsi="Book Antiqua"/>
          <w:sz w:val="24"/>
          <w:szCs w:val="24"/>
        </w:rPr>
        <w:t xml:space="preserve"> eradication in CD patients.</w:t>
      </w:r>
    </w:p>
    <w:p w:rsidR="002D612A" w:rsidRPr="009D2289" w:rsidRDefault="002D612A" w:rsidP="009D2289">
      <w:pPr>
        <w:widowControl/>
        <w:spacing w:line="360" w:lineRule="auto"/>
        <w:rPr>
          <w:rFonts w:ascii="Book Antiqua" w:hAnsi="Book Antiqua"/>
          <w:b/>
          <w:sz w:val="24"/>
          <w:szCs w:val="24"/>
        </w:rPr>
      </w:pPr>
    </w:p>
    <w:p w:rsidR="002D612A" w:rsidRPr="009D2289" w:rsidRDefault="002D612A" w:rsidP="009D2289">
      <w:pPr>
        <w:widowControl/>
        <w:spacing w:line="360" w:lineRule="auto"/>
        <w:rPr>
          <w:rFonts w:ascii="Book Antiqua" w:hAnsi="Book Antiqua"/>
          <w:b/>
          <w:sz w:val="24"/>
          <w:szCs w:val="24"/>
        </w:rPr>
      </w:pPr>
      <w:r w:rsidRPr="009D2289">
        <w:rPr>
          <w:rFonts w:ascii="Book Antiqua" w:hAnsi="Book Antiqua"/>
          <w:b/>
          <w:sz w:val="24"/>
          <w:szCs w:val="24"/>
        </w:rPr>
        <w:t>COMMENTS</w:t>
      </w:r>
    </w:p>
    <w:p w:rsidR="002D612A" w:rsidRPr="009D2289" w:rsidRDefault="002D612A" w:rsidP="009D2289">
      <w:pPr>
        <w:spacing w:line="360" w:lineRule="auto"/>
        <w:rPr>
          <w:rFonts w:ascii="Book Antiqua" w:hAnsi="Book Antiqua"/>
          <w:b/>
          <w:bCs/>
          <w:i/>
          <w:sz w:val="24"/>
          <w:szCs w:val="24"/>
        </w:rPr>
      </w:pPr>
      <w:r w:rsidRPr="009D2289">
        <w:rPr>
          <w:rFonts w:ascii="Book Antiqua" w:hAnsi="Book Antiqua"/>
          <w:b/>
          <w:bCs/>
          <w:i/>
          <w:sz w:val="24"/>
          <w:szCs w:val="24"/>
        </w:rPr>
        <w:t>Background</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Crohn’s disease (CD) is a chronic and relapsing inflammatory disease affecting any part of the intestine, with distal ileal, ileocecal and colonic regions most commonly involved. CD is more common in Northern Europe and America than in Southern Europe and developing countries, with increased incidence since the mid-1970s and unknown etiologies. </w:t>
      </w:r>
    </w:p>
    <w:p w:rsidR="002D612A" w:rsidRPr="009D2289" w:rsidRDefault="002D612A" w:rsidP="009D2289">
      <w:pPr>
        <w:spacing w:line="360" w:lineRule="auto"/>
        <w:rPr>
          <w:rFonts w:ascii="Book Antiqua" w:hAnsi="Book Antiqua"/>
          <w:b/>
          <w:bCs/>
          <w:i/>
          <w:sz w:val="24"/>
          <w:szCs w:val="24"/>
        </w:rPr>
      </w:pPr>
    </w:p>
    <w:p w:rsidR="002D612A" w:rsidRPr="009D2289" w:rsidRDefault="002D612A" w:rsidP="009D2289">
      <w:pPr>
        <w:spacing w:line="360" w:lineRule="auto"/>
        <w:rPr>
          <w:rFonts w:ascii="Book Antiqua" w:hAnsi="Book Antiqua"/>
          <w:b/>
          <w:bCs/>
          <w:i/>
          <w:sz w:val="24"/>
          <w:szCs w:val="24"/>
        </w:rPr>
      </w:pPr>
      <w:r w:rsidRPr="009D2289">
        <w:rPr>
          <w:rFonts w:ascii="Book Antiqua" w:hAnsi="Book Antiqua"/>
          <w:b/>
          <w:bCs/>
          <w:i/>
          <w:sz w:val="24"/>
          <w:szCs w:val="24"/>
        </w:rPr>
        <w:t>Research frontiers</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Increasing evidence supports the combinational involvement of genetic predisposition, immune response, and environment, especially gut bacteria and antigens. Though some pathogens have been considered as infectious agents in CD, conclusive data is still lacking. Considering the immune regulation and colonization capacity of </w:t>
      </w:r>
      <w:r w:rsidRPr="009D2289">
        <w:rPr>
          <w:rFonts w:ascii="Book Antiqua" w:hAnsi="Book Antiqua"/>
          <w:i/>
          <w:sz w:val="24"/>
          <w:szCs w:val="24"/>
        </w:rPr>
        <w:t>H. pylori</w:t>
      </w:r>
      <w:r w:rsidRPr="009D2289">
        <w:rPr>
          <w:rFonts w:ascii="Book Antiqua" w:hAnsi="Book Antiqua"/>
          <w:sz w:val="24"/>
          <w:szCs w:val="24"/>
        </w:rPr>
        <w:t xml:space="preserve"> and the nature of autoimmune-related damage in CD, it is plausible that </w:t>
      </w:r>
      <w:r w:rsidRPr="009D2289">
        <w:rPr>
          <w:rFonts w:ascii="Book Antiqua" w:hAnsi="Book Antiqua"/>
          <w:i/>
          <w:sz w:val="24"/>
          <w:szCs w:val="24"/>
        </w:rPr>
        <w:t>H. pylori</w:t>
      </w:r>
      <w:r w:rsidRPr="009D2289">
        <w:rPr>
          <w:rFonts w:ascii="Book Antiqua" w:hAnsi="Book Antiqua"/>
          <w:sz w:val="24"/>
          <w:szCs w:val="24"/>
        </w:rPr>
        <w:t xml:space="preserve"> infection may take part in the etiology of CD. However, results in humans remain unclear and contradictory. While </w:t>
      </w:r>
      <w:r w:rsidRPr="009D2289">
        <w:rPr>
          <w:rFonts w:ascii="Book Antiqua" w:hAnsi="Book Antiqua"/>
          <w:i/>
          <w:sz w:val="24"/>
          <w:szCs w:val="24"/>
        </w:rPr>
        <w:t>Helicobacter</w:t>
      </w:r>
      <w:r w:rsidRPr="009D2289">
        <w:rPr>
          <w:rFonts w:ascii="Book Antiqua" w:hAnsi="Book Antiqua"/>
          <w:sz w:val="24"/>
          <w:szCs w:val="24"/>
        </w:rPr>
        <w:t xml:space="preserve"> was absent or only detected in the intestinal mucosa of a few patients in English and Australian studies, another study identified enterohepatic </w:t>
      </w:r>
      <w:r w:rsidRPr="009D2289">
        <w:rPr>
          <w:rFonts w:ascii="Book Antiqua" w:hAnsi="Book Antiqua"/>
          <w:i/>
          <w:sz w:val="24"/>
          <w:szCs w:val="24"/>
        </w:rPr>
        <w:t>Helicobacter</w:t>
      </w:r>
      <w:r w:rsidRPr="009D2289">
        <w:rPr>
          <w:rFonts w:ascii="Book Antiqua" w:hAnsi="Book Antiqua"/>
          <w:sz w:val="24"/>
          <w:szCs w:val="24"/>
        </w:rPr>
        <w:t xml:space="preserve"> species in patients with inflammatory bowel disease. Furthermore, a meta-analysis suggested a protective role of </w:t>
      </w:r>
      <w:r w:rsidRPr="009D2289">
        <w:rPr>
          <w:rFonts w:ascii="Book Antiqua" w:hAnsi="Book Antiqua"/>
          <w:i/>
          <w:sz w:val="24"/>
          <w:szCs w:val="24"/>
        </w:rPr>
        <w:t>H. pylori</w:t>
      </w:r>
      <w:r w:rsidRPr="009D2289">
        <w:rPr>
          <w:rFonts w:ascii="Book Antiqua" w:hAnsi="Book Antiqua"/>
          <w:sz w:val="24"/>
          <w:szCs w:val="24"/>
        </w:rPr>
        <w:t xml:space="preserve"> infection in CD pathogenesis. However, the heterogeneity among enrolled studies and the possibilities of publication bias limited the confidence of those results. </w:t>
      </w:r>
    </w:p>
    <w:p w:rsidR="002D612A" w:rsidRPr="009D2289" w:rsidRDefault="002D612A" w:rsidP="009D2289">
      <w:pPr>
        <w:spacing w:line="360" w:lineRule="auto"/>
        <w:rPr>
          <w:rFonts w:ascii="Book Antiqua" w:hAnsi="Book Antiqua"/>
          <w:b/>
          <w:bCs/>
          <w:i/>
          <w:sz w:val="24"/>
          <w:szCs w:val="24"/>
        </w:rPr>
      </w:pPr>
    </w:p>
    <w:p w:rsidR="002D612A" w:rsidRPr="009D2289" w:rsidRDefault="002D612A" w:rsidP="009D2289">
      <w:pPr>
        <w:spacing w:line="360" w:lineRule="auto"/>
        <w:rPr>
          <w:rFonts w:ascii="Book Antiqua" w:hAnsi="Book Antiqua"/>
          <w:i/>
          <w:sz w:val="24"/>
          <w:szCs w:val="24"/>
        </w:rPr>
      </w:pPr>
      <w:r w:rsidRPr="009D2289">
        <w:rPr>
          <w:rFonts w:ascii="Book Antiqua" w:hAnsi="Book Antiqua"/>
          <w:b/>
          <w:bCs/>
          <w:i/>
          <w:sz w:val="24"/>
          <w:szCs w:val="24"/>
        </w:rPr>
        <w:t>Innovations and breakthroughs</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The authors conducted a large-scale case control study to investigate the association between </w:t>
      </w:r>
      <w:r w:rsidRPr="009D2289">
        <w:rPr>
          <w:rFonts w:ascii="Book Antiqua" w:hAnsi="Book Antiqua"/>
          <w:i/>
          <w:sz w:val="24"/>
          <w:szCs w:val="24"/>
        </w:rPr>
        <w:t>H. pylori</w:t>
      </w:r>
      <w:r w:rsidRPr="009D2289">
        <w:rPr>
          <w:rFonts w:ascii="Book Antiqua" w:hAnsi="Book Antiqua"/>
          <w:sz w:val="24"/>
          <w:szCs w:val="24"/>
        </w:rPr>
        <w:t xml:space="preserve"> infection and different severity and type of CD. These findings are the first example of a significant correlation between </w:t>
      </w:r>
      <w:r w:rsidRPr="009D2289">
        <w:rPr>
          <w:rFonts w:ascii="Book Antiqua" w:hAnsi="Book Antiqua"/>
          <w:i/>
          <w:sz w:val="24"/>
          <w:szCs w:val="24"/>
        </w:rPr>
        <w:t xml:space="preserve">H. pylori </w:t>
      </w:r>
      <w:r w:rsidRPr="009D2289">
        <w:rPr>
          <w:rFonts w:ascii="Book Antiqua" w:hAnsi="Book Antiqua"/>
          <w:sz w:val="24"/>
          <w:szCs w:val="24"/>
        </w:rPr>
        <w:t>infection rate in CD patients and different subtypes.</w:t>
      </w:r>
    </w:p>
    <w:p w:rsidR="002D612A" w:rsidRPr="009D2289" w:rsidRDefault="002D612A" w:rsidP="009D2289">
      <w:pPr>
        <w:spacing w:line="360" w:lineRule="auto"/>
        <w:rPr>
          <w:rFonts w:ascii="Book Antiqua" w:hAnsi="Book Antiqua"/>
          <w:b/>
          <w:bCs/>
          <w:i/>
          <w:sz w:val="24"/>
          <w:szCs w:val="24"/>
        </w:rPr>
      </w:pPr>
    </w:p>
    <w:p w:rsidR="002D612A" w:rsidRPr="009D2289" w:rsidRDefault="002D612A" w:rsidP="009D2289">
      <w:pPr>
        <w:spacing w:line="360" w:lineRule="auto"/>
        <w:rPr>
          <w:rFonts w:ascii="Book Antiqua" w:hAnsi="Book Antiqua"/>
          <w:b/>
          <w:bCs/>
          <w:i/>
          <w:sz w:val="24"/>
          <w:szCs w:val="24"/>
        </w:rPr>
      </w:pPr>
      <w:r w:rsidRPr="009D2289">
        <w:rPr>
          <w:rFonts w:ascii="Book Antiqua" w:hAnsi="Book Antiqua"/>
          <w:b/>
          <w:bCs/>
          <w:i/>
          <w:sz w:val="24"/>
          <w:szCs w:val="24"/>
        </w:rPr>
        <w:t>Applications</w:t>
      </w:r>
    </w:p>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rPr>
        <w:t xml:space="preserve">Lower </w:t>
      </w:r>
      <w:r w:rsidRPr="009D2289">
        <w:rPr>
          <w:rFonts w:ascii="Book Antiqua" w:hAnsi="Book Antiqua"/>
          <w:i/>
          <w:sz w:val="24"/>
          <w:szCs w:val="24"/>
        </w:rPr>
        <w:t>H. pylori</w:t>
      </w:r>
      <w:r w:rsidRPr="009D2289">
        <w:rPr>
          <w:rFonts w:ascii="Book Antiqua" w:hAnsi="Book Antiqua"/>
          <w:sz w:val="24"/>
          <w:szCs w:val="24"/>
        </w:rPr>
        <w:t xml:space="preserve"> infection in CD patients provides evidence for bacterial involvement in the pathogenesis of CD and reminds clinicians remain cautious when considering </w:t>
      </w:r>
      <w:r w:rsidRPr="009D2289">
        <w:rPr>
          <w:rFonts w:ascii="Book Antiqua" w:hAnsi="Book Antiqua"/>
          <w:i/>
          <w:sz w:val="24"/>
          <w:szCs w:val="24"/>
        </w:rPr>
        <w:t>H. pylori</w:t>
      </w:r>
      <w:r w:rsidRPr="009D2289">
        <w:rPr>
          <w:rFonts w:ascii="Book Antiqua" w:hAnsi="Book Antiqua"/>
          <w:sz w:val="24"/>
          <w:szCs w:val="24"/>
        </w:rPr>
        <w:t xml:space="preserve"> eradication in CD patients.</w:t>
      </w:r>
    </w:p>
    <w:p w:rsidR="002D612A" w:rsidRPr="009D2289" w:rsidRDefault="002D612A" w:rsidP="009D2289">
      <w:pPr>
        <w:spacing w:line="360" w:lineRule="auto"/>
        <w:rPr>
          <w:rFonts w:ascii="Book Antiqua" w:hAnsi="Book Antiqua"/>
          <w:b/>
          <w:bCs/>
          <w:i/>
          <w:sz w:val="24"/>
          <w:szCs w:val="24"/>
        </w:rPr>
      </w:pPr>
    </w:p>
    <w:p w:rsidR="002D612A" w:rsidRDefault="002D612A" w:rsidP="009D2289">
      <w:pPr>
        <w:spacing w:line="360" w:lineRule="auto"/>
        <w:rPr>
          <w:rFonts w:ascii="Book Antiqua" w:hAnsi="Book Antiqua"/>
          <w:b/>
          <w:bCs/>
          <w:i/>
          <w:sz w:val="24"/>
          <w:szCs w:val="24"/>
        </w:rPr>
      </w:pPr>
      <w:r w:rsidRPr="009D2289">
        <w:rPr>
          <w:rFonts w:ascii="Book Antiqua" w:hAnsi="Book Antiqua"/>
          <w:b/>
          <w:bCs/>
          <w:i/>
          <w:sz w:val="24"/>
          <w:szCs w:val="24"/>
        </w:rPr>
        <w:t>Peer review</w:t>
      </w:r>
    </w:p>
    <w:p w:rsidR="002D612A" w:rsidRDefault="002D612A" w:rsidP="003127A8">
      <w:pPr>
        <w:spacing w:line="360" w:lineRule="auto"/>
        <w:rPr>
          <w:rFonts w:ascii="Book Antiqua" w:hAnsi="Book Antiqua"/>
          <w:b/>
          <w:bCs/>
          <w:i/>
          <w:sz w:val="24"/>
          <w:szCs w:val="24"/>
        </w:rPr>
      </w:pPr>
      <w:r w:rsidRPr="009D2289">
        <w:rPr>
          <w:rFonts w:ascii="Book Antiqua" w:hAnsi="Book Antiqua"/>
          <w:sz w:val="24"/>
          <w:szCs w:val="24"/>
        </w:rPr>
        <w:t xml:space="preserve">Their results supported the potential involvement of </w:t>
      </w:r>
      <w:r w:rsidRPr="009D2289">
        <w:rPr>
          <w:rFonts w:ascii="Book Antiqua" w:hAnsi="Book Antiqua"/>
          <w:i/>
          <w:sz w:val="24"/>
          <w:szCs w:val="24"/>
        </w:rPr>
        <w:t>H. pylori</w:t>
      </w:r>
      <w:r w:rsidRPr="009D2289">
        <w:rPr>
          <w:rFonts w:ascii="Book Antiqua" w:hAnsi="Book Antiqua"/>
          <w:sz w:val="24"/>
          <w:szCs w:val="24"/>
        </w:rPr>
        <w:t xml:space="preserve"> infection in CD pathogenesis and raised concern for the necessity of </w:t>
      </w:r>
      <w:r w:rsidRPr="009D2289">
        <w:rPr>
          <w:rFonts w:ascii="Book Antiqua" w:hAnsi="Book Antiqua"/>
          <w:i/>
          <w:sz w:val="24"/>
          <w:szCs w:val="24"/>
        </w:rPr>
        <w:t>H. pylori</w:t>
      </w:r>
      <w:r w:rsidRPr="009D2289">
        <w:rPr>
          <w:rFonts w:ascii="Book Antiqua" w:hAnsi="Book Antiqua"/>
          <w:sz w:val="24"/>
          <w:szCs w:val="24"/>
        </w:rPr>
        <w:t xml:space="preserve"> eradication in CD patients.</w:t>
      </w:r>
      <w:r>
        <w:rPr>
          <w:rFonts w:ascii="Book Antiqua" w:hAnsi="Book Antiqua"/>
          <w:sz w:val="24"/>
          <w:szCs w:val="24"/>
        </w:rPr>
        <w:t xml:space="preserve"> </w:t>
      </w:r>
      <w:r w:rsidRPr="003127A8">
        <w:rPr>
          <w:rFonts w:ascii="Book Antiqua" w:hAnsi="Book Antiqua"/>
          <w:bCs/>
          <w:sz w:val="24"/>
          <w:szCs w:val="24"/>
        </w:rPr>
        <w:t>This manuscript provides some key information, and builds on the published literature. The authors should be able to enhance this by extensive revisions</w:t>
      </w:r>
      <w:r>
        <w:rPr>
          <w:rFonts w:ascii="Book Antiqua" w:hAnsi="Book Antiqua"/>
          <w:bCs/>
          <w:sz w:val="24"/>
          <w:szCs w:val="24"/>
        </w:rPr>
        <w:t>.</w:t>
      </w:r>
      <w:r w:rsidRPr="003127A8">
        <w:rPr>
          <w:rFonts w:ascii="Book Antiqua" w:hAnsi="Book Antiqua"/>
          <w:bCs/>
          <w:sz w:val="24"/>
          <w:szCs w:val="24"/>
        </w:rPr>
        <w:t xml:space="preserve"> </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widowControl/>
        <w:spacing w:line="360" w:lineRule="auto"/>
        <w:rPr>
          <w:rFonts w:ascii="Book Antiqua" w:hAnsi="Book Antiqua"/>
          <w:b/>
          <w:sz w:val="24"/>
          <w:szCs w:val="24"/>
        </w:rPr>
      </w:pPr>
      <w:r w:rsidRPr="009D2289">
        <w:rPr>
          <w:rFonts w:ascii="Book Antiqua" w:hAnsi="Book Antiqua"/>
          <w:b/>
          <w:sz w:val="24"/>
          <w:szCs w:val="24"/>
        </w:rPr>
        <w:t>REFERENCES</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 </w:t>
      </w:r>
      <w:r w:rsidRPr="009D2289">
        <w:rPr>
          <w:rFonts w:ascii="Book Antiqua" w:hAnsi="Book Antiqua" w:cs="宋体"/>
          <w:b/>
          <w:bCs/>
          <w:kern w:val="0"/>
          <w:sz w:val="24"/>
          <w:szCs w:val="24"/>
        </w:rPr>
        <w:t>Buchner AM</w:t>
      </w:r>
      <w:r w:rsidRPr="009D2289">
        <w:rPr>
          <w:rFonts w:ascii="Book Antiqua" w:hAnsi="Book Antiqua" w:cs="宋体"/>
          <w:kern w:val="0"/>
          <w:sz w:val="24"/>
          <w:szCs w:val="24"/>
        </w:rPr>
        <w:t xml:space="preserve">, Blonski W, Lichtenstein GR. Update on the management of Crohn's disease. </w:t>
      </w:r>
      <w:r w:rsidRPr="009D2289">
        <w:rPr>
          <w:rFonts w:ascii="Book Antiqua" w:hAnsi="Book Antiqua" w:cs="宋体"/>
          <w:i/>
          <w:iCs/>
          <w:kern w:val="0"/>
          <w:sz w:val="24"/>
          <w:szCs w:val="24"/>
        </w:rPr>
        <w:t>Curr Gastroenterol Rep</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13</w:t>
      </w:r>
      <w:r w:rsidRPr="009D2289">
        <w:rPr>
          <w:rFonts w:ascii="Book Antiqua" w:hAnsi="Book Antiqua" w:cs="宋体"/>
          <w:kern w:val="0"/>
          <w:sz w:val="24"/>
          <w:szCs w:val="24"/>
        </w:rPr>
        <w:t>: 465-474 [PMID: 21792543 DOI: 10.1007/s11894-011-0220-x]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 </w:t>
      </w:r>
      <w:r w:rsidRPr="009D2289">
        <w:rPr>
          <w:rFonts w:ascii="Book Antiqua" w:hAnsi="Book Antiqua" w:cs="宋体"/>
          <w:b/>
          <w:bCs/>
          <w:kern w:val="0"/>
          <w:sz w:val="24"/>
          <w:szCs w:val="24"/>
        </w:rPr>
        <w:t>Baumgart DC</w:t>
      </w:r>
      <w:r w:rsidRPr="009D2289">
        <w:rPr>
          <w:rFonts w:ascii="Book Antiqua" w:hAnsi="Book Antiqua" w:cs="宋体"/>
          <w:kern w:val="0"/>
          <w:sz w:val="24"/>
          <w:szCs w:val="24"/>
        </w:rPr>
        <w:t xml:space="preserve">, Bernstein CN, Abbas Z, Colombel JF, Day AS, D'Haens G, Dotan I, Goh KL, Hibi T, Kozarek RA, Quigley EM, Reinisch W, Sands BE, Sollano JD, Steinhart AH, Steinwurz F, Vatn MH, Yamamoto-Furusho JK. IBD Around the world: comparing the epidemiology, diagnosis, and treatment: proceedings of the World Digestive Health Day 2010--Inflammatory Bowel Disease Task Force meeting. </w:t>
      </w:r>
      <w:r w:rsidRPr="009D2289">
        <w:rPr>
          <w:rFonts w:ascii="Book Antiqua" w:hAnsi="Book Antiqua" w:cs="宋体"/>
          <w:i/>
          <w:iCs/>
          <w:kern w:val="0"/>
          <w:sz w:val="24"/>
          <w:szCs w:val="24"/>
        </w:rPr>
        <w:t>Inflamm Bowel Dis</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17</w:t>
      </w:r>
      <w:r w:rsidRPr="009D2289">
        <w:rPr>
          <w:rFonts w:ascii="Book Antiqua" w:hAnsi="Book Antiqua" w:cs="宋体"/>
          <w:kern w:val="0"/>
          <w:sz w:val="24"/>
          <w:szCs w:val="24"/>
        </w:rPr>
        <w:t>: 639-644 [PMID: 20725944 DOI: 10.1002/ibd.21409]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 </w:t>
      </w:r>
      <w:r w:rsidRPr="009D2289">
        <w:rPr>
          <w:rFonts w:ascii="Book Antiqua" w:hAnsi="Book Antiqua" w:cs="宋体"/>
          <w:b/>
          <w:bCs/>
          <w:kern w:val="0"/>
          <w:sz w:val="24"/>
          <w:szCs w:val="24"/>
        </w:rPr>
        <w:t>Ahuja V</w:t>
      </w:r>
      <w:r w:rsidRPr="009D2289">
        <w:rPr>
          <w:rFonts w:ascii="Book Antiqua" w:hAnsi="Book Antiqua" w:cs="宋体"/>
          <w:kern w:val="0"/>
          <w:sz w:val="24"/>
          <w:szCs w:val="24"/>
        </w:rPr>
        <w:t xml:space="preserve">, Tandon RK. Inflammatory bowel disease in the Asia-Pacific area: a comparison with developed countries and regional differences. </w:t>
      </w:r>
      <w:r w:rsidRPr="009D2289">
        <w:rPr>
          <w:rFonts w:ascii="Book Antiqua" w:hAnsi="Book Antiqua" w:cs="宋体"/>
          <w:i/>
          <w:iCs/>
          <w:kern w:val="0"/>
          <w:sz w:val="24"/>
          <w:szCs w:val="24"/>
        </w:rPr>
        <w:t>J Dig Dis</w:t>
      </w:r>
      <w:r w:rsidRPr="009D2289">
        <w:rPr>
          <w:rFonts w:ascii="Book Antiqua" w:hAnsi="Book Antiqua" w:cs="宋体"/>
          <w:kern w:val="0"/>
          <w:sz w:val="24"/>
          <w:szCs w:val="24"/>
        </w:rPr>
        <w:t xml:space="preserve"> 2010; </w:t>
      </w:r>
      <w:r w:rsidRPr="009D2289">
        <w:rPr>
          <w:rFonts w:ascii="Book Antiqua" w:hAnsi="Book Antiqua" w:cs="宋体"/>
          <w:b/>
          <w:bCs/>
          <w:kern w:val="0"/>
          <w:sz w:val="24"/>
          <w:szCs w:val="24"/>
        </w:rPr>
        <w:t>11</w:t>
      </w:r>
      <w:r w:rsidRPr="009D2289">
        <w:rPr>
          <w:rFonts w:ascii="Book Antiqua" w:hAnsi="Book Antiqua" w:cs="宋体"/>
          <w:kern w:val="0"/>
          <w:sz w:val="24"/>
          <w:szCs w:val="24"/>
        </w:rPr>
        <w:t>: 134-147 [PMID: 20579217 DOI: 10.1111/j.1751-2980.2010.00429.x]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4 </w:t>
      </w:r>
      <w:r w:rsidRPr="009D2289">
        <w:rPr>
          <w:rFonts w:ascii="Book Antiqua" w:hAnsi="Book Antiqua" w:cs="宋体"/>
          <w:b/>
          <w:bCs/>
          <w:kern w:val="0"/>
          <w:sz w:val="24"/>
          <w:szCs w:val="24"/>
        </w:rPr>
        <w:t>Elson CO</w:t>
      </w:r>
      <w:r w:rsidRPr="009D2289">
        <w:rPr>
          <w:rFonts w:ascii="Book Antiqua" w:hAnsi="Book Antiqua" w:cs="宋体"/>
          <w:kern w:val="0"/>
          <w:sz w:val="24"/>
          <w:szCs w:val="24"/>
        </w:rPr>
        <w:t xml:space="preserve">. Genes, microbes, and T cells--new therapeutic targets in Crohn's disease. </w:t>
      </w:r>
      <w:r w:rsidRPr="009D2289">
        <w:rPr>
          <w:rFonts w:ascii="Book Antiqua" w:hAnsi="Book Antiqua" w:cs="宋体"/>
          <w:i/>
          <w:iCs/>
          <w:kern w:val="0"/>
          <w:sz w:val="24"/>
          <w:szCs w:val="24"/>
        </w:rPr>
        <w:t>N Engl J Med</w:t>
      </w:r>
      <w:r w:rsidRPr="009D2289">
        <w:rPr>
          <w:rFonts w:ascii="Book Antiqua" w:hAnsi="Book Antiqua" w:cs="宋体"/>
          <w:kern w:val="0"/>
          <w:sz w:val="24"/>
          <w:szCs w:val="24"/>
        </w:rPr>
        <w:t xml:space="preserve"> 2002; </w:t>
      </w:r>
      <w:r w:rsidRPr="009D2289">
        <w:rPr>
          <w:rFonts w:ascii="Book Antiqua" w:hAnsi="Book Antiqua" w:cs="宋体"/>
          <w:b/>
          <w:bCs/>
          <w:kern w:val="0"/>
          <w:sz w:val="24"/>
          <w:szCs w:val="24"/>
        </w:rPr>
        <w:t>346</w:t>
      </w:r>
      <w:r w:rsidRPr="009D2289">
        <w:rPr>
          <w:rFonts w:ascii="Book Antiqua" w:hAnsi="Book Antiqua" w:cs="宋体"/>
          <w:kern w:val="0"/>
          <w:sz w:val="24"/>
          <w:szCs w:val="24"/>
        </w:rPr>
        <w:t>: 614-616 [PMID: 11856802]</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lastRenderedPageBreak/>
        <w:t xml:space="preserve">5 </w:t>
      </w:r>
      <w:r w:rsidRPr="009D2289">
        <w:rPr>
          <w:rFonts w:ascii="Book Antiqua" w:hAnsi="Book Antiqua" w:cs="宋体"/>
          <w:b/>
          <w:bCs/>
          <w:kern w:val="0"/>
          <w:sz w:val="24"/>
          <w:szCs w:val="24"/>
        </w:rPr>
        <w:t>Farrell RJ</w:t>
      </w:r>
      <w:r w:rsidRPr="009D2289">
        <w:rPr>
          <w:rFonts w:ascii="Book Antiqua" w:hAnsi="Book Antiqua" w:cs="宋体"/>
          <w:kern w:val="0"/>
          <w:sz w:val="24"/>
          <w:szCs w:val="24"/>
        </w:rPr>
        <w:t xml:space="preserve">, LaMont JT. Microbial factors in inflammatory bowel disease. </w:t>
      </w:r>
      <w:r w:rsidRPr="009D2289">
        <w:rPr>
          <w:rFonts w:ascii="Book Antiqua" w:hAnsi="Book Antiqua" w:cs="宋体"/>
          <w:i/>
          <w:iCs/>
          <w:kern w:val="0"/>
          <w:sz w:val="24"/>
          <w:szCs w:val="24"/>
        </w:rPr>
        <w:t>Gastroenterol Clin North Am</w:t>
      </w:r>
      <w:r w:rsidRPr="009D2289">
        <w:rPr>
          <w:rFonts w:ascii="Book Antiqua" w:hAnsi="Book Antiqua" w:cs="宋体"/>
          <w:kern w:val="0"/>
          <w:sz w:val="24"/>
          <w:szCs w:val="24"/>
        </w:rPr>
        <w:t xml:space="preserve"> 2002; </w:t>
      </w:r>
      <w:r w:rsidRPr="009D2289">
        <w:rPr>
          <w:rFonts w:ascii="Book Antiqua" w:hAnsi="Book Antiqua" w:cs="宋体"/>
          <w:b/>
          <w:bCs/>
          <w:kern w:val="0"/>
          <w:sz w:val="24"/>
          <w:szCs w:val="24"/>
        </w:rPr>
        <w:t>31</w:t>
      </w:r>
      <w:r w:rsidRPr="009D2289">
        <w:rPr>
          <w:rFonts w:ascii="Book Antiqua" w:hAnsi="Book Antiqua" w:cs="宋体"/>
          <w:kern w:val="0"/>
          <w:sz w:val="24"/>
          <w:szCs w:val="24"/>
        </w:rPr>
        <w:t>: 41-62 [PMID: 12122743]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6 </w:t>
      </w:r>
      <w:r w:rsidRPr="009D2289">
        <w:rPr>
          <w:rFonts w:ascii="Book Antiqua" w:hAnsi="Book Antiqua" w:cs="宋体"/>
          <w:b/>
          <w:bCs/>
          <w:kern w:val="0"/>
          <w:sz w:val="24"/>
          <w:szCs w:val="24"/>
        </w:rPr>
        <w:t>Falush D</w:t>
      </w:r>
      <w:r w:rsidRPr="009D2289">
        <w:rPr>
          <w:rFonts w:ascii="Book Antiqua" w:hAnsi="Book Antiqua" w:cs="宋体"/>
          <w:kern w:val="0"/>
          <w:sz w:val="24"/>
          <w:szCs w:val="24"/>
        </w:rPr>
        <w:t xml:space="preserve">, Wirth T, Linz B, Pritchard JK, Stephens M, Kidd M, Blaser MJ, Graham DY, Vacher S, Perez-Perez GI, Yamaoka Y, Mégraud F, Otto K, Reichard U, Katzowitsch E, Wang X, Achtman M, Suerbaum S. Traces of human migrations in Helicobacter pylori populations. </w:t>
      </w:r>
      <w:r w:rsidRPr="009D2289">
        <w:rPr>
          <w:rFonts w:ascii="Book Antiqua" w:hAnsi="Book Antiqua" w:cs="宋体"/>
          <w:i/>
          <w:iCs/>
          <w:kern w:val="0"/>
          <w:sz w:val="24"/>
          <w:szCs w:val="24"/>
        </w:rPr>
        <w:t>Science</w:t>
      </w:r>
      <w:r w:rsidRPr="009D2289">
        <w:rPr>
          <w:rFonts w:ascii="Book Antiqua" w:hAnsi="Book Antiqua" w:cs="宋体"/>
          <w:kern w:val="0"/>
          <w:sz w:val="24"/>
          <w:szCs w:val="24"/>
        </w:rPr>
        <w:t xml:space="preserve"> 2003; </w:t>
      </w:r>
      <w:r w:rsidRPr="009D2289">
        <w:rPr>
          <w:rFonts w:ascii="Book Antiqua" w:hAnsi="Book Antiqua" w:cs="宋体"/>
          <w:b/>
          <w:bCs/>
          <w:kern w:val="0"/>
          <w:sz w:val="24"/>
          <w:szCs w:val="24"/>
        </w:rPr>
        <w:t>299</w:t>
      </w:r>
      <w:r w:rsidRPr="009D2289">
        <w:rPr>
          <w:rFonts w:ascii="Book Antiqua" w:hAnsi="Book Antiqua" w:cs="宋体"/>
          <w:kern w:val="0"/>
          <w:sz w:val="24"/>
          <w:szCs w:val="24"/>
        </w:rPr>
        <w:t>: 1582-1585 [PMID: 12624269 DOI: 10.1126/science.1080857]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7 </w:t>
      </w:r>
      <w:r w:rsidRPr="009D2289">
        <w:rPr>
          <w:rFonts w:ascii="Book Antiqua" w:hAnsi="Book Antiqua" w:cs="宋体"/>
          <w:b/>
          <w:bCs/>
          <w:kern w:val="0"/>
          <w:sz w:val="24"/>
          <w:szCs w:val="24"/>
        </w:rPr>
        <w:t>Linz B</w:t>
      </w:r>
      <w:r w:rsidRPr="009D2289">
        <w:rPr>
          <w:rFonts w:ascii="Book Antiqua" w:hAnsi="Book Antiqua" w:cs="宋体"/>
          <w:kern w:val="0"/>
          <w:sz w:val="24"/>
          <w:szCs w:val="24"/>
        </w:rPr>
        <w:t xml:space="preserve">, Balloux F, Moodley Y, Manica A, Liu H, Roumagnac P, Falush D, Stamer C, Prugnolle F, van der Merwe SW, Yamaoka Y, Graham DY, Perez-Trallero E, Wadstrom T, Suerbaum S, Achtman M. An African origin for the intimate association between humans and Helicobacter pylori. </w:t>
      </w:r>
      <w:r w:rsidRPr="009D2289">
        <w:rPr>
          <w:rFonts w:ascii="Book Antiqua" w:hAnsi="Book Antiqua" w:cs="宋体"/>
          <w:i/>
          <w:iCs/>
          <w:kern w:val="0"/>
          <w:sz w:val="24"/>
          <w:szCs w:val="24"/>
        </w:rPr>
        <w:t>Nature</w:t>
      </w:r>
      <w:r w:rsidRPr="009D2289">
        <w:rPr>
          <w:rFonts w:ascii="Book Antiqua" w:hAnsi="Book Antiqua" w:cs="宋体"/>
          <w:kern w:val="0"/>
          <w:sz w:val="24"/>
          <w:szCs w:val="24"/>
        </w:rPr>
        <w:t xml:space="preserve"> 2007; </w:t>
      </w:r>
      <w:r w:rsidRPr="009D2289">
        <w:rPr>
          <w:rFonts w:ascii="Book Antiqua" w:hAnsi="Book Antiqua" w:cs="宋体"/>
          <w:b/>
          <w:bCs/>
          <w:kern w:val="0"/>
          <w:sz w:val="24"/>
          <w:szCs w:val="24"/>
        </w:rPr>
        <w:t>445</w:t>
      </w:r>
      <w:r w:rsidRPr="009D2289">
        <w:rPr>
          <w:rFonts w:ascii="Book Antiqua" w:hAnsi="Book Antiqua" w:cs="宋体"/>
          <w:kern w:val="0"/>
          <w:sz w:val="24"/>
          <w:szCs w:val="24"/>
        </w:rPr>
        <w:t>: 915-918 [PMID: 17287725 DOI: 10.1038/nature05562]</w:t>
      </w:r>
    </w:p>
    <w:p w:rsidR="002D612A" w:rsidRPr="009D2289" w:rsidRDefault="002D612A" w:rsidP="009D2289">
      <w:pPr>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8 </w:t>
      </w:r>
      <w:r w:rsidRPr="009D2289">
        <w:rPr>
          <w:rFonts w:ascii="Book Antiqua" w:hAnsi="Book Antiqua" w:cs="宋体"/>
          <w:b/>
          <w:bCs/>
          <w:kern w:val="0"/>
          <w:sz w:val="24"/>
          <w:szCs w:val="24"/>
        </w:rPr>
        <w:t>Marshall BJ</w:t>
      </w:r>
      <w:r w:rsidRPr="009D2289">
        <w:rPr>
          <w:rFonts w:ascii="Book Antiqua" w:hAnsi="Book Antiqua" w:cs="宋体"/>
          <w:kern w:val="0"/>
          <w:sz w:val="24"/>
          <w:szCs w:val="24"/>
        </w:rPr>
        <w:t xml:space="preserve">, Warren JR. Unidentified curved bacilli in the stomach of patients with gastritis and peptic ulceration. </w:t>
      </w:r>
      <w:r w:rsidRPr="009D2289">
        <w:rPr>
          <w:rFonts w:ascii="Book Antiqua" w:hAnsi="Book Antiqua" w:cs="宋体"/>
          <w:i/>
          <w:iCs/>
          <w:kern w:val="0"/>
          <w:sz w:val="24"/>
          <w:szCs w:val="24"/>
        </w:rPr>
        <w:t>Lancet</w:t>
      </w:r>
      <w:r w:rsidRPr="009D2289">
        <w:rPr>
          <w:rFonts w:ascii="Book Antiqua" w:hAnsi="Book Antiqua" w:cs="宋体"/>
          <w:kern w:val="0"/>
          <w:sz w:val="24"/>
          <w:szCs w:val="24"/>
        </w:rPr>
        <w:t xml:space="preserve"> 1984; </w:t>
      </w:r>
      <w:r w:rsidRPr="009D2289">
        <w:rPr>
          <w:rFonts w:ascii="Book Antiqua" w:hAnsi="Book Antiqua" w:cs="宋体"/>
          <w:b/>
          <w:bCs/>
          <w:kern w:val="0"/>
          <w:sz w:val="24"/>
          <w:szCs w:val="24"/>
        </w:rPr>
        <w:t>1</w:t>
      </w:r>
      <w:r w:rsidRPr="009D2289">
        <w:rPr>
          <w:rFonts w:ascii="Book Antiqua" w:hAnsi="Book Antiqua" w:cs="宋体"/>
          <w:kern w:val="0"/>
          <w:sz w:val="24"/>
          <w:szCs w:val="24"/>
        </w:rPr>
        <w:t>: 1311-1315 [PMID: 6145023 DOI: 10.1016/S0140-6736(84)91816-6]</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9 </w:t>
      </w:r>
      <w:r w:rsidRPr="009D2289">
        <w:rPr>
          <w:rFonts w:ascii="Book Antiqua" w:hAnsi="Book Antiqua" w:cs="宋体"/>
          <w:b/>
          <w:bCs/>
          <w:kern w:val="0"/>
          <w:sz w:val="24"/>
          <w:szCs w:val="24"/>
        </w:rPr>
        <w:t>van Amsterdam K</w:t>
      </w:r>
      <w:r w:rsidRPr="009D2289">
        <w:rPr>
          <w:rFonts w:ascii="Book Antiqua" w:hAnsi="Book Antiqua" w:cs="宋体"/>
          <w:kern w:val="0"/>
          <w:sz w:val="24"/>
          <w:szCs w:val="24"/>
        </w:rPr>
        <w:t xml:space="preserve">, van Vliet AH, Kusters JG, van der Ende A. Of microbe and man: determinants of Helicobacter pylori-related diseases. </w:t>
      </w:r>
      <w:r w:rsidRPr="009D2289">
        <w:rPr>
          <w:rFonts w:ascii="Book Antiqua" w:hAnsi="Book Antiqua" w:cs="宋体"/>
          <w:i/>
          <w:iCs/>
          <w:kern w:val="0"/>
          <w:sz w:val="24"/>
          <w:szCs w:val="24"/>
        </w:rPr>
        <w:t>FEMS Microbiol Rev</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30</w:t>
      </w:r>
      <w:r w:rsidRPr="009D2289">
        <w:rPr>
          <w:rFonts w:ascii="Book Antiqua" w:hAnsi="Book Antiqua" w:cs="宋体"/>
          <w:kern w:val="0"/>
          <w:sz w:val="24"/>
          <w:szCs w:val="24"/>
        </w:rPr>
        <w:t>: 131-156 [PMID: 16438683]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10 </w:t>
      </w:r>
      <w:r w:rsidRPr="009D2289">
        <w:rPr>
          <w:rFonts w:ascii="Book Antiqua" w:hAnsi="Book Antiqua" w:cs="宋体"/>
          <w:b/>
          <w:bCs/>
          <w:kern w:val="0"/>
          <w:sz w:val="24"/>
          <w:szCs w:val="24"/>
        </w:rPr>
        <w:t>Shomer NH</w:t>
      </w:r>
      <w:r w:rsidRPr="009D2289">
        <w:rPr>
          <w:rFonts w:ascii="Book Antiqua" w:hAnsi="Book Antiqua" w:cs="宋体"/>
          <w:kern w:val="0"/>
          <w:sz w:val="24"/>
          <w:szCs w:val="24"/>
        </w:rPr>
        <w:t xml:space="preserve">, Dangler CA, Schrenzel MD, Fox JG. Helicobacter bilis-induced inflammatory bowel disease in scid mice with defined flora. </w:t>
      </w:r>
      <w:r w:rsidRPr="009D2289">
        <w:rPr>
          <w:rFonts w:ascii="Book Antiqua" w:hAnsi="Book Antiqua" w:cs="宋体"/>
          <w:i/>
          <w:iCs/>
          <w:kern w:val="0"/>
          <w:sz w:val="24"/>
          <w:szCs w:val="24"/>
        </w:rPr>
        <w:t>Infect Immun</w:t>
      </w:r>
      <w:r w:rsidRPr="009D2289">
        <w:rPr>
          <w:rFonts w:ascii="Book Antiqua" w:hAnsi="Book Antiqua" w:cs="宋体"/>
          <w:kern w:val="0"/>
          <w:sz w:val="24"/>
          <w:szCs w:val="24"/>
        </w:rPr>
        <w:t xml:space="preserve"> 1997; </w:t>
      </w:r>
      <w:r w:rsidRPr="009D2289">
        <w:rPr>
          <w:rFonts w:ascii="Book Antiqua" w:hAnsi="Book Antiqua" w:cs="宋体"/>
          <w:b/>
          <w:bCs/>
          <w:kern w:val="0"/>
          <w:sz w:val="24"/>
          <w:szCs w:val="24"/>
        </w:rPr>
        <w:t>65</w:t>
      </w:r>
      <w:r w:rsidRPr="009D2289">
        <w:rPr>
          <w:rFonts w:ascii="Book Antiqua" w:hAnsi="Book Antiqua" w:cs="宋体"/>
          <w:kern w:val="0"/>
          <w:sz w:val="24"/>
          <w:szCs w:val="24"/>
        </w:rPr>
        <w:t>: 4858-4864 [PMID: 9353076]</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11 </w:t>
      </w:r>
      <w:r w:rsidRPr="009D2289">
        <w:rPr>
          <w:rFonts w:ascii="Book Antiqua" w:hAnsi="Book Antiqua" w:cs="宋体"/>
          <w:b/>
          <w:bCs/>
          <w:kern w:val="0"/>
          <w:sz w:val="24"/>
          <w:szCs w:val="24"/>
        </w:rPr>
        <w:t>Kullberg MC</w:t>
      </w:r>
      <w:r w:rsidRPr="009D2289">
        <w:rPr>
          <w:rFonts w:ascii="Book Antiqua" w:hAnsi="Book Antiqua" w:cs="宋体"/>
          <w:kern w:val="0"/>
          <w:sz w:val="24"/>
          <w:szCs w:val="24"/>
        </w:rPr>
        <w:t xml:space="preserve">, Ward JM, Gorelick PL, Caspar P, Hieny S, Cheever A, Jankovic D, Sher A. Helicobacter hepaticus triggers colitis in specific-pathogen-free interleukin-10 (IL-10)-deficient mice through an IL-12- and gamma interferon-dependent mechanism. </w:t>
      </w:r>
      <w:r w:rsidRPr="009D2289">
        <w:rPr>
          <w:rFonts w:ascii="Book Antiqua" w:hAnsi="Book Antiqua" w:cs="宋体"/>
          <w:i/>
          <w:iCs/>
          <w:kern w:val="0"/>
          <w:sz w:val="24"/>
          <w:szCs w:val="24"/>
        </w:rPr>
        <w:t>Infect Immun</w:t>
      </w:r>
      <w:r w:rsidRPr="009D2289">
        <w:rPr>
          <w:rFonts w:ascii="Book Antiqua" w:hAnsi="Book Antiqua" w:cs="宋体"/>
          <w:kern w:val="0"/>
          <w:sz w:val="24"/>
          <w:szCs w:val="24"/>
        </w:rPr>
        <w:t xml:space="preserve"> 1998; </w:t>
      </w:r>
      <w:r w:rsidRPr="009D2289">
        <w:rPr>
          <w:rFonts w:ascii="Book Antiqua" w:hAnsi="Book Antiqua" w:cs="宋体"/>
          <w:b/>
          <w:bCs/>
          <w:kern w:val="0"/>
          <w:sz w:val="24"/>
          <w:szCs w:val="24"/>
        </w:rPr>
        <w:t>66</w:t>
      </w:r>
      <w:r w:rsidRPr="009D2289">
        <w:rPr>
          <w:rFonts w:ascii="Book Antiqua" w:hAnsi="Book Antiqua" w:cs="宋体"/>
          <w:kern w:val="0"/>
          <w:sz w:val="24"/>
          <w:szCs w:val="24"/>
        </w:rPr>
        <w:t>: 5157-5166 [PMID: 9784517]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12 </w:t>
      </w:r>
      <w:r w:rsidRPr="009D2289">
        <w:rPr>
          <w:rFonts w:ascii="Book Antiqua" w:hAnsi="Book Antiqua" w:cs="宋体"/>
          <w:b/>
          <w:bCs/>
          <w:kern w:val="0"/>
          <w:sz w:val="24"/>
          <w:szCs w:val="24"/>
        </w:rPr>
        <w:t>Bell SJ</w:t>
      </w:r>
      <w:r w:rsidRPr="009D2289">
        <w:rPr>
          <w:rFonts w:ascii="Book Antiqua" w:hAnsi="Book Antiqua" w:cs="宋体"/>
          <w:kern w:val="0"/>
          <w:sz w:val="24"/>
          <w:szCs w:val="24"/>
        </w:rPr>
        <w:t xml:space="preserve">, Chisholm SA, Owen RJ, Borriello SP, Kamm MA. Evaluation of Helicobacter species in inflammatory bowel disease. </w:t>
      </w:r>
      <w:r w:rsidRPr="009D2289">
        <w:rPr>
          <w:rFonts w:ascii="Book Antiqua" w:hAnsi="Book Antiqua" w:cs="宋体"/>
          <w:i/>
          <w:iCs/>
          <w:kern w:val="0"/>
          <w:sz w:val="24"/>
          <w:szCs w:val="24"/>
        </w:rPr>
        <w:t>Aliment Pharmacol Ther</w:t>
      </w:r>
      <w:r w:rsidRPr="009D2289">
        <w:rPr>
          <w:rFonts w:ascii="Book Antiqua" w:hAnsi="Book Antiqua" w:cs="宋体"/>
          <w:kern w:val="0"/>
          <w:sz w:val="24"/>
          <w:szCs w:val="24"/>
        </w:rPr>
        <w:t xml:space="preserve"> 2003; </w:t>
      </w:r>
      <w:r w:rsidRPr="009D2289">
        <w:rPr>
          <w:rFonts w:ascii="Book Antiqua" w:hAnsi="Book Antiqua" w:cs="宋体"/>
          <w:b/>
          <w:bCs/>
          <w:kern w:val="0"/>
          <w:sz w:val="24"/>
          <w:szCs w:val="24"/>
        </w:rPr>
        <w:t>18</w:t>
      </w:r>
      <w:r w:rsidRPr="009D2289">
        <w:rPr>
          <w:rFonts w:ascii="Book Antiqua" w:hAnsi="Book Antiqua" w:cs="宋体"/>
          <w:kern w:val="0"/>
          <w:sz w:val="24"/>
          <w:szCs w:val="24"/>
        </w:rPr>
        <w:t>: 481-486 [PMID: 12950420 DOI: 10.1046/j.1365-2036.2003.01703.x]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lastRenderedPageBreak/>
        <w:t xml:space="preserve">13 </w:t>
      </w:r>
      <w:r w:rsidRPr="009D2289">
        <w:rPr>
          <w:rFonts w:ascii="Book Antiqua" w:hAnsi="Book Antiqua" w:cs="宋体"/>
          <w:b/>
          <w:bCs/>
          <w:kern w:val="0"/>
          <w:sz w:val="24"/>
          <w:szCs w:val="24"/>
        </w:rPr>
        <w:t>Grehan M</w:t>
      </w:r>
      <w:r w:rsidRPr="009D2289">
        <w:rPr>
          <w:rFonts w:ascii="Book Antiqua" w:hAnsi="Book Antiqua" w:cs="宋体"/>
          <w:kern w:val="0"/>
          <w:sz w:val="24"/>
          <w:szCs w:val="24"/>
        </w:rPr>
        <w:t xml:space="preserve">, Danon S, Lee A, Daskalopoulos G, Mitchell H. Absence of mucosa-associated colonic Helicobacters in an Australian urban population. </w:t>
      </w:r>
      <w:r w:rsidRPr="009D2289">
        <w:rPr>
          <w:rFonts w:ascii="Book Antiqua" w:hAnsi="Book Antiqua" w:cs="宋体"/>
          <w:i/>
          <w:iCs/>
          <w:kern w:val="0"/>
          <w:sz w:val="24"/>
          <w:szCs w:val="24"/>
        </w:rPr>
        <w:t>J Clin Microbiol</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42</w:t>
      </w:r>
      <w:r w:rsidRPr="009D2289">
        <w:rPr>
          <w:rFonts w:ascii="Book Antiqua" w:hAnsi="Book Antiqua" w:cs="宋体"/>
          <w:kern w:val="0"/>
          <w:sz w:val="24"/>
          <w:szCs w:val="24"/>
        </w:rPr>
        <w:t>: 874-876 [PMID: 14766877 DOI: 10.1128/JCM.42.2.874-876.2004]</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14 </w:t>
      </w:r>
      <w:r w:rsidRPr="009D2289">
        <w:rPr>
          <w:rFonts w:ascii="Book Antiqua" w:hAnsi="Book Antiqua" w:cs="宋体"/>
          <w:b/>
          <w:bCs/>
          <w:kern w:val="0"/>
          <w:sz w:val="24"/>
          <w:szCs w:val="24"/>
        </w:rPr>
        <w:t>Bohr UR</w:t>
      </w:r>
      <w:r w:rsidRPr="009D2289">
        <w:rPr>
          <w:rFonts w:ascii="Book Antiqua" w:hAnsi="Book Antiqua" w:cs="宋体"/>
          <w:kern w:val="0"/>
          <w:sz w:val="24"/>
          <w:szCs w:val="24"/>
        </w:rPr>
        <w:t xml:space="preserve">, Glasbrenner B, Primus A, Zagoura A, Wex T, Malfertheiner P. Identification of enterohepatic Helicobacter species in patients suffering from inflammatory bowel disease. </w:t>
      </w:r>
      <w:r w:rsidRPr="009D2289">
        <w:rPr>
          <w:rFonts w:ascii="Book Antiqua" w:hAnsi="Book Antiqua" w:cs="宋体"/>
          <w:i/>
          <w:iCs/>
          <w:kern w:val="0"/>
          <w:sz w:val="24"/>
          <w:szCs w:val="24"/>
        </w:rPr>
        <w:t>J Clin Microbiol</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42</w:t>
      </w:r>
      <w:r w:rsidRPr="009D2289">
        <w:rPr>
          <w:rFonts w:ascii="Book Antiqua" w:hAnsi="Book Antiqua" w:cs="宋体"/>
          <w:kern w:val="0"/>
          <w:sz w:val="24"/>
          <w:szCs w:val="24"/>
        </w:rPr>
        <w:t>: 2766-2768 [PMID: 15184464 DOI: 10.1128/JCM.42.6.2766-2768.2004]</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15 </w:t>
      </w:r>
      <w:r w:rsidRPr="009D2289">
        <w:rPr>
          <w:rFonts w:ascii="Book Antiqua" w:hAnsi="Book Antiqua" w:cs="宋体"/>
          <w:b/>
          <w:bCs/>
          <w:kern w:val="0"/>
          <w:sz w:val="24"/>
          <w:szCs w:val="24"/>
        </w:rPr>
        <w:t>Luther J</w:t>
      </w:r>
      <w:r w:rsidRPr="009D2289">
        <w:rPr>
          <w:rFonts w:ascii="Book Antiqua" w:hAnsi="Book Antiqua" w:cs="宋体"/>
          <w:kern w:val="0"/>
          <w:sz w:val="24"/>
          <w:szCs w:val="24"/>
        </w:rPr>
        <w:t xml:space="preserve">, Dave M, Higgins PD, Kao JY. Association between Helicobacter pylori infection and inflammatory bowel disease: a meta-analysis and systematic review of the literature. </w:t>
      </w:r>
      <w:r w:rsidRPr="009D2289">
        <w:rPr>
          <w:rFonts w:ascii="Book Antiqua" w:hAnsi="Book Antiqua" w:cs="宋体"/>
          <w:i/>
          <w:iCs/>
          <w:kern w:val="0"/>
          <w:sz w:val="24"/>
          <w:szCs w:val="24"/>
        </w:rPr>
        <w:t>Inflamm Bowel Dis</w:t>
      </w:r>
      <w:r w:rsidRPr="009D2289">
        <w:rPr>
          <w:rFonts w:ascii="Book Antiqua" w:hAnsi="Book Antiqua" w:cs="宋体"/>
          <w:kern w:val="0"/>
          <w:sz w:val="24"/>
          <w:szCs w:val="24"/>
        </w:rPr>
        <w:t xml:space="preserve"> 2010; </w:t>
      </w:r>
      <w:r w:rsidRPr="009D2289">
        <w:rPr>
          <w:rFonts w:ascii="Book Antiqua" w:hAnsi="Book Antiqua" w:cs="宋体"/>
          <w:b/>
          <w:bCs/>
          <w:kern w:val="0"/>
          <w:sz w:val="24"/>
          <w:szCs w:val="24"/>
        </w:rPr>
        <w:t>16</w:t>
      </w:r>
      <w:r w:rsidRPr="009D2289">
        <w:rPr>
          <w:rFonts w:ascii="Book Antiqua" w:hAnsi="Book Antiqua" w:cs="宋体"/>
          <w:kern w:val="0"/>
          <w:sz w:val="24"/>
          <w:szCs w:val="24"/>
        </w:rPr>
        <w:t>: 1077-1084 [PMID: 19760778 DOI: 10.1002/ibd]</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16 </w:t>
      </w:r>
      <w:r w:rsidRPr="009D2289">
        <w:rPr>
          <w:rFonts w:ascii="Book Antiqua" w:hAnsi="Book Antiqua" w:cs="宋体"/>
          <w:b/>
          <w:bCs/>
          <w:kern w:val="0"/>
          <w:sz w:val="24"/>
          <w:szCs w:val="24"/>
        </w:rPr>
        <w:t>von Elm E</w:t>
      </w:r>
      <w:r w:rsidRPr="009D2289">
        <w:rPr>
          <w:rFonts w:ascii="Book Antiqua" w:hAnsi="Book Antiqua" w:cs="宋体"/>
          <w:kern w:val="0"/>
          <w:sz w:val="24"/>
          <w:szCs w:val="24"/>
        </w:rPr>
        <w:t xml:space="preserve">, Altman DG, Egger M, Pocock SJ, Gøtzsche PC, Vandenbroucke JP. The Strengthening the Reporting of Observational Studies in Epidemiology (STROBE) statement: guidelines for reporting observational studies. </w:t>
      </w:r>
      <w:r w:rsidRPr="009D2289">
        <w:rPr>
          <w:rFonts w:ascii="Book Antiqua" w:hAnsi="Book Antiqua" w:cs="宋体"/>
          <w:i/>
          <w:iCs/>
          <w:kern w:val="0"/>
          <w:sz w:val="24"/>
          <w:szCs w:val="24"/>
        </w:rPr>
        <w:t>Lancet</w:t>
      </w:r>
      <w:r w:rsidRPr="009D2289">
        <w:rPr>
          <w:rFonts w:ascii="Book Antiqua" w:hAnsi="Book Antiqua" w:cs="宋体"/>
          <w:kern w:val="0"/>
          <w:sz w:val="24"/>
          <w:szCs w:val="24"/>
        </w:rPr>
        <w:t xml:space="preserve"> 2007; </w:t>
      </w:r>
      <w:r w:rsidRPr="009D2289">
        <w:rPr>
          <w:rFonts w:ascii="Book Antiqua" w:hAnsi="Book Antiqua" w:cs="宋体"/>
          <w:b/>
          <w:bCs/>
          <w:kern w:val="0"/>
          <w:sz w:val="24"/>
          <w:szCs w:val="24"/>
        </w:rPr>
        <w:t>370</w:t>
      </w:r>
      <w:r w:rsidRPr="009D2289">
        <w:rPr>
          <w:rFonts w:ascii="Book Antiqua" w:hAnsi="Book Antiqua" w:cs="宋体"/>
          <w:kern w:val="0"/>
          <w:sz w:val="24"/>
          <w:szCs w:val="24"/>
        </w:rPr>
        <w:t>: 1453-1457 [PMID: 18064739]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17 </w:t>
      </w:r>
      <w:r w:rsidRPr="009D2289">
        <w:rPr>
          <w:rFonts w:ascii="Book Antiqua" w:hAnsi="Book Antiqua" w:cs="宋体"/>
          <w:b/>
          <w:bCs/>
          <w:kern w:val="0"/>
          <w:sz w:val="24"/>
          <w:szCs w:val="24"/>
        </w:rPr>
        <w:t>Ouyang Q</w:t>
      </w:r>
      <w:r w:rsidRPr="009D2289">
        <w:rPr>
          <w:rFonts w:ascii="Book Antiqua" w:hAnsi="Book Antiqua" w:cs="宋体"/>
          <w:kern w:val="0"/>
          <w:sz w:val="24"/>
          <w:szCs w:val="24"/>
        </w:rPr>
        <w:t xml:space="preserve">, Tandon R, Goh KL, Pan GZ, Fock KM, Fiocchi C, Lam SK, Xiao SD. Management consensus of inflammatory bowel disease for the Asia-Pacific region. </w:t>
      </w:r>
      <w:r w:rsidRPr="009D2289">
        <w:rPr>
          <w:rFonts w:ascii="Book Antiqua" w:hAnsi="Book Antiqua" w:cs="宋体"/>
          <w:i/>
          <w:iCs/>
          <w:kern w:val="0"/>
          <w:sz w:val="24"/>
          <w:szCs w:val="24"/>
        </w:rPr>
        <w:t>J Gastroenterol Hepatol</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21</w:t>
      </w:r>
      <w:r w:rsidRPr="009D2289">
        <w:rPr>
          <w:rFonts w:ascii="Book Antiqua" w:hAnsi="Book Antiqua" w:cs="宋体"/>
          <w:kern w:val="0"/>
          <w:sz w:val="24"/>
          <w:szCs w:val="24"/>
        </w:rPr>
        <w:t>: 1772-1782 [PMID: 17074013]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18 </w:t>
      </w:r>
      <w:r w:rsidRPr="009D2289">
        <w:rPr>
          <w:rFonts w:ascii="Book Antiqua" w:hAnsi="Book Antiqua" w:cs="宋体"/>
          <w:b/>
          <w:bCs/>
          <w:kern w:val="0"/>
          <w:sz w:val="24"/>
          <w:szCs w:val="24"/>
        </w:rPr>
        <w:t>Ouyang Q</w:t>
      </w:r>
      <w:r w:rsidRPr="009D2289">
        <w:rPr>
          <w:rFonts w:ascii="Book Antiqua" w:hAnsi="Book Antiqua" w:cs="宋体"/>
          <w:kern w:val="0"/>
          <w:sz w:val="24"/>
          <w:szCs w:val="24"/>
        </w:rPr>
        <w:t xml:space="preserve">, Hu PJ, Qian JM, Zheng JJ, Hu RW. Consensus on the management of inflammatory bowel disease in China in 2007. </w:t>
      </w:r>
      <w:r w:rsidRPr="009D2289">
        <w:rPr>
          <w:rFonts w:ascii="Book Antiqua" w:hAnsi="Book Antiqua" w:cs="宋体"/>
          <w:i/>
          <w:iCs/>
          <w:kern w:val="0"/>
          <w:sz w:val="24"/>
          <w:szCs w:val="24"/>
        </w:rPr>
        <w:t>J Dig Dis</w:t>
      </w:r>
      <w:r w:rsidRPr="009D2289">
        <w:rPr>
          <w:rFonts w:ascii="Book Antiqua" w:hAnsi="Book Antiqua" w:cs="宋体"/>
          <w:kern w:val="0"/>
          <w:sz w:val="24"/>
          <w:szCs w:val="24"/>
        </w:rPr>
        <w:t xml:space="preserve"> 2008; </w:t>
      </w:r>
      <w:r w:rsidRPr="009D2289">
        <w:rPr>
          <w:rFonts w:ascii="Book Antiqua" w:hAnsi="Book Antiqua" w:cs="宋体"/>
          <w:b/>
          <w:bCs/>
          <w:kern w:val="0"/>
          <w:sz w:val="24"/>
          <w:szCs w:val="24"/>
        </w:rPr>
        <w:t>9</w:t>
      </w:r>
      <w:r w:rsidRPr="009D2289">
        <w:rPr>
          <w:rFonts w:ascii="Book Antiqua" w:hAnsi="Book Antiqua" w:cs="宋体"/>
          <w:kern w:val="0"/>
          <w:sz w:val="24"/>
          <w:szCs w:val="24"/>
        </w:rPr>
        <w:t>: 52-62 [PMID: 18251795 DOI: 10.1111/j.1443-9573.2007.00320.x]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19 </w:t>
      </w:r>
      <w:r w:rsidRPr="009D2289">
        <w:rPr>
          <w:rFonts w:ascii="Book Antiqua" w:hAnsi="Book Antiqua" w:cs="宋体"/>
          <w:b/>
          <w:bCs/>
          <w:kern w:val="0"/>
          <w:sz w:val="24"/>
          <w:szCs w:val="24"/>
        </w:rPr>
        <w:t>Best WR</w:t>
      </w:r>
      <w:r w:rsidRPr="009D2289">
        <w:rPr>
          <w:rFonts w:ascii="Book Antiqua" w:hAnsi="Book Antiqua" w:cs="宋体"/>
          <w:kern w:val="0"/>
          <w:sz w:val="24"/>
          <w:szCs w:val="24"/>
        </w:rPr>
        <w:t xml:space="preserve">. Predicting the Crohn's disease activity index from the Harvey-Bradshaw Index. </w:t>
      </w:r>
      <w:r w:rsidRPr="009D2289">
        <w:rPr>
          <w:rFonts w:ascii="Book Antiqua" w:hAnsi="Book Antiqua" w:cs="宋体"/>
          <w:i/>
          <w:iCs/>
          <w:kern w:val="0"/>
          <w:sz w:val="24"/>
          <w:szCs w:val="24"/>
        </w:rPr>
        <w:t>Inflamm Bowel Dis</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12</w:t>
      </w:r>
      <w:r w:rsidRPr="009D2289">
        <w:rPr>
          <w:rFonts w:ascii="Book Antiqua" w:hAnsi="Book Antiqua" w:cs="宋体"/>
          <w:kern w:val="0"/>
          <w:sz w:val="24"/>
          <w:szCs w:val="24"/>
        </w:rPr>
        <w:t>: 304-310 [PMID: 16633052]</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20 </w:t>
      </w:r>
      <w:r w:rsidRPr="009D2289">
        <w:rPr>
          <w:rFonts w:ascii="Book Antiqua" w:hAnsi="Book Antiqua" w:cs="宋体"/>
          <w:b/>
          <w:bCs/>
          <w:kern w:val="0"/>
          <w:sz w:val="24"/>
          <w:szCs w:val="24"/>
        </w:rPr>
        <w:t>Li YM</w:t>
      </w:r>
      <w:r w:rsidRPr="009D2289">
        <w:rPr>
          <w:rFonts w:ascii="Book Antiqua" w:hAnsi="Book Antiqua" w:cs="宋体"/>
          <w:kern w:val="0"/>
          <w:sz w:val="24"/>
          <w:szCs w:val="24"/>
        </w:rPr>
        <w:t xml:space="preserve">, Fan JG, Wang BY, Lu LG, Shi JP, Niu JQ, Shen W. Guidelines for the diagnosis and management of alcoholic liver disease: update 2010: (published in Chinese on Chinese Journal of Hepatology 2010; 18: 167-170). </w:t>
      </w:r>
      <w:r w:rsidRPr="009D2289">
        <w:rPr>
          <w:rFonts w:ascii="Book Antiqua" w:hAnsi="Book Antiqua" w:cs="宋体"/>
          <w:i/>
          <w:iCs/>
          <w:kern w:val="0"/>
          <w:sz w:val="24"/>
          <w:szCs w:val="24"/>
        </w:rPr>
        <w:t xml:space="preserve">J </w:t>
      </w:r>
      <w:r w:rsidRPr="009D2289">
        <w:rPr>
          <w:rFonts w:ascii="Book Antiqua" w:hAnsi="Book Antiqua" w:cs="宋体"/>
          <w:i/>
          <w:iCs/>
          <w:kern w:val="0"/>
          <w:sz w:val="24"/>
          <w:szCs w:val="24"/>
        </w:rPr>
        <w:lastRenderedPageBreak/>
        <w:t>Dig Dis</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12</w:t>
      </w:r>
      <w:r w:rsidRPr="009D2289">
        <w:rPr>
          <w:rFonts w:ascii="Book Antiqua" w:hAnsi="Book Antiqua" w:cs="宋体"/>
          <w:kern w:val="0"/>
          <w:sz w:val="24"/>
          <w:szCs w:val="24"/>
        </w:rPr>
        <w:t>: 45-50 [PMID: 21276208 DOI: 10.1111/j.1751-2980.2010.00477.x]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21 </w:t>
      </w:r>
      <w:r w:rsidRPr="009D2289">
        <w:rPr>
          <w:rFonts w:ascii="Book Antiqua" w:hAnsi="Book Antiqua" w:cs="宋体"/>
          <w:b/>
          <w:bCs/>
          <w:kern w:val="0"/>
          <w:sz w:val="24"/>
          <w:szCs w:val="24"/>
        </w:rPr>
        <w:t>Surveyor I</w:t>
      </w:r>
      <w:r w:rsidRPr="009D2289">
        <w:rPr>
          <w:rFonts w:ascii="Book Antiqua" w:hAnsi="Book Antiqua" w:cs="宋体"/>
          <w:kern w:val="0"/>
          <w:sz w:val="24"/>
          <w:szCs w:val="24"/>
        </w:rPr>
        <w:t xml:space="preserve">, Goodwin CS, Mullan BP, Geelhoed E, Warren JR, Murray RN, Waters TE, Sanderson CR. The 14C-urea breath-test for the detection of gastric Campylobacter pylori infection. </w:t>
      </w:r>
      <w:r w:rsidRPr="009D2289">
        <w:rPr>
          <w:rFonts w:ascii="Book Antiqua" w:hAnsi="Book Antiqua" w:cs="宋体"/>
          <w:i/>
          <w:iCs/>
          <w:kern w:val="0"/>
          <w:sz w:val="24"/>
          <w:szCs w:val="24"/>
        </w:rPr>
        <w:t>Med J Aust</w:t>
      </w:r>
      <w:r w:rsidRPr="009D2289">
        <w:rPr>
          <w:rFonts w:ascii="Book Antiqua" w:hAnsi="Book Antiqua" w:cs="宋体"/>
          <w:kern w:val="0"/>
          <w:sz w:val="24"/>
          <w:szCs w:val="24"/>
        </w:rPr>
        <w:t xml:space="preserve"> 1989; </w:t>
      </w:r>
      <w:r w:rsidRPr="009D2289">
        <w:rPr>
          <w:rFonts w:ascii="Book Antiqua" w:hAnsi="Book Antiqua" w:cs="宋体"/>
          <w:b/>
          <w:bCs/>
          <w:kern w:val="0"/>
          <w:sz w:val="24"/>
          <w:szCs w:val="24"/>
        </w:rPr>
        <w:t>151</w:t>
      </w:r>
      <w:r w:rsidRPr="009D2289">
        <w:rPr>
          <w:rFonts w:ascii="Book Antiqua" w:hAnsi="Book Antiqua" w:cs="宋体"/>
          <w:kern w:val="0"/>
          <w:sz w:val="24"/>
          <w:szCs w:val="24"/>
        </w:rPr>
        <w:t>: 435-439 [PMID: 2593958]</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22 </w:t>
      </w:r>
      <w:r w:rsidRPr="009D2289">
        <w:rPr>
          <w:rFonts w:ascii="Book Antiqua" w:hAnsi="Book Antiqua" w:cs="宋体"/>
          <w:b/>
          <w:bCs/>
          <w:kern w:val="0"/>
          <w:sz w:val="24"/>
          <w:szCs w:val="24"/>
        </w:rPr>
        <w:t>Chey WD</w:t>
      </w:r>
      <w:r w:rsidRPr="009D2289">
        <w:rPr>
          <w:rFonts w:ascii="Book Antiqua" w:hAnsi="Book Antiqua" w:cs="宋体"/>
          <w:kern w:val="0"/>
          <w:sz w:val="24"/>
          <w:szCs w:val="24"/>
        </w:rPr>
        <w:t xml:space="preserve">, Wong BC. American College of Gastroenterology guideline on the management of Helicobacter pylori infection. </w:t>
      </w:r>
      <w:r w:rsidRPr="009D2289">
        <w:rPr>
          <w:rFonts w:ascii="Book Antiqua" w:hAnsi="Book Antiqua" w:cs="宋体"/>
          <w:i/>
          <w:iCs/>
          <w:kern w:val="0"/>
          <w:sz w:val="24"/>
          <w:szCs w:val="24"/>
        </w:rPr>
        <w:t>Am J Gastroenterol</w:t>
      </w:r>
      <w:r w:rsidRPr="009D2289">
        <w:rPr>
          <w:rFonts w:ascii="Book Antiqua" w:hAnsi="Book Antiqua" w:cs="宋体"/>
          <w:kern w:val="0"/>
          <w:sz w:val="24"/>
          <w:szCs w:val="24"/>
        </w:rPr>
        <w:t xml:space="preserve"> 2007; </w:t>
      </w:r>
      <w:r w:rsidRPr="009D2289">
        <w:rPr>
          <w:rFonts w:ascii="Book Antiqua" w:hAnsi="Book Antiqua" w:cs="宋体"/>
          <w:b/>
          <w:bCs/>
          <w:kern w:val="0"/>
          <w:sz w:val="24"/>
          <w:szCs w:val="24"/>
        </w:rPr>
        <w:t>102</w:t>
      </w:r>
      <w:r w:rsidRPr="009D2289">
        <w:rPr>
          <w:rFonts w:ascii="Book Antiqua" w:hAnsi="Book Antiqua" w:cs="宋体"/>
          <w:kern w:val="0"/>
          <w:sz w:val="24"/>
          <w:szCs w:val="24"/>
        </w:rPr>
        <w:t>: 1808-1825 [PMID: 17608775]</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23 </w:t>
      </w:r>
      <w:r w:rsidRPr="009D2289">
        <w:rPr>
          <w:rFonts w:ascii="Book Antiqua" w:hAnsi="Book Antiqua" w:cs="宋体"/>
          <w:b/>
          <w:bCs/>
          <w:kern w:val="0"/>
          <w:sz w:val="24"/>
          <w:szCs w:val="24"/>
        </w:rPr>
        <w:t>Mégraud F</w:t>
      </w:r>
      <w:r w:rsidRPr="009D2289">
        <w:rPr>
          <w:rFonts w:ascii="Book Antiqua" w:hAnsi="Book Antiqua" w:cs="宋体"/>
          <w:kern w:val="0"/>
          <w:sz w:val="24"/>
          <w:szCs w:val="24"/>
        </w:rPr>
        <w:t xml:space="preserve">, Lehours P. Helicobacter pylori detection and antimicrobial susceptibility testing. </w:t>
      </w:r>
      <w:r w:rsidRPr="009D2289">
        <w:rPr>
          <w:rFonts w:ascii="Book Antiqua" w:hAnsi="Book Antiqua" w:cs="宋体"/>
          <w:i/>
          <w:iCs/>
          <w:kern w:val="0"/>
          <w:sz w:val="24"/>
          <w:szCs w:val="24"/>
        </w:rPr>
        <w:t>Clin Microbiol Rev</w:t>
      </w:r>
      <w:r w:rsidRPr="009D2289">
        <w:rPr>
          <w:rFonts w:ascii="Book Antiqua" w:hAnsi="Book Antiqua" w:cs="宋体"/>
          <w:kern w:val="0"/>
          <w:sz w:val="24"/>
          <w:szCs w:val="24"/>
        </w:rPr>
        <w:t xml:space="preserve"> 2007; </w:t>
      </w:r>
      <w:r w:rsidRPr="009D2289">
        <w:rPr>
          <w:rFonts w:ascii="Book Antiqua" w:hAnsi="Book Antiqua" w:cs="宋体"/>
          <w:b/>
          <w:bCs/>
          <w:kern w:val="0"/>
          <w:sz w:val="24"/>
          <w:szCs w:val="24"/>
        </w:rPr>
        <w:t>20</w:t>
      </w:r>
      <w:r w:rsidRPr="009D2289">
        <w:rPr>
          <w:rFonts w:ascii="Book Antiqua" w:hAnsi="Book Antiqua" w:cs="宋体"/>
          <w:kern w:val="0"/>
          <w:sz w:val="24"/>
          <w:szCs w:val="24"/>
        </w:rPr>
        <w:t>: 280-322 [PMID: 17428887]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24 </w:t>
      </w:r>
      <w:r w:rsidRPr="009D2289">
        <w:rPr>
          <w:rFonts w:ascii="Book Antiqua" w:hAnsi="Book Antiqua" w:cs="宋体"/>
          <w:b/>
          <w:bCs/>
          <w:kern w:val="0"/>
          <w:sz w:val="24"/>
          <w:szCs w:val="24"/>
        </w:rPr>
        <w:t>Hovde Ø</w:t>
      </w:r>
      <w:r w:rsidRPr="009D2289">
        <w:rPr>
          <w:rFonts w:ascii="Book Antiqua" w:hAnsi="Book Antiqua" w:cs="宋体"/>
          <w:kern w:val="0"/>
          <w:sz w:val="24"/>
          <w:szCs w:val="24"/>
        </w:rPr>
        <w:t xml:space="preserve">, Moum BA. Epidemiology and clinical course of Crohn's disease: results from observational studies. </w:t>
      </w:r>
      <w:r w:rsidRPr="009D2289">
        <w:rPr>
          <w:rFonts w:ascii="Book Antiqua" w:hAnsi="Book Antiqua" w:cs="宋体"/>
          <w:i/>
          <w:iCs/>
          <w:kern w:val="0"/>
          <w:sz w:val="24"/>
          <w:szCs w:val="24"/>
        </w:rPr>
        <w:t>World J Gastroenterol</w:t>
      </w:r>
      <w:r w:rsidRPr="009D2289">
        <w:rPr>
          <w:rFonts w:ascii="Book Antiqua" w:hAnsi="Book Antiqua" w:cs="宋体"/>
          <w:kern w:val="0"/>
          <w:sz w:val="24"/>
          <w:szCs w:val="24"/>
        </w:rPr>
        <w:t xml:space="preserve"> 2012; </w:t>
      </w:r>
      <w:r w:rsidRPr="009D2289">
        <w:rPr>
          <w:rFonts w:ascii="Book Antiqua" w:hAnsi="Book Antiqua" w:cs="宋体"/>
          <w:b/>
          <w:bCs/>
          <w:kern w:val="0"/>
          <w:sz w:val="24"/>
          <w:szCs w:val="24"/>
        </w:rPr>
        <w:t>18</w:t>
      </w:r>
      <w:r w:rsidRPr="009D2289">
        <w:rPr>
          <w:rFonts w:ascii="Book Antiqua" w:hAnsi="Book Antiqua" w:cs="宋体"/>
          <w:kern w:val="0"/>
          <w:sz w:val="24"/>
          <w:szCs w:val="24"/>
        </w:rPr>
        <w:t>: 1723-1731 [PMID: 22553396 DOI: 10.3748/wjg.v18.i15.1723]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25 </w:t>
      </w:r>
      <w:r w:rsidRPr="009D2289">
        <w:rPr>
          <w:rFonts w:ascii="Book Antiqua" w:hAnsi="Book Antiqua" w:cs="宋体"/>
          <w:b/>
          <w:bCs/>
          <w:kern w:val="0"/>
          <w:sz w:val="24"/>
          <w:szCs w:val="24"/>
        </w:rPr>
        <w:t>Mayer L</w:t>
      </w:r>
      <w:r w:rsidRPr="009D2289">
        <w:rPr>
          <w:rFonts w:ascii="Book Antiqua" w:hAnsi="Book Antiqua" w:cs="宋体"/>
          <w:kern w:val="0"/>
          <w:sz w:val="24"/>
          <w:szCs w:val="24"/>
        </w:rPr>
        <w:t xml:space="preserve">. Evolving paradigms in the pathogenesis of IBD. </w:t>
      </w:r>
      <w:r w:rsidRPr="009D2289">
        <w:rPr>
          <w:rFonts w:ascii="Book Antiqua" w:hAnsi="Book Antiqua" w:cs="宋体"/>
          <w:i/>
          <w:iCs/>
          <w:kern w:val="0"/>
          <w:sz w:val="24"/>
          <w:szCs w:val="24"/>
        </w:rPr>
        <w:t>J Gastroenterol</w:t>
      </w:r>
      <w:r w:rsidRPr="009D2289">
        <w:rPr>
          <w:rFonts w:ascii="Book Antiqua" w:hAnsi="Book Antiqua" w:cs="宋体"/>
          <w:kern w:val="0"/>
          <w:sz w:val="24"/>
          <w:szCs w:val="24"/>
        </w:rPr>
        <w:t xml:space="preserve"> 2010; </w:t>
      </w:r>
      <w:r w:rsidRPr="009D2289">
        <w:rPr>
          <w:rFonts w:ascii="Book Antiqua" w:hAnsi="Book Antiqua" w:cs="宋体"/>
          <w:b/>
          <w:bCs/>
          <w:kern w:val="0"/>
          <w:sz w:val="24"/>
          <w:szCs w:val="24"/>
        </w:rPr>
        <w:t>45</w:t>
      </w:r>
      <w:r w:rsidRPr="009D2289">
        <w:rPr>
          <w:rFonts w:ascii="Book Antiqua" w:hAnsi="Book Antiqua" w:cs="宋体"/>
          <w:kern w:val="0"/>
          <w:sz w:val="24"/>
          <w:szCs w:val="24"/>
        </w:rPr>
        <w:t>: 9-16 [PMID: 19960355 DOI: 10.1007/s00535-009-0138-3]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26 </w:t>
      </w:r>
      <w:r w:rsidRPr="009D2289">
        <w:rPr>
          <w:rFonts w:ascii="Book Antiqua" w:hAnsi="Book Antiqua" w:cs="宋体"/>
          <w:b/>
          <w:bCs/>
          <w:kern w:val="0"/>
          <w:sz w:val="24"/>
          <w:szCs w:val="24"/>
        </w:rPr>
        <w:t>Vermeire S</w:t>
      </w:r>
      <w:r w:rsidRPr="009D2289">
        <w:rPr>
          <w:rFonts w:ascii="Book Antiqua" w:hAnsi="Book Antiqua" w:cs="宋体"/>
          <w:kern w:val="0"/>
          <w:sz w:val="24"/>
          <w:szCs w:val="24"/>
        </w:rPr>
        <w:t xml:space="preserve">, Rutgeerts P. Current status of genetics research in inflammatory bowel disease. </w:t>
      </w:r>
      <w:r w:rsidRPr="009D2289">
        <w:rPr>
          <w:rFonts w:ascii="Book Antiqua" w:hAnsi="Book Antiqua" w:cs="宋体"/>
          <w:i/>
          <w:iCs/>
          <w:kern w:val="0"/>
          <w:sz w:val="24"/>
          <w:szCs w:val="24"/>
        </w:rPr>
        <w:t>Genes Immun</w:t>
      </w:r>
      <w:r w:rsidRPr="009D2289">
        <w:rPr>
          <w:rFonts w:ascii="Book Antiqua" w:hAnsi="Book Antiqua" w:cs="宋体"/>
          <w:kern w:val="0"/>
          <w:sz w:val="24"/>
          <w:szCs w:val="24"/>
        </w:rPr>
        <w:t xml:space="preserve"> 2005; </w:t>
      </w:r>
      <w:r w:rsidRPr="009D2289">
        <w:rPr>
          <w:rFonts w:ascii="Book Antiqua" w:hAnsi="Book Antiqua" w:cs="宋体"/>
          <w:b/>
          <w:bCs/>
          <w:kern w:val="0"/>
          <w:sz w:val="24"/>
          <w:szCs w:val="24"/>
        </w:rPr>
        <w:t>6</w:t>
      </w:r>
      <w:r w:rsidRPr="009D2289">
        <w:rPr>
          <w:rFonts w:ascii="Book Antiqua" w:hAnsi="Book Antiqua" w:cs="宋体"/>
          <w:kern w:val="0"/>
          <w:sz w:val="24"/>
          <w:szCs w:val="24"/>
        </w:rPr>
        <w:t>: 637-645 [PMID: 16107869]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27 </w:t>
      </w:r>
      <w:r w:rsidRPr="009D2289">
        <w:rPr>
          <w:rFonts w:ascii="Book Antiqua" w:hAnsi="Book Antiqua" w:cs="宋体"/>
          <w:b/>
          <w:bCs/>
          <w:kern w:val="0"/>
          <w:sz w:val="24"/>
          <w:szCs w:val="24"/>
        </w:rPr>
        <w:t>Fritz T</w:t>
      </w:r>
      <w:r w:rsidRPr="009D2289">
        <w:rPr>
          <w:rFonts w:ascii="Book Antiqua" w:hAnsi="Book Antiqua" w:cs="宋体"/>
          <w:kern w:val="0"/>
          <w:sz w:val="24"/>
          <w:szCs w:val="24"/>
        </w:rPr>
        <w:t xml:space="preserve">, Niederreiter L, Adolph T, Blumberg RS, Kaser A. Crohn's disease: NOD2, autophagy and ER stress converge. </w:t>
      </w:r>
      <w:r w:rsidRPr="009D2289">
        <w:rPr>
          <w:rFonts w:ascii="Book Antiqua" w:hAnsi="Book Antiqua" w:cs="宋体"/>
          <w:i/>
          <w:iCs/>
          <w:kern w:val="0"/>
          <w:sz w:val="24"/>
          <w:szCs w:val="24"/>
        </w:rPr>
        <w:t>Gut</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60</w:t>
      </w:r>
      <w:r w:rsidRPr="009D2289">
        <w:rPr>
          <w:rFonts w:ascii="Book Antiqua" w:hAnsi="Book Antiqua" w:cs="宋体"/>
          <w:kern w:val="0"/>
          <w:sz w:val="24"/>
          <w:szCs w:val="24"/>
        </w:rPr>
        <w:t>: 1580-1588 [PMID: 21252204 DOI: 10.1136/gut.2009]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28 </w:t>
      </w:r>
      <w:r w:rsidRPr="009D2289">
        <w:rPr>
          <w:rFonts w:ascii="Book Antiqua" w:hAnsi="Book Antiqua" w:cs="宋体"/>
          <w:b/>
          <w:bCs/>
          <w:kern w:val="0"/>
          <w:sz w:val="24"/>
          <w:szCs w:val="24"/>
        </w:rPr>
        <w:t>Tapia S A</w:t>
      </w:r>
      <w:r w:rsidRPr="009D2289">
        <w:rPr>
          <w:rFonts w:ascii="Book Antiqua" w:hAnsi="Book Antiqua" w:cs="宋体"/>
          <w:kern w:val="0"/>
          <w:sz w:val="24"/>
          <w:szCs w:val="24"/>
        </w:rPr>
        <w:t xml:space="preserve">, Araya M M. [Oxidative stress, prooxidants and Crohn disease]. </w:t>
      </w:r>
      <w:r w:rsidRPr="009D2289">
        <w:rPr>
          <w:rFonts w:ascii="Book Antiqua" w:hAnsi="Book Antiqua" w:cs="宋体"/>
          <w:i/>
          <w:iCs/>
          <w:kern w:val="0"/>
          <w:sz w:val="24"/>
          <w:szCs w:val="24"/>
        </w:rPr>
        <w:t>Rev Med Chil</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134</w:t>
      </w:r>
      <w:r w:rsidRPr="009D2289">
        <w:rPr>
          <w:rFonts w:ascii="Book Antiqua" w:hAnsi="Book Antiqua" w:cs="宋体"/>
          <w:kern w:val="0"/>
          <w:sz w:val="24"/>
          <w:szCs w:val="24"/>
        </w:rPr>
        <w:t>: 95-100 [PMID: 16532169]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29 </w:t>
      </w:r>
      <w:r w:rsidRPr="009D2289">
        <w:rPr>
          <w:rFonts w:ascii="Book Antiqua" w:hAnsi="Book Antiqua" w:cs="宋体"/>
          <w:b/>
          <w:bCs/>
          <w:kern w:val="0"/>
          <w:sz w:val="24"/>
          <w:szCs w:val="24"/>
        </w:rPr>
        <w:t>Ohkusa T</w:t>
      </w:r>
      <w:r w:rsidRPr="009D2289">
        <w:rPr>
          <w:rFonts w:ascii="Book Antiqua" w:hAnsi="Book Antiqua" w:cs="宋体"/>
          <w:kern w:val="0"/>
          <w:sz w:val="24"/>
          <w:szCs w:val="24"/>
        </w:rPr>
        <w:t xml:space="preserve">, Nomura T, Sato N. The role of bacterial infection in the pathogenesis of inflammatory bowel disease. </w:t>
      </w:r>
      <w:r w:rsidRPr="009D2289">
        <w:rPr>
          <w:rFonts w:ascii="Book Antiqua" w:hAnsi="Book Antiqua" w:cs="宋体"/>
          <w:i/>
          <w:iCs/>
          <w:kern w:val="0"/>
          <w:sz w:val="24"/>
          <w:szCs w:val="24"/>
        </w:rPr>
        <w:t>Intern Med</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43</w:t>
      </w:r>
      <w:r w:rsidRPr="009D2289">
        <w:rPr>
          <w:rFonts w:ascii="Book Antiqua" w:hAnsi="Book Antiqua" w:cs="宋体"/>
          <w:kern w:val="0"/>
          <w:sz w:val="24"/>
          <w:szCs w:val="24"/>
        </w:rPr>
        <w:t>: 534-539 [PMID: 15335176]</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30 </w:t>
      </w:r>
      <w:r w:rsidRPr="009D2289">
        <w:rPr>
          <w:rFonts w:ascii="Book Antiqua" w:hAnsi="Book Antiqua" w:cs="宋体"/>
          <w:b/>
          <w:bCs/>
          <w:kern w:val="0"/>
          <w:sz w:val="24"/>
          <w:szCs w:val="24"/>
        </w:rPr>
        <w:t>Hansen R</w:t>
      </w:r>
      <w:r w:rsidRPr="009D2289">
        <w:rPr>
          <w:rFonts w:ascii="Book Antiqua" w:hAnsi="Book Antiqua" w:cs="宋体"/>
          <w:kern w:val="0"/>
          <w:sz w:val="24"/>
          <w:szCs w:val="24"/>
        </w:rPr>
        <w:t xml:space="preserve">, Thomson JM, Fox JG, El-Omar EM, Hold GL. Could Helicobacter organisms cause inflammatory bowel disease? </w:t>
      </w:r>
      <w:r w:rsidRPr="009D2289">
        <w:rPr>
          <w:rFonts w:ascii="Book Antiqua" w:hAnsi="Book Antiqua" w:cs="宋体"/>
          <w:i/>
          <w:iCs/>
          <w:kern w:val="0"/>
          <w:sz w:val="24"/>
          <w:szCs w:val="24"/>
        </w:rPr>
        <w:t>FEMS Immunol Med Microbiol</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61</w:t>
      </w:r>
      <w:r w:rsidRPr="009D2289">
        <w:rPr>
          <w:rFonts w:ascii="Book Antiqua" w:hAnsi="Book Antiqua" w:cs="宋体"/>
          <w:kern w:val="0"/>
          <w:sz w:val="24"/>
          <w:szCs w:val="24"/>
        </w:rPr>
        <w:t>: 1-14 [PMID: 20955468 DOI: 10.1111/j.1574-695X.2010.00744.x]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lastRenderedPageBreak/>
        <w:t xml:space="preserve">31 </w:t>
      </w:r>
      <w:r w:rsidRPr="009D2289">
        <w:rPr>
          <w:rFonts w:ascii="Book Antiqua" w:hAnsi="Book Antiqua" w:cs="宋体"/>
          <w:b/>
          <w:bCs/>
          <w:kern w:val="0"/>
          <w:sz w:val="24"/>
          <w:szCs w:val="24"/>
        </w:rPr>
        <w:t>Jergens AE</w:t>
      </w:r>
      <w:r w:rsidRPr="009D2289">
        <w:rPr>
          <w:rFonts w:ascii="Book Antiqua" w:hAnsi="Book Antiqua" w:cs="宋体"/>
          <w:kern w:val="0"/>
          <w:sz w:val="24"/>
          <w:szCs w:val="24"/>
        </w:rPr>
        <w:t xml:space="preserve">, Wilson-Welder JH, Dorn A, Henderson A, Liu Z, Evans RB, Hostetter J, Wannemuehler MJ. Helicobacter bilis triggers persistent immune reactivity to antigens derived from the commensal bacteria in gnotobiotic C3H/HeN mice. </w:t>
      </w:r>
      <w:r w:rsidRPr="009D2289">
        <w:rPr>
          <w:rFonts w:ascii="Book Antiqua" w:hAnsi="Book Antiqua" w:cs="宋体"/>
          <w:i/>
          <w:iCs/>
          <w:kern w:val="0"/>
          <w:sz w:val="24"/>
          <w:szCs w:val="24"/>
        </w:rPr>
        <w:t>Gut</w:t>
      </w:r>
      <w:r w:rsidRPr="009D2289">
        <w:rPr>
          <w:rFonts w:ascii="Book Antiqua" w:hAnsi="Book Antiqua" w:cs="宋体"/>
          <w:kern w:val="0"/>
          <w:sz w:val="24"/>
          <w:szCs w:val="24"/>
        </w:rPr>
        <w:t xml:space="preserve"> 2007; </w:t>
      </w:r>
      <w:r w:rsidRPr="009D2289">
        <w:rPr>
          <w:rFonts w:ascii="Book Antiqua" w:hAnsi="Book Antiqua" w:cs="宋体"/>
          <w:b/>
          <w:bCs/>
          <w:kern w:val="0"/>
          <w:sz w:val="24"/>
          <w:szCs w:val="24"/>
        </w:rPr>
        <w:t>56</w:t>
      </w:r>
      <w:r w:rsidRPr="009D2289">
        <w:rPr>
          <w:rFonts w:ascii="Book Antiqua" w:hAnsi="Book Antiqua" w:cs="宋体"/>
          <w:kern w:val="0"/>
          <w:sz w:val="24"/>
          <w:szCs w:val="24"/>
        </w:rPr>
        <w:t>: 934-940 [PMID: 17145736]</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32 </w:t>
      </w:r>
      <w:r w:rsidRPr="009D2289">
        <w:rPr>
          <w:rFonts w:ascii="Book Antiqua" w:hAnsi="Book Antiqua" w:cs="宋体"/>
          <w:b/>
          <w:bCs/>
          <w:kern w:val="0"/>
          <w:sz w:val="24"/>
          <w:szCs w:val="24"/>
        </w:rPr>
        <w:t>Zhang L</w:t>
      </w:r>
      <w:r w:rsidRPr="009D2289">
        <w:rPr>
          <w:rFonts w:ascii="Book Antiqua" w:hAnsi="Book Antiqua" w:cs="宋体"/>
          <w:kern w:val="0"/>
          <w:sz w:val="24"/>
          <w:szCs w:val="24"/>
        </w:rPr>
        <w:t xml:space="preserve">, Danon SJ, Grehan M, Chan V, Lee A, Mitchell H. Natural colonization with Helicobacter species and the development of inflammatory bowel disease in interleukin-10-deficient mice. </w:t>
      </w:r>
      <w:r w:rsidRPr="009D2289">
        <w:rPr>
          <w:rFonts w:ascii="Book Antiqua" w:hAnsi="Book Antiqua" w:cs="宋体"/>
          <w:i/>
          <w:iCs/>
          <w:kern w:val="0"/>
          <w:sz w:val="24"/>
          <w:szCs w:val="24"/>
        </w:rPr>
        <w:t>Helicobacter</w:t>
      </w:r>
      <w:r w:rsidRPr="009D2289">
        <w:rPr>
          <w:rFonts w:ascii="Book Antiqua" w:hAnsi="Book Antiqua" w:cs="宋体"/>
          <w:kern w:val="0"/>
          <w:sz w:val="24"/>
          <w:szCs w:val="24"/>
        </w:rPr>
        <w:t xml:space="preserve"> 2005; </w:t>
      </w:r>
      <w:r w:rsidRPr="009D2289">
        <w:rPr>
          <w:rFonts w:ascii="Book Antiqua" w:hAnsi="Book Antiqua" w:cs="宋体"/>
          <w:b/>
          <w:bCs/>
          <w:kern w:val="0"/>
          <w:sz w:val="24"/>
          <w:szCs w:val="24"/>
        </w:rPr>
        <w:t>10</w:t>
      </w:r>
      <w:r w:rsidRPr="009D2289">
        <w:rPr>
          <w:rFonts w:ascii="Book Antiqua" w:hAnsi="Book Antiqua" w:cs="宋体"/>
          <w:kern w:val="0"/>
          <w:sz w:val="24"/>
          <w:szCs w:val="24"/>
        </w:rPr>
        <w:t>: 223-230 [PMID: 15904480 DOI: 10.1111/j.1523-5378.2005.00314.x]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33 </w:t>
      </w:r>
      <w:r w:rsidRPr="009D2289">
        <w:rPr>
          <w:rFonts w:ascii="Book Antiqua" w:hAnsi="Book Antiqua" w:cs="宋体"/>
          <w:b/>
          <w:bCs/>
          <w:kern w:val="0"/>
          <w:sz w:val="24"/>
          <w:szCs w:val="24"/>
        </w:rPr>
        <w:t>Jiang HQ</w:t>
      </w:r>
      <w:r w:rsidRPr="009D2289">
        <w:rPr>
          <w:rFonts w:ascii="Book Antiqua" w:hAnsi="Book Antiqua" w:cs="宋体"/>
          <w:kern w:val="0"/>
          <w:sz w:val="24"/>
          <w:szCs w:val="24"/>
        </w:rPr>
        <w:t xml:space="preserve">, Kushnir N, Thurnheer MC, Bos NA, Cebra JJ. Monoassociation of SCID mice with Helicobacter muridarum, but not four other enterics, provokes IBD upon receipt of T cells. </w:t>
      </w:r>
      <w:r w:rsidRPr="009D2289">
        <w:rPr>
          <w:rFonts w:ascii="Book Antiqua" w:hAnsi="Book Antiqua" w:cs="宋体"/>
          <w:i/>
          <w:iCs/>
          <w:kern w:val="0"/>
          <w:sz w:val="24"/>
          <w:szCs w:val="24"/>
        </w:rPr>
        <w:t>Gastroenterology</w:t>
      </w:r>
      <w:r w:rsidRPr="009D2289">
        <w:rPr>
          <w:rFonts w:ascii="Book Antiqua" w:hAnsi="Book Antiqua" w:cs="宋体"/>
          <w:kern w:val="0"/>
          <w:sz w:val="24"/>
          <w:szCs w:val="24"/>
        </w:rPr>
        <w:t xml:space="preserve"> 2002; </w:t>
      </w:r>
      <w:r w:rsidRPr="009D2289">
        <w:rPr>
          <w:rFonts w:ascii="Book Antiqua" w:hAnsi="Book Antiqua" w:cs="宋体"/>
          <w:b/>
          <w:bCs/>
          <w:kern w:val="0"/>
          <w:sz w:val="24"/>
          <w:szCs w:val="24"/>
        </w:rPr>
        <w:t>122</w:t>
      </w:r>
      <w:r w:rsidRPr="009D2289">
        <w:rPr>
          <w:rFonts w:ascii="Book Antiqua" w:hAnsi="Book Antiqua" w:cs="宋体"/>
          <w:kern w:val="0"/>
          <w:sz w:val="24"/>
          <w:szCs w:val="24"/>
        </w:rPr>
        <w:t>: 1346-1354 [PMID: 11984521 DOI: 10.1053/gast.2002.32959]</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34 </w:t>
      </w:r>
      <w:r w:rsidRPr="009D2289">
        <w:rPr>
          <w:rFonts w:ascii="Book Antiqua" w:hAnsi="Book Antiqua" w:cs="宋体"/>
          <w:b/>
          <w:bCs/>
          <w:kern w:val="0"/>
          <w:sz w:val="24"/>
          <w:szCs w:val="24"/>
        </w:rPr>
        <w:t>Prónai L</w:t>
      </w:r>
      <w:r w:rsidRPr="009D2289">
        <w:rPr>
          <w:rFonts w:ascii="Book Antiqua" w:hAnsi="Book Antiqua" w:cs="宋体"/>
          <w:kern w:val="0"/>
          <w:sz w:val="24"/>
          <w:szCs w:val="24"/>
        </w:rPr>
        <w:t xml:space="preserve">, Schandl L, Orosz Z, Magyar P, Tulassay Z. Lower prevalence of Helicobacter pylori infection in patients with inflammatory bowel disease but not with chronic obstructive pulmonary disease - antibiotic use in the history does not play a significant role. </w:t>
      </w:r>
      <w:r w:rsidRPr="009D2289">
        <w:rPr>
          <w:rFonts w:ascii="Book Antiqua" w:hAnsi="Book Antiqua" w:cs="宋体"/>
          <w:i/>
          <w:iCs/>
          <w:kern w:val="0"/>
          <w:sz w:val="24"/>
          <w:szCs w:val="24"/>
        </w:rPr>
        <w:t>Helicobacter</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9</w:t>
      </w:r>
      <w:r w:rsidRPr="009D2289">
        <w:rPr>
          <w:rFonts w:ascii="Book Antiqua" w:hAnsi="Book Antiqua" w:cs="宋体"/>
          <w:kern w:val="0"/>
          <w:sz w:val="24"/>
          <w:szCs w:val="24"/>
        </w:rPr>
        <w:t>: 278-283 [PMID: 15165265 DOI: 10.1111/j.1083-4389.2004.00223.x]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35 </w:t>
      </w:r>
      <w:r w:rsidRPr="009D2289">
        <w:rPr>
          <w:rFonts w:ascii="Book Antiqua" w:hAnsi="Book Antiqua" w:cs="宋体"/>
          <w:b/>
          <w:bCs/>
          <w:kern w:val="0"/>
          <w:sz w:val="24"/>
          <w:szCs w:val="24"/>
        </w:rPr>
        <w:t>Wagtmans MJ</w:t>
      </w:r>
      <w:r w:rsidRPr="009D2289">
        <w:rPr>
          <w:rFonts w:ascii="Book Antiqua" w:hAnsi="Book Antiqua" w:cs="宋体"/>
          <w:kern w:val="0"/>
          <w:sz w:val="24"/>
          <w:szCs w:val="24"/>
        </w:rPr>
        <w:t xml:space="preserve">, Witte AM, Taylor DR, Biemond I, Veenendaal RA, Verspaget HW, Lamers CB, van Hogezand RA. Low seroprevalence of Helicobacter pylori antibodies in historical sera of patients with Crohn's disease. </w:t>
      </w:r>
      <w:r w:rsidRPr="009D2289">
        <w:rPr>
          <w:rFonts w:ascii="Book Antiqua" w:hAnsi="Book Antiqua" w:cs="宋体"/>
          <w:i/>
          <w:iCs/>
          <w:kern w:val="0"/>
          <w:sz w:val="24"/>
          <w:szCs w:val="24"/>
        </w:rPr>
        <w:t>Scand J Gastroenterol</w:t>
      </w:r>
      <w:r w:rsidRPr="009D2289">
        <w:rPr>
          <w:rFonts w:ascii="Book Antiqua" w:hAnsi="Book Antiqua" w:cs="宋体"/>
          <w:kern w:val="0"/>
          <w:sz w:val="24"/>
          <w:szCs w:val="24"/>
        </w:rPr>
        <w:t xml:space="preserve"> 1997; </w:t>
      </w:r>
      <w:r w:rsidRPr="009D2289">
        <w:rPr>
          <w:rFonts w:ascii="Book Antiqua" w:hAnsi="Book Antiqua" w:cs="宋体"/>
          <w:b/>
          <w:bCs/>
          <w:kern w:val="0"/>
          <w:sz w:val="24"/>
          <w:szCs w:val="24"/>
        </w:rPr>
        <w:t>32</w:t>
      </w:r>
      <w:r w:rsidRPr="009D2289">
        <w:rPr>
          <w:rFonts w:ascii="Book Antiqua" w:hAnsi="Book Antiqua" w:cs="宋体"/>
          <w:kern w:val="0"/>
          <w:sz w:val="24"/>
          <w:szCs w:val="24"/>
        </w:rPr>
        <w:t>: 712-718 [PMID: 9246713 DOI: 10.3109/00365529708996523]</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36 </w:t>
      </w:r>
      <w:r w:rsidRPr="009D2289">
        <w:rPr>
          <w:rFonts w:ascii="Book Antiqua" w:hAnsi="Book Antiqua" w:cs="宋体"/>
          <w:b/>
          <w:bCs/>
          <w:kern w:val="0"/>
          <w:sz w:val="24"/>
          <w:szCs w:val="24"/>
        </w:rPr>
        <w:t>Oliveira AG</w:t>
      </w:r>
      <w:r w:rsidRPr="009D2289">
        <w:rPr>
          <w:rFonts w:ascii="Book Antiqua" w:hAnsi="Book Antiqua" w:cs="宋体"/>
          <w:kern w:val="0"/>
          <w:sz w:val="24"/>
          <w:szCs w:val="24"/>
        </w:rPr>
        <w:t xml:space="preserve">, Rocha GA, Rocha AM, Sanna Md, Moura SB, Dani R, Marinho FP, Moreira LS, Ferrari Mde L, Castro LP, Queiroz DM. Isolation of Helicobacter pylori from the intestinal mucosa of patients with Crohn's disease. </w:t>
      </w:r>
      <w:r w:rsidRPr="009D2289">
        <w:rPr>
          <w:rFonts w:ascii="Book Antiqua" w:hAnsi="Book Antiqua" w:cs="宋体"/>
          <w:i/>
          <w:iCs/>
          <w:kern w:val="0"/>
          <w:sz w:val="24"/>
          <w:szCs w:val="24"/>
        </w:rPr>
        <w:t>Helicobacter</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11</w:t>
      </w:r>
      <w:r w:rsidRPr="009D2289">
        <w:rPr>
          <w:rFonts w:ascii="Book Antiqua" w:hAnsi="Book Antiqua" w:cs="宋体"/>
          <w:kern w:val="0"/>
          <w:sz w:val="24"/>
          <w:szCs w:val="24"/>
        </w:rPr>
        <w:t>: 2-9 [PMID: 16423084 DOI: 10.1111/j.0083-8703.2006.00368.x]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37 </w:t>
      </w:r>
      <w:r w:rsidRPr="009D2289">
        <w:rPr>
          <w:rFonts w:ascii="Book Antiqua" w:hAnsi="Book Antiqua" w:cs="宋体"/>
          <w:b/>
          <w:bCs/>
          <w:kern w:val="0"/>
          <w:sz w:val="24"/>
          <w:szCs w:val="24"/>
        </w:rPr>
        <w:t>Basset C</w:t>
      </w:r>
      <w:r w:rsidRPr="009D2289">
        <w:rPr>
          <w:rFonts w:ascii="Book Antiqua" w:hAnsi="Book Antiqua" w:cs="宋体"/>
          <w:kern w:val="0"/>
          <w:sz w:val="24"/>
          <w:szCs w:val="24"/>
        </w:rPr>
        <w:t xml:space="preserve">, Holton J, Bazeos A, Vaira D, Bloom S. Are Helicobacter species and enterotoxigenic Bacteroides fragilis involved in inflammatory bowel </w:t>
      </w:r>
      <w:r w:rsidRPr="009D2289">
        <w:rPr>
          <w:rFonts w:ascii="Book Antiqua" w:hAnsi="Book Antiqua" w:cs="宋体"/>
          <w:kern w:val="0"/>
          <w:sz w:val="24"/>
          <w:szCs w:val="24"/>
        </w:rPr>
        <w:lastRenderedPageBreak/>
        <w:t xml:space="preserve">disease? </w:t>
      </w:r>
      <w:r w:rsidRPr="009D2289">
        <w:rPr>
          <w:rFonts w:ascii="Book Antiqua" w:hAnsi="Book Antiqua" w:cs="宋体"/>
          <w:i/>
          <w:iCs/>
          <w:kern w:val="0"/>
          <w:sz w:val="24"/>
          <w:szCs w:val="24"/>
        </w:rPr>
        <w:t>Dig Dis Sci</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49</w:t>
      </w:r>
      <w:r w:rsidRPr="009D2289">
        <w:rPr>
          <w:rFonts w:ascii="Book Antiqua" w:hAnsi="Book Antiqua" w:cs="宋体"/>
          <w:kern w:val="0"/>
          <w:sz w:val="24"/>
          <w:szCs w:val="24"/>
        </w:rPr>
        <w:t>: 1425-1432 [PMID: 15481314 DOI: 10.1023/B: DDAS.0000042241.13489.88]</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38 </w:t>
      </w:r>
      <w:r w:rsidRPr="009D2289">
        <w:rPr>
          <w:rFonts w:ascii="Book Antiqua" w:hAnsi="Book Antiqua" w:cs="宋体"/>
          <w:b/>
          <w:bCs/>
          <w:kern w:val="0"/>
          <w:sz w:val="24"/>
          <w:szCs w:val="24"/>
        </w:rPr>
        <w:t>Sturegård E</w:t>
      </w:r>
      <w:r w:rsidRPr="009D2289">
        <w:rPr>
          <w:rFonts w:ascii="Book Antiqua" w:hAnsi="Book Antiqua" w:cs="宋体"/>
          <w:kern w:val="0"/>
          <w:sz w:val="24"/>
          <w:szCs w:val="24"/>
        </w:rPr>
        <w:t xml:space="preserve">, Hertervig E, Sjunnesson H, Wadström T. Helicobacter species in human colon biopsies. </w:t>
      </w:r>
      <w:r w:rsidRPr="009D2289">
        <w:rPr>
          <w:rFonts w:ascii="Book Antiqua" w:hAnsi="Book Antiqua" w:cs="宋体"/>
          <w:i/>
          <w:iCs/>
          <w:kern w:val="0"/>
          <w:sz w:val="24"/>
          <w:szCs w:val="24"/>
        </w:rPr>
        <w:t>Aliment Pharmacol Ther</w:t>
      </w:r>
      <w:r w:rsidRPr="009D2289">
        <w:rPr>
          <w:rFonts w:ascii="Book Antiqua" w:hAnsi="Book Antiqua" w:cs="宋体"/>
          <w:kern w:val="0"/>
          <w:sz w:val="24"/>
          <w:szCs w:val="24"/>
        </w:rPr>
        <w:t xml:space="preserve"> 2004; </w:t>
      </w:r>
      <w:r w:rsidRPr="009D2289">
        <w:rPr>
          <w:rFonts w:ascii="Book Antiqua" w:hAnsi="Book Antiqua" w:cs="宋体"/>
          <w:b/>
          <w:bCs/>
          <w:kern w:val="0"/>
          <w:sz w:val="24"/>
          <w:szCs w:val="24"/>
        </w:rPr>
        <w:t>19</w:t>
      </w:r>
      <w:r w:rsidRPr="009D2289">
        <w:rPr>
          <w:rFonts w:ascii="Book Antiqua" w:hAnsi="Book Antiqua" w:cs="宋体"/>
          <w:kern w:val="0"/>
          <w:sz w:val="24"/>
          <w:szCs w:val="24"/>
        </w:rPr>
        <w:t>: 613-614 [PMID: 14987330 DOI: 10.1111/j.1365-2036.2004.01880.x]</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39 </w:t>
      </w:r>
      <w:r w:rsidRPr="009D2289">
        <w:rPr>
          <w:rFonts w:ascii="Book Antiqua" w:hAnsi="Book Antiqua" w:cs="宋体"/>
          <w:b/>
          <w:bCs/>
          <w:kern w:val="0"/>
          <w:sz w:val="24"/>
          <w:szCs w:val="24"/>
        </w:rPr>
        <w:t>Nanda S</w:t>
      </w:r>
      <w:r w:rsidRPr="009D2289">
        <w:rPr>
          <w:rFonts w:ascii="Book Antiqua" w:hAnsi="Book Antiqua" w:cs="宋体"/>
          <w:kern w:val="0"/>
          <w:sz w:val="24"/>
          <w:szCs w:val="24"/>
        </w:rPr>
        <w:t xml:space="preserve">. Infection: Helicobacter pylori may protect against IBD--a mechanistic insight. </w:t>
      </w:r>
      <w:r w:rsidRPr="009D2289">
        <w:rPr>
          <w:rFonts w:ascii="Book Antiqua" w:hAnsi="Book Antiqua" w:cs="宋体"/>
          <w:i/>
          <w:iCs/>
          <w:kern w:val="0"/>
          <w:sz w:val="24"/>
          <w:szCs w:val="24"/>
        </w:rPr>
        <w:t>Nat Rev Gastroenterol Hepatol</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8</w:t>
      </w:r>
      <w:r w:rsidRPr="009D2289">
        <w:rPr>
          <w:rFonts w:ascii="Book Antiqua" w:hAnsi="Book Antiqua" w:cs="宋体"/>
          <w:kern w:val="0"/>
          <w:sz w:val="24"/>
          <w:szCs w:val="24"/>
        </w:rPr>
        <w:t>: 299 [PMID: 21643027 DOI: 10.1038/nrgastro.2011.77]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40 </w:t>
      </w:r>
      <w:r w:rsidRPr="009D2289">
        <w:rPr>
          <w:rFonts w:ascii="Book Antiqua" w:hAnsi="Book Antiqua" w:cs="宋体"/>
          <w:b/>
          <w:bCs/>
          <w:kern w:val="0"/>
          <w:sz w:val="24"/>
          <w:szCs w:val="24"/>
        </w:rPr>
        <w:t>Tursi A</w:t>
      </w:r>
      <w:r w:rsidRPr="009D2289">
        <w:rPr>
          <w:rFonts w:ascii="Book Antiqua" w:hAnsi="Book Antiqua" w:cs="宋体"/>
          <w:kern w:val="0"/>
          <w:sz w:val="24"/>
          <w:szCs w:val="24"/>
        </w:rPr>
        <w:t xml:space="preserve">. Onset of Crohn's disease after Helicobacter pylori eradication. </w:t>
      </w:r>
      <w:r w:rsidRPr="009D2289">
        <w:rPr>
          <w:rFonts w:ascii="Book Antiqua" w:hAnsi="Book Antiqua" w:cs="宋体"/>
          <w:i/>
          <w:iCs/>
          <w:kern w:val="0"/>
          <w:sz w:val="24"/>
          <w:szCs w:val="24"/>
        </w:rPr>
        <w:t>Inflamm Bowel Dis</w:t>
      </w:r>
      <w:r w:rsidRPr="009D2289">
        <w:rPr>
          <w:rFonts w:ascii="Book Antiqua" w:hAnsi="Book Antiqua" w:cs="宋体"/>
          <w:kern w:val="0"/>
          <w:sz w:val="24"/>
          <w:szCs w:val="24"/>
        </w:rPr>
        <w:t xml:space="preserve"> 2006; </w:t>
      </w:r>
      <w:r w:rsidRPr="009D2289">
        <w:rPr>
          <w:rFonts w:ascii="Book Antiqua" w:hAnsi="Book Antiqua" w:cs="宋体"/>
          <w:b/>
          <w:bCs/>
          <w:kern w:val="0"/>
          <w:sz w:val="24"/>
          <w:szCs w:val="24"/>
        </w:rPr>
        <w:t>12</w:t>
      </w:r>
      <w:r w:rsidRPr="009D2289">
        <w:rPr>
          <w:rFonts w:ascii="Book Antiqua" w:hAnsi="Book Antiqua" w:cs="宋体"/>
          <w:kern w:val="0"/>
          <w:sz w:val="24"/>
          <w:szCs w:val="24"/>
        </w:rPr>
        <w:t>: 1008-1009 [PMID: 17012975 DOI: 10.1097/01.mib.0000235100.09231.d7]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41 </w:t>
      </w:r>
      <w:r w:rsidRPr="009D2289">
        <w:rPr>
          <w:rFonts w:ascii="Book Antiqua" w:hAnsi="Book Antiqua" w:cs="宋体"/>
          <w:b/>
          <w:bCs/>
          <w:kern w:val="0"/>
          <w:sz w:val="24"/>
          <w:szCs w:val="24"/>
        </w:rPr>
        <w:t>Wehkamp J</w:t>
      </w:r>
      <w:r w:rsidRPr="009D2289">
        <w:rPr>
          <w:rFonts w:ascii="Book Antiqua" w:hAnsi="Book Antiqua" w:cs="宋体"/>
          <w:kern w:val="0"/>
          <w:sz w:val="24"/>
          <w:szCs w:val="24"/>
        </w:rPr>
        <w:t xml:space="preserve">, Fellermann K, Herrlinger KR, Bevins CL, Stange EF. Mechanisms of disease: defensins in gastrointestinal diseases. </w:t>
      </w:r>
      <w:r w:rsidRPr="009D2289">
        <w:rPr>
          <w:rFonts w:ascii="Book Antiqua" w:hAnsi="Book Antiqua" w:cs="宋体"/>
          <w:i/>
          <w:iCs/>
          <w:kern w:val="0"/>
          <w:sz w:val="24"/>
          <w:szCs w:val="24"/>
        </w:rPr>
        <w:t>Nat Clin Pract Gastroenterol Hepatol</w:t>
      </w:r>
      <w:r w:rsidRPr="009D2289">
        <w:rPr>
          <w:rFonts w:ascii="Book Antiqua" w:hAnsi="Book Antiqua" w:cs="宋体"/>
          <w:kern w:val="0"/>
          <w:sz w:val="24"/>
          <w:szCs w:val="24"/>
        </w:rPr>
        <w:t xml:space="preserve"> 2005; </w:t>
      </w:r>
      <w:r w:rsidRPr="009D2289">
        <w:rPr>
          <w:rFonts w:ascii="Book Antiqua" w:hAnsi="Book Antiqua" w:cs="宋体"/>
          <w:b/>
          <w:bCs/>
          <w:kern w:val="0"/>
          <w:sz w:val="24"/>
          <w:szCs w:val="24"/>
        </w:rPr>
        <w:t>2</w:t>
      </w:r>
      <w:r w:rsidRPr="009D2289">
        <w:rPr>
          <w:rFonts w:ascii="Book Antiqua" w:hAnsi="Book Antiqua" w:cs="宋体"/>
          <w:kern w:val="0"/>
          <w:sz w:val="24"/>
          <w:szCs w:val="24"/>
        </w:rPr>
        <w:t>: 406-415 [PMID: 16265431 DOI: 10.1038/ncpgasthep0265]</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42 </w:t>
      </w:r>
      <w:r w:rsidRPr="009D2289">
        <w:rPr>
          <w:rFonts w:ascii="Book Antiqua" w:hAnsi="Book Antiqua" w:cs="宋体"/>
          <w:b/>
          <w:bCs/>
          <w:kern w:val="0"/>
          <w:sz w:val="24"/>
          <w:szCs w:val="24"/>
        </w:rPr>
        <w:t>Thomas JE</w:t>
      </w:r>
      <w:r w:rsidRPr="009D2289">
        <w:rPr>
          <w:rFonts w:ascii="Book Antiqua" w:hAnsi="Book Antiqua" w:cs="宋体"/>
          <w:kern w:val="0"/>
          <w:sz w:val="24"/>
          <w:szCs w:val="24"/>
        </w:rPr>
        <w:t xml:space="preserve">. 13C urea breath test. </w:t>
      </w:r>
      <w:r w:rsidRPr="009D2289">
        <w:rPr>
          <w:rFonts w:ascii="Book Antiqua" w:hAnsi="Book Antiqua" w:cs="宋体"/>
          <w:i/>
          <w:iCs/>
          <w:kern w:val="0"/>
          <w:sz w:val="24"/>
          <w:szCs w:val="24"/>
        </w:rPr>
        <w:t>Gut</w:t>
      </w:r>
      <w:r w:rsidRPr="009D2289">
        <w:rPr>
          <w:rFonts w:ascii="Book Antiqua" w:hAnsi="Book Antiqua" w:cs="宋体"/>
          <w:kern w:val="0"/>
          <w:sz w:val="24"/>
          <w:szCs w:val="24"/>
        </w:rPr>
        <w:t xml:space="preserve"> 1998; </w:t>
      </w:r>
      <w:r w:rsidRPr="009D2289">
        <w:rPr>
          <w:rFonts w:ascii="Book Antiqua" w:hAnsi="Book Antiqua" w:cs="宋体"/>
          <w:b/>
          <w:bCs/>
          <w:kern w:val="0"/>
          <w:sz w:val="24"/>
          <w:szCs w:val="24"/>
        </w:rPr>
        <w:t>43 Suppl 3</w:t>
      </w:r>
      <w:r w:rsidRPr="009D2289">
        <w:rPr>
          <w:rFonts w:ascii="Book Antiqua" w:hAnsi="Book Antiqua" w:cs="宋体"/>
          <w:kern w:val="0"/>
          <w:sz w:val="24"/>
          <w:szCs w:val="24"/>
        </w:rPr>
        <w:t>: S7-12 [PMID: 10083867 DOI: 10.1136/gut.43.2008.S7]</w:t>
      </w:r>
    </w:p>
    <w:p w:rsidR="002D612A" w:rsidRPr="009D2289" w:rsidRDefault="002D612A" w:rsidP="009D2289">
      <w:pPr>
        <w:widowControl/>
        <w:spacing w:line="360" w:lineRule="auto"/>
        <w:rPr>
          <w:rFonts w:ascii="Book Antiqua" w:hAnsi="Book Antiqua" w:cs="宋体"/>
          <w:kern w:val="0"/>
          <w:sz w:val="24"/>
          <w:szCs w:val="24"/>
        </w:rPr>
      </w:pPr>
      <w:r w:rsidRPr="009D2289">
        <w:rPr>
          <w:rFonts w:ascii="Book Antiqua" w:hAnsi="Book Antiqua" w:cs="宋体"/>
          <w:kern w:val="0"/>
          <w:sz w:val="24"/>
          <w:szCs w:val="24"/>
        </w:rPr>
        <w:t xml:space="preserve">43 </w:t>
      </w:r>
      <w:r w:rsidRPr="009D2289">
        <w:rPr>
          <w:rFonts w:ascii="Book Antiqua" w:hAnsi="Book Antiqua" w:cs="宋体"/>
          <w:b/>
          <w:bCs/>
          <w:kern w:val="0"/>
          <w:sz w:val="24"/>
          <w:szCs w:val="24"/>
        </w:rPr>
        <w:t>Berry CR</w:t>
      </w:r>
      <w:r w:rsidRPr="009D2289">
        <w:rPr>
          <w:rFonts w:ascii="Book Antiqua" w:hAnsi="Book Antiqua" w:cs="宋体"/>
          <w:kern w:val="0"/>
          <w:sz w:val="24"/>
          <w:szCs w:val="24"/>
        </w:rPr>
        <w:t xml:space="preserve">, Sarap MD, Childers J. Wireless capsule endoscopy in the diagnosis of Crohn disease. </w:t>
      </w:r>
      <w:r w:rsidRPr="009D2289">
        <w:rPr>
          <w:rFonts w:ascii="Book Antiqua" w:hAnsi="Book Antiqua" w:cs="宋体"/>
          <w:i/>
          <w:iCs/>
          <w:kern w:val="0"/>
          <w:sz w:val="24"/>
          <w:szCs w:val="24"/>
        </w:rPr>
        <w:t>JAAPA</w:t>
      </w:r>
      <w:r w:rsidRPr="009D2289">
        <w:rPr>
          <w:rFonts w:ascii="Book Antiqua" w:hAnsi="Book Antiqua" w:cs="宋体"/>
          <w:kern w:val="0"/>
          <w:sz w:val="24"/>
          <w:szCs w:val="24"/>
        </w:rPr>
        <w:t xml:space="preserve"> 2011; </w:t>
      </w:r>
      <w:r w:rsidRPr="009D2289">
        <w:rPr>
          <w:rFonts w:ascii="Book Antiqua" w:hAnsi="Book Antiqua" w:cs="宋体"/>
          <w:b/>
          <w:bCs/>
          <w:kern w:val="0"/>
          <w:sz w:val="24"/>
          <w:szCs w:val="24"/>
        </w:rPr>
        <w:t>24</w:t>
      </w:r>
      <w:r w:rsidRPr="009D2289">
        <w:rPr>
          <w:rFonts w:ascii="Book Antiqua" w:hAnsi="Book Antiqua" w:cs="宋体"/>
          <w:kern w:val="0"/>
          <w:sz w:val="24"/>
          <w:szCs w:val="24"/>
        </w:rPr>
        <w:t>: 37-40 [PMID: 21574530 DOI: 10.1097/01720610-201105000-00006]</w:t>
      </w:r>
    </w:p>
    <w:p w:rsidR="002D612A" w:rsidRPr="009D2289" w:rsidRDefault="002D612A" w:rsidP="00C243FE">
      <w:pPr>
        <w:spacing w:line="360" w:lineRule="auto"/>
        <w:jc w:val="right"/>
        <w:rPr>
          <w:rFonts w:ascii="Book Antiqua" w:hAnsi="Book Antiqua"/>
          <w:b/>
          <w:noProof/>
          <w:sz w:val="24"/>
          <w:szCs w:val="24"/>
        </w:rPr>
      </w:pPr>
      <w:r w:rsidRPr="009D2289">
        <w:rPr>
          <w:rFonts w:ascii="Book Antiqua" w:hAnsi="Book Antiqua"/>
          <w:b/>
          <w:noProof/>
          <w:sz w:val="24"/>
          <w:szCs w:val="24"/>
        </w:rPr>
        <w:t xml:space="preserve">P-Reviewer </w:t>
      </w:r>
      <w:r w:rsidRPr="009D2289">
        <w:rPr>
          <w:rFonts w:ascii="Book Antiqua" w:hAnsi="Book Antiqua"/>
          <w:noProof/>
          <w:sz w:val="24"/>
          <w:szCs w:val="24"/>
        </w:rPr>
        <w:t>Day</w:t>
      </w:r>
      <w:r w:rsidRPr="009D2289">
        <w:rPr>
          <w:rFonts w:ascii="Book Antiqua" w:hAnsi="Book Antiqua"/>
          <w:b/>
          <w:noProof/>
          <w:sz w:val="24"/>
          <w:szCs w:val="24"/>
        </w:rPr>
        <w:t xml:space="preserve"> </w:t>
      </w:r>
      <w:r w:rsidRPr="009D2289">
        <w:rPr>
          <w:rFonts w:ascii="Book Antiqua" w:hAnsi="Book Antiqua"/>
          <w:noProof/>
          <w:sz w:val="24"/>
          <w:szCs w:val="24"/>
        </w:rPr>
        <w:t>AS</w:t>
      </w:r>
      <w:r w:rsidRPr="009D2289">
        <w:rPr>
          <w:rFonts w:ascii="Book Antiqua" w:hAnsi="Book Antiqua"/>
          <w:b/>
          <w:noProof/>
          <w:sz w:val="24"/>
          <w:szCs w:val="24"/>
        </w:rPr>
        <w:t xml:space="preserve"> S-Editor </w:t>
      </w:r>
      <w:r w:rsidRPr="009D2289">
        <w:rPr>
          <w:rFonts w:ascii="Book Antiqua" w:hAnsi="Book Antiqua"/>
          <w:noProof/>
          <w:sz w:val="24"/>
          <w:szCs w:val="24"/>
        </w:rPr>
        <w:t>Zhai HH</w:t>
      </w:r>
      <w:r>
        <w:rPr>
          <w:rFonts w:ascii="Book Antiqua" w:hAnsi="Book Antiqua"/>
          <w:noProof/>
          <w:sz w:val="24"/>
          <w:szCs w:val="24"/>
        </w:rPr>
        <w:t xml:space="preserve"> </w:t>
      </w:r>
      <w:r w:rsidRPr="009D2289">
        <w:rPr>
          <w:rFonts w:ascii="Book Antiqua" w:hAnsi="Book Antiqua"/>
          <w:b/>
          <w:noProof/>
          <w:sz w:val="24"/>
          <w:szCs w:val="24"/>
        </w:rPr>
        <w:t>L-Editor</w:t>
      </w:r>
      <w:r>
        <w:rPr>
          <w:rFonts w:ascii="Book Antiqua" w:hAnsi="Book Antiqua"/>
          <w:b/>
          <w:noProof/>
          <w:sz w:val="24"/>
          <w:szCs w:val="24"/>
        </w:rPr>
        <w:t xml:space="preserve"> </w:t>
      </w:r>
      <w:r w:rsidRPr="009D2289">
        <w:rPr>
          <w:rFonts w:ascii="Book Antiqua" w:hAnsi="Book Antiqua"/>
          <w:b/>
          <w:noProof/>
          <w:sz w:val="24"/>
          <w:szCs w:val="24"/>
        </w:rPr>
        <w:t>E-Editor</w:t>
      </w:r>
    </w:p>
    <w:p w:rsidR="002D612A" w:rsidRPr="009D2289" w:rsidRDefault="002D612A" w:rsidP="009D2289">
      <w:pPr>
        <w:widowControl/>
        <w:spacing w:line="360" w:lineRule="auto"/>
        <w:rPr>
          <w:rFonts w:ascii="Book Antiqua" w:hAnsi="Book Antiqua"/>
          <w:sz w:val="24"/>
          <w:szCs w:val="24"/>
        </w:rPr>
      </w:pPr>
      <w:r w:rsidRPr="009D2289">
        <w:rPr>
          <w:rFonts w:ascii="Book Antiqua" w:hAnsi="Book Antiqua"/>
          <w:sz w:val="24"/>
          <w:szCs w:val="24"/>
        </w:rPr>
        <w:br w:type="page"/>
      </w:r>
    </w:p>
    <w:p w:rsidR="002D612A" w:rsidRPr="009D2289" w:rsidRDefault="002D612A" w:rsidP="009D2289">
      <w:pPr>
        <w:spacing w:line="360" w:lineRule="auto"/>
        <w:rPr>
          <w:rFonts w:ascii="Book Antiqua" w:hAnsi="Book Antiqua"/>
          <w:b/>
          <w:sz w:val="24"/>
          <w:szCs w:val="24"/>
        </w:rPr>
      </w:pPr>
      <w:r w:rsidRPr="009D2289">
        <w:rPr>
          <w:rFonts w:ascii="Book Antiqua" w:hAnsi="Book Antiqua"/>
          <w:b/>
          <w:sz w:val="24"/>
          <w:szCs w:val="24"/>
        </w:rPr>
        <w:t>Table 1 Demographic, anthropometric and serologic data of enrolled patients</w:t>
      </w:r>
    </w:p>
    <w:p w:rsidR="002D612A" w:rsidRPr="009D2289" w:rsidRDefault="002D612A" w:rsidP="009D2289">
      <w:pPr>
        <w:spacing w:line="360" w:lineRule="auto"/>
        <w:rPr>
          <w:rFonts w:ascii="Book Antiqua" w:hAnsi="Book Antiqua"/>
          <w:sz w:val="24"/>
          <w:szCs w:val="24"/>
        </w:rPr>
      </w:pPr>
    </w:p>
    <w:tbl>
      <w:tblPr>
        <w:tblW w:w="8521" w:type="dxa"/>
        <w:tblLook w:val="00A0" w:firstRow="1" w:lastRow="0" w:firstColumn="1" w:lastColumn="0" w:noHBand="0" w:noVBand="0"/>
      </w:tblPr>
      <w:tblGrid>
        <w:gridCol w:w="2618"/>
        <w:gridCol w:w="2357"/>
        <w:gridCol w:w="2358"/>
        <w:gridCol w:w="1188"/>
      </w:tblGrid>
      <w:tr w:rsidR="002D612A" w:rsidRPr="00C11DD9" w:rsidTr="00C11DD9">
        <w:trPr>
          <w:trHeight w:val="430"/>
        </w:trPr>
        <w:tc>
          <w:tcPr>
            <w:tcW w:w="2618"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Group</w:t>
            </w:r>
          </w:p>
        </w:tc>
        <w:tc>
          <w:tcPr>
            <w:tcW w:w="2357"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CD (</w:t>
            </w:r>
            <w:r w:rsidRPr="00C11DD9">
              <w:rPr>
                <w:rFonts w:ascii="Book Antiqua" w:hAnsi="Book Antiqua"/>
                <w:i/>
                <w:sz w:val="24"/>
                <w:szCs w:val="24"/>
              </w:rPr>
              <w:t xml:space="preserve">n </w:t>
            </w:r>
            <w:r w:rsidRPr="00C11DD9">
              <w:rPr>
                <w:rFonts w:ascii="Book Antiqua" w:hAnsi="Book Antiqua"/>
                <w:sz w:val="24"/>
                <w:szCs w:val="24"/>
              </w:rPr>
              <w:t>= 229)</w:t>
            </w:r>
          </w:p>
        </w:tc>
        <w:tc>
          <w:tcPr>
            <w:tcW w:w="2358"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Control (</w:t>
            </w:r>
            <w:r w:rsidRPr="00C11DD9">
              <w:rPr>
                <w:rFonts w:ascii="Book Antiqua" w:hAnsi="Book Antiqua"/>
                <w:i/>
                <w:sz w:val="24"/>
                <w:szCs w:val="24"/>
              </w:rPr>
              <w:t xml:space="preserve">n </w:t>
            </w:r>
            <w:r w:rsidRPr="00C11DD9">
              <w:rPr>
                <w:rFonts w:ascii="Book Antiqua" w:hAnsi="Book Antiqua"/>
                <w:sz w:val="24"/>
                <w:szCs w:val="24"/>
              </w:rPr>
              <w:t>= 248)</w:t>
            </w:r>
          </w:p>
        </w:tc>
        <w:tc>
          <w:tcPr>
            <w:tcW w:w="1188"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P-</w:t>
            </w:r>
            <w:r w:rsidRPr="00C11DD9">
              <w:rPr>
                <w:rFonts w:ascii="Book Antiqua" w:hAnsi="Book Antiqua"/>
                <w:sz w:val="24"/>
                <w:szCs w:val="24"/>
              </w:rPr>
              <w:t>value</w:t>
            </w:r>
          </w:p>
        </w:tc>
      </w:tr>
      <w:tr w:rsidR="002D612A" w:rsidRPr="00C11DD9" w:rsidTr="00C11DD9">
        <w:trPr>
          <w:trHeight w:val="32"/>
        </w:trPr>
        <w:tc>
          <w:tcPr>
            <w:tcW w:w="2618"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2357"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2358"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1188" w:type="dxa"/>
            <w:tcBorders>
              <w:top w:val="single" w:sz="4" w:space="0" w:color="auto"/>
            </w:tcBorders>
          </w:tcPr>
          <w:p w:rsidR="002D612A" w:rsidRPr="00C11DD9" w:rsidRDefault="002D612A" w:rsidP="00C11DD9">
            <w:pPr>
              <w:spacing w:line="360" w:lineRule="auto"/>
              <w:rPr>
                <w:rFonts w:ascii="Book Antiqua" w:hAnsi="Book Antiqua"/>
                <w:i/>
                <w:sz w:val="24"/>
                <w:szCs w:val="24"/>
              </w:rPr>
            </w:pP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Age (yr)</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46.2 ± 10.2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46.8 ± 9.4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0.79</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Sex (male/female)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133/96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141/107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0.07</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Smoking history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34.9 %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18.1%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&lt; 0.01 </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Alcohol intake</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17.4%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8.1%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BMI (kg/m</w:t>
            </w:r>
            <w:r w:rsidRPr="00C11DD9">
              <w:rPr>
                <w:rFonts w:ascii="Book Antiqua" w:hAnsi="Book Antiqua"/>
                <w:sz w:val="24"/>
                <w:szCs w:val="24"/>
                <w:vertAlign w:val="superscript"/>
              </w:rPr>
              <w:t xml:space="preserve">2) </w:t>
            </w:r>
            <w:r w:rsidRPr="00C11DD9">
              <w:rPr>
                <w:rFonts w:ascii="Book Antiqua" w:hAnsi="Book Antiqua"/>
                <w:sz w:val="24"/>
                <w:szCs w:val="24"/>
              </w:rPr>
              <w:t xml:space="preserve">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24.5 ± 2.0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26.0 ± 2.2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Hypertension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14.8%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16.1%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0.09     </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Diabetes,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7.9%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6.9%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0.13 </w:t>
            </w:r>
          </w:p>
        </w:tc>
      </w:tr>
      <w:tr w:rsidR="002D612A" w:rsidRPr="00C11DD9" w:rsidTr="00C11DD9">
        <w:tc>
          <w:tcPr>
            <w:tcW w:w="261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CRP (mg/L )</w:t>
            </w:r>
          </w:p>
        </w:tc>
        <w:tc>
          <w:tcPr>
            <w:tcW w:w="235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36.3 ± 20.8     </w:t>
            </w:r>
          </w:p>
        </w:tc>
        <w:tc>
          <w:tcPr>
            <w:tcW w:w="235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5.5 ± 2.3         </w:t>
            </w:r>
          </w:p>
        </w:tc>
        <w:tc>
          <w:tcPr>
            <w:tcW w:w="11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rPr>
          <w:trHeight w:val="388"/>
        </w:trPr>
        <w:tc>
          <w:tcPr>
            <w:tcW w:w="2618"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WBC (×10</w:t>
            </w:r>
            <w:r w:rsidRPr="00C11DD9">
              <w:rPr>
                <w:rFonts w:ascii="Book Antiqua" w:hAnsi="Book Antiqua"/>
                <w:sz w:val="24"/>
                <w:szCs w:val="24"/>
                <w:vertAlign w:val="superscript"/>
              </w:rPr>
              <w:t>9</w:t>
            </w:r>
            <w:r w:rsidRPr="00C11DD9">
              <w:rPr>
                <w:rFonts w:ascii="Book Antiqua" w:hAnsi="Book Antiqua"/>
                <w:sz w:val="24"/>
                <w:szCs w:val="24"/>
              </w:rPr>
              <w:t>/L)</w:t>
            </w:r>
          </w:p>
        </w:tc>
        <w:tc>
          <w:tcPr>
            <w:tcW w:w="2357"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9.7 ± 2.9</w:t>
            </w:r>
          </w:p>
        </w:tc>
        <w:tc>
          <w:tcPr>
            <w:tcW w:w="2358"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4.3 ± 0.9      </w:t>
            </w:r>
          </w:p>
        </w:tc>
        <w:tc>
          <w:tcPr>
            <w:tcW w:w="1188"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rPr>
          <w:trHeight w:val="74"/>
        </w:trPr>
        <w:tc>
          <w:tcPr>
            <w:tcW w:w="2618"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2357"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2358"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    </w:t>
            </w:r>
          </w:p>
        </w:tc>
        <w:tc>
          <w:tcPr>
            <w:tcW w:w="1188"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r>
    </w:tbl>
    <w:p w:rsidR="002D612A" w:rsidRPr="009D2289" w:rsidRDefault="002D612A" w:rsidP="009D2289">
      <w:pPr>
        <w:widowControl/>
        <w:spacing w:line="360" w:lineRule="auto"/>
        <w:rPr>
          <w:rFonts w:ascii="Book Antiqua" w:hAnsi="Book Antiqua"/>
          <w:sz w:val="24"/>
          <w:szCs w:val="24"/>
        </w:rPr>
      </w:pPr>
      <w:r w:rsidRPr="009D2289">
        <w:rPr>
          <w:rFonts w:ascii="Book Antiqua" w:hAnsi="Book Antiqua"/>
          <w:sz w:val="24"/>
          <w:szCs w:val="24"/>
        </w:rPr>
        <w:t xml:space="preserve">BMI: Body mass index; CRP: C-reactive protein; WBC: White blood cell. </w:t>
      </w:r>
    </w:p>
    <w:p w:rsidR="002D612A" w:rsidRPr="009D2289" w:rsidRDefault="002D612A" w:rsidP="009D2289">
      <w:pPr>
        <w:widowControl/>
        <w:spacing w:line="360" w:lineRule="auto"/>
        <w:rPr>
          <w:rFonts w:ascii="Book Antiqua" w:hAnsi="Book Antiqua"/>
          <w:sz w:val="24"/>
          <w:szCs w:val="24"/>
        </w:rPr>
      </w:pPr>
    </w:p>
    <w:p w:rsidR="002D612A" w:rsidRPr="009D2289" w:rsidRDefault="002D612A" w:rsidP="009D2289">
      <w:pPr>
        <w:widowControl/>
        <w:spacing w:line="360" w:lineRule="auto"/>
        <w:rPr>
          <w:rFonts w:ascii="Book Antiqua" w:hAnsi="Book Antiqua"/>
          <w:sz w:val="24"/>
          <w:szCs w:val="24"/>
        </w:rPr>
      </w:pPr>
      <w:r w:rsidRPr="009D2289">
        <w:rPr>
          <w:rFonts w:ascii="Book Antiqua" w:hAnsi="Book Antiqua"/>
          <w:b/>
          <w:sz w:val="24"/>
          <w:szCs w:val="24"/>
        </w:rPr>
        <w:t>Table 2</w:t>
      </w:r>
      <w:r w:rsidRPr="009D2289">
        <w:rPr>
          <w:rFonts w:ascii="Book Antiqua" w:hAnsi="Book Antiqua"/>
          <w:b/>
          <w:i/>
          <w:sz w:val="24"/>
          <w:szCs w:val="24"/>
        </w:rPr>
        <w:t xml:space="preserve"> Helicobacter pylori</w:t>
      </w:r>
      <w:r w:rsidRPr="009D2289">
        <w:rPr>
          <w:rFonts w:ascii="Book Antiqua" w:hAnsi="Book Antiqua"/>
          <w:b/>
          <w:sz w:val="24"/>
          <w:szCs w:val="24"/>
        </w:rPr>
        <w:t xml:space="preserve"> infection rate between different Crohn’s disease types </w:t>
      </w:r>
      <w:r w:rsidRPr="009D2289">
        <w:rPr>
          <w:rFonts w:ascii="Book Antiqua" w:hAnsi="Book Antiqua"/>
          <w:b/>
          <w:i/>
          <w:sz w:val="24"/>
          <w:szCs w:val="24"/>
        </w:rPr>
        <w:t>n</w:t>
      </w:r>
      <w:r w:rsidRPr="009D2289">
        <w:rPr>
          <w:rFonts w:ascii="Book Antiqua" w:hAnsi="Book Antiqua"/>
          <w:b/>
          <w:sz w:val="24"/>
          <w:szCs w:val="24"/>
        </w:rPr>
        <w:t xml:space="preserve"> (%)</w:t>
      </w:r>
    </w:p>
    <w:p w:rsidR="002D612A" w:rsidRPr="009D2289" w:rsidDel="0058371B" w:rsidRDefault="002D612A" w:rsidP="009D2289">
      <w:pPr>
        <w:spacing w:line="360" w:lineRule="auto"/>
        <w:rPr>
          <w:rFonts w:ascii="Book Antiqua" w:hAnsi="Book Antiqua"/>
          <w:sz w:val="24"/>
          <w:szCs w:val="24"/>
        </w:rPr>
      </w:pPr>
      <w:r w:rsidRPr="009D2289">
        <w:rPr>
          <w:rFonts w:ascii="Book Antiqua" w:hAnsi="Book Antiqua"/>
          <w:sz w:val="24"/>
          <w:szCs w:val="24"/>
        </w:rPr>
        <w:t xml:space="preserve"> </w:t>
      </w:r>
    </w:p>
    <w:tbl>
      <w:tblPr>
        <w:tblW w:w="6604" w:type="dxa"/>
        <w:tblLook w:val="00A0" w:firstRow="1" w:lastRow="0" w:firstColumn="1" w:lastColumn="0" w:noHBand="0" w:noVBand="0"/>
      </w:tblPr>
      <w:tblGrid>
        <w:gridCol w:w="1883"/>
        <w:gridCol w:w="1783"/>
        <w:gridCol w:w="1788"/>
        <w:gridCol w:w="1150"/>
      </w:tblGrid>
      <w:tr w:rsidR="002D612A" w:rsidRPr="00C11DD9" w:rsidTr="00C11DD9">
        <w:tc>
          <w:tcPr>
            <w:tcW w:w="1883"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Group   </w:t>
            </w:r>
          </w:p>
        </w:tc>
        <w:tc>
          <w:tcPr>
            <w:tcW w:w="1783"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H. pylori</w:t>
            </w:r>
            <w:r w:rsidRPr="00C11DD9">
              <w:rPr>
                <w:rFonts w:ascii="Book Antiqua" w:hAnsi="Book Antiqua"/>
                <w:sz w:val="24"/>
                <w:szCs w:val="24"/>
              </w:rPr>
              <w:t xml:space="preserve"> -positive </w:t>
            </w:r>
          </w:p>
        </w:tc>
        <w:tc>
          <w:tcPr>
            <w:tcW w:w="1788"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H. pylori</w:t>
            </w:r>
            <w:r w:rsidRPr="00C11DD9">
              <w:rPr>
                <w:rFonts w:ascii="Book Antiqua" w:hAnsi="Book Antiqua"/>
                <w:sz w:val="24"/>
                <w:szCs w:val="24"/>
              </w:rPr>
              <w:t xml:space="preserve"> -negative  </w:t>
            </w:r>
          </w:p>
        </w:tc>
        <w:tc>
          <w:tcPr>
            <w:tcW w:w="1150"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P-</w:t>
            </w:r>
            <w:r w:rsidRPr="00C11DD9">
              <w:rPr>
                <w:rFonts w:ascii="Book Antiqua" w:hAnsi="Book Antiqua"/>
                <w:sz w:val="24"/>
                <w:szCs w:val="24"/>
              </w:rPr>
              <w:t>value</w:t>
            </w:r>
            <w:r w:rsidRPr="00C11DD9">
              <w:rPr>
                <w:rFonts w:ascii="Book Antiqua" w:hAnsi="Book Antiqua"/>
                <w:sz w:val="24"/>
                <w:szCs w:val="24"/>
                <w:vertAlign w:val="superscript"/>
              </w:rPr>
              <w:t>1</w:t>
            </w:r>
            <w:r w:rsidRPr="00C11DD9">
              <w:rPr>
                <w:rFonts w:ascii="Book Antiqua" w:hAnsi="Book Antiqua"/>
                <w:sz w:val="24"/>
                <w:szCs w:val="24"/>
              </w:rPr>
              <w:t xml:space="preserve"> </w:t>
            </w:r>
          </w:p>
        </w:tc>
      </w:tr>
      <w:tr w:rsidR="002D612A" w:rsidRPr="00C11DD9" w:rsidTr="00C11DD9">
        <w:tc>
          <w:tcPr>
            <w:tcW w:w="1883"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CD</w:t>
            </w:r>
          </w:p>
        </w:tc>
        <w:tc>
          <w:tcPr>
            <w:tcW w:w="1783"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62 (27.1)</w:t>
            </w:r>
          </w:p>
        </w:tc>
        <w:tc>
          <w:tcPr>
            <w:tcW w:w="1788"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167 (72.9)</w:t>
            </w:r>
          </w:p>
        </w:tc>
        <w:tc>
          <w:tcPr>
            <w:tcW w:w="1150" w:type="dxa"/>
            <w:tcBorders>
              <w:top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Colonic CD</w:t>
            </w:r>
          </w:p>
        </w:tc>
        <w:tc>
          <w:tcPr>
            <w:tcW w:w="17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14 (31.1)</w:t>
            </w:r>
          </w:p>
        </w:tc>
        <w:tc>
          <w:tcPr>
            <w:tcW w:w="17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31 (68.9)</w:t>
            </w:r>
          </w:p>
        </w:tc>
        <w:tc>
          <w:tcPr>
            <w:tcW w:w="115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Small intestine CD</w:t>
            </w:r>
          </w:p>
        </w:tc>
        <w:tc>
          <w:tcPr>
            <w:tcW w:w="17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11 (28.9)</w:t>
            </w:r>
          </w:p>
        </w:tc>
        <w:tc>
          <w:tcPr>
            <w:tcW w:w="17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27 (71.1)</w:t>
            </w:r>
          </w:p>
        </w:tc>
        <w:tc>
          <w:tcPr>
            <w:tcW w:w="115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Ileocolonic CD</w:t>
            </w:r>
          </w:p>
        </w:tc>
        <w:tc>
          <w:tcPr>
            <w:tcW w:w="17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30 (26.8)</w:t>
            </w:r>
          </w:p>
        </w:tc>
        <w:tc>
          <w:tcPr>
            <w:tcW w:w="17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82 (73.2)</w:t>
            </w:r>
          </w:p>
        </w:tc>
        <w:tc>
          <w:tcPr>
            <w:tcW w:w="115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Extensive CD</w:t>
            </w:r>
          </w:p>
        </w:tc>
        <w:tc>
          <w:tcPr>
            <w:tcW w:w="1783"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7 (25.9)</w:t>
            </w:r>
          </w:p>
        </w:tc>
        <w:tc>
          <w:tcPr>
            <w:tcW w:w="1788"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27 (74.1)</w:t>
            </w:r>
          </w:p>
        </w:tc>
        <w:tc>
          <w:tcPr>
            <w:tcW w:w="115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83"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lastRenderedPageBreak/>
              <w:t>Control</w:t>
            </w:r>
          </w:p>
        </w:tc>
        <w:tc>
          <w:tcPr>
            <w:tcW w:w="1783"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119 (47.9)</w:t>
            </w:r>
          </w:p>
        </w:tc>
        <w:tc>
          <w:tcPr>
            <w:tcW w:w="1788"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129 (52.1)</w:t>
            </w:r>
          </w:p>
        </w:tc>
        <w:tc>
          <w:tcPr>
            <w:tcW w:w="1150" w:type="dxa"/>
            <w:tcBorders>
              <w:bottom w:val="single" w:sz="4" w:space="0" w:color="auto"/>
            </w:tcBorders>
          </w:tcPr>
          <w:p w:rsidR="002D612A" w:rsidRPr="00C11DD9" w:rsidRDefault="002D612A" w:rsidP="00C11DD9">
            <w:pPr>
              <w:spacing w:line="360" w:lineRule="auto"/>
              <w:rPr>
                <w:rFonts w:ascii="Book Antiqua" w:hAnsi="Book Antiqua"/>
                <w:sz w:val="24"/>
                <w:szCs w:val="24"/>
              </w:rPr>
            </w:pPr>
          </w:p>
        </w:tc>
      </w:tr>
    </w:tbl>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vertAlign w:val="superscript"/>
        </w:rPr>
        <w:t>1</w:t>
      </w:r>
      <w:r w:rsidRPr="009D2289">
        <w:rPr>
          <w:rFonts w:ascii="Book Antiqua" w:hAnsi="Book Antiqua"/>
          <w:i/>
          <w:sz w:val="24"/>
          <w:szCs w:val="24"/>
        </w:rPr>
        <w:t>vs</w:t>
      </w:r>
      <w:r w:rsidRPr="009D2289">
        <w:rPr>
          <w:rFonts w:ascii="Book Antiqua" w:hAnsi="Book Antiqua"/>
          <w:sz w:val="24"/>
          <w:szCs w:val="24"/>
        </w:rPr>
        <w:t xml:space="preserve"> control group.</w:t>
      </w:r>
      <w:r>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w:t>
      </w:r>
      <w:r w:rsidRPr="009D2289">
        <w:rPr>
          <w:rFonts w:ascii="Book Antiqua" w:hAnsi="Book Antiqua"/>
          <w:i/>
          <w:sz w:val="24"/>
          <w:szCs w:val="24"/>
        </w:rPr>
        <w:t xml:space="preserve"> Helicobacter pylori</w:t>
      </w:r>
      <w:r w:rsidRPr="009D2289">
        <w:rPr>
          <w:rFonts w:ascii="Book Antiqua" w:hAnsi="Book Antiqua"/>
          <w:sz w:val="24"/>
          <w:szCs w:val="24"/>
        </w:rPr>
        <w:t xml:space="preserve">; CD: Crohn’s disease. </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widowControl/>
        <w:spacing w:line="360" w:lineRule="auto"/>
        <w:rPr>
          <w:rFonts w:ascii="Book Antiqua" w:hAnsi="Book Antiqua"/>
          <w:sz w:val="24"/>
          <w:szCs w:val="24"/>
        </w:rPr>
      </w:pPr>
      <w:r w:rsidRPr="009D2289">
        <w:rPr>
          <w:rFonts w:ascii="Book Antiqua" w:hAnsi="Book Antiqua"/>
          <w:sz w:val="24"/>
          <w:szCs w:val="24"/>
        </w:rPr>
        <w:br w:type="page"/>
      </w:r>
      <w:r w:rsidRPr="009D2289">
        <w:rPr>
          <w:rFonts w:ascii="Book Antiqua" w:hAnsi="Book Antiqua"/>
          <w:b/>
          <w:sz w:val="24"/>
          <w:szCs w:val="24"/>
        </w:rPr>
        <w:lastRenderedPageBreak/>
        <w:t>Table 3</w:t>
      </w:r>
      <w:r w:rsidRPr="009D2289">
        <w:rPr>
          <w:rFonts w:ascii="Book Antiqua" w:hAnsi="Book Antiqua"/>
          <w:sz w:val="24"/>
          <w:szCs w:val="24"/>
        </w:rPr>
        <w:t xml:space="preserve"> </w:t>
      </w:r>
      <w:r w:rsidRPr="009D2289">
        <w:rPr>
          <w:rFonts w:ascii="Book Antiqua" w:hAnsi="Book Antiqua"/>
          <w:b/>
          <w:i/>
          <w:sz w:val="24"/>
          <w:szCs w:val="24"/>
        </w:rPr>
        <w:t>Helicobacter pylori</w:t>
      </w:r>
      <w:r w:rsidRPr="009D2289">
        <w:rPr>
          <w:rFonts w:ascii="Book Antiqua" w:hAnsi="Book Antiqua"/>
          <w:b/>
          <w:sz w:val="24"/>
          <w:szCs w:val="24"/>
        </w:rPr>
        <w:t xml:space="preserve"> infection between different severity of Crohn’s disease and control </w:t>
      </w:r>
      <w:r w:rsidRPr="009D2289">
        <w:rPr>
          <w:rFonts w:ascii="Book Antiqua" w:hAnsi="Book Antiqua"/>
          <w:b/>
          <w:i/>
          <w:sz w:val="24"/>
          <w:szCs w:val="24"/>
        </w:rPr>
        <w:t>n</w:t>
      </w:r>
      <w:r w:rsidRPr="009D2289">
        <w:rPr>
          <w:rFonts w:ascii="Book Antiqua" w:hAnsi="Book Antiqua"/>
          <w:b/>
          <w:sz w:val="24"/>
          <w:szCs w:val="24"/>
        </w:rPr>
        <w:t xml:space="preserve"> (%)</w:t>
      </w:r>
    </w:p>
    <w:tbl>
      <w:tblPr>
        <w:tblW w:w="6548" w:type="dxa"/>
        <w:tblLook w:val="00A0" w:firstRow="1" w:lastRow="0" w:firstColumn="1" w:lastColumn="0" w:noHBand="0" w:noVBand="0"/>
      </w:tblPr>
      <w:tblGrid>
        <w:gridCol w:w="1836"/>
        <w:gridCol w:w="1799"/>
        <w:gridCol w:w="1805"/>
        <w:gridCol w:w="1108"/>
      </w:tblGrid>
      <w:tr w:rsidR="002D612A" w:rsidRPr="00C11DD9" w:rsidTr="00C11DD9">
        <w:trPr>
          <w:trHeight w:val="777"/>
        </w:trPr>
        <w:tc>
          <w:tcPr>
            <w:tcW w:w="1849"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 xml:space="preserve">Group   </w:t>
            </w:r>
          </w:p>
        </w:tc>
        <w:tc>
          <w:tcPr>
            <w:tcW w:w="1812"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H. pylori</w:t>
            </w:r>
            <w:r w:rsidRPr="00C11DD9">
              <w:rPr>
                <w:rFonts w:ascii="Book Antiqua" w:hAnsi="Book Antiqua"/>
                <w:sz w:val="24"/>
                <w:szCs w:val="24"/>
              </w:rPr>
              <w:t xml:space="preserve"> -positive  </w:t>
            </w:r>
          </w:p>
        </w:tc>
        <w:tc>
          <w:tcPr>
            <w:tcW w:w="1817"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H. pylori</w:t>
            </w:r>
            <w:r w:rsidRPr="00C11DD9">
              <w:rPr>
                <w:rFonts w:ascii="Book Antiqua" w:hAnsi="Book Antiqua"/>
                <w:sz w:val="24"/>
                <w:szCs w:val="24"/>
              </w:rPr>
              <w:t xml:space="preserve"> -negative  </w:t>
            </w:r>
          </w:p>
        </w:tc>
        <w:tc>
          <w:tcPr>
            <w:tcW w:w="1070" w:type="dxa"/>
            <w:tcBorders>
              <w:top w:val="single" w:sz="4" w:space="0" w:color="auto"/>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i/>
                <w:sz w:val="24"/>
                <w:szCs w:val="24"/>
              </w:rPr>
              <w:t>P-</w:t>
            </w:r>
            <w:r w:rsidRPr="00C11DD9">
              <w:rPr>
                <w:rFonts w:ascii="Book Antiqua" w:hAnsi="Book Antiqua"/>
                <w:sz w:val="24"/>
                <w:szCs w:val="24"/>
              </w:rPr>
              <w:t>value</w:t>
            </w:r>
            <w:r w:rsidRPr="009D2289">
              <w:rPr>
                <w:rFonts w:ascii="Book Antiqua" w:hAnsi="Book Antiqua"/>
                <w:sz w:val="24"/>
                <w:szCs w:val="24"/>
                <w:vertAlign w:val="superscript"/>
              </w:rPr>
              <w:t>1</w:t>
            </w:r>
          </w:p>
        </w:tc>
      </w:tr>
      <w:tr w:rsidR="002D612A" w:rsidRPr="00C11DD9" w:rsidTr="00C11DD9">
        <w:trPr>
          <w:trHeight w:val="158"/>
        </w:trPr>
        <w:tc>
          <w:tcPr>
            <w:tcW w:w="1849" w:type="dxa"/>
            <w:tcBorders>
              <w:top w:val="single" w:sz="4" w:space="0" w:color="auto"/>
            </w:tcBorders>
          </w:tcPr>
          <w:p w:rsidR="002D612A" w:rsidRPr="00C11DD9" w:rsidRDefault="002D612A" w:rsidP="00C11DD9">
            <w:pPr>
              <w:spacing w:line="360" w:lineRule="auto"/>
              <w:rPr>
                <w:rFonts w:ascii="Book Antiqua" w:hAnsi="Book Antiqua"/>
                <w:sz w:val="24"/>
                <w:szCs w:val="24"/>
              </w:rPr>
            </w:pPr>
          </w:p>
        </w:tc>
        <w:tc>
          <w:tcPr>
            <w:tcW w:w="1812" w:type="dxa"/>
            <w:tcBorders>
              <w:top w:val="single" w:sz="4" w:space="0" w:color="auto"/>
            </w:tcBorders>
          </w:tcPr>
          <w:p w:rsidR="002D612A" w:rsidRPr="00C11DD9" w:rsidRDefault="002D612A" w:rsidP="00C11DD9">
            <w:pPr>
              <w:spacing w:line="360" w:lineRule="auto"/>
              <w:rPr>
                <w:rFonts w:ascii="Book Antiqua" w:hAnsi="Book Antiqua"/>
                <w:i/>
                <w:sz w:val="24"/>
                <w:szCs w:val="24"/>
              </w:rPr>
            </w:pPr>
          </w:p>
        </w:tc>
        <w:tc>
          <w:tcPr>
            <w:tcW w:w="1817" w:type="dxa"/>
            <w:tcBorders>
              <w:top w:val="single" w:sz="4" w:space="0" w:color="auto"/>
            </w:tcBorders>
          </w:tcPr>
          <w:p w:rsidR="002D612A" w:rsidRPr="00C11DD9" w:rsidRDefault="002D612A" w:rsidP="00C11DD9">
            <w:pPr>
              <w:spacing w:line="360" w:lineRule="auto"/>
              <w:rPr>
                <w:rFonts w:ascii="Book Antiqua" w:hAnsi="Book Antiqua"/>
                <w:i/>
                <w:sz w:val="24"/>
                <w:szCs w:val="24"/>
              </w:rPr>
            </w:pPr>
          </w:p>
        </w:tc>
        <w:tc>
          <w:tcPr>
            <w:tcW w:w="1070" w:type="dxa"/>
            <w:tcBorders>
              <w:top w:val="single" w:sz="4" w:space="0" w:color="auto"/>
            </w:tcBorders>
          </w:tcPr>
          <w:p w:rsidR="002D612A" w:rsidRPr="00C11DD9" w:rsidRDefault="002D612A" w:rsidP="00C11DD9">
            <w:pPr>
              <w:spacing w:line="360" w:lineRule="auto"/>
              <w:rPr>
                <w:rFonts w:ascii="Book Antiqua" w:hAnsi="Book Antiqua"/>
                <w:i/>
                <w:sz w:val="24"/>
                <w:szCs w:val="24"/>
              </w:rPr>
            </w:pPr>
            <w:r w:rsidRPr="00C11DD9">
              <w:rPr>
                <w:rFonts w:ascii="Book Antiqua" w:hAnsi="Book Antiqua"/>
                <w:sz w:val="24"/>
                <w:szCs w:val="24"/>
              </w:rPr>
              <w:t xml:space="preserve"> </w:t>
            </w:r>
          </w:p>
        </w:tc>
      </w:tr>
      <w:tr w:rsidR="002D612A" w:rsidRPr="00C11DD9" w:rsidTr="00C11DD9">
        <w:tc>
          <w:tcPr>
            <w:tcW w:w="1849"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CD</w:t>
            </w:r>
          </w:p>
        </w:tc>
        <w:tc>
          <w:tcPr>
            <w:tcW w:w="1812"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11 (34.3)</w:t>
            </w:r>
          </w:p>
        </w:tc>
        <w:tc>
          <w:tcPr>
            <w:tcW w:w="181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21 (65.7)</w:t>
            </w:r>
          </w:p>
        </w:tc>
        <w:tc>
          <w:tcPr>
            <w:tcW w:w="107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49"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Colonic CD</w:t>
            </w:r>
          </w:p>
        </w:tc>
        <w:tc>
          <w:tcPr>
            <w:tcW w:w="1812"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27 (30.7)</w:t>
            </w:r>
          </w:p>
        </w:tc>
        <w:tc>
          <w:tcPr>
            <w:tcW w:w="181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61 (69.3)</w:t>
            </w:r>
          </w:p>
        </w:tc>
        <w:tc>
          <w:tcPr>
            <w:tcW w:w="107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49"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Small intestine CD</w:t>
            </w:r>
          </w:p>
        </w:tc>
        <w:tc>
          <w:tcPr>
            <w:tcW w:w="1812"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24 (22.0)</w:t>
            </w:r>
          </w:p>
        </w:tc>
        <w:tc>
          <w:tcPr>
            <w:tcW w:w="1817"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85 (88.0)</w:t>
            </w:r>
          </w:p>
        </w:tc>
        <w:tc>
          <w:tcPr>
            <w:tcW w:w="1070" w:type="dxa"/>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&lt; 0.01</w:t>
            </w:r>
          </w:p>
        </w:tc>
      </w:tr>
      <w:tr w:rsidR="002D612A" w:rsidRPr="00C11DD9" w:rsidTr="00C11DD9">
        <w:tc>
          <w:tcPr>
            <w:tcW w:w="1849"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Control</w:t>
            </w:r>
          </w:p>
        </w:tc>
        <w:tc>
          <w:tcPr>
            <w:tcW w:w="1812"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119</w:t>
            </w:r>
          </w:p>
        </w:tc>
        <w:tc>
          <w:tcPr>
            <w:tcW w:w="1817" w:type="dxa"/>
            <w:tcBorders>
              <w:bottom w:val="single" w:sz="4" w:space="0" w:color="auto"/>
            </w:tcBorders>
          </w:tcPr>
          <w:p w:rsidR="002D612A" w:rsidRPr="00C11DD9" w:rsidRDefault="002D612A" w:rsidP="00C11DD9">
            <w:pPr>
              <w:spacing w:line="360" w:lineRule="auto"/>
              <w:rPr>
                <w:rFonts w:ascii="Book Antiqua" w:hAnsi="Book Antiqua"/>
                <w:sz w:val="24"/>
                <w:szCs w:val="24"/>
              </w:rPr>
            </w:pPr>
            <w:r w:rsidRPr="00C11DD9">
              <w:rPr>
                <w:rFonts w:ascii="Book Antiqua" w:hAnsi="Book Antiqua"/>
                <w:sz w:val="24"/>
                <w:szCs w:val="24"/>
              </w:rPr>
              <w:t>129</w:t>
            </w:r>
          </w:p>
        </w:tc>
        <w:tc>
          <w:tcPr>
            <w:tcW w:w="1070" w:type="dxa"/>
            <w:tcBorders>
              <w:bottom w:val="single" w:sz="4" w:space="0" w:color="auto"/>
            </w:tcBorders>
          </w:tcPr>
          <w:p w:rsidR="002D612A" w:rsidRPr="00C11DD9" w:rsidRDefault="002D612A" w:rsidP="00C11DD9">
            <w:pPr>
              <w:spacing w:line="360" w:lineRule="auto"/>
              <w:rPr>
                <w:rFonts w:ascii="Book Antiqua" w:hAnsi="Book Antiqua"/>
                <w:sz w:val="24"/>
                <w:szCs w:val="24"/>
              </w:rPr>
            </w:pPr>
          </w:p>
        </w:tc>
      </w:tr>
    </w:tbl>
    <w:p w:rsidR="002D612A" w:rsidRPr="009D2289" w:rsidRDefault="002D612A" w:rsidP="009D2289">
      <w:pPr>
        <w:spacing w:line="360" w:lineRule="auto"/>
        <w:rPr>
          <w:rFonts w:ascii="Book Antiqua" w:hAnsi="Book Antiqua"/>
          <w:sz w:val="24"/>
          <w:szCs w:val="24"/>
        </w:rPr>
      </w:pPr>
      <w:r w:rsidRPr="009D2289">
        <w:rPr>
          <w:rFonts w:ascii="Book Antiqua" w:hAnsi="Book Antiqua"/>
          <w:sz w:val="24"/>
          <w:szCs w:val="24"/>
          <w:vertAlign w:val="superscript"/>
        </w:rPr>
        <w:t>1</w:t>
      </w:r>
      <w:r w:rsidRPr="009D2289">
        <w:rPr>
          <w:rFonts w:ascii="Book Antiqua" w:hAnsi="Book Antiqua"/>
          <w:i/>
          <w:sz w:val="24"/>
          <w:szCs w:val="24"/>
        </w:rPr>
        <w:t>vs</w:t>
      </w:r>
      <w:r w:rsidRPr="009D2289">
        <w:rPr>
          <w:rFonts w:ascii="Book Antiqua" w:hAnsi="Book Antiqua"/>
          <w:sz w:val="24"/>
          <w:szCs w:val="24"/>
        </w:rPr>
        <w:t xml:space="preserve"> control group.</w:t>
      </w:r>
      <w:r>
        <w:rPr>
          <w:rFonts w:ascii="Book Antiqua" w:hAnsi="Book Antiqua"/>
          <w:sz w:val="24"/>
          <w:szCs w:val="24"/>
        </w:rPr>
        <w:t xml:space="preserve"> </w:t>
      </w:r>
      <w:r w:rsidRPr="009D2289">
        <w:rPr>
          <w:rFonts w:ascii="Book Antiqua" w:hAnsi="Book Antiqua"/>
          <w:i/>
          <w:sz w:val="24"/>
          <w:szCs w:val="24"/>
        </w:rPr>
        <w:t>H. pylori</w:t>
      </w:r>
      <w:r w:rsidRPr="009D2289">
        <w:rPr>
          <w:rFonts w:ascii="Book Antiqua" w:hAnsi="Book Antiqua"/>
          <w:sz w:val="24"/>
          <w:szCs w:val="24"/>
        </w:rPr>
        <w:t>:</w:t>
      </w:r>
      <w:r w:rsidRPr="009D2289">
        <w:rPr>
          <w:rFonts w:ascii="Book Antiqua" w:hAnsi="Book Antiqua"/>
          <w:i/>
          <w:sz w:val="24"/>
          <w:szCs w:val="24"/>
        </w:rPr>
        <w:t xml:space="preserve"> Helicobacter pylori</w:t>
      </w:r>
      <w:r w:rsidRPr="009D2289">
        <w:rPr>
          <w:rFonts w:ascii="Book Antiqua" w:hAnsi="Book Antiqua"/>
          <w:sz w:val="24"/>
          <w:szCs w:val="24"/>
        </w:rPr>
        <w:t xml:space="preserve">; CD: Crohn’s disease. </w:t>
      </w: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p>
    <w:p w:rsidR="002D612A" w:rsidRPr="009D2289" w:rsidRDefault="002D612A" w:rsidP="009D2289">
      <w:pPr>
        <w:spacing w:line="360" w:lineRule="auto"/>
        <w:rPr>
          <w:rFonts w:ascii="Book Antiqua" w:hAnsi="Book Antiqua"/>
          <w:sz w:val="24"/>
          <w:szCs w:val="24"/>
        </w:rPr>
      </w:pPr>
    </w:p>
    <w:sectPr w:rsidR="002D612A" w:rsidRPr="009D2289" w:rsidSect="002B40FC">
      <w:pgSz w:w="11906" w:h="16838"/>
      <w:pgMar w:top="1440" w:right="1800" w:bottom="1440" w:left="1800" w:header="850" w:footer="9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D9" w:rsidRDefault="00143ED9" w:rsidP="009C54BE">
      <w:r>
        <w:separator/>
      </w:r>
    </w:p>
  </w:endnote>
  <w:endnote w:type="continuationSeparator" w:id="0">
    <w:p w:rsidR="00143ED9" w:rsidRDefault="00143ED9" w:rsidP="009C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Lucida Grande">
    <w:altName w:val="Arial"/>
    <w:charset w:val="00"/>
    <w:family w:val="auto"/>
    <w:pitch w:val="variable"/>
    <w:sig w:usb0="A1002AE7" w:usb1="C0000063" w:usb2="00000038"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D9" w:rsidRDefault="00143ED9" w:rsidP="009C54BE">
      <w:r>
        <w:separator/>
      </w:r>
    </w:p>
  </w:footnote>
  <w:footnote w:type="continuationSeparator" w:id="0">
    <w:p w:rsidR="00143ED9" w:rsidRDefault="00143ED9" w:rsidP="009C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53B4C"/>
    <w:multiLevelType w:val="hybridMultilevel"/>
    <w:tmpl w:val="413C06BE"/>
    <w:lvl w:ilvl="0" w:tplc="F7DECB78">
      <w:start w:val="6"/>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12238"/>
    <w:rsid w:val="000005F3"/>
    <w:rsid w:val="00000828"/>
    <w:rsid w:val="00002586"/>
    <w:rsid w:val="00006689"/>
    <w:rsid w:val="00007013"/>
    <w:rsid w:val="000129B8"/>
    <w:rsid w:val="00012A29"/>
    <w:rsid w:val="00014A69"/>
    <w:rsid w:val="00015DBB"/>
    <w:rsid w:val="00015FF1"/>
    <w:rsid w:val="00020C8D"/>
    <w:rsid w:val="000227FB"/>
    <w:rsid w:val="00023993"/>
    <w:rsid w:val="00030B62"/>
    <w:rsid w:val="00031539"/>
    <w:rsid w:val="00032A96"/>
    <w:rsid w:val="00033D6D"/>
    <w:rsid w:val="00035520"/>
    <w:rsid w:val="000420AE"/>
    <w:rsid w:val="0004639A"/>
    <w:rsid w:val="000473AC"/>
    <w:rsid w:val="00051452"/>
    <w:rsid w:val="00053918"/>
    <w:rsid w:val="00053C34"/>
    <w:rsid w:val="0005433E"/>
    <w:rsid w:val="00054A3A"/>
    <w:rsid w:val="00054D9A"/>
    <w:rsid w:val="0006046C"/>
    <w:rsid w:val="00061348"/>
    <w:rsid w:val="00061565"/>
    <w:rsid w:val="00062B94"/>
    <w:rsid w:val="00065707"/>
    <w:rsid w:val="000667DE"/>
    <w:rsid w:val="000676F7"/>
    <w:rsid w:val="000723FF"/>
    <w:rsid w:val="0007303E"/>
    <w:rsid w:val="00073A31"/>
    <w:rsid w:val="00075B91"/>
    <w:rsid w:val="0007610D"/>
    <w:rsid w:val="0007645A"/>
    <w:rsid w:val="00081E7A"/>
    <w:rsid w:val="0008621C"/>
    <w:rsid w:val="00087D8A"/>
    <w:rsid w:val="00091374"/>
    <w:rsid w:val="000935F2"/>
    <w:rsid w:val="000939BE"/>
    <w:rsid w:val="00094DEE"/>
    <w:rsid w:val="000953DE"/>
    <w:rsid w:val="00095BE0"/>
    <w:rsid w:val="00097A35"/>
    <w:rsid w:val="00097C7B"/>
    <w:rsid w:val="000A124C"/>
    <w:rsid w:val="000A3FEF"/>
    <w:rsid w:val="000A53DF"/>
    <w:rsid w:val="000A6E22"/>
    <w:rsid w:val="000A74D6"/>
    <w:rsid w:val="000A7B72"/>
    <w:rsid w:val="000B12E1"/>
    <w:rsid w:val="000B177D"/>
    <w:rsid w:val="000B1A8F"/>
    <w:rsid w:val="000B2347"/>
    <w:rsid w:val="000B4D1D"/>
    <w:rsid w:val="000C090F"/>
    <w:rsid w:val="000C2085"/>
    <w:rsid w:val="000C3CDC"/>
    <w:rsid w:val="000C543F"/>
    <w:rsid w:val="000C5CCA"/>
    <w:rsid w:val="000C6992"/>
    <w:rsid w:val="000D1197"/>
    <w:rsid w:val="000D179A"/>
    <w:rsid w:val="000D4814"/>
    <w:rsid w:val="000D4C59"/>
    <w:rsid w:val="000D69EB"/>
    <w:rsid w:val="000D6F03"/>
    <w:rsid w:val="000E1D8F"/>
    <w:rsid w:val="000E212F"/>
    <w:rsid w:val="000E2302"/>
    <w:rsid w:val="000E35A5"/>
    <w:rsid w:val="000E503C"/>
    <w:rsid w:val="000E7864"/>
    <w:rsid w:val="000F3001"/>
    <w:rsid w:val="000F36D9"/>
    <w:rsid w:val="000F4347"/>
    <w:rsid w:val="000F4712"/>
    <w:rsid w:val="000F49CE"/>
    <w:rsid w:val="000F7324"/>
    <w:rsid w:val="00100C7B"/>
    <w:rsid w:val="001017DB"/>
    <w:rsid w:val="00103267"/>
    <w:rsid w:val="00103D8F"/>
    <w:rsid w:val="001104BA"/>
    <w:rsid w:val="0011064D"/>
    <w:rsid w:val="001107D7"/>
    <w:rsid w:val="00111706"/>
    <w:rsid w:val="00112FDE"/>
    <w:rsid w:val="00113285"/>
    <w:rsid w:val="00113C5B"/>
    <w:rsid w:val="00115F90"/>
    <w:rsid w:val="00117B66"/>
    <w:rsid w:val="00120DAA"/>
    <w:rsid w:val="00122D88"/>
    <w:rsid w:val="00123C29"/>
    <w:rsid w:val="00125FC8"/>
    <w:rsid w:val="00127D50"/>
    <w:rsid w:val="0013435C"/>
    <w:rsid w:val="00135571"/>
    <w:rsid w:val="001356C3"/>
    <w:rsid w:val="0014283E"/>
    <w:rsid w:val="00142E56"/>
    <w:rsid w:val="001438FA"/>
    <w:rsid w:val="00143ED9"/>
    <w:rsid w:val="00145217"/>
    <w:rsid w:val="00147B05"/>
    <w:rsid w:val="00147CF0"/>
    <w:rsid w:val="00150AD0"/>
    <w:rsid w:val="00154863"/>
    <w:rsid w:val="0015597D"/>
    <w:rsid w:val="00155996"/>
    <w:rsid w:val="0016003A"/>
    <w:rsid w:val="0016702F"/>
    <w:rsid w:val="00167F7C"/>
    <w:rsid w:val="001713E5"/>
    <w:rsid w:val="00171BBF"/>
    <w:rsid w:val="001724D1"/>
    <w:rsid w:val="001739B1"/>
    <w:rsid w:val="00173D40"/>
    <w:rsid w:val="00174471"/>
    <w:rsid w:val="001760BC"/>
    <w:rsid w:val="00180F28"/>
    <w:rsid w:val="001831F8"/>
    <w:rsid w:val="00183563"/>
    <w:rsid w:val="001836E8"/>
    <w:rsid w:val="001843A9"/>
    <w:rsid w:val="00186F49"/>
    <w:rsid w:val="001906C7"/>
    <w:rsid w:val="001907CD"/>
    <w:rsid w:val="001923F9"/>
    <w:rsid w:val="001930F7"/>
    <w:rsid w:val="0019405B"/>
    <w:rsid w:val="00196B0D"/>
    <w:rsid w:val="001A2DD9"/>
    <w:rsid w:val="001A32ED"/>
    <w:rsid w:val="001A45C4"/>
    <w:rsid w:val="001A466C"/>
    <w:rsid w:val="001A4CCD"/>
    <w:rsid w:val="001A4E0B"/>
    <w:rsid w:val="001A6242"/>
    <w:rsid w:val="001A6324"/>
    <w:rsid w:val="001A7162"/>
    <w:rsid w:val="001B12C6"/>
    <w:rsid w:val="001C2964"/>
    <w:rsid w:val="001C42CB"/>
    <w:rsid w:val="001C430F"/>
    <w:rsid w:val="001C4A2B"/>
    <w:rsid w:val="001C4A39"/>
    <w:rsid w:val="001D0F90"/>
    <w:rsid w:val="001D171B"/>
    <w:rsid w:val="001D1CEF"/>
    <w:rsid w:val="001D28C4"/>
    <w:rsid w:val="001D3352"/>
    <w:rsid w:val="001D3C47"/>
    <w:rsid w:val="001D3D86"/>
    <w:rsid w:val="001D3E44"/>
    <w:rsid w:val="001D6B7A"/>
    <w:rsid w:val="001D7A2B"/>
    <w:rsid w:val="001E0E2D"/>
    <w:rsid w:val="001E2A20"/>
    <w:rsid w:val="001F08D9"/>
    <w:rsid w:val="001F4B33"/>
    <w:rsid w:val="001F55D5"/>
    <w:rsid w:val="001F668E"/>
    <w:rsid w:val="001F682B"/>
    <w:rsid w:val="001F7278"/>
    <w:rsid w:val="002001FC"/>
    <w:rsid w:val="00200695"/>
    <w:rsid w:val="00200E3F"/>
    <w:rsid w:val="00204AF3"/>
    <w:rsid w:val="002064EC"/>
    <w:rsid w:val="002104FF"/>
    <w:rsid w:val="00210D63"/>
    <w:rsid w:val="00210EFA"/>
    <w:rsid w:val="00211118"/>
    <w:rsid w:val="00211284"/>
    <w:rsid w:val="00212CE8"/>
    <w:rsid w:val="002136E3"/>
    <w:rsid w:val="00220808"/>
    <w:rsid w:val="00222313"/>
    <w:rsid w:val="0022320B"/>
    <w:rsid w:val="00225374"/>
    <w:rsid w:val="00225483"/>
    <w:rsid w:val="002272A8"/>
    <w:rsid w:val="00233E67"/>
    <w:rsid w:val="00234AAC"/>
    <w:rsid w:val="00236F01"/>
    <w:rsid w:val="00237049"/>
    <w:rsid w:val="00240052"/>
    <w:rsid w:val="00245CE3"/>
    <w:rsid w:val="00250535"/>
    <w:rsid w:val="002530FE"/>
    <w:rsid w:val="00253123"/>
    <w:rsid w:val="00255153"/>
    <w:rsid w:val="002571D2"/>
    <w:rsid w:val="00260B85"/>
    <w:rsid w:val="00267299"/>
    <w:rsid w:val="00270BA7"/>
    <w:rsid w:val="0027182B"/>
    <w:rsid w:val="002726DA"/>
    <w:rsid w:val="00273001"/>
    <w:rsid w:val="002740B2"/>
    <w:rsid w:val="002747F1"/>
    <w:rsid w:val="00277F22"/>
    <w:rsid w:val="0028146F"/>
    <w:rsid w:val="00281834"/>
    <w:rsid w:val="00281898"/>
    <w:rsid w:val="00282307"/>
    <w:rsid w:val="002857FA"/>
    <w:rsid w:val="00285C05"/>
    <w:rsid w:val="00286D61"/>
    <w:rsid w:val="002879A7"/>
    <w:rsid w:val="002934F6"/>
    <w:rsid w:val="00295630"/>
    <w:rsid w:val="002A0C36"/>
    <w:rsid w:val="002A0C97"/>
    <w:rsid w:val="002A2480"/>
    <w:rsid w:val="002A36EA"/>
    <w:rsid w:val="002A50EE"/>
    <w:rsid w:val="002A564F"/>
    <w:rsid w:val="002A5A88"/>
    <w:rsid w:val="002B0CEF"/>
    <w:rsid w:val="002B1B7A"/>
    <w:rsid w:val="002B1DB3"/>
    <w:rsid w:val="002B1DDF"/>
    <w:rsid w:val="002B3CC3"/>
    <w:rsid w:val="002B40FC"/>
    <w:rsid w:val="002B44DC"/>
    <w:rsid w:val="002B54A0"/>
    <w:rsid w:val="002B6722"/>
    <w:rsid w:val="002C031A"/>
    <w:rsid w:val="002C15E4"/>
    <w:rsid w:val="002C21BF"/>
    <w:rsid w:val="002C2C57"/>
    <w:rsid w:val="002C41D5"/>
    <w:rsid w:val="002C4F17"/>
    <w:rsid w:val="002C50E5"/>
    <w:rsid w:val="002C7391"/>
    <w:rsid w:val="002D065B"/>
    <w:rsid w:val="002D18C4"/>
    <w:rsid w:val="002D1B23"/>
    <w:rsid w:val="002D23C4"/>
    <w:rsid w:val="002D2D23"/>
    <w:rsid w:val="002D612A"/>
    <w:rsid w:val="002D61FD"/>
    <w:rsid w:val="002D72A5"/>
    <w:rsid w:val="002D7552"/>
    <w:rsid w:val="002E079E"/>
    <w:rsid w:val="002E0C92"/>
    <w:rsid w:val="002E1738"/>
    <w:rsid w:val="002E6E11"/>
    <w:rsid w:val="002E74EC"/>
    <w:rsid w:val="002F0B73"/>
    <w:rsid w:val="002F416C"/>
    <w:rsid w:val="002F5C41"/>
    <w:rsid w:val="002F5DB7"/>
    <w:rsid w:val="002F7548"/>
    <w:rsid w:val="003019DA"/>
    <w:rsid w:val="00303279"/>
    <w:rsid w:val="0030585E"/>
    <w:rsid w:val="00306B0E"/>
    <w:rsid w:val="00310EC0"/>
    <w:rsid w:val="0031161A"/>
    <w:rsid w:val="003127A8"/>
    <w:rsid w:val="0031394C"/>
    <w:rsid w:val="003139F9"/>
    <w:rsid w:val="00315890"/>
    <w:rsid w:val="003169F8"/>
    <w:rsid w:val="003171B9"/>
    <w:rsid w:val="003178DE"/>
    <w:rsid w:val="00320441"/>
    <w:rsid w:val="00320EA5"/>
    <w:rsid w:val="0032100A"/>
    <w:rsid w:val="0032311A"/>
    <w:rsid w:val="003248E0"/>
    <w:rsid w:val="00331656"/>
    <w:rsid w:val="0033269F"/>
    <w:rsid w:val="00332D31"/>
    <w:rsid w:val="0033329F"/>
    <w:rsid w:val="003341EE"/>
    <w:rsid w:val="00337FDD"/>
    <w:rsid w:val="00341BBC"/>
    <w:rsid w:val="003424F1"/>
    <w:rsid w:val="0034499D"/>
    <w:rsid w:val="00355B9C"/>
    <w:rsid w:val="003602FD"/>
    <w:rsid w:val="00360CDE"/>
    <w:rsid w:val="00363CF7"/>
    <w:rsid w:val="00366FD4"/>
    <w:rsid w:val="00367BB4"/>
    <w:rsid w:val="00372F1A"/>
    <w:rsid w:val="00376E7A"/>
    <w:rsid w:val="0037732F"/>
    <w:rsid w:val="003808FE"/>
    <w:rsid w:val="00385825"/>
    <w:rsid w:val="003859B2"/>
    <w:rsid w:val="00385C99"/>
    <w:rsid w:val="0039169F"/>
    <w:rsid w:val="0039229E"/>
    <w:rsid w:val="00392605"/>
    <w:rsid w:val="0039317A"/>
    <w:rsid w:val="00395B8C"/>
    <w:rsid w:val="00396FD1"/>
    <w:rsid w:val="003A0D6B"/>
    <w:rsid w:val="003A2096"/>
    <w:rsid w:val="003A2731"/>
    <w:rsid w:val="003A52AA"/>
    <w:rsid w:val="003A678C"/>
    <w:rsid w:val="003A7B93"/>
    <w:rsid w:val="003B75EC"/>
    <w:rsid w:val="003C0672"/>
    <w:rsid w:val="003C2B29"/>
    <w:rsid w:val="003C2CF1"/>
    <w:rsid w:val="003C4BB4"/>
    <w:rsid w:val="003C4C41"/>
    <w:rsid w:val="003C6371"/>
    <w:rsid w:val="003C7985"/>
    <w:rsid w:val="003C7E49"/>
    <w:rsid w:val="003D335D"/>
    <w:rsid w:val="003D68F0"/>
    <w:rsid w:val="003D6D49"/>
    <w:rsid w:val="003D7DBC"/>
    <w:rsid w:val="003D7FAB"/>
    <w:rsid w:val="003E032D"/>
    <w:rsid w:val="003E0BA4"/>
    <w:rsid w:val="003E4668"/>
    <w:rsid w:val="003E4CF8"/>
    <w:rsid w:val="003E5910"/>
    <w:rsid w:val="003E6942"/>
    <w:rsid w:val="003E724A"/>
    <w:rsid w:val="003F049F"/>
    <w:rsid w:val="003F3DDC"/>
    <w:rsid w:val="003F4214"/>
    <w:rsid w:val="003F5679"/>
    <w:rsid w:val="003F6B5A"/>
    <w:rsid w:val="00401EEA"/>
    <w:rsid w:val="004038EE"/>
    <w:rsid w:val="00403BD4"/>
    <w:rsid w:val="00405585"/>
    <w:rsid w:val="0040613E"/>
    <w:rsid w:val="004073B7"/>
    <w:rsid w:val="004074FF"/>
    <w:rsid w:val="00407DD1"/>
    <w:rsid w:val="00411F28"/>
    <w:rsid w:val="00412D99"/>
    <w:rsid w:val="0041331A"/>
    <w:rsid w:val="00415952"/>
    <w:rsid w:val="0042044B"/>
    <w:rsid w:val="00420629"/>
    <w:rsid w:val="00420706"/>
    <w:rsid w:val="00423E8F"/>
    <w:rsid w:val="00424C92"/>
    <w:rsid w:val="00424FB0"/>
    <w:rsid w:val="004266EF"/>
    <w:rsid w:val="0042690D"/>
    <w:rsid w:val="00430608"/>
    <w:rsid w:val="0043131D"/>
    <w:rsid w:val="004317F3"/>
    <w:rsid w:val="00433E91"/>
    <w:rsid w:val="004346E9"/>
    <w:rsid w:val="004348DF"/>
    <w:rsid w:val="004349C3"/>
    <w:rsid w:val="00435D3F"/>
    <w:rsid w:val="00436052"/>
    <w:rsid w:val="00436E5B"/>
    <w:rsid w:val="00437CF5"/>
    <w:rsid w:val="00437F96"/>
    <w:rsid w:val="00441013"/>
    <w:rsid w:val="0044159B"/>
    <w:rsid w:val="004421CE"/>
    <w:rsid w:val="0044416E"/>
    <w:rsid w:val="0044469D"/>
    <w:rsid w:val="004449BA"/>
    <w:rsid w:val="00444CE9"/>
    <w:rsid w:val="00445DB2"/>
    <w:rsid w:val="00451D77"/>
    <w:rsid w:val="00452EE2"/>
    <w:rsid w:val="004552C2"/>
    <w:rsid w:val="00456B3A"/>
    <w:rsid w:val="004606FD"/>
    <w:rsid w:val="004618E6"/>
    <w:rsid w:val="0046552F"/>
    <w:rsid w:val="0046625D"/>
    <w:rsid w:val="00471A0F"/>
    <w:rsid w:val="004728DB"/>
    <w:rsid w:val="00472F67"/>
    <w:rsid w:val="0047382A"/>
    <w:rsid w:val="004814C5"/>
    <w:rsid w:val="004815C5"/>
    <w:rsid w:val="004822E9"/>
    <w:rsid w:val="004858CA"/>
    <w:rsid w:val="0048604A"/>
    <w:rsid w:val="00486E85"/>
    <w:rsid w:val="00491735"/>
    <w:rsid w:val="00491894"/>
    <w:rsid w:val="004926E8"/>
    <w:rsid w:val="00492CAE"/>
    <w:rsid w:val="00493F23"/>
    <w:rsid w:val="00495381"/>
    <w:rsid w:val="004A13E4"/>
    <w:rsid w:val="004A2E50"/>
    <w:rsid w:val="004A323E"/>
    <w:rsid w:val="004A6775"/>
    <w:rsid w:val="004A6EA5"/>
    <w:rsid w:val="004B2373"/>
    <w:rsid w:val="004B2B0A"/>
    <w:rsid w:val="004B3C22"/>
    <w:rsid w:val="004B5319"/>
    <w:rsid w:val="004B56A0"/>
    <w:rsid w:val="004C1F0C"/>
    <w:rsid w:val="004C2374"/>
    <w:rsid w:val="004C25C8"/>
    <w:rsid w:val="004C407B"/>
    <w:rsid w:val="004C5172"/>
    <w:rsid w:val="004C56FF"/>
    <w:rsid w:val="004D0B87"/>
    <w:rsid w:val="004D792D"/>
    <w:rsid w:val="004D7BCE"/>
    <w:rsid w:val="004E0135"/>
    <w:rsid w:val="004E09A3"/>
    <w:rsid w:val="004E164D"/>
    <w:rsid w:val="004E3946"/>
    <w:rsid w:val="004E3E23"/>
    <w:rsid w:val="004E497D"/>
    <w:rsid w:val="004E5AC3"/>
    <w:rsid w:val="004F28BD"/>
    <w:rsid w:val="004F2A8A"/>
    <w:rsid w:val="004F4650"/>
    <w:rsid w:val="004F54F4"/>
    <w:rsid w:val="004F582B"/>
    <w:rsid w:val="004F5A3B"/>
    <w:rsid w:val="0050377F"/>
    <w:rsid w:val="00503D79"/>
    <w:rsid w:val="00505205"/>
    <w:rsid w:val="00506FE9"/>
    <w:rsid w:val="00512238"/>
    <w:rsid w:val="00512B3E"/>
    <w:rsid w:val="00516131"/>
    <w:rsid w:val="00517FF3"/>
    <w:rsid w:val="005204C0"/>
    <w:rsid w:val="005215BD"/>
    <w:rsid w:val="00522B11"/>
    <w:rsid w:val="00524160"/>
    <w:rsid w:val="00524465"/>
    <w:rsid w:val="005270D5"/>
    <w:rsid w:val="005306FC"/>
    <w:rsid w:val="0053102B"/>
    <w:rsid w:val="00531595"/>
    <w:rsid w:val="00533BE0"/>
    <w:rsid w:val="00533EFB"/>
    <w:rsid w:val="005355D8"/>
    <w:rsid w:val="00536B31"/>
    <w:rsid w:val="0054115D"/>
    <w:rsid w:val="005423CC"/>
    <w:rsid w:val="00543542"/>
    <w:rsid w:val="00554D57"/>
    <w:rsid w:val="00555A6B"/>
    <w:rsid w:val="00556789"/>
    <w:rsid w:val="00560665"/>
    <w:rsid w:val="00560936"/>
    <w:rsid w:val="005616D7"/>
    <w:rsid w:val="005630C3"/>
    <w:rsid w:val="005645E6"/>
    <w:rsid w:val="00565EAA"/>
    <w:rsid w:val="005661FA"/>
    <w:rsid w:val="0056723D"/>
    <w:rsid w:val="0056785E"/>
    <w:rsid w:val="00570EBF"/>
    <w:rsid w:val="00571085"/>
    <w:rsid w:val="00571C3A"/>
    <w:rsid w:val="00571E1A"/>
    <w:rsid w:val="00573301"/>
    <w:rsid w:val="0057356D"/>
    <w:rsid w:val="00576A08"/>
    <w:rsid w:val="00577982"/>
    <w:rsid w:val="0058016A"/>
    <w:rsid w:val="00580510"/>
    <w:rsid w:val="00580685"/>
    <w:rsid w:val="00580D4C"/>
    <w:rsid w:val="0058141D"/>
    <w:rsid w:val="00581E58"/>
    <w:rsid w:val="0058371B"/>
    <w:rsid w:val="005852B6"/>
    <w:rsid w:val="005853B1"/>
    <w:rsid w:val="00585F68"/>
    <w:rsid w:val="00587283"/>
    <w:rsid w:val="00591D97"/>
    <w:rsid w:val="00592092"/>
    <w:rsid w:val="005928EC"/>
    <w:rsid w:val="00592D66"/>
    <w:rsid w:val="00593948"/>
    <w:rsid w:val="00593C7B"/>
    <w:rsid w:val="00594BFC"/>
    <w:rsid w:val="00595491"/>
    <w:rsid w:val="005959E2"/>
    <w:rsid w:val="00596182"/>
    <w:rsid w:val="005A0099"/>
    <w:rsid w:val="005A19A7"/>
    <w:rsid w:val="005A20C7"/>
    <w:rsid w:val="005A211D"/>
    <w:rsid w:val="005A26A4"/>
    <w:rsid w:val="005A2831"/>
    <w:rsid w:val="005A2B84"/>
    <w:rsid w:val="005A589E"/>
    <w:rsid w:val="005A6740"/>
    <w:rsid w:val="005A6AA7"/>
    <w:rsid w:val="005A72B6"/>
    <w:rsid w:val="005A763D"/>
    <w:rsid w:val="005B53E2"/>
    <w:rsid w:val="005B5EDC"/>
    <w:rsid w:val="005B6249"/>
    <w:rsid w:val="005B7E7B"/>
    <w:rsid w:val="005C015D"/>
    <w:rsid w:val="005C0E4C"/>
    <w:rsid w:val="005C2632"/>
    <w:rsid w:val="005C4E3D"/>
    <w:rsid w:val="005C5BFA"/>
    <w:rsid w:val="005C734F"/>
    <w:rsid w:val="005C7AE2"/>
    <w:rsid w:val="005C7DA0"/>
    <w:rsid w:val="005D06B3"/>
    <w:rsid w:val="005D0CF9"/>
    <w:rsid w:val="005D1FCD"/>
    <w:rsid w:val="005D40E5"/>
    <w:rsid w:val="005D69F3"/>
    <w:rsid w:val="005D6DF4"/>
    <w:rsid w:val="005D71F7"/>
    <w:rsid w:val="005E0EB7"/>
    <w:rsid w:val="005E121D"/>
    <w:rsid w:val="005E1832"/>
    <w:rsid w:val="005E351E"/>
    <w:rsid w:val="005E4CAA"/>
    <w:rsid w:val="005F152F"/>
    <w:rsid w:val="005F2457"/>
    <w:rsid w:val="005F2FFB"/>
    <w:rsid w:val="005F763C"/>
    <w:rsid w:val="005F7AFA"/>
    <w:rsid w:val="005F7BFF"/>
    <w:rsid w:val="00601EE0"/>
    <w:rsid w:val="00601FE6"/>
    <w:rsid w:val="00602B45"/>
    <w:rsid w:val="006066C1"/>
    <w:rsid w:val="006105A9"/>
    <w:rsid w:val="006135AA"/>
    <w:rsid w:val="00613F5F"/>
    <w:rsid w:val="00614700"/>
    <w:rsid w:val="00614D26"/>
    <w:rsid w:val="00614F1D"/>
    <w:rsid w:val="006165FA"/>
    <w:rsid w:val="00616879"/>
    <w:rsid w:val="00617A90"/>
    <w:rsid w:val="006200AA"/>
    <w:rsid w:val="00620F3B"/>
    <w:rsid w:val="00621A3C"/>
    <w:rsid w:val="0063064B"/>
    <w:rsid w:val="00630CD1"/>
    <w:rsid w:val="00631C75"/>
    <w:rsid w:val="00633947"/>
    <w:rsid w:val="00641E0A"/>
    <w:rsid w:val="00642C2A"/>
    <w:rsid w:val="006437E6"/>
    <w:rsid w:val="006440C7"/>
    <w:rsid w:val="00644EBE"/>
    <w:rsid w:val="00647034"/>
    <w:rsid w:val="00655896"/>
    <w:rsid w:val="006614C5"/>
    <w:rsid w:val="006615D8"/>
    <w:rsid w:val="00661C3D"/>
    <w:rsid w:val="00662227"/>
    <w:rsid w:val="00663A47"/>
    <w:rsid w:val="00665515"/>
    <w:rsid w:val="00670E6C"/>
    <w:rsid w:val="00672C2D"/>
    <w:rsid w:val="0067486C"/>
    <w:rsid w:val="00676DB8"/>
    <w:rsid w:val="00677AAA"/>
    <w:rsid w:val="00680947"/>
    <w:rsid w:val="00681B24"/>
    <w:rsid w:val="00681EAA"/>
    <w:rsid w:val="0068624D"/>
    <w:rsid w:val="00686AE1"/>
    <w:rsid w:val="00693108"/>
    <w:rsid w:val="0069508A"/>
    <w:rsid w:val="006959D3"/>
    <w:rsid w:val="0069610E"/>
    <w:rsid w:val="006A2787"/>
    <w:rsid w:val="006B45F3"/>
    <w:rsid w:val="006C07B4"/>
    <w:rsid w:val="006C0F93"/>
    <w:rsid w:val="006C213A"/>
    <w:rsid w:val="006C46E8"/>
    <w:rsid w:val="006C4CF4"/>
    <w:rsid w:val="006C6E2F"/>
    <w:rsid w:val="006C7994"/>
    <w:rsid w:val="006D161D"/>
    <w:rsid w:val="006D2718"/>
    <w:rsid w:val="006D47C9"/>
    <w:rsid w:val="006D6006"/>
    <w:rsid w:val="006D79A6"/>
    <w:rsid w:val="006D7EA9"/>
    <w:rsid w:val="006E3536"/>
    <w:rsid w:val="006E7559"/>
    <w:rsid w:val="006F22F8"/>
    <w:rsid w:val="006F4ACC"/>
    <w:rsid w:val="006F5D87"/>
    <w:rsid w:val="0070156D"/>
    <w:rsid w:val="0071352D"/>
    <w:rsid w:val="007166E5"/>
    <w:rsid w:val="00717D0E"/>
    <w:rsid w:val="00717D5C"/>
    <w:rsid w:val="007208F0"/>
    <w:rsid w:val="00720B07"/>
    <w:rsid w:val="00724AF7"/>
    <w:rsid w:val="00725AE1"/>
    <w:rsid w:val="0073017F"/>
    <w:rsid w:val="0073340C"/>
    <w:rsid w:val="00734475"/>
    <w:rsid w:val="00735089"/>
    <w:rsid w:val="00737252"/>
    <w:rsid w:val="007376D5"/>
    <w:rsid w:val="00740CEF"/>
    <w:rsid w:val="007412E1"/>
    <w:rsid w:val="0074607F"/>
    <w:rsid w:val="0075023E"/>
    <w:rsid w:val="007530C6"/>
    <w:rsid w:val="0075613F"/>
    <w:rsid w:val="00756CAE"/>
    <w:rsid w:val="00757168"/>
    <w:rsid w:val="00761150"/>
    <w:rsid w:val="007613C8"/>
    <w:rsid w:val="00762545"/>
    <w:rsid w:val="00765E04"/>
    <w:rsid w:val="00766A6C"/>
    <w:rsid w:val="00767841"/>
    <w:rsid w:val="0076785B"/>
    <w:rsid w:val="00767F6A"/>
    <w:rsid w:val="007715EC"/>
    <w:rsid w:val="007751E1"/>
    <w:rsid w:val="00777C57"/>
    <w:rsid w:val="0078161F"/>
    <w:rsid w:val="00781DD7"/>
    <w:rsid w:val="00782B25"/>
    <w:rsid w:val="00783E9E"/>
    <w:rsid w:val="0078593D"/>
    <w:rsid w:val="007864E2"/>
    <w:rsid w:val="00786A6B"/>
    <w:rsid w:val="007905ED"/>
    <w:rsid w:val="00790996"/>
    <w:rsid w:val="00792992"/>
    <w:rsid w:val="00794E45"/>
    <w:rsid w:val="00796D01"/>
    <w:rsid w:val="007A02B2"/>
    <w:rsid w:val="007A16AC"/>
    <w:rsid w:val="007A279A"/>
    <w:rsid w:val="007A3DCB"/>
    <w:rsid w:val="007A5275"/>
    <w:rsid w:val="007A648A"/>
    <w:rsid w:val="007A68F6"/>
    <w:rsid w:val="007B1C16"/>
    <w:rsid w:val="007B1CF0"/>
    <w:rsid w:val="007B2DCC"/>
    <w:rsid w:val="007B51D3"/>
    <w:rsid w:val="007C04FA"/>
    <w:rsid w:val="007C2676"/>
    <w:rsid w:val="007C4101"/>
    <w:rsid w:val="007C44DA"/>
    <w:rsid w:val="007C4C61"/>
    <w:rsid w:val="007C5ABA"/>
    <w:rsid w:val="007C6C35"/>
    <w:rsid w:val="007C70F6"/>
    <w:rsid w:val="007D09ED"/>
    <w:rsid w:val="007D0AE7"/>
    <w:rsid w:val="007D1159"/>
    <w:rsid w:val="007D1BF2"/>
    <w:rsid w:val="007D23C7"/>
    <w:rsid w:val="007D47B8"/>
    <w:rsid w:val="007D4A41"/>
    <w:rsid w:val="007D51C9"/>
    <w:rsid w:val="007D5E6B"/>
    <w:rsid w:val="007D61D4"/>
    <w:rsid w:val="007D7464"/>
    <w:rsid w:val="007D7F5B"/>
    <w:rsid w:val="007E1DC2"/>
    <w:rsid w:val="007E2D4D"/>
    <w:rsid w:val="007E4BC5"/>
    <w:rsid w:val="007E5AC8"/>
    <w:rsid w:val="007E773F"/>
    <w:rsid w:val="007F09B2"/>
    <w:rsid w:val="007F0E1F"/>
    <w:rsid w:val="007F4EDE"/>
    <w:rsid w:val="007F5724"/>
    <w:rsid w:val="00801494"/>
    <w:rsid w:val="0080159E"/>
    <w:rsid w:val="008017E2"/>
    <w:rsid w:val="00802562"/>
    <w:rsid w:val="00805A57"/>
    <w:rsid w:val="00810662"/>
    <w:rsid w:val="00812BC2"/>
    <w:rsid w:val="00813143"/>
    <w:rsid w:val="008162E0"/>
    <w:rsid w:val="008170F2"/>
    <w:rsid w:val="008176EE"/>
    <w:rsid w:val="00821B8E"/>
    <w:rsid w:val="008273C2"/>
    <w:rsid w:val="00833AF7"/>
    <w:rsid w:val="00835327"/>
    <w:rsid w:val="00842578"/>
    <w:rsid w:val="0084280F"/>
    <w:rsid w:val="00844334"/>
    <w:rsid w:val="008447EF"/>
    <w:rsid w:val="00846D98"/>
    <w:rsid w:val="008523F9"/>
    <w:rsid w:val="00854F36"/>
    <w:rsid w:val="0085619F"/>
    <w:rsid w:val="0086397F"/>
    <w:rsid w:val="00866DBD"/>
    <w:rsid w:val="0086754E"/>
    <w:rsid w:val="00872582"/>
    <w:rsid w:val="0087303E"/>
    <w:rsid w:val="00873DE3"/>
    <w:rsid w:val="00874B9E"/>
    <w:rsid w:val="008753A8"/>
    <w:rsid w:val="0088117C"/>
    <w:rsid w:val="00882F3B"/>
    <w:rsid w:val="008865A0"/>
    <w:rsid w:val="00886EF9"/>
    <w:rsid w:val="00890782"/>
    <w:rsid w:val="00890E62"/>
    <w:rsid w:val="0089110B"/>
    <w:rsid w:val="008920B3"/>
    <w:rsid w:val="0089331B"/>
    <w:rsid w:val="008934CA"/>
    <w:rsid w:val="008936A1"/>
    <w:rsid w:val="00896A4C"/>
    <w:rsid w:val="008A0262"/>
    <w:rsid w:val="008A111A"/>
    <w:rsid w:val="008A263C"/>
    <w:rsid w:val="008A265F"/>
    <w:rsid w:val="008A32FB"/>
    <w:rsid w:val="008A4FC1"/>
    <w:rsid w:val="008A50CF"/>
    <w:rsid w:val="008A5E59"/>
    <w:rsid w:val="008B12F4"/>
    <w:rsid w:val="008B1D64"/>
    <w:rsid w:val="008B3973"/>
    <w:rsid w:val="008B3C73"/>
    <w:rsid w:val="008B47CA"/>
    <w:rsid w:val="008B5C5B"/>
    <w:rsid w:val="008B5C5C"/>
    <w:rsid w:val="008B619E"/>
    <w:rsid w:val="008B62DD"/>
    <w:rsid w:val="008B680B"/>
    <w:rsid w:val="008C6280"/>
    <w:rsid w:val="008C6486"/>
    <w:rsid w:val="008C6614"/>
    <w:rsid w:val="008D1D99"/>
    <w:rsid w:val="008D2C51"/>
    <w:rsid w:val="008D2E98"/>
    <w:rsid w:val="008D5086"/>
    <w:rsid w:val="008D6E4B"/>
    <w:rsid w:val="008E0C92"/>
    <w:rsid w:val="008E4E87"/>
    <w:rsid w:val="008E6367"/>
    <w:rsid w:val="008E7359"/>
    <w:rsid w:val="008E7B84"/>
    <w:rsid w:val="008F2D3A"/>
    <w:rsid w:val="008F5503"/>
    <w:rsid w:val="008F6065"/>
    <w:rsid w:val="008F6FF0"/>
    <w:rsid w:val="008F7542"/>
    <w:rsid w:val="008F7853"/>
    <w:rsid w:val="008F7967"/>
    <w:rsid w:val="0090335F"/>
    <w:rsid w:val="00904A97"/>
    <w:rsid w:val="00905EE3"/>
    <w:rsid w:val="0091116F"/>
    <w:rsid w:val="0091150C"/>
    <w:rsid w:val="00913FA6"/>
    <w:rsid w:val="0091432D"/>
    <w:rsid w:val="009160C5"/>
    <w:rsid w:val="0091666F"/>
    <w:rsid w:val="00917038"/>
    <w:rsid w:val="009205A0"/>
    <w:rsid w:val="00920649"/>
    <w:rsid w:val="00920E06"/>
    <w:rsid w:val="00921102"/>
    <w:rsid w:val="009231F6"/>
    <w:rsid w:val="0092739E"/>
    <w:rsid w:val="009314B6"/>
    <w:rsid w:val="00933DEE"/>
    <w:rsid w:val="009345CF"/>
    <w:rsid w:val="009353B3"/>
    <w:rsid w:val="009357F6"/>
    <w:rsid w:val="00941138"/>
    <w:rsid w:val="00941EF5"/>
    <w:rsid w:val="00954CF8"/>
    <w:rsid w:val="00956B44"/>
    <w:rsid w:val="00956D59"/>
    <w:rsid w:val="00957AC8"/>
    <w:rsid w:val="00966264"/>
    <w:rsid w:val="00966E2B"/>
    <w:rsid w:val="009672D2"/>
    <w:rsid w:val="00971973"/>
    <w:rsid w:val="00971CEB"/>
    <w:rsid w:val="0097394A"/>
    <w:rsid w:val="00975C40"/>
    <w:rsid w:val="009762BF"/>
    <w:rsid w:val="0097694E"/>
    <w:rsid w:val="00980023"/>
    <w:rsid w:val="009811D0"/>
    <w:rsid w:val="00984819"/>
    <w:rsid w:val="00984F3C"/>
    <w:rsid w:val="009852ED"/>
    <w:rsid w:val="00985BE3"/>
    <w:rsid w:val="00987406"/>
    <w:rsid w:val="0098754D"/>
    <w:rsid w:val="00990018"/>
    <w:rsid w:val="00990262"/>
    <w:rsid w:val="00992B23"/>
    <w:rsid w:val="009959B5"/>
    <w:rsid w:val="009A05B7"/>
    <w:rsid w:val="009A113F"/>
    <w:rsid w:val="009A16B7"/>
    <w:rsid w:val="009A61E6"/>
    <w:rsid w:val="009A65DB"/>
    <w:rsid w:val="009A7A12"/>
    <w:rsid w:val="009B27B3"/>
    <w:rsid w:val="009B48DB"/>
    <w:rsid w:val="009B636A"/>
    <w:rsid w:val="009B6BFA"/>
    <w:rsid w:val="009B7867"/>
    <w:rsid w:val="009C0BD7"/>
    <w:rsid w:val="009C104E"/>
    <w:rsid w:val="009C361F"/>
    <w:rsid w:val="009C37E5"/>
    <w:rsid w:val="009C3F47"/>
    <w:rsid w:val="009C54BE"/>
    <w:rsid w:val="009C6475"/>
    <w:rsid w:val="009C6BC4"/>
    <w:rsid w:val="009C6E18"/>
    <w:rsid w:val="009C7DD9"/>
    <w:rsid w:val="009D0C8D"/>
    <w:rsid w:val="009D2289"/>
    <w:rsid w:val="009D618A"/>
    <w:rsid w:val="009E18B0"/>
    <w:rsid w:val="009E45D1"/>
    <w:rsid w:val="009E6C79"/>
    <w:rsid w:val="009E740B"/>
    <w:rsid w:val="009F05DD"/>
    <w:rsid w:val="009F0E7F"/>
    <w:rsid w:val="009F194D"/>
    <w:rsid w:val="009F1A58"/>
    <w:rsid w:val="009F1C20"/>
    <w:rsid w:val="009F47E3"/>
    <w:rsid w:val="009F4E8B"/>
    <w:rsid w:val="009F6C7C"/>
    <w:rsid w:val="009F6F3C"/>
    <w:rsid w:val="009F7BD4"/>
    <w:rsid w:val="00A011C3"/>
    <w:rsid w:val="00A02C1B"/>
    <w:rsid w:val="00A040ED"/>
    <w:rsid w:val="00A04D97"/>
    <w:rsid w:val="00A100CE"/>
    <w:rsid w:val="00A13813"/>
    <w:rsid w:val="00A1546D"/>
    <w:rsid w:val="00A15BB0"/>
    <w:rsid w:val="00A16C06"/>
    <w:rsid w:val="00A20C69"/>
    <w:rsid w:val="00A20C96"/>
    <w:rsid w:val="00A2101B"/>
    <w:rsid w:val="00A231C5"/>
    <w:rsid w:val="00A26C1B"/>
    <w:rsid w:val="00A3061D"/>
    <w:rsid w:val="00A30768"/>
    <w:rsid w:val="00A30A73"/>
    <w:rsid w:val="00A31A02"/>
    <w:rsid w:val="00A32A30"/>
    <w:rsid w:val="00A32F1E"/>
    <w:rsid w:val="00A34165"/>
    <w:rsid w:val="00A34605"/>
    <w:rsid w:val="00A353E5"/>
    <w:rsid w:val="00A41F2D"/>
    <w:rsid w:val="00A46FDA"/>
    <w:rsid w:val="00A51C23"/>
    <w:rsid w:val="00A541DE"/>
    <w:rsid w:val="00A54FFE"/>
    <w:rsid w:val="00A5770D"/>
    <w:rsid w:val="00A62BAB"/>
    <w:rsid w:val="00A63B10"/>
    <w:rsid w:val="00A65EED"/>
    <w:rsid w:val="00A66A17"/>
    <w:rsid w:val="00A67B2E"/>
    <w:rsid w:val="00A70677"/>
    <w:rsid w:val="00A7351C"/>
    <w:rsid w:val="00A73863"/>
    <w:rsid w:val="00A7508F"/>
    <w:rsid w:val="00A75A7F"/>
    <w:rsid w:val="00A80EF8"/>
    <w:rsid w:val="00A81143"/>
    <w:rsid w:val="00A83525"/>
    <w:rsid w:val="00A83E55"/>
    <w:rsid w:val="00A83EAB"/>
    <w:rsid w:val="00A83FA4"/>
    <w:rsid w:val="00A84780"/>
    <w:rsid w:val="00A91E1B"/>
    <w:rsid w:val="00A92B8D"/>
    <w:rsid w:val="00A9435D"/>
    <w:rsid w:val="00A94EC6"/>
    <w:rsid w:val="00A95F58"/>
    <w:rsid w:val="00A9654A"/>
    <w:rsid w:val="00A97030"/>
    <w:rsid w:val="00A973DB"/>
    <w:rsid w:val="00A977EE"/>
    <w:rsid w:val="00AA12A1"/>
    <w:rsid w:val="00AA31EA"/>
    <w:rsid w:val="00AA385A"/>
    <w:rsid w:val="00AA3D8F"/>
    <w:rsid w:val="00AA42F0"/>
    <w:rsid w:val="00AA5666"/>
    <w:rsid w:val="00AA69CE"/>
    <w:rsid w:val="00AA7479"/>
    <w:rsid w:val="00AB0E72"/>
    <w:rsid w:val="00AB0F11"/>
    <w:rsid w:val="00AB350B"/>
    <w:rsid w:val="00AB4D47"/>
    <w:rsid w:val="00AB4E67"/>
    <w:rsid w:val="00AB6E77"/>
    <w:rsid w:val="00AC057A"/>
    <w:rsid w:val="00AC5B68"/>
    <w:rsid w:val="00AC7BB5"/>
    <w:rsid w:val="00AD0595"/>
    <w:rsid w:val="00AD1779"/>
    <w:rsid w:val="00AD3F42"/>
    <w:rsid w:val="00AD7E5C"/>
    <w:rsid w:val="00AE02A3"/>
    <w:rsid w:val="00AE5E96"/>
    <w:rsid w:val="00AF03F8"/>
    <w:rsid w:val="00AF1CF7"/>
    <w:rsid w:val="00AF2F01"/>
    <w:rsid w:val="00AF3FF6"/>
    <w:rsid w:val="00AF4578"/>
    <w:rsid w:val="00AF4BD0"/>
    <w:rsid w:val="00AF5F31"/>
    <w:rsid w:val="00AF612F"/>
    <w:rsid w:val="00AF71AF"/>
    <w:rsid w:val="00B00F21"/>
    <w:rsid w:val="00B04114"/>
    <w:rsid w:val="00B04694"/>
    <w:rsid w:val="00B04AFE"/>
    <w:rsid w:val="00B05054"/>
    <w:rsid w:val="00B126CB"/>
    <w:rsid w:val="00B13EFA"/>
    <w:rsid w:val="00B15859"/>
    <w:rsid w:val="00B17A05"/>
    <w:rsid w:val="00B21F77"/>
    <w:rsid w:val="00B2349E"/>
    <w:rsid w:val="00B254D7"/>
    <w:rsid w:val="00B257A4"/>
    <w:rsid w:val="00B2588F"/>
    <w:rsid w:val="00B2640F"/>
    <w:rsid w:val="00B26CED"/>
    <w:rsid w:val="00B31D50"/>
    <w:rsid w:val="00B3303B"/>
    <w:rsid w:val="00B351C6"/>
    <w:rsid w:val="00B35BB7"/>
    <w:rsid w:val="00B36B0E"/>
    <w:rsid w:val="00B372D0"/>
    <w:rsid w:val="00B41577"/>
    <w:rsid w:val="00B41CCB"/>
    <w:rsid w:val="00B45DB1"/>
    <w:rsid w:val="00B4661B"/>
    <w:rsid w:val="00B479AF"/>
    <w:rsid w:val="00B5381F"/>
    <w:rsid w:val="00B54D24"/>
    <w:rsid w:val="00B56800"/>
    <w:rsid w:val="00B5706D"/>
    <w:rsid w:val="00B5722B"/>
    <w:rsid w:val="00B609BB"/>
    <w:rsid w:val="00B624B7"/>
    <w:rsid w:val="00B63B84"/>
    <w:rsid w:val="00B64146"/>
    <w:rsid w:val="00B6538D"/>
    <w:rsid w:val="00B65E9F"/>
    <w:rsid w:val="00B6647C"/>
    <w:rsid w:val="00B66C56"/>
    <w:rsid w:val="00B66FD2"/>
    <w:rsid w:val="00B673AF"/>
    <w:rsid w:val="00B70A59"/>
    <w:rsid w:val="00B71720"/>
    <w:rsid w:val="00B71D7D"/>
    <w:rsid w:val="00B72474"/>
    <w:rsid w:val="00B75A93"/>
    <w:rsid w:val="00B764F0"/>
    <w:rsid w:val="00B76AE4"/>
    <w:rsid w:val="00B77146"/>
    <w:rsid w:val="00B80474"/>
    <w:rsid w:val="00B8189A"/>
    <w:rsid w:val="00B82B50"/>
    <w:rsid w:val="00B83438"/>
    <w:rsid w:val="00B83CBE"/>
    <w:rsid w:val="00B843CC"/>
    <w:rsid w:val="00B869BE"/>
    <w:rsid w:val="00B86A6C"/>
    <w:rsid w:val="00B87A78"/>
    <w:rsid w:val="00B913F6"/>
    <w:rsid w:val="00B93A7D"/>
    <w:rsid w:val="00B94BDA"/>
    <w:rsid w:val="00B96304"/>
    <w:rsid w:val="00B96DB6"/>
    <w:rsid w:val="00B96E11"/>
    <w:rsid w:val="00BA07DA"/>
    <w:rsid w:val="00BA0805"/>
    <w:rsid w:val="00BA12A8"/>
    <w:rsid w:val="00BA495E"/>
    <w:rsid w:val="00BA56CE"/>
    <w:rsid w:val="00BB1CAD"/>
    <w:rsid w:val="00BB1EC6"/>
    <w:rsid w:val="00BB2C09"/>
    <w:rsid w:val="00BB480A"/>
    <w:rsid w:val="00BB4C04"/>
    <w:rsid w:val="00BB6E07"/>
    <w:rsid w:val="00BB74E5"/>
    <w:rsid w:val="00BC0448"/>
    <w:rsid w:val="00BC173B"/>
    <w:rsid w:val="00BC224B"/>
    <w:rsid w:val="00BC3774"/>
    <w:rsid w:val="00BC75FE"/>
    <w:rsid w:val="00BD0D8C"/>
    <w:rsid w:val="00BD111D"/>
    <w:rsid w:val="00BD4CE4"/>
    <w:rsid w:val="00BE09C5"/>
    <w:rsid w:val="00BE2C4F"/>
    <w:rsid w:val="00BE68C4"/>
    <w:rsid w:val="00BE71A1"/>
    <w:rsid w:val="00BF05F4"/>
    <w:rsid w:val="00BF0C67"/>
    <w:rsid w:val="00BF21E3"/>
    <w:rsid w:val="00BF5873"/>
    <w:rsid w:val="00C01ACA"/>
    <w:rsid w:val="00C01CE8"/>
    <w:rsid w:val="00C03247"/>
    <w:rsid w:val="00C04D21"/>
    <w:rsid w:val="00C06BDA"/>
    <w:rsid w:val="00C101BD"/>
    <w:rsid w:val="00C11DD9"/>
    <w:rsid w:val="00C12F62"/>
    <w:rsid w:val="00C174ED"/>
    <w:rsid w:val="00C17C8D"/>
    <w:rsid w:val="00C2087E"/>
    <w:rsid w:val="00C2097E"/>
    <w:rsid w:val="00C21076"/>
    <w:rsid w:val="00C2334E"/>
    <w:rsid w:val="00C243FE"/>
    <w:rsid w:val="00C24D07"/>
    <w:rsid w:val="00C254CE"/>
    <w:rsid w:val="00C261E1"/>
    <w:rsid w:val="00C27C91"/>
    <w:rsid w:val="00C30014"/>
    <w:rsid w:val="00C301F3"/>
    <w:rsid w:val="00C326A8"/>
    <w:rsid w:val="00C3411F"/>
    <w:rsid w:val="00C342EA"/>
    <w:rsid w:val="00C35206"/>
    <w:rsid w:val="00C3684E"/>
    <w:rsid w:val="00C369C7"/>
    <w:rsid w:val="00C450FD"/>
    <w:rsid w:val="00C4520A"/>
    <w:rsid w:val="00C46559"/>
    <w:rsid w:val="00C47996"/>
    <w:rsid w:val="00C50B1A"/>
    <w:rsid w:val="00C50D9C"/>
    <w:rsid w:val="00C614CA"/>
    <w:rsid w:val="00C61FD0"/>
    <w:rsid w:val="00C631BE"/>
    <w:rsid w:val="00C66C33"/>
    <w:rsid w:val="00C72025"/>
    <w:rsid w:val="00C73E49"/>
    <w:rsid w:val="00C74191"/>
    <w:rsid w:val="00C76921"/>
    <w:rsid w:val="00C77D5C"/>
    <w:rsid w:val="00C80791"/>
    <w:rsid w:val="00C81622"/>
    <w:rsid w:val="00C82F37"/>
    <w:rsid w:val="00C83299"/>
    <w:rsid w:val="00C83836"/>
    <w:rsid w:val="00C83AE8"/>
    <w:rsid w:val="00C8460C"/>
    <w:rsid w:val="00C8797E"/>
    <w:rsid w:val="00C909A7"/>
    <w:rsid w:val="00C90E14"/>
    <w:rsid w:val="00C929C0"/>
    <w:rsid w:val="00C93629"/>
    <w:rsid w:val="00C93726"/>
    <w:rsid w:val="00C96787"/>
    <w:rsid w:val="00C96AE8"/>
    <w:rsid w:val="00C978FF"/>
    <w:rsid w:val="00CA0AF7"/>
    <w:rsid w:val="00CA1684"/>
    <w:rsid w:val="00CA5D24"/>
    <w:rsid w:val="00CA624A"/>
    <w:rsid w:val="00CB1A43"/>
    <w:rsid w:val="00CB2545"/>
    <w:rsid w:val="00CB2E0A"/>
    <w:rsid w:val="00CB4341"/>
    <w:rsid w:val="00CB59FC"/>
    <w:rsid w:val="00CB79D7"/>
    <w:rsid w:val="00CC721D"/>
    <w:rsid w:val="00CC7ADE"/>
    <w:rsid w:val="00CD2CAF"/>
    <w:rsid w:val="00CD60D9"/>
    <w:rsid w:val="00CE2A0D"/>
    <w:rsid w:val="00CE4E51"/>
    <w:rsid w:val="00CE5156"/>
    <w:rsid w:val="00CE634A"/>
    <w:rsid w:val="00CE7C92"/>
    <w:rsid w:val="00CF05C3"/>
    <w:rsid w:val="00CF4D58"/>
    <w:rsid w:val="00CF4EBF"/>
    <w:rsid w:val="00D02675"/>
    <w:rsid w:val="00D05603"/>
    <w:rsid w:val="00D0724A"/>
    <w:rsid w:val="00D11DF3"/>
    <w:rsid w:val="00D11E40"/>
    <w:rsid w:val="00D17541"/>
    <w:rsid w:val="00D202C7"/>
    <w:rsid w:val="00D236DD"/>
    <w:rsid w:val="00D25366"/>
    <w:rsid w:val="00D25E95"/>
    <w:rsid w:val="00D260BC"/>
    <w:rsid w:val="00D26C27"/>
    <w:rsid w:val="00D27AB5"/>
    <w:rsid w:val="00D307A8"/>
    <w:rsid w:val="00D322F2"/>
    <w:rsid w:val="00D3248D"/>
    <w:rsid w:val="00D32753"/>
    <w:rsid w:val="00D35FAD"/>
    <w:rsid w:val="00D36B57"/>
    <w:rsid w:val="00D37F78"/>
    <w:rsid w:val="00D41BB9"/>
    <w:rsid w:val="00D41FB1"/>
    <w:rsid w:val="00D4596C"/>
    <w:rsid w:val="00D463FB"/>
    <w:rsid w:val="00D46474"/>
    <w:rsid w:val="00D50880"/>
    <w:rsid w:val="00D50CA6"/>
    <w:rsid w:val="00D55037"/>
    <w:rsid w:val="00D551E3"/>
    <w:rsid w:val="00D5520C"/>
    <w:rsid w:val="00D55640"/>
    <w:rsid w:val="00D5617D"/>
    <w:rsid w:val="00D5756D"/>
    <w:rsid w:val="00D628FE"/>
    <w:rsid w:val="00D63A3B"/>
    <w:rsid w:val="00D64342"/>
    <w:rsid w:val="00D6515A"/>
    <w:rsid w:val="00D675EB"/>
    <w:rsid w:val="00D705CA"/>
    <w:rsid w:val="00D709E9"/>
    <w:rsid w:val="00D71ADF"/>
    <w:rsid w:val="00D749C4"/>
    <w:rsid w:val="00D754EF"/>
    <w:rsid w:val="00D76C4B"/>
    <w:rsid w:val="00D77AB1"/>
    <w:rsid w:val="00D826B0"/>
    <w:rsid w:val="00D830AB"/>
    <w:rsid w:val="00D846FC"/>
    <w:rsid w:val="00D8523C"/>
    <w:rsid w:val="00D856E8"/>
    <w:rsid w:val="00D861F0"/>
    <w:rsid w:val="00D87DC7"/>
    <w:rsid w:val="00D911B9"/>
    <w:rsid w:val="00D91B6F"/>
    <w:rsid w:val="00D927D7"/>
    <w:rsid w:val="00D92CB1"/>
    <w:rsid w:val="00D93B18"/>
    <w:rsid w:val="00DA0555"/>
    <w:rsid w:val="00DA5E2B"/>
    <w:rsid w:val="00DB034D"/>
    <w:rsid w:val="00DB081A"/>
    <w:rsid w:val="00DB1B04"/>
    <w:rsid w:val="00DB1B4A"/>
    <w:rsid w:val="00DB37D4"/>
    <w:rsid w:val="00DB6AE0"/>
    <w:rsid w:val="00DB707E"/>
    <w:rsid w:val="00DC1932"/>
    <w:rsid w:val="00DC2A65"/>
    <w:rsid w:val="00DC5286"/>
    <w:rsid w:val="00DC59CA"/>
    <w:rsid w:val="00DD13D9"/>
    <w:rsid w:val="00DD222A"/>
    <w:rsid w:val="00DD2EB8"/>
    <w:rsid w:val="00DD3B81"/>
    <w:rsid w:val="00DD5955"/>
    <w:rsid w:val="00DD66B1"/>
    <w:rsid w:val="00DD7DA0"/>
    <w:rsid w:val="00DE20D0"/>
    <w:rsid w:val="00DE4387"/>
    <w:rsid w:val="00DE4F2A"/>
    <w:rsid w:val="00DE50ED"/>
    <w:rsid w:val="00DE5A6C"/>
    <w:rsid w:val="00DE7DAE"/>
    <w:rsid w:val="00DF27A6"/>
    <w:rsid w:val="00DF4F04"/>
    <w:rsid w:val="00DF6B4C"/>
    <w:rsid w:val="00DF7186"/>
    <w:rsid w:val="00E0238C"/>
    <w:rsid w:val="00E02A43"/>
    <w:rsid w:val="00E05F9F"/>
    <w:rsid w:val="00E1169A"/>
    <w:rsid w:val="00E21A9F"/>
    <w:rsid w:val="00E221BD"/>
    <w:rsid w:val="00E23FC7"/>
    <w:rsid w:val="00E252D9"/>
    <w:rsid w:val="00E26B47"/>
    <w:rsid w:val="00E27540"/>
    <w:rsid w:val="00E33117"/>
    <w:rsid w:val="00E3486E"/>
    <w:rsid w:val="00E36E2E"/>
    <w:rsid w:val="00E373F5"/>
    <w:rsid w:val="00E4590E"/>
    <w:rsid w:val="00E477FC"/>
    <w:rsid w:val="00E47ABC"/>
    <w:rsid w:val="00E5007B"/>
    <w:rsid w:val="00E52517"/>
    <w:rsid w:val="00E54847"/>
    <w:rsid w:val="00E60812"/>
    <w:rsid w:val="00E60C26"/>
    <w:rsid w:val="00E6388E"/>
    <w:rsid w:val="00E70BEE"/>
    <w:rsid w:val="00E70E73"/>
    <w:rsid w:val="00E7505E"/>
    <w:rsid w:val="00E75D62"/>
    <w:rsid w:val="00E770E7"/>
    <w:rsid w:val="00E8750D"/>
    <w:rsid w:val="00E87C37"/>
    <w:rsid w:val="00E90438"/>
    <w:rsid w:val="00E92482"/>
    <w:rsid w:val="00E92860"/>
    <w:rsid w:val="00E94868"/>
    <w:rsid w:val="00E969A7"/>
    <w:rsid w:val="00E97C07"/>
    <w:rsid w:val="00EA1808"/>
    <w:rsid w:val="00EA2F89"/>
    <w:rsid w:val="00EB028E"/>
    <w:rsid w:val="00EB0EA6"/>
    <w:rsid w:val="00EB21FC"/>
    <w:rsid w:val="00EB366C"/>
    <w:rsid w:val="00EB380B"/>
    <w:rsid w:val="00EB4F65"/>
    <w:rsid w:val="00EB5483"/>
    <w:rsid w:val="00EB5EB1"/>
    <w:rsid w:val="00EB6144"/>
    <w:rsid w:val="00EC0629"/>
    <w:rsid w:val="00EC1E61"/>
    <w:rsid w:val="00EC23D1"/>
    <w:rsid w:val="00EC2B7B"/>
    <w:rsid w:val="00EC4AAF"/>
    <w:rsid w:val="00EC738D"/>
    <w:rsid w:val="00ED0670"/>
    <w:rsid w:val="00ED6E9D"/>
    <w:rsid w:val="00EE0914"/>
    <w:rsid w:val="00EE0A32"/>
    <w:rsid w:val="00EE2626"/>
    <w:rsid w:val="00EE2D37"/>
    <w:rsid w:val="00EF4EF3"/>
    <w:rsid w:val="00EF6611"/>
    <w:rsid w:val="00EF6CF8"/>
    <w:rsid w:val="00F011D5"/>
    <w:rsid w:val="00F057A3"/>
    <w:rsid w:val="00F059E3"/>
    <w:rsid w:val="00F07072"/>
    <w:rsid w:val="00F13600"/>
    <w:rsid w:val="00F13F50"/>
    <w:rsid w:val="00F14187"/>
    <w:rsid w:val="00F14899"/>
    <w:rsid w:val="00F160C8"/>
    <w:rsid w:val="00F16982"/>
    <w:rsid w:val="00F17BCA"/>
    <w:rsid w:val="00F23477"/>
    <w:rsid w:val="00F31092"/>
    <w:rsid w:val="00F31176"/>
    <w:rsid w:val="00F32491"/>
    <w:rsid w:val="00F326C0"/>
    <w:rsid w:val="00F330A3"/>
    <w:rsid w:val="00F341DD"/>
    <w:rsid w:val="00F3456D"/>
    <w:rsid w:val="00F348A1"/>
    <w:rsid w:val="00F367F0"/>
    <w:rsid w:val="00F36A6F"/>
    <w:rsid w:val="00F36EEC"/>
    <w:rsid w:val="00F4162A"/>
    <w:rsid w:val="00F41954"/>
    <w:rsid w:val="00F4297A"/>
    <w:rsid w:val="00F444C2"/>
    <w:rsid w:val="00F44C40"/>
    <w:rsid w:val="00F47532"/>
    <w:rsid w:val="00F47E6D"/>
    <w:rsid w:val="00F514CA"/>
    <w:rsid w:val="00F517AE"/>
    <w:rsid w:val="00F56B59"/>
    <w:rsid w:val="00F577BE"/>
    <w:rsid w:val="00F57849"/>
    <w:rsid w:val="00F61491"/>
    <w:rsid w:val="00F61CA3"/>
    <w:rsid w:val="00F62EB0"/>
    <w:rsid w:val="00F6352E"/>
    <w:rsid w:val="00F665BB"/>
    <w:rsid w:val="00F703B0"/>
    <w:rsid w:val="00F70F8B"/>
    <w:rsid w:val="00F72EDC"/>
    <w:rsid w:val="00F7502D"/>
    <w:rsid w:val="00F7598A"/>
    <w:rsid w:val="00F76404"/>
    <w:rsid w:val="00F82794"/>
    <w:rsid w:val="00F83417"/>
    <w:rsid w:val="00F849A8"/>
    <w:rsid w:val="00F85615"/>
    <w:rsid w:val="00F858B4"/>
    <w:rsid w:val="00F86627"/>
    <w:rsid w:val="00F86821"/>
    <w:rsid w:val="00F91457"/>
    <w:rsid w:val="00F922C4"/>
    <w:rsid w:val="00F95F53"/>
    <w:rsid w:val="00FA107A"/>
    <w:rsid w:val="00FA31DE"/>
    <w:rsid w:val="00FA555A"/>
    <w:rsid w:val="00FA75DD"/>
    <w:rsid w:val="00FB048E"/>
    <w:rsid w:val="00FB05F2"/>
    <w:rsid w:val="00FB0C63"/>
    <w:rsid w:val="00FB17EB"/>
    <w:rsid w:val="00FB36B7"/>
    <w:rsid w:val="00FB7707"/>
    <w:rsid w:val="00FC0027"/>
    <w:rsid w:val="00FC6DC2"/>
    <w:rsid w:val="00FD1AF7"/>
    <w:rsid w:val="00FD4E77"/>
    <w:rsid w:val="00FD543D"/>
    <w:rsid w:val="00FD565F"/>
    <w:rsid w:val="00FD6CE1"/>
    <w:rsid w:val="00FD7987"/>
    <w:rsid w:val="00FE1159"/>
    <w:rsid w:val="00FE2195"/>
    <w:rsid w:val="00FE3466"/>
    <w:rsid w:val="00FE4052"/>
    <w:rsid w:val="00FE49BC"/>
    <w:rsid w:val="00FF2A49"/>
    <w:rsid w:val="00FF37B2"/>
    <w:rsid w:val="00FF4777"/>
    <w:rsid w:val="00FF495C"/>
    <w:rsid w:val="00FF605E"/>
    <w:rsid w:val="00FF7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38"/>
    <w:pPr>
      <w:widowControl w:val="0"/>
      <w:jc w:val="both"/>
    </w:pPr>
  </w:style>
  <w:style w:type="paragraph" w:styleId="3">
    <w:name w:val="heading 3"/>
    <w:basedOn w:val="a"/>
    <w:next w:val="a"/>
    <w:link w:val="3Char"/>
    <w:uiPriority w:val="99"/>
    <w:qFormat/>
    <w:rsid w:val="00FE3466"/>
    <w:pPr>
      <w:keepNext/>
      <w:widowControl/>
      <w:spacing w:before="240" w:after="60" w:line="276" w:lineRule="auto"/>
      <w:jc w:val="left"/>
      <w:outlineLvl w:val="2"/>
    </w:pPr>
    <w:rPr>
      <w:rFonts w:ascii="Cambria" w:hAnsi="Cambria"/>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E3466"/>
    <w:rPr>
      <w:rFonts w:ascii="Cambria" w:hAnsi="Cambria" w:cs="Times New Roman"/>
      <w:b/>
      <w:bCs/>
      <w:kern w:val="0"/>
      <w:sz w:val="26"/>
      <w:szCs w:val="26"/>
    </w:rPr>
  </w:style>
  <w:style w:type="paragraph" w:styleId="30">
    <w:name w:val="Body Text 3"/>
    <w:basedOn w:val="a"/>
    <w:link w:val="3Char0"/>
    <w:uiPriority w:val="99"/>
    <w:rsid w:val="00512238"/>
    <w:pPr>
      <w:spacing w:after="120"/>
    </w:pPr>
    <w:rPr>
      <w:rFonts w:ascii="Times New Roman" w:hAnsi="Times New Roman"/>
      <w:sz w:val="16"/>
      <w:szCs w:val="16"/>
    </w:rPr>
  </w:style>
  <w:style w:type="character" w:customStyle="1" w:styleId="3Char0">
    <w:name w:val="正文文本 3 Char"/>
    <w:basedOn w:val="a0"/>
    <w:link w:val="30"/>
    <w:uiPriority w:val="99"/>
    <w:locked/>
    <w:rsid w:val="00512238"/>
    <w:rPr>
      <w:rFonts w:ascii="Times New Roman" w:eastAsia="宋体" w:hAnsi="Times New Roman" w:cs="Times New Roman"/>
      <w:sz w:val="16"/>
      <w:szCs w:val="16"/>
    </w:rPr>
  </w:style>
  <w:style w:type="character" w:styleId="a3">
    <w:name w:val="Hyperlink"/>
    <w:basedOn w:val="a0"/>
    <w:uiPriority w:val="99"/>
    <w:rsid w:val="00512238"/>
    <w:rPr>
      <w:rFonts w:cs="Times New Roman"/>
      <w:color w:val="0000FF"/>
      <w:u w:val="single"/>
    </w:rPr>
  </w:style>
  <w:style w:type="paragraph" w:styleId="a4">
    <w:name w:val="header"/>
    <w:basedOn w:val="a"/>
    <w:link w:val="Char"/>
    <w:uiPriority w:val="99"/>
    <w:rsid w:val="00512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12238"/>
    <w:rPr>
      <w:rFonts w:cs="Times New Roman"/>
      <w:sz w:val="18"/>
      <w:szCs w:val="18"/>
    </w:rPr>
  </w:style>
  <w:style w:type="paragraph" w:styleId="a5">
    <w:name w:val="footer"/>
    <w:basedOn w:val="a"/>
    <w:link w:val="Char0"/>
    <w:uiPriority w:val="99"/>
    <w:rsid w:val="0051223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12238"/>
    <w:rPr>
      <w:rFonts w:cs="Times New Roman"/>
      <w:sz w:val="18"/>
      <w:szCs w:val="18"/>
    </w:rPr>
  </w:style>
  <w:style w:type="character" w:styleId="a6">
    <w:name w:val="annotation reference"/>
    <w:basedOn w:val="a0"/>
    <w:uiPriority w:val="99"/>
    <w:semiHidden/>
    <w:rsid w:val="00512238"/>
    <w:rPr>
      <w:rFonts w:cs="Times New Roman"/>
      <w:sz w:val="21"/>
      <w:szCs w:val="21"/>
    </w:rPr>
  </w:style>
  <w:style w:type="paragraph" w:styleId="a7">
    <w:name w:val="annotation text"/>
    <w:basedOn w:val="a"/>
    <w:link w:val="Char1"/>
    <w:uiPriority w:val="99"/>
    <w:rsid w:val="00512238"/>
    <w:pPr>
      <w:jc w:val="left"/>
    </w:pPr>
  </w:style>
  <w:style w:type="character" w:customStyle="1" w:styleId="Char1">
    <w:name w:val="批注文字 Char"/>
    <w:basedOn w:val="a0"/>
    <w:link w:val="a7"/>
    <w:uiPriority w:val="99"/>
    <w:locked/>
    <w:rsid w:val="00512238"/>
    <w:rPr>
      <w:rFonts w:cs="Times New Roman"/>
    </w:rPr>
  </w:style>
  <w:style w:type="paragraph" w:styleId="a8">
    <w:name w:val="annotation subject"/>
    <w:basedOn w:val="a7"/>
    <w:next w:val="a7"/>
    <w:link w:val="Char2"/>
    <w:uiPriority w:val="99"/>
    <w:semiHidden/>
    <w:rsid w:val="00512238"/>
    <w:rPr>
      <w:b/>
      <w:bCs/>
    </w:rPr>
  </w:style>
  <w:style w:type="character" w:customStyle="1" w:styleId="Char2">
    <w:name w:val="批注主题 Char"/>
    <w:basedOn w:val="Char1"/>
    <w:link w:val="a8"/>
    <w:uiPriority w:val="99"/>
    <w:semiHidden/>
    <w:locked/>
    <w:rsid w:val="00512238"/>
    <w:rPr>
      <w:rFonts w:cs="Times New Roman"/>
      <w:b/>
      <w:bCs/>
    </w:rPr>
  </w:style>
  <w:style w:type="paragraph" w:styleId="a9">
    <w:name w:val="Balloon Text"/>
    <w:basedOn w:val="a"/>
    <w:link w:val="Char3"/>
    <w:uiPriority w:val="99"/>
    <w:semiHidden/>
    <w:rsid w:val="00512238"/>
    <w:rPr>
      <w:sz w:val="18"/>
      <w:szCs w:val="18"/>
    </w:rPr>
  </w:style>
  <w:style w:type="character" w:customStyle="1" w:styleId="Char3">
    <w:name w:val="批注框文本 Char"/>
    <w:basedOn w:val="a0"/>
    <w:link w:val="a9"/>
    <w:uiPriority w:val="99"/>
    <w:semiHidden/>
    <w:locked/>
    <w:rsid w:val="00512238"/>
    <w:rPr>
      <w:rFonts w:cs="Times New Roman"/>
      <w:sz w:val="18"/>
      <w:szCs w:val="18"/>
    </w:rPr>
  </w:style>
  <w:style w:type="character" w:styleId="aa">
    <w:name w:val="FollowedHyperlink"/>
    <w:basedOn w:val="a0"/>
    <w:uiPriority w:val="99"/>
    <w:semiHidden/>
    <w:rsid w:val="009B27B3"/>
    <w:rPr>
      <w:rFonts w:cs="Times New Roman"/>
      <w:color w:val="800080"/>
      <w:u w:val="single"/>
    </w:rPr>
  </w:style>
  <w:style w:type="character" w:customStyle="1" w:styleId="apple-converted-space">
    <w:name w:val="apple-converted-space"/>
    <w:basedOn w:val="a0"/>
    <w:uiPriority w:val="99"/>
    <w:rsid w:val="00D25E95"/>
    <w:rPr>
      <w:rFonts w:cs="Times New Roman"/>
    </w:rPr>
  </w:style>
  <w:style w:type="paragraph" w:styleId="ab">
    <w:name w:val="Normal (Web)"/>
    <w:basedOn w:val="a"/>
    <w:uiPriority w:val="99"/>
    <w:rsid w:val="00FE3466"/>
    <w:pPr>
      <w:widowControl/>
      <w:spacing w:before="100" w:beforeAutospacing="1" w:after="100" w:afterAutospacing="1"/>
      <w:jc w:val="left"/>
    </w:pPr>
    <w:rPr>
      <w:rFonts w:ascii="Times New Roman" w:hAnsi="Times New Roman"/>
      <w:kern w:val="0"/>
      <w:sz w:val="24"/>
      <w:szCs w:val="24"/>
      <w:lang w:eastAsia="en-US"/>
    </w:rPr>
  </w:style>
  <w:style w:type="table" w:styleId="ac">
    <w:name w:val="Table Grid"/>
    <w:basedOn w:val="a1"/>
    <w:uiPriority w:val="99"/>
    <w:rsid w:val="00A738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uiPriority w:val="99"/>
    <w:rsid w:val="00E87C37"/>
    <w:rPr>
      <w:rFonts w:cs="Times New Roman"/>
    </w:rPr>
  </w:style>
  <w:style w:type="paragraph" w:styleId="ad">
    <w:name w:val="Revision"/>
    <w:hidden/>
    <w:uiPriority w:val="99"/>
    <w:semiHidden/>
    <w:rsid w:val="00C80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38"/>
    <w:pPr>
      <w:widowControl w:val="0"/>
      <w:jc w:val="both"/>
    </w:pPr>
  </w:style>
  <w:style w:type="paragraph" w:styleId="3">
    <w:name w:val="heading 3"/>
    <w:basedOn w:val="a"/>
    <w:next w:val="a"/>
    <w:link w:val="3Char"/>
    <w:uiPriority w:val="99"/>
    <w:qFormat/>
    <w:rsid w:val="00FE3466"/>
    <w:pPr>
      <w:keepNext/>
      <w:widowControl/>
      <w:spacing w:before="240" w:after="60" w:line="276" w:lineRule="auto"/>
      <w:jc w:val="left"/>
      <w:outlineLvl w:val="2"/>
    </w:pPr>
    <w:rPr>
      <w:rFonts w:ascii="Cambria" w:hAnsi="Cambria"/>
      <w:b/>
      <w:bCs/>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E3466"/>
    <w:rPr>
      <w:rFonts w:ascii="Cambria" w:hAnsi="Cambria" w:cs="Times New Roman"/>
      <w:b/>
      <w:bCs/>
      <w:kern w:val="0"/>
      <w:sz w:val="26"/>
      <w:szCs w:val="26"/>
    </w:rPr>
  </w:style>
  <w:style w:type="paragraph" w:styleId="30">
    <w:name w:val="Body Text 3"/>
    <w:basedOn w:val="a"/>
    <w:link w:val="3Char0"/>
    <w:uiPriority w:val="99"/>
    <w:rsid w:val="00512238"/>
    <w:pPr>
      <w:spacing w:after="120"/>
    </w:pPr>
    <w:rPr>
      <w:rFonts w:ascii="Times New Roman" w:hAnsi="Times New Roman"/>
      <w:sz w:val="16"/>
      <w:szCs w:val="16"/>
    </w:rPr>
  </w:style>
  <w:style w:type="character" w:customStyle="1" w:styleId="3Char0">
    <w:name w:val="正文文本 3 Char"/>
    <w:basedOn w:val="a0"/>
    <w:link w:val="30"/>
    <w:uiPriority w:val="99"/>
    <w:locked/>
    <w:rsid w:val="00512238"/>
    <w:rPr>
      <w:rFonts w:ascii="Times New Roman" w:eastAsia="宋体" w:hAnsi="Times New Roman" w:cs="Times New Roman"/>
      <w:sz w:val="16"/>
      <w:szCs w:val="16"/>
    </w:rPr>
  </w:style>
  <w:style w:type="character" w:styleId="a3">
    <w:name w:val="Hyperlink"/>
    <w:basedOn w:val="a0"/>
    <w:uiPriority w:val="99"/>
    <w:rsid w:val="00512238"/>
    <w:rPr>
      <w:rFonts w:cs="Times New Roman"/>
      <w:color w:val="0000FF"/>
      <w:u w:val="single"/>
    </w:rPr>
  </w:style>
  <w:style w:type="paragraph" w:styleId="a4">
    <w:name w:val="header"/>
    <w:basedOn w:val="a"/>
    <w:link w:val="Char"/>
    <w:uiPriority w:val="99"/>
    <w:rsid w:val="005122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512238"/>
    <w:rPr>
      <w:rFonts w:cs="Times New Roman"/>
      <w:sz w:val="18"/>
      <w:szCs w:val="18"/>
    </w:rPr>
  </w:style>
  <w:style w:type="paragraph" w:styleId="a5">
    <w:name w:val="footer"/>
    <w:basedOn w:val="a"/>
    <w:link w:val="Char0"/>
    <w:uiPriority w:val="99"/>
    <w:rsid w:val="00512238"/>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512238"/>
    <w:rPr>
      <w:rFonts w:cs="Times New Roman"/>
      <w:sz w:val="18"/>
      <w:szCs w:val="18"/>
    </w:rPr>
  </w:style>
  <w:style w:type="character" w:styleId="a6">
    <w:name w:val="annotation reference"/>
    <w:basedOn w:val="a0"/>
    <w:uiPriority w:val="99"/>
    <w:semiHidden/>
    <w:rsid w:val="00512238"/>
    <w:rPr>
      <w:rFonts w:cs="Times New Roman"/>
      <w:sz w:val="21"/>
      <w:szCs w:val="21"/>
    </w:rPr>
  </w:style>
  <w:style w:type="paragraph" w:styleId="a7">
    <w:name w:val="annotation text"/>
    <w:basedOn w:val="a"/>
    <w:link w:val="Char1"/>
    <w:uiPriority w:val="99"/>
    <w:rsid w:val="00512238"/>
    <w:pPr>
      <w:jc w:val="left"/>
    </w:pPr>
  </w:style>
  <w:style w:type="character" w:customStyle="1" w:styleId="Char1">
    <w:name w:val="批注文字 Char"/>
    <w:basedOn w:val="a0"/>
    <w:link w:val="a7"/>
    <w:uiPriority w:val="99"/>
    <w:locked/>
    <w:rsid w:val="00512238"/>
    <w:rPr>
      <w:rFonts w:cs="Times New Roman"/>
    </w:rPr>
  </w:style>
  <w:style w:type="paragraph" w:styleId="a8">
    <w:name w:val="annotation subject"/>
    <w:basedOn w:val="a7"/>
    <w:next w:val="a7"/>
    <w:link w:val="Char2"/>
    <w:uiPriority w:val="99"/>
    <w:semiHidden/>
    <w:rsid w:val="00512238"/>
    <w:rPr>
      <w:b/>
      <w:bCs/>
    </w:rPr>
  </w:style>
  <w:style w:type="character" w:customStyle="1" w:styleId="Char2">
    <w:name w:val="批注主题 Char"/>
    <w:basedOn w:val="Char1"/>
    <w:link w:val="a8"/>
    <w:uiPriority w:val="99"/>
    <w:semiHidden/>
    <w:locked/>
    <w:rsid w:val="00512238"/>
    <w:rPr>
      <w:rFonts w:cs="Times New Roman"/>
      <w:b/>
      <w:bCs/>
    </w:rPr>
  </w:style>
  <w:style w:type="paragraph" w:styleId="a9">
    <w:name w:val="Balloon Text"/>
    <w:basedOn w:val="a"/>
    <w:link w:val="Char3"/>
    <w:uiPriority w:val="99"/>
    <w:semiHidden/>
    <w:rsid w:val="00512238"/>
    <w:rPr>
      <w:sz w:val="18"/>
      <w:szCs w:val="18"/>
    </w:rPr>
  </w:style>
  <w:style w:type="character" w:customStyle="1" w:styleId="Char3">
    <w:name w:val="批注框文本 Char"/>
    <w:basedOn w:val="a0"/>
    <w:link w:val="a9"/>
    <w:uiPriority w:val="99"/>
    <w:semiHidden/>
    <w:locked/>
    <w:rsid w:val="00512238"/>
    <w:rPr>
      <w:rFonts w:cs="Times New Roman"/>
      <w:sz w:val="18"/>
      <w:szCs w:val="18"/>
    </w:rPr>
  </w:style>
  <w:style w:type="character" w:styleId="aa">
    <w:name w:val="FollowedHyperlink"/>
    <w:basedOn w:val="a0"/>
    <w:uiPriority w:val="99"/>
    <w:semiHidden/>
    <w:rsid w:val="009B27B3"/>
    <w:rPr>
      <w:rFonts w:cs="Times New Roman"/>
      <w:color w:val="800080"/>
      <w:u w:val="single"/>
    </w:rPr>
  </w:style>
  <w:style w:type="character" w:customStyle="1" w:styleId="apple-converted-space">
    <w:name w:val="apple-converted-space"/>
    <w:basedOn w:val="a0"/>
    <w:uiPriority w:val="99"/>
    <w:rsid w:val="00D25E95"/>
    <w:rPr>
      <w:rFonts w:cs="Times New Roman"/>
    </w:rPr>
  </w:style>
  <w:style w:type="paragraph" w:styleId="ab">
    <w:name w:val="Normal (Web)"/>
    <w:basedOn w:val="a"/>
    <w:uiPriority w:val="99"/>
    <w:rsid w:val="00FE3466"/>
    <w:pPr>
      <w:widowControl/>
      <w:spacing w:before="100" w:beforeAutospacing="1" w:after="100" w:afterAutospacing="1"/>
      <w:jc w:val="left"/>
    </w:pPr>
    <w:rPr>
      <w:rFonts w:ascii="Times New Roman" w:hAnsi="Times New Roman"/>
      <w:kern w:val="0"/>
      <w:sz w:val="24"/>
      <w:szCs w:val="24"/>
      <w:lang w:eastAsia="en-US"/>
    </w:rPr>
  </w:style>
  <w:style w:type="table" w:styleId="ac">
    <w:name w:val="Table Grid"/>
    <w:basedOn w:val="a1"/>
    <w:uiPriority w:val="99"/>
    <w:rsid w:val="00A73863"/>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uiPriority w:val="99"/>
    <w:rsid w:val="00E87C37"/>
    <w:rPr>
      <w:rFonts w:cs="Times New Roman"/>
    </w:rPr>
  </w:style>
  <w:style w:type="paragraph" w:styleId="ad">
    <w:name w:val="Revision"/>
    <w:hidden/>
    <w:uiPriority w:val="99"/>
    <w:semiHidden/>
    <w:rsid w:val="00C80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287930">
      <w:marLeft w:val="0"/>
      <w:marRight w:val="0"/>
      <w:marTop w:val="0"/>
      <w:marBottom w:val="0"/>
      <w:divBdr>
        <w:top w:val="none" w:sz="0" w:space="0" w:color="auto"/>
        <w:left w:val="none" w:sz="0" w:space="0" w:color="auto"/>
        <w:bottom w:val="none" w:sz="0" w:space="0" w:color="auto"/>
        <w:right w:val="none" w:sz="0" w:space="0" w:color="auto"/>
      </w:divBdr>
      <w:divsChild>
        <w:div w:id="2047287968">
          <w:marLeft w:val="0"/>
          <w:marRight w:val="0"/>
          <w:marTop w:val="0"/>
          <w:marBottom w:val="0"/>
          <w:divBdr>
            <w:top w:val="none" w:sz="0" w:space="0" w:color="auto"/>
            <w:left w:val="none" w:sz="0" w:space="0" w:color="auto"/>
            <w:bottom w:val="none" w:sz="0" w:space="0" w:color="auto"/>
            <w:right w:val="none" w:sz="0" w:space="0" w:color="auto"/>
          </w:divBdr>
          <w:divsChild>
            <w:div w:id="2047287910">
              <w:marLeft w:val="0"/>
              <w:marRight w:val="0"/>
              <w:marTop w:val="0"/>
              <w:marBottom w:val="0"/>
              <w:divBdr>
                <w:top w:val="none" w:sz="0" w:space="0" w:color="auto"/>
                <w:left w:val="none" w:sz="0" w:space="0" w:color="auto"/>
                <w:bottom w:val="none" w:sz="0" w:space="0" w:color="auto"/>
                <w:right w:val="none" w:sz="0" w:space="0" w:color="auto"/>
              </w:divBdr>
            </w:div>
            <w:div w:id="2047287912">
              <w:marLeft w:val="0"/>
              <w:marRight w:val="0"/>
              <w:marTop w:val="0"/>
              <w:marBottom w:val="0"/>
              <w:divBdr>
                <w:top w:val="none" w:sz="0" w:space="0" w:color="auto"/>
                <w:left w:val="none" w:sz="0" w:space="0" w:color="auto"/>
                <w:bottom w:val="none" w:sz="0" w:space="0" w:color="auto"/>
                <w:right w:val="none" w:sz="0" w:space="0" w:color="auto"/>
              </w:divBdr>
            </w:div>
            <w:div w:id="2047287913">
              <w:marLeft w:val="0"/>
              <w:marRight w:val="0"/>
              <w:marTop w:val="0"/>
              <w:marBottom w:val="0"/>
              <w:divBdr>
                <w:top w:val="none" w:sz="0" w:space="0" w:color="auto"/>
                <w:left w:val="none" w:sz="0" w:space="0" w:color="auto"/>
                <w:bottom w:val="none" w:sz="0" w:space="0" w:color="auto"/>
                <w:right w:val="none" w:sz="0" w:space="0" w:color="auto"/>
              </w:divBdr>
            </w:div>
            <w:div w:id="2047287916">
              <w:marLeft w:val="0"/>
              <w:marRight w:val="0"/>
              <w:marTop w:val="0"/>
              <w:marBottom w:val="0"/>
              <w:divBdr>
                <w:top w:val="none" w:sz="0" w:space="0" w:color="auto"/>
                <w:left w:val="none" w:sz="0" w:space="0" w:color="auto"/>
                <w:bottom w:val="none" w:sz="0" w:space="0" w:color="auto"/>
                <w:right w:val="none" w:sz="0" w:space="0" w:color="auto"/>
              </w:divBdr>
            </w:div>
            <w:div w:id="2047287918">
              <w:marLeft w:val="0"/>
              <w:marRight w:val="0"/>
              <w:marTop w:val="0"/>
              <w:marBottom w:val="0"/>
              <w:divBdr>
                <w:top w:val="none" w:sz="0" w:space="0" w:color="auto"/>
                <w:left w:val="none" w:sz="0" w:space="0" w:color="auto"/>
                <w:bottom w:val="none" w:sz="0" w:space="0" w:color="auto"/>
                <w:right w:val="none" w:sz="0" w:space="0" w:color="auto"/>
              </w:divBdr>
            </w:div>
            <w:div w:id="2047287922">
              <w:marLeft w:val="0"/>
              <w:marRight w:val="0"/>
              <w:marTop w:val="0"/>
              <w:marBottom w:val="0"/>
              <w:divBdr>
                <w:top w:val="none" w:sz="0" w:space="0" w:color="auto"/>
                <w:left w:val="none" w:sz="0" w:space="0" w:color="auto"/>
                <w:bottom w:val="none" w:sz="0" w:space="0" w:color="auto"/>
                <w:right w:val="none" w:sz="0" w:space="0" w:color="auto"/>
              </w:divBdr>
            </w:div>
            <w:div w:id="2047287923">
              <w:marLeft w:val="0"/>
              <w:marRight w:val="0"/>
              <w:marTop w:val="0"/>
              <w:marBottom w:val="0"/>
              <w:divBdr>
                <w:top w:val="none" w:sz="0" w:space="0" w:color="auto"/>
                <w:left w:val="none" w:sz="0" w:space="0" w:color="auto"/>
                <w:bottom w:val="none" w:sz="0" w:space="0" w:color="auto"/>
                <w:right w:val="none" w:sz="0" w:space="0" w:color="auto"/>
              </w:divBdr>
            </w:div>
            <w:div w:id="2047287924">
              <w:marLeft w:val="0"/>
              <w:marRight w:val="0"/>
              <w:marTop w:val="0"/>
              <w:marBottom w:val="0"/>
              <w:divBdr>
                <w:top w:val="none" w:sz="0" w:space="0" w:color="auto"/>
                <w:left w:val="none" w:sz="0" w:space="0" w:color="auto"/>
                <w:bottom w:val="none" w:sz="0" w:space="0" w:color="auto"/>
                <w:right w:val="none" w:sz="0" w:space="0" w:color="auto"/>
              </w:divBdr>
            </w:div>
            <w:div w:id="2047287925">
              <w:marLeft w:val="0"/>
              <w:marRight w:val="0"/>
              <w:marTop w:val="0"/>
              <w:marBottom w:val="0"/>
              <w:divBdr>
                <w:top w:val="none" w:sz="0" w:space="0" w:color="auto"/>
                <w:left w:val="none" w:sz="0" w:space="0" w:color="auto"/>
                <w:bottom w:val="none" w:sz="0" w:space="0" w:color="auto"/>
                <w:right w:val="none" w:sz="0" w:space="0" w:color="auto"/>
              </w:divBdr>
            </w:div>
            <w:div w:id="2047287926">
              <w:marLeft w:val="0"/>
              <w:marRight w:val="0"/>
              <w:marTop w:val="0"/>
              <w:marBottom w:val="0"/>
              <w:divBdr>
                <w:top w:val="none" w:sz="0" w:space="0" w:color="auto"/>
                <w:left w:val="none" w:sz="0" w:space="0" w:color="auto"/>
                <w:bottom w:val="none" w:sz="0" w:space="0" w:color="auto"/>
                <w:right w:val="none" w:sz="0" w:space="0" w:color="auto"/>
              </w:divBdr>
            </w:div>
            <w:div w:id="2047287927">
              <w:marLeft w:val="0"/>
              <w:marRight w:val="0"/>
              <w:marTop w:val="0"/>
              <w:marBottom w:val="0"/>
              <w:divBdr>
                <w:top w:val="none" w:sz="0" w:space="0" w:color="auto"/>
                <w:left w:val="none" w:sz="0" w:space="0" w:color="auto"/>
                <w:bottom w:val="none" w:sz="0" w:space="0" w:color="auto"/>
                <w:right w:val="none" w:sz="0" w:space="0" w:color="auto"/>
              </w:divBdr>
            </w:div>
            <w:div w:id="2047287928">
              <w:marLeft w:val="0"/>
              <w:marRight w:val="0"/>
              <w:marTop w:val="0"/>
              <w:marBottom w:val="0"/>
              <w:divBdr>
                <w:top w:val="none" w:sz="0" w:space="0" w:color="auto"/>
                <w:left w:val="none" w:sz="0" w:space="0" w:color="auto"/>
                <w:bottom w:val="none" w:sz="0" w:space="0" w:color="auto"/>
                <w:right w:val="none" w:sz="0" w:space="0" w:color="auto"/>
              </w:divBdr>
            </w:div>
            <w:div w:id="2047287935">
              <w:marLeft w:val="0"/>
              <w:marRight w:val="0"/>
              <w:marTop w:val="0"/>
              <w:marBottom w:val="0"/>
              <w:divBdr>
                <w:top w:val="none" w:sz="0" w:space="0" w:color="auto"/>
                <w:left w:val="none" w:sz="0" w:space="0" w:color="auto"/>
                <w:bottom w:val="none" w:sz="0" w:space="0" w:color="auto"/>
                <w:right w:val="none" w:sz="0" w:space="0" w:color="auto"/>
              </w:divBdr>
            </w:div>
            <w:div w:id="2047287939">
              <w:marLeft w:val="0"/>
              <w:marRight w:val="0"/>
              <w:marTop w:val="0"/>
              <w:marBottom w:val="0"/>
              <w:divBdr>
                <w:top w:val="none" w:sz="0" w:space="0" w:color="auto"/>
                <w:left w:val="none" w:sz="0" w:space="0" w:color="auto"/>
                <w:bottom w:val="none" w:sz="0" w:space="0" w:color="auto"/>
                <w:right w:val="none" w:sz="0" w:space="0" w:color="auto"/>
              </w:divBdr>
            </w:div>
            <w:div w:id="2047287941">
              <w:marLeft w:val="0"/>
              <w:marRight w:val="0"/>
              <w:marTop w:val="0"/>
              <w:marBottom w:val="0"/>
              <w:divBdr>
                <w:top w:val="none" w:sz="0" w:space="0" w:color="auto"/>
                <w:left w:val="none" w:sz="0" w:space="0" w:color="auto"/>
                <w:bottom w:val="none" w:sz="0" w:space="0" w:color="auto"/>
                <w:right w:val="none" w:sz="0" w:space="0" w:color="auto"/>
              </w:divBdr>
            </w:div>
            <w:div w:id="2047287942">
              <w:marLeft w:val="0"/>
              <w:marRight w:val="0"/>
              <w:marTop w:val="0"/>
              <w:marBottom w:val="0"/>
              <w:divBdr>
                <w:top w:val="none" w:sz="0" w:space="0" w:color="auto"/>
                <w:left w:val="none" w:sz="0" w:space="0" w:color="auto"/>
                <w:bottom w:val="none" w:sz="0" w:space="0" w:color="auto"/>
                <w:right w:val="none" w:sz="0" w:space="0" w:color="auto"/>
              </w:divBdr>
            </w:div>
            <w:div w:id="2047287944">
              <w:marLeft w:val="0"/>
              <w:marRight w:val="0"/>
              <w:marTop w:val="0"/>
              <w:marBottom w:val="0"/>
              <w:divBdr>
                <w:top w:val="none" w:sz="0" w:space="0" w:color="auto"/>
                <w:left w:val="none" w:sz="0" w:space="0" w:color="auto"/>
                <w:bottom w:val="none" w:sz="0" w:space="0" w:color="auto"/>
                <w:right w:val="none" w:sz="0" w:space="0" w:color="auto"/>
              </w:divBdr>
            </w:div>
            <w:div w:id="2047287945">
              <w:marLeft w:val="0"/>
              <w:marRight w:val="0"/>
              <w:marTop w:val="0"/>
              <w:marBottom w:val="0"/>
              <w:divBdr>
                <w:top w:val="none" w:sz="0" w:space="0" w:color="auto"/>
                <w:left w:val="none" w:sz="0" w:space="0" w:color="auto"/>
                <w:bottom w:val="none" w:sz="0" w:space="0" w:color="auto"/>
                <w:right w:val="none" w:sz="0" w:space="0" w:color="auto"/>
              </w:divBdr>
            </w:div>
            <w:div w:id="2047287947">
              <w:marLeft w:val="0"/>
              <w:marRight w:val="0"/>
              <w:marTop w:val="0"/>
              <w:marBottom w:val="0"/>
              <w:divBdr>
                <w:top w:val="none" w:sz="0" w:space="0" w:color="auto"/>
                <w:left w:val="none" w:sz="0" w:space="0" w:color="auto"/>
                <w:bottom w:val="none" w:sz="0" w:space="0" w:color="auto"/>
                <w:right w:val="none" w:sz="0" w:space="0" w:color="auto"/>
              </w:divBdr>
            </w:div>
            <w:div w:id="2047287955">
              <w:marLeft w:val="0"/>
              <w:marRight w:val="0"/>
              <w:marTop w:val="0"/>
              <w:marBottom w:val="0"/>
              <w:divBdr>
                <w:top w:val="none" w:sz="0" w:space="0" w:color="auto"/>
                <w:left w:val="none" w:sz="0" w:space="0" w:color="auto"/>
                <w:bottom w:val="none" w:sz="0" w:space="0" w:color="auto"/>
                <w:right w:val="none" w:sz="0" w:space="0" w:color="auto"/>
              </w:divBdr>
            </w:div>
            <w:div w:id="2047287956">
              <w:marLeft w:val="0"/>
              <w:marRight w:val="0"/>
              <w:marTop w:val="0"/>
              <w:marBottom w:val="0"/>
              <w:divBdr>
                <w:top w:val="none" w:sz="0" w:space="0" w:color="auto"/>
                <w:left w:val="none" w:sz="0" w:space="0" w:color="auto"/>
                <w:bottom w:val="none" w:sz="0" w:space="0" w:color="auto"/>
                <w:right w:val="none" w:sz="0" w:space="0" w:color="auto"/>
              </w:divBdr>
            </w:div>
            <w:div w:id="2047287959">
              <w:marLeft w:val="0"/>
              <w:marRight w:val="0"/>
              <w:marTop w:val="0"/>
              <w:marBottom w:val="0"/>
              <w:divBdr>
                <w:top w:val="none" w:sz="0" w:space="0" w:color="auto"/>
                <w:left w:val="none" w:sz="0" w:space="0" w:color="auto"/>
                <w:bottom w:val="none" w:sz="0" w:space="0" w:color="auto"/>
                <w:right w:val="none" w:sz="0" w:space="0" w:color="auto"/>
              </w:divBdr>
            </w:div>
            <w:div w:id="2047287961">
              <w:marLeft w:val="0"/>
              <w:marRight w:val="0"/>
              <w:marTop w:val="0"/>
              <w:marBottom w:val="0"/>
              <w:divBdr>
                <w:top w:val="none" w:sz="0" w:space="0" w:color="auto"/>
                <w:left w:val="none" w:sz="0" w:space="0" w:color="auto"/>
                <w:bottom w:val="none" w:sz="0" w:space="0" w:color="auto"/>
                <w:right w:val="none" w:sz="0" w:space="0" w:color="auto"/>
              </w:divBdr>
            </w:div>
            <w:div w:id="2047287963">
              <w:marLeft w:val="0"/>
              <w:marRight w:val="0"/>
              <w:marTop w:val="0"/>
              <w:marBottom w:val="0"/>
              <w:divBdr>
                <w:top w:val="none" w:sz="0" w:space="0" w:color="auto"/>
                <w:left w:val="none" w:sz="0" w:space="0" w:color="auto"/>
                <w:bottom w:val="none" w:sz="0" w:space="0" w:color="auto"/>
                <w:right w:val="none" w:sz="0" w:space="0" w:color="auto"/>
              </w:divBdr>
            </w:div>
            <w:div w:id="2047287965">
              <w:marLeft w:val="0"/>
              <w:marRight w:val="0"/>
              <w:marTop w:val="0"/>
              <w:marBottom w:val="0"/>
              <w:divBdr>
                <w:top w:val="none" w:sz="0" w:space="0" w:color="auto"/>
                <w:left w:val="none" w:sz="0" w:space="0" w:color="auto"/>
                <w:bottom w:val="none" w:sz="0" w:space="0" w:color="auto"/>
                <w:right w:val="none" w:sz="0" w:space="0" w:color="auto"/>
              </w:divBdr>
            </w:div>
            <w:div w:id="2047287966">
              <w:marLeft w:val="0"/>
              <w:marRight w:val="0"/>
              <w:marTop w:val="0"/>
              <w:marBottom w:val="0"/>
              <w:divBdr>
                <w:top w:val="none" w:sz="0" w:space="0" w:color="auto"/>
                <w:left w:val="none" w:sz="0" w:space="0" w:color="auto"/>
                <w:bottom w:val="none" w:sz="0" w:space="0" w:color="auto"/>
                <w:right w:val="none" w:sz="0" w:space="0" w:color="auto"/>
              </w:divBdr>
            </w:div>
            <w:div w:id="2047287967">
              <w:marLeft w:val="0"/>
              <w:marRight w:val="0"/>
              <w:marTop w:val="0"/>
              <w:marBottom w:val="0"/>
              <w:divBdr>
                <w:top w:val="none" w:sz="0" w:space="0" w:color="auto"/>
                <w:left w:val="none" w:sz="0" w:space="0" w:color="auto"/>
                <w:bottom w:val="none" w:sz="0" w:space="0" w:color="auto"/>
                <w:right w:val="none" w:sz="0" w:space="0" w:color="auto"/>
              </w:divBdr>
            </w:div>
            <w:div w:id="2047287971">
              <w:marLeft w:val="0"/>
              <w:marRight w:val="0"/>
              <w:marTop w:val="0"/>
              <w:marBottom w:val="0"/>
              <w:divBdr>
                <w:top w:val="none" w:sz="0" w:space="0" w:color="auto"/>
                <w:left w:val="none" w:sz="0" w:space="0" w:color="auto"/>
                <w:bottom w:val="none" w:sz="0" w:space="0" w:color="auto"/>
                <w:right w:val="none" w:sz="0" w:space="0" w:color="auto"/>
              </w:divBdr>
            </w:div>
            <w:div w:id="2047287972">
              <w:marLeft w:val="0"/>
              <w:marRight w:val="0"/>
              <w:marTop w:val="0"/>
              <w:marBottom w:val="0"/>
              <w:divBdr>
                <w:top w:val="none" w:sz="0" w:space="0" w:color="auto"/>
                <w:left w:val="none" w:sz="0" w:space="0" w:color="auto"/>
                <w:bottom w:val="none" w:sz="0" w:space="0" w:color="auto"/>
                <w:right w:val="none" w:sz="0" w:space="0" w:color="auto"/>
              </w:divBdr>
            </w:div>
            <w:div w:id="2047287973">
              <w:marLeft w:val="0"/>
              <w:marRight w:val="0"/>
              <w:marTop w:val="0"/>
              <w:marBottom w:val="0"/>
              <w:divBdr>
                <w:top w:val="none" w:sz="0" w:space="0" w:color="auto"/>
                <w:left w:val="none" w:sz="0" w:space="0" w:color="auto"/>
                <w:bottom w:val="none" w:sz="0" w:space="0" w:color="auto"/>
                <w:right w:val="none" w:sz="0" w:space="0" w:color="auto"/>
              </w:divBdr>
            </w:div>
            <w:div w:id="2047287975">
              <w:marLeft w:val="0"/>
              <w:marRight w:val="0"/>
              <w:marTop w:val="0"/>
              <w:marBottom w:val="0"/>
              <w:divBdr>
                <w:top w:val="none" w:sz="0" w:space="0" w:color="auto"/>
                <w:left w:val="none" w:sz="0" w:space="0" w:color="auto"/>
                <w:bottom w:val="none" w:sz="0" w:space="0" w:color="auto"/>
                <w:right w:val="none" w:sz="0" w:space="0" w:color="auto"/>
              </w:divBdr>
            </w:div>
            <w:div w:id="2047287980">
              <w:marLeft w:val="0"/>
              <w:marRight w:val="0"/>
              <w:marTop w:val="0"/>
              <w:marBottom w:val="0"/>
              <w:divBdr>
                <w:top w:val="none" w:sz="0" w:space="0" w:color="auto"/>
                <w:left w:val="none" w:sz="0" w:space="0" w:color="auto"/>
                <w:bottom w:val="none" w:sz="0" w:space="0" w:color="auto"/>
                <w:right w:val="none" w:sz="0" w:space="0" w:color="auto"/>
              </w:divBdr>
            </w:div>
            <w:div w:id="2047287981">
              <w:marLeft w:val="0"/>
              <w:marRight w:val="0"/>
              <w:marTop w:val="0"/>
              <w:marBottom w:val="0"/>
              <w:divBdr>
                <w:top w:val="none" w:sz="0" w:space="0" w:color="auto"/>
                <w:left w:val="none" w:sz="0" w:space="0" w:color="auto"/>
                <w:bottom w:val="none" w:sz="0" w:space="0" w:color="auto"/>
                <w:right w:val="none" w:sz="0" w:space="0" w:color="auto"/>
              </w:divBdr>
            </w:div>
            <w:div w:id="2047287982">
              <w:marLeft w:val="0"/>
              <w:marRight w:val="0"/>
              <w:marTop w:val="0"/>
              <w:marBottom w:val="0"/>
              <w:divBdr>
                <w:top w:val="none" w:sz="0" w:space="0" w:color="auto"/>
                <w:left w:val="none" w:sz="0" w:space="0" w:color="auto"/>
                <w:bottom w:val="none" w:sz="0" w:space="0" w:color="auto"/>
                <w:right w:val="none" w:sz="0" w:space="0" w:color="auto"/>
              </w:divBdr>
            </w:div>
            <w:div w:id="2047287985">
              <w:marLeft w:val="0"/>
              <w:marRight w:val="0"/>
              <w:marTop w:val="0"/>
              <w:marBottom w:val="0"/>
              <w:divBdr>
                <w:top w:val="none" w:sz="0" w:space="0" w:color="auto"/>
                <w:left w:val="none" w:sz="0" w:space="0" w:color="auto"/>
                <w:bottom w:val="none" w:sz="0" w:space="0" w:color="auto"/>
                <w:right w:val="none" w:sz="0" w:space="0" w:color="auto"/>
              </w:divBdr>
            </w:div>
            <w:div w:id="2047287986">
              <w:marLeft w:val="0"/>
              <w:marRight w:val="0"/>
              <w:marTop w:val="0"/>
              <w:marBottom w:val="0"/>
              <w:divBdr>
                <w:top w:val="none" w:sz="0" w:space="0" w:color="auto"/>
                <w:left w:val="none" w:sz="0" w:space="0" w:color="auto"/>
                <w:bottom w:val="none" w:sz="0" w:space="0" w:color="auto"/>
                <w:right w:val="none" w:sz="0" w:space="0" w:color="auto"/>
              </w:divBdr>
            </w:div>
            <w:div w:id="2047287989">
              <w:marLeft w:val="0"/>
              <w:marRight w:val="0"/>
              <w:marTop w:val="0"/>
              <w:marBottom w:val="0"/>
              <w:divBdr>
                <w:top w:val="none" w:sz="0" w:space="0" w:color="auto"/>
                <w:left w:val="none" w:sz="0" w:space="0" w:color="auto"/>
                <w:bottom w:val="none" w:sz="0" w:space="0" w:color="auto"/>
                <w:right w:val="none" w:sz="0" w:space="0" w:color="auto"/>
              </w:divBdr>
            </w:div>
            <w:div w:id="2047287990">
              <w:marLeft w:val="0"/>
              <w:marRight w:val="0"/>
              <w:marTop w:val="0"/>
              <w:marBottom w:val="0"/>
              <w:divBdr>
                <w:top w:val="none" w:sz="0" w:space="0" w:color="auto"/>
                <w:left w:val="none" w:sz="0" w:space="0" w:color="auto"/>
                <w:bottom w:val="none" w:sz="0" w:space="0" w:color="auto"/>
                <w:right w:val="none" w:sz="0" w:space="0" w:color="auto"/>
              </w:divBdr>
            </w:div>
            <w:div w:id="2047287992">
              <w:marLeft w:val="0"/>
              <w:marRight w:val="0"/>
              <w:marTop w:val="0"/>
              <w:marBottom w:val="0"/>
              <w:divBdr>
                <w:top w:val="none" w:sz="0" w:space="0" w:color="auto"/>
                <w:left w:val="none" w:sz="0" w:space="0" w:color="auto"/>
                <w:bottom w:val="none" w:sz="0" w:space="0" w:color="auto"/>
                <w:right w:val="none" w:sz="0" w:space="0" w:color="auto"/>
              </w:divBdr>
            </w:div>
            <w:div w:id="2047287995">
              <w:marLeft w:val="0"/>
              <w:marRight w:val="0"/>
              <w:marTop w:val="0"/>
              <w:marBottom w:val="0"/>
              <w:divBdr>
                <w:top w:val="none" w:sz="0" w:space="0" w:color="auto"/>
                <w:left w:val="none" w:sz="0" w:space="0" w:color="auto"/>
                <w:bottom w:val="none" w:sz="0" w:space="0" w:color="auto"/>
                <w:right w:val="none" w:sz="0" w:space="0" w:color="auto"/>
              </w:divBdr>
            </w:div>
            <w:div w:id="2047287998">
              <w:marLeft w:val="0"/>
              <w:marRight w:val="0"/>
              <w:marTop w:val="0"/>
              <w:marBottom w:val="0"/>
              <w:divBdr>
                <w:top w:val="none" w:sz="0" w:space="0" w:color="auto"/>
                <w:left w:val="none" w:sz="0" w:space="0" w:color="auto"/>
                <w:bottom w:val="none" w:sz="0" w:space="0" w:color="auto"/>
                <w:right w:val="none" w:sz="0" w:space="0" w:color="auto"/>
              </w:divBdr>
            </w:div>
            <w:div w:id="2047287999">
              <w:marLeft w:val="0"/>
              <w:marRight w:val="0"/>
              <w:marTop w:val="0"/>
              <w:marBottom w:val="0"/>
              <w:divBdr>
                <w:top w:val="none" w:sz="0" w:space="0" w:color="auto"/>
                <w:left w:val="none" w:sz="0" w:space="0" w:color="auto"/>
                <w:bottom w:val="none" w:sz="0" w:space="0" w:color="auto"/>
                <w:right w:val="none" w:sz="0" w:space="0" w:color="auto"/>
              </w:divBdr>
            </w:div>
            <w:div w:id="20472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7934">
      <w:marLeft w:val="0"/>
      <w:marRight w:val="0"/>
      <w:marTop w:val="0"/>
      <w:marBottom w:val="0"/>
      <w:divBdr>
        <w:top w:val="none" w:sz="0" w:space="0" w:color="auto"/>
        <w:left w:val="none" w:sz="0" w:space="0" w:color="auto"/>
        <w:bottom w:val="none" w:sz="0" w:space="0" w:color="auto"/>
        <w:right w:val="none" w:sz="0" w:space="0" w:color="auto"/>
      </w:divBdr>
      <w:divsChild>
        <w:div w:id="2047287996">
          <w:marLeft w:val="0"/>
          <w:marRight w:val="0"/>
          <w:marTop w:val="0"/>
          <w:marBottom w:val="0"/>
          <w:divBdr>
            <w:top w:val="none" w:sz="0" w:space="0" w:color="auto"/>
            <w:left w:val="none" w:sz="0" w:space="0" w:color="auto"/>
            <w:bottom w:val="none" w:sz="0" w:space="0" w:color="auto"/>
            <w:right w:val="none" w:sz="0" w:space="0" w:color="auto"/>
          </w:divBdr>
          <w:divsChild>
            <w:div w:id="2047287908">
              <w:marLeft w:val="0"/>
              <w:marRight w:val="0"/>
              <w:marTop w:val="0"/>
              <w:marBottom w:val="0"/>
              <w:divBdr>
                <w:top w:val="none" w:sz="0" w:space="0" w:color="auto"/>
                <w:left w:val="none" w:sz="0" w:space="0" w:color="auto"/>
                <w:bottom w:val="none" w:sz="0" w:space="0" w:color="auto"/>
                <w:right w:val="none" w:sz="0" w:space="0" w:color="auto"/>
              </w:divBdr>
            </w:div>
            <w:div w:id="2047287909">
              <w:marLeft w:val="0"/>
              <w:marRight w:val="0"/>
              <w:marTop w:val="0"/>
              <w:marBottom w:val="0"/>
              <w:divBdr>
                <w:top w:val="none" w:sz="0" w:space="0" w:color="auto"/>
                <w:left w:val="none" w:sz="0" w:space="0" w:color="auto"/>
                <w:bottom w:val="none" w:sz="0" w:space="0" w:color="auto"/>
                <w:right w:val="none" w:sz="0" w:space="0" w:color="auto"/>
              </w:divBdr>
            </w:div>
            <w:div w:id="2047287911">
              <w:marLeft w:val="0"/>
              <w:marRight w:val="0"/>
              <w:marTop w:val="0"/>
              <w:marBottom w:val="0"/>
              <w:divBdr>
                <w:top w:val="none" w:sz="0" w:space="0" w:color="auto"/>
                <w:left w:val="none" w:sz="0" w:space="0" w:color="auto"/>
                <w:bottom w:val="none" w:sz="0" w:space="0" w:color="auto"/>
                <w:right w:val="none" w:sz="0" w:space="0" w:color="auto"/>
              </w:divBdr>
            </w:div>
            <w:div w:id="2047287915">
              <w:marLeft w:val="0"/>
              <w:marRight w:val="0"/>
              <w:marTop w:val="0"/>
              <w:marBottom w:val="0"/>
              <w:divBdr>
                <w:top w:val="none" w:sz="0" w:space="0" w:color="auto"/>
                <w:left w:val="none" w:sz="0" w:space="0" w:color="auto"/>
                <w:bottom w:val="none" w:sz="0" w:space="0" w:color="auto"/>
                <w:right w:val="none" w:sz="0" w:space="0" w:color="auto"/>
              </w:divBdr>
            </w:div>
            <w:div w:id="2047287917">
              <w:marLeft w:val="0"/>
              <w:marRight w:val="0"/>
              <w:marTop w:val="0"/>
              <w:marBottom w:val="0"/>
              <w:divBdr>
                <w:top w:val="none" w:sz="0" w:space="0" w:color="auto"/>
                <w:left w:val="none" w:sz="0" w:space="0" w:color="auto"/>
                <w:bottom w:val="none" w:sz="0" w:space="0" w:color="auto"/>
                <w:right w:val="none" w:sz="0" w:space="0" w:color="auto"/>
              </w:divBdr>
            </w:div>
            <w:div w:id="2047287919">
              <w:marLeft w:val="0"/>
              <w:marRight w:val="0"/>
              <w:marTop w:val="0"/>
              <w:marBottom w:val="0"/>
              <w:divBdr>
                <w:top w:val="none" w:sz="0" w:space="0" w:color="auto"/>
                <w:left w:val="none" w:sz="0" w:space="0" w:color="auto"/>
                <w:bottom w:val="none" w:sz="0" w:space="0" w:color="auto"/>
                <w:right w:val="none" w:sz="0" w:space="0" w:color="auto"/>
              </w:divBdr>
            </w:div>
            <w:div w:id="2047287920">
              <w:marLeft w:val="0"/>
              <w:marRight w:val="0"/>
              <w:marTop w:val="0"/>
              <w:marBottom w:val="0"/>
              <w:divBdr>
                <w:top w:val="none" w:sz="0" w:space="0" w:color="auto"/>
                <w:left w:val="none" w:sz="0" w:space="0" w:color="auto"/>
                <w:bottom w:val="none" w:sz="0" w:space="0" w:color="auto"/>
                <w:right w:val="none" w:sz="0" w:space="0" w:color="auto"/>
              </w:divBdr>
            </w:div>
            <w:div w:id="2047287921">
              <w:marLeft w:val="0"/>
              <w:marRight w:val="0"/>
              <w:marTop w:val="0"/>
              <w:marBottom w:val="0"/>
              <w:divBdr>
                <w:top w:val="none" w:sz="0" w:space="0" w:color="auto"/>
                <w:left w:val="none" w:sz="0" w:space="0" w:color="auto"/>
                <w:bottom w:val="none" w:sz="0" w:space="0" w:color="auto"/>
                <w:right w:val="none" w:sz="0" w:space="0" w:color="auto"/>
              </w:divBdr>
            </w:div>
            <w:div w:id="2047287929">
              <w:marLeft w:val="0"/>
              <w:marRight w:val="0"/>
              <w:marTop w:val="0"/>
              <w:marBottom w:val="0"/>
              <w:divBdr>
                <w:top w:val="none" w:sz="0" w:space="0" w:color="auto"/>
                <w:left w:val="none" w:sz="0" w:space="0" w:color="auto"/>
                <w:bottom w:val="none" w:sz="0" w:space="0" w:color="auto"/>
                <w:right w:val="none" w:sz="0" w:space="0" w:color="auto"/>
              </w:divBdr>
            </w:div>
            <w:div w:id="2047287931">
              <w:marLeft w:val="0"/>
              <w:marRight w:val="0"/>
              <w:marTop w:val="0"/>
              <w:marBottom w:val="0"/>
              <w:divBdr>
                <w:top w:val="none" w:sz="0" w:space="0" w:color="auto"/>
                <w:left w:val="none" w:sz="0" w:space="0" w:color="auto"/>
                <w:bottom w:val="none" w:sz="0" w:space="0" w:color="auto"/>
                <w:right w:val="none" w:sz="0" w:space="0" w:color="auto"/>
              </w:divBdr>
            </w:div>
            <w:div w:id="2047287932">
              <w:marLeft w:val="0"/>
              <w:marRight w:val="0"/>
              <w:marTop w:val="0"/>
              <w:marBottom w:val="0"/>
              <w:divBdr>
                <w:top w:val="none" w:sz="0" w:space="0" w:color="auto"/>
                <w:left w:val="none" w:sz="0" w:space="0" w:color="auto"/>
                <w:bottom w:val="none" w:sz="0" w:space="0" w:color="auto"/>
                <w:right w:val="none" w:sz="0" w:space="0" w:color="auto"/>
              </w:divBdr>
            </w:div>
            <w:div w:id="2047287933">
              <w:marLeft w:val="0"/>
              <w:marRight w:val="0"/>
              <w:marTop w:val="0"/>
              <w:marBottom w:val="0"/>
              <w:divBdr>
                <w:top w:val="none" w:sz="0" w:space="0" w:color="auto"/>
                <w:left w:val="none" w:sz="0" w:space="0" w:color="auto"/>
                <w:bottom w:val="none" w:sz="0" w:space="0" w:color="auto"/>
                <w:right w:val="none" w:sz="0" w:space="0" w:color="auto"/>
              </w:divBdr>
            </w:div>
            <w:div w:id="2047287936">
              <w:marLeft w:val="0"/>
              <w:marRight w:val="0"/>
              <w:marTop w:val="0"/>
              <w:marBottom w:val="0"/>
              <w:divBdr>
                <w:top w:val="none" w:sz="0" w:space="0" w:color="auto"/>
                <w:left w:val="none" w:sz="0" w:space="0" w:color="auto"/>
                <w:bottom w:val="none" w:sz="0" w:space="0" w:color="auto"/>
                <w:right w:val="none" w:sz="0" w:space="0" w:color="auto"/>
              </w:divBdr>
            </w:div>
            <w:div w:id="2047287937">
              <w:marLeft w:val="0"/>
              <w:marRight w:val="0"/>
              <w:marTop w:val="0"/>
              <w:marBottom w:val="0"/>
              <w:divBdr>
                <w:top w:val="none" w:sz="0" w:space="0" w:color="auto"/>
                <w:left w:val="none" w:sz="0" w:space="0" w:color="auto"/>
                <w:bottom w:val="none" w:sz="0" w:space="0" w:color="auto"/>
                <w:right w:val="none" w:sz="0" w:space="0" w:color="auto"/>
              </w:divBdr>
            </w:div>
            <w:div w:id="2047287938">
              <w:marLeft w:val="0"/>
              <w:marRight w:val="0"/>
              <w:marTop w:val="0"/>
              <w:marBottom w:val="0"/>
              <w:divBdr>
                <w:top w:val="none" w:sz="0" w:space="0" w:color="auto"/>
                <w:left w:val="none" w:sz="0" w:space="0" w:color="auto"/>
                <w:bottom w:val="none" w:sz="0" w:space="0" w:color="auto"/>
                <w:right w:val="none" w:sz="0" w:space="0" w:color="auto"/>
              </w:divBdr>
            </w:div>
            <w:div w:id="2047287940">
              <w:marLeft w:val="0"/>
              <w:marRight w:val="0"/>
              <w:marTop w:val="0"/>
              <w:marBottom w:val="0"/>
              <w:divBdr>
                <w:top w:val="none" w:sz="0" w:space="0" w:color="auto"/>
                <w:left w:val="none" w:sz="0" w:space="0" w:color="auto"/>
                <w:bottom w:val="none" w:sz="0" w:space="0" w:color="auto"/>
                <w:right w:val="none" w:sz="0" w:space="0" w:color="auto"/>
              </w:divBdr>
            </w:div>
            <w:div w:id="2047287943">
              <w:marLeft w:val="0"/>
              <w:marRight w:val="0"/>
              <w:marTop w:val="0"/>
              <w:marBottom w:val="0"/>
              <w:divBdr>
                <w:top w:val="none" w:sz="0" w:space="0" w:color="auto"/>
                <w:left w:val="none" w:sz="0" w:space="0" w:color="auto"/>
                <w:bottom w:val="none" w:sz="0" w:space="0" w:color="auto"/>
                <w:right w:val="none" w:sz="0" w:space="0" w:color="auto"/>
              </w:divBdr>
            </w:div>
            <w:div w:id="2047287946">
              <w:marLeft w:val="0"/>
              <w:marRight w:val="0"/>
              <w:marTop w:val="0"/>
              <w:marBottom w:val="0"/>
              <w:divBdr>
                <w:top w:val="none" w:sz="0" w:space="0" w:color="auto"/>
                <w:left w:val="none" w:sz="0" w:space="0" w:color="auto"/>
                <w:bottom w:val="none" w:sz="0" w:space="0" w:color="auto"/>
                <w:right w:val="none" w:sz="0" w:space="0" w:color="auto"/>
              </w:divBdr>
            </w:div>
            <w:div w:id="2047287948">
              <w:marLeft w:val="0"/>
              <w:marRight w:val="0"/>
              <w:marTop w:val="0"/>
              <w:marBottom w:val="0"/>
              <w:divBdr>
                <w:top w:val="none" w:sz="0" w:space="0" w:color="auto"/>
                <w:left w:val="none" w:sz="0" w:space="0" w:color="auto"/>
                <w:bottom w:val="none" w:sz="0" w:space="0" w:color="auto"/>
                <w:right w:val="none" w:sz="0" w:space="0" w:color="auto"/>
              </w:divBdr>
            </w:div>
            <w:div w:id="2047287949">
              <w:marLeft w:val="0"/>
              <w:marRight w:val="0"/>
              <w:marTop w:val="0"/>
              <w:marBottom w:val="0"/>
              <w:divBdr>
                <w:top w:val="none" w:sz="0" w:space="0" w:color="auto"/>
                <w:left w:val="none" w:sz="0" w:space="0" w:color="auto"/>
                <w:bottom w:val="none" w:sz="0" w:space="0" w:color="auto"/>
                <w:right w:val="none" w:sz="0" w:space="0" w:color="auto"/>
              </w:divBdr>
            </w:div>
            <w:div w:id="2047287950">
              <w:marLeft w:val="0"/>
              <w:marRight w:val="0"/>
              <w:marTop w:val="0"/>
              <w:marBottom w:val="0"/>
              <w:divBdr>
                <w:top w:val="none" w:sz="0" w:space="0" w:color="auto"/>
                <w:left w:val="none" w:sz="0" w:space="0" w:color="auto"/>
                <w:bottom w:val="none" w:sz="0" w:space="0" w:color="auto"/>
                <w:right w:val="none" w:sz="0" w:space="0" w:color="auto"/>
              </w:divBdr>
            </w:div>
            <w:div w:id="2047287951">
              <w:marLeft w:val="0"/>
              <w:marRight w:val="0"/>
              <w:marTop w:val="0"/>
              <w:marBottom w:val="0"/>
              <w:divBdr>
                <w:top w:val="none" w:sz="0" w:space="0" w:color="auto"/>
                <w:left w:val="none" w:sz="0" w:space="0" w:color="auto"/>
                <w:bottom w:val="none" w:sz="0" w:space="0" w:color="auto"/>
                <w:right w:val="none" w:sz="0" w:space="0" w:color="auto"/>
              </w:divBdr>
            </w:div>
            <w:div w:id="2047287952">
              <w:marLeft w:val="0"/>
              <w:marRight w:val="0"/>
              <w:marTop w:val="0"/>
              <w:marBottom w:val="0"/>
              <w:divBdr>
                <w:top w:val="none" w:sz="0" w:space="0" w:color="auto"/>
                <w:left w:val="none" w:sz="0" w:space="0" w:color="auto"/>
                <w:bottom w:val="none" w:sz="0" w:space="0" w:color="auto"/>
                <w:right w:val="none" w:sz="0" w:space="0" w:color="auto"/>
              </w:divBdr>
            </w:div>
            <w:div w:id="2047287953">
              <w:marLeft w:val="0"/>
              <w:marRight w:val="0"/>
              <w:marTop w:val="0"/>
              <w:marBottom w:val="0"/>
              <w:divBdr>
                <w:top w:val="none" w:sz="0" w:space="0" w:color="auto"/>
                <w:left w:val="none" w:sz="0" w:space="0" w:color="auto"/>
                <w:bottom w:val="none" w:sz="0" w:space="0" w:color="auto"/>
                <w:right w:val="none" w:sz="0" w:space="0" w:color="auto"/>
              </w:divBdr>
            </w:div>
            <w:div w:id="2047287954">
              <w:marLeft w:val="0"/>
              <w:marRight w:val="0"/>
              <w:marTop w:val="0"/>
              <w:marBottom w:val="0"/>
              <w:divBdr>
                <w:top w:val="none" w:sz="0" w:space="0" w:color="auto"/>
                <w:left w:val="none" w:sz="0" w:space="0" w:color="auto"/>
                <w:bottom w:val="none" w:sz="0" w:space="0" w:color="auto"/>
                <w:right w:val="none" w:sz="0" w:space="0" w:color="auto"/>
              </w:divBdr>
            </w:div>
            <w:div w:id="2047287958">
              <w:marLeft w:val="0"/>
              <w:marRight w:val="0"/>
              <w:marTop w:val="0"/>
              <w:marBottom w:val="0"/>
              <w:divBdr>
                <w:top w:val="none" w:sz="0" w:space="0" w:color="auto"/>
                <w:left w:val="none" w:sz="0" w:space="0" w:color="auto"/>
                <w:bottom w:val="none" w:sz="0" w:space="0" w:color="auto"/>
                <w:right w:val="none" w:sz="0" w:space="0" w:color="auto"/>
              </w:divBdr>
            </w:div>
            <w:div w:id="2047287960">
              <w:marLeft w:val="0"/>
              <w:marRight w:val="0"/>
              <w:marTop w:val="0"/>
              <w:marBottom w:val="0"/>
              <w:divBdr>
                <w:top w:val="none" w:sz="0" w:space="0" w:color="auto"/>
                <w:left w:val="none" w:sz="0" w:space="0" w:color="auto"/>
                <w:bottom w:val="none" w:sz="0" w:space="0" w:color="auto"/>
                <w:right w:val="none" w:sz="0" w:space="0" w:color="auto"/>
              </w:divBdr>
            </w:div>
            <w:div w:id="2047287962">
              <w:marLeft w:val="0"/>
              <w:marRight w:val="0"/>
              <w:marTop w:val="0"/>
              <w:marBottom w:val="0"/>
              <w:divBdr>
                <w:top w:val="none" w:sz="0" w:space="0" w:color="auto"/>
                <w:left w:val="none" w:sz="0" w:space="0" w:color="auto"/>
                <w:bottom w:val="none" w:sz="0" w:space="0" w:color="auto"/>
                <w:right w:val="none" w:sz="0" w:space="0" w:color="auto"/>
              </w:divBdr>
            </w:div>
            <w:div w:id="2047287964">
              <w:marLeft w:val="0"/>
              <w:marRight w:val="0"/>
              <w:marTop w:val="0"/>
              <w:marBottom w:val="0"/>
              <w:divBdr>
                <w:top w:val="none" w:sz="0" w:space="0" w:color="auto"/>
                <w:left w:val="none" w:sz="0" w:space="0" w:color="auto"/>
                <w:bottom w:val="none" w:sz="0" w:space="0" w:color="auto"/>
                <w:right w:val="none" w:sz="0" w:space="0" w:color="auto"/>
              </w:divBdr>
            </w:div>
            <w:div w:id="2047287969">
              <w:marLeft w:val="0"/>
              <w:marRight w:val="0"/>
              <w:marTop w:val="0"/>
              <w:marBottom w:val="0"/>
              <w:divBdr>
                <w:top w:val="none" w:sz="0" w:space="0" w:color="auto"/>
                <w:left w:val="none" w:sz="0" w:space="0" w:color="auto"/>
                <w:bottom w:val="none" w:sz="0" w:space="0" w:color="auto"/>
                <w:right w:val="none" w:sz="0" w:space="0" w:color="auto"/>
              </w:divBdr>
            </w:div>
            <w:div w:id="2047287970">
              <w:marLeft w:val="0"/>
              <w:marRight w:val="0"/>
              <w:marTop w:val="0"/>
              <w:marBottom w:val="0"/>
              <w:divBdr>
                <w:top w:val="none" w:sz="0" w:space="0" w:color="auto"/>
                <w:left w:val="none" w:sz="0" w:space="0" w:color="auto"/>
                <w:bottom w:val="none" w:sz="0" w:space="0" w:color="auto"/>
                <w:right w:val="none" w:sz="0" w:space="0" w:color="auto"/>
              </w:divBdr>
            </w:div>
            <w:div w:id="2047287974">
              <w:marLeft w:val="0"/>
              <w:marRight w:val="0"/>
              <w:marTop w:val="0"/>
              <w:marBottom w:val="0"/>
              <w:divBdr>
                <w:top w:val="none" w:sz="0" w:space="0" w:color="auto"/>
                <w:left w:val="none" w:sz="0" w:space="0" w:color="auto"/>
                <w:bottom w:val="none" w:sz="0" w:space="0" w:color="auto"/>
                <w:right w:val="none" w:sz="0" w:space="0" w:color="auto"/>
              </w:divBdr>
            </w:div>
            <w:div w:id="2047287977">
              <w:marLeft w:val="0"/>
              <w:marRight w:val="0"/>
              <w:marTop w:val="0"/>
              <w:marBottom w:val="0"/>
              <w:divBdr>
                <w:top w:val="none" w:sz="0" w:space="0" w:color="auto"/>
                <w:left w:val="none" w:sz="0" w:space="0" w:color="auto"/>
                <w:bottom w:val="none" w:sz="0" w:space="0" w:color="auto"/>
                <w:right w:val="none" w:sz="0" w:space="0" w:color="auto"/>
              </w:divBdr>
            </w:div>
            <w:div w:id="2047287978">
              <w:marLeft w:val="0"/>
              <w:marRight w:val="0"/>
              <w:marTop w:val="0"/>
              <w:marBottom w:val="0"/>
              <w:divBdr>
                <w:top w:val="none" w:sz="0" w:space="0" w:color="auto"/>
                <w:left w:val="none" w:sz="0" w:space="0" w:color="auto"/>
                <w:bottom w:val="none" w:sz="0" w:space="0" w:color="auto"/>
                <w:right w:val="none" w:sz="0" w:space="0" w:color="auto"/>
              </w:divBdr>
            </w:div>
            <w:div w:id="2047287979">
              <w:marLeft w:val="0"/>
              <w:marRight w:val="0"/>
              <w:marTop w:val="0"/>
              <w:marBottom w:val="0"/>
              <w:divBdr>
                <w:top w:val="none" w:sz="0" w:space="0" w:color="auto"/>
                <w:left w:val="none" w:sz="0" w:space="0" w:color="auto"/>
                <w:bottom w:val="none" w:sz="0" w:space="0" w:color="auto"/>
                <w:right w:val="none" w:sz="0" w:space="0" w:color="auto"/>
              </w:divBdr>
            </w:div>
            <w:div w:id="2047287983">
              <w:marLeft w:val="0"/>
              <w:marRight w:val="0"/>
              <w:marTop w:val="0"/>
              <w:marBottom w:val="0"/>
              <w:divBdr>
                <w:top w:val="none" w:sz="0" w:space="0" w:color="auto"/>
                <w:left w:val="none" w:sz="0" w:space="0" w:color="auto"/>
                <w:bottom w:val="none" w:sz="0" w:space="0" w:color="auto"/>
                <w:right w:val="none" w:sz="0" w:space="0" w:color="auto"/>
              </w:divBdr>
            </w:div>
            <w:div w:id="2047287984">
              <w:marLeft w:val="0"/>
              <w:marRight w:val="0"/>
              <w:marTop w:val="0"/>
              <w:marBottom w:val="0"/>
              <w:divBdr>
                <w:top w:val="none" w:sz="0" w:space="0" w:color="auto"/>
                <w:left w:val="none" w:sz="0" w:space="0" w:color="auto"/>
                <w:bottom w:val="none" w:sz="0" w:space="0" w:color="auto"/>
                <w:right w:val="none" w:sz="0" w:space="0" w:color="auto"/>
              </w:divBdr>
            </w:div>
            <w:div w:id="2047287987">
              <w:marLeft w:val="0"/>
              <w:marRight w:val="0"/>
              <w:marTop w:val="0"/>
              <w:marBottom w:val="0"/>
              <w:divBdr>
                <w:top w:val="none" w:sz="0" w:space="0" w:color="auto"/>
                <w:left w:val="none" w:sz="0" w:space="0" w:color="auto"/>
                <w:bottom w:val="none" w:sz="0" w:space="0" w:color="auto"/>
                <w:right w:val="none" w:sz="0" w:space="0" w:color="auto"/>
              </w:divBdr>
            </w:div>
            <w:div w:id="2047287988">
              <w:marLeft w:val="0"/>
              <w:marRight w:val="0"/>
              <w:marTop w:val="0"/>
              <w:marBottom w:val="0"/>
              <w:divBdr>
                <w:top w:val="none" w:sz="0" w:space="0" w:color="auto"/>
                <w:left w:val="none" w:sz="0" w:space="0" w:color="auto"/>
                <w:bottom w:val="none" w:sz="0" w:space="0" w:color="auto"/>
                <w:right w:val="none" w:sz="0" w:space="0" w:color="auto"/>
              </w:divBdr>
            </w:div>
            <w:div w:id="2047287991">
              <w:marLeft w:val="0"/>
              <w:marRight w:val="0"/>
              <w:marTop w:val="0"/>
              <w:marBottom w:val="0"/>
              <w:divBdr>
                <w:top w:val="none" w:sz="0" w:space="0" w:color="auto"/>
                <w:left w:val="none" w:sz="0" w:space="0" w:color="auto"/>
                <w:bottom w:val="none" w:sz="0" w:space="0" w:color="auto"/>
                <w:right w:val="none" w:sz="0" w:space="0" w:color="auto"/>
              </w:divBdr>
            </w:div>
            <w:div w:id="2047287993">
              <w:marLeft w:val="0"/>
              <w:marRight w:val="0"/>
              <w:marTop w:val="0"/>
              <w:marBottom w:val="0"/>
              <w:divBdr>
                <w:top w:val="none" w:sz="0" w:space="0" w:color="auto"/>
                <w:left w:val="none" w:sz="0" w:space="0" w:color="auto"/>
                <w:bottom w:val="none" w:sz="0" w:space="0" w:color="auto"/>
                <w:right w:val="none" w:sz="0" w:space="0" w:color="auto"/>
              </w:divBdr>
            </w:div>
            <w:div w:id="2047287994">
              <w:marLeft w:val="0"/>
              <w:marRight w:val="0"/>
              <w:marTop w:val="0"/>
              <w:marBottom w:val="0"/>
              <w:divBdr>
                <w:top w:val="none" w:sz="0" w:space="0" w:color="auto"/>
                <w:left w:val="none" w:sz="0" w:space="0" w:color="auto"/>
                <w:bottom w:val="none" w:sz="0" w:space="0" w:color="auto"/>
                <w:right w:val="none" w:sz="0" w:space="0" w:color="auto"/>
              </w:divBdr>
            </w:div>
            <w:div w:id="20472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87957">
      <w:marLeft w:val="0"/>
      <w:marRight w:val="0"/>
      <w:marTop w:val="0"/>
      <w:marBottom w:val="0"/>
      <w:divBdr>
        <w:top w:val="none" w:sz="0" w:space="0" w:color="auto"/>
        <w:left w:val="none" w:sz="0" w:space="0" w:color="auto"/>
        <w:bottom w:val="none" w:sz="0" w:space="0" w:color="auto"/>
        <w:right w:val="none" w:sz="0" w:space="0" w:color="auto"/>
      </w:divBdr>
      <w:divsChild>
        <w:div w:id="2047287976">
          <w:marLeft w:val="0"/>
          <w:marRight w:val="0"/>
          <w:marTop w:val="0"/>
          <w:marBottom w:val="0"/>
          <w:divBdr>
            <w:top w:val="none" w:sz="0" w:space="0" w:color="auto"/>
            <w:left w:val="none" w:sz="0" w:space="0" w:color="auto"/>
            <w:bottom w:val="none" w:sz="0" w:space="0" w:color="auto"/>
            <w:right w:val="none" w:sz="0" w:space="0" w:color="auto"/>
          </w:divBdr>
          <w:divsChild>
            <w:div w:id="20472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5184</Words>
  <Characters>29549</Characters>
  <Application>Microsoft Office Word</Application>
  <DocSecurity>0</DocSecurity>
  <Lines>246</Lines>
  <Paragraphs>69</Paragraphs>
  <ScaleCrop>false</ScaleCrop>
  <Company>Hewlett-Packard Company</Company>
  <LinksUpToDate>false</LinksUpToDate>
  <CharactersWithSpaces>34664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郑若?</dc:creator>
  <cp:lastModifiedBy>LS Ma</cp:lastModifiedBy>
  <cp:revision>2</cp:revision>
  <dcterms:created xsi:type="dcterms:W3CDTF">2013-06-19T00:33:00Z</dcterms:created>
  <dcterms:modified xsi:type="dcterms:W3CDTF">2013-06-19T00:33:00Z</dcterms:modified>
</cp:coreProperties>
</file>