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Cs w:val="21"/>
        </w:rPr>
      </w:pPr>
      <w:r w:rsidRPr="00657C18">
        <w:rPr>
          <w:rFonts w:ascii="Book Antiqua" w:hAnsi="Book Antiqua" w:cs="Book Antiqua"/>
          <w:b/>
          <w:bCs/>
          <w:color w:val="000000" w:themeColor="text1"/>
          <w:kern w:val="0"/>
          <w:szCs w:val="21"/>
        </w:rPr>
        <w:t xml:space="preserve">Name of journal: World Journal of Gastroenterology 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color w:val="000000" w:themeColor="text1"/>
          <w:kern w:val="0"/>
          <w:szCs w:val="21"/>
        </w:rPr>
      </w:pPr>
      <w:r w:rsidRPr="00657C18">
        <w:rPr>
          <w:rFonts w:ascii="Book Antiqua" w:hAnsi="Book Antiqua" w:cs="Book Antiqua"/>
          <w:b/>
          <w:bCs/>
          <w:color w:val="000000" w:themeColor="text1"/>
          <w:kern w:val="0"/>
          <w:szCs w:val="21"/>
        </w:rPr>
        <w:t>ESPS Manuscript NO: 12662</w:t>
      </w:r>
    </w:p>
    <w:p w:rsidR="00D750C0" w:rsidRPr="00657C18" w:rsidRDefault="00D750C0" w:rsidP="00E77CF2">
      <w:pPr>
        <w:suppressAutoHyphens/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caps/>
          <w:color w:val="000000" w:themeColor="text1"/>
          <w:kern w:val="0"/>
          <w:szCs w:val="21"/>
        </w:rPr>
      </w:pPr>
      <w:r w:rsidRPr="00657C18">
        <w:rPr>
          <w:rFonts w:ascii="Book Antiqua" w:hAnsi="Book Antiqua" w:cs="Book Antiqua"/>
          <w:b/>
          <w:bCs/>
          <w:color w:val="000000" w:themeColor="text1"/>
          <w:kern w:val="0"/>
          <w:szCs w:val="21"/>
        </w:rPr>
        <w:t xml:space="preserve">Columns: </w:t>
      </w:r>
      <w:r w:rsidRPr="00657C18">
        <w:rPr>
          <w:rFonts w:ascii="Book Antiqua" w:hAnsi="Book Antiqua" w:cs="Book Antiqua"/>
          <w:b/>
          <w:bCs/>
          <w:caps/>
          <w:color w:val="000000" w:themeColor="text1"/>
          <w:kern w:val="0"/>
          <w:szCs w:val="21"/>
        </w:rPr>
        <w:t>meta-analysis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</w:pP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  <w:t xml:space="preserve">Anti-EGFR </w:t>
      </w:r>
      <w:r w:rsidR="00B617B0" w:rsidRPr="00657C18"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  <w:t>monoclonal antibodies</w:t>
      </w:r>
      <w:r w:rsidRPr="00657C18"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  <w:t xml:space="preserve"> in metastatic colorectal cancer: A meta-analysis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</w:pPr>
    </w:p>
    <w:p w:rsidR="00D750C0" w:rsidRPr="00657C18" w:rsidRDefault="005516CF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F4429F">
        <w:rPr>
          <w:rFonts w:ascii="Book Antiqua" w:hAnsi="Book Antiqua" w:cs="Book Antiqua"/>
          <w:color w:val="000000" w:themeColor="text1"/>
          <w:kern w:val="0"/>
          <w:sz w:val="24"/>
        </w:rPr>
        <w:t xml:space="preserve">Song </w:t>
      </w:r>
      <w:r w:rsidRPr="00F4429F">
        <w:rPr>
          <w:rFonts w:ascii="Book Antiqua" w:hAnsi="Book Antiqua" w:cs="Book Antiqua" w:hint="eastAsia"/>
          <w:color w:val="000000" w:themeColor="text1"/>
          <w:kern w:val="0"/>
          <w:sz w:val="24"/>
        </w:rPr>
        <w:t>QB</w:t>
      </w:r>
      <w:r w:rsidR="00D750C0" w:rsidRPr="00F4429F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D750C0" w:rsidRPr="00F4429F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et al</w:t>
      </w:r>
      <w:r w:rsidR="00D750C0" w:rsidRPr="00F4429F">
        <w:rPr>
          <w:rFonts w:ascii="Book Antiqua" w:hAnsi="Book Antiqua" w:cs="Book Antiqua"/>
          <w:color w:val="000000" w:themeColor="text1"/>
          <w:kern w:val="0"/>
          <w:sz w:val="24"/>
        </w:rPr>
        <w:t xml:space="preserve">. 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KRAS and </w:t>
      </w:r>
      <w:r w:rsidR="00B617B0" w:rsidRPr="00657C18">
        <w:rPr>
          <w:rFonts w:ascii="Book Antiqua" w:hAnsi="Book Antiqua" w:cs="Book Antiqua"/>
          <w:color w:val="000000" w:themeColor="text1"/>
          <w:kern w:val="0"/>
          <w:sz w:val="24"/>
        </w:rPr>
        <w:t>a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nti-EGFR </w:t>
      </w:r>
      <w:proofErr w:type="spellStart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 </w:t>
      </w:r>
      <w:proofErr w:type="spellStart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</w:pPr>
    </w:p>
    <w:p w:rsidR="00D750C0" w:rsidRPr="00657C18" w:rsidRDefault="005516CF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  <w:vertAlign w:val="superscript"/>
        </w:rPr>
      </w:pP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Qi-Bin Song</w:t>
      </w:r>
      <w:r w:rsidRPr="00657C18">
        <w:rPr>
          <w:rFonts w:ascii="Book Antiqua" w:hAnsi="Book Antiqua" w:cs="Book Antiqua" w:hint="eastAsia"/>
          <w:color w:val="000000" w:themeColor="text1"/>
          <w:kern w:val="0"/>
          <w:sz w:val="24"/>
        </w:rPr>
        <w:t>,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Qi</w:t>
      </w:r>
      <w:r w:rsidR="00F14923" w:rsidRPr="00F14923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F14923" w:rsidRPr="00657C18">
        <w:rPr>
          <w:rFonts w:ascii="Book Antiqua" w:hAnsi="Book Antiqua" w:cs="Book Antiqua"/>
          <w:color w:val="000000" w:themeColor="text1"/>
          <w:kern w:val="0"/>
          <w:sz w:val="24"/>
        </w:rPr>
        <w:t>Wang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, Wei-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Guo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Hu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</w:p>
    <w:p w:rsidR="00657C18" w:rsidRDefault="00657C18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</w:p>
    <w:p w:rsidR="00551CFE" w:rsidRPr="00657C18" w:rsidRDefault="005516CF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color w:val="000000" w:themeColor="text1"/>
          <w:kern w:val="0"/>
          <w:sz w:val="24"/>
          <w:vertAlign w:val="superscript"/>
        </w:rPr>
      </w:pPr>
      <w:r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>Qi-Bin Song</w:t>
      </w:r>
      <w:r w:rsidRPr="00657C18">
        <w:rPr>
          <w:rFonts w:ascii="Book Antiqua" w:hAnsi="Book Antiqua" w:cs="Book Antiqua" w:hint="eastAsia"/>
          <w:b/>
          <w:color w:val="000000" w:themeColor="text1"/>
          <w:kern w:val="0"/>
          <w:sz w:val="24"/>
        </w:rPr>
        <w:t xml:space="preserve">, </w:t>
      </w:r>
      <w:r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>Qi</w:t>
      </w:r>
      <w:r w:rsidR="00F14923" w:rsidRPr="00F14923">
        <w:rPr>
          <w:rFonts w:ascii="Book Antiqua" w:hAnsi="Book Antiqua" w:cs="Book Antiqua"/>
          <w:b/>
          <w:color w:val="000000" w:themeColor="text1"/>
          <w:kern w:val="0"/>
          <w:sz w:val="24"/>
        </w:rPr>
        <w:t xml:space="preserve"> </w:t>
      </w:r>
      <w:r w:rsidR="00F14923"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>Wang</w:t>
      </w:r>
      <w:r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>, Wei-</w:t>
      </w:r>
      <w:proofErr w:type="spellStart"/>
      <w:r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>Guo</w:t>
      </w:r>
      <w:proofErr w:type="spellEnd"/>
      <w:r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 xml:space="preserve"> Hu</w:t>
      </w:r>
      <w:r w:rsidR="00F87AC9">
        <w:rPr>
          <w:rFonts w:ascii="Book Antiqua" w:hAnsi="Book Antiqua" w:cs="Book Antiqua" w:hint="eastAsia"/>
          <w:b/>
          <w:color w:val="000000" w:themeColor="text1"/>
          <w:kern w:val="0"/>
          <w:sz w:val="24"/>
        </w:rPr>
        <w:t>,</w:t>
      </w:r>
      <w:r w:rsidR="00551CFE"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 xml:space="preserve"> </w:t>
      </w:r>
      <w:r w:rsidR="00551CFE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Department of Oncology, </w:t>
      </w:r>
      <w:proofErr w:type="spellStart"/>
      <w:r w:rsidR="00551CFE" w:rsidRPr="00657C18">
        <w:rPr>
          <w:rFonts w:ascii="Book Antiqua" w:hAnsi="Book Antiqua" w:cs="Book Antiqua"/>
          <w:color w:val="000000" w:themeColor="text1"/>
          <w:kern w:val="0"/>
          <w:sz w:val="24"/>
        </w:rPr>
        <w:t>Renmin</w:t>
      </w:r>
      <w:proofErr w:type="spellEnd"/>
      <w:r w:rsidR="00551CFE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Hospital of Wuhan University, Wuhan 430060, Hubei Province, China</w:t>
      </w:r>
    </w:p>
    <w:p w:rsidR="00551CFE" w:rsidRPr="00657C18" w:rsidRDefault="00551CFE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</w:p>
    <w:p w:rsidR="00551CFE" w:rsidRPr="00657C18" w:rsidRDefault="00551CFE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  <w:t>Author contributions: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5516CF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Song </w:t>
      </w:r>
      <w:r w:rsidR="005516CF" w:rsidRPr="00657C18">
        <w:rPr>
          <w:rFonts w:ascii="Book Antiqua" w:hAnsi="Book Antiqua" w:cs="Book Antiqua" w:hint="eastAsia"/>
          <w:color w:val="000000" w:themeColor="text1"/>
          <w:kern w:val="0"/>
          <w:sz w:val="24"/>
        </w:rPr>
        <w:t>QB,</w:t>
      </w:r>
      <w:r w:rsidR="005516CF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W</w:t>
      </w:r>
      <w:r w:rsidRPr="00657C18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ang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Q and Hu </w:t>
      </w:r>
      <w:r w:rsidRPr="00657C18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WG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contributed equally to this work; Song </w:t>
      </w:r>
      <w:r w:rsidRPr="00657C18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QB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designed the research; W</w:t>
      </w:r>
      <w:r w:rsidRPr="00657C18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ang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Q performed the research; Hu</w:t>
      </w:r>
      <w:r w:rsidRPr="00657C18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WG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analyzed the data; W</w:t>
      </w:r>
      <w:r w:rsidRPr="00657C18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ang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Q wrote the paper.</w:t>
      </w:r>
    </w:p>
    <w:p w:rsidR="00551CFE" w:rsidRPr="00657C18" w:rsidRDefault="00551CFE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</w:p>
    <w:p w:rsidR="00551CFE" w:rsidRPr="00657C18" w:rsidRDefault="00551CFE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  <w:t>Correspondences to: Qi-</w:t>
      </w:r>
      <w:r w:rsidRPr="00657C18">
        <w:rPr>
          <w:rFonts w:ascii="Book Antiqua" w:hAnsi="Book Antiqua" w:cs="Book Antiqua"/>
          <w:b/>
          <w:bCs/>
          <w:caps/>
          <w:color w:val="000000" w:themeColor="text1"/>
          <w:kern w:val="0"/>
          <w:sz w:val="24"/>
        </w:rPr>
        <w:t>b</w:t>
      </w:r>
      <w:r w:rsidRPr="00657C18"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  <w:t>in Song,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Pr="00F87AC9">
        <w:rPr>
          <w:rFonts w:ascii="Book Antiqua" w:hAnsi="Book Antiqua" w:cs="Book Antiqua"/>
          <w:b/>
          <w:color w:val="000000" w:themeColor="text1"/>
          <w:kern w:val="0"/>
          <w:sz w:val="24"/>
        </w:rPr>
        <w:t>Professor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, Department of Oncology,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Renmin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Hospital of Wuhan University,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Zhangzhidong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District, Wuhan 430060, Hubei Province, China.</w:t>
      </w:r>
      <w:r w:rsidR="00554AF0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="00554AF0" w:rsidRPr="00554AF0">
        <w:rPr>
          <w:rFonts w:ascii="Book Antiqua" w:hAnsi="Book Antiqua" w:cs="Book Antiqua"/>
          <w:color w:val="000000" w:themeColor="text1"/>
          <w:kern w:val="0"/>
          <w:sz w:val="24"/>
        </w:rPr>
        <w:t>qibinsong@163.com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</w:p>
    <w:p w:rsidR="00554AF0" w:rsidRDefault="00554AF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</w:pPr>
    </w:p>
    <w:p w:rsidR="00551CFE" w:rsidRPr="00657C18" w:rsidRDefault="00551CFE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proofErr w:type="spellStart"/>
      <w:r w:rsidRPr="00657C18"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  <w:t>Telphone</w:t>
      </w:r>
      <w:proofErr w:type="spellEnd"/>
      <w:r w:rsidRPr="00657C18"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  <w:t xml:space="preserve">: </w:t>
      </w:r>
      <w:r w:rsidRPr="00F804E6">
        <w:rPr>
          <w:rFonts w:ascii="Book Antiqua" w:hAnsi="Book Antiqua" w:cs="Book Antiqua"/>
          <w:bCs/>
          <w:color w:val="000000" w:themeColor="text1"/>
          <w:kern w:val="0"/>
          <w:sz w:val="24"/>
        </w:rPr>
        <w:t>+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86-27-880-41911</w:t>
      </w:r>
      <w:r w:rsidRPr="00657C18">
        <w:rPr>
          <w:rFonts w:ascii="Book Antiqua" w:hAnsi="Book Antiqua" w:cs="Book Antiqua" w:hint="eastAsia"/>
          <w:b/>
          <w:bCs/>
          <w:color w:val="000000" w:themeColor="text1"/>
          <w:kern w:val="0"/>
          <w:sz w:val="24"/>
        </w:rPr>
        <w:t xml:space="preserve">    </w:t>
      </w:r>
      <w:r w:rsidRPr="00657C18"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  <w:t>Fax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: </w:t>
      </w:r>
      <w:r w:rsidRPr="00F804E6">
        <w:rPr>
          <w:rFonts w:ascii="Book Antiqua" w:hAnsi="Book Antiqua" w:cs="Book Antiqua"/>
          <w:bCs/>
          <w:color w:val="000000" w:themeColor="text1"/>
          <w:kern w:val="0"/>
          <w:sz w:val="24"/>
        </w:rPr>
        <w:t>+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86-27-880-41911</w:t>
      </w:r>
    </w:p>
    <w:p w:rsidR="007D523A" w:rsidRDefault="007D523A" w:rsidP="007D523A">
      <w:pPr>
        <w:spacing w:line="360" w:lineRule="auto"/>
        <w:rPr>
          <w:rFonts w:ascii="Book Antiqua" w:hAnsi="Book Antiqua"/>
          <w:b/>
          <w:sz w:val="24"/>
        </w:rPr>
      </w:pPr>
      <w:bookmarkStart w:id="0" w:name="OLE_LINK29"/>
      <w:bookmarkStart w:id="1" w:name="OLE_LINK30"/>
      <w:r w:rsidRPr="008E267B">
        <w:rPr>
          <w:rFonts w:ascii="Book Antiqua" w:hAnsi="Book Antiqua"/>
          <w:b/>
          <w:sz w:val="24"/>
        </w:rPr>
        <w:t xml:space="preserve">Received: </w:t>
      </w:r>
      <w:r w:rsidR="009225D0" w:rsidRPr="00F804E6">
        <w:rPr>
          <w:rFonts w:ascii="Book Antiqua" w:hAnsi="Book Antiqua" w:hint="eastAsia"/>
          <w:sz w:val="24"/>
        </w:rPr>
        <w:t>July 20, 2014</w:t>
      </w:r>
      <w:r w:rsidRPr="00F804E6">
        <w:rPr>
          <w:rFonts w:ascii="Book Antiqua" w:hAnsi="Book Antiqua"/>
          <w:sz w:val="24"/>
        </w:rPr>
        <w:t xml:space="preserve"> </w:t>
      </w:r>
      <w:r w:rsidRPr="008E267B">
        <w:rPr>
          <w:rFonts w:ascii="Book Antiqua" w:hAnsi="Book Antiqua"/>
          <w:b/>
          <w:sz w:val="24"/>
        </w:rPr>
        <w:t xml:space="preserve"> </w:t>
      </w:r>
      <w:r w:rsidR="00F804E6">
        <w:rPr>
          <w:rFonts w:ascii="Book Antiqua" w:hAnsi="Book Antiqua" w:hint="eastAsia"/>
          <w:b/>
          <w:sz w:val="24"/>
        </w:rPr>
        <w:t xml:space="preserve"> </w:t>
      </w:r>
      <w:r w:rsidRPr="008E267B">
        <w:rPr>
          <w:rFonts w:ascii="Book Antiqua" w:hAnsi="Book Antiqua"/>
          <w:b/>
          <w:sz w:val="24"/>
        </w:rPr>
        <w:t xml:space="preserve">Revised: </w:t>
      </w:r>
      <w:r w:rsidR="009225D0" w:rsidRPr="00A11C75">
        <w:rPr>
          <w:rFonts w:ascii="Book Antiqua" w:hAnsi="Book Antiqua"/>
          <w:sz w:val="24"/>
        </w:rPr>
        <w:t>September</w:t>
      </w:r>
      <w:r w:rsidR="009225D0">
        <w:rPr>
          <w:rFonts w:ascii="Book Antiqua" w:hAnsi="Book Antiqua" w:hint="eastAsia"/>
          <w:sz w:val="24"/>
        </w:rPr>
        <w:t xml:space="preserve"> 10, 2014</w:t>
      </w:r>
      <w:r w:rsidRPr="008E267B">
        <w:rPr>
          <w:rFonts w:ascii="Book Antiqua" w:hAnsi="Book Antiqua"/>
          <w:b/>
          <w:sz w:val="24"/>
        </w:rPr>
        <w:t xml:space="preserve"> </w:t>
      </w:r>
    </w:p>
    <w:p w:rsidR="00CA691E" w:rsidRDefault="007D523A" w:rsidP="00CA691E">
      <w:pPr>
        <w:rPr>
          <w:rFonts w:ascii="Book Antiqua" w:hAnsi="Book Antiqua"/>
          <w:color w:val="000000"/>
          <w:sz w:val="24"/>
        </w:rPr>
      </w:pPr>
      <w:r w:rsidRPr="008E267B">
        <w:rPr>
          <w:rFonts w:ascii="Book Antiqua" w:hAnsi="Book Antiqua"/>
          <w:b/>
          <w:sz w:val="24"/>
        </w:rPr>
        <w:t xml:space="preserve">Accepted: </w:t>
      </w:r>
      <w:bookmarkStart w:id="2" w:name="OLE_LINK2"/>
      <w:bookmarkStart w:id="3" w:name="OLE_LINK3"/>
      <w:bookmarkStart w:id="4" w:name="OLE_LINK4"/>
      <w:bookmarkStart w:id="5" w:name="OLE_LINK5"/>
      <w:bookmarkStart w:id="6" w:name="OLE_LINK8"/>
      <w:bookmarkStart w:id="7" w:name="OLE_LINK9"/>
      <w:bookmarkStart w:id="8" w:name="OLE_LINK10"/>
      <w:bookmarkStart w:id="9" w:name="OLE_LINK6"/>
      <w:bookmarkStart w:id="10" w:name="OLE_LINK13"/>
      <w:bookmarkStart w:id="11" w:name="OLE_LINK7"/>
      <w:bookmarkStart w:id="12" w:name="OLE_LINK18"/>
      <w:bookmarkStart w:id="13" w:name="OLE_LINK19"/>
      <w:bookmarkStart w:id="14" w:name="OLE_LINK22"/>
      <w:bookmarkStart w:id="15" w:name="OLE_LINK24"/>
      <w:bookmarkStart w:id="16" w:name="OLE_LINK25"/>
      <w:r w:rsidR="00CA691E">
        <w:rPr>
          <w:rFonts w:ascii="Book Antiqua" w:hAnsi="Book Antiqua"/>
          <w:color w:val="000000"/>
          <w:sz w:val="24"/>
        </w:rPr>
        <w:t>October 14, 2014</w:t>
      </w:r>
    </w:p>
    <w:p w:rsidR="007D523A" w:rsidRPr="008E267B" w:rsidRDefault="007D523A" w:rsidP="007D523A">
      <w:pPr>
        <w:spacing w:line="360" w:lineRule="auto"/>
        <w:rPr>
          <w:rFonts w:ascii="Book Antiqua" w:hAnsi="Book Antiqua"/>
          <w:b/>
          <w:sz w:val="24"/>
        </w:rPr>
      </w:pPr>
      <w:bookmarkStart w:id="17" w:name="_GoBack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8E267B">
        <w:rPr>
          <w:rFonts w:ascii="Book Antiqua" w:hAnsi="Book Antiqua"/>
          <w:b/>
          <w:sz w:val="24"/>
        </w:rPr>
        <w:t xml:space="preserve"> </w:t>
      </w:r>
    </w:p>
    <w:p w:rsidR="007D523A" w:rsidRPr="008E267B" w:rsidRDefault="007D523A" w:rsidP="007D523A">
      <w:pPr>
        <w:spacing w:line="360" w:lineRule="auto"/>
        <w:rPr>
          <w:rFonts w:ascii="Book Antiqua" w:hAnsi="Book Antiqua"/>
          <w:b/>
          <w:sz w:val="24"/>
        </w:rPr>
      </w:pPr>
      <w:r w:rsidRPr="008E267B">
        <w:rPr>
          <w:rFonts w:ascii="Book Antiqua" w:hAnsi="Book Antiqua"/>
          <w:b/>
          <w:sz w:val="24"/>
        </w:rPr>
        <w:t xml:space="preserve">Published online: </w:t>
      </w:r>
    </w:p>
    <w:bookmarkEnd w:id="0"/>
    <w:bookmarkEnd w:id="1"/>
    <w:p w:rsidR="00551CFE" w:rsidRPr="00657C18" w:rsidRDefault="00551CFE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</w:pP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  <w:t>Abstract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iCs/>
          <w:color w:val="000000" w:themeColor="text1"/>
          <w:kern w:val="0"/>
          <w:sz w:val="24"/>
        </w:rPr>
        <w:t>A</w:t>
      </w:r>
      <w:r w:rsidR="002A741E" w:rsidRPr="00657C18">
        <w:rPr>
          <w:rFonts w:ascii="Book Antiqua" w:hAnsi="Book Antiqua" w:cs="Book Antiqua"/>
          <w:b/>
          <w:iCs/>
          <w:color w:val="000000" w:themeColor="text1"/>
          <w:kern w:val="0"/>
          <w:sz w:val="24"/>
        </w:rPr>
        <w:t>IM</w:t>
      </w:r>
      <w:r w:rsidR="00B617B0" w:rsidRPr="00657C18">
        <w:rPr>
          <w:rFonts w:ascii="Book Antiqua" w:hAnsi="Book Antiqua" w:cs="Book Antiqua"/>
          <w:b/>
          <w:iCs/>
          <w:color w:val="000000" w:themeColor="text1"/>
          <w:kern w:val="0"/>
          <w:sz w:val="24"/>
        </w:rPr>
        <w:t>: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To investigate the correlation between </w:t>
      </w:r>
      <w:r w:rsidRPr="009225D0">
        <w:rPr>
          <w:rFonts w:ascii="Book Antiqua" w:hAnsi="Book Antiqua" w:cs="Book Antiqua"/>
          <w:iCs/>
          <w:color w:val="000000" w:themeColor="text1"/>
          <w:kern w:val="0"/>
          <w:sz w:val="24"/>
        </w:rPr>
        <w:t xml:space="preserve">Kirsten rat sarcoma viral oncogene </w:t>
      </w:r>
      <w:r w:rsidRPr="009225D0">
        <w:rPr>
          <w:rFonts w:ascii="Book Antiqua" w:hAnsi="Book Antiqua" w:cs="Book Antiqua"/>
          <w:iCs/>
          <w:color w:val="000000" w:themeColor="text1"/>
          <w:kern w:val="0"/>
          <w:sz w:val="24"/>
        </w:rPr>
        <w:lastRenderedPageBreak/>
        <w:t>homolog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(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KRAS)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status and </w:t>
      </w:r>
      <w:r w:rsidR="00B617B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therapeutic effects of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anti-</w:t>
      </w:r>
      <w:r w:rsidR="009225D0" w:rsidRPr="00657C18">
        <w:rPr>
          <w:rFonts w:ascii="Book Antiqua" w:hAnsi="Book Antiqua" w:cs="Book Antiqua"/>
          <w:color w:val="000000" w:themeColor="text1"/>
          <w:kern w:val="0"/>
          <w:sz w:val="24"/>
        </w:rPr>
        <w:t>epidermal growth factor receptor (EGFR)</w:t>
      </w:r>
      <w:r w:rsidR="009225D0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monoclonal antibodies 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>(</w:t>
      </w:r>
      <w:proofErr w:type="spellStart"/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)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in metastatic colorectal cancer (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).</w:t>
      </w:r>
    </w:p>
    <w:p w:rsidR="00B5344D" w:rsidRDefault="00B5344D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iCs/>
          <w:color w:val="000000" w:themeColor="text1"/>
          <w:kern w:val="0"/>
          <w:sz w:val="24"/>
        </w:rPr>
      </w:pP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iCs/>
          <w:color w:val="000000" w:themeColor="text1"/>
          <w:kern w:val="0"/>
          <w:sz w:val="24"/>
        </w:rPr>
        <w:t>M</w:t>
      </w:r>
      <w:r w:rsidR="002A741E" w:rsidRPr="00657C18">
        <w:rPr>
          <w:rFonts w:ascii="Book Antiqua" w:hAnsi="Book Antiqua" w:cs="Book Antiqua"/>
          <w:b/>
          <w:iCs/>
          <w:color w:val="000000" w:themeColor="text1"/>
          <w:kern w:val="0"/>
          <w:sz w:val="24"/>
        </w:rPr>
        <w:t>ETHODS</w:t>
      </w:r>
      <w:r w:rsidR="00B617B0" w:rsidRPr="00657C18">
        <w:rPr>
          <w:rFonts w:ascii="Book Antiqua" w:hAnsi="Book Antiqua" w:cs="Book Antiqua"/>
          <w:color w:val="000000" w:themeColor="text1"/>
          <w:kern w:val="0"/>
          <w:sz w:val="24"/>
        </w:rPr>
        <w:t>: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Randomized control</w:t>
      </w:r>
      <w:r w:rsidR="00B617B0" w:rsidRPr="00657C18">
        <w:rPr>
          <w:rFonts w:ascii="Book Antiqua" w:hAnsi="Book Antiqua" w:cs="Book Antiqua"/>
          <w:color w:val="000000" w:themeColor="text1"/>
          <w:kern w:val="0"/>
          <w:sz w:val="24"/>
        </w:rPr>
        <w:t>led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trials </w:t>
      </w:r>
      <w:r w:rsidR="00B617B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(RCTs)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were identified </w:t>
      </w:r>
      <w:r w:rsidR="00B617B0" w:rsidRPr="00657C18">
        <w:rPr>
          <w:rFonts w:ascii="Book Antiqua" w:hAnsi="Book Antiqua" w:cs="Book Antiqua"/>
          <w:color w:val="000000" w:themeColor="text1"/>
          <w:kern w:val="0"/>
          <w:sz w:val="24"/>
        </w:rPr>
        <w:t>and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the association between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mutation and clinical outcome in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 treated with anti-EGFR </w:t>
      </w:r>
      <w:proofErr w:type="spellStart"/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="00B617B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was investigated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. </w:t>
      </w:r>
      <w:r w:rsidR="00551CFE" w:rsidRPr="00657C18">
        <w:rPr>
          <w:rFonts w:ascii="Book Antiqua" w:hAnsi="Book Antiqua" w:cs="Book Antiqua" w:hint="eastAsia"/>
          <w:color w:val="000000" w:themeColor="text1"/>
          <w:kern w:val="0"/>
          <w:sz w:val="24"/>
        </w:rPr>
        <w:t>Ten</w:t>
      </w:r>
      <w:r w:rsidR="00551CFE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RCTs were included in th</w:t>
      </w:r>
      <w:r w:rsidR="00B617B0" w:rsidRPr="00657C18">
        <w:rPr>
          <w:rFonts w:ascii="Book Antiqua" w:hAnsi="Book Antiqua" w:cs="Book Antiqua"/>
          <w:color w:val="000000" w:themeColor="text1"/>
          <w:kern w:val="0"/>
          <w:sz w:val="24"/>
        </w:rPr>
        <w:t>is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meta-analysis. Progression-free survival and overall survival were used to assess the strength of the relation</w:t>
      </w:r>
      <w:r w:rsidR="00B617B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ship between </w:t>
      </w:r>
      <w:r w:rsidR="00B617B0"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="00B617B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mutation and clinical outcome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.</w:t>
      </w:r>
    </w:p>
    <w:p w:rsidR="00B5344D" w:rsidRDefault="00B5344D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iCs/>
          <w:color w:val="000000" w:themeColor="text1"/>
          <w:kern w:val="0"/>
          <w:sz w:val="24"/>
        </w:rPr>
      </w:pP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iCs/>
          <w:color w:val="000000" w:themeColor="text1"/>
          <w:kern w:val="0"/>
          <w:sz w:val="24"/>
        </w:rPr>
        <w:t>R</w:t>
      </w:r>
      <w:r w:rsidR="002A741E" w:rsidRPr="00657C18">
        <w:rPr>
          <w:rFonts w:ascii="Book Antiqua" w:hAnsi="Book Antiqua" w:cs="Book Antiqua"/>
          <w:b/>
          <w:iCs/>
          <w:color w:val="000000" w:themeColor="text1"/>
          <w:kern w:val="0"/>
          <w:sz w:val="24"/>
        </w:rPr>
        <w:t>ESULTS</w:t>
      </w:r>
      <w:r w:rsidR="00B617B0" w:rsidRPr="00657C18">
        <w:rPr>
          <w:rFonts w:ascii="Book Antiqua" w:hAnsi="Book Antiqua" w:cs="Book Antiqua"/>
          <w:color w:val="000000" w:themeColor="text1"/>
          <w:kern w:val="0"/>
          <w:sz w:val="24"/>
        </w:rPr>
        <w:t>: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B617B0" w:rsidRPr="00657C18">
        <w:rPr>
          <w:rFonts w:ascii="Book Antiqua" w:hAnsi="Book Antiqua" w:cs="Book Antiqua"/>
          <w:color w:val="000000" w:themeColor="text1"/>
          <w:kern w:val="0"/>
          <w:sz w:val="24"/>
        </w:rPr>
        <w:t>In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first</w:t>
      </w:r>
      <w:r w:rsidR="00B617B0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line treatment, </w:t>
      </w:r>
      <w:r w:rsidR="00B617B0" w:rsidRPr="00657C18">
        <w:rPr>
          <w:rFonts w:ascii="Book Antiqua" w:hAnsi="Book Antiqua" w:cs="Book Antiqua"/>
          <w:color w:val="000000" w:themeColor="text1"/>
          <w:kern w:val="0"/>
          <w:sz w:val="24"/>
        </w:rPr>
        <w:t>survival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benefit was confined to </w:t>
      </w:r>
      <w:r w:rsidR="00B617B0" w:rsidRPr="00657C18">
        <w:rPr>
          <w:rFonts w:ascii="Book Antiqua" w:hAnsi="Book Antiqua" w:cs="Book Antiqua"/>
          <w:color w:val="000000" w:themeColor="text1"/>
          <w:kern w:val="0"/>
          <w:sz w:val="24"/>
        </w:rPr>
        <w:t>patients with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wild-type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. Chemotherapy regimen</w:t>
      </w:r>
      <w:r w:rsidR="002A741E"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and angiogenesis inhibitor treatment influence</w:t>
      </w:r>
      <w:r w:rsidR="00B617B0" w:rsidRPr="00657C18">
        <w:rPr>
          <w:rFonts w:ascii="Book Antiqua" w:hAnsi="Book Antiqua" w:cs="Book Antiqua"/>
          <w:color w:val="000000" w:themeColor="text1"/>
          <w:kern w:val="0"/>
          <w:sz w:val="24"/>
        </w:rPr>
        <w:t>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the </w:t>
      </w:r>
      <w:r w:rsidR="002A741E" w:rsidRPr="00657C18">
        <w:rPr>
          <w:rFonts w:ascii="Book Antiqua" w:hAnsi="Book Antiqua" w:cs="Book Antiqua"/>
          <w:color w:val="000000" w:themeColor="text1"/>
          <w:kern w:val="0"/>
          <w:sz w:val="24"/>
        </w:rPr>
        <w:t>results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of </w:t>
      </w:r>
      <w:r w:rsidR="002A741E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analysis. Wild-type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 </w:t>
      </w:r>
      <w:r w:rsidR="00B617B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did not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seem to benefit from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oxaliplatin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-based chemotherapy (PFS: 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HR =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0.88, 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0.70</w:t>
      </w:r>
      <w:r w:rsidR="002A741E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1.10; OS: 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HR =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0.93, 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0.82</w:t>
      </w:r>
      <w:r w:rsidR="002A741E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1.04). Clinical benefit </w:t>
      </w:r>
      <w:r w:rsidR="00B617B0" w:rsidRPr="00657C18">
        <w:rPr>
          <w:rFonts w:ascii="Book Antiqua" w:hAnsi="Book Antiqua" w:cs="Book Antiqua"/>
          <w:color w:val="000000" w:themeColor="text1"/>
          <w:kern w:val="0"/>
          <w:sz w:val="24"/>
        </w:rPr>
        <w:t>in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 was limited to therapeutic regimen</w:t>
      </w:r>
      <w:r w:rsidR="00B617B0"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which </w:t>
      </w:r>
      <w:r w:rsidR="00B617B0" w:rsidRPr="00657C18">
        <w:rPr>
          <w:rFonts w:ascii="Book Antiqua" w:hAnsi="Book Antiqua" w:cs="Book Antiqua"/>
          <w:color w:val="000000" w:themeColor="text1"/>
          <w:kern w:val="0"/>
          <w:sz w:val="24"/>
        </w:rPr>
        <w:t>includ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>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B617B0" w:rsidRPr="00657C18">
        <w:rPr>
          <w:rFonts w:ascii="Book Antiqua" w:hAnsi="Book Antiqua" w:cs="Book Antiqua"/>
          <w:color w:val="000000" w:themeColor="text1"/>
          <w:kern w:val="0"/>
          <w:sz w:val="24"/>
        </w:rPr>
        <w:t>and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fluorouracil</w:t>
      </w:r>
      <w:r w:rsidR="00B617B0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based therapy (PFS: HR</w:t>
      </w:r>
      <w:r w:rsidR="00B5344D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=</w:t>
      </w:r>
      <w:r w:rsidR="00B5344D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0.77, 95%CI</w:t>
      </w:r>
      <w:r w:rsidR="00B5344D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0.69</w:t>
      </w:r>
      <w:r w:rsidR="002A741E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0.86; OS: HR</w:t>
      </w:r>
      <w:r w:rsidR="00B5344D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=</w:t>
      </w:r>
      <w:r w:rsidR="00B5344D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0.85, 95%CI</w:t>
      </w:r>
      <w:r w:rsidR="00B5344D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0.75</w:t>
      </w:r>
      <w:r w:rsidR="002A741E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0.95). When anti-EGFR </w:t>
      </w:r>
      <w:proofErr w:type="spellStart"/>
      <w:r w:rsidR="00B617B0"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="00B617B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were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used as second</w:t>
      </w:r>
      <w:r w:rsidR="002A741E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or further</w:t>
      </w:r>
      <w:r w:rsidR="002A741E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line treatment, clinical benefit was still confined to </w:t>
      </w:r>
      <w:r w:rsidR="00B617B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patients with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wild-type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 xml:space="preserve"> 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. </w:t>
      </w:r>
    </w:p>
    <w:p w:rsidR="00B5344D" w:rsidRDefault="00B5344D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iCs/>
          <w:color w:val="000000" w:themeColor="text1"/>
          <w:kern w:val="0"/>
          <w:sz w:val="24"/>
        </w:rPr>
      </w:pP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iCs/>
          <w:color w:val="000000" w:themeColor="text1"/>
          <w:kern w:val="0"/>
          <w:sz w:val="24"/>
        </w:rPr>
        <w:t>C</w:t>
      </w:r>
      <w:r w:rsidR="002A741E" w:rsidRPr="00657C18">
        <w:rPr>
          <w:rFonts w:ascii="Book Antiqua" w:hAnsi="Book Antiqua" w:cs="Book Antiqua"/>
          <w:b/>
          <w:iCs/>
          <w:color w:val="000000" w:themeColor="text1"/>
          <w:kern w:val="0"/>
          <w:sz w:val="24"/>
        </w:rPr>
        <w:t>ONCLUSION</w:t>
      </w:r>
      <w:r w:rsidR="00B617B0" w:rsidRPr="00657C18">
        <w:rPr>
          <w:rFonts w:ascii="Book Antiqua" w:hAnsi="Book Antiqua" w:cs="Book Antiqua"/>
          <w:b/>
          <w:iCs/>
          <w:color w:val="000000" w:themeColor="text1"/>
          <w:kern w:val="0"/>
          <w:sz w:val="24"/>
        </w:rPr>
        <w:t>: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status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is a potential predictive marker 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>of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clinical benefit 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>due to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anti-EGFR </w:t>
      </w:r>
      <w:proofErr w:type="spellStart"/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>MoAb</w:t>
      </w:r>
      <w:proofErr w:type="spellEnd"/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therapy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>CRC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patients. </w:t>
      </w:r>
    </w:p>
    <w:p w:rsidR="00B5344D" w:rsidRDefault="00B5344D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</w:pPr>
    </w:p>
    <w:p w:rsidR="00B5344D" w:rsidRDefault="00B5344D" w:rsidP="00B5344D">
      <w:pPr>
        <w:spacing w:line="380" w:lineRule="exact"/>
        <w:rPr>
          <w:rFonts w:ascii="Book Antiqua" w:hAnsi="Book Antiqua" w:cs="Tahoma"/>
          <w:sz w:val="24"/>
        </w:rPr>
      </w:pPr>
      <w:r w:rsidRPr="00296ED3">
        <w:rPr>
          <w:rFonts w:ascii="Book Antiqua" w:hAnsi="Book Antiqua" w:cs="Tahoma" w:hint="eastAsia"/>
          <w:sz w:val="24"/>
          <w:lang w:eastAsia="ja-JP"/>
        </w:rPr>
        <w:t>©</w:t>
      </w:r>
      <w:r w:rsidRPr="00296ED3">
        <w:rPr>
          <w:rFonts w:ascii="Book Antiqua" w:hAnsi="Book Antiqua" w:cs="Tahoma"/>
          <w:sz w:val="24"/>
          <w:lang w:eastAsia="ja-JP"/>
        </w:rPr>
        <w:t xml:space="preserve"> 2014 </w:t>
      </w:r>
      <w:proofErr w:type="spellStart"/>
      <w:r w:rsidRPr="00296ED3">
        <w:rPr>
          <w:rFonts w:ascii="Book Antiqua" w:hAnsi="Book Antiqua" w:cs="Tahoma"/>
          <w:sz w:val="24"/>
          <w:lang w:eastAsia="ja-JP"/>
        </w:rPr>
        <w:t>Baishideng</w:t>
      </w:r>
      <w:proofErr w:type="spellEnd"/>
      <w:r w:rsidRPr="00296ED3">
        <w:rPr>
          <w:rFonts w:ascii="Book Antiqua" w:hAnsi="Book Antiqua" w:cs="Tahoma"/>
          <w:sz w:val="24"/>
          <w:lang w:eastAsia="ja-JP"/>
        </w:rPr>
        <w:t xml:space="preserve"> Publishing Group Inc. All rights reserved.</w:t>
      </w:r>
    </w:p>
    <w:p w:rsidR="00B5344D" w:rsidRPr="00B5344D" w:rsidRDefault="00B5344D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</w:pP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  <w:t>Key words: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Colorectal neoplasm</w:t>
      </w:r>
      <w:r w:rsidR="002A741E" w:rsidRPr="00657C18">
        <w:rPr>
          <w:rFonts w:ascii="Book Antiqua" w:hAnsi="Book Antiqua" w:cs="Book Antiqua"/>
          <w:color w:val="000000" w:themeColor="text1"/>
          <w:kern w:val="0"/>
          <w:sz w:val="24"/>
        </w:rPr>
        <w:t>;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C855D3" w:rsidRPr="009225D0">
        <w:rPr>
          <w:rFonts w:ascii="Book Antiqua" w:hAnsi="Book Antiqua" w:cs="Book Antiqua"/>
          <w:iCs/>
          <w:color w:val="000000" w:themeColor="text1"/>
          <w:kern w:val="0"/>
          <w:sz w:val="24"/>
        </w:rPr>
        <w:t>Kirsten rat sarcoma viral oncogene homolog</w:t>
      </w:r>
      <w:r w:rsidR="002A741E" w:rsidRPr="00657C18">
        <w:rPr>
          <w:rFonts w:ascii="Book Antiqua" w:hAnsi="Book Antiqua" w:cs="Book Antiqua"/>
          <w:color w:val="000000" w:themeColor="text1"/>
          <w:kern w:val="0"/>
          <w:sz w:val="24"/>
        </w:rPr>
        <w:t>;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="002A741E" w:rsidRPr="00657C18">
        <w:rPr>
          <w:rFonts w:ascii="Book Antiqua" w:hAnsi="Book Antiqua" w:cs="Book Antiqua"/>
          <w:color w:val="000000" w:themeColor="text1"/>
          <w:kern w:val="0"/>
          <w:sz w:val="24"/>
        </w:rPr>
        <w:t>C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etuximab</w:t>
      </w:r>
      <w:proofErr w:type="spellEnd"/>
      <w:r w:rsidR="002A741E" w:rsidRPr="00657C18">
        <w:rPr>
          <w:rFonts w:ascii="Book Antiqua" w:hAnsi="Book Antiqua" w:cs="Book Antiqua"/>
          <w:color w:val="000000" w:themeColor="text1"/>
          <w:kern w:val="0"/>
          <w:sz w:val="24"/>
        </w:rPr>
        <w:t>;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="002A741E" w:rsidRPr="00657C18">
        <w:rPr>
          <w:rFonts w:ascii="Book Antiqua" w:hAnsi="Book Antiqua" w:cs="Book Antiqua"/>
          <w:color w:val="000000" w:themeColor="text1"/>
          <w:kern w:val="0"/>
          <w:sz w:val="24"/>
        </w:rPr>
        <w:t>P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anitumumab</w:t>
      </w:r>
      <w:proofErr w:type="spellEnd"/>
      <w:r w:rsidR="002A741E" w:rsidRPr="00657C18">
        <w:rPr>
          <w:rFonts w:ascii="Book Antiqua" w:hAnsi="Book Antiqua" w:cs="Book Antiqua"/>
          <w:color w:val="000000" w:themeColor="text1"/>
          <w:kern w:val="0"/>
          <w:sz w:val="24"/>
        </w:rPr>
        <w:t>;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2A741E" w:rsidRPr="00657C18">
        <w:rPr>
          <w:rFonts w:ascii="Book Antiqua" w:hAnsi="Book Antiqua" w:cs="Book Antiqua"/>
          <w:color w:val="000000" w:themeColor="text1"/>
          <w:kern w:val="0"/>
          <w:sz w:val="24"/>
        </w:rPr>
        <w:t>M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eta-analysis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  <w:t xml:space="preserve">Core tip: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In this 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>study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, we evaluated the correlation between </w:t>
      </w:r>
      <w:r w:rsidR="00B47DD3" w:rsidRPr="009225D0">
        <w:rPr>
          <w:rFonts w:ascii="Book Antiqua" w:hAnsi="Book Antiqua" w:cs="Book Antiqua"/>
          <w:iCs/>
          <w:color w:val="000000" w:themeColor="text1"/>
          <w:kern w:val="0"/>
          <w:sz w:val="24"/>
        </w:rPr>
        <w:t xml:space="preserve">Kirsten rat sarcoma </w:t>
      </w:r>
      <w:r w:rsidR="00B47DD3" w:rsidRPr="009225D0">
        <w:rPr>
          <w:rFonts w:ascii="Book Antiqua" w:hAnsi="Book Antiqua" w:cs="Book Antiqua"/>
          <w:iCs/>
          <w:color w:val="000000" w:themeColor="text1"/>
          <w:kern w:val="0"/>
          <w:sz w:val="24"/>
        </w:rPr>
        <w:lastRenderedPageBreak/>
        <w:t>viral oncogene homolog</w:t>
      </w:r>
      <w:r w:rsidR="00B47DD3"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 xml:space="preserve"> </w:t>
      </w:r>
      <w:r w:rsidR="00B47DD3" w:rsidRPr="00B47DD3">
        <w:rPr>
          <w:rFonts w:ascii="Book Antiqua" w:hAnsi="Book Antiqua" w:cs="Book Antiqua"/>
          <w:color w:val="000000" w:themeColor="text1"/>
          <w:kern w:val="0"/>
          <w:sz w:val="24"/>
        </w:rPr>
        <w:t>(</w:t>
      </w:r>
      <w:r w:rsidR="00B47DD3"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="00B47DD3" w:rsidRPr="00B47DD3">
        <w:rPr>
          <w:rFonts w:ascii="Book Antiqua" w:hAnsi="Book Antiqua" w:cs="Book Antiqua"/>
          <w:iCs/>
          <w:color w:val="000000" w:themeColor="text1"/>
          <w:kern w:val="0"/>
          <w:sz w:val="24"/>
        </w:rPr>
        <w:t>)</w:t>
      </w:r>
      <w:r w:rsidR="00B47DD3" w:rsidRPr="00B47DD3">
        <w:rPr>
          <w:rFonts w:ascii="Book Antiqua" w:hAnsi="Book Antiqua" w:cs="Book Antiqua" w:hint="eastAsia"/>
          <w:iCs/>
          <w:color w:val="000000" w:themeColor="text1"/>
          <w:kern w:val="0"/>
          <w:sz w:val="24"/>
        </w:rPr>
        <w:t xml:space="preserve"> </w:t>
      </w:r>
      <w:r w:rsidRPr="00B47DD3">
        <w:rPr>
          <w:rFonts w:ascii="Book Antiqua" w:hAnsi="Book Antiqua" w:cs="Book Antiqua"/>
          <w:iCs/>
          <w:color w:val="000000" w:themeColor="text1"/>
          <w:kern w:val="0"/>
          <w:sz w:val="24"/>
        </w:rPr>
        <w:t>status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and 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therapeutic effects of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anti-</w:t>
      </w:r>
      <w:r w:rsidR="009225D0" w:rsidRPr="00657C18">
        <w:rPr>
          <w:rFonts w:ascii="Book Antiqua" w:hAnsi="Book Antiqua" w:cs="Book Antiqua"/>
          <w:color w:val="000000" w:themeColor="text1"/>
          <w:kern w:val="0"/>
          <w:sz w:val="24"/>
        </w:rPr>
        <w:t>epidermal growth factor receptor (EGFR)</w:t>
      </w:r>
      <w:r w:rsidR="009225D0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="00B47DD3" w:rsidRPr="00657C18">
        <w:rPr>
          <w:rFonts w:ascii="Book Antiqua" w:hAnsi="Book Antiqua" w:cs="Book Antiqua"/>
          <w:color w:val="000000" w:themeColor="text1"/>
          <w:kern w:val="0"/>
          <w:sz w:val="24"/>
        </w:rPr>
        <w:t>monoclonal antibodies (</w:t>
      </w:r>
      <w:proofErr w:type="spellStart"/>
      <w:r w:rsidR="00B47DD3"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="00B47DD3" w:rsidRPr="00657C18">
        <w:rPr>
          <w:rFonts w:ascii="Book Antiqua" w:hAnsi="Book Antiqua" w:cs="Book Antiqua"/>
          <w:color w:val="000000" w:themeColor="text1"/>
          <w:kern w:val="0"/>
          <w:sz w:val="24"/>
        </w:rPr>
        <w:t>)</w:t>
      </w:r>
      <w:r w:rsidR="00B47DD3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in </w:t>
      </w:r>
      <w:r w:rsidR="002A741E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patients with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metastatic colorectal cancer. We focused on the relation</w:t>
      </w:r>
      <w:r w:rsidR="002A741E" w:rsidRPr="00657C18">
        <w:rPr>
          <w:rFonts w:ascii="Book Antiqua" w:hAnsi="Book Antiqua" w:cs="Book Antiqua"/>
          <w:color w:val="000000" w:themeColor="text1"/>
          <w:kern w:val="0"/>
          <w:sz w:val="24"/>
        </w:rPr>
        <w:t>ship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between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 xml:space="preserve"> KRAS status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and 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curative effect of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 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patients with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metastatic colorectal cancer, and conducted a system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>at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ic meta-analysis 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>of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chemotherapy regimen</w:t>
      </w:r>
      <w:r w:rsidR="002A741E"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, line of treatment and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bevacizumab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treatment. 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>This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2A741E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analysis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provides the first evidence that 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patients with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wild-type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metastatic colorectal cancer 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>may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not benefit from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>and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oxaliplatin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-based therapy as first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line treatment. Clinical benefit was confined to therapeutic regimen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>which included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>and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fluorouracil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based therapy.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</w:p>
    <w:p w:rsidR="00B4683B" w:rsidRPr="008E267B" w:rsidRDefault="00B4683B" w:rsidP="00B4683B">
      <w:pPr>
        <w:spacing w:line="380" w:lineRule="exact"/>
        <w:rPr>
          <w:rFonts w:ascii="Book Antiqua" w:hAnsi="Book Antiqua"/>
          <w:sz w:val="24"/>
        </w:rPr>
      </w:pP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Song</w:t>
      </w:r>
      <w:r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QB</w:t>
      </w:r>
      <w:r w:rsidRPr="00657C18">
        <w:rPr>
          <w:rFonts w:ascii="Book Antiqua" w:hAnsi="Book Antiqua" w:cs="Book Antiqua" w:hint="eastAsia"/>
          <w:color w:val="000000" w:themeColor="text1"/>
          <w:kern w:val="0"/>
          <w:sz w:val="24"/>
        </w:rPr>
        <w:t>,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Wang</w:t>
      </w:r>
      <w:r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Q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, Hu </w:t>
      </w:r>
      <w:r>
        <w:rPr>
          <w:rFonts w:ascii="Book Antiqua" w:hAnsi="Book Antiqua" w:cs="Book Antiqua" w:hint="eastAsia"/>
          <w:color w:val="000000" w:themeColor="text1"/>
          <w:kern w:val="0"/>
          <w:sz w:val="24"/>
        </w:rPr>
        <w:t>WG.</w:t>
      </w:r>
      <w:r w:rsidRPr="00B4683B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B4683B">
        <w:rPr>
          <w:rFonts w:ascii="Book Antiqua" w:hAnsi="Book Antiqua" w:cs="Book Antiqua"/>
          <w:bCs/>
          <w:color w:val="000000" w:themeColor="text1"/>
          <w:kern w:val="0"/>
          <w:sz w:val="24"/>
        </w:rPr>
        <w:t>Anti-EGFR monoclonal antibodies in metastatic colorectal cancer: A meta-analysis</w:t>
      </w:r>
      <w:r>
        <w:rPr>
          <w:rFonts w:ascii="Book Antiqua" w:hAnsi="Book Antiqua" w:cs="Book Antiqua" w:hint="eastAsia"/>
          <w:bCs/>
          <w:color w:val="000000" w:themeColor="text1"/>
          <w:kern w:val="0"/>
          <w:sz w:val="24"/>
        </w:rPr>
        <w:t xml:space="preserve">. </w:t>
      </w:r>
      <w:r w:rsidRPr="00993FDB">
        <w:rPr>
          <w:rFonts w:ascii="Book Antiqua" w:hAnsi="Book Antiqua"/>
          <w:i/>
          <w:sz w:val="24"/>
        </w:rPr>
        <w:t xml:space="preserve">World J </w:t>
      </w:r>
      <w:proofErr w:type="spellStart"/>
      <w:r w:rsidRPr="00993FDB">
        <w:rPr>
          <w:rFonts w:ascii="Book Antiqua" w:hAnsi="Book Antiqua"/>
          <w:i/>
          <w:sz w:val="24"/>
        </w:rPr>
        <w:t>Gastroenterol</w:t>
      </w:r>
      <w:proofErr w:type="spellEnd"/>
      <w:r w:rsidRPr="00993FDB">
        <w:rPr>
          <w:rFonts w:ascii="Book Antiqua" w:hAnsi="Book Antiqua"/>
          <w:sz w:val="24"/>
        </w:rPr>
        <w:t xml:space="preserve"> 201</w:t>
      </w:r>
      <w:r w:rsidRPr="00993FDB">
        <w:rPr>
          <w:rFonts w:ascii="Book Antiqua" w:hAnsi="Book Antiqua" w:hint="eastAsia"/>
          <w:sz w:val="24"/>
        </w:rPr>
        <w:t>4</w:t>
      </w:r>
      <w:r w:rsidRPr="00993FDB">
        <w:rPr>
          <w:rFonts w:ascii="Book Antiqua" w:hAnsi="Book Antiqua"/>
          <w:sz w:val="24"/>
        </w:rPr>
        <w:t xml:space="preserve">; </w:t>
      </w:r>
      <w:proofErr w:type="gramStart"/>
      <w:r w:rsidRPr="00993FDB">
        <w:rPr>
          <w:rFonts w:ascii="Book Antiqua" w:hAnsi="Book Antiqua" w:hint="eastAsia"/>
          <w:sz w:val="24"/>
        </w:rPr>
        <w:t>In</w:t>
      </w:r>
      <w:proofErr w:type="gramEnd"/>
      <w:r w:rsidRPr="00993FDB">
        <w:rPr>
          <w:rFonts w:ascii="Book Antiqua" w:hAnsi="Book Antiqua" w:hint="eastAsia"/>
          <w:sz w:val="24"/>
        </w:rPr>
        <w:t xml:space="preserve"> </w:t>
      </w:r>
      <w:r w:rsidRPr="00993FDB">
        <w:rPr>
          <w:rFonts w:ascii="Book Antiqua" w:hAnsi="Book Antiqua"/>
          <w:sz w:val="24"/>
        </w:rPr>
        <w:t>p</w:t>
      </w:r>
      <w:r w:rsidRPr="00993FDB">
        <w:rPr>
          <w:rFonts w:ascii="Book Antiqua" w:hAnsi="Book Antiqua" w:hint="eastAsia"/>
          <w:sz w:val="24"/>
        </w:rPr>
        <w:t>ress</w:t>
      </w:r>
    </w:p>
    <w:p w:rsidR="00D249A6" w:rsidRDefault="00D249A6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caps/>
          <w:color w:val="000000" w:themeColor="text1"/>
          <w:kern w:val="0"/>
          <w:sz w:val="24"/>
        </w:rPr>
      </w:pPr>
    </w:p>
    <w:p w:rsidR="004C51EE" w:rsidRPr="00B4683B" w:rsidRDefault="004C51EE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caps/>
          <w:color w:val="000000" w:themeColor="text1"/>
          <w:kern w:val="0"/>
          <w:sz w:val="24"/>
        </w:rPr>
      </w:pP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caps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bCs/>
          <w:caps/>
          <w:color w:val="000000" w:themeColor="text1"/>
          <w:kern w:val="0"/>
          <w:sz w:val="24"/>
        </w:rPr>
        <w:t>Introduction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Colorectal cancer is one of the most common human malignant disease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and 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>a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leading cause of cancer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related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death worldwide, accounting for approximately of all cancer incidence and </w:t>
      </w:r>
      <w:proofErr w:type="gram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mortality</w:t>
      </w:r>
      <w:r w:rsidR="00307392" w:rsidRPr="00657C18">
        <w:rPr>
          <w:rFonts w:ascii="Book Antiqua" w:hAnsi="Book Antiqua" w:cs="Book Antiqua" w:hint="eastAsia"/>
          <w:color w:val="000000" w:themeColor="text1"/>
          <w:kern w:val="0"/>
          <w:sz w:val="24"/>
          <w:vertAlign w:val="superscript"/>
        </w:rPr>
        <w:t>[</w:t>
      </w:r>
      <w:proofErr w:type="gramEnd"/>
      <w:r w:rsidR="00307392" w:rsidRPr="00657C18">
        <w:rPr>
          <w:rFonts w:ascii="Book Antiqua" w:hAnsi="Book Antiqua" w:cs="Book Antiqua" w:hint="eastAsia"/>
          <w:color w:val="000000" w:themeColor="text1"/>
          <w:kern w:val="0"/>
          <w:sz w:val="24"/>
          <w:vertAlign w:val="superscript"/>
        </w:rPr>
        <w:t>1]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. Over the last decade, the availability of combination chemotherapy and targeted agents has improved the median survival of patients with metastatic colorectal cancer (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proofErr w:type="gram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)</w:t>
      </w:r>
      <w:r w:rsidR="00307392" w:rsidRPr="00657C18">
        <w:rPr>
          <w:rFonts w:ascii="Book Antiqua" w:hAnsi="Book Antiqua" w:cs="Book Antiqua" w:hint="eastAsia"/>
          <w:color w:val="000000" w:themeColor="text1"/>
          <w:kern w:val="0"/>
          <w:sz w:val="24"/>
          <w:vertAlign w:val="superscript"/>
        </w:rPr>
        <w:t>[</w:t>
      </w:r>
      <w:proofErr w:type="gramEnd"/>
      <w:r w:rsidR="00307392" w:rsidRPr="00657C18">
        <w:rPr>
          <w:rFonts w:ascii="Book Antiqua" w:hAnsi="Book Antiqua" w:cs="Book Antiqua" w:hint="eastAsia"/>
          <w:color w:val="000000" w:themeColor="text1"/>
          <w:kern w:val="0"/>
          <w:sz w:val="24"/>
          <w:vertAlign w:val="superscript"/>
        </w:rPr>
        <w:t>2,3]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. Two biological agents, 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monoclonal antibodies (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</w:t>
      </w:r>
      <w:r w:rsidR="00A239C6"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)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>,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cetuximab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and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panitumumab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, which target </w:t>
      </w:r>
      <w:r w:rsidR="004C03F2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epidermal growth factor receptor (EGFR) have been approved by the </w:t>
      </w:r>
      <w:r w:rsidR="00C855D3" w:rsidRPr="00C855D3">
        <w:rPr>
          <w:rFonts w:ascii="Book Antiqua" w:hAnsi="Book Antiqua" w:cs="Book Antiqua"/>
          <w:color w:val="000000" w:themeColor="text1"/>
          <w:kern w:val="0"/>
          <w:sz w:val="24"/>
        </w:rPr>
        <w:t>food and drug administration</w:t>
      </w:r>
      <w:r w:rsidR="00C855D3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(FDA)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for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</w:t>
      </w:r>
      <w:r w:rsidR="002A741E" w:rsidRPr="00657C18">
        <w:rPr>
          <w:rFonts w:ascii="Book Antiqua" w:hAnsi="Book Antiqua" w:cs="Book Antiqua"/>
          <w:color w:val="000000" w:themeColor="text1"/>
          <w:kern w:val="0"/>
          <w:sz w:val="24"/>
        </w:rPr>
        <w:t>CRC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. </w:t>
      </w:r>
      <w:r w:rsidR="001F1DB5" w:rsidRPr="009225D0">
        <w:rPr>
          <w:rFonts w:ascii="Book Antiqua" w:hAnsi="Book Antiqua" w:cs="Book Antiqua"/>
          <w:iCs/>
          <w:color w:val="000000" w:themeColor="text1"/>
          <w:kern w:val="0"/>
          <w:sz w:val="24"/>
        </w:rPr>
        <w:t>Kirsten rat sarcoma viral oncogene homolog</w:t>
      </w:r>
      <w:r w:rsidR="001F1DB5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(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="001F1DB5">
        <w:rPr>
          <w:rFonts w:ascii="Book Antiqua" w:hAnsi="Book Antiqua" w:cs="Book Antiqua" w:hint="eastAsia"/>
          <w:iCs/>
          <w:color w:val="000000" w:themeColor="text1"/>
          <w:kern w:val="0"/>
          <w:sz w:val="24"/>
        </w:rPr>
        <w:t>)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mutations have emerged as major predictive marker</w:t>
      </w:r>
      <w:r w:rsidR="002A741E"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of resistance to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. Th</w:t>
      </w:r>
      <w:r w:rsidR="00A239C6" w:rsidRPr="00657C18">
        <w:rPr>
          <w:rFonts w:ascii="Book Antiqua" w:hAnsi="Book Antiqua" w:cs="Book Antiqua"/>
          <w:color w:val="000000" w:themeColor="text1"/>
          <w:kern w:val="0"/>
          <w:sz w:val="24"/>
        </w:rPr>
        <w:t>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se observations have been shown </w:t>
      </w:r>
      <w:r w:rsidR="00A239C6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to be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beneficial in small single-arm data and some retrospective analys</w:t>
      </w:r>
      <w:r w:rsidR="00A239C6" w:rsidRPr="00657C18">
        <w:rPr>
          <w:rFonts w:ascii="Book Antiqua" w:hAnsi="Book Antiqua" w:cs="Book Antiqua"/>
          <w:color w:val="000000" w:themeColor="text1"/>
          <w:kern w:val="0"/>
          <w:sz w:val="24"/>
        </w:rPr>
        <w:t>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s of large phase III </w:t>
      </w:r>
      <w:proofErr w:type="gram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studies</w:t>
      </w:r>
      <w:r w:rsidR="00307392" w:rsidRPr="00657C18">
        <w:rPr>
          <w:rFonts w:ascii="Book Antiqua" w:hAnsi="Book Antiqua" w:cs="Book Antiqua"/>
          <w:color w:val="000000" w:themeColor="text1"/>
          <w:kern w:val="0"/>
          <w:sz w:val="24"/>
          <w:vertAlign w:val="superscript"/>
        </w:rPr>
        <w:t>[</w:t>
      </w:r>
      <w:proofErr w:type="gramEnd"/>
      <w:r w:rsidR="00307392" w:rsidRPr="00657C18">
        <w:rPr>
          <w:rFonts w:ascii="Book Antiqua" w:hAnsi="Book Antiqua" w:cs="Book Antiqua" w:hint="eastAsia"/>
          <w:color w:val="000000" w:themeColor="text1"/>
          <w:kern w:val="0"/>
          <w:sz w:val="24"/>
          <w:vertAlign w:val="superscript"/>
        </w:rPr>
        <w:t>4-7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  <w:vertAlign w:val="superscript"/>
        </w:rPr>
        <w:t>]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. The results of previous reviews demonstrated </w:t>
      </w:r>
      <w:r w:rsidR="00A239C6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that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</w:t>
      </w:r>
      <w:r w:rsidR="00A239C6" w:rsidRPr="00657C18">
        <w:rPr>
          <w:rFonts w:ascii="Book Antiqua" w:hAnsi="Book Antiqua" w:cs="Book Antiqua"/>
          <w:color w:val="000000" w:themeColor="text1"/>
          <w:kern w:val="0"/>
          <w:sz w:val="24"/>
        </w:rPr>
        <w:t>CRC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 with mutant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did not </w:t>
      </w:r>
      <w:r w:rsidR="00A239C6" w:rsidRPr="00657C18">
        <w:rPr>
          <w:rFonts w:ascii="Book Antiqua" w:hAnsi="Book Antiqua" w:cs="Book Antiqua"/>
          <w:color w:val="000000" w:themeColor="text1"/>
          <w:kern w:val="0"/>
          <w:sz w:val="24"/>
        </w:rPr>
        <w:t>benefit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from treatment with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lastRenderedPageBreak/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either alone or in combination with standard chemotherapy. However, these reviews included data from retrospective and non-randomized studies. Following </w:t>
      </w:r>
      <w:r w:rsidR="00A239C6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completion of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several large phase III clinical trials,</w:t>
      </w:r>
      <w:r w:rsidR="00A239C6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the role of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mutation in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should be re</w:t>
      </w:r>
      <w:r w:rsidR="002A741E" w:rsidRPr="00657C18">
        <w:rPr>
          <w:rFonts w:ascii="Book Antiqua" w:hAnsi="Book Antiqua" w:cs="Book Antiqua"/>
          <w:color w:val="000000" w:themeColor="text1"/>
          <w:kern w:val="0"/>
          <w:sz w:val="24"/>
        </w:rPr>
        <w:t>de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fined. We aimed to provide a comprehensive e</w:t>
      </w:r>
      <w:r w:rsidR="00A239C6" w:rsidRPr="00657C18">
        <w:rPr>
          <w:rFonts w:ascii="Book Antiqua" w:hAnsi="Book Antiqua" w:cs="Book Antiqua"/>
          <w:color w:val="000000" w:themeColor="text1"/>
          <w:kern w:val="0"/>
          <w:sz w:val="24"/>
        </w:rPr>
        <w:t>valuation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of the relation</w:t>
      </w:r>
      <w:r w:rsidR="00A239C6" w:rsidRPr="00657C18">
        <w:rPr>
          <w:rFonts w:ascii="Book Antiqua" w:hAnsi="Book Antiqua" w:cs="Book Antiqua"/>
          <w:color w:val="000000" w:themeColor="text1"/>
          <w:kern w:val="0"/>
          <w:sz w:val="24"/>
        </w:rPr>
        <w:t>ship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between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status and the </w:t>
      </w:r>
      <w:r w:rsidR="00A239C6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therapeutic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effects of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patients. Analyses were conducted </w:t>
      </w:r>
      <w:r w:rsidR="00A239C6" w:rsidRPr="00657C18">
        <w:rPr>
          <w:rFonts w:ascii="Book Antiqua" w:hAnsi="Book Antiqua" w:cs="Book Antiqua"/>
          <w:color w:val="000000" w:themeColor="text1"/>
          <w:kern w:val="0"/>
          <w:sz w:val="24"/>
        </w:rPr>
        <w:t>on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chemotherapy regimen</w:t>
      </w:r>
      <w:r w:rsidR="00A239C6"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, line of treatment and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bevacizumab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treatment. </w:t>
      </w:r>
    </w:p>
    <w:p w:rsidR="00D249A6" w:rsidRPr="00657C18" w:rsidRDefault="00D249A6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</w:pP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  <w:t>M</w:t>
      </w:r>
      <w:r w:rsidR="00A239C6" w:rsidRPr="00657C18"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  <w:t>ATERIALS AND METHODS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i/>
          <w:color w:val="000000" w:themeColor="text1"/>
          <w:kern w:val="0"/>
          <w:sz w:val="24"/>
        </w:rPr>
        <w:t>Publication search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Systematic computerized searches of PubMed (up to December 14, 2013) were performed. The search was further augmented by checking the clinical trial registry (</w:t>
      </w:r>
      <w:hyperlink r:id="rId9" w:history="1">
        <w:r w:rsidRPr="00BB7701">
          <w:rPr>
            <w:rFonts w:ascii="Book Antiqua" w:hAnsi="Book Antiqua" w:cs="Book Antiqua"/>
            <w:color w:val="000000" w:themeColor="text1"/>
            <w:kern w:val="0"/>
            <w:sz w:val="24"/>
          </w:rPr>
          <w:t>www.clinicaltrials.gov</w:t>
        </w:r>
      </w:hyperlink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) for additional studies. </w:t>
      </w:r>
      <w:r w:rsidR="00A239C6" w:rsidRPr="00657C18">
        <w:rPr>
          <w:rFonts w:ascii="Book Antiqua" w:hAnsi="Book Antiqua" w:cs="Book Antiqua"/>
          <w:color w:val="000000" w:themeColor="text1"/>
          <w:kern w:val="0"/>
          <w:sz w:val="24"/>
        </w:rPr>
        <w:t>The f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ollowing search terms were u</w:t>
      </w:r>
      <w:r w:rsidR="00A239C6" w:rsidRPr="00657C18">
        <w:rPr>
          <w:rFonts w:ascii="Book Antiqua" w:hAnsi="Book Antiqua" w:cs="Book Antiqua"/>
          <w:color w:val="000000" w:themeColor="text1"/>
          <w:kern w:val="0"/>
          <w:sz w:val="24"/>
        </w:rPr>
        <w:t>sed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: “metastatic rectal cancer”, “metastatic colon cancer”, “metastatic colorectal cancer”, “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”, “KRAS”, “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cetuximab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’’,  “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panitumumab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”, “monoclonal antibodies”, “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”. The search was limited to human studies. All eligible studies were retrieved, and their bibliographies were </w:t>
      </w:r>
      <w:r w:rsidR="00946FC1" w:rsidRPr="00657C18">
        <w:rPr>
          <w:rFonts w:ascii="Book Antiqua" w:hAnsi="Book Antiqua" w:cs="Book Antiqua"/>
          <w:color w:val="000000" w:themeColor="text1"/>
          <w:kern w:val="0"/>
          <w:sz w:val="24"/>
        </w:rPr>
        <w:t>examined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for other relevant publications. The results of a randomized controlled trial </w:t>
      </w:r>
      <w:r w:rsidR="0027537F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are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often published in a series of articles, </w:t>
      </w:r>
      <w:r w:rsidR="0027537F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thus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when the same data w</w:t>
      </w:r>
      <w:r w:rsidR="0027537F" w:rsidRPr="00657C18">
        <w:rPr>
          <w:rFonts w:ascii="Book Antiqua" w:hAnsi="Book Antiqua" w:cs="Book Antiqua"/>
          <w:color w:val="000000" w:themeColor="text1"/>
          <w:kern w:val="0"/>
          <w:sz w:val="24"/>
        </w:rPr>
        <w:t>ere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used in several publications, the most recent, largest or complete study of these publications was included in this meta-analysis. </w:t>
      </w:r>
    </w:p>
    <w:p w:rsidR="00BB7701" w:rsidRDefault="00BB7701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i/>
          <w:color w:val="000000" w:themeColor="text1"/>
          <w:kern w:val="0"/>
          <w:sz w:val="24"/>
        </w:rPr>
      </w:pP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i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i/>
          <w:color w:val="000000" w:themeColor="text1"/>
          <w:kern w:val="0"/>
          <w:sz w:val="24"/>
        </w:rPr>
        <w:t>Inclusion criteria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The included studies met the following criteria: (1) Randomized control</w:t>
      </w:r>
      <w:r w:rsidR="0027537F" w:rsidRPr="00657C18">
        <w:rPr>
          <w:rFonts w:ascii="Book Antiqua" w:hAnsi="Book Antiqua" w:cs="Book Antiqua"/>
          <w:color w:val="000000" w:themeColor="text1"/>
          <w:kern w:val="0"/>
          <w:sz w:val="24"/>
        </w:rPr>
        <w:t>led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trials published as articles </w:t>
      </w:r>
      <w:r w:rsidR="0027537F" w:rsidRPr="00657C18">
        <w:rPr>
          <w:rFonts w:ascii="Book Antiqua" w:hAnsi="Book Antiqua" w:cs="Book Antiqua"/>
          <w:color w:val="000000" w:themeColor="text1"/>
          <w:kern w:val="0"/>
          <w:sz w:val="24"/>
        </w:rPr>
        <w:t>which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compared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plus chemotherapy or best supportive care (BSC) with chemotherapy or BSC alone </w:t>
      </w:r>
      <w:r w:rsidR="0027537F" w:rsidRPr="00657C18">
        <w:rPr>
          <w:rFonts w:ascii="Book Antiqua" w:hAnsi="Book Antiqua" w:cs="Book Antiqua"/>
          <w:color w:val="000000" w:themeColor="text1"/>
          <w:kern w:val="0"/>
          <w:sz w:val="24"/>
        </w:rPr>
        <w:t>in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 with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; (2) Studies e</w:t>
      </w:r>
      <w:r w:rsidR="0027537F" w:rsidRPr="00657C18">
        <w:rPr>
          <w:rFonts w:ascii="Book Antiqua" w:hAnsi="Book Antiqua" w:cs="Book Antiqua"/>
          <w:color w:val="000000" w:themeColor="text1"/>
          <w:kern w:val="0"/>
          <w:sz w:val="24"/>
        </w:rPr>
        <w:t>valuating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the relationship between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mutation status and response to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patients; (3) Provid</w:t>
      </w:r>
      <w:r w:rsidR="0027537F" w:rsidRPr="00657C18">
        <w:rPr>
          <w:rFonts w:ascii="Book Antiqua" w:hAnsi="Book Antiqua" w:cs="Book Antiqua"/>
          <w:color w:val="000000" w:themeColor="text1"/>
          <w:kern w:val="0"/>
          <w:sz w:val="24"/>
        </w:rPr>
        <w:t>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adequate data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lastRenderedPageBreak/>
        <w:t xml:space="preserve">on progression-free survival (PFS) and overall survival (OS); </w:t>
      </w:r>
      <w:r w:rsidR="00BB7701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and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(4) Studies with full text articles.</w:t>
      </w:r>
    </w:p>
    <w:p w:rsidR="00E113FF" w:rsidRDefault="00E113FF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i/>
          <w:color w:val="000000" w:themeColor="text1"/>
          <w:kern w:val="0"/>
          <w:sz w:val="24"/>
        </w:rPr>
      </w:pP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i/>
          <w:color w:val="000000" w:themeColor="text1"/>
          <w:kern w:val="0"/>
          <w:sz w:val="24"/>
        </w:rPr>
        <w:t>Data extraction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Information was carefully extracted from all eligible studies. The following data were collected from each study: first author</w:t>
      </w:r>
      <w:r w:rsidRPr="00657C18">
        <w:rPr>
          <w:rFonts w:ascii="宋体" w:hAnsi="Book Antiqua" w:cs="宋体"/>
          <w:color w:val="000000" w:themeColor="text1"/>
          <w:kern w:val="0"/>
          <w:sz w:val="24"/>
        </w:rPr>
        <w:t>’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s name, year of publication, </w:t>
      </w:r>
      <w:r w:rsidR="0027537F" w:rsidRPr="00657C18">
        <w:rPr>
          <w:rFonts w:ascii="Book Antiqua" w:hAnsi="Book Antiqua" w:cs="Book Antiqua"/>
          <w:color w:val="000000" w:themeColor="text1"/>
          <w:kern w:val="0"/>
          <w:sz w:val="24"/>
        </w:rPr>
        <w:t>number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of patients screened, study treatment protocols, response criteria, </w:t>
      </w:r>
      <w:r w:rsidR="0027537F" w:rsidRPr="00657C18">
        <w:rPr>
          <w:rFonts w:ascii="Book Antiqua" w:hAnsi="Book Antiqua" w:cs="Book Antiqua"/>
          <w:color w:val="000000" w:themeColor="text1"/>
          <w:kern w:val="0"/>
          <w:sz w:val="24"/>
        </w:rPr>
        <w:t>number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of patients by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mutation status, line of treatment, PFS and OS. The clinical endpoints were extracted separately according to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status. Data extraction was </w:t>
      </w:r>
      <w:r w:rsidR="0027537F" w:rsidRPr="00657C18">
        <w:rPr>
          <w:rFonts w:ascii="Book Antiqua" w:hAnsi="Book Antiqua" w:cs="Book Antiqua"/>
          <w:color w:val="000000" w:themeColor="text1"/>
          <w:kern w:val="0"/>
          <w:sz w:val="24"/>
        </w:rPr>
        <w:t>performed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independently by two of the authors. Disagreement was resolved by discussion between the two authors. If the two authors could not reach a consensus, another author was consulted and a final decision w</w:t>
      </w:r>
      <w:r w:rsidR="0027537F" w:rsidRPr="00657C18">
        <w:rPr>
          <w:rFonts w:ascii="Book Antiqua" w:hAnsi="Book Antiqua" w:cs="Book Antiqua"/>
          <w:color w:val="000000" w:themeColor="text1"/>
          <w:kern w:val="0"/>
          <w:sz w:val="24"/>
        </w:rPr>
        <w:t>as made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by </w:t>
      </w:r>
      <w:r w:rsidR="00946FC1" w:rsidRPr="00657C18">
        <w:rPr>
          <w:rFonts w:ascii="Book Antiqua" w:hAnsi="Book Antiqua" w:cs="Book Antiqua"/>
          <w:color w:val="000000" w:themeColor="text1"/>
          <w:kern w:val="0"/>
          <w:sz w:val="24"/>
        </w:rPr>
        <w:t>voting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.</w:t>
      </w:r>
    </w:p>
    <w:p w:rsidR="00E113FF" w:rsidRDefault="00E113FF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i/>
          <w:color w:val="000000" w:themeColor="text1"/>
          <w:kern w:val="0"/>
          <w:sz w:val="24"/>
        </w:rPr>
      </w:pP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i/>
          <w:color w:val="000000" w:themeColor="text1"/>
          <w:kern w:val="0"/>
          <w:sz w:val="24"/>
        </w:rPr>
        <w:t>Statistical methods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primary endpoints were PFS and OS. The association between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status and PFS or OS was expressed as </w:t>
      </w:r>
      <w:r w:rsidR="0027537F" w:rsidRPr="00657C18">
        <w:rPr>
          <w:rFonts w:ascii="Book Antiqua" w:hAnsi="Book Antiqua" w:cs="Book Antiqua"/>
          <w:color w:val="000000" w:themeColor="text1"/>
          <w:kern w:val="0"/>
          <w:sz w:val="24"/>
        </w:rPr>
        <w:t>the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hazard ratio (HR). Heterogeneity was </w:t>
      </w:r>
      <w:r w:rsidR="0027537F" w:rsidRPr="00657C18">
        <w:rPr>
          <w:rFonts w:ascii="Book Antiqua" w:hAnsi="Book Antiqua" w:cs="Book Antiqua"/>
          <w:color w:val="000000" w:themeColor="text1"/>
          <w:kern w:val="0"/>
          <w:sz w:val="24"/>
        </w:rPr>
        <w:t>assessed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by </w:t>
      </w:r>
      <w:r w:rsidR="0027537F" w:rsidRPr="00657C18">
        <w:rPr>
          <w:rFonts w:ascii="Book Antiqua" w:hAnsi="Book Antiqua" w:cs="Book Antiqua"/>
          <w:color w:val="000000" w:themeColor="text1"/>
          <w:kern w:val="0"/>
          <w:sz w:val="24"/>
        </w:rPr>
        <w:t>the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Pr="00E113FF">
        <w:rPr>
          <w:rFonts w:ascii="Book Antiqua" w:hAnsi="Book Antiqua" w:cs="Book Antiqua"/>
          <w:i/>
          <w:color w:val="000000" w:themeColor="text1"/>
          <w:kern w:val="0"/>
          <w:sz w:val="24"/>
        </w:rPr>
        <w:t>Q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proofErr w:type="gram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test</w:t>
      </w:r>
      <w:r w:rsidR="00307392" w:rsidRPr="00657C18">
        <w:rPr>
          <w:rFonts w:ascii="Book Antiqua" w:hAnsi="Book Antiqua" w:cs="Book Antiqua" w:hint="eastAsia"/>
          <w:color w:val="000000" w:themeColor="text1"/>
          <w:kern w:val="0"/>
          <w:sz w:val="24"/>
          <w:vertAlign w:val="superscript"/>
        </w:rPr>
        <w:t>[</w:t>
      </w:r>
      <w:proofErr w:type="gramEnd"/>
      <w:r w:rsidR="00307392" w:rsidRPr="00657C18">
        <w:rPr>
          <w:rFonts w:ascii="Book Antiqua" w:hAnsi="Book Antiqua" w:cs="Book Antiqua" w:hint="eastAsia"/>
          <w:color w:val="000000" w:themeColor="text1"/>
          <w:kern w:val="0"/>
          <w:sz w:val="24"/>
          <w:vertAlign w:val="superscript"/>
        </w:rPr>
        <w:t>8,9]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. If significant heterogeneity was found (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P</w:t>
      </w:r>
      <w:r w:rsidR="00E113FF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  <w:vertAlign w:val="subscript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&lt;</w:t>
      </w:r>
      <w:r w:rsidR="00E113FF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0.10,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I</w:t>
      </w:r>
      <w:r w:rsidRPr="00E113FF">
        <w:rPr>
          <w:rFonts w:ascii="Book Antiqua" w:hAnsi="Book Antiqua" w:cs="Book Antiqua"/>
          <w:iCs/>
          <w:color w:val="000000" w:themeColor="text1"/>
          <w:kern w:val="0"/>
          <w:sz w:val="24"/>
          <w:vertAlign w:val="superscript"/>
        </w:rPr>
        <w:t>2</w:t>
      </w:r>
      <w:r w:rsidR="00E113FF" w:rsidRPr="00E113FF">
        <w:rPr>
          <w:rFonts w:ascii="Book Antiqua" w:hAnsi="Book Antiqua" w:cs="Book Antiqua" w:hint="eastAsia"/>
          <w:iCs/>
          <w:color w:val="000000" w:themeColor="text1"/>
          <w:kern w:val="0"/>
          <w:sz w:val="24"/>
          <w:vertAlign w:val="superscript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&gt;</w:t>
      </w:r>
      <w:r w:rsidR="00E113FF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40%), the random-effects model instead of the fixed-effects model was used for further analysis. To investigate the possible sources of heterogeneity, we conducted subgroup analys</w:t>
      </w:r>
      <w:r w:rsidR="0027537F" w:rsidRPr="00657C18">
        <w:rPr>
          <w:rFonts w:ascii="Book Antiqua" w:hAnsi="Book Antiqua" w:cs="Book Antiqua"/>
          <w:color w:val="000000" w:themeColor="text1"/>
          <w:kern w:val="0"/>
          <w:sz w:val="24"/>
        </w:rPr>
        <w:t>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s based on </w:t>
      </w:r>
      <w:r w:rsidR="0027537F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following aspects: the use of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bevacizumab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, chemotherapy regimen, </w:t>
      </w:r>
      <w:r w:rsidR="0027537F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and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selection of fluorouracil or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capecitabine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. Egger’s linear regression </w:t>
      </w:r>
      <w:proofErr w:type="gram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test</w:t>
      </w:r>
      <w:r w:rsidR="00307392" w:rsidRPr="00657C18">
        <w:rPr>
          <w:rFonts w:ascii="Book Antiqua" w:hAnsi="Book Antiqua" w:cs="Book Antiqua" w:hint="eastAsia"/>
          <w:color w:val="000000" w:themeColor="text1"/>
          <w:kern w:val="0"/>
          <w:sz w:val="24"/>
          <w:vertAlign w:val="superscript"/>
        </w:rPr>
        <w:t>[</w:t>
      </w:r>
      <w:proofErr w:type="gramEnd"/>
      <w:r w:rsidR="00307392" w:rsidRPr="00657C18">
        <w:rPr>
          <w:rFonts w:ascii="Book Antiqua" w:hAnsi="Book Antiqua" w:cs="Book Antiqua" w:hint="eastAsia"/>
          <w:color w:val="000000" w:themeColor="text1"/>
          <w:kern w:val="0"/>
          <w:sz w:val="24"/>
          <w:vertAlign w:val="superscript"/>
        </w:rPr>
        <w:t>10]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was used to assess publication bias</w:t>
      </w:r>
      <w:r w:rsidR="00946FC1" w:rsidRPr="00657C18">
        <w:rPr>
          <w:rFonts w:ascii="Book Antiqua" w:hAnsi="Book Antiqua" w:cs="Book Antiqua"/>
          <w:color w:val="000000" w:themeColor="text1"/>
          <w:kern w:val="0"/>
          <w:sz w:val="24"/>
        </w:rPr>
        <w:t>, which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was adjusted using the trim-and-fill method. All the statistical tests used in </w:t>
      </w:r>
      <w:r w:rsidR="00946FC1" w:rsidRPr="00657C18">
        <w:rPr>
          <w:rFonts w:ascii="Book Antiqua" w:hAnsi="Book Antiqua" w:cs="Book Antiqua"/>
          <w:color w:val="000000" w:themeColor="text1"/>
          <w:kern w:val="0"/>
          <w:sz w:val="24"/>
        </w:rPr>
        <w:t>this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meta-analysis were performed with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RevMan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5.4 and STATA version 10.0</w:t>
      </w:r>
      <w:r w:rsidR="0027537F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(Stata Corporation, College Station, TX</w:t>
      </w:r>
      <w:r w:rsidR="0027537F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, </w:t>
      </w:r>
      <w:r w:rsidR="00E113FF">
        <w:rPr>
          <w:rFonts w:ascii="Book Antiqua" w:hAnsi="Book Antiqua" w:cs="Book Antiqua" w:hint="eastAsia"/>
          <w:color w:val="000000" w:themeColor="text1"/>
          <w:kern w:val="0"/>
          <w:sz w:val="24"/>
        </w:rPr>
        <w:t>United States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).</w:t>
      </w:r>
    </w:p>
    <w:p w:rsidR="00F300DC" w:rsidRPr="00657C18" w:rsidRDefault="00F300DC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</w:pP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  <w:t>R</w:t>
      </w:r>
      <w:r w:rsidR="0027537F" w:rsidRPr="00657C18"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  <w:t>ESULTS</w:t>
      </w:r>
      <w:r w:rsidRPr="00657C18"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  <w:t xml:space="preserve"> 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i/>
          <w:color w:val="000000" w:themeColor="text1"/>
          <w:kern w:val="0"/>
          <w:sz w:val="24"/>
        </w:rPr>
        <w:t>Characteristics of the included studies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lastRenderedPageBreak/>
        <w:t>After exclusion of duplicate and irrelevant studies (Figure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1), 10 </w:t>
      </w:r>
      <w:proofErr w:type="gram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studies</w:t>
      </w:r>
      <w:r w:rsidR="00B56A20" w:rsidRPr="00657C18">
        <w:rPr>
          <w:rFonts w:ascii="Book Antiqua" w:hAnsi="Book Antiqua" w:cs="Book Antiqua"/>
          <w:color w:val="000000" w:themeColor="text1"/>
          <w:kern w:val="0"/>
          <w:sz w:val="24"/>
          <w:vertAlign w:val="superscript"/>
        </w:rPr>
        <w:t>[</w:t>
      </w:r>
      <w:proofErr w:type="gramEnd"/>
      <w:r w:rsidR="00B56A20" w:rsidRPr="00657C18">
        <w:rPr>
          <w:rFonts w:ascii="Book Antiqua" w:hAnsi="Book Antiqua" w:cs="Book Antiqua" w:hint="eastAsia"/>
          <w:color w:val="000000" w:themeColor="text1"/>
          <w:kern w:val="0"/>
          <w:sz w:val="24"/>
          <w:vertAlign w:val="superscript"/>
        </w:rPr>
        <w:t>7,11-19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  <w:vertAlign w:val="superscript"/>
        </w:rPr>
        <w:t>]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were identified according to the inclusion criteria 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>of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the meta-analysis. Table</w:t>
      </w:r>
      <w:r w:rsidR="00B10D03" w:rsidRPr="00657C18">
        <w:rPr>
          <w:rFonts w:ascii="Book Antiqua" w:hAnsi="Book Antiqua" w:cs="Book Antiqua" w:hint="eastAsia"/>
          <w:color w:val="000000" w:themeColor="text1"/>
          <w:kern w:val="0"/>
          <w:sz w:val="24"/>
        </w:rPr>
        <w:t>s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1 and 2 show the primary characteristics of the 10 studies 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>which included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 treated with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, all of which were randomized control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>led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trials. 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>A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ll 10 studies includ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>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 total of 8943 patients, 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and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sample sizes ranged from 337 to 1630.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status was available 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>in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7614 patients, 4451 patients 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>had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wild-type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and 3163 patients 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>had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mutant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. Of the 10 studies,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were administered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as first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line treatment with chemotherapy 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>in 7 studies a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nd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were administered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as second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line or further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line treatment with or without chemotherapy</w:t>
      </w:r>
      <w:r w:rsidR="00946FC1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 3 studies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. Hecht</w:t>
      </w:r>
      <w:r w:rsidR="00B10D03" w:rsidRPr="00657C18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="00663F14" w:rsidRPr="00663F14">
        <w:rPr>
          <w:rFonts w:ascii="Book Antiqua" w:hAnsi="Book Antiqua" w:cs="Book Antiqua" w:hint="eastAsia"/>
          <w:i/>
          <w:color w:val="000000" w:themeColor="text1"/>
          <w:kern w:val="0"/>
          <w:sz w:val="24"/>
        </w:rPr>
        <w:t xml:space="preserve">et </w:t>
      </w:r>
      <w:proofErr w:type="gramStart"/>
      <w:r w:rsidR="00663F14" w:rsidRPr="00663F14">
        <w:rPr>
          <w:rFonts w:ascii="Book Antiqua" w:hAnsi="Book Antiqua" w:cs="Book Antiqua" w:hint="eastAsia"/>
          <w:i/>
          <w:color w:val="000000" w:themeColor="text1"/>
          <w:kern w:val="0"/>
          <w:sz w:val="24"/>
        </w:rPr>
        <w:t>al</w:t>
      </w:r>
      <w:r w:rsidR="00E970D0" w:rsidRPr="00657C18">
        <w:rPr>
          <w:rFonts w:ascii="Book Antiqua" w:hAnsi="Book Antiqua" w:cs="Book Antiqua"/>
          <w:color w:val="000000" w:themeColor="text1"/>
          <w:kern w:val="0"/>
          <w:sz w:val="24"/>
          <w:vertAlign w:val="superscript"/>
        </w:rPr>
        <w:t>[</w:t>
      </w:r>
      <w:proofErr w:type="gramEnd"/>
      <w:r w:rsidR="00E970D0" w:rsidRPr="00657C18">
        <w:rPr>
          <w:rFonts w:ascii="Book Antiqua" w:hAnsi="Book Antiqua" w:cs="Book Antiqua" w:hint="eastAsia"/>
          <w:color w:val="000000" w:themeColor="text1"/>
          <w:kern w:val="0"/>
          <w:sz w:val="24"/>
          <w:vertAlign w:val="superscript"/>
        </w:rPr>
        <w:t>14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  <w:vertAlign w:val="superscript"/>
        </w:rPr>
        <w:t>]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used two different chemotherap</w:t>
      </w:r>
      <w:r w:rsidR="00946FC1" w:rsidRPr="00657C18">
        <w:rPr>
          <w:rFonts w:ascii="Book Antiqua" w:hAnsi="Book Antiqua" w:cs="Book Antiqua"/>
          <w:color w:val="000000" w:themeColor="text1"/>
          <w:kern w:val="0"/>
          <w:sz w:val="24"/>
        </w:rPr>
        <w:t>y regimens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(FOLFIRI or FOLFOX) combined with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cetuximab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, and we divided this study into two parts 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in order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to conduct 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an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analysis of chemotherapy regimen. Response Evaluation Criteria in Solid Tumor 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(RECIST)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criteria or WHO criteria were used to classify tumor response in all studies. </w:t>
      </w:r>
    </w:p>
    <w:p w:rsidR="00663F14" w:rsidRDefault="00663F14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i/>
          <w:color w:val="000000" w:themeColor="text1"/>
          <w:kern w:val="0"/>
          <w:sz w:val="24"/>
        </w:rPr>
      </w:pP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i/>
          <w:color w:val="000000" w:themeColor="text1"/>
          <w:kern w:val="0"/>
          <w:sz w:val="24"/>
        </w:rPr>
        <w:t>Analysis of trials us</w:t>
      </w:r>
      <w:r w:rsidR="001A5201" w:rsidRPr="00657C18">
        <w:rPr>
          <w:rFonts w:ascii="Book Antiqua" w:hAnsi="Book Antiqua" w:cs="Book Antiqua"/>
          <w:b/>
          <w:i/>
          <w:color w:val="000000" w:themeColor="text1"/>
          <w:kern w:val="0"/>
          <w:sz w:val="24"/>
        </w:rPr>
        <w:t>ing</w:t>
      </w:r>
      <w:r w:rsidRPr="00657C18">
        <w:rPr>
          <w:rFonts w:ascii="Book Antiqua" w:hAnsi="Book Antiqua" w:cs="Book Antiqua"/>
          <w:b/>
          <w:i/>
          <w:color w:val="000000" w:themeColor="text1"/>
          <w:kern w:val="0"/>
          <w:sz w:val="24"/>
        </w:rPr>
        <w:t xml:space="preserve"> </w:t>
      </w:r>
      <w:proofErr w:type="spellStart"/>
      <w:r w:rsidRPr="00657C18">
        <w:rPr>
          <w:rFonts w:ascii="Book Antiqua" w:hAnsi="Book Antiqua" w:cs="Book Antiqua"/>
          <w:b/>
          <w:i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b/>
          <w:i/>
          <w:color w:val="000000" w:themeColor="text1"/>
          <w:kern w:val="0"/>
          <w:sz w:val="24"/>
        </w:rPr>
        <w:t xml:space="preserve"> as first</w:t>
      </w:r>
      <w:r w:rsidR="001A5201" w:rsidRPr="00657C18">
        <w:rPr>
          <w:rFonts w:ascii="Book Antiqua" w:hAnsi="Book Antiqua" w:cs="Book Antiqua"/>
          <w:b/>
          <w:i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b/>
          <w:i/>
          <w:color w:val="000000" w:themeColor="text1"/>
          <w:kern w:val="0"/>
          <w:sz w:val="24"/>
        </w:rPr>
        <w:t>line treatment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 xml:space="preserve">Patients with wild-type </w:t>
      </w:r>
      <w:r w:rsidRPr="00657C18">
        <w:rPr>
          <w:rFonts w:ascii="Book Antiqua" w:hAnsi="Book Antiqua" w:cs="Book Antiqua"/>
          <w:b/>
          <w:iCs/>
          <w:color w:val="000000" w:themeColor="text1"/>
          <w:kern w:val="0"/>
          <w:sz w:val="24"/>
        </w:rPr>
        <w:t>KRAS</w:t>
      </w:r>
      <w:r w:rsidR="00663F14">
        <w:rPr>
          <w:rFonts w:ascii="Book Antiqua" w:hAnsi="Book Antiqua" w:cs="Book Antiqua" w:hint="eastAsia"/>
          <w:b/>
          <w:iCs/>
          <w:color w:val="000000" w:themeColor="text1"/>
          <w:kern w:val="0"/>
          <w:sz w:val="24"/>
        </w:rPr>
        <w:t>:</w:t>
      </w:r>
      <w:r w:rsidR="00F300DC" w:rsidRPr="00657C18">
        <w:rPr>
          <w:rFonts w:ascii="Book Antiqua" w:hAnsi="Book Antiqua" w:cs="Book Antiqua" w:hint="eastAsia"/>
          <w:b/>
          <w:iCs/>
          <w:color w:val="000000" w:themeColor="text1"/>
          <w:kern w:val="0"/>
          <w:sz w:val="24"/>
        </w:rPr>
        <w:t xml:space="preserve"> 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>In t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otal, seven studies supplied adequate information on OS in patients 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>with known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status. The HR summarize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>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survival 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>in the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arm 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>treated with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cetuximab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combined with chemotherapy 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>compared with the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arm 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>treated with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chemotherapy alone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>. An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HR of more than 1 indicat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>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worse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survival 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>in patients treated with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chemotherapy 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>alone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. There was no evidence of improved OS </w:t>
      </w:r>
      <w:r w:rsidR="001A5201" w:rsidRPr="00657C18">
        <w:rPr>
          <w:rFonts w:ascii="Book Antiqua" w:hAnsi="Book Antiqua" w:cs="Book Antiqua"/>
          <w:color w:val="000000" w:themeColor="text1"/>
          <w:kern w:val="0"/>
          <w:sz w:val="24"/>
        </w:rPr>
        <w:t>in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 with wild-type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treated with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(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HR =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1.00, 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0.82</w:t>
      </w:r>
      <w:r w:rsidR="00946FC1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1.21), </w:t>
      </w:r>
      <w:r w:rsidR="00946FC1" w:rsidRPr="00657C18">
        <w:rPr>
          <w:rFonts w:ascii="Book Antiqua" w:hAnsi="Book Antiqua" w:cs="Book Antiqua"/>
          <w:color w:val="000000" w:themeColor="text1"/>
          <w:kern w:val="0"/>
          <w:sz w:val="24"/>
        </w:rPr>
        <w:t>and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significant intergroup heterogeneity </w:t>
      </w:r>
      <w:r w:rsidR="00946FC1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was observed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(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I</w:t>
      </w:r>
      <w:r w:rsidRPr="00663F14">
        <w:rPr>
          <w:rFonts w:ascii="Book Antiqua" w:hAnsi="Book Antiqua" w:cs="Book Antiqua"/>
          <w:iCs/>
          <w:color w:val="000000" w:themeColor="text1"/>
          <w:kern w:val="0"/>
          <w:sz w:val="24"/>
          <w:vertAlign w:val="superscript"/>
        </w:rPr>
        <w:t>2</w:t>
      </w:r>
      <w:r w:rsidR="00663F14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  <w:vertAlign w:val="superscript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=</w:t>
      </w:r>
      <w:r w:rsidR="00663F14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73%,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P</w:t>
      </w:r>
      <w:r w:rsidR="00663F14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663F14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=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0.002). In the</w:t>
      </w:r>
      <w:r w:rsidR="00946FC1" w:rsidRPr="00657C18">
        <w:rPr>
          <w:rFonts w:ascii="Book Antiqua" w:hAnsi="Book Antiqua" w:cs="Book Antiqua"/>
          <w:color w:val="000000" w:themeColor="text1"/>
          <w:kern w:val="0"/>
          <w:sz w:val="24"/>
        </w:rPr>
        <w:t>se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seven studies, two studies used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bevacizumab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 both arms. Subgroup analysis was carried out, the pooled HR of trials using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bevacizumab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was 1.79 (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1.26</w:t>
      </w:r>
      <w:r w:rsidR="0042678B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2.54) and the pooled HR of trials using chemotherapy was 0.88 (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0.80</w:t>
      </w:r>
      <w:r w:rsidR="0042678B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0.97). We excluded trials using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bevacizumab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and conducted different subgroup analys</w:t>
      </w:r>
      <w:r w:rsidR="0042678B" w:rsidRPr="00657C18">
        <w:rPr>
          <w:rFonts w:ascii="Book Antiqua" w:hAnsi="Book Antiqua" w:cs="Book Antiqua"/>
          <w:color w:val="000000" w:themeColor="text1"/>
          <w:kern w:val="0"/>
          <w:sz w:val="24"/>
        </w:rPr>
        <w:t>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s to </w:t>
      </w:r>
      <w:r w:rsidR="0042678B" w:rsidRPr="00657C18">
        <w:rPr>
          <w:rFonts w:ascii="Book Antiqua" w:hAnsi="Book Antiqua" w:cs="Book Antiqua"/>
          <w:color w:val="000000" w:themeColor="text1"/>
          <w:kern w:val="0"/>
          <w:sz w:val="24"/>
        </w:rPr>
        <w:t>determine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heterogeneity. In the trials using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oxaliplatin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-based chemotherapy, the pooled HR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lastRenderedPageBreak/>
        <w:t>was 0.93 (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0.82</w:t>
      </w:r>
      <w:r w:rsidR="0042678B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1.04), </w:t>
      </w:r>
      <w:r w:rsidR="0042678B" w:rsidRPr="00657C18">
        <w:rPr>
          <w:rFonts w:ascii="Book Antiqua" w:hAnsi="Book Antiqua" w:cs="Book Antiqua"/>
          <w:iCs/>
          <w:color w:val="000000" w:themeColor="text1"/>
          <w:kern w:val="0"/>
          <w:sz w:val="24"/>
        </w:rPr>
        <w:t>and the</w:t>
      </w:r>
      <w:r w:rsidR="0042678B"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 xml:space="preserve"> P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value of Egger’s test was 0.831. </w:t>
      </w:r>
      <w:r w:rsidR="0042678B" w:rsidRPr="00657C18">
        <w:rPr>
          <w:rFonts w:ascii="Book Antiqua" w:hAnsi="Book Antiqua" w:cs="Book Antiqua"/>
          <w:color w:val="000000" w:themeColor="text1"/>
          <w:kern w:val="0"/>
          <w:sz w:val="24"/>
        </w:rPr>
        <w:t>O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nly one study us</w:t>
      </w:r>
      <w:r w:rsidR="0042678B" w:rsidRPr="00657C18">
        <w:rPr>
          <w:rFonts w:ascii="Book Antiqua" w:hAnsi="Book Antiqua" w:cs="Book Antiqua"/>
          <w:color w:val="000000" w:themeColor="text1"/>
          <w:kern w:val="0"/>
          <w:sz w:val="24"/>
        </w:rPr>
        <w:t>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irinotecan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-based chemotherapy, </w:t>
      </w:r>
      <w:r w:rsidR="0042678B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and the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HR was 0.80 (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0.67</w:t>
      </w:r>
      <w:r w:rsidR="0042678B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0.95; Figure 2). The relation</w:t>
      </w:r>
      <w:r w:rsidR="0042678B" w:rsidRPr="00657C18">
        <w:rPr>
          <w:rFonts w:ascii="Book Antiqua" w:hAnsi="Book Antiqua" w:cs="Book Antiqua"/>
          <w:color w:val="000000" w:themeColor="text1"/>
          <w:kern w:val="0"/>
          <w:sz w:val="24"/>
        </w:rPr>
        <w:t>ship between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chemotherapy regimen and clinical benefit </w:t>
      </w:r>
      <w:r w:rsidR="0042678B" w:rsidRPr="00657C18">
        <w:rPr>
          <w:rFonts w:ascii="Book Antiqua" w:hAnsi="Book Antiqua" w:cs="Book Antiqua"/>
          <w:color w:val="000000" w:themeColor="text1"/>
          <w:kern w:val="0"/>
          <w:sz w:val="24"/>
        </w:rPr>
        <w:t>in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 with wild-type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treated with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need</w:t>
      </w:r>
      <w:r w:rsidR="0042678B"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to be explored in </w:t>
      </w:r>
      <w:r w:rsidR="0042678B" w:rsidRPr="00657C18">
        <w:rPr>
          <w:rFonts w:ascii="Book Antiqua" w:hAnsi="Book Antiqua" w:cs="Book Antiqua"/>
          <w:color w:val="000000" w:themeColor="text1"/>
          <w:kern w:val="0"/>
          <w:sz w:val="24"/>
        </w:rPr>
        <w:t>further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studies. However, patients with wild-type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>did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not </w:t>
      </w:r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seem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to benefit from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>and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oxaliplatin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-based chemotherapy as first</w:t>
      </w:r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line treatment (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HR =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0.93, 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0.82</w:t>
      </w:r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1.04, </w:t>
      </w:r>
      <w:r w:rsidR="006108B5"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P</w:t>
      </w:r>
      <w:r w:rsidR="001514DF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=</w:t>
      </w:r>
      <w:r w:rsidR="001514DF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0.20;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Figure 2). Timothy S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Maughan’s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study supplied sufficient information on </w:t>
      </w:r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HR of patients treated with fluorouracil and </w:t>
      </w:r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>those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treated with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capecitabine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. </w:t>
      </w:r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>Therefore,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we divided </w:t>
      </w:r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>this study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into two different studies and conducted another subgroup analysis. The subgroup analysis indicated that fluorouracil </w:t>
      </w:r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>and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benefited patients </w:t>
      </w:r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>in terms of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longer OS (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HR =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0.85, 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0.75</w:t>
      </w:r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0.95;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 xml:space="preserve"> I</w:t>
      </w:r>
      <w:r w:rsidRPr="00663F14">
        <w:rPr>
          <w:rFonts w:ascii="Book Antiqua" w:hAnsi="Book Antiqua" w:cs="Book Antiqua"/>
          <w:iCs/>
          <w:color w:val="000000" w:themeColor="text1"/>
          <w:kern w:val="0"/>
          <w:sz w:val="24"/>
          <w:vertAlign w:val="superscript"/>
        </w:rPr>
        <w:t>2</w:t>
      </w:r>
      <w:r w:rsidR="00663F14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  <w:vertAlign w:val="superscript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=</w:t>
      </w:r>
      <w:r w:rsidR="00663F14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10%,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P</w:t>
      </w:r>
      <w:r w:rsidR="00663F14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  <w:vertAlign w:val="subscript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=</w:t>
      </w:r>
      <w:r w:rsidR="00663F14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0.34). However, only one trial us</w:t>
      </w:r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>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capecitabine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with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and no OS benefit was observed (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HR =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0.97, 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0.81</w:t>
      </w:r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1.15).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ind w:firstLine="435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Information </w:t>
      </w:r>
      <w:r w:rsidR="00F75306" w:rsidRPr="00657C18">
        <w:rPr>
          <w:rFonts w:ascii="Book Antiqua" w:hAnsi="Book Antiqua" w:cs="Book Antiqua"/>
          <w:color w:val="000000" w:themeColor="text1"/>
          <w:kern w:val="0"/>
          <w:sz w:val="24"/>
        </w:rPr>
        <w:t>on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PFS </w:t>
      </w:r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>in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wild-type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 was available in 7 studies, </w:t>
      </w:r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>and included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6722 patients.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status was detected in 5651 patients and 3366 </w:t>
      </w:r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of these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patients </w:t>
      </w:r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>had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wild-type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. </w:t>
      </w:r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Anti-EGFR </w:t>
      </w:r>
      <w:proofErr w:type="spellStart"/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had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no benefit on PFS in trials of first</w:t>
      </w:r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line treatment (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HR =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0.96, 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0.79</w:t>
      </w:r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1.16), with significant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intertrial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heterogeneity (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I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  <w:vertAlign w:val="superscript"/>
        </w:rPr>
        <w:t>2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=77%,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P</w:t>
      </w:r>
      <w:r w:rsidR="00663F14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  <w:vertAlign w:val="subscript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&lt;</w:t>
      </w:r>
      <w:r w:rsidR="00663F14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0.0001),</w:t>
      </w:r>
      <w:r w:rsidR="00F75306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and the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6108B5"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P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value of Egger’s test was 0.824. In the trials using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bevacizumab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, the pooled HR was 1.27 (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1.06</w:t>
      </w:r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1.51). There was no significant heterogeneity </w:t>
      </w:r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or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publication bias between these trials (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I</w:t>
      </w:r>
      <w:r w:rsidRPr="00663F14">
        <w:rPr>
          <w:rFonts w:ascii="Book Antiqua" w:hAnsi="Book Antiqua" w:cs="Book Antiqua"/>
          <w:iCs/>
          <w:color w:val="000000" w:themeColor="text1"/>
          <w:kern w:val="0"/>
          <w:sz w:val="24"/>
          <w:vertAlign w:val="superscript"/>
        </w:rPr>
        <w:t>2</w:t>
      </w:r>
      <w:r w:rsidR="00663F14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  <w:vertAlign w:val="superscript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=</w:t>
      </w:r>
      <w:r w:rsidR="00663F14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0%,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P</w:t>
      </w:r>
      <w:r w:rsidR="00663F14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  <w:vertAlign w:val="subscript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=</w:t>
      </w:r>
      <w:r w:rsidR="00663F14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0.59; </w:t>
      </w:r>
      <w:r w:rsidR="006108B5" w:rsidRPr="00657C18">
        <w:rPr>
          <w:rFonts w:ascii="Book Antiqua" w:hAnsi="Book Antiqua" w:cs="Book Antiqua"/>
          <w:i/>
          <w:color w:val="000000" w:themeColor="text1"/>
          <w:kern w:val="0"/>
          <w:sz w:val="24"/>
        </w:rPr>
        <w:t>P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value of Egger’s test was 0.571). The pooled HR of trials using conventional chemotherapy was 0.83 (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0.68</w:t>
      </w:r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1.03), and there was evidence of differences in the effect of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between trials (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I</w:t>
      </w:r>
      <w:r w:rsidRPr="00663F14">
        <w:rPr>
          <w:rFonts w:ascii="Book Antiqua" w:hAnsi="Book Antiqua" w:cs="Book Antiqua"/>
          <w:iCs/>
          <w:color w:val="000000" w:themeColor="text1"/>
          <w:kern w:val="0"/>
          <w:sz w:val="24"/>
          <w:vertAlign w:val="superscript"/>
        </w:rPr>
        <w:t>2</w:t>
      </w:r>
      <w:r w:rsidR="00663F14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  <w:vertAlign w:val="superscript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=</w:t>
      </w:r>
      <w:r w:rsidR="00663F14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75%,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P</w:t>
      </w:r>
      <w:r w:rsidR="00663F14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  <w:vertAlign w:val="subscript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=</w:t>
      </w:r>
      <w:r w:rsidR="00663F14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0.0003). No publication bias was found </w:t>
      </w:r>
      <w:r w:rsidR="006108B5" w:rsidRPr="00657C18">
        <w:rPr>
          <w:rFonts w:ascii="Book Antiqua" w:hAnsi="Book Antiqua" w:cs="Book Antiqua"/>
          <w:color w:val="000000" w:themeColor="text1"/>
          <w:kern w:val="0"/>
          <w:sz w:val="24"/>
        </w:rPr>
        <w:t>using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Egger’s test (</w:t>
      </w:r>
      <w:r w:rsidR="006108B5"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P</w:t>
      </w:r>
      <w:r w:rsidR="00663F14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=</w:t>
      </w:r>
      <w:r w:rsidR="00663F14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0.387). </w:t>
      </w:r>
      <w:r w:rsidR="00E26782" w:rsidRPr="00657C18">
        <w:rPr>
          <w:rFonts w:ascii="Book Antiqua" w:hAnsi="Book Antiqua" w:cs="Book Antiqua"/>
          <w:color w:val="000000" w:themeColor="text1"/>
          <w:kern w:val="0"/>
          <w:sz w:val="24"/>
        </w:rPr>
        <w:t>A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subgroup analysis was performed to explore the sources of heterogeneity between studies using conventional chemotherapy. In the trials using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oxaliplatin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-based therapy, the pooled HR was 0.88 (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0.70</w:t>
      </w:r>
      <w:r w:rsidR="00E26782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1.10;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I</w:t>
      </w:r>
      <w:r w:rsidRPr="00663F14">
        <w:rPr>
          <w:rFonts w:ascii="Book Antiqua" w:hAnsi="Book Antiqua" w:cs="Book Antiqua"/>
          <w:iCs/>
          <w:color w:val="000000" w:themeColor="text1"/>
          <w:kern w:val="0"/>
          <w:sz w:val="24"/>
          <w:vertAlign w:val="superscript"/>
        </w:rPr>
        <w:t>2</w:t>
      </w:r>
      <w:r w:rsidR="00663F14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  <w:vertAlign w:val="superscript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=</w:t>
      </w:r>
      <w:r w:rsidR="00663F14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73%,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P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=</w:t>
      </w:r>
      <w:r w:rsidR="00663F14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0.002). </w:t>
      </w:r>
      <w:r w:rsidR="00E26782" w:rsidRPr="00657C18">
        <w:rPr>
          <w:rFonts w:ascii="Book Antiqua" w:hAnsi="Book Antiqua" w:cs="Book Antiqua"/>
          <w:color w:val="000000" w:themeColor="text1"/>
          <w:kern w:val="0"/>
          <w:sz w:val="24"/>
        </w:rPr>
        <w:t>O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nly one trial us</w:t>
      </w:r>
      <w:r w:rsidR="00E26782" w:rsidRPr="00657C18">
        <w:rPr>
          <w:rFonts w:ascii="Book Antiqua" w:hAnsi="Book Antiqua" w:cs="Book Antiqua"/>
          <w:color w:val="000000" w:themeColor="text1"/>
          <w:kern w:val="0"/>
          <w:sz w:val="24"/>
        </w:rPr>
        <w:t>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lastRenderedPageBreak/>
        <w:t>irinotecan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-based chemotherapy, </w:t>
      </w:r>
      <w:r w:rsidR="00E26782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and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the HR was 0.70 (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0.56</w:t>
      </w:r>
      <w:r w:rsidR="00E26782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0.87; Figure 3). In the subgroup analysis based on fluorouracil use, an improvement in PFS with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was observed, the pooled HR was 0.77 (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0.69</w:t>
      </w:r>
      <w:r w:rsidR="00E26782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0.86), with no publication bias (</w:t>
      </w:r>
      <w:r w:rsidR="00E26782"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P</w:t>
      </w:r>
      <w:r w:rsidR="00663F14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=</w:t>
      </w:r>
      <w:r w:rsidR="00663F14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0.786), </w:t>
      </w:r>
      <w:r w:rsidR="00E26782" w:rsidRPr="00657C18">
        <w:rPr>
          <w:rFonts w:ascii="Book Antiqua" w:hAnsi="Book Antiqua" w:cs="Book Antiqua"/>
          <w:color w:val="000000" w:themeColor="text1"/>
          <w:kern w:val="0"/>
          <w:sz w:val="24"/>
        </w:rPr>
        <w:t>however,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significant heterogeneity </w:t>
      </w:r>
      <w:r w:rsidR="00F75306" w:rsidRPr="00657C18">
        <w:rPr>
          <w:rFonts w:ascii="Book Antiqua" w:hAnsi="Book Antiqua" w:cs="Book Antiqua"/>
          <w:color w:val="000000" w:themeColor="text1"/>
          <w:kern w:val="0"/>
          <w:sz w:val="24"/>
        </w:rPr>
        <w:t>was found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(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I</w:t>
      </w:r>
      <w:r w:rsidRPr="00663F14">
        <w:rPr>
          <w:rFonts w:ascii="Book Antiqua" w:hAnsi="Book Antiqua" w:cs="Book Antiqua"/>
          <w:iCs/>
          <w:color w:val="000000" w:themeColor="text1"/>
          <w:kern w:val="0"/>
          <w:sz w:val="24"/>
          <w:vertAlign w:val="superscript"/>
        </w:rPr>
        <w:t>2</w:t>
      </w:r>
      <w:r w:rsidR="00663F14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  <w:vertAlign w:val="superscript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=</w:t>
      </w:r>
      <w:r w:rsidR="00663F14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48%,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P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=</w:t>
      </w:r>
      <w:r w:rsidR="00663F14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0.10). Th</w:t>
      </w:r>
      <w:r w:rsidR="00F75306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is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heterogeneity m</w:t>
      </w:r>
      <w:r w:rsidR="00F75306" w:rsidRPr="00657C18">
        <w:rPr>
          <w:rFonts w:ascii="Book Antiqua" w:hAnsi="Book Antiqua" w:cs="Book Antiqua"/>
          <w:color w:val="000000" w:themeColor="text1"/>
          <w:kern w:val="0"/>
          <w:sz w:val="24"/>
        </w:rPr>
        <w:t>ay have been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E26782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due to a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different fluorouracil dosage form. </w:t>
      </w:r>
      <w:r w:rsidR="00F0644B" w:rsidRPr="00657C18">
        <w:rPr>
          <w:rFonts w:ascii="Book Antiqua" w:hAnsi="Book Antiqua" w:cs="Book Antiqua"/>
          <w:color w:val="000000" w:themeColor="text1"/>
          <w:kern w:val="0"/>
          <w:sz w:val="24"/>
        </w:rPr>
        <w:t>In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Tveit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KM’s trial</w:t>
      </w:r>
      <w:r w:rsidR="00F75306" w:rsidRPr="00657C18">
        <w:rPr>
          <w:rFonts w:ascii="Book Antiqua" w:hAnsi="Book Antiqua" w:cs="Book Antiqua"/>
          <w:color w:val="000000" w:themeColor="text1"/>
          <w:kern w:val="0"/>
          <w:sz w:val="24"/>
        </w:rPr>
        <w:t>,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fluorouracil was given orally and </w:t>
      </w:r>
      <w:r w:rsidR="00F0644B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was given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intravenously in </w:t>
      </w:r>
      <w:r w:rsidR="00F75306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other</w:t>
      </w:r>
      <w:r w:rsidR="00F75306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="00F75306" w:rsidRPr="00657C18">
        <w:rPr>
          <w:rFonts w:ascii="Book Antiqua" w:hAnsi="Book Antiqua" w:cs="Book Antiqua"/>
          <w:color w:val="000000" w:themeColor="text1"/>
          <w:kern w:val="0"/>
          <w:sz w:val="24"/>
        </w:rPr>
        <w:t>tudies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. Clinical benefit</w:t>
      </w:r>
      <w:r w:rsidR="00F0644B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 with wild-type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 xml:space="preserve">KRAS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was confined to therapeutic regimen</w:t>
      </w:r>
      <w:r w:rsidR="00F0644B" w:rsidRPr="00657C18">
        <w:rPr>
          <w:rFonts w:ascii="Book Antiqua" w:hAnsi="Book Antiqua" w:cs="Book Antiqua"/>
          <w:color w:val="000000" w:themeColor="text1"/>
          <w:kern w:val="0"/>
          <w:sz w:val="24"/>
        </w:rPr>
        <w:t>s w</w:t>
      </w:r>
      <w:r w:rsidR="00F75306" w:rsidRPr="00657C18">
        <w:rPr>
          <w:rFonts w:ascii="Book Antiqua" w:hAnsi="Book Antiqua" w:cs="Book Antiqua"/>
          <w:color w:val="000000" w:themeColor="text1"/>
          <w:kern w:val="0"/>
          <w:sz w:val="24"/>
        </w:rPr>
        <w:t>hich included</w:t>
      </w:r>
      <w:r w:rsidR="00F0644B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F0644B" w:rsidRPr="00657C18">
        <w:rPr>
          <w:rFonts w:ascii="Book Antiqua" w:hAnsi="Book Antiqua" w:cs="Book Antiqua"/>
          <w:color w:val="000000" w:themeColor="text1"/>
          <w:kern w:val="0"/>
          <w:sz w:val="24"/>
        </w:rPr>
        <w:t>and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fluorouracil based therapy.</w:t>
      </w:r>
    </w:p>
    <w:p w:rsidR="00663F14" w:rsidRDefault="00663F14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color w:val="000000" w:themeColor="text1"/>
          <w:kern w:val="0"/>
          <w:sz w:val="24"/>
        </w:rPr>
      </w:pP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 xml:space="preserve">Patients with mutant </w:t>
      </w:r>
      <w:r w:rsidRPr="00657C18">
        <w:rPr>
          <w:rFonts w:ascii="Book Antiqua" w:hAnsi="Book Antiqua" w:cs="Book Antiqua"/>
          <w:b/>
          <w:iCs/>
          <w:color w:val="000000" w:themeColor="text1"/>
          <w:kern w:val="0"/>
          <w:sz w:val="24"/>
        </w:rPr>
        <w:t>KRAS</w:t>
      </w:r>
      <w:r w:rsidR="00663F14">
        <w:rPr>
          <w:rFonts w:ascii="Book Antiqua" w:hAnsi="Book Antiqua" w:cs="Book Antiqua" w:hint="eastAsia"/>
          <w:b/>
          <w:iCs/>
          <w:color w:val="000000" w:themeColor="text1"/>
          <w:kern w:val="0"/>
          <w:sz w:val="24"/>
        </w:rPr>
        <w:t>:</w:t>
      </w:r>
      <w:r w:rsidR="00F300DC" w:rsidRPr="00657C18">
        <w:rPr>
          <w:rFonts w:ascii="Book Antiqua" w:hAnsi="Book Antiqua" w:cs="Book Antiqua" w:hint="eastAsia"/>
          <w:b/>
          <w:iCs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For patients with mutant </w:t>
      </w:r>
      <w:r w:rsidRPr="00657C18">
        <w:rPr>
          <w:rFonts w:ascii="Book Antiqua" w:hAnsi="Book Antiqua" w:cs="Book Antiqua"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, there was no </w:t>
      </w:r>
      <w:r w:rsidR="00F0644B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survival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advantage when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F0644B" w:rsidRPr="00657C18">
        <w:rPr>
          <w:rFonts w:ascii="Book Antiqua" w:hAnsi="Book Antiqua" w:cs="Book Antiqua"/>
          <w:color w:val="000000" w:themeColor="text1"/>
          <w:kern w:val="0"/>
          <w:sz w:val="24"/>
        </w:rPr>
        <w:t>were administered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as first</w:t>
      </w:r>
      <w:r w:rsidR="00F0644B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line treatment. The pooled HR of PFS was 1.18 (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1.06</w:t>
      </w:r>
      <w:r w:rsidR="00F0644B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1.31), with no heterogeneity (</w:t>
      </w:r>
      <w:r w:rsidRPr="00663F14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I</w:t>
      </w:r>
      <w:r w:rsidRPr="00657C18">
        <w:rPr>
          <w:rFonts w:ascii="Book Antiqua" w:hAnsi="Book Antiqua" w:cs="Book Antiqua"/>
          <w:iCs/>
          <w:color w:val="000000" w:themeColor="text1"/>
          <w:kern w:val="0"/>
          <w:sz w:val="24"/>
          <w:vertAlign w:val="superscript"/>
        </w:rPr>
        <w:t>2</w:t>
      </w:r>
      <w:r w:rsidR="00663F14">
        <w:rPr>
          <w:rFonts w:ascii="Book Antiqua" w:hAnsi="Book Antiqua" w:cs="Book Antiqua" w:hint="eastAsia"/>
          <w:iCs/>
          <w:color w:val="000000" w:themeColor="text1"/>
          <w:kern w:val="0"/>
          <w:sz w:val="24"/>
          <w:vertAlign w:val="superscript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=</w:t>
      </w:r>
      <w:r w:rsidR="00663F14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37%, </w:t>
      </w:r>
      <w:r w:rsidRPr="00663F14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P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=</w:t>
      </w:r>
      <w:r w:rsidR="00663F14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0.15). The HR of OS was 1.10 (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0.98</w:t>
      </w:r>
      <w:r w:rsidR="00F0644B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1.22). There was no significant heterogeneity between these trials. It 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>is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clear that the therapeutic effect of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was dependent on </w:t>
      </w:r>
      <w:r w:rsidRPr="00657C18">
        <w:rPr>
          <w:rFonts w:ascii="Book Antiqua" w:hAnsi="Book Antiqua" w:cs="Book Antiqua"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status. </w:t>
      </w:r>
    </w:p>
    <w:p w:rsidR="00663F14" w:rsidRDefault="00663F14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i/>
          <w:color w:val="000000" w:themeColor="text1"/>
          <w:kern w:val="0"/>
          <w:sz w:val="24"/>
        </w:rPr>
      </w:pP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i/>
          <w:color w:val="000000" w:themeColor="text1"/>
          <w:kern w:val="0"/>
          <w:sz w:val="24"/>
        </w:rPr>
        <w:t>Analysis of trials us</w:t>
      </w:r>
      <w:r w:rsidR="00340CF4" w:rsidRPr="00657C18">
        <w:rPr>
          <w:rFonts w:ascii="Book Antiqua" w:hAnsi="Book Antiqua" w:cs="Book Antiqua"/>
          <w:b/>
          <w:i/>
          <w:color w:val="000000" w:themeColor="text1"/>
          <w:kern w:val="0"/>
          <w:sz w:val="24"/>
        </w:rPr>
        <w:t>ing</w:t>
      </w:r>
      <w:r w:rsidRPr="00657C18">
        <w:rPr>
          <w:rFonts w:ascii="Book Antiqua" w:hAnsi="Book Antiqua" w:cs="Book Antiqua"/>
          <w:b/>
          <w:i/>
          <w:color w:val="000000" w:themeColor="text1"/>
          <w:kern w:val="0"/>
          <w:sz w:val="24"/>
        </w:rPr>
        <w:t xml:space="preserve"> </w:t>
      </w:r>
      <w:proofErr w:type="spellStart"/>
      <w:r w:rsidRPr="00657C18">
        <w:rPr>
          <w:rFonts w:ascii="Book Antiqua" w:hAnsi="Book Antiqua" w:cs="Book Antiqua"/>
          <w:b/>
          <w:i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b/>
          <w:i/>
          <w:color w:val="000000" w:themeColor="text1"/>
          <w:kern w:val="0"/>
          <w:sz w:val="24"/>
        </w:rPr>
        <w:t xml:space="preserve"> as second</w:t>
      </w:r>
      <w:r w:rsidR="00340CF4" w:rsidRPr="00657C18">
        <w:rPr>
          <w:rFonts w:ascii="Book Antiqua" w:hAnsi="Book Antiqua" w:cs="Book Antiqua"/>
          <w:b/>
          <w:i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b/>
          <w:i/>
          <w:color w:val="000000" w:themeColor="text1"/>
          <w:kern w:val="0"/>
          <w:sz w:val="24"/>
        </w:rPr>
        <w:t xml:space="preserve"> or further</w:t>
      </w:r>
      <w:r w:rsidR="00340CF4" w:rsidRPr="00657C18">
        <w:rPr>
          <w:rFonts w:ascii="Book Antiqua" w:hAnsi="Book Antiqua" w:cs="Book Antiqua"/>
          <w:b/>
          <w:i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b/>
          <w:i/>
          <w:color w:val="000000" w:themeColor="text1"/>
          <w:kern w:val="0"/>
          <w:sz w:val="24"/>
        </w:rPr>
        <w:t>line treatment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 xml:space="preserve">Patients with wild-type </w:t>
      </w:r>
      <w:r w:rsidRPr="00657C18">
        <w:rPr>
          <w:rFonts w:ascii="Book Antiqua" w:hAnsi="Book Antiqua" w:cs="Book Antiqua"/>
          <w:b/>
          <w:iCs/>
          <w:color w:val="000000" w:themeColor="text1"/>
          <w:kern w:val="0"/>
          <w:sz w:val="24"/>
        </w:rPr>
        <w:t>KRAS</w:t>
      </w:r>
      <w:r w:rsidR="00663F14">
        <w:rPr>
          <w:rFonts w:ascii="Book Antiqua" w:hAnsi="Book Antiqua" w:cs="Book Antiqua" w:hint="eastAsia"/>
          <w:b/>
          <w:iCs/>
          <w:color w:val="000000" w:themeColor="text1"/>
          <w:kern w:val="0"/>
          <w:sz w:val="24"/>
        </w:rPr>
        <w:t>:</w:t>
      </w:r>
      <w:r w:rsidR="00F300DC" w:rsidRPr="00657C18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Three studies supplied adequate information on OS in patients 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with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mutation, two of the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se studies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used BSC as 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control group and BSC +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as 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experimental group. No significant benefit was observed when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>ere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used as second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or further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line treatment (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HR =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0.81, 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0.65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1.02), 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>and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heterogeneity 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was noted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between 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trials (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I</w:t>
      </w:r>
      <w:r w:rsidRPr="00663F14">
        <w:rPr>
          <w:rFonts w:ascii="Book Antiqua" w:hAnsi="Book Antiqua" w:cs="Book Antiqua"/>
          <w:iCs/>
          <w:color w:val="000000" w:themeColor="text1"/>
          <w:kern w:val="0"/>
          <w:sz w:val="24"/>
          <w:vertAlign w:val="superscript"/>
        </w:rPr>
        <w:t>2</w:t>
      </w:r>
      <w:r w:rsidR="00663F14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  <w:vertAlign w:val="superscript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=</w:t>
      </w:r>
      <w:r w:rsidR="00663F14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61%,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P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=</w:t>
      </w:r>
      <w:r w:rsidR="00663F14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0.08). 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>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o publication bias 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>was observed using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Egger’s test (</w:t>
      </w:r>
      <w:r w:rsidR="00340CF4"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P</w:t>
      </w:r>
      <w:r w:rsidR="00663F14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=</w:t>
      </w:r>
      <w:r w:rsidR="00663F14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0.773). There was a significant improvement 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>in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PFS f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>ollowing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second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line or further treatment (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HR =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0.52, 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0.36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0.75), although heterogeneity 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was noted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between these studies (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I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  <w:vertAlign w:val="superscript"/>
        </w:rPr>
        <w:t>2</w:t>
      </w:r>
      <w:r w:rsidR="001514DF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  <w:vertAlign w:val="superscript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=</w:t>
      </w:r>
      <w:r w:rsidR="001514DF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84%,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P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=</w:t>
      </w:r>
      <w:r w:rsidR="001514DF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0.002). Egger’s test showed th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>at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no publication bias existed (</w:t>
      </w:r>
      <w:r w:rsidR="00340CF4"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P</w:t>
      </w:r>
      <w:r w:rsidR="001514DF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=</w:t>
      </w:r>
      <w:r w:rsidR="001514DF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0.155). We excluded Marc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Peeters’s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study 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>as a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different therapeutic regimen 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was used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and conducted a new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lastRenderedPageBreak/>
        <w:t>meta-analysis. The pooled HR was 0.43 (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0.36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0.53), with no heterogeneity (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I</w:t>
      </w:r>
      <w:r w:rsidRPr="001514DF">
        <w:rPr>
          <w:rFonts w:ascii="Book Antiqua" w:hAnsi="Book Antiqua" w:cs="Book Antiqua"/>
          <w:iCs/>
          <w:color w:val="000000" w:themeColor="text1"/>
          <w:kern w:val="0"/>
          <w:sz w:val="24"/>
          <w:vertAlign w:val="superscript"/>
        </w:rPr>
        <w:t>2</w:t>
      </w:r>
      <w:r w:rsidR="001514DF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  <w:vertAlign w:val="superscript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=</w:t>
      </w:r>
      <w:r w:rsidR="001514DF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0%,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P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=</w:t>
      </w:r>
      <w:r w:rsidR="001514DF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0.73). </w:t>
      </w:r>
    </w:p>
    <w:p w:rsidR="001514DF" w:rsidRDefault="001514DF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color w:val="000000" w:themeColor="text1"/>
          <w:kern w:val="0"/>
          <w:sz w:val="24"/>
        </w:rPr>
      </w:pP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>Patients with mutant</w:t>
      </w:r>
      <w:r w:rsidRPr="00657C18">
        <w:rPr>
          <w:rFonts w:ascii="Book Antiqua" w:hAnsi="Book Antiqua" w:cs="Book Antiqua"/>
          <w:b/>
          <w:iCs/>
          <w:color w:val="000000" w:themeColor="text1"/>
          <w:kern w:val="0"/>
          <w:sz w:val="24"/>
        </w:rPr>
        <w:t xml:space="preserve"> KRAS</w:t>
      </w:r>
      <w:r w:rsidR="001514DF">
        <w:rPr>
          <w:rFonts w:ascii="Book Antiqua" w:hAnsi="Book Antiqua" w:cs="Book Antiqua" w:hint="eastAsia"/>
          <w:b/>
          <w:iCs/>
          <w:color w:val="000000" w:themeColor="text1"/>
          <w:kern w:val="0"/>
          <w:sz w:val="24"/>
        </w:rPr>
        <w:t>:</w:t>
      </w:r>
      <w:r w:rsidR="00F300DC" w:rsidRPr="00657C18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Data 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>on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survival and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 xml:space="preserve"> KRAS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mutation in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 were reported in three studies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involving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2221 patients. There was no evidence of survival benefit with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 second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line or further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line treatment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F75306" w:rsidRPr="00657C18">
        <w:rPr>
          <w:rFonts w:ascii="Book Antiqua" w:hAnsi="Book Antiqua" w:cs="Book Antiqua"/>
          <w:color w:val="000000" w:themeColor="text1"/>
          <w:kern w:val="0"/>
          <w:sz w:val="24"/>
        </w:rPr>
        <w:t>i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>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OS (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HR =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0.95, 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0.82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1.11;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I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  <w:vertAlign w:val="superscript"/>
        </w:rPr>
        <w:t>2</w:t>
      </w:r>
      <w:r w:rsidR="001514DF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  <w:vertAlign w:val="superscript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=</w:t>
      </w:r>
      <w:r w:rsidR="001514DF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0%,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P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=</w:t>
      </w:r>
      <w:r w:rsidR="001514DF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0.87, Egger’s test: </w:t>
      </w:r>
      <w:r w:rsidR="00340CF4"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P</w:t>
      </w:r>
      <w:r w:rsidR="001514DF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=</w:t>
      </w:r>
      <w:r w:rsidR="001514DF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0.807) or PFS (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HR =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0.95, 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0.82</w:t>
      </w:r>
      <w:r w:rsidR="00F75306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1.11;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I</w:t>
      </w:r>
      <w:r w:rsidRPr="001514DF">
        <w:rPr>
          <w:rFonts w:ascii="Book Antiqua" w:hAnsi="Book Antiqua" w:cs="Book Antiqua"/>
          <w:iCs/>
          <w:color w:val="000000" w:themeColor="text1"/>
          <w:kern w:val="0"/>
          <w:sz w:val="24"/>
          <w:vertAlign w:val="superscript"/>
        </w:rPr>
        <w:t>2</w:t>
      </w:r>
      <w:r w:rsidR="001514DF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  <w:vertAlign w:val="superscript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=</w:t>
      </w:r>
      <w:r w:rsidR="001514DF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12%,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P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=</w:t>
      </w:r>
      <w:r w:rsidR="001514DF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0.32, Egger’s test: </w:t>
      </w:r>
      <w:r w:rsidR="00340CF4"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P</w:t>
      </w:r>
      <w:r w:rsidR="001514DF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=</w:t>
      </w:r>
      <w:r w:rsidR="001514DF">
        <w:rPr>
          <w:rFonts w:ascii="Book Antiqua" w:hAnsi="Book Antiqua" w:cs="Book Antiqua" w:hint="eastAsia"/>
          <w:i/>
          <w:iCs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0.358).</w:t>
      </w:r>
    </w:p>
    <w:p w:rsidR="00F300DC" w:rsidRPr="00657C18" w:rsidRDefault="00F300DC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</w:pP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  <w:t>D</w:t>
      </w:r>
      <w:r w:rsidR="00340CF4" w:rsidRPr="00657C18"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  <w:t>ISCUSSION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main downstream signaling pathway of EGFR regulates crucial biological activities such as cell differentiation, cell survival, cell proliferation and cell </w:t>
      </w:r>
      <w:proofErr w:type="gram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migration</w:t>
      </w:r>
      <w:r w:rsidR="00E970D0" w:rsidRPr="00657C18">
        <w:rPr>
          <w:rFonts w:ascii="Book Antiqua" w:hAnsi="Book Antiqua" w:cs="Book Antiqua"/>
          <w:color w:val="000000" w:themeColor="text1"/>
          <w:kern w:val="0"/>
          <w:sz w:val="24"/>
          <w:vertAlign w:val="superscript"/>
        </w:rPr>
        <w:t>[</w:t>
      </w:r>
      <w:proofErr w:type="gramEnd"/>
      <w:r w:rsidR="00E970D0" w:rsidRPr="00657C18">
        <w:rPr>
          <w:rFonts w:ascii="Book Antiqua" w:hAnsi="Book Antiqua" w:cs="Book Antiqua" w:hint="eastAsia"/>
          <w:color w:val="000000" w:themeColor="text1"/>
          <w:kern w:val="0"/>
          <w:sz w:val="24"/>
          <w:vertAlign w:val="superscript"/>
        </w:rPr>
        <w:t>20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  <w:vertAlign w:val="superscript"/>
        </w:rPr>
        <w:t>]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. 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>M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utations of members of 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downstream signaling pathways have been </w:t>
      </w:r>
      <w:r w:rsidR="00340CF4" w:rsidRPr="00657C18">
        <w:rPr>
          <w:rFonts w:ascii="Book Antiqua" w:hAnsi="Book Antiqua" w:cs="Book Antiqua"/>
          <w:color w:val="000000" w:themeColor="text1"/>
          <w:kern w:val="0"/>
          <w:sz w:val="24"/>
        </w:rPr>
        <w:t>shown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to result in resistance to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.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was the first molecular predictor </w:t>
      </w:r>
      <w:r w:rsidR="008D5FD1" w:rsidRPr="00657C18">
        <w:rPr>
          <w:rFonts w:ascii="Book Antiqua" w:hAnsi="Book Antiqua" w:cs="Book Antiqua"/>
          <w:color w:val="000000" w:themeColor="text1"/>
          <w:kern w:val="0"/>
          <w:sz w:val="24"/>
        </w:rPr>
        <w:t>shown to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influence responsiveness to EGFR-targeted treatment with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cetuximab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and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panitumumab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. However, the</w:t>
      </w:r>
      <w:r w:rsidR="008D5FD1" w:rsidRPr="00657C18">
        <w:rPr>
          <w:rFonts w:ascii="Book Antiqua" w:hAnsi="Book Antiqua" w:cs="Book Antiqua"/>
          <w:color w:val="000000" w:themeColor="text1"/>
          <w:kern w:val="0"/>
          <w:sz w:val="24"/>
        </w:rPr>
        <w:t>se data were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mainly from retrospective and non-randomized studies. We focused on the relation</w:t>
      </w:r>
      <w:r w:rsidR="008D5FD1" w:rsidRPr="00657C18">
        <w:rPr>
          <w:rFonts w:ascii="Book Antiqua" w:hAnsi="Book Antiqua" w:cs="Book Antiqua"/>
          <w:color w:val="000000" w:themeColor="text1"/>
          <w:kern w:val="0"/>
          <w:sz w:val="24"/>
        </w:rPr>
        <w:t>ship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between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status and </w:t>
      </w:r>
      <w:r w:rsidR="008D5FD1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curative effect of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patients, and conducted a system</w:t>
      </w:r>
      <w:r w:rsidR="008D5FD1" w:rsidRPr="00657C18">
        <w:rPr>
          <w:rFonts w:ascii="Book Antiqua" w:hAnsi="Book Antiqua" w:cs="Book Antiqua"/>
          <w:color w:val="000000" w:themeColor="text1"/>
          <w:kern w:val="0"/>
          <w:sz w:val="24"/>
        </w:rPr>
        <w:t>at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ic meta-analysis </w:t>
      </w:r>
      <w:r w:rsidR="008D5FD1" w:rsidRPr="00657C18">
        <w:rPr>
          <w:rFonts w:ascii="Book Antiqua" w:hAnsi="Book Antiqua" w:cs="Book Antiqua"/>
          <w:color w:val="000000" w:themeColor="text1"/>
          <w:kern w:val="0"/>
          <w:sz w:val="24"/>
        </w:rPr>
        <w:t>of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chemotherapy regimen</w:t>
      </w:r>
      <w:r w:rsidR="008D5FD1"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, line of treatment and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bevacizumab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treatment.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For patients with wild-type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="008D5FD1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receiving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="008D5FD1"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="008D5FD1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as first-line treatment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no evidence of improved OS </w:t>
      </w:r>
      <w:r w:rsidR="008D5FD1" w:rsidRPr="00657C18">
        <w:rPr>
          <w:rFonts w:ascii="Book Antiqua" w:hAnsi="Book Antiqua" w:cs="Book Antiqua"/>
          <w:color w:val="000000" w:themeColor="text1"/>
          <w:kern w:val="0"/>
          <w:sz w:val="24"/>
        </w:rPr>
        <w:t>was observed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. The subgroup analysis i</w:t>
      </w:r>
      <w:r w:rsidR="008D5FD1" w:rsidRPr="00657C18">
        <w:rPr>
          <w:rFonts w:ascii="Book Antiqua" w:hAnsi="Book Antiqua" w:cs="Book Antiqua"/>
          <w:color w:val="000000" w:themeColor="text1"/>
          <w:kern w:val="0"/>
          <w:sz w:val="24"/>
        </w:rPr>
        <w:t>ndicated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 detrimental effect w</w:t>
      </w:r>
      <w:r w:rsidR="008D5FD1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hen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anti</w:t>
      </w:r>
      <w:r w:rsidR="008D5FD1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angiogenic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agents </w:t>
      </w:r>
      <w:r w:rsidR="008D5FD1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were added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to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 the first</w:t>
      </w:r>
      <w:r w:rsidR="008D5FD1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line treatment of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. </w:t>
      </w:r>
      <w:r w:rsidR="00E970D0" w:rsidRPr="00657C18">
        <w:rPr>
          <w:rFonts w:ascii="Book Antiqua" w:hAnsi="Book Antiqua" w:hint="eastAsia"/>
          <w:color w:val="000000" w:themeColor="text1"/>
          <w:sz w:val="24"/>
        </w:rPr>
        <w:t xml:space="preserve">In theory, targeting both EGFR and VEGF pathways should increase curative </w:t>
      </w:r>
      <w:proofErr w:type="gramStart"/>
      <w:r w:rsidR="00E970D0" w:rsidRPr="00657C18">
        <w:rPr>
          <w:rFonts w:ascii="Book Antiqua" w:hAnsi="Book Antiqua" w:hint="eastAsia"/>
          <w:color w:val="000000" w:themeColor="text1"/>
          <w:sz w:val="24"/>
        </w:rPr>
        <w:t>effect</w:t>
      </w:r>
      <w:r w:rsidR="00E970D0" w:rsidRPr="00657C18">
        <w:rPr>
          <w:rFonts w:ascii="Book Antiqua" w:hAnsi="Book Antiqua" w:hint="eastAsia"/>
          <w:color w:val="000000" w:themeColor="text1"/>
          <w:sz w:val="24"/>
          <w:vertAlign w:val="superscript"/>
        </w:rPr>
        <w:t>[</w:t>
      </w:r>
      <w:proofErr w:type="gramEnd"/>
      <w:r w:rsidR="00E970D0" w:rsidRPr="00657C18">
        <w:rPr>
          <w:rFonts w:ascii="Book Antiqua" w:hAnsi="Book Antiqua" w:hint="eastAsia"/>
          <w:color w:val="000000" w:themeColor="text1"/>
          <w:sz w:val="24"/>
          <w:vertAlign w:val="superscript"/>
        </w:rPr>
        <w:t>21]</w:t>
      </w:r>
      <w:r w:rsidR="00E970D0" w:rsidRPr="00657C18">
        <w:rPr>
          <w:rFonts w:ascii="Book Antiqua" w:hAnsi="Book Antiqua" w:hint="eastAsia"/>
          <w:color w:val="000000" w:themeColor="text1"/>
          <w:sz w:val="24"/>
        </w:rPr>
        <w:t>.</w:t>
      </w:r>
      <w:r w:rsidR="00E970D0" w:rsidRPr="00657C18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>A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possible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>explanation for these findings may be that the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combination of different antibodies increased toxicity and adverse effects.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>A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nother explanation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>may be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546F8E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that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a negative pharmacokinetic interaction between these two biological agents</w:t>
      </w:r>
      <w:r w:rsidR="00546F8E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occurred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. After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lastRenderedPageBreak/>
        <w:t xml:space="preserve">excluding trials using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bevacizumab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, another subgroup analysis was conducted to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>determine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heterogeneity between trials using chemotherapy. We found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that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wild-type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 xml:space="preserve">KRAS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did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not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seem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to benefit from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>and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oxaliplatin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-based chemotherapy as first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line treatment. Fluorouracil use influenced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OS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of patients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. Clinical benefit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 with wild-type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 xml:space="preserve">KRAS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was confined to therapeutic regimen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>with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>and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fluorouracil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based therapy. </w:t>
      </w:r>
      <w:r w:rsidR="00E970D0" w:rsidRPr="00657C18">
        <w:rPr>
          <w:rFonts w:ascii="Book Antiqua" w:hAnsi="Book Antiqua" w:hint="eastAsia"/>
          <w:color w:val="000000" w:themeColor="text1"/>
          <w:sz w:val="24"/>
        </w:rPr>
        <w:t xml:space="preserve">It was uncertain from our results whether combination of anti-EGFR </w:t>
      </w:r>
      <w:proofErr w:type="spellStart"/>
      <w:r w:rsidR="00E970D0" w:rsidRPr="00657C18">
        <w:rPr>
          <w:rFonts w:ascii="Book Antiqua" w:hAnsi="Book Antiqua" w:hint="eastAsia"/>
          <w:color w:val="000000" w:themeColor="text1"/>
          <w:sz w:val="24"/>
        </w:rPr>
        <w:t>MoAbs</w:t>
      </w:r>
      <w:proofErr w:type="spellEnd"/>
      <w:r w:rsidR="00E970D0" w:rsidRPr="00657C18">
        <w:rPr>
          <w:rFonts w:ascii="Book Antiqua" w:hAnsi="Book Antiqua" w:hint="eastAsia"/>
          <w:color w:val="000000" w:themeColor="text1"/>
          <w:sz w:val="24"/>
        </w:rPr>
        <w:t xml:space="preserve"> and </w:t>
      </w:r>
      <w:proofErr w:type="spellStart"/>
      <w:r w:rsidR="00E970D0" w:rsidRPr="00657C18">
        <w:rPr>
          <w:rFonts w:ascii="Book Antiqua" w:hAnsi="Book Antiqua" w:hint="eastAsia"/>
          <w:color w:val="000000" w:themeColor="text1"/>
          <w:sz w:val="24"/>
        </w:rPr>
        <w:t>capecitabine</w:t>
      </w:r>
      <w:proofErr w:type="spellEnd"/>
      <w:r w:rsidR="00E970D0" w:rsidRPr="00657C18">
        <w:rPr>
          <w:rFonts w:ascii="Book Antiqua" w:hAnsi="Book Antiqua" w:hint="eastAsia"/>
          <w:color w:val="000000" w:themeColor="text1"/>
          <w:sz w:val="24"/>
        </w:rPr>
        <w:t xml:space="preserve"> was </w:t>
      </w:r>
      <w:r w:rsidR="00E970D0" w:rsidRPr="00657C18">
        <w:rPr>
          <w:rFonts w:ascii="Book Antiqua" w:hAnsi="Book Antiqua"/>
          <w:color w:val="000000" w:themeColor="text1"/>
          <w:sz w:val="24"/>
        </w:rPr>
        <w:t>effective</w:t>
      </w:r>
      <w:r w:rsidR="00E970D0" w:rsidRPr="00657C18">
        <w:rPr>
          <w:rFonts w:ascii="Book Antiqua" w:hAnsi="Book Antiqua" w:hint="eastAsia"/>
          <w:color w:val="000000" w:themeColor="text1"/>
          <w:sz w:val="24"/>
        </w:rPr>
        <w:t xml:space="preserve"> in </w:t>
      </w:r>
      <w:proofErr w:type="spellStart"/>
      <w:r w:rsidR="00E970D0" w:rsidRPr="00657C18">
        <w:rPr>
          <w:rFonts w:ascii="Book Antiqua" w:hAnsi="Book Antiqua" w:hint="eastAsia"/>
          <w:color w:val="000000" w:themeColor="text1"/>
          <w:sz w:val="24"/>
        </w:rPr>
        <w:t>mCRC</w:t>
      </w:r>
      <w:proofErr w:type="spellEnd"/>
      <w:r w:rsidR="00E970D0" w:rsidRPr="00657C18">
        <w:rPr>
          <w:rFonts w:ascii="Book Antiqua" w:hAnsi="Book Antiqua" w:hint="eastAsia"/>
          <w:color w:val="000000" w:themeColor="text1"/>
          <w:sz w:val="24"/>
        </w:rPr>
        <w:t xml:space="preserve"> patients, since only one trial used </w:t>
      </w:r>
      <w:proofErr w:type="spellStart"/>
      <w:r w:rsidR="00E970D0" w:rsidRPr="00657C18">
        <w:rPr>
          <w:rFonts w:ascii="Book Antiqua" w:hAnsi="Book Antiqua" w:hint="eastAsia"/>
          <w:color w:val="000000" w:themeColor="text1"/>
          <w:sz w:val="24"/>
        </w:rPr>
        <w:t>capecitabine</w:t>
      </w:r>
      <w:proofErr w:type="spellEnd"/>
      <w:r w:rsidR="00E970D0" w:rsidRPr="00657C18">
        <w:rPr>
          <w:rFonts w:ascii="Book Antiqua" w:hAnsi="Book Antiqua" w:hint="eastAsia"/>
          <w:color w:val="000000" w:themeColor="text1"/>
          <w:sz w:val="24"/>
        </w:rPr>
        <w:t xml:space="preserve"> in this analysis. </w:t>
      </w:r>
      <w:r w:rsidR="00E970D0" w:rsidRPr="00657C18">
        <w:rPr>
          <w:rFonts w:ascii="Book Antiqua" w:hAnsi="Book Antiqua"/>
          <w:color w:val="000000" w:themeColor="text1"/>
          <w:sz w:val="24"/>
        </w:rPr>
        <w:t>H</w:t>
      </w:r>
      <w:r w:rsidR="00E970D0" w:rsidRPr="00657C18">
        <w:rPr>
          <w:rFonts w:ascii="Book Antiqua" w:hAnsi="Book Antiqua" w:hint="eastAsia"/>
          <w:color w:val="000000" w:themeColor="text1"/>
          <w:sz w:val="24"/>
        </w:rPr>
        <w:t xml:space="preserve">owever, there were several studies have suggested that </w:t>
      </w:r>
      <w:proofErr w:type="spellStart"/>
      <w:r w:rsidR="00E970D0" w:rsidRPr="00657C18">
        <w:rPr>
          <w:rFonts w:ascii="Book Antiqua" w:hAnsi="Book Antiqua" w:hint="eastAsia"/>
          <w:color w:val="000000" w:themeColor="text1"/>
          <w:sz w:val="24"/>
        </w:rPr>
        <w:t>capecitabine</w:t>
      </w:r>
      <w:proofErr w:type="spellEnd"/>
      <w:r w:rsidR="00E970D0" w:rsidRPr="00657C18">
        <w:rPr>
          <w:rFonts w:ascii="Book Antiqua" w:hAnsi="Book Antiqua" w:hint="eastAsia"/>
          <w:color w:val="000000" w:themeColor="text1"/>
          <w:sz w:val="24"/>
        </w:rPr>
        <w:t xml:space="preserve"> might be less effective than 5-FU in first line treatment of </w:t>
      </w:r>
      <w:proofErr w:type="spellStart"/>
      <w:r w:rsidR="00E970D0" w:rsidRPr="00657C18">
        <w:rPr>
          <w:rFonts w:ascii="Book Antiqua" w:hAnsi="Book Antiqua" w:hint="eastAsia"/>
          <w:color w:val="000000" w:themeColor="text1"/>
          <w:sz w:val="24"/>
        </w:rPr>
        <w:t>mCRC</w:t>
      </w:r>
      <w:proofErr w:type="spellEnd"/>
      <w:r w:rsidR="00E970D0" w:rsidRPr="00657C18">
        <w:rPr>
          <w:rFonts w:ascii="Book Antiqua" w:hAnsi="Book Antiqua" w:hint="eastAsia"/>
          <w:color w:val="000000" w:themeColor="text1"/>
          <w:sz w:val="24"/>
        </w:rPr>
        <w:t xml:space="preserve"> </w:t>
      </w:r>
      <w:proofErr w:type="gramStart"/>
      <w:r w:rsidR="00E970D0" w:rsidRPr="00657C18">
        <w:rPr>
          <w:rFonts w:ascii="Book Antiqua" w:hAnsi="Book Antiqua" w:hint="eastAsia"/>
          <w:color w:val="000000" w:themeColor="text1"/>
          <w:sz w:val="24"/>
        </w:rPr>
        <w:t>patients</w:t>
      </w:r>
      <w:r w:rsidR="00E970D0" w:rsidRPr="00657C18">
        <w:rPr>
          <w:rFonts w:ascii="Book Antiqua" w:hAnsi="Book Antiqua" w:hint="eastAsia"/>
          <w:color w:val="000000" w:themeColor="text1"/>
          <w:sz w:val="24"/>
          <w:vertAlign w:val="superscript"/>
        </w:rPr>
        <w:t>[</w:t>
      </w:r>
      <w:proofErr w:type="gramEnd"/>
      <w:r w:rsidR="00E970D0" w:rsidRPr="00657C18">
        <w:rPr>
          <w:rFonts w:ascii="Book Antiqua" w:hAnsi="Book Antiqua" w:hint="eastAsia"/>
          <w:color w:val="000000" w:themeColor="text1"/>
          <w:sz w:val="24"/>
          <w:vertAlign w:val="superscript"/>
        </w:rPr>
        <w:t>22-24]</w:t>
      </w:r>
      <w:r w:rsidR="00E970D0" w:rsidRPr="00657C18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.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association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between the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chemotherapy regimen and clinical benefit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>in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wild-type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 treated with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need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to be explored in </w:t>
      </w:r>
      <w:r w:rsidR="00546F8E" w:rsidRPr="00657C18">
        <w:rPr>
          <w:rFonts w:ascii="Book Antiqua" w:hAnsi="Book Antiqua" w:cs="Book Antiqua"/>
          <w:color w:val="000000" w:themeColor="text1"/>
          <w:kern w:val="0"/>
          <w:sz w:val="24"/>
        </w:rPr>
        <w:t>further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studies due to limited </w:t>
      </w:r>
      <w:r w:rsidR="00546F8E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available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research.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Information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>on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PFS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>in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wild-type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 was available in 7 studies,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>and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no benefit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in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PFS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was observed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in trials of first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line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therapy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. The subgroup analyses corresponded with the results from subgroup analyses of OS. After excluding trials using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bevacizumab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, the pooled HR of trials using chemotherapy was 0.83 (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0.68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1.03),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>and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significant heterogeneity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was observed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.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Oxaliplatin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-based chemotherapy with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failed to prolong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PFS in patients with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wild-type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. However,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>significant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benefit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in terms of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PFS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>was observed in trials using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>and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fluorouracil. The subgroup analyses failed to explain 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sources of heterogeneity. Th</w:t>
      </w:r>
      <w:r w:rsidR="00CF16F5" w:rsidRPr="00657C18">
        <w:rPr>
          <w:rFonts w:ascii="Book Antiqua" w:hAnsi="Book Antiqua" w:cs="Book Antiqua"/>
          <w:color w:val="000000" w:themeColor="text1"/>
          <w:kern w:val="0"/>
          <w:sz w:val="24"/>
        </w:rPr>
        <w:t>is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m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ay be due to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different treatment protocols, such as different fluorouracil dosage form</w:t>
      </w:r>
      <w:r w:rsidR="005C5800"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. </w:t>
      </w:r>
      <w:r w:rsidR="00CF16F5" w:rsidRPr="00657C18">
        <w:rPr>
          <w:rFonts w:ascii="Book Antiqua" w:hAnsi="Book Antiqua" w:cs="Book Antiqua"/>
          <w:color w:val="000000" w:themeColor="text1"/>
          <w:kern w:val="0"/>
          <w:sz w:val="24"/>
        </w:rPr>
        <w:t>In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Tveit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KM’s trial fluorouracil was given orally and </w:t>
      </w:r>
      <w:r w:rsidR="00CF16F5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was given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intravenously in </w:t>
      </w:r>
      <w:r w:rsidR="00CF16F5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other</w:t>
      </w:r>
      <w:r w:rsidR="00CF16F5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="00CF16F5" w:rsidRPr="00657C18">
        <w:rPr>
          <w:rFonts w:ascii="Book Antiqua" w:hAnsi="Book Antiqua" w:cs="Book Antiqua"/>
          <w:color w:val="000000" w:themeColor="text1"/>
          <w:kern w:val="0"/>
          <w:sz w:val="24"/>
        </w:rPr>
        <w:t>tudies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.</w:t>
      </w:r>
    </w:p>
    <w:p w:rsidR="00D750C0" w:rsidRPr="00657C18" w:rsidRDefault="00CF16F5" w:rsidP="00E77CF2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In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trials using anti-EGFR </w:t>
      </w:r>
      <w:proofErr w:type="spellStart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as second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or further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line treatment, no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OS 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benefit was observed between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control group and experimental group in patients with wild-type</w:t>
      </w:r>
      <w:r w:rsidR="00D750C0"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 xml:space="preserve"> KRAS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. However, there was significant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benefit in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PFS.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H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eterogeneity disappeared after excluding Marc </w:t>
      </w:r>
      <w:proofErr w:type="spellStart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Peeters’s</w:t>
      </w:r>
      <w:proofErr w:type="spellEnd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study. The reason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for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lastRenderedPageBreak/>
        <w:t>the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heterogeneity between these trials was </w:t>
      </w:r>
      <w:r w:rsidR="00546F8E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due to 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different therapeutic regimen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. Marc </w:t>
      </w:r>
      <w:proofErr w:type="spellStart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Peeters’s</w:t>
      </w:r>
      <w:proofErr w:type="spellEnd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study was the only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study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to 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use chemotherapy combined with anti-EGFR </w:t>
      </w:r>
      <w:proofErr w:type="spellStart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as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therapeutic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regimen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, the other two studies used BSC combined with anti-EGFR </w:t>
      </w:r>
      <w:proofErr w:type="spellStart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.</w:t>
      </w:r>
    </w:p>
    <w:p w:rsidR="00D750C0" w:rsidRPr="00657C18" w:rsidRDefault="00546F8E" w:rsidP="00E77CF2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From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CF16F5" w:rsidRPr="00657C18">
        <w:rPr>
          <w:rFonts w:ascii="Book Antiqua" w:hAnsi="Book Antiqua" w:cs="Book Antiqua"/>
          <w:color w:val="000000" w:themeColor="text1"/>
          <w:kern w:val="0"/>
          <w:sz w:val="24"/>
        </w:rPr>
        <w:t>this meta-analysis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, it </w:t>
      </w:r>
      <w:r w:rsidR="00CF16F5" w:rsidRPr="00657C18">
        <w:rPr>
          <w:rFonts w:ascii="Book Antiqua" w:hAnsi="Book Antiqua" w:cs="Book Antiqua"/>
          <w:color w:val="000000" w:themeColor="text1"/>
          <w:kern w:val="0"/>
          <w:sz w:val="24"/>
        </w:rPr>
        <w:t>is clear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that the clinical benefit of anti-EGFR </w:t>
      </w:r>
      <w:proofErr w:type="spellStart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CF16F5" w:rsidRPr="00657C18">
        <w:rPr>
          <w:rFonts w:ascii="Book Antiqua" w:hAnsi="Book Antiqua" w:cs="Book Antiqua"/>
          <w:color w:val="000000" w:themeColor="text1"/>
          <w:kern w:val="0"/>
          <w:sz w:val="24"/>
        </w:rPr>
        <w:t>is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dependent on</w:t>
      </w:r>
      <w:r w:rsidR="00D750C0"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 xml:space="preserve"> KRAS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status. For patients with mutant </w:t>
      </w:r>
      <w:r w:rsidR="00D750C0"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, there was no </w:t>
      </w:r>
      <w:r w:rsidR="00CF16F5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survival 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advantage when anti-EGFR </w:t>
      </w:r>
      <w:proofErr w:type="spellStart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CF16F5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were 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used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in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any line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of 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treatment.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Our </w:t>
      </w:r>
      <w:r w:rsidR="00CF16F5" w:rsidRPr="00657C18">
        <w:rPr>
          <w:rFonts w:ascii="Book Antiqua" w:hAnsi="Book Antiqua" w:cs="Book Antiqua"/>
          <w:color w:val="000000" w:themeColor="text1"/>
          <w:kern w:val="0"/>
          <w:sz w:val="24"/>
        </w:rPr>
        <w:t>results are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 line with </w:t>
      </w:r>
      <w:r w:rsidR="00CF16F5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those of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other studies.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Linlin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Zhang and </w:t>
      </w:r>
      <w:proofErr w:type="gram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colleagues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  <w:vertAlign w:val="superscript"/>
        </w:rPr>
        <w:t>[</w:t>
      </w:r>
      <w:proofErr w:type="gramEnd"/>
      <w:r w:rsidR="00E970D0" w:rsidRPr="00657C18">
        <w:rPr>
          <w:rFonts w:ascii="Book Antiqua" w:hAnsi="Book Antiqua" w:cs="Book Antiqua" w:hint="eastAsia"/>
          <w:color w:val="000000" w:themeColor="text1"/>
          <w:kern w:val="0"/>
          <w:sz w:val="24"/>
          <w:vertAlign w:val="superscript"/>
        </w:rPr>
        <w:t>2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  <w:vertAlign w:val="superscript"/>
        </w:rPr>
        <w:t>5]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evaluated the predictive value of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mutation status and </w:t>
      </w:r>
      <w:r w:rsidR="00CF16F5" w:rsidRPr="00657C18">
        <w:rPr>
          <w:rFonts w:ascii="Book Antiqua" w:hAnsi="Book Antiqua" w:cs="Book Antiqua"/>
          <w:color w:val="000000" w:themeColor="text1"/>
          <w:kern w:val="0"/>
          <w:sz w:val="24"/>
        </w:rPr>
        <w:t>showed a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clinical benefit in PFS with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 patients with wild-type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, and there was no significant difference in OS between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cetuximab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-based chemotherapy and chemotherapy alone. However, only 4 RCTs were included in their analysis. Most recently, Vale and </w:t>
      </w:r>
      <w:proofErr w:type="gram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colleagues</w:t>
      </w:r>
      <w:r w:rsidR="00E970D0" w:rsidRPr="00657C18">
        <w:rPr>
          <w:rFonts w:ascii="Book Antiqua" w:hAnsi="Book Antiqua" w:cs="Book Antiqua"/>
          <w:color w:val="000000" w:themeColor="text1"/>
          <w:kern w:val="0"/>
          <w:sz w:val="24"/>
          <w:vertAlign w:val="superscript"/>
        </w:rPr>
        <w:t>[</w:t>
      </w:r>
      <w:proofErr w:type="gramEnd"/>
      <w:r w:rsidR="00B56A20" w:rsidRPr="00657C18">
        <w:rPr>
          <w:rFonts w:ascii="Book Antiqua" w:hAnsi="Book Antiqua" w:cs="Book Antiqua" w:hint="eastAsia"/>
          <w:color w:val="000000" w:themeColor="text1"/>
          <w:kern w:val="0"/>
          <w:sz w:val="24"/>
          <w:vertAlign w:val="superscript"/>
        </w:rPr>
        <w:t>26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  <w:vertAlign w:val="superscript"/>
        </w:rPr>
        <w:t xml:space="preserve">]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included 10 studies to examine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treatment and </w:t>
      </w:r>
      <w:r w:rsidR="00CF16F5" w:rsidRPr="00657C18">
        <w:rPr>
          <w:rFonts w:ascii="Book Antiqua" w:hAnsi="Book Antiqua" w:cs="Book Antiqua"/>
          <w:color w:val="000000" w:themeColor="text1"/>
          <w:kern w:val="0"/>
          <w:sz w:val="24"/>
        </w:rPr>
        <w:t>found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that there were clear benefits of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 any line </w:t>
      </w:r>
      <w:r w:rsidR="00CF16F5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of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treatment, when used </w:t>
      </w:r>
      <w:r w:rsidR="00CF16F5" w:rsidRPr="00657C18">
        <w:rPr>
          <w:rFonts w:ascii="Book Antiqua" w:hAnsi="Book Antiqua" w:cs="Book Antiqua"/>
          <w:color w:val="000000" w:themeColor="text1"/>
          <w:kern w:val="0"/>
          <w:sz w:val="24"/>
        </w:rPr>
        <w:t>with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infusional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5FU-based regimens. In </w:t>
      </w:r>
      <w:r w:rsidR="00CF16F5" w:rsidRPr="00657C18">
        <w:rPr>
          <w:rFonts w:ascii="Book Antiqua" w:hAnsi="Book Antiqua" w:cs="Book Antiqua"/>
          <w:color w:val="000000" w:themeColor="text1"/>
          <w:kern w:val="0"/>
          <w:sz w:val="24"/>
        </w:rPr>
        <w:t>the present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546F8E" w:rsidRPr="00657C18">
        <w:rPr>
          <w:rFonts w:ascii="Book Antiqua" w:hAnsi="Book Antiqua" w:cs="Book Antiqua"/>
          <w:color w:val="000000" w:themeColor="text1"/>
          <w:kern w:val="0"/>
          <w:sz w:val="24"/>
        </w:rPr>
        <w:t>meta-analysis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, 10 studies were included in the final analysis. We compiled years of research from several RCTs, </w:t>
      </w:r>
      <w:r w:rsidR="00CF16F5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and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updat</w:t>
      </w:r>
      <w:r w:rsidR="00CF16F5" w:rsidRPr="00657C18">
        <w:rPr>
          <w:rFonts w:ascii="Book Antiqua" w:hAnsi="Book Antiqua" w:cs="Book Antiqua"/>
          <w:color w:val="000000" w:themeColor="text1"/>
          <w:kern w:val="0"/>
          <w:sz w:val="24"/>
        </w:rPr>
        <w:t>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the conclusion </w:t>
      </w:r>
      <w:r w:rsidR="00CF16F5" w:rsidRPr="00657C18">
        <w:rPr>
          <w:rFonts w:ascii="Book Antiqua" w:hAnsi="Book Antiqua" w:cs="Book Antiqua"/>
          <w:color w:val="000000" w:themeColor="text1"/>
          <w:kern w:val="0"/>
          <w:sz w:val="24"/>
        </w:rPr>
        <w:t>regarding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the relation</w:t>
      </w:r>
      <w:r w:rsidR="00CF16F5" w:rsidRPr="00657C18">
        <w:rPr>
          <w:rFonts w:ascii="Book Antiqua" w:hAnsi="Book Antiqua" w:cs="Book Antiqua"/>
          <w:color w:val="000000" w:themeColor="text1"/>
          <w:kern w:val="0"/>
          <w:sz w:val="24"/>
        </w:rPr>
        <w:t>ship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between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status and the </w:t>
      </w:r>
      <w:r w:rsidR="00CF16F5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therapeutic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effects of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patients. In this article, analyses of the 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therapeutic effects of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 untreated p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atients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and 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those who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received prior chemotherapy were 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performed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separately. 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This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  <w:highlight w:val="yellow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provide</w:t>
      </w:r>
      <w:r w:rsidR="00546F8E" w:rsidRPr="00657C18">
        <w:rPr>
          <w:rFonts w:ascii="Book Antiqua" w:hAnsi="Book Antiqua" w:cs="Book Antiqua"/>
          <w:color w:val="000000" w:themeColor="text1"/>
          <w:kern w:val="0"/>
          <w:sz w:val="24"/>
        </w:rPr>
        <w:t>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the first evidence that patients with wild-type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did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not benefit from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with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oxaliplatin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-based therapy as first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line treatment. Clinical benefit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wild-type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 was confined to therapeutic regimen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w</w:t>
      </w:r>
      <w:r w:rsidR="00546F8E" w:rsidRPr="00657C18">
        <w:rPr>
          <w:rFonts w:ascii="Book Antiqua" w:hAnsi="Book Antiqua" w:cs="Book Antiqua"/>
          <w:color w:val="000000" w:themeColor="text1"/>
          <w:kern w:val="0"/>
          <w:sz w:val="24"/>
        </w:rPr>
        <w:t>hich included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nd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fluorouracil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based therapy.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ind w:firstLine="377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Several limitations of our meta-analysis need to be considered when interpreting the</w:t>
      </w:r>
      <w:r w:rsidR="00546F8E" w:rsidRPr="00657C18">
        <w:rPr>
          <w:rFonts w:ascii="Book Antiqua" w:hAnsi="Book Antiqua" w:cs="Book Antiqua"/>
          <w:color w:val="000000" w:themeColor="text1"/>
          <w:kern w:val="0"/>
          <w:sz w:val="24"/>
        </w:rPr>
        <w:t>se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findings. 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F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irst</w:t>
      </w:r>
      <w:r w:rsidR="00546F8E" w:rsidRPr="00657C18">
        <w:rPr>
          <w:rFonts w:ascii="Book Antiqua" w:hAnsi="Book Antiqua" w:cs="Book Antiqua"/>
          <w:color w:val="000000" w:themeColor="text1"/>
          <w:kern w:val="0"/>
          <w:sz w:val="24"/>
        </w:rPr>
        <w:t>ly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, our result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ere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based on unadjusted estimates, 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and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 more precise analysis should be conducted 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with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more detailed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lastRenderedPageBreak/>
        <w:t xml:space="preserve">data </w:t>
      </w:r>
      <w:r w:rsidR="00546F8E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based 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on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adjusted estimate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s for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other prognostic factors such as sex, age, tumor location and other biomarkers. Furthermore, although the initial trials were conducted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prospectively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, tissue specimens were 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only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available for a small percentage of patients which </w:t>
      </w:r>
      <w:r w:rsidR="00546F8E" w:rsidRPr="00657C18">
        <w:rPr>
          <w:rFonts w:ascii="Book Antiqua" w:hAnsi="Book Antiqua" w:cs="Book Antiqua"/>
          <w:color w:val="000000" w:themeColor="text1"/>
          <w:kern w:val="0"/>
          <w:sz w:val="24"/>
        </w:rPr>
        <w:t>may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have resulted in selection bias. 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Second</w:t>
      </w:r>
      <w:r w:rsidR="00546F8E" w:rsidRPr="00657C18">
        <w:rPr>
          <w:rFonts w:ascii="Book Antiqua" w:hAnsi="Book Antiqua" w:cs="Book Antiqua"/>
          <w:color w:val="000000" w:themeColor="text1"/>
          <w:kern w:val="0"/>
          <w:sz w:val="24"/>
        </w:rPr>
        <w:t>ly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, chemotherapy regimen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which 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were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combined with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m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ay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546F8E" w:rsidRPr="00657C18">
        <w:rPr>
          <w:rFonts w:ascii="Book Antiqua" w:hAnsi="Book Antiqua" w:cs="Book Antiqua"/>
          <w:color w:val="000000" w:themeColor="text1"/>
          <w:kern w:val="0"/>
          <w:sz w:val="24"/>
        </w:rPr>
        <w:t>have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influence</w:t>
      </w:r>
      <w:r w:rsidR="00546F8E" w:rsidRPr="00657C18">
        <w:rPr>
          <w:rFonts w:ascii="Book Antiqua" w:hAnsi="Book Antiqua" w:cs="Book Antiqua"/>
          <w:color w:val="000000" w:themeColor="text1"/>
          <w:kern w:val="0"/>
          <w:sz w:val="24"/>
        </w:rPr>
        <w:t>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the therapeutic effect. </w:t>
      </w:r>
      <w:r w:rsidR="00546F8E" w:rsidRPr="00657C18">
        <w:rPr>
          <w:rFonts w:ascii="Book Antiqua" w:hAnsi="Book Antiqua" w:cs="Book Antiqua"/>
          <w:color w:val="000000" w:themeColor="text1"/>
          <w:kern w:val="0"/>
          <w:sz w:val="24"/>
        </w:rPr>
        <w:t>The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chemotherapy regimen </w:t>
      </w:r>
      <w:r w:rsidR="00546F8E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that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will 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provide most benefit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to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patients when combined with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need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to 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be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explore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 large randomized trials. In 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this meta-analysis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,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oxaliplatin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-based chemotherapy 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did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not benefit patients with wild-type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 xml:space="preserve">KRAS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when combined with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as first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line treatment. In addition, the 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number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of trials of second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or further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line treatment 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was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too small to drawn a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n accurate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conclusion. 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This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was due to poor recruitment and influenced the </w:t>
      </w:r>
      <w:r w:rsidR="009B52AE" w:rsidRPr="00657C18">
        <w:rPr>
          <w:rFonts w:ascii="Book Antiqua" w:hAnsi="Book Antiqua" w:cs="Book Antiqua"/>
          <w:color w:val="000000" w:themeColor="text1"/>
          <w:kern w:val="0"/>
          <w:sz w:val="24"/>
        </w:rPr>
        <w:t>findings in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our meta-analysis. 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Finally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, although most mutations in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were </w:t>
      </w:r>
      <w:r w:rsidR="009B52AE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found 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at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codons 12 and 13 of exon 2, more than 3000 point mutations have </w:t>
      </w:r>
      <w:r w:rsidR="009B52AE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been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detected in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and different point mutations have different effect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on KRAS activity. The recognition of additional point mutations in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and other key members of 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EGFR downstream signal pathway </w:t>
      </w:r>
      <w:r w:rsidR="00D2114A" w:rsidRPr="00657C18">
        <w:rPr>
          <w:rFonts w:ascii="Book Antiqua" w:hAnsi="Book Antiqua" w:cs="Book Antiqua"/>
          <w:color w:val="000000" w:themeColor="text1"/>
          <w:kern w:val="0"/>
          <w:sz w:val="24"/>
        </w:rPr>
        <w:t>may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alter the conclusion</w:t>
      </w:r>
      <w:r w:rsidR="003C5607"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d</w:t>
      </w:r>
      <w:r w:rsidR="009B52AE" w:rsidRPr="00657C18">
        <w:rPr>
          <w:rFonts w:ascii="Book Antiqua" w:hAnsi="Book Antiqua" w:cs="Book Antiqua"/>
          <w:color w:val="000000" w:themeColor="text1"/>
          <w:kern w:val="0"/>
          <w:sz w:val="24"/>
        </w:rPr>
        <w:t>rawn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today.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ind w:firstLine="377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In conclusion, this meta-analysis provided evidence that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 xml:space="preserve"> 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status is a predictive marker for </w:t>
      </w:r>
      <w:r w:rsidR="003C5607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clinical benefit</w:t>
      </w:r>
      <w:r w:rsidR="003C5607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of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patients. Only patients with wild-type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9B52AE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will </w:t>
      </w:r>
      <w:r w:rsidR="003C5607" w:rsidRPr="00657C18">
        <w:rPr>
          <w:rFonts w:ascii="Book Antiqua" w:hAnsi="Book Antiqua" w:cs="Book Antiqua"/>
          <w:color w:val="000000" w:themeColor="text1"/>
          <w:kern w:val="0"/>
          <w:sz w:val="24"/>
        </w:rPr>
        <w:t>benefit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from first</w:t>
      </w:r>
      <w:r w:rsidR="003C5607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line or further</w:t>
      </w:r>
      <w:r w:rsidR="003C5607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line treatment</w:t>
      </w:r>
      <w:r w:rsidR="003C5607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with anti-EGFR </w:t>
      </w:r>
      <w:proofErr w:type="spellStart"/>
      <w:r w:rsidR="003C5607"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, </w:t>
      </w:r>
      <w:r w:rsidR="003C5607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and patients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with </w:t>
      </w:r>
      <w:r w:rsidR="003C5607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mutant </w:t>
      </w:r>
      <w:r w:rsidR="003C5607"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="003C5607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9B52AE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will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no</w:t>
      </w:r>
      <w:r w:rsidR="009B52AE" w:rsidRPr="00657C18">
        <w:rPr>
          <w:rFonts w:ascii="Book Antiqua" w:hAnsi="Book Antiqua" w:cs="Book Antiqua"/>
          <w:color w:val="000000" w:themeColor="text1"/>
          <w:kern w:val="0"/>
          <w:sz w:val="24"/>
        </w:rPr>
        <w:t>t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benefit. Line of treatment, chemotherapy regimen and combination with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bevacizumab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influence the clinical therapeutic effect</w:t>
      </w:r>
      <w:r w:rsidR="003C5607"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of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 these patients. This meta-analysis also provide</w:t>
      </w:r>
      <w:r w:rsidR="009B52AE" w:rsidRPr="00657C18">
        <w:rPr>
          <w:rFonts w:ascii="Book Antiqua" w:hAnsi="Book Antiqua" w:cs="Book Antiqua"/>
          <w:color w:val="000000" w:themeColor="text1"/>
          <w:kern w:val="0"/>
          <w:sz w:val="24"/>
        </w:rPr>
        <w:t>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the first evidence that wild-type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 </w:t>
      </w:r>
      <w:r w:rsidR="003C5607" w:rsidRPr="00657C18">
        <w:rPr>
          <w:rFonts w:ascii="Book Antiqua" w:hAnsi="Book Antiqua" w:cs="Book Antiqua"/>
          <w:color w:val="000000" w:themeColor="text1"/>
          <w:kern w:val="0"/>
          <w:sz w:val="24"/>
        </w:rPr>
        <w:t>do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not benefit from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with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oxaliplatin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-based therapy as first</w:t>
      </w:r>
      <w:r w:rsidR="003C5607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line treatment. Clinical benefit was confined to therapeutic regimen</w:t>
      </w:r>
      <w:r w:rsidR="003C5607"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3C5607" w:rsidRPr="00657C18">
        <w:rPr>
          <w:rFonts w:ascii="Book Antiqua" w:hAnsi="Book Antiqua" w:cs="Book Antiqua"/>
          <w:color w:val="000000" w:themeColor="text1"/>
          <w:kern w:val="0"/>
          <w:sz w:val="24"/>
        </w:rPr>
        <w:t>w</w:t>
      </w:r>
      <w:r w:rsidR="009B52AE" w:rsidRPr="00657C18">
        <w:rPr>
          <w:rFonts w:ascii="Book Antiqua" w:hAnsi="Book Antiqua" w:cs="Book Antiqua"/>
          <w:color w:val="000000" w:themeColor="text1"/>
          <w:kern w:val="0"/>
          <w:sz w:val="24"/>
        </w:rPr>
        <w:t>hich included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3C5607" w:rsidRPr="00657C18">
        <w:rPr>
          <w:rFonts w:ascii="Book Antiqua" w:hAnsi="Book Antiqua" w:cs="Book Antiqua"/>
          <w:color w:val="000000" w:themeColor="text1"/>
          <w:kern w:val="0"/>
          <w:sz w:val="24"/>
        </w:rPr>
        <w:t>and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fluorouracil</w:t>
      </w:r>
      <w:r w:rsidR="003C5607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based therapy.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caps/>
          <w:color w:val="000000" w:themeColor="text1"/>
          <w:kern w:val="0"/>
          <w:sz w:val="24"/>
        </w:rPr>
      </w:pP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caps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bCs/>
          <w:caps/>
          <w:color w:val="000000" w:themeColor="text1"/>
          <w:kern w:val="0"/>
          <w:sz w:val="24"/>
        </w:rPr>
        <w:lastRenderedPageBreak/>
        <w:t>comments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i/>
          <w:iCs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bCs/>
          <w:i/>
          <w:iCs/>
          <w:color w:val="000000" w:themeColor="text1"/>
          <w:kern w:val="0"/>
          <w:sz w:val="24"/>
        </w:rPr>
        <w:t>Back</w:t>
      </w:r>
      <w:r w:rsidR="00CF16F5" w:rsidRPr="00657C18">
        <w:rPr>
          <w:rFonts w:ascii="Book Antiqua" w:hAnsi="Book Antiqua" w:cs="Book Antiqua"/>
          <w:b/>
          <w:bCs/>
          <w:i/>
          <w:iCs/>
          <w:color w:val="000000" w:themeColor="text1"/>
          <w:kern w:val="0"/>
          <w:sz w:val="24"/>
        </w:rPr>
        <w:t>g</w:t>
      </w:r>
      <w:r w:rsidRPr="00657C18">
        <w:rPr>
          <w:rFonts w:ascii="Book Antiqua" w:hAnsi="Book Antiqua" w:cs="Book Antiqua"/>
          <w:b/>
          <w:bCs/>
          <w:i/>
          <w:iCs/>
          <w:color w:val="000000" w:themeColor="text1"/>
          <w:kern w:val="0"/>
          <w:sz w:val="24"/>
        </w:rPr>
        <w:t>round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Colorectal cancer is one of the most common human malignant disease</w:t>
      </w:r>
      <w:r w:rsidR="00EB3E4D"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and the leading cause of cancer</w:t>
      </w:r>
      <w:r w:rsidR="00EB3E4D"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related</w:t>
      </w:r>
      <w:r w:rsidR="00EB3E4D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death worldwide. Over the last decade, the availability of combination chemotherapy and targeted agents has improved the median survival of patients with metastatic colorectal cancer. </w:t>
      </w:r>
      <w:r w:rsidR="00EB3E4D" w:rsidRPr="00657C18">
        <w:rPr>
          <w:rFonts w:ascii="Book Antiqua" w:hAnsi="Book Antiqua" w:cs="Book Antiqua"/>
          <w:color w:val="000000" w:themeColor="text1"/>
          <w:kern w:val="0"/>
          <w:sz w:val="24"/>
        </w:rPr>
        <w:t>M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onoclonal antibodies which target </w:t>
      </w:r>
      <w:r w:rsidR="00EB3E4D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epidermal growth factor receptor have been approved by the FDA for metastatic colorectal cancer.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mutations have emerged as major predictive marker</w:t>
      </w:r>
      <w:r w:rsidR="009B52AE"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of resistance to anti-EGFR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. However, the</w:t>
      </w:r>
      <w:r w:rsidR="00EB3E4D" w:rsidRPr="00657C18">
        <w:rPr>
          <w:rFonts w:ascii="Book Antiqua" w:hAnsi="Book Antiqua" w:cs="Book Antiqua"/>
          <w:color w:val="000000" w:themeColor="text1"/>
          <w:kern w:val="0"/>
          <w:sz w:val="24"/>
        </w:rPr>
        <w:t>se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results were </w:t>
      </w:r>
      <w:r w:rsidR="00EB3E4D" w:rsidRPr="00657C18">
        <w:rPr>
          <w:rFonts w:ascii="Book Antiqua" w:hAnsi="Book Antiqua" w:cs="Book Antiqua"/>
          <w:color w:val="000000" w:themeColor="text1"/>
          <w:kern w:val="0"/>
          <w:sz w:val="24"/>
        </w:rPr>
        <w:t>obtained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from retrospective and non-randomized studies.</w:t>
      </w:r>
    </w:p>
    <w:p w:rsidR="00663F14" w:rsidRDefault="00663F14" w:rsidP="00E77CF2">
      <w:pPr>
        <w:autoSpaceDE w:val="0"/>
        <w:autoSpaceDN w:val="0"/>
        <w:adjustRightInd w:val="0"/>
        <w:snapToGrid w:val="0"/>
        <w:spacing w:line="360" w:lineRule="auto"/>
        <w:rPr>
          <w:b/>
          <w:bCs/>
          <w:i/>
          <w:iCs/>
          <w:color w:val="000000" w:themeColor="text1"/>
          <w:kern w:val="0"/>
          <w:sz w:val="24"/>
        </w:rPr>
      </w:pP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b/>
          <w:bCs/>
          <w:i/>
          <w:iCs/>
          <w:color w:val="000000" w:themeColor="text1"/>
          <w:kern w:val="0"/>
          <w:sz w:val="24"/>
        </w:rPr>
      </w:pPr>
      <w:r w:rsidRPr="00657C18">
        <w:rPr>
          <w:b/>
          <w:bCs/>
          <w:i/>
          <w:iCs/>
          <w:color w:val="000000" w:themeColor="text1"/>
          <w:kern w:val="0"/>
          <w:sz w:val="24"/>
        </w:rPr>
        <w:t>Research frontiers</w:t>
      </w:r>
    </w:p>
    <w:p w:rsidR="00D750C0" w:rsidRPr="00657C18" w:rsidRDefault="00EB3E4D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A m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eta-analysis was used to evaluate the relation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ship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between </w:t>
      </w:r>
      <w:r w:rsidR="00D750C0"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 xml:space="preserve">KRAS 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status and the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therapeutic 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effects of anti-EGFR </w:t>
      </w:r>
      <w:proofErr w:type="spellStart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 </w:t>
      </w:r>
      <w:proofErr w:type="spellStart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patients.</w:t>
      </w:r>
    </w:p>
    <w:p w:rsidR="00663F14" w:rsidRDefault="00663F14" w:rsidP="00E77CF2">
      <w:pPr>
        <w:autoSpaceDE w:val="0"/>
        <w:autoSpaceDN w:val="0"/>
        <w:adjustRightInd w:val="0"/>
        <w:snapToGrid w:val="0"/>
        <w:spacing w:line="360" w:lineRule="auto"/>
        <w:rPr>
          <w:b/>
          <w:bCs/>
          <w:i/>
          <w:iCs/>
          <w:color w:val="000000" w:themeColor="text1"/>
          <w:kern w:val="0"/>
          <w:sz w:val="24"/>
        </w:rPr>
      </w:pP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b/>
          <w:bCs/>
          <w:i/>
          <w:iCs/>
          <w:color w:val="000000" w:themeColor="text1"/>
          <w:kern w:val="0"/>
          <w:sz w:val="24"/>
        </w:rPr>
      </w:pPr>
      <w:r w:rsidRPr="00657C18">
        <w:rPr>
          <w:b/>
          <w:bCs/>
          <w:i/>
          <w:iCs/>
          <w:color w:val="000000" w:themeColor="text1"/>
          <w:kern w:val="0"/>
          <w:sz w:val="24"/>
        </w:rPr>
        <w:t>Innovations and breakthroughs</w:t>
      </w:r>
    </w:p>
    <w:p w:rsidR="00D750C0" w:rsidRPr="00657C18" w:rsidRDefault="00F25E95" w:rsidP="00E77CF2">
      <w:pPr>
        <w:autoSpaceDE w:val="0"/>
        <w:autoSpaceDN w:val="0"/>
        <w:adjustRightInd w:val="0"/>
        <w:snapToGrid w:val="0"/>
        <w:spacing w:line="360" w:lineRule="auto"/>
        <w:rPr>
          <w:b/>
          <w:bCs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In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first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line treatment,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survival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benefit was confined to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patients with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wild-type </w:t>
      </w:r>
      <w:r w:rsidR="00D750C0"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. Chemotherapy regimen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and angiogenesis inhibitor treatment influence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d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the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results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of </w:t>
      </w:r>
      <w:r w:rsidR="009B52AE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analysis. Wild-type </w:t>
      </w:r>
      <w:r w:rsidR="00D750C0"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did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not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seem 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to benefit from </w:t>
      </w:r>
      <w:proofErr w:type="spellStart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oxaliplatin</w:t>
      </w:r>
      <w:proofErr w:type="spellEnd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-based chemotherapy (PFS: 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HR = 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0.88, 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0.70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1.10; OS: 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HR = 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0.93, 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0.82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1.04). Clinical benefit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 was limited to therapeutic regimen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s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wi</w:t>
      </w:r>
      <w:r w:rsidR="009B52AE" w:rsidRPr="00657C18">
        <w:rPr>
          <w:rFonts w:ascii="Book Antiqua" w:hAnsi="Book Antiqua" w:cs="Book Antiqua"/>
          <w:color w:val="000000" w:themeColor="text1"/>
          <w:kern w:val="0"/>
          <w:sz w:val="24"/>
        </w:rPr>
        <w:t>hich</w:t>
      </w:r>
      <w:proofErr w:type="spellEnd"/>
      <w:r w:rsidR="009B52AE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included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anti-EGFR </w:t>
      </w:r>
      <w:proofErr w:type="spellStart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nd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fluorouracil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based therapy (PFS: 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HR = 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0.77, 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0.69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0.86; OS: 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HR = 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0.85, </w:t>
      </w:r>
      <w:r w:rsidR="00B5344D">
        <w:rPr>
          <w:rFonts w:ascii="Book Antiqua" w:hAnsi="Book Antiqua" w:cs="Book Antiqua"/>
          <w:color w:val="000000" w:themeColor="text1"/>
          <w:kern w:val="0"/>
          <w:sz w:val="24"/>
        </w:rPr>
        <w:t xml:space="preserve">95%CI: 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0.75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0.95). When anti-EGFR monoclonal antibodies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were 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used as second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or further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line treatment, clinical benefit was still confined to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patients with 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wild-type</w:t>
      </w:r>
      <w:r w:rsidR="00D750C0"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 xml:space="preserve"> KRAS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. This meta-analysis provides the first evidence that wild-type </w:t>
      </w:r>
      <w:r w:rsidR="00D750C0"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did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not benefit from anti-EGFR </w:t>
      </w:r>
      <w:proofErr w:type="spellStart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with </w:t>
      </w:r>
      <w:proofErr w:type="spellStart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oxaliplatin</w:t>
      </w:r>
      <w:proofErr w:type="spellEnd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-based therapy as first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line treatment. Clinical benefit was confined to 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lastRenderedPageBreak/>
        <w:t>therapeutic regimen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s w</w:t>
      </w:r>
      <w:r w:rsidR="009B52AE" w:rsidRPr="00657C18">
        <w:rPr>
          <w:rFonts w:ascii="Book Antiqua" w:hAnsi="Book Antiqua" w:cs="Book Antiqua"/>
          <w:color w:val="000000" w:themeColor="text1"/>
          <w:kern w:val="0"/>
          <w:sz w:val="24"/>
        </w:rPr>
        <w:t>hich included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anti-EGFR </w:t>
      </w:r>
      <w:proofErr w:type="spellStart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nd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fluorouracil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-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based therapy.</w:t>
      </w:r>
    </w:p>
    <w:p w:rsidR="00663F14" w:rsidRDefault="00663F14" w:rsidP="00E77CF2">
      <w:pPr>
        <w:autoSpaceDE w:val="0"/>
        <w:autoSpaceDN w:val="0"/>
        <w:adjustRightInd w:val="0"/>
        <w:snapToGrid w:val="0"/>
        <w:spacing w:line="360" w:lineRule="auto"/>
        <w:rPr>
          <w:b/>
          <w:bCs/>
          <w:i/>
          <w:iCs/>
          <w:color w:val="000000" w:themeColor="text1"/>
          <w:kern w:val="0"/>
          <w:sz w:val="24"/>
        </w:rPr>
      </w:pP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b/>
          <w:bCs/>
          <w:i/>
          <w:iCs/>
          <w:color w:val="000000" w:themeColor="text1"/>
          <w:kern w:val="0"/>
          <w:sz w:val="24"/>
        </w:rPr>
      </w:pPr>
      <w:r w:rsidRPr="00657C18">
        <w:rPr>
          <w:b/>
          <w:bCs/>
          <w:i/>
          <w:iCs/>
          <w:color w:val="000000" w:themeColor="text1"/>
          <w:kern w:val="0"/>
          <w:sz w:val="24"/>
        </w:rPr>
        <w:t>Applications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Although the initial trials were conducted</w:t>
      </w:r>
      <w:r w:rsidR="00F25E95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prospectively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, tissue specimens were </w:t>
      </w:r>
      <w:r w:rsidR="00F25E95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only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available for a small percentage of patients which </w:t>
      </w:r>
      <w:r w:rsidR="00F25E95" w:rsidRPr="00657C18">
        <w:rPr>
          <w:rFonts w:ascii="Book Antiqua" w:hAnsi="Book Antiqua" w:cs="Book Antiqua"/>
          <w:color w:val="000000" w:themeColor="text1"/>
          <w:kern w:val="0"/>
          <w:sz w:val="24"/>
        </w:rPr>
        <w:t>may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have resulted in selection bias. </w:t>
      </w:r>
      <w:r w:rsidR="00F25E95" w:rsidRPr="00657C18">
        <w:rPr>
          <w:rFonts w:ascii="Book Antiqua" w:hAnsi="Book Antiqua" w:cs="Book Antiqua"/>
          <w:color w:val="000000" w:themeColor="text1"/>
          <w:kern w:val="0"/>
          <w:sz w:val="24"/>
        </w:rPr>
        <w:t>L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arge prospective clinical trials </w:t>
      </w:r>
      <w:r w:rsidR="00F25E95" w:rsidRPr="00657C18">
        <w:rPr>
          <w:rFonts w:ascii="Book Antiqua" w:hAnsi="Book Antiqua" w:cs="Book Antiqua"/>
          <w:color w:val="000000" w:themeColor="text1"/>
          <w:kern w:val="0"/>
          <w:sz w:val="24"/>
        </w:rPr>
        <w:t>are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required to validate th</w:t>
      </w:r>
      <w:r w:rsidR="00F25E95" w:rsidRPr="00657C18">
        <w:rPr>
          <w:rFonts w:ascii="Book Antiqua" w:hAnsi="Book Antiqua" w:cs="Book Antiqua"/>
          <w:color w:val="000000" w:themeColor="text1"/>
          <w:kern w:val="0"/>
          <w:sz w:val="24"/>
        </w:rPr>
        <w:t>is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conclusion. Furthermore, it </w:t>
      </w:r>
      <w:r w:rsidR="00F25E95" w:rsidRPr="00657C18">
        <w:rPr>
          <w:rFonts w:ascii="Book Antiqua" w:hAnsi="Book Antiqua" w:cs="Book Antiqua"/>
          <w:color w:val="000000" w:themeColor="text1"/>
          <w:kern w:val="0"/>
          <w:sz w:val="24"/>
        </w:rPr>
        <w:t>is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apparent that 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F25E95" w:rsidRPr="00657C18">
        <w:rPr>
          <w:rFonts w:ascii="Book Antiqua" w:hAnsi="Book Antiqua" w:cs="Book Antiqua"/>
          <w:color w:val="000000" w:themeColor="text1"/>
          <w:kern w:val="0"/>
          <w:sz w:val="24"/>
        </w:rPr>
        <w:t>is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 heterogeneous disease </w:t>
      </w:r>
      <w:r w:rsidR="00F25E95" w:rsidRPr="00657C18">
        <w:rPr>
          <w:rFonts w:ascii="Book Antiqua" w:hAnsi="Book Antiqua" w:cs="Book Antiqua"/>
          <w:color w:val="000000" w:themeColor="text1"/>
          <w:kern w:val="0"/>
          <w:sz w:val="24"/>
        </w:rPr>
        <w:t>with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numerous activation mutations in oncogene</w:t>
      </w:r>
      <w:r w:rsidR="00F25E95"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and inactivation mutations in tumor suppressor gene</w:t>
      </w:r>
      <w:r w:rsidR="00F25E95" w:rsidRPr="00657C18">
        <w:rPr>
          <w:rFonts w:ascii="Book Antiqua" w:hAnsi="Book Antiqua" w:cs="Book Antiqua"/>
          <w:color w:val="000000" w:themeColor="text1"/>
          <w:kern w:val="0"/>
          <w:sz w:val="24"/>
        </w:rPr>
        <w:t>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. The identification of mutations in other members of </w:t>
      </w:r>
      <w:r w:rsidR="00F25E95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EGFR pathway and </w:t>
      </w:r>
      <w:r w:rsidR="00F25E95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the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synergetic effect of multiple genetic mutations in the oncogenic signaling cascades m</w:t>
      </w:r>
      <w:r w:rsidR="00F25E95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ay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increase the predicti</w:t>
      </w:r>
      <w:r w:rsidR="009B52AE" w:rsidRPr="00657C18">
        <w:rPr>
          <w:rFonts w:ascii="Book Antiqua" w:hAnsi="Book Antiqua" w:cs="Book Antiqua"/>
          <w:color w:val="000000" w:themeColor="text1"/>
          <w:kern w:val="0"/>
          <w:sz w:val="24"/>
        </w:rPr>
        <w:t>ve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ability of biomarkers.</w:t>
      </w:r>
    </w:p>
    <w:p w:rsidR="00663F14" w:rsidRDefault="00663F14" w:rsidP="00E77CF2">
      <w:pPr>
        <w:autoSpaceDE w:val="0"/>
        <w:autoSpaceDN w:val="0"/>
        <w:adjustRightInd w:val="0"/>
        <w:snapToGrid w:val="0"/>
        <w:spacing w:line="360" w:lineRule="auto"/>
        <w:rPr>
          <w:b/>
          <w:bCs/>
          <w:i/>
          <w:iCs/>
          <w:color w:val="000000" w:themeColor="text1"/>
          <w:kern w:val="0"/>
          <w:sz w:val="24"/>
        </w:rPr>
      </w:pP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b/>
          <w:bCs/>
          <w:i/>
          <w:iCs/>
          <w:color w:val="000000" w:themeColor="text1"/>
          <w:kern w:val="0"/>
          <w:sz w:val="24"/>
        </w:rPr>
      </w:pPr>
      <w:r w:rsidRPr="00657C18">
        <w:rPr>
          <w:b/>
          <w:bCs/>
          <w:i/>
          <w:iCs/>
          <w:color w:val="000000" w:themeColor="text1"/>
          <w:kern w:val="0"/>
          <w:sz w:val="24"/>
        </w:rPr>
        <w:t>Terminology</w:t>
      </w:r>
    </w:p>
    <w:p w:rsidR="00D750C0" w:rsidRPr="00663F14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color w:val="000000" w:themeColor="text1"/>
          <w:kern w:val="0"/>
          <w:sz w:val="24"/>
        </w:rPr>
        <w:t xml:space="preserve">Anti-EGFR </w:t>
      </w:r>
      <w:proofErr w:type="spellStart"/>
      <w:r w:rsidRPr="00657C18">
        <w:rPr>
          <w:color w:val="000000" w:themeColor="text1"/>
          <w:kern w:val="0"/>
          <w:sz w:val="24"/>
        </w:rPr>
        <w:t>MoAbs</w:t>
      </w:r>
      <w:proofErr w:type="spellEnd"/>
      <w:r w:rsidRPr="00657C18">
        <w:rPr>
          <w:color w:val="000000" w:themeColor="text1"/>
          <w:kern w:val="0"/>
          <w:sz w:val="24"/>
        </w:rPr>
        <w:t>:</w:t>
      </w:r>
      <w:r w:rsidRPr="00657C18">
        <w:rPr>
          <w:b/>
          <w:bCs/>
          <w:color w:val="000000" w:themeColor="text1"/>
          <w:kern w:val="0"/>
          <w:sz w:val="24"/>
        </w:rPr>
        <w:t xml:space="preserve"> </w:t>
      </w:r>
      <w:hyperlink r:id="rId10" w:history="1">
        <w:proofErr w:type="spellStart"/>
        <w:r w:rsidRPr="00657C18">
          <w:rPr>
            <w:rFonts w:ascii="Book Antiqua" w:hAnsi="Book Antiqua" w:cs="Book Antiqua"/>
            <w:color w:val="000000" w:themeColor="text1"/>
            <w:kern w:val="0"/>
            <w:sz w:val="24"/>
          </w:rPr>
          <w:t>Cetuximab</w:t>
        </w:r>
        <w:proofErr w:type="spellEnd"/>
      </w:hyperlink>
      <w:r w:rsidRPr="00657C18">
        <w:rPr>
          <w:rFonts w:ascii="宋体" w:hAnsi="Book Antiqua" w:cs="宋体"/>
          <w:color w:val="000000" w:themeColor="text1"/>
          <w:kern w:val="0"/>
          <w:sz w:val="24"/>
        </w:rPr>
        <w:t> 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and </w:t>
      </w:r>
      <w:hyperlink r:id="rId11" w:history="1">
        <w:proofErr w:type="spellStart"/>
        <w:r w:rsidRPr="00657C18">
          <w:rPr>
            <w:rFonts w:ascii="Book Antiqua" w:hAnsi="Book Antiqua" w:cs="Book Antiqua"/>
            <w:color w:val="000000" w:themeColor="text1"/>
            <w:kern w:val="0"/>
            <w:sz w:val="24"/>
          </w:rPr>
          <w:t>panitumumab</w:t>
        </w:r>
        <w:proofErr w:type="spellEnd"/>
      </w:hyperlink>
      <w:r w:rsidRPr="00657C18">
        <w:rPr>
          <w:rFonts w:ascii="宋体" w:hAnsi="Book Antiqua" w:cs="宋体"/>
          <w:color w:val="000000" w:themeColor="text1"/>
          <w:kern w:val="0"/>
          <w:sz w:val="24"/>
        </w:rPr>
        <w:t> 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are examples of </w:t>
      </w:r>
      <w:hyperlink r:id="rId12" w:history="1">
        <w:r w:rsidRPr="00657C18">
          <w:rPr>
            <w:rFonts w:ascii="Book Antiqua" w:hAnsi="Book Antiqua" w:cs="Book Antiqua"/>
            <w:color w:val="000000" w:themeColor="text1"/>
            <w:kern w:val="0"/>
            <w:sz w:val="24"/>
          </w:rPr>
          <w:t>monoclonal antibod</w:t>
        </w:r>
        <w:r w:rsidR="00F25E95" w:rsidRPr="00657C18">
          <w:rPr>
            <w:rFonts w:ascii="Book Antiqua" w:hAnsi="Book Antiqua" w:cs="Book Antiqua"/>
            <w:color w:val="000000" w:themeColor="text1"/>
            <w:kern w:val="0"/>
            <w:sz w:val="24"/>
          </w:rPr>
          <w:t>ies</w:t>
        </w:r>
      </w:hyperlink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aimed at </w:t>
      </w:r>
      <w:r w:rsidR="00F25E95" w:rsidRPr="00657C18">
        <w:rPr>
          <w:rFonts w:ascii="Book Antiqua" w:hAnsi="Book Antiqua" w:cs="Book Antiqua"/>
          <w:color w:val="000000" w:themeColor="text1"/>
          <w:kern w:val="0"/>
          <w:sz w:val="24"/>
        </w:rPr>
        <w:t>the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 </w:t>
      </w:r>
      <w:hyperlink r:id="rId13" w:history="1">
        <w:r w:rsidRPr="00657C18">
          <w:rPr>
            <w:rFonts w:ascii="Book Antiqua" w:hAnsi="Book Antiqua" w:cs="Book Antiqua"/>
            <w:color w:val="000000" w:themeColor="text1"/>
            <w:kern w:val="0"/>
            <w:sz w:val="24"/>
          </w:rPr>
          <w:t>epidermal growth factor receptor</w:t>
        </w:r>
      </w:hyperlink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. However</w:t>
      </w:r>
      <w:r w:rsidR="00F25E95" w:rsidRPr="00657C18">
        <w:rPr>
          <w:rFonts w:ascii="Book Antiqua" w:hAnsi="Book Antiqua" w:cs="Book Antiqua"/>
          <w:color w:val="000000" w:themeColor="text1"/>
          <w:kern w:val="0"/>
          <w:sz w:val="24"/>
        </w:rPr>
        <w:t>,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the former is of the</w:t>
      </w:r>
      <w:r w:rsidRPr="00657C18">
        <w:rPr>
          <w:rFonts w:ascii="宋体" w:hAnsi="Book Antiqua" w:cs="宋体"/>
          <w:color w:val="000000" w:themeColor="text1"/>
          <w:kern w:val="0"/>
          <w:sz w:val="24"/>
        </w:rPr>
        <w:t> </w:t>
      </w:r>
      <w:hyperlink r:id="rId14" w:history="1">
        <w:r w:rsidRPr="00657C18">
          <w:rPr>
            <w:rFonts w:ascii="Book Antiqua" w:hAnsi="Book Antiqua" w:cs="Book Antiqua"/>
            <w:color w:val="000000" w:themeColor="text1"/>
            <w:kern w:val="0"/>
            <w:sz w:val="24"/>
          </w:rPr>
          <w:t>IgG1</w:t>
        </w:r>
      </w:hyperlink>
      <w:r w:rsidRPr="00657C18">
        <w:rPr>
          <w:rFonts w:ascii="宋体" w:hAnsi="Book Antiqua" w:cs="宋体"/>
          <w:color w:val="000000" w:themeColor="text1"/>
          <w:kern w:val="0"/>
          <w:sz w:val="24"/>
        </w:rPr>
        <w:t> 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type, the latter of the</w:t>
      </w:r>
      <w:r w:rsidRPr="00657C18">
        <w:rPr>
          <w:rFonts w:ascii="宋体" w:hAnsi="Book Antiqua" w:cs="宋体"/>
          <w:color w:val="000000" w:themeColor="text1"/>
          <w:kern w:val="0"/>
          <w:sz w:val="24"/>
        </w:rPr>
        <w:t> </w:t>
      </w:r>
      <w:hyperlink r:id="rId15" w:history="1">
        <w:r w:rsidRPr="00657C18">
          <w:rPr>
            <w:rFonts w:ascii="Book Antiqua" w:hAnsi="Book Antiqua" w:cs="Book Antiqua"/>
            <w:color w:val="000000" w:themeColor="text1"/>
            <w:kern w:val="0"/>
            <w:sz w:val="24"/>
          </w:rPr>
          <w:t>IgG2</w:t>
        </w:r>
      </w:hyperlink>
      <w:r w:rsidRPr="00657C18">
        <w:rPr>
          <w:rFonts w:ascii="宋体" w:hAnsi="Book Antiqua" w:cs="宋体"/>
          <w:color w:val="000000" w:themeColor="text1"/>
          <w:kern w:val="0"/>
          <w:sz w:val="24"/>
        </w:rPr>
        <w:t> 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type; </w:t>
      </w:r>
      <w:r w:rsidR="00F25E95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and the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consequences on</w:t>
      </w:r>
      <w:r w:rsidRPr="00657C18">
        <w:rPr>
          <w:rFonts w:ascii="宋体" w:hAnsi="Book Antiqua" w:cs="宋体"/>
          <w:color w:val="000000" w:themeColor="text1"/>
          <w:kern w:val="0"/>
          <w:sz w:val="24"/>
        </w:rPr>
        <w:t> </w:t>
      </w:r>
      <w:hyperlink r:id="rId16" w:history="1">
        <w:r w:rsidRPr="00657C18">
          <w:rPr>
            <w:rFonts w:ascii="Book Antiqua" w:hAnsi="Book Antiqua" w:cs="Book Antiqua"/>
            <w:color w:val="000000" w:themeColor="text1"/>
            <w:kern w:val="0"/>
            <w:sz w:val="24"/>
          </w:rPr>
          <w:t>antibody-dependent cellular cytotoxicity</w:t>
        </w:r>
      </w:hyperlink>
      <w:r w:rsidRPr="00657C18">
        <w:rPr>
          <w:rFonts w:ascii="宋体" w:hAnsi="Book Antiqua" w:cs="宋体"/>
          <w:color w:val="000000" w:themeColor="text1"/>
          <w:kern w:val="0"/>
          <w:sz w:val="24"/>
        </w:rPr>
        <w:t> 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can be quite different. </w:t>
      </w:r>
      <w:r w:rsidR="00F25E95" w:rsidRPr="00657C18">
        <w:rPr>
          <w:rFonts w:ascii="Book Antiqua" w:hAnsi="Book Antiqua" w:cs="Book Antiqua"/>
          <w:color w:val="000000" w:themeColor="text1"/>
          <w:kern w:val="0"/>
          <w:sz w:val="24"/>
        </w:rPr>
        <w:t>M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onoclonal antibodies block the extracellular ligand binding domain. With the binding site blocked, signal molecules can no longer attach there and activate the tyrosine kinase.</w:t>
      </w:r>
      <w:r w:rsidR="00663F14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 xml:space="preserve">KRAS: 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The </w:t>
      </w:r>
      <w:r w:rsidRPr="00657C18">
        <w:rPr>
          <w:rFonts w:ascii="Book Antiqua" w:hAnsi="Book Antiqua" w:cs="Book Antiqua"/>
          <w:i/>
          <w:iCs/>
          <w:color w:val="000000" w:themeColor="text1"/>
          <w:kern w:val="0"/>
          <w:sz w:val="24"/>
        </w:rPr>
        <w:t>KRAS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 gene provides instructions for making a protein called K-</w:t>
      </w:r>
      <w:proofErr w:type="spellStart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>Ras</w:t>
      </w:r>
      <w:proofErr w:type="spellEnd"/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which is involved primarily in regulating cell division. As part of a signaling pathway known as the RAS/MAPK pathway, the protein relays signals from outside the cell to the cell nucleus. These signals instruct the cell to grow and divide or to mature and </w:t>
      </w:r>
      <w:r w:rsidR="00F25E95" w:rsidRPr="00657C18">
        <w:rPr>
          <w:rFonts w:ascii="Book Antiqua" w:hAnsi="Book Antiqua" w:cs="Book Antiqua"/>
          <w:color w:val="000000" w:themeColor="text1"/>
          <w:kern w:val="0"/>
          <w:sz w:val="24"/>
        </w:rPr>
        <w:t>determine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cell differentiation, cell survival, cell proliferation and cell migration</w:t>
      </w:r>
      <w:r w:rsidR="00F25E95" w:rsidRPr="00657C18">
        <w:rPr>
          <w:rFonts w:ascii="Book Antiqua" w:hAnsi="Book Antiqua" w:cs="Book Antiqua"/>
          <w:color w:val="000000" w:themeColor="text1"/>
          <w:kern w:val="0"/>
          <w:sz w:val="24"/>
        </w:rPr>
        <w:t>.</w:t>
      </w:r>
      <w:r w:rsidR="00663F14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proofErr w:type="spellStart"/>
      <w:r w:rsidRPr="00663F14">
        <w:rPr>
          <w:rFonts w:ascii="Book Antiqua" w:hAnsi="Book Antiqua" w:cs="Book Antiqua"/>
          <w:color w:val="000000" w:themeColor="text1"/>
          <w:kern w:val="0"/>
          <w:sz w:val="24"/>
        </w:rPr>
        <w:t>Bevacizumab</w:t>
      </w:r>
      <w:proofErr w:type="spellEnd"/>
      <w:r w:rsidRPr="00663F14">
        <w:rPr>
          <w:rFonts w:ascii="Book Antiqua" w:hAnsi="Book Antiqua" w:cs="Book Antiqua"/>
          <w:color w:val="000000" w:themeColor="text1"/>
          <w:kern w:val="0"/>
          <w:sz w:val="24"/>
        </w:rPr>
        <w:t xml:space="preserve">: </w:t>
      </w:r>
      <w:proofErr w:type="spellStart"/>
      <w:r w:rsidRPr="00663F14">
        <w:rPr>
          <w:rFonts w:ascii="Book Antiqua" w:hAnsi="Book Antiqua" w:cs="Book Antiqua"/>
          <w:color w:val="000000" w:themeColor="text1"/>
          <w:kern w:val="0"/>
          <w:sz w:val="24"/>
        </w:rPr>
        <w:t>Bevacizumab</w:t>
      </w:r>
      <w:proofErr w:type="spellEnd"/>
      <w:r w:rsidRPr="00663F14">
        <w:rPr>
          <w:rFonts w:ascii="Book Antiqua" w:hAnsi="Book Antiqua" w:cs="Book Antiqua"/>
          <w:color w:val="000000" w:themeColor="text1"/>
          <w:kern w:val="0"/>
          <w:sz w:val="24"/>
        </w:rPr>
        <w:t xml:space="preserve"> is an </w:t>
      </w:r>
      <w:hyperlink r:id="rId17" w:history="1">
        <w:r w:rsidRPr="00663F14">
          <w:rPr>
            <w:rFonts w:ascii="Book Antiqua" w:hAnsi="Book Antiqua" w:cs="Book Antiqua"/>
            <w:color w:val="000000" w:themeColor="text1"/>
            <w:kern w:val="0"/>
            <w:sz w:val="24"/>
          </w:rPr>
          <w:t>angiogenesis inhibitor</w:t>
        </w:r>
      </w:hyperlink>
      <w:r w:rsidRPr="00663F14">
        <w:rPr>
          <w:rFonts w:ascii="Book Antiqua" w:hAnsi="Book Antiqua" w:cs="Book Antiqua"/>
          <w:color w:val="000000" w:themeColor="text1"/>
          <w:kern w:val="0"/>
          <w:sz w:val="24"/>
        </w:rPr>
        <w:t>, a</w:t>
      </w:r>
      <w:r w:rsidR="00F25E95" w:rsidRPr="00663F14">
        <w:rPr>
          <w:rFonts w:ascii="Book Antiqua" w:hAnsi="Book Antiqua" w:cs="Book Antiqua"/>
          <w:color w:val="000000" w:themeColor="text1"/>
          <w:kern w:val="0"/>
          <w:sz w:val="24"/>
        </w:rPr>
        <w:t>nd</w:t>
      </w:r>
      <w:r w:rsidRPr="00663F14">
        <w:rPr>
          <w:rFonts w:ascii="Book Antiqua" w:hAnsi="Book Antiqua" w:cs="Book Antiqua"/>
          <w:color w:val="000000" w:themeColor="text1"/>
          <w:kern w:val="0"/>
          <w:sz w:val="24"/>
        </w:rPr>
        <w:t xml:space="preserve"> slows</w:t>
      </w:r>
      <w:r w:rsidR="00663F14" w:rsidRPr="00663F14">
        <w:rPr>
          <w:rFonts w:ascii="宋体" w:hAnsi="Book Antiqua" w:cs="宋体" w:hint="eastAsia"/>
          <w:color w:val="000000" w:themeColor="text1"/>
          <w:kern w:val="0"/>
          <w:sz w:val="24"/>
        </w:rPr>
        <w:t xml:space="preserve"> </w:t>
      </w:r>
      <w:hyperlink r:id="rId18" w:history="1">
        <w:r w:rsidRPr="00663F14">
          <w:rPr>
            <w:rFonts w:ascii="Book Antiqua" w:hAnsi="Book Antiqua" w:cs="Book Antiqua"/>
            <w:color w:val="000000" w:themeColor="text1"/>
            <w:kern w:val="0"/>
            <w:sz w:val="24"/>
          </w:rPr>
          <w:t>the growth of new blood vessels</w:t>
        </w:r>
      </w:hyperlink>
      <w:r w:rsidRPr="00663F14">
        <w:rPr>
          <w:rFonts w:ascii="Book Antiqua" w:hAnsi="Book Antiqua" w:cs="Book Antiqua"/>
          <w:color w:val="000000" w:themeColor="text1"/>
          <w:kern w:val="0"/>
          <w:sz w:val="24"/>
        </w:rPr>
        <w:t>. It is licensed to treat various cancers, including</w:t>
      </w:r>
      <w:r w:rsidR="00663F14" w:rsidRPr="00663F14">
        <w:rPr>
          <w:rFonts w:ascii="宋体" w:hAnsi="Book Antiqua" w:cs="宋体" w:hint="eastAsia"/>
          <w:color w:val="000000" w:themeColor="text1"/>
          <w:kern w:val="0"/>
          <w:sz w:val="24"/>
        </w:rPr>
        <w:t xml:space="preserve"> </w:t>
      </w:r>
      <w:hyperlink r:id="rId19" w:history="1">
        <w:r w:rsidRPr="00663F14">
          <w:rPr>
            <w:rFonts w:ascii="Book Antiqua" w:hAnsi="Book Antiqua" w:cs="Book Antiqua"/>
            <w:color w:val="000000" w:themeColor="text1"/>
            <w:kern w:val="0"/>
            <w:sz w:val="24"/>
          </w:rPr>
          <w:t>colorectal</w:t>
        </w:r>
      </w:hyperlink>
      <w:r w:rsidRPr="00663F14">
        <w:rPr>
          <w:rFonts w:ascii="Book Antiqua" w:hAnsi="Book Antiqua" w:cs="Book Antiqua"/>
          <w:color w:val="000000" w:themeColor="text1"/>
          <w:kern w:val="0"/>
          <w:sz w:val="24"/>
        </w:rPr>
        <w:t>, lung, breast,</w:t>
      </w:r>
      <w:r w:rsidRPr="00663F14">
        <w:rPr>
          <w:rFonts w:ascii="宋体" w:hAnsi="Book Antiqua" w:cs="宋体"/>
          <w:color w:val="000000" w:themeColor="text1"/>
          <w:kern w:val="0"/>
          <w:sz w:val="24"/>
        </w:rPr>
        <w:t> </w:t>
      </w:r>
      <w:hyperlink r:id="rId20" w:history="1">
        <w:r w:rsidRPr="00663F14">
          <w:rPr>
            <w:rFonts w:ascii="Book Antiqua" w:hAnsi="Book Antiqua" w:cs="Book Antiqua"/>
            <w:color w:val="000000" w:themeColor="text1"/>
            <w:kern w:val="0"/>
            <w:sz w:val="24"/>
          </w:rPr>
          <w:t>glioblastoma</w:t>
        </w:r>
      </w:hyperlink>
      <w:r w:rsidRPr="00663F14">
        <w:rPr>
          <w:rFonts w:ascii="Book Antiqua" w:hAnsi="Book Antiqua" w:cs="Book Antiqua"/>
          <w:color w:val="000000" w:themeColor="text1"/>
          <w:kern w:val="0"/>
          <w:sz w:val="24"/>
        </w:rPr>
        <w:t>,</w:t>
      </w:r>
      <w:r w:rsidR="00663F14" w:rsidRPr="00663F14">
        <w:rPr>
          <w:rFonts w:ascii="宋体" w:hAnsi="Book Antiqua" w:cs="宋体" w:hint="eastAsia"/>
          <w:color w:val="000000" w:themeColor="text1"/>
          <w:kern w:val="0"/>
          <w:sz w:val="24"/>
        </w:rPr>
        <w:t xml:space="preserve"> </w:t>
      </w:r>
      <w:hyperlink r:id="rId21" w:history="1">
        <w:r w:rsidRPr="00663F14">
          <w:rPr>
            <w:rFonts w:ascii="Book Antiqua" w:hAnsi="Book Antiqua" w:cs="Book Antiqua"/>
            <w:color w:val="000000" w:themeColor="text1"/>
            <w:kern w:val="0"/>
            <w:sz w:val="24"/>
          </w:rPr>
          <w:t>kidney</w:t>
        </w:r>
      </w:hyperlink>
      <w:r w:rsidR="00663F14" w:rsidRPr="00663F14">
        <w:rPr>
          <w:rFonts w:ascii="宋体" w:hAnsi="Book Antiqua" w:cs="宋体" w:hint="eastAsia"/>
          <w:color w:val="000000" w:themeColor="text1"/>
          <w:kern w:val="0"/>
          <w:sz w:val="24"/>
        </w:rPr>
        <w:t xml:space="preserve"> </w:t>
      </w:r>
      <w:r w:rsidRPr="00663F14">
        <w:rPr>
          <w:rFonts w:ascii="Book Antiqua" w:hAnsi="Book Antiqua" w:cs="Book Antiqua"/>
          <w:color w:val="000000" w:themeColor="text1"/>
          <w:kern w:val="0"/>
          <w:sz w:val="24"/>
        </w:rPr>
        <w:t>and</w:t>
      </w:r>
      <w:r w:rsidR="00663F14" w:rsidRPr="00663F14">
        <w:rPr>
          <w:rFonts w:ascii="宋体" w:hAnsi="Book Antiqua" w:cs="宋体" w:hint="eastAsia"/>
          <w:color w:val="000000" w:themeColor="text1"/>
          <w:kern w:val="0"/>
          <w:sz w:val="24"/>
        </w:rPr>
        <w:t xml:space="preserve"> </w:t>
      </w:r>
      <w:hyperlink r:id="rId22" w:history="1">
        <w:r w:rsidRPr="00663F14">
          <w:rPr>
            <w:rFonts w:ascii="Book Antiqua" w:hAnsi="Book Antiqua" w:cs="Book Antiqua"/>
            <w:color w:val="000000" w:themeColor="text1"/>
            <w:kern w:val="0"/>
            <w:sz w:val="24"/>
          </w:rPr>
          <w:t>ovarian</w:t>
        </w:r>
      </w:hyperlink>
      <w:r w:rsidR="0047171D" w:rsidRPr="00663F14">
        <w:rPr>
          <w:rFonts w:ascii="Book Antiqua" w:hAnsi="Book Antiqua" w:cs="Book Antiqua"/>
          <w:color w:val="000000" w:themeColor="text1"/>
          <w:kern w:val="0"/>
          <w:sz w:val="24"/>
          <w:lang w:val="en-GB"/>
        </w:rPr>
        <w:t xml:space="preserve"> cancer</w:t>
      </w:r>
      <w:r w:rsidRPr="00663F14">
        <w:rPr>
          <w:rFonts w:ascii="Book Antiqua" w:hAnsi="Book Antiqua" w:cs="Book Antiqua"/>
          <w:color w:val="000000" w:themeColor="text1"/>
          <w:kern w:val="0"/>
          <w:sz w:val="24"/>
        </w:rPr>
        <w:t>. It is a recombinant humanized </w:t>
      </w:r>
      <w:hyperlink r:id="rId23" w:history="1">
        <w:r w:rsidRPr="00663F14">
          <w:rPr>
            <w:rFonts w:ascii="Book Antiqua" w:hAnsi="Book Antiqua" w:cs="Book Antiqua"/>
            <w:color w:val="000000" w:themeColor="text1"/>
            <w:kern w:val="0"/>
            <w:sz w:val="24"/>
          </w:rPr>
          <w:t>monoclonal antibody</w:t>
        </w:r>
      </w:hyperlink>
      <w:r w:rsidR="00663F14" w:rsidRPr="00663F14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  <w:r w:rsidR="009B52AE" w:rsidRPr="00663F14">
        <w:rPr>
          <w:rFonts w:ascii="Book Antiqua" w:hAnsi="Book Antiqua" w:cs="Book Antiqua"/>
          <w:color w:val="000000" w:themeColor="text1"/>
          <w:kern w:val="0"/>
          <w:sz w:val="24"/>
        </w:rPr>
        <w:t>which</w:t>
      </w:r>
      <w:r w:rsidRPr="00663F14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47171D" w:rsidRPr="00663F14">
        <w:rPr>
          <w:rFonts w:ascii="Book Antiqua" w:hAnsi="Book Antiqua" w:cs="Book Antiqua"/>
          <w:color w:val="000000" w:themeColor="text1"/>
          <w:kern w:val="0"/>
          <w:sz w:val="24"/>
        </w:rPr>
        <w:lastRenderedPageBreak/>
        <w:t>inhibits</w:t>
      </w:r>
      <w:r w:rsidRPr="00663F14">
        <w:rPr>
          <w:rFonts w:ascii="Book Antiqua" w:hAnsi="Book Antiqua" w:cs="Book Antiqua"/>
          <w:color w:val="000000" w:themeColor="text1"/>
          <w:kern w:val="0"/>
          <w:sz w:val="24"/>
        </w:rPr>
        <w:t xml:space="preserve"> angiogenesis by inhibiting</w:t>
      </w:r>
      <w:r w:rsidR="0047171D" w:rsidRPr="00663F14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hyperlink r:id="rId24" w:history="1">
        <w:r w:rsidRPr="00663F14">
          <w:rPr>
            <w:rFonts w:ascii="Book Antiqua" w:hAnsi="Book Antiqua" w:cs="Book Antiqua"/>
            <w:color w:val="000000" w:themeColor="text1"/>
            <w:kern w:val="0"/>
            <w:sz w:val="24"/>
          </w:rPr>
          <w:t>vascular endothelial growth factor A</w:t>
        </w:r>
      </w:hyperlink>
      <w:r w:rsidRPr="00663F14">
        <w:rPr>
          <w:rFonts w:ascii="Book Antiqua" w:hAnsi="Book Antiqua" w:cs="Book Antiqua"/>
          <w:color w:val="000000" w:themeColor="text1"/>
          <w:kern w:val="0"/>
          <w:sz w:val="24"/>
        </w:rPr>
        <w:t xml:space="preserve">. </w:t>
      </w:r>
    </w:p>
    <w:p w:rsidR="00663F14" w:rsidRDefault="00663F14" w:rsidP="00E77CF2">
      <w:pPr>
        <w:autoSpaceDE w:val="0"/>
        <w:autoSpaceDN w:val="0"/>
        <w:adjustRightInd w:val="0"/>
        <w:snapToGrid w:val="0"/>
        <w:spacing w:line="360" w:lineRule="auto"/>
        <w:rPr>
          <w:b/>
          <w:bCs/>
          <w:i/>
          <w:iCs/>
          <w:color w:val="000000" w:themeColor="text1"/>
          <w:kern w:val="0"/>
          <w:sz w:val="24"/>
        </w:rPr>
      </w:pP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b/>
          <w:bCs/>
          <w:i/>
          <w:iCs/>
          <w:color w:val="000000" w:themeColor="text1"/>
          <w:kern w:val="0"/>
          <w:sz w:val="24"/>
        </w:rPr>
      </w:pPr>
      <w:r w:rsidRPr="00657C18">
        <w:rPr>
          <w:b/>
          <w:bCs/>
          <w:i/>
          <w:iCs/>
          <w:color w:val="000000" w:themeColor="text1"/>
          <w:kern w:val="0"/>
          <w:sz w:val="24"/>
        </w:rPr>
        <w:t>Peer review</w:t>
      </w:r>
    </w:p>
    <w:p w:rsidR="00D750C0" w:rsidRPr="00657C18" w:rsidRDefault="00AD4EAE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7"/>
          <w:szCs w:val="27"/>
        </w:rPr>
        <w:t>T</w:t>
      </w:r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his is an important analysis of KRAS status and the effects of anti-EGFR </w:t>
      </w:r>
      <w:proofErr w:type="spellStart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 </w:t>
      </w:r>
      <w:proofErr w:type="spellStart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patients. The meta-analysis of randomized controlled trials may provide a comprehensive estimation of the relation between KRAS status and the effects of anti-EGFR </w:t>
      </w:r>
      <w:proofErr w:type="spellStart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MoAbs</w:t>
      </w:r>
      <w:proofErr w:type="spellEnd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in </w:t>
      </w:r>
      <w:proofErr w:type="spellStart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>mCRC</w:t>
      </w:r>
      <w:proofErr w:type="spellEnd"/>
      <w:r w:rsidR="00D750C0"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patients.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b/>
          <w:bCs/>
          <w:color w:val="000000" w:themeColor="text1"/>
          <w:kern w:val="0"/>
          <w:sz w:val="24"/>
        </w:rPr>
      </w:pPr>
    </w:p>
    <w:p w:rsidR="00D750C0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color w:val="000000" w:themeColor="text1"/>
          <w:kern w:val="0"/>
          <w:szCs w:val="21"/>
        </w:rPr>
      </w:pPr>
      <w:r w:rsidRPr="00657C18">
        <w:rPr>
          <w:rFonts w:ascii="Book Antiqua" w:hAnsi="Book Antiqua" w:cs="Book Antiqua"/>
          <w:b/>
          <w:bCs/>
          <w:color w:val="000000" w:themeColor="text1"/>
          <w:kern w:val="0"/>
          <w:szCs w:val="21"/>
        </w:rPr>
        <w:t xml:space="preserve">REFERENCES 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proofErr w:type="gramStart"/>
      <w:r w:rsidRPr="00B70B79">
        <w:rPr>
          <w:rFonts w:ascii="Book Antiqua" w:hAnsi="Book Antiqua" w:cs="宋体"/>
          <w:color w:val="000000"/>
          <w:kern w:val="0"/>
          <w:szCs w:val="21"/>
        </w:rPr>
        <w:t>1 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Siegel R</w:t>
      </w:r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Naishadham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D,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Jemal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A. Cancer statistics, 2013.</w:t>
      </w:r>
      <w:proofErr w:type="gramEnd"/>
      <w:r w:rsidRPr="00B70B79">
        <w:rPr>
          <w:rFonts w:ascii="Book Antiqua" w:hAnsi="Book Antiqua" w:cs="宋体"/>
          <w:color w:val="000000"/>
          <w:kern w:val="0"/>
          <w:szCs w:val="21"/>
        </w:rPr>
        <w:t> </w:t>
      </w:r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CA Cancer J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Clin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> 2013;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63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11-30 [PMID: 23335087 DOI: 10.3322/caac.21166]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proofErr w:type="gramStart"/>
      <w:r w:rsidRPr="00B70B79">
        <w:rPr>
          <w:rFonts w:ascii="Book Antiqua" w:hAnsi="Book Antiqua" w:cs="宋体"/>
          <w:color w:val="000000"/>
          <w:kern w:val="0"/>
          <w:szCs w:val="21"/>
        </w:rPr>
        <w:t>2 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Kelly C</w:t>
      </w:r>
      <w:r w:rsidRPr="00B70B79">
        <w:rPr>
          <w:rFonts w:ascii="Book Antiqua" w:hAnsi="Book Antiqua" w:cs="宋体"/>
          <w:color w:val="000000"/>
          <w:kern w:val="0"/>
          <w:szCs w:val="21"/>
        </w:rPr>
        <w:t>, Cassidy J. Chemotherapy in metastatic colorectal cancer.</w:t>
      </w:r>
      <w:proofErr w:type="gramEnd"/>
      <w:r w:rsidRPr="00B70B79">
        <w:rPr>
          <w:rFonts w:ascii="Book Antiqua" w:hAnsi="Book Antiqua" w:cs="宋体"/>
          <w:color w:val="000000"/>
          <w:kern w:val="0"/>
          <w:szCs w:val="21"/>
        </w:rPr>
        <w:t> 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Surg</w:t>
      </w:r>
      <w:proofErr w:type="spellEnd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Oncol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> 2007;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16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65-70 [PMID: 17521906 DOI: 10.1016/j.suronc.2007.04.006]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proofErr w:type="gramStart"/>
      <w:r w:rsidRPr="00B70B79">
        <w:rPr>
          <w:rFonts w:ascii="Book Antiqua" w:hAnsi="Book Antiqua" w:cs="宋体"/>
          <w:color w:val="000000"/>
          <w:kern w:val="0"/>
          <w:szCs w:val="21"/>
        </w:rPr>
        <w:t>3 </w:t>
      </w:r>
      <w:proofErr w:type="spellStart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Peeters</w:t>
      </w:r>
      <w:proofErr w:type="spellEnd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 xml:space="preserve"> M</w:t>
      </w:r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Price T, Van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Laethem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JL.</w:t>
      </w:r>
      <w:proofErr w:type="gram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Anti-epidermal growth factor receptor monotherapy in the treatment of metastatic colorectal cancer: where are we today? </w:t>
      </w:r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Oncologist</w:t>
      </w:r>
      <w:r w:rsidRPr="00B70B79">
        <w:rPr>
          <w:rFonts w:ascii="Book Antiqua" w:hAnsi="Book Antiqua" w:cs="宋体"/>
          <w:color w:val="000000"/>
          <w:kern w:val="0"/>
          <w:szCs w:val="21"/>
        </w:rPr>
        <w:t> 2009;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14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29-39 [PMID: 19144681 DOI: 10.1634/theoncologist.2008-0167]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r w:rsidRPr="00B70B79">
        <w:rPr>
          <w:rFonts w:ascii="Book Antiqua" w:hAnsi="Book Antiqua" w:cs="宋体"/>
          <w:color w:val="000000"/>
          <w:kern w:val="0"/>
          <w:szCs w:val="21"/>
        </w:rPr>
        <w:t>4 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Lièvre A</w:t>
      </w:r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Bachet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JB, Le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Corre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D,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Boige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V,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Landi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B, Emile JF,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Côté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JF,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Tomasic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G,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Penna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C,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Ducreux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M,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Rougier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P,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Penault-Llorca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F, Laurent-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Puig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P. KRAS mutation status is predictive of response to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cetuximab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therapy in colorectal cancer. </w:t>
      </w:r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Cancer Res</w:t>
      </w:r>
      <w:r w:rsidRPr="00B70B79">
        <w:rPr>
          <w:rFonts w:ascii="Book Antiqua" w:hAnsi="Book Antiqua" w:cs="宋体"/>
          <w:color w:val="000000"/>
          <w:kern w:val="0"/>
          <w:szCs w:val="21"/>
        </w:rPr>
        <w:t> 2006;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66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3992-3995 [PMID: 16618717]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r w:rsidRPr="00B70B79">
        <w:rPr>
          <w:rFonts w:ascii="Book Antiqua" w:hAnsi="Book Antiqua" w:cs="宋体"/>
          <w:color w:val="000000"/>
          <w:kern w:val="0"/>
          <w:szCs w:val="21"/>
        </w:rPr>
        <w:t>5 </w:t>
      </w:r>
      <w:proofErr w:type="spellStart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Barault</w:t>
      </w:r>
      <w:proofErr w:type="spellEnd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 xml:space="preserve"> L</w:t>
      </w:r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Veyrie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N,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Jooste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V,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Lecorre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D,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Chapusot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C,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Ferraz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JM, Lièvre A,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Cortet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M,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Bouvier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AM, Rat P,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Roignot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P,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Faivre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J, Laurent-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Puig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P,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Piard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F. Mutations in the RAS-MAPK, PI(3)K (phosphatidylinositol-3-OH kinase) signaling network correlate with poor survival in a population-based series of colon cancers. 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Int</w:t>
      </w:r>
      <w:proofErr w:type="spellEnd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 J Cancer</w:t>
      </w:r>
      <w:r w:rsidRPr="00B70B79">
        <w:rPr>
          <w:rFonts w:ascii="Book Antiqua" w:hAnsi="Book Antiqua" w:cs="宋体"/>
          <w:color w:val="000000"/>
          <w:kern w:val="0"/>
          <w:szCs w:val="21"/>
        </w:rPr>
        <w:t> 2008;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122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2255-2259 [PMID: 18224685 DOI: 10.1002/ijc.23388]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r w:rsidRPr="00B70B79">
        <w:rPr>
          <w:rFonts w:ascii="Book Antiqua" w:hAnsi="Book Antiqua" w:cs="宋体"/>
          <w:color w:val="000000"/>
          <w:kern w:val="0"/>
          <w:szCs w:val="21"/>
        </w:rPr>
        <w:t>6 </w:t>
      </w:r>
      <w:proofErr w:type="spellStart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Sastre</w:t>
      </w:r>
      <w:proofErr w:type="spellEnd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 xml:space="preserve"> J</w:t>
      </w:r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Aranda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E,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Grávalos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C,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Massutí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B,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Varella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-Garcia M, Rivera F,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Soler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G,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Carrato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A,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Manzano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JL,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Díaz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-Rubio E, Hidalgo M. First-line single-agent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cetuximab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in elderly patients with metastatic colorectal cancer. </w:t>
      </w:r>
      <w:proofErr w:type="gramStart"/>
      <w:r w:rsidRPr="00B70B79">
        <w:rPr>
          <w:rFonts w:ascii="Book Antiqua" w:hAnsi="Book Antiqua" w:cs="宋体"/>
          <w:color w:val="000000"/>
          <w:kern w:val="0"/>
          <w:szCs w:val="21"/>
        </w:rPr>
        <w:t>A phase II clinical and molecular study of the Spanish group for digestive tumor therapy (TTD).</w:t>
      </w:r>
      <w:proofErr w:type="gramEnd"/>
      <w:r w:rsidRPr="00B70B79">
        <w:rPr>
          <w:rFonts w:ascii="Book Antiqua" w:hAnsi="Book Antiqua" w:cs="宋体"/>
          <w:color w:val="000000"/>
          <w:kern w:val="0"/>
          <w:szCs w:val="21"/>
        </w:rPr>
        <w:t> 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Crit</w:t>
      </w:r>
      <w:proofErr w:type="spellEnd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 Rev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Oncol</w:t>
      </w:r>
      <w:proofErr w:type="spellEnd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Hematol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> 2011;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77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78-84 [PMID: 20042346 DOI: 10.1016/j.critrevonc.2009.11.005]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r w:rsidRPr="00B70B79">
        <w:rPr>
          <w:rFonts w:ascii="Book Antiqua" w:hAnsi="Book Antiqua" w:cs="宋体"/>
          <w:color w:val="000000"/>
          <w:kern w:val="0"/>
          <w:szCs w:val="21"/>
        </w:rPr>
        <w:t>7 </w:t>
      </w:r>
      <w:proofErr w:type="spellStart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Bokemeyer</w:t>
      </w:r>
      <w:proofErr w:type="spellEnd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 xml:space="preserve"> C</w:t>
      </w:r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Bondarenko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I, Hartmann JT, de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Braud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F,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Schuch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G,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Zubel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A,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Celik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I,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Schlichting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M,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Koralewski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P. Efficacy according to biomarker status of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cetuximab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plus FOLFOX-4 as first-line treatment for metastatic colorectal cancer: the OPUS study. </w:t>
      </w:r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Ann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Oncol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> 2011;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22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1535-1546 [PMID: 21228335 DOI: 10.1093/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annonc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>/mdq632]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r w:rsidRPr="00B70B79">
        <w:rPr>
          <w:rFonts w:ascii="Book Antiqua" w:hAnsi="Book Antiqua" w:cs="宋体"/>
          <w:color w:val="000000"/>
          <w:kern w:val="0"/>
          <w:szCs w:val="21"/>
        </w:rPr>
        <w:t>8 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Higgins JP</w:t>
      </w:r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Thompson SG. </w:t>
      </w:r>
      <w:proofErr w:type="gramStart"/>
      <w:r w:rsidRPr="00B70B79">
        <w:rPr>
          <w:rFonts w:ascii="Book Antiqua" w:hAnsi="Book Antiqua" w:cs="宋体"/>
          <w:color w:val="000000"/>
          <w:kern w:val="0"/>
          <w:szCs w:val="21"/>
        </w:rPr>
        <w:t>Quantifying heterogeneity in a meta-analysis.</w:t>
      </w:r>
      <w:proofErr w:type="gramEnd"/>
      <w:r w:rsidRPr="00B70B79">
        <w:rPr>
          <w:rFonts w:ascii="Book Antiqua" w:hAnsi="Book Antiqua" w:cs="宋体"/>
          <w:color w:val="000000"/>
          <w:kern w:val="0"/>
          <w:szCs w:val="21"/>
        </w:rPr>
        <w:t> </w:t>
      </w:r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Stat Med</w:t>
      </w:r>
      <w:r w:rsidRPr="00B70B79">
        <w:rPr>
          <w:rFonts w:ascii="Book Antiqua" w:hAnsi="Book Antiqua" w:cs="宋体"/>
          <w:color w:val="000000"/>
          <w:kern w:val="0"/>
          <w:szCs w:val="21"/>
        </w:rPr>
        <w:t> 2002;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21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1539-1558 [PMID: 12111919 DOI: 10.1002/sim.1186]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r w:rsidRPr="00B70B79">
        <w:rPr>
          <w:rFonts w:ascii="Book Antiqua" w:hAnsi="Book Antiqua" w:cs="宋体"/>
          <w:color w:val="000000"/>
          <w:kern w:val="0"/>
          <w:szCs w:val="21"/>
        </w:rPr>
        <w:t>9 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Higgins JP</w:t>
      </w:r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Thompson SG,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Deeks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JJ, Altman DG. </w:t>
      </w:r>
      <w:proofErr w:type="gramStart"/>
      <w:r w:rsidRPr="00B70B79">
        <w:rPr>
          <w:rFonts w:ascii="Book Antiqua" w:hAnsi="Book Antiqua" w:cs="宋体"/>
          <w:color w:val="000000"/>
          <w:kern w:val="0"/>
          <w:szCs w:val="21"/>
        </w:rPr>
        <w:t>Measuring inconsistency in meta-analyses.</w:t>
      </w:r>
      <w:proofErr w:type="gramEnd"/>
      <w:r w:rsidRPr="00B70B79">
        <w:rPr>
          <w:rFonts w:ascii="Book Antiqua" w:hAnsi="Book Antiqua" w:cs="宋体"/>
          <w:color w:val="000000"/>
          <w:kern w:val="0"/>
          <w:szCs w:val="21"/>
        </w:rPr>
        <w:t> </w:t>
      </w:r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BMJ</w:t>
      </w:r>
      <w:r w:rsidRPr="00B70B79">
        <w:rPr>
          <w:rFonts w:ascii="Book Antiqua" w:hAnsi="Book Antiqua" w:cs="宋体"/>
          <w:color w:val="000000"/>
          <w:kern w:val="0"/>
          <w:szCs w:val="21"/>
        </w:rPr>
        <w:t> 2003;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327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557-560 [PMID: 12958120 DOI: 10.1136/bmj.327.7414.557]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r w:rsidRPr="00B70B79">
        <w:rPr>
          <w:rFonts w:ascii="Book Antiqua" w:hAnsi="Book Antiqua" w:cs="宋体"/>
          <w:color w:val="000000"/>
          <w:kern w:val="0"/>
          <w:szCs w:val="21"/>
        </w:rPr>
        <w:t>10 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Egger M</w:t>
      </w:r>
      <w:r w:rsidRPr="00B70B79">
        <w:rPr>
          <w:rFonts w:ascii="Book Antiqua" w:hAnsi="Book Antiqua" w:cs="宋体"/>
          <w:color w:val="000000"/>
          <w:kern w:val="0"/>
          <w:szCs w:val="21"/>
        </w:rPr>
        <w:t>, Davey Smith G, Schneider M, Minder C. Bias in meta-analysis detected by a simple, graphical test. </w:t>
      </w:r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BMJ</w:t>
      </w:r>
      <w:r w:rsidRPr="00B70B79">
        <w:rPr>
          <w:rFonts w:ascii="Book Antiqua" w:hAnsi="Book Antiqua" w:cs="宋体"/>
          <w:color w:val="000000"/>
          <w:kern w:val="0"/>
          <w:szCs w:val="21"/>
        </w:rPr>
        <w:t> 1997;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315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629-634 [PMID: 9310563]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r w:rsidRPr="00B70B79">
        <w:rPr>
          <w:rFonts w:ascii="Book Antiqua" w:hAnsi="Book Antiqua" w:cs="宋体"/>
          <w:color w:val="000000"/>
          <w:kern w:val="0"/>
          <w:szCs w:val="21"/>
        </w:rPr>
        <w:t>11 </w:t>
      </w:r>
      <w:proofErr w:type="spellStart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Maughan</w:t>
      </w:r>
      <w:proofErr w:type="spellEnd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 xml:space="preserve"> TS</w:t>
      </w:r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Adams RA, Smith CG, Meade AM, Seymour MT, Wilson RH,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Idziaszczyk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S, Harris R, Fisher D, Kenny SL, Kay E, Mitchell JK,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Madi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A,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Jasani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B, James MD, Bridgewater J, Kennedy MJ,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Claes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B,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Lambrechts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D, Kaplan R, Cheadle JP. Addition of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cetuximab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to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lastRenderedPageBreak/>
        <w:t>oxaliplatin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-based first-line combination chemotherapy for treatment of advanced colorectal cancer: results of the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randomised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phase 3 MRC COIN trial. </w:t>
      </w:r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Lancet</w:t>
      </w:r>
      <w:r w:rsidRPr="00B70B79">
        <w:rPr>
          <w:rFonts w:ascii="Book Antiqua" w:hAnsi="Book Antiqua" w:cs="宋体"/>
          <w:color w:val="000000"/>
          <w:kern w:val="0"/>
          <w:szCs w:val="21"/>
        </w:rPr>
        <w:t> 2011;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377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2103-2114 [PMID: 21641636 DOI: 10.1016/S0140-6736(11)60613-2]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r w:rsidRPr="00B70B79">
        <w:rPr>
          <w:rFonts w:ascii="Book Antiqua" w:hAnsi="Book Antiqua" w:cs="宋体"/>
          <w:color w:val="000000"/>
          <w:kern w:val="0"/>
          <w:szCs w:val="21"/>
        </w:rPr>
        <w:t>12 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 xml:space="preserve">Van </w:t>
      </w:r>
      <w:proofErr w:type="spellStart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Cutsem</w:t>
      </w:r>
      <w:proofErr w:type="spellEnd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 xml:space="preserve"> E</w:t>
      </w:r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Köhne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CH,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Láng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I,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Folprecht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G,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Nowacki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MP,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Cascinu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S,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Shchepotin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I,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Maurel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J, Cunningham D,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Tejpar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S,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Schlichting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M,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Zubel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A,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Celik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I,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Rougier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P,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Ciardiello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F.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Cetuximab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plus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irinotecan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fluorouracil, and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leucovorin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as first-line treatment for metastatic colorectal cancer: updated analysis of overall survival according to tumor KRAS and BRAF mutation status. </w:t>
      </w:r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J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Clin</w:t>
      </w:r>
      <w:proofErr w:type="spellEnd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Oncol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> 2011;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29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2011-2019 [PMID: 21502544 DOI: 10.1200/JCO.2010.33.5091]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r w:rsidRPr="00B70B79">
        <w:rPr>
          <w:rFonts w:ascii="Book Antiqua" w:hAnsi="Book Antiqua" w:cs="宋体"/>
          <w:color w:val="000000"/>
          <w:kern w:val="0"/>
          <w:szCs w:val="21"/>
        </w:rPr>
        <w:t>13 </w:t>
      </w:r>
      <w:proofErr w:type="spellStart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Douillard</w:t>
      </w:r>
      <w:proofErr w:type="spellEnd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 xml:space="preserve"> JY</w:t>
      </w:r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Siena S, Cassidy J,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Tabernero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J, Burkes R,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Barugel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M,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Humblet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Y,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Bodoky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G, Cunningham D,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Jassem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J, Rivera F,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Kocákova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I, Ruff P,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Błasińska-Morawiec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M,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Šmakal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M, Canon JL,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Rother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M,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Oliner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KS, Wolf M,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Gansert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J. Randomized, phase III trial of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panitumumab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with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infusional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fluorouracil,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leucovorin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and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oxaliplatin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(FOLFOX4) versus FOLFOX4 alone as first-line treatment in patients with previously untreated metastatic colorectal cancer: the PRIME study. </w:t>
      </w:r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J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Clin</w:t>
      </w:r>
      <w:proofErr w:type="spellEnd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Oncol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> 2010;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28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4697-4705 [PMID: 20921465 DOI: 10.1200/JCO.2009.27.4860]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r w:rsidRPr="00B70B79">
        <w:rPr>
          <w:rFonts w:ascii="Book Antiqua" w:hAnsi="Book Antiqua" w:cs="宋体"/>
          <w:color w:val="000000"/>
          <w:kern w:val="0"/>
          <w:szCs w:val="21"/>
        </w:rPr>
        <w:t>14 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Hecht JR</w:t>
      </w:r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Mitchell E,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Chidiac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T,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Scroggin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C,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Hagenstad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C,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Spigel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D, Marshall J, Cohn A, McCollum D, Stella P,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Deeter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R,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Shahin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S, Amado RG. A randomized phase IIIB trial of chemotherapy,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bevacizumab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and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panitumumab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compared with chemotherapy and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bevacizumab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alone for metastatic colorectal cancer. </w:t>
      </w:r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J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Clin</w:t>
      </w:r>
      <w:proofErr w:type="spellEnd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Oncol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> 2009;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27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672-680 [PMID: 19114685 DOI: 10.1200/JCO.2008.19.8135]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r w:rsidRPr="00B70B79">
        <w:rPr>
          <w:rFonts w:ascii="Book Antiqua" w:hAnsi="Book Antiqua" w:cs="宋体"/>
          <w:color w:val="000000"/>
          <w:kern w:val="0"/>
          <w:szCs w:val="21"/>
        </w:rPr>
        <w:t>15 </w:t>
      </w:r>
      <w:proofErr w:type="spellStart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Tol</w:t>
      </w:r>
      <w:proofErr w:type="spellEnd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 xml:space="preserve"> J</w:t>
      </w:r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Koopman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M, Cats A,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Rodenburg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CJ,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Creemers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GJ,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Schrama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JG,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Erdkamp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FL,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Vos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AH, van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Groeningen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CJ,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Sinnige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HA,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Richel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DJ,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Voest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EE,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Dijkstra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JR,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Vink-Börger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ME,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Antonini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NF,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Mol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L, van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Krieken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JH,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Dalesio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O, Punt CJ. </w:t>
      </w:r>
      <w:proofErr w:type="gramStart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Chemotherapy,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bevacizumab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and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cetuximab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in metastatic colorectal cancer.</w:t>
      </w:r>
      <w:proofErr w:type="gramEnd"/>
      <w:r w:rsidRPr="00B70B79">
        <w:rPr>
          <w:rFonts w:ascii="Book Antiqua" w:hAnsi="Book Antiqua" w:cs="宋体"/>
          <w:color w:val="000000"/>
          <w:kern w:val="0"/>
          <w:szCs w:val="21"/>
        </w:rPr>
        <w:t> </w:t>
      </w:r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N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Engl</w:t>
      </w:r>
      <w:proofErr w:type="spellEnd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 J Med</w:t>
      </w:r>
      <w:r w:rsidRPr="00B70B79">
        <w:rPr>
          <w:rFonts w:ascii="Book Antiqua" w:hAnsi="Book Antiqua" w:cs="宋体"/>
          <w:color w:val="000000"/>
          <w:kern w:val="0"/>
          <w:szCs w:val="21"/>
        </w:rPr>
        <w:t> 2009;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360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563-572 [PMID: 19196673 DOI: 10.1056/NEJMoa0808268]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r w:rsidRPr="00B70B79">
        <w:rPr>
          <w:rFonts w:ascii="Book Antiqua" w:hAnsi="Book Antiqua" w:cs="宋体"/>
          <w:color w:val="000000"/>
          <w:kern w:val="0"/>
          <w:szCs w:val="21"/>
        </w:rPr>
        <w:t>16 </w:t>
      </w:r>
      <w:proofErr w:type="spellStart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Tveit</w:t>
      </w:r>
      <w:proofErr w:type="spellEnd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 xml:space="preserve"> KM</w:t>
      </w:r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Guren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T,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Glimelius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B, Pfeiffer P,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Sorbye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H,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Pyrhonen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S, Sigurdsson F, Kure E,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Ikdahl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T,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Skovlund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E,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Fokstuen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T, Hansen F,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Hofsli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E,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Birkemeyer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E,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Johnsson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A,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Starkhammar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H, Yilmaz MK,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Keldsen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N,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Erdal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AB,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Dajani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O, Dahl O,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Christoffersen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T. Phase III trial of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cetuximab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with continuous or intermittent fluorouracil,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leucovorin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and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oxaliplatin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(Nordic FLOX) versus FLOX alone in first-line treatment of metastatic colorectal cancer: the NORDIC-VII study. </w:t>
      </w:r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J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Clin</w:t>
      </w:r>
      <w:proofErr w:type="spellEnd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Oncol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> 2012;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30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1755-1762 [PMID: 22473155 DOI: 10.1200/JCO.2011.38.0915]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r w:rsidRPr="00B70B79">
        <w:rPr>
          <w:rFonts w:ascii="Book Antiqua" w:hAnsi="Book Antiqua" w:cs="宋体"/>
          <w:color w:val="000000"/>
          <w:kern w:val="0"/>
          <w:szCs w:val="21"/>
        </w:rPr>
        <w:t>17 </w:t>
      </w:r>
      <w:proofErr w:type="spellStart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Peeters</w:t>
      </w:r>
      <w:proofErr w:type="spellEnd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 xml:space="preserve"> M</w:t>
      </w:r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Price TJ, Cervantes A,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Sobrero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AF,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Ducreux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M,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Hotko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Y, André T, Chan E,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Lordick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F, Punt CJ, Strickland AH, Wilson G,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Ciuleanu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TE, Roman L, Van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Cutsem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E,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Tzekova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V, Collins S,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Oliner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KS,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Rong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A,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Gansert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J. Randomized phase III study of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panitumumab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with fluorouracil,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leucovorin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and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irinotecan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(FOLFIRI) compared with FOLFIRI alone as second-line treatment in patients with metastatic colorectal cancer. </w:t>
      </w:r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J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Clin</w:t>
      </w:r>
      <w:proofErr w:type="spellEnd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Oncol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> 2010;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28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4706-4713 [PMID: 20921462 DOI: 10.1200/JCO.2009.27.6055]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r w:rsidRPr="00B70B79">
        <w:rPr>
          <w:rFonts w:ascii="Book Antiqua" w:hAnsi="Book Antiqua" w:cs="宋体"/>
          <w:color w:val="000000"/>
          <w:kern w:val="0"/>
          <w:szCs w:val="21"/>
        </w:rPr>
        <w:t>18 </w:t>
      </w:r>
      <w:proofErr w:type="spellStart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Harbison</w:t>
      </w:r>
      <w:proofErr w:type="spellEnd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 xml:space="preserve"> CT</w:t>
      </w:r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Horak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CE,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Ledeine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JM,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Mukhopadhyay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P, Malone DP, O'Callaghan C,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Jonker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DJ,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Karapetis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CS,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Khambata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-Ford S, Gustafson N,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Trifan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OC, Chang SC,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Ravetto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P, Iv GA. Validation of companion diagnostic for detection of mutations in codons 12 and 13 of the KRAS gene in patients with metastatic colorectal cancer: analysis of the NCIC CTG CO.17 trial. </w:t>
      </w:r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Arch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Pathol</w:t>
      </w:r>
      <w:proofErr w:type="spellEnd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 Lab Med</w:t>
      </w:r>
      <w:r w:rsidRPr="00B70B79">
        <w:rPr>
          <w:rFonts w:ascii="Book Antiqua" w:hAnsi="Book Antiqua" w:cs="宋体"/>
          <w:color w:val="000000"/>
          <w:kern w:val="0"/>
          <w:szCs w:val="21"/>
        </w:rPr>
        <w:t> 2013;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137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820-827 [PMID: 23030695 DOI: 10.5858/arpa.2012-0367-OA]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r w:rsidRPr="00B70B79">
        <w:rPr>
          <w:rFonts w:ascii="Book Antiqua" w:hAnsi="Book Antiqua" w:cs="宋体"/>
          <w:color w:val="000000"/>
          <w:kern w:val="0"/>
          <w:szCs w:val="21"/>
        </w:rPr>
        <w:t>19 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Amado RG</w:t>
      </w:r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Wolf M,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Peeters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M, Van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Cutsem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E, Siena S, Freeman DJ, Juan T,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Sikorski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R, Suggs S,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Radinsky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R, Patterson SD, Chang DD. Wild-type KRAS is required for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panitumumab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efficacy in patients with metastatic colorectal cancer. </w:t>
      </w:r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J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Clin</w:t>
      </w:r>
      <w:proofErr w:type="spellEnd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Oncol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> 2008;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26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1626-1634 [PMID: 18316791 DOI: 10.1200/JCO.2007.14.7116]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r w:rsidRPr="00B70B79">
        <w:rPr>
          <w:rFonts w:ascii="Book Antiqua" w:hAnsi="Book Antiqua" w:cs="宋体"/>
          <w:color w:val="000000"/>
          <w:kern w:val="0"/>
          <w:szCs w:val="21"/>
        </w:rPr>
        <w:lastRenderedPageBreak/>
        <w:t>20 </w:t>
      </w:r>
      <w:proofErr w:type="spellStart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Oda</w:t>
      </w:r>
      <w:proofErr w:type="spellEnd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 xml:space="preserve"> K</w:t>
      </w:r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Matsuoka Y,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Funahashi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A, Kitano H. </w:t>
      </w:r>
      <w:proofErr w:type="gramStart"/>
      <w:r w:rsidRPr="00B70B79">
        <w:rPr>
          <w:rFonts w:ascii="Book Antiqua" w:hAnsi="Book Antiqua" w:cs="宋体"/>
          <w:color w:val="000000"/>
          <w:kern w:val="0"/>
          <w:szCs w:val="21"/>
        </w:rPr>
        <w:t>A comprehensive pathway map of epidermal growth factor receptor signaling.</w:t>
      </w:r>
      <w:proofErr w:type="gramEnd"/>
      <w:r w:rsidRPr="00B70B79">
        <w:rPr>
          <w:rFonts w:ascii="Book Antiqua" w:hAnsi="Book Antiqua" w:cs="宋体"/>
          <w:color w:val="000000"/>
          <w:kern w:val="0"/>
          <w:szCs w:val="21"/>
        </w:rPr>
        <w:t> 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Mol</w:t>
      </w:r>
      <w:proofErr w:type="spellEnd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Syst</w:t>
      </w:r>
      <w:proofErr w:type="spellEnd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Biol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> 2005;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1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2005.0010 [PMID: 16729045 DOI: 10.1038/msb4100014]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proofErr w:type="gramStart"/>
      <w:r w:rsidRPr="00B70B79">
        <w:rPr>
          <w:rFonts w:ascii="Book Antiqua" w:hAnsi="Book Antiqua" w:cs="宋体"/>
          <w:color w:val="000000"/>
          <w:kern w:val="0"/>
          <w:szCs w:val="21"/>
        </w:rPr>
        <w:t>21 </w:t>
      </w:r>
      <w:proofErr w:type="spellStart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Tabernero</w:t>
      </w:r>
      <w:proofErr w:type="spellEnd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 xml:space="preserve"> J</w:t>
      </w:r>
      <w:r w:rsidRPr="00B70B79">
        <w:rPr>
          <w:rFonts w:ascii="Book Antiqua" w:hAnsi="Book Antiqua" w:cs="宋体"/>
          <w:color w:val="000000"/>
          <w:kern w:val="0"/>
          <w:szCs w:val="21"/>
        </w:rPr>
        <w:t>.</w:t>
      </w:r>
      <w:proofErr w:type="gram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The role of VEGF and EGFR inhibition: implications for combining anti-VEGF and anti-EGFR agents. 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Mol</w:t>
      </w:r>
      <w:proofErr w:type="spellEnd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 Cancer Res</w:t>
      </w:r>
      <w:r w:rsidRPr="00B70B79">
        <w:rPr>
          <w:rFonts w:ascii="Book Antiqua" w:hAnsi="Book Antiqua" w:cs="宋体"/>
          <w:color w:val="000000"/>
          <w:kern w:val="0"/>
          <w:szCs w:val="21"/>
        </w:rPr>
        <w:t> 2007;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5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203-220 [PMID: 17374728 DOI: 10.1158/1541-7786.MCR-06-0404]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r w:rsidRPr="00B70B79">
        <w:rPr>
          <w:rFonts w:ascii="Book Antiqua" w:hAnsi="Book Antiqua" w:cs="宋体"/>
          <w:color w:val="000000"/>
          <w:kern w:val="0"/>
          <w:szCs w:val="21"/>
        </w:rPr>
        <w:t>22 </w:t>
      </w:r>
      <w:proofErr w:type="spellStart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Díaz</w:t>
      </w:r>
      <w:proofErr w:type="spellEnd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-Rubio E</w:t>
      </w:r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Tabernero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J, Gómez-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España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A,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Massutí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B,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Sastre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J, Chaves M, Abad A,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Carrato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A,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Queralt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B, Reina JJ,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Maurel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J, González-Flores E,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Aparicio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J, Rivera F,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Losa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F,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Aranda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E. Phase III study of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capecitabine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plus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oxaliplatin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compared with continuous-infusion fluorouracil plus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oxaliplatin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as first-line therapy in metastatic colorectal cancer: final report of the Spanish Cooperative Group for the Treatment of Digestive Tumors Trial. </w:t>
      </w:r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J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Clin</w:t>
      </w:r>
      <w:proofErr w:type="spellEnd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Oncol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> 2007;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25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4224-4230 [PMID: 17548839 DOI: 10.1200/JCO.2006.09.8467]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r w:rsidRPr="00B70B79">
        <w:rPr>
          <w:rFonts w:ascii="Book Antiqua" w:hAnsi="Book Antiqua" w:cs="宋体"/>
          <w:color w:val="000000"/>
          <w:kern w:val="0"/>
          <w:szCs w:val="21"/>
        </w:rPr>
        <w:t>23 </w:t>
      </w:r>
      <w:proofErr w:type="spellStart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Porschen</w:t>
      </w:r>
      <w:proofErr w:type="spellEnd"/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 xml:space="preserve"> R</w:t>
      </w:r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Arkenau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HT,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Kubicka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S,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Greil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R,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Seufferlein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T,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Freier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W,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Kretzschmar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A,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Graeven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U,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Grothey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A,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Hinke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A,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Schmiegel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W,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Schmoll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HJ. Phase III study of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capecitabine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plus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oxaliplatin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compared with fluorouracil and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leucovorin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plus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oxaliplatin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in metastatic colorectal cancer: a final report of the AIO Colorectal Study Group. </w:t>
      </w:r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J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Clin</w:t>
      </w:r>
      <w:proofErr w:type="spellEnd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Oncol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> 2007;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25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4217-4223 [PMID: 17548840 DOI: 10.1200/JCO.2006.09.2684]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r w:rsidRPr="00B70B79">
        <w:rPr>
          <w:rFonts w:ascii="Book Antiqua" w:hAnsi="Book Antiqua" w:cs="宋体"/>
          <w:color w:val="000000"/>
          <w:kern w:val="0"/>
          <w:szCs w:val="21"/>
        </w:rPr>
        <w:t>24 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Fuchs CS</w:t>
      </w:r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Marshall J,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Barrueco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J. Randomized, controlled trial of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irinotecan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plus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infusional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bolus, or oral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fluoropyrimidines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in first-line treatment of metastatic colorectal cancer: updated results from the BICC-C study. </w:t>
      </w:r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J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Clin</w:t>
      </w:r>
      <w:proofErr w:type="spellEnd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Oncol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> 2008;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26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689-690 [PMID: 18235136 DOI: 10.1200/JCO.2007.15.5390]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r w:rsidRPr="00B70B79">
        <w:rPr>
          <w:rFonts w:ascii="Book Antiqua" w:hAnsi="Book Antiqua" w:cs="宋体"/>
          <w:color w:val="000000"/>
          <w:kern w:val="0"/>
          <w:szCs w:val="21"/>
        </w:rPr>
        <w:t>25 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Zhang L</w:t>
      </w:r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Ma L, Zhou Q. Overall and KRAS-specific results of combined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cetuximab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treatment and chemotherapy for metastatic colorectal cancer: a meta-analysis. </w:t>
      </w:r>
      <w:proofErr w:type="spellStart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Int</w:t>
      </w:r>
      <w:proofErr w:type="spellEnd"/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 xml:space="preserve"> J Colorectal Dis</w:t>
      </w:r>
      <w:r w:rsidRPr="00B70B79">
        <w:rPr>
          <w:rFonts w:ascii="Book Antiqua" w:hAnsi="Book Antiqua" w:cs="宋体"/>
          <w:color w:val="000000"/>
          <w:kern w:val="0"/>
          <w:szCs w:val="21"/>
        </w:rPr>
        <w:t> 2011;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26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1025-1033 [PMID: 21523374 DOI: 10.1007/s00384-011-1197-5]</w:t>
      </w:r>
    </w:p>
    <w:p w:rsidR="00B0196F" w:rsidRPr="00B70B79" w:rsidRDefault="00B0196F" w:rsidP="00B0196F">
      <w:pPr>
        <w:widowControl/>
        <w:rPr>
          <w:rFonts w:ascii="Book Antiqua" w:hAnsi="Book Antiqua" w:cs="宋体"/>
          <w:color w:val="000000"/>
          <w:kern w:val="0"/>
          <w:szCs w:val="21"/>
        </w:rPr>
      </w:pPr>
      <w:proofErr w:type="gramStart"/>
      <w:r w:rsidRPr="00B70B79">
        <w:rPr>
          <w:rFonts w:ascii="Book Antiqua" w:hAnsi="Book Antiqua" w:cs="宋体"/>
          <w:color w:val="000000"/>
          <w:kern w:val="0"/>
          <w:szCs w:val="21"/>
        </w:rPr>
        <w:t>26 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Vale CL</w:t>
      </w:r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, Tierney JF, Fisher D, Adams RA, Kaplan R,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Maughan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TS, </w:t>
      </w:r>
      <w:proofErr w:type="spellStart"/>
      <w:r w:rsidRPr="00B70B79">
        <w:rPr>
          <w:rFonts w:ascii="Book Antiqua" w:hAnsi="Book Antiqua" w:cs="宋体"/>
          <w:color w:val="000000"/>
          <w:kern w:val="0"/>
          <w:szCs w:val="21"/>
        </w:rPr>
        <w:t>Parmar</w:t>
      </w:r>
      <w:proofErr w:type="spell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MK, Meade AM.</w:t>
      </w:r>
      <w:proofErr w:type="gramEnd"/>
      <w:r w:rsidRPr="00B70B79">
        <w:rPr>
          <w:rFonts w:ascii="Book Antiqua" w:hAnsi="Book Antiqua" w:cs="宋体"/>
          <w:color w:val="000000"/>
          <w:kern w:val="0"/>
          <w:szCs w:val="21"/>
        </w:rPr>
        <w:t xml:space="preserve"> Does anti-EGFR therapy improve outcome in advanced colorectal cancer? </w:t>
      </w:r>
      <w:proofErr w:type="gramStart"/>
      <w:r w:rsidRPr="00B70B79">
        <w:rPr>
          <w:rFonts w:ascii="Book Antiqua" w:hAnsi="Book Antiqua" w:cs="宋体"/>
          <w:color w:val="000000"/>
          <w:kern w:val="0"/>
          <w:szCs w:val="21"/>
        </w:rPr>
        <w:t>A systematic review and meta-analysis.</w:t>
      </w:r>
      <w:proofErr w:type="gramEnd"/>
      <w:r w:rsidRPr="00B70B79">
        <w:rPr>
          <w:rFonts w:ascii="Book Antiqua" w:hAnsi="Book Antiqua" w:cs="宋体"/>
          <w:color w:val="000000"/>
          <w:kern w:val="0"/>
          <w:szCs w:val="21"/>
        </w:rPr>
        <w:t> </w:t>
      </w:r>
      <w:r w:rsidRPr="00B70B79">
        <w:rPr>
          <w:rFonts w:ascii="Book Antiqua" w:hAnsi="Book Antiqua" w:cs="宋体"/>
          <w:i/>
          <w:iCs/>
          <w:color w:val="000000"/>
          <w:kern w:val="0"/>
          <w:szCs w:val="21"/>
        </w:rPr>
        <w:t>Cancer Treat Rev</w:t>
      </w:r>
      <w:r w:rsidRPr="00B70B79">
        <w:rPr>
          <w:rFonts w:ascii="Book Antiqua" w:hAnsi="Book Antiqua" w:cs="宋体"/>
          <w:color w:val="000000"/>
          <w:kern w:val="0"/>
          <w:szCs w:val="21"/>
        </w:rPr>
        <w:t> 2012; </w:t>
      </w:r>
      <w:r w:rsidRPr="00B70B79">
        <w:rPr>
          <w:rFonts w:ascii="Book Antiqua" w:hAnsi="Book Antiqua" w:cs="宋体"/>
          <w:b/>
          <w:bCs/>
          <w:color w:val="000000"/>
          <w:kern w:val="0"/>
          <w:szCs w:val="21"/>
        </w:rPr>
        <w:t>38</w:t>
      </w:r>
      <w:r w:rsidRPr="00B70B79">
        <w:rPr>
          <w:rFonts w:ascii="Book Antiqua" w:hAnsi="Book Antiqua" w:cs="宋体"/>
          <w:color w:val="000000"/>
          <w:kern w:val="0"/>
          <w:szCs w:val="21"/>
        </w:rPr>
        <w:t>: 618-625 [PMID: 22118887 DOI: 10.1016/j.ctrv.2011.11.002]</w:t>
      </w:r>
    </w:p>
    <w:p w:rsidR="00B0196F" w:rsidRPr="00B70B79" w:rsidRDefault="00B0196F" w:rsidP="00B0196F">
      <w:pPr>
        <w:rPr>
          <w:rFonts w:ascii="Book Antiqua" w:hAnsi="Book Antiqua"/>
          <w:szCs w:val="21"/>
        </w:rPr>
      </w:pPr>
    </w:p>
    <w:p w:rsidR="00B0196F" w:rsidRPr="00457CF0" w:rsidRDefault="00B0196F" w:rsidP="00B0196F">
      <w:pPr>
        <w:wordWrap w:val="0"/>
        <w:ind w:left="316" w:hangingChars="150" w:hanging="316"/>
        <w:jc w:val="right"/>
        <w:rPr>
          <w:rFonts w:ascii="Book Antiqua" w:hAnsi="Book Antiqua"/>
          <w:szCs w:val="21"/>
        </w:rPr>
      </w:pPr>
      <w:r w:rsidRPr="00457CF0">
        <w:rPr>
          <w:rFonts w:ascii="Book Antiqua" w:hAnsi="Book Antiqua"/>
          <w:b/>
          <w:bCs/>
          <w:szCs w:val="21"/>
        </w:rPr>
        <w:t>P-Reviewer</w:t>
      </w:r>
      <w:r w:rsidRPr="00457CF0">
        <w:rPr>
          <w:rFonts w:ascii="Book Antiqua" w:hAnsi="Book Antiqua" w:hint="eastAsia"/>
          <w:b/>
          <w:bCs/>
          <w:szCs w:val="21"/>
        </w:rPr>
        <w:t>:</w:t>
      </w:r>
      <w:r w:rsidRPr="00457CF0">
        <w:rPr>
          <w:rFonts w:ascii="Book Antiqua" w:hAnsi="Book Antiqua"/>
          <w:b/>
          <w:bCs/>
          <w:szCs w:val="21"/>
        </w:rPr>
        <w:t xml:space="preserve"> </w:t>
      </w:r>
      <w:proofErr w:type="spellStart"/>
      <w:r w:rsidR="00844882" w:rsidRPr="00844882">
        <w:rPr>
          <w:rFonts w:ascii="Book Antiqua" w:hAnsi="Book Antiqua"/>
          <w:bCs/>
          <w:szCs w:val="21"/>
        </w:rPr>
        <w:t>Braet</w:t>
      </w:r>
      <w:proofErr w:type="spellEnd"/>
      <w:r w:rsidR="00844882" w:rsidRPr="00844882">
        <w:rPr>
          <w:rFonts w:ascii="Book Antiqua" w:hAnsi="Book Antiqua" w:hint="eastAsia"/>
          <w:bCs/>
          <w:szCs w:val="21"/>
        </w:rPr>
        <w:t xml:space="preserve"> F</w:t>
      </w:r>
      <w:r w:rsidR="00844882">
        <w:rPr>
          <w:rFonts w:ascii="Book Antiqua" w:hAnsi="Book Antiqua" w:hint="eastAsia"/>
          <w:b/>
          <w:bCs/>
          <w:szCs w:val="21"/>
        </w:rPr>
        <w:t xml:space="preserve"> </w:t>
      </w:r>
      <w:r w:rsidRPr="00457CF0">
        <w:rPr>
          <w:rFonts w:ascii="Book Antiqua" w:hAnsi="Book Antiqua"/>
          <w:b/>
          <w:bCs/>
          <w:szCs w:val="21"/>
        </w:rPr>
        <w:t>S-Editor</w:t>
      </w:r>
      <w:r w:rsidRPr="00457CF0">
        <w:rPr>
          <w:rFonts w:ascii="Book Antiqua" w:hAnsi="Book Antiqua" w:hint="eastAsia"/>
          <w:b/>
          <w:bCs/>
          <w:szCs w:val="21"/>
        </w:rPr>
        <w:t>:</w:t>
      </w:r>
      <w:r w:rsidRPr="00457CF0">
        <w:rPr>
          <w:rFonts w:ascii="Book Antiqua" w:hAnsi="Book Antiqua"/>
          <w:szCs w:val="21"/>
        </w:rPr>
        <w:t xml:space="preserve"> </w:t>
      </w:r>
      <w:r>
        <w:rPr>
          <w:rFonts w:ascii="Book Antiqua" w:hAnsi="Book Antiqua" w:hint="eastAsia"/>
          <w:szCs w:val="21"/>
        </w:rPr>
        <w:t>Ma YJ</w:t>
      </w:r>
      <w:r w:rsidRPr="00457CF0">
        <w:rPr>
          <w:rFonts w:ascii="Book Antiqua" w:hAnsi="Book Antiqua"/>
          <w:szCs w:val="21"/>
        </w:rPr>
        <w:t xml:space="preserve"> </w:t>
      </w:r>
      <w:r w:rsidRPr="00457CF0">
        <w:rPr>
          <w:rFonts w:ascii="Book Antiqua" w:hAnsi="Book Antiqua"/>
          <w:b/>
          <w:bCs/>
          <w:szCs w:val="21"/>
        </w:rPr>
        <w:t>L-Editor</w:t>
      </w:r>
      <w:r w:rsidRPr="00457CF0">
        <w:rPr>
          <w:rFonts w:ascii="Book Antiqua" w:hAnsi="Book Antiqua" w:hint="eastAsia"/>
          <w:b/>
          <w:bCs/>
          <w:szCs w:val="21"/>
        </w:rPr>
        <w:t>:</w:t>
      </w:r>
      <w:r w:rsidRPr="00457CF0">
        <w:rPr>
          <w:rFonts w:ascii="Book Antiqua" w:hAnsi="Book Antiqua"/>
          <w:szCs w:val="21"/>
        </w:rPr>
        <w:t xml:space="preserve">  </w:t>
      </w:r>
      <w:r w:rsidRPr="00457CF0">
        <w:rPr>
          <w:rFonts w:ascii="Book Antiqua" w:hAnsi="Book Antiqua"/>
          <w:b/>
          <w:bCs/>
          <w:szCs w:val="21"/>
        </w:rPr>
        <w:t>E-Editor</w:t>
      </w:r>
      <w:r w:rsidRPr="00457CF0">
        <w:rPr>
          <w:rFonts w:ascii="Book Antiqua" w:hAnsi="Book Antiqua" w:hint="eastAsia"/>
          <w:b/>
          <w:bCs/>
          <w:szCs w:val="21"/>
        </w:rPr>
        <w:t>:</w:t>
      </w:r>
    </w:p>
    <w:p w:rsidR="00B0196F" w:rsidRPr="00B0196F" w:rsidRDefault="00B0196F" w:rsidP="00E77CF2">
      <w:pPr>
        <w:autoSpaceDE w:val="0"/>
        <w:autoSpaceDN w:val="0"/>
        <w:adjustRightInd w:val="0"/>
        <w:snapToGrid w:val="0"/>
        <w:spacing w:line="360" w:lineRule="auto"/>
        <w:rPr>
          <w:color w:val="000000" w:themeColor="text1"/>
          <w:kern w:val="0"/>
          <w:szCs w:val="21"/>
        </w:rPr>
      </w:pPr>
    </w:p>
    <w:p w:rsidR="00844882" w:rsidRDefault="00844882" w:rsidP="00E77CF2">
      <w:pPr>
        <w:autoSpaceDE w:val="0"/>
        <w:autoSpaceDN w:val="0"/>
        <w:adjustRightInd w:val="0"/>
        <w:snapToGrid w:val="0"/>
        <w:spacing w:line="360" w:lineRule="auto"/>
        <w:rPr>
          <w:rFonts w:ascii="宋体" w:hAnsi="Book Antiqua" w:cs="宋体"/>
          <w:noProof/>
          <w:color w:val="000000" w:themeColor="text1"/>
          <w:kern w:val="0"/>
          <w:sz w:val="22"/>
          <w:szCs w:val="22"/>
        </w:rPr>
      </w:pPr>
      <w:r>
        <w:rPr>
          <w:rFonts w:ascii="宋体" w:hAnsi="Book Antiqua" w:cs="宋体"/>
          <w:noProof/>
          <w:color w:val="000000" w:themeColor="text1"/>
          <w:kern w:val="0"/>
          <w:sz w:val="22"/>
          <w:szCs w:val="22"/>
        </w:rPr>
        <w:br w:type="page"/>
      </w:r>
    </w:p>
    <w:p w:rsidR="00D750C0" w:rsidRPr="00657C18" w:rsidRDefault="00844882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</w:pPr>
      <w:r>
        <w:rPr>
          <w:noProof/>
        </w:rPr>
        <w:lastRenderedPageBreak/>
        <w:drawing>
          <wp:inline distT="0" distB="0" distL="0" distR="0" wp14:anchorId="6AF82EDA" wp14:editId="4E2A618C">
            <wp:extent cx="1530350" cy="158978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58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  <w:t>Figure 1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>Flow chart of the literature search and study selection procedure</w:t>
      </w:r>
      <w:r w:rsidR="00F300DC" w:rsidRPr="00657C18">
        <w:rPr>
          <w:rFonts w:ascii="Book Antiqua" w:hAnsi="Book Antiqua" w:cs="Book Antiqua" w:hint="eastAsia"/>
          <w:b/>
          <w:color w:val="000000" w:themeColor="text1"/>
          <w:kern w:val="0"/>
          <w:sz w:val="24"/>
        </w:rPr>
        <w:t>.</w:t>
      </w:r>
    </w:p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</w:p>
    <w:p w:rsidR="00D750C0" w:rsidRPr="00657C18" w:rsidRDefault="00993D48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宋体" w:hAnsi="Book Antiqua" w:cs="宋体"/>
          <w:noProof/>
          <w:color w:val="000000" w:themeColor="text1"/>
          <w:kern w:val="0"/>
          <w:sz w:val="22"/>
          <w:szCs w:val="22"/>
        </w:rPr>
        <w:drawing>
          <wp:inline distT="0" distB="0" distL="0" distR="0" wp14:anchorId="69977A51" wp14:editId="733C606C">
            <wp:extent cx="1637522" cy="7429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522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C0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  <w:t>Figure 2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 xml:space="preserve">Subgroup analysis </w:t>
      </w:r>
      <w:r w:rsidR="0047171D"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>of</w:t>
      </w:r>
      <w:r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 xml:space="preserve"> overall survival </w:t>
      </w:r>
      <w:r w:rsidR="009B52AE"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 xml:space="preserve">based on chemotherapy regimen </w:t>
      </w:r>
      <w:r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 xml:space="preserve">in KRAS wild-type patients </w:t>
      </w:r>
      <w:r w:rsidR="0047171D"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>following</w:t>
      </w:r>
      <w:r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 xml:space="preserve"> first-line treatment</w:t>
      </w:r>
      <w:r w:rsidR="00F300DC" w:rsidRPr="00657C18">
        <w:rPr>
          <w:rFonts w:ascii="Book Antiqua" w:hAnsi="Book Antiqua" w:cs="Book Antiqua" w:hint="eastAsia"/>
          <w:b/>
          <w:color w:val="000000" w:themeColor="text1"/>
          <w:kern w:val="0"/>
          <w:sz w:val="24"/>
        </w:rPr>
        <w:t>.</w:t>
      </w:r>
    </w:p>
    <w:p w:rsidR="001514DF" w:rsidRPr="00657C18" w:rsidRDefault="001514DF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</w:p>
    <w:p w:rsidR="00D750C0" w:rsidRPr="00657C18" w:rsidRDefault="00993D48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657C18">
        <w:rPr>
          <w:rFonts w:ascii="宋体" w:hAnsi="Book Antiqua" w:cs="宋体"/>
          <w:noProof/>
          <w:color w:val="000000" w:themeColor="text1"/>
          <w:kern w:val="0"/>
          <w:sz w:val="22"/>
          <w:szCs w:val="22"/>
        </w:rPr>
        <w:drawing>
          <wp:inline distT="0" distB="0" distL="0" distR="0" wp14:anchorId="6E4BF7C2" wp14:editId="736CB64C">
            <wp:extent cx="1629864" cy="7175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64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C0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  <w:t>Figure 3</w:t>
      </w:r>
      <w:r w:rsidRPr="00657C18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 xml:space="preserve">Subgroup analysis </w:t>
      </w:r>
      <w:r w:rsidR="0047171D"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>of</w:t>
      </w:r>
      <w:r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 xml:space="preserve"> progression</w:t>
      </w:r>
      <w:r w:rsidR="0047171D"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>-</w:t>
      </w:r>
      <w:r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 xml:space="preserve">free survival </w:t>
      </w:r>
      <w:r w:rsidR="009B52AE"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 xml:space="preserve">based on chemotherapy regimen </w:t>
      </w:r>
      <w:r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 xml:space="preserve">in KRAS wild-type patients </w:t>
      </w:r>
      <w:r w:rsidR="0047171D"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>following</w:t>
      </w:r>
      <w:r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 xml:space="preserve"> first-line treatment</w:t>
      </w:r>
      <w:r w:rsidR="00F300DC" w:rsidRPr="00657C18">
        <w:rPr>
          <w:rFonts w:ascii="Book Antiqua" w:hAnsi="Book Antiqua" w:cs="Book Antiqua" w:hint="eastAsia"/>
          <w:b/>
          <w:color w:val="000000" w:themeColor="text1"/>
          <w:kern w:val="0"/>
          <w:sz w:val="24"/>
        </w:rPr>
        <w:t>.</w:t>
      </w:r>
    </w:p>
    <w:p w:rsidR="001514DF" w:rsidRDefault="001514DF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color w:val="000000" w:themeColor="text1"/>
          <w:kern w:val="0"/>
          <w:sz w:val="24"/>
        </w:rPr>
      </w:pPr>
      <w:r>
        <w:rPr>
          <w:rFonts w:ascii="Book Antiqua" w:hAnsi="Book Antiqua" w:cs="Book Antiqua"/>
          <w:b/>
          <w:color w:val="000000" w:themeColor="text1"/>
          <w:kern w:val="0"/>
          <w:sz w:val="24"/>
        </w:rPr>
        <w:br w:type="page"/>
      </w:r>
    </w:p>
    <w:p w:rsidR="001514DF" w:rsidRPr="00657C18" w:rsidRDefault="001514DF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color w:val="000000" w:themeColor="text1"/>
          <w:kern w:val="0"/>
          <w:sz w:val="24"/>
        </w:rPr>
      </w:pPr>
    </w:p>
    <w:p w:rsidR="00D750C0" w:rsidRPr="00657C18" w:rsidRDefault="00D750C0" w:rsidP="001514D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>Table</w:t>
      </w:r>
      <w:r w:rsidR="0047171D"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>1 Characteristics of included studies</w:t>
      </w:r>
    </w:p>
    <w:tbl>
      <w:tblPr>
        <w:tblW w:w="0" w:type="auto"/>
        <w:tblInd w:w="-144" w:type="dxa"/>
        <w:tblLayout w:type="fixed"/>
        <w:tblLook w:val="0000" w:firstRow="0" w:lastRow="0" w:firstColumn="0" w:lastColumn="0" w:noHBand="0" w:noVBand="0"/>
      </w:tblPr>
      <w:tblGrid>
        <w:gridCol w:w="2700"/>
        <w:gridCol w:w="869"/>
        <w:gridCol w:w="1176"/>
        <w:gridCol w:w="1375"/>
        <w:gridCol w:w="1440"/>
        <w:gridCol w:w="1225"/>
      </w:tblGrid>
      <w:tr w:rsidR="00657C18" w:rsidRPr="00844882">
        <w:trPr>
          <w:trHeight w:val="285"/>
        </w:trPr>
        <w:tc>
          <w:tcPr>
            <w:tcW w:w="270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D750C0" w:rsidRPr="00844882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b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844882">
              <w:rPr>
                <w:rFonts w:ascii="Book Antiqua" w:hAnsi="Book Antiqua" w:cs="Book Antiqua"/>
                <w:b/>
                <w:color w:val="000000" w:themeColor="text1"/>
                <w:kern w:val="0"/>
                <w:sz w:val="24"/>
              </w:rPr>
              <w:t>Ref.</w:t>
            </w:r>
          </w:p>
        </w:tc>
        <w:tc>
          <w:tcPr>
            <w:tcW w:w="86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D750C0" w:rsidRPr="00844882" w:rsidRDefault="0047171D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b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844882">
              <w:rPr>
                <w:rFonts w:ascii="Book Antiqua" w:hAnsi="Book Antiqua" w:cs="Book Antiqua"/>
                <w:b/>
                <w:color w:val="000000" w:themeColor="text1"/>
                <w:kern w:val="0"/>
                <w:sz w:val="24"/>
              </w:rPr>
              <w:t>Y</w:t>
            </w:r>
            <w:r w:rsidR="00D750C0" w:rsidRPr="00844882">
              <w:rPr>
                <w:rFonts w:ascii="Book Antiqua" w:hAnsi="Book Antiqua" w:cs="Book Antiqua"/>
                <w:b/>
                <w:color w:val="000000" w:themeColor="text1"/>
                <w:kern w:val="0"/>
                <w:sz w:val="24"/>
              </w:rPr>
              <w:t>ear</w:t>
            </w:r>
          </w:p>
        </w:tc>
        <w:tc>
          <w:tcPr>
            <w:tcW w:w="117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D750C0" w:rsidRPr="00844882" w:rsidRDefault="0047171D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b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844882">
              <w:rPr>
                <w:rFonts w:ascii="Book Antiqua" w:hAnsi="Book Antiqua" w:cs="Book Antiqua"/>
                <w:b/>
                <w:color w:val="000000" w:themeColor="text1"/>
                <w:kern w:val="0"/>
                <w:sz w:val="24"/>
              </w:rPr>
              <w:t>P</w:t>
            </w:r>
            <w:r w:rsidR="00D750C0" w:rsidRPr="00844882">
              <w:rPr>
                <w:rFonts w:ascii="Book Antiqua" w:hAnsi="Book Antiqua" w:cs="Book Antiqua"/>
                <w:b/>
                <w:color w:val="000000" w:themeColor="text1"/>
                <w:kern w:val="0"/>
                <w:sz w:val="24"/>
              </w:rPr>
              <w:t>atients assessed</w:t>
            </w:r>
          </w:p>
        </w:tc>
        <w:tc>
          <w:tcPr>
            <w:tcW w:w="13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D750C0" w:rsidRPr="00844882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b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844882">
              <w:rPr>
                <w:rFonts w:ascii="Book Antiqua" w:hAnsi="Book Antiqua" w:cs="Book Antiqua"/>
                <w:b/>
                <w:i/>
                <w:iCs/>
                <w:color w:val="000000" w:themeColor="text1"/>
                <w:kern w:val="0"/>
                <w:sz w:val="24"/>
              </w:rPr>
              <w:t>KRAS</w:t>
            </w:r>
            <w:r w:rsidRPr="00844882">
              <w:rPr>
                <w:rFonts w:ascii="Book Antiqua" w:hAnsi="Book Antiqua" w:cs="Book Antiqua"/>
                <w:b/>
                <w:color w:val="000000" w:themeColor="text1"/>
                <w:kern w:val="0"/>
                <w:sz w:val="24"/>
              </w:rPr>
              <w:t xml:space="preserve"> </w:t>
            </w:r>
            <w:proofErr w:type="spellStart"/>
            <w:r w:rsidRPr="00844882">
              <w:rPr>
                <w:rFonts w:ascii="Book Antiqua" w:hAnsi="Book Antiqua" w:cs="Book Antiqua"/>
                <w:b/>
                <w:color w:val="000000" w:themeColor="text1"/>
                <w:kern w:val="0"/>
                <w:sz w:val="24"/>
              </w:rPr>
              <w:t>wt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D750C0" w:rsidRPr="00844882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b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844882">
              <w:rPr>
                <w:rFonts w:ascii="Book Antiqua" w:hAnsi="Book Antiqua" w:cs="Book Antiqua"/>
                <w:b/>
                <w:i/>
                <w:iCs/>
                <w:color w:val="000000" w:themeColor="text1"/>
                <w:kern w:val="0"/>
                <w:sz w:val="24"/>
              </w:rPr>
              <w:t>KRAS</w:t>
            </w:r>
            <w:r w:rsidRPr="00844882">
              <w:rPr>
                <w:rFonts w:ascii="Book Antiqua" w:hAnsi="Book Antiqua" w:cs="Book Antiqua"/>
                <w:b/>
                <w:color w:val="000000" w:themeColor="text1"/>
                <w:kern w:val="0"/>
                <w:sz w:val="24"/>
              </w:rPr>
              <w:t xml:space="preserve"> </w:t>
            </w:r>
            <w:proofErr w:type="spellStart"/>
            <w:r w:rsidRPr="00844882">
              <w:rPr>
                <w:rFonts w:ascii="Book Antiqua" w:hAnsi="Book Antiqua" w:cs="Book Antiqua"/>
                <w:b/>
                <w:color w:val="000000" w:themeColor="text1"/>
                <w:kern w:val="0"/>
                <w:sz w:val="24"/>
              </w:rPr>
              <w:t>mut</w:t>
            </w:r>
            <w:proofErr w:type="spellEnd"/>
          </w:p>
        </w:tc>
        <w:tc>
          <w:tcPr>
            <w:tcW w:w="12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D750C0" w:rsidRPr="00844882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b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844882">
              <w:rPr>
                <w:rFonts w:ascii="Book Antiqua" w:hAnsi="Book Antiqua" w:cs="Book Antiqua"/>
                <w:b/>
                <w:color w:val="000000" w:themeColor="text1"/>
                <w:kern w:val="0"/>
                <w:sz w:val="24"/>
              </w:rPr>
              <w:t xml:space="preserve">Response </w:t>
            </w:r>
            <w:r w:rsidR="0047171D" w:rsidRPr="00844882">
              <w:rPr>
                <w:rFonts w:ascii="Book Antiqua" w:hAnsi="Book Antiqua" w:cs="Book Antiqua"/>
                <w:b/>
                <w:color w:val="000000" w:themeColor="text1"/>
                <w:kern w:val="0"/>
                <w:sz w:val="24"/>
              </w:rPr>
              <w:t>c</w:t>
            </w:r>
            <w:r w:rsidRPr="00844882">
              <w:rPr>
                <w:rFonts w:ascii="Book Antiqua" w:hAnsi="Book Antiqua" w:cs="Book Antiqua"/>
                <w:b/>
                <w:color w:val="000000" w:themeColor="text1"/>
                <w:kern w:val="0"/>
                <w:sz w:val="24"/>
              </w:rPr>
              <w:t>riteria</w:t>
            </w:r>
          </w:p>
        </w:tc>
      </w:tr>
      <w:tr w:rsidR="00657C18" w:rsidRPr="00657C18">
        <w:trPr>
          <w:trHeight w:val="285"/>
        </w:trPr>
        <w:tc>
          <w:tcPr>
            <w:tcW w:w="270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D750C0" w:rsidRPr="00844882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1</w:t>
            </w:r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st</w:t>
            </w:r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line treatment</w:t>
            </w:r>
          </w:p>
        </w:tc>
        <w:tc>
          <w:tcPr>
            <w:tcW w:w="869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75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25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</w:p>
        </w:tc>
      </w:tr>
      <w:tr w:rsidR="00657C18" w:rsidRPr="00657C18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844882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proofErr w:type="spellStart"/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Maughan</w:t>
            </w:r>
            <w:proofErr w:type="spellEnd"/>
            <w:r w:rsidRPr="00844882">
              <w:rPr>
                <w:rFonts w:ascii="Book Antiqua" w:hAnsi="Book Antiqua" w:cs="Book Antiqua"/>
                <w:i/>
                <w:iCs/>
                <w:color w:val="000000" w:themeColor="text1"/>
                <w:kern w:val="0"/>
                <w:sz w:val="24"/>
              </w:rPr>
              <w:t xml:space="preserve"> et al</w:t>
            </w:r>
            <w:r w:rsidR="00B56A20"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[</w:t>
            </w:r>
            <w:r w:rsidR="00B56A20" w:rsidRPr="00844882">
              <w:rPr>
                <w:rFonts w:ascii="Book Antiqua" w:hAnsi="Book Antiqua" w:cs="Book Antiqua" w:hint="eastAsia"/>
                <w:color w:val="000000" w:themeColor="text1"/>
                <w:kern w:val="0"/>
                <w:sz w:val="24"/>
                <w:vertAlign w:val="superscript"/>
              </w:rPr>
              <w:t>11</w:t>
            </w:r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]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2011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1630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729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565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RECIST</w:t>
            </w:r>
          </w:p>
        </w:tc>
      </w:tr>
      <w:tr w:rsidR="00657C18" w:rsidRPr="00657C18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844882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Van </w:t>
            </w:r>
            <w:proofErr w:type="spellStart"/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Cutsem</w:t>
            </w:r>
            <w:proofErr w:type="spellEnd"/>
            <w:r w:rsidRPr="00844882">
              <w:rPr>
                <w:rFonts w:ascii="Book Antiqua" w:hAnsi="Book Antiqua" w:cs="Book Antiqua"/>
                <w:i/>
                <w:iCs/>
                <w:color w:val="000000" w:themeColor="text1"/>
                <w:kern w:val="0"/>
                <w:sz w:val="24"/>
              </w:rPr>
              <w:t xml:space="preserve"> et al</w:t>
            </w:r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[</w:t>
            </w:r>
            <w:r w:rsidR="00B56A20" w:rsidRPr="00844882">
              <w:rPr>
                <w:rFonts w:ascii="Book Antiqua" w:hAnsi="Book Antiqua" w:cs="Book Antiqua" w:hint="eastAsia"/>
                <w:color w:val="000000" w:themeColor="text1"/>
                <w:kern w:val="0"/>
                <w:sz w:val="24"/>
                <w:vertAlign w:val="superscript"/>
              </w:rPr>
              <w:t>12</w:t>
            </w:r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]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2011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1198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397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WHO</w:t>
            </w:r>
          </w:p>
        </w:tc>
      </w:tr>
      <w:tr w:rsidR="00657C18" w:rsidRPr="00657C18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844882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proofErr w:type="spellStart"/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Bokemeyer</w:t>
            </w:r>
            <w:proofErr w:type="spellEnd"/>
            <w:r w:rsidRPr="00844882">
              <w:rPr>
                <w:rFonts w:ascii="Book Antiqua" w:hAnsi="Book Antiqua" w:cs="Book Antiqua"/>
                <w:i/>
                <w:iCs/>
                <w:color w:val="000000" w:themeColor="text1"/>
                <w:kern w:val="0"/>
                <w:sz w:val="24"/>
              </w:rPr>
              <w:t xml:space="preserve"> et al</w:t>
            </w:r>
            <w:r w:rsidR="00B56A20"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[</w:t>
            </w:r>
            <w:r w:rsidR="00B56A20" w:rsidRPr="00844882">
              <w:rPr>
                <w:rFonts w:ascii="Book Antiqua" w:hAnsi="Book Antiqua" w:cs="Book Antiqua" w:hint="eastAsia"/>
                <w:color w:val="000000" w:themeColor="text1"/>
                <w:kern w:val="0"/>
                <w:sz w:val="24"/>
                <w:vertAlign w:val="superscript"/>
              </w:rPr>
              <w:t>7</w:t>
            </w:r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]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2011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337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136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WHO</w:t>
            </w:r>
          </w:p>
        </w:tc>
      </w:tr>
      <w:tr w:rsidR="00657C18" w:rsidRPr="00657C18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844882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proofErr w:type="spellStart"/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Douillard</w:t>
            </w:r>
            <w:proofErr w:type="spellEnd"/>
            <w:r w:rsidRPr="00844882">
              <w:rPr>
                <w:rFonts w:ascii="Book Antiqua" w:hAnsi="Book Antiqua" w:cs="Book Antiqua"/>
                <w:i/>
                <w:iCs/>
                <w:color w:val="000000" w:themeColor="text1"/>
                <w:kern w:val="0"/>
                <w:sz w:val="24"/>
              </w:rPr>
              <w:t xml:space="preserve"> et al</w:t>
            </w:r>
            <w:r w:rsidR="00B56A20"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[</w:t>
            </w:r>
            <w:r w:rsidR="00B56A20" w:rsidRPr="00844882">
              <w:rPr>
                <w:rFonts w:ascii="Book Antiqua" w:hAnsi="Book Antiqua" w:cs="Book Antiqua" w:hint="eastAsia"/>
                <w:color w:val="000000" w:themeColor="text1"/>
                <w:kern w:val="0"/>
                <w:sz w:val="24"/>
                <w:vertAlign w:val="superscript"/>
              </w:rPr>
              <w:t>13</w:t>
            </w:r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]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2010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1183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656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440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RECIST</w:t>
            </w:r>
          </w:p>
        </w:tc>
      </w:tr>
      <w:tr w:rsidR="00657C18" w:rsidRPr="00657C18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844882" w:rsidRDefault="00D750C0" w:rsidP="0084488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Hecht </w:t>
            </w:r>
            <w:r w:rsidRPr="00844882">
              <w:rPr>
                <w:rFonts w:ascii="Book Antiqua" w:hAnsi="Book Antiqua" w:cs="Book Antiqua"/>
                <w:i/>
                <w:iCs/>
                <w:color w:val="000000" w:themeColor="text1"/>
                <w:kern w:val="0"/>
                <w:sz w:val="24"/>
              </w:rPr>
              <w:t>et al</w:t>
            </w:r>
            <w:r w:rsidR="00844882"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 xml:space="preserve"> </w:t>
            </w:r>
            <w:r w:rsidR="00B56A20"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[</w:t>
            </w:r>
            <w:r w:rsidR="00B56A20" w:rsidRPr="00844882">
              <w:rPr>
                <w:rFonts w:ascii="Book Antiqua" w:hAnsi="Book Antiqua" w:cs="Book Antiqua" w:hint="eastAsia"/>
                <w:color w:val="000000" w:themeColor="text1"/>
                <w:kern w:val="0"/>
                <w:sz w:val="24"/>
                <w:vertAlign w:val="superscript"/>
              </w:rPr>
              <w:t>14</w:t>
            </w:r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]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2009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823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260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RECIST</w:t>
            </w:r>
          </w:p>
        </w:tc>
      </w:tr>
      <w:tr w:rsidR="00657C18" w:rsidRPr="00657C18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844882" w:rsidRDefault="00D750C0" w:rsidP="0084488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Hecht </w:t>
            </w:r>
            <w:r w:rsidRPr="00844882">
              <w:rPr>
                <w:rFonts w:ascii="Book Antiqua" w:hAnsi="Book Antiqua" w:cs="Book Antiqua"/>
                <w:i/>
                <w:iCs/>
                <w:color w:val="000000" w:themeColor="text1"/>
                <w:kern w:val="0"/>
                <w:sz w:val="24"/>
              </w:rPr>
              <w:t>et al</w:t>
            </w:r>
            <w:r w:rsidR="00B56A20"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[</w:t>
            </w:r>
            <w:r w:rsidR="00B56A20" w:rsidRPr="00844882">
              <w:rPr>
                <w:rFonts w:ascii="Book Antiqua" w:hAnsi="Book Antiqua" w:cs="Book Antiqua" w:hint="eastAsia"/>
                <w:color w:val="000000" w:themeColor="text1"/>
                <w:kern w:val="0"/>
                <w:sz w:val="24"/>
                <w:vertAlign w:val="superscript"/>
              </w:rPr>
              <w:t>14</w:t>
            </w:r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]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2009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230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86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RECIST</w:t>
            </w:r>
          </w:p>
        </w:tc>
      </w:tr>
      <w:tr w:rsidR="00657C18" w:rsidRPr="00657C18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844882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proofErr w:type="spellStart"/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Tol</w:t>
            </w:r>
            <w:proofErr w:type="spellEnd"/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844882">
              <w:rPr>
                <w:rFonts w:ascii="Book Antiqua" w:hAnsi="Book Antiqua" w:cs="Book Antiqua"/>
                <w:i/>
                <w:iCs/>
                <w:color w:val="000000" w:themeColor="text1"/>
                <w:kern w:val="0"/>
                <w:sz w:val="24"/>
              </w:rPr>
              <w:t>et al</w:t>
            </w:r>
            <w:r w:rsidR="00B56A20"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[</w:t>
            </w:r>
            <w:r w:rsidR="00B56A20" w:rsidRPr="00844882">
              <w:rPr>
                <w:rFonts w:ascii="Book Antiqua" w:hAnsi="Book Antiqua" w:cs="Book Antiqua" w:hint="eastAsia"/>
                <w:color w:val="000000" w:themeColor="text1"/>
                <w:kern w:val="0"/>
                <w:sz w:val="24"/>
                <w:vertAlign w:val="superscript"/>
              </w:rPr>
              <w:t>15</w:t>
            </w:r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]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2009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755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206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RECIST</w:t>
            </w:r>
          </w:p>
        </w:tc>
      </w:tr>
      <w:tr w:rsidR="00657C18" w:rsidRPr="00657C18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844882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proofErr w:type="spellStart"/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Tveit</w:t>
            </w:r>
            <w:proofErr w:type="spellEnd"/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844882">
              <w:rPr>
                <w:rFonts w:ascii="Book Antiqua" w:hAnsi="Book Antiqua" w:cs="Book Antiqua"/>
                <w:i/>
                <w:iCs/>
                <w:color w:val="000000" w:themeColor="text1"/>
                <w:kern w:val="0"/>
                <w:sz w:val="24"/>
              </w:rPr>
              <w:t>et al</w:t>
            </w:r>
            <w:r w:rsidR="00B56A20"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[1</w:t>
            </w:r>
            <w:r w:rsidR="00B56A20" w:rsidRPr="00844882">
              <w:rPr>
                <w:rFonts w:ascii="Book Antiqua" w:hAnsi="Book Antiqua" w:cs="Book Antiqua" w:hint="eastAsia"/>
                <w:color w:val="000000" w:themeColor="text1"/>
                <w:kern w:val="0"/>
                <w:sz w:val="24"/>
                <w:vertAlign w:val="superscript"/>
              </w:rPr>
              <w:t>6</w:t>
            </w:r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]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2012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566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195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RECIST</w:t>
            </w:r>
          </w:p>
        </w:tc>
      </w:tr>
      <w:tr w:rsidR="00657C18" w:rsidRPr="00657C18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844882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2</w:t>
            </w:r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nd</w:t>
            </w:r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line treatment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</w:p>
        </w:tc>
      </w:tr>
      <w:tr w:rsidR="00657C18" w:rsidRPr="00657C18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844882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proofErr w:type="spellStart"/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Peeters</w:t>
            </w:r>
            <w:proofErr w:type="spellEnd"/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844882">
              <w:rPr>
                <w:rFonts w:ascii="Book Antiqua" w:hAnsi="Book Antiqua" w:cs="Book Antiqua"/>
                <w:i/>
                <w:iCs/>
                <w:color w:val="000000" w:themeColor="text1"/>
                <w:kern w:val="0"/>
                <w:sz w:val="24"/>
              </w:rPr>
              <w:t>et al</w:t>
            </w:r>
            <w:r w:rsidR="00B56A20"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[1</w:t>
            </w:r>
            <w:r w:rsidR="00B56A20" w:rsidRPr="00844882">
              <w:rPr>
                <w:rFonts w:ascii="Book Antiqua" w:hAnsi="Book Antiqua" w:cs="Book Antiqua" w:hint="eastAsia"/>
                <w:color w:val="000000" w:themeColor="text1"/>
                <w:kern w:val="0"/>
                <w:sz w:val="24"/>
                <w:vertAlign w:val="superscript"/>
              </w:rPr>
              <w:t>7</w:t>
            </w:r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]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2010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1186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597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486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RECIST</w:t>
            </w:r>
          </w:p>
        </w:tc>
      </w:tr>
      <w:tr w:rsidR="00657C18" w:rsidRPr="00657C18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844882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Harbison </w:t>
            </w:r>
            <w:r w:rsidRPr="00844882">
              <w:rPr>
                <w:rFonts w:ascii="Book Antiqua" w:hAnsi="Book Antiqua" w:cs="Book Antiqua"/>
                <w:i/>
                <w:iCs/>
                <w:color w:val="000000" w:themeColor="text1"/>
                <w:kern w:val="0"/>
                <w:sz w:val="24"/>
              </w:rPr>
              <w:t>et al</w:t>
            </w:r>
            <w:r w:rsidR="00B56A20"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[1</w:t>
            </w:r>
            <w:r w:rsidR="00B56A20" w:rsidRPr="00844882">
              <w:rPr>
                <w:rFonts w:ascii="Book Antiqua" w:hAnsi="Book Antiqua" w:cs="Book Antiqua" w:hint="eastAsia"/>
                <w:color w:val="000000" w:themeColor="text1"/>
                <w:kern w:val="0"/>
                <w:sz w:val="24"/>
                <w:vertAlign w:val="superscript"/>
              </w:rPr>
              <w:t>8</w:t>
            </w:r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]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2012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572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208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RECIST</w:t>
            </w:r>
          </w:p>
        </w:tc>
      </w:tr>
      <w:tr w:rsidR="00657C18" w:rsidRPr="00657C18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D750C0" w:rsidRPr="00844882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Amado </w:t>
            </w:r>
            <w:r w:rsidRPr="00844882">
              <w:rPr>
                <w:rFonts w:ascii="Book Antiqua" w:hAnsi="Book Antiqua" w:cs="Book Antiqua"/>
                <w:i/>
                <w:iCs/>
                <w:color w:val="000000" w:themeColor="text1"/>
                <w:kern w:val="0"/>
                <w:sz w:val="24"/>
              </w:rPr>
              <w:t>et al</w:t>
            </w:r>
            <w:r w:rsidR="00B56A20"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[1</w:t>
            </w:r>
            <w:r w:rsidR="00B56A20" w:rsidRPr="00844882">
              <w:rPr>
                <w:rFonts w:ascii="Book Antiqua" w:hAnsi="Book Antiqua" w:cs="Book Antiqua" w:hint="eastAsia"/>
                <w:color w:val="000000" w:themeColor="text1"/>
                <w:kern w:val="0"/>
                <w:sz w:val="24"/>
                <w:vertAlign w:val="superscript"/>
              </w:rPr>
              <w:t>9</w:t>
            </w:r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]</w:t>
            </w:r>
          </w:p>
        </w:tc>
        <w:tc>
          <w:tcPr>
            <w:tcW w:w="869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2008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463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184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RECIST</w:t>
            </w:r>
          </w:p>
        </w:tc>
      </w:tr>
    </w:tbl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</w:p>
    <w:p w:rsidR="00D750C0" w:rsidRPr="00657C18" w:rsidRDefault="00D750C0" w:rsidP="0084488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color w:val="000000" w:themeColor="text1"/>
          <w:kern w:val="0"/>
          <w:sz w:val="24"/>
        </w:rPr>
      </w:pPr>
      <w:r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>Table</w:t>
      </w:r>
      <w:r w:rsidR="0047171D"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 xml:space="preserve"> </w:t>
      </w:r>
      <w:r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 xml:space="preserve">2 Treatment protocols </w:t>
      </w:r>
      <w:r w:rsidR="0047171D"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>in</w:t>
      </w:r>
      <w:r w:rsidRPr="00657C18">
        <w:rPr>
          <w:rFonts w:ascii="Book Antiqua" w:hAnsi="Book Antiqua" w:cs="Book Antiqua"/>
          <w:b/>
          <w:color w:val="000000" w:themeColor="text1"/>
          <w:kern w:val="0"/>
          <w:sz w:val="24"/>
        </w:rPr>
        <w:t xml:space="preserve"> included studies</w:t>
      </w:r>
    </w:p>
    <w:tbl>
      <w:tblPr>
        <w:tblW w:w="0" w:type="auto"/>
        <w:tblInd w:w="-144" w:type="dxa"/>
        <w:tblLayout w:type="fixed"/>
        <w:tblLook w:val="0000" w:firstRow="0" w:lastRow="0" w:firstColumn="0" w:lastColumn="0" w:noHBand="0" w:noVBand="0"/>
      </w:tblPr>
      <w:tblGrid>
        <w:gridCol w:w="2520"/>
        <w:gridCol w:w="6254"/>
      </w:tblGrid>
      <w:tr w:rsidR="00657C18" w:rsidRPr="00844882">
        <w:trPr>
          <w:trHeight w:val="285"/>
        </w:trPr>
        <w:tc>
          <w:tcPr>
            <w:tcW w:w="252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D750C0" w:rsidRPr="00844882" w:rsidRDefault="00844882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b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844882">
              <w:rPr>
                <w:rFonts w:ascii="Book Antiqua" w:hAnsi="Book Antiqua" w:cs="Book Antiqua" w:hint="eastAsia"/>
                <w:b/>
                <w:color w:val="000000" w:themeColor="text1"/>
                <w:kern w:val="0"/>
                <w:sz w:val="24"/>
              </w:rPr>
              <w:t>Ref.</w:t>
            </w:r>
          </w:p>
        </w:tc>
        <w:tc>
          <w:tcPr>
            <w:tcW w:w="62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D750C0" w:rsidRPr="00844882" w:rsidRDefault="0047171D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b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844882">
              <w:rPr>
                <w:rFonts w:ascii="Book Antiqua" w:hAnsi="Book Antiqua" w:cs="Book Antiqua"/>
                <w:b/>
                <w:color w:val="000000" w:themeColor="text1"/>
                <w:kern w:val="0"/>
                <w:sz w:val="24"/>
              </w:rPr>
              <w:t>S</w:t>
            </w:r>
            <w:r w:rsidR="00D750C0" w:rsidRPr="00844882">
              <w:rPr>
                <w:rFonts w:ascii="Book Antiqua" w:hAnsi="Book Antiqua" w:cs="Book Antiqua"/>
                <w:b/>
                <w:color w:val="000000" w:themeColor="text1"/>
                <w:kern w:val="0"/>
                <w:sz w:val="24"/>
              </w:rPr>
              <w:t xml:space="preserve">tudy treatment protocol </w:t>
            </w:r>
          </w:p>
        </w:tc>
      </w:tr>
      <w:tr w:rsidR="00657C18" w:rsidRPr="00657C18">
        <w:trPr>
          <w:trHeight w:val="285"/>
        </w:trPr>
        <w:tc>
          <w:tcPr>
            <w:tcW w:w="252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1</w:t>
            </w:r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st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line treatment</w:t>
            </w:r>
          </w:p>
        </w:tc>
        <w:tc>
          <w:tcPr>
            <w:tcW w:w="6254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</w:p>
        </w:tc>
      </w:tr>
      <w:tr w:rsidR="00657C18" w:rsidRPr="00657C18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proofErr w:type="spellStart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Maughan</w:t>
            </w:r>
            <w:proofErr w:type="spellEnd"/>
            <w:r w:rsidRPr="00657C18">
              <w:rPr>
                <w:rFonts w:ascii="Book Antiqua" w:hAnsi="Book Antiqua" w:cs="Book Antiqua"/>
                <w:i/>
                <w:iCs/>
                <w:color w:val="000000" w:themeColor="text1"/>
                <w:kern w:val="0"/>
                <w:sz w:val="24"/>
              </w:rPr>
              <w:t xml:space="preserve"> et al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[</w:t>
            </w:r>
            <w:r w:rsidR="00B56A20" w:rsidRPr="00657C18">
              <w:rPr>
                <w:rFonts w:ascii="Book Antiqua" w:hAnsi="Book Antiqua" w:cs="Book Antiqua" w:hint="eastAsia"/>
                <w:color w:val="000000" w:themeColor="text1"/>
                <w:kern w:val="0"/>
                <w:sz w:val="24"/>
                <w:vertAlign w:val="superscript"/>
              </w:rPr>
              <w:t>11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]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Ox 85</w:t>
            </w:r>
            <w:r w:rsidR="0047171D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mg/m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FA 350</w:t>
            </w:r>
            <w:r w:rsidR="0047171D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mg/ m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5FU 400</w:t>
            </w:r>
            <w:r w:rsidR="0047171D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mg/m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bolus+2400</w:t>
            </w:r>
            <w:r w:rsidR="0047171D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mg/m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infusion+/-</w:t>
            </w:r>
            <w:proofErr w:type="spellStart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cetuximab</w:t>
            </w:r>
            <w:proofErr w:type="spellEnd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</w:p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Ox 130</w:t>
            </w:r>
            <w:r w:rsidR="0047171D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mg/ m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Cap 2000</w:t>
            </w:r>
            <w:r w:rsidR="0047171D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mg/m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+/-</w:t>
            </w:r>
            <w:proofErr w:type="spellStart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cetuximab</w:t>
            </w:r>
            <w:proofErr w:type="spellEnd"/>
          </w:p>
        </w:tc>
      </w:tr>
      <w:tr w:rsidR="00657C18" w:rsidRPr="00657C18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Van </w:t>
            </w:r>
            <w:proofErr w:type="spellStart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Cutsem</w:t>
            </w:r>
            <w:proofErr w:type="spellEnd"/>
            <w:r w:rsidRPr="00657C18">
              <w:rPr>
                <w:rFonts w:ascii="Book Antiqua" w:hAnsi="Book Antiqua" w:cs="Book Antiqua"/>
                <w:i/>
                <w:iCs/>
                <w:color w:val="000000" w:themeColor="text1"/>
                <w:kern w:val="0"/>
                <w:sz w:val="24"/>
              </w:rPr>
              <w:t xml:space="preserve"> et al</w:t>
            </w:r>
            <w:r w:rsidR="00B56A20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[</w:t>
            </w:r>
            <w:r w:rsidR="00B56A20" w:rsidRPr="00657C18">
              <w:rPr>
                <w:rFonts w:ascii="Book Antiqua" w:hAnsi="Book Antiqua" w:cs="Book Antiqua" w:hint="eastAsia"/>
                <w:color w:val="000000" w:themeColor="text1"/>
                <w:kern w:val="0"/>
                <w:sz w:val="24"/>
                <w:vertAlign w:val="superscript"/>
              </w:rPr>
              <w:t>12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]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Iri</w:t>
            </w:r>
            <w:proofErr w:type="spellEnd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180</w:t>
            </w:r>
            <w:r w:rsidR="0047171D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mg/m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FA 400</w:t>
            </w:r>
            <w:r w:rsidR="0047171D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mg/m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5FU 400</w:t>
            </w:r>
            <w:r w:rsidR="0047171D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mg/m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bolus+2400</w:t>
            </w:r>
            <w:r w:rsidR="0047171D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mg/m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infusion+/-</w:t>
            </w:r>
            <w:proofErr w:type="spellStart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cetuximab</w:t>
            </w:r>
            <w:proofErr w:type="spellEnd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 </w:t>
            </w:r>
          </w:p>
        </w:tc>
      </w:tr>
      <w:tr w:rsidR="00657C18" w:rsidRPr="00657C18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proofErr w:type="spellStart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Bokemeyer</w:t>
            </w:r>
            <w:proofErr w:type="spellEnd"/>
            <w:r w:rsidRPr="00657C18">
              <w:rPr>
                <w:rFonts w:ascii="Book Antiqua" w:hAnsi="Book Antiqua" w:cs="Book Antiqua"/>
                <w:i/>
                <w:iCs/>
                <w:color w:val="000000" w:themeColor="text1"/>
                <w:kern w:val="0"/>
                <w:sz w:val="24"/>
              </w:rPr>
              <w:t xml:space="preserve"> et al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[</w:t>
            </w:r>
            <w:r w:rsidR="00B56A20" w:rsidRPr="00657C18">
              <w:rPr>
                <w:rFonts w:ascii="Book Antiqua" w:hAnsi="Book Antiqua" w:cs="Book Antiqua" w:hint="eastAsia"/>
                <w:color w:val="000000" w:themeColor="text1"/>
                <w:kern w:val="0"/>
                <w:sz w:val="24"/>
                <w:vertAlign w:val="superscript"/>
              </w:rPr>
              <w:t>7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]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Ox 85</w:t>
            </w:r>
            <w:r w:rsidR="0047171D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mg/m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FA 400</w:t>
            </w:r>
            <w:r w:rsidR="0047171D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mg/m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5FU 400</w:t>
            </w:r>
            <w:r w:rsidR="0047171D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mg/m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bolus+1200</w:t>
            </w:r>
            <w:r w:rsidR="0047171D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mg/m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infusion+/-</w:t>
            </w:r>
            <w:proofErr w:type="spellStart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cetuximab</w:t>
            </w:r>
            <w:proofErr w:type="spellEnd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657C18" w:rsidRPr="00657C18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proofErr w:type="spellStart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Douillard</w:t>
            </w:r>
            <w:proofErr w:type="spellEnd"/>
            <w:r w:rsidRPr="00657C18">
              <w:rPr>
                <w:rFonts w:ascii="Book Antiqua" w:hAnsi="Book Antiqua" w:cs="Book Antiqua"/>
                <w:i/>
                <w:iCs/>
                <w:color w:val="000000" w:themeColor="text1"/>
                <w:kern w:val="0"/>
                <w:sz w:val="24"/>
              </w:rPr>
              <w:t xml:space="preserve"> et al</w:t>
            </w:r>
            <w:r w:rsidR="00B56A20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[</w:t>
            </w:r>
            <w:r w:rsidR="00B56A20" w:rsidRPr="00657C18">
              <w:rPr>
                <w:rFonts w:ascii="Book Antiqua" w:hAnsi="Book Antiqua" w:cs="Book Antiqua" w:hint="eastAsia"/>
                <w:color w:val="000000" w:themeColor="text1"/>
                <w:kern w:val="0"/>
                <w:sz w:val="24"/>
                <w:vertAlign w:val="superscript"/>
              </w:rPr>
              <w:t>13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]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Ox 85</w:t>
            </w:r>
            <w:r w:rsidR="0047171D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mg/m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FA 400</w:t>
            </w:r>
            <w:r w:rsidR="0047171D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mg/m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5FU 400</w:t>
            </w:r>
            <w:r w:rsidR="0047171D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mg/m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lastRenderedPageBreak/>
              <w:t>bolus+1200</w:t>
            </w:r>
            <w:r w:rsidR="0047171D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mg/m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infusion+/-</w:t>
            </w:r>
            <w:proofErr w:type="spellStart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panitumumab</w:t>
            </w:r>
            <w:proofErr w:type="spellEnd"/>
          </w:p>
        </w:tc>
      </w:tr>
      <w:tr w:rsidR="00657C18" w:rsidRPr="00657C18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84488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lastRenderedPageBreak/>
              <w:t xml:space="preserve">Hecht </w:t>
            </w:r>
            <w:r w:rsidRPr="00657C18">
              <w:rPr>
                <w:rFonts w:ascii="Book Antiqua" w:hAnsi="Book Antiqua" w:cs="Book Antiqua"/>
                <w:i/>
                <w:iCs/>
                <w:color w:val="000000" w:themeColor="text1"/>
                <w:kern w:val="0"/>
                <w:sz w:val="24"/>
              </w:rPr>
              <w:t>et al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[</w:t>
            </w:r>
            <w:r w:rsidR="00B56A20" w:rsidRPr="00657C18">
              <w:rPr>
                <w:rFonts w:ascii="Book Antiqua" w:hAnsi="Book Antiqua" w:cs="Book Antiqua" w:hint="eastAsia"/>
                <w:color w:val="000000" w:themeColor="text1"/>
                <w:kern w:val="0"/>
                <w:sz w:val="24"/>
                <w:vertAlign w:val="superscript"/>
              </w:rPr>
              <w:t>14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]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Ox/FA/5FU/Bev</w:t>
            </w:r>
          </w:p>
        </w:tc>
      </w:tr>
      <w:tr w:rsidR="00657C18" w:rsidRPr="00657C18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84488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Hecht </w:t>
            </w:r>
            <w:r w:rsidRPr="00657C18">
              <w:rPr>
                <w:rFonts w:ascii="Book Antiqua" w:hAnsi="Book Antiqua" w:cs="Book Antiqua"/>
                <w:i/>
                <w:iCs/>
                <w:color w:val="000000" w:themeColor="text1"/>
                <w:kern w:val="0"/>
                <w:sz w:val="24"/>
              </w:rPr>
              <w:t>et al</w:t>
            </w:r>
            <w:r w:rsidR="00B56A20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[</w:t>
            </w:r>
            <w:r w:rsidR="00B56A20" w:rsidRPr="00657C18">
              <w:rPr>
                <w:rFonts w:ascii="Book Antiqua" w:hAnsi="Book Antiqua" w:cs="Book Antiqua" w:hint="eastAsia"/>
                <w:color w:val="000000" w:themeColor="text1"/>
                <w:kern w:val="0"/>
                <w:sz w:val="24"/>
                <w:vertAlign w:val="superscript"/>
              </w:rPr>
              <w:t>14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]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proofErr w:type="spellStart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Iri</w:t>
            </w:r>
            <w:proofErr w:type="spellEnd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/FA/5FU/Bev</w:t>
            </w:r>
          </w:p>
        </w:tc>
      </w:tr>
      <w:tr w:rsidR="00657C18" w:rsidRPr="00657C18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proofErr w:type="spellStart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Tol</w:t>
            </w:r>
            <w:proofErr w:type="spellEnd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i/>
                <w:iCs/>
                <w:color w:val="000000" w:themeColor="text1"/>
                <w:kern w:val="0"/>
                <w:sz w:val="24"/>
              </w:rPr>
              <w:t>et al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="00B56A20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[</w:t>
            </w:r>
            <w:r w:rsidR="00B56A20" w:rsidRPr="00657C18">
              <w:rPr>
                <w:rFonts w:ascii="Book Antiqua" w:hAnsi="Book Antiqua" w:cs="Book Antiqua" w:hint="eastAsia"/>
                <w:color w:val="000000" w:themeColor="text1"/>
                <w:kern w:val="0"/>
                <w:sz w:val="24"/>
                <w:vertAlign w:val="superscript"/>
              </w:rPr>
              <w:t>15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]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Ox/Cap/Bev</w:t>
            </w:r>
          </w:p>
        </w:tc>
      </w:tr>
      <w:tr w:rsidR="00657C18" w:rsidRPr="00657C18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proofErr w:type="spellStart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Tveit</w:t>
            </w:r>
            <w:proofErr w:type="spellEnd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i/>
                <w:iCs/>
                <w:color w:val="000000" w:themeColor="text1"/>
                <w:kern w:val="0"/>
                <w:sz w:val="24"/>
              </w:rPr>
              <w:t>et al</w:t>
            </w:r>
            <w:r w:rsidR="00B56A20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[1</w:t>
            </w:r>
            <w:r w:rsidR="00B56A20" w:rsidRPr="00657C18">
              <w:rPr>
                <w:rFonts w:ascii="Book Antiqua" w:hAnsi="Book Antiqua" w:cs="Book Antiqua" w:hint="eastAsia"/>
                <w:color w:val="000000" w:themeColor="text1"/>
                <w:kern w:val="0"/>
                <w:sz w:val="24"/>
                <w:vertAlign w:val="superscript"/>
              </w:rPr>
              <w:t>6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]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Ox 85</w:t>
            </w:r>
            <w:r w:rsidR="0047171D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mg/m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FA 120</w:t>
            </w:r>
            <w:r w:rsidR="0047171D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mg/m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5FU 1000</w:t>
            </w:r>
            <w:r w:rsidR="0047171D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mg/m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bolus +/-</w:t>
            </w:r>
            <w:proofErr w:type="spellStart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cetuximab</w:t>
            </w:r>
            <w:proofErr w:type="spellEnd"/>
          </w:p>
        </w:tc>
      </w:tr>
      <w:tr w:rsidR="00657C18" w:rsidRPr="00657C18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2</w:t>
            </w:r>
            <w:r w:rsidRPr="00844882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nd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line treatment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</w:p>
        </w:tc>
      </w:tr>
      <w:tr w:rsidR="00657C18" w:rsidRPr="00657C18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proofErr w:type="spellStart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Peeters</w:t>
            </w:r>
            <w:proofErr w:type="spellEnd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i/>
                <w:iCs/>
                <w:color w:val="000000" w:themeColor="text1"/>
                <w:kern w:val="0"/>
                <w:sz w:val="24"/>
              </w:rPr>
              <w:t>et al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="00B56A20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[1</w:t>
            </w:r>
            <w:r w:rsidR="00B56A20" w:rsidRPr="00657C18">
              <w:rPr>
                <w:rFonts w:ascii="Book Antiqua" w:hAnsi="Book Antiqua" w:cs="Book Antiqua" w:hint="eastAsia"/>
                <w:color w:val="000000" w:themeColor="text1"/>
                <w:kern w:val="0"/>
                <w:sz w:val="24"/>
                <w:vertAlign w:val="superscript"/>
              </w:rPr>
              <w:t>7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]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Iri</w:t>
            </w:r>
            <w:proofErr w:type="spellEnd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180</w:t>
            </w:r>
            <w:r w:rsidR="0047171D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mg/m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FA 400</w:t>
            </w:r>
            <w:r w:rsidR="0047171D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mg/m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5FU 400</w:t>
            </w:r>
            <w:r w:rsidR="0047171D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mg/m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bolus+2400</w:t>
            </w:r>
            <w:r w:rsidR="0047171D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mg/m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infusion+/-</w:t>
            </w:r>
            <w:proofErr w:type="spellStart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panitumumab</w:t>
            </w:r>
            <w:proofErr w:type="spellEnd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 </w:t>
            </w:r>
          </w:p>
        </w:tc>
      </w:tr>
      <w:tr w:rsidR="00657C18" w:rsidRPr="00657C18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Harbison </w:t>
            </w:r>
            <w:r w:rsidRPr="00657C18">
              <w:rPr>
                <w:rFonts w:ascii="Book Antiqua" w:hAnsi="Book Antiqua" w:cs="Book Antiqua"/>
                <w:i/>
                <w:iCs/>
                <w:color w:val="000000" w:themeColor="text1"/>
                <w:kern w:val="0"/>
                <w:sz w:val="24"/>
              </w:rPr>
              <w:t>et al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 </w:t>
            </w:r>
            <w:r w:rsidR="00B56A20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[1</w:t>
            </w:r>
            <w:r w:rsidR="00B56A20" w:rsidRPr="00657C18">
              <w:rPr>
                <w:rFonts w:ascii="Book Antiqua" w:hAnsi="Book Antiqua" w:cs="Book Antiqua" w:hint="eastAsia"/>
                <w:color w:val="000000" w:themeColor="text1"/>
                <w:kern w:val="0"/>
                <w:sz w:val="24"/>
                <w:vertAlign w:val="superscript"/>
              </w:rPr>
              <w:t>8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]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BSC+/-</w:t>
            </w:r>
            <w:proofErr w:type="spellStart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cetuximab</w:t>
            </w:r>
            <w:proofErr w:type="spellEnd"/>
          </w:p>
        </w:tc>
      </w:tr>
      <w:tr w:rsidR="00657C18" w:rsidRPr="00657C18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 xml:space="preserve">Amado </w:t>
            </w:r>
            <w:r w:rsidRPr="00657C18">
              <w:rPr>
                <w:rFonts w:ascii="Book Antiqua" w:hAnsi="Book Antiqua" w:cs="Book Antiqua"/>
                <w:i/>
                <w:iCs/>
                <w:color w:val="000000" w:themeColor="text1"/>
                <w:kern w:val="0"/>
                <w:sz w:val="24"/>
              </w:rPr>
              <w:t>et al</w:t>
            </w:r>
            <w:r w:rsidR="00B56A20"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[1</w:t>
            </w:r>
            <w:r w:rsidR="00B56A20" w:rsidRPr="00657C18">
              <w:rPr>
                <w:rFonts w:ascii="Book Antiqua" w:hAnsi="Book Antiqua" w:cs="Book Antiqua" w:hint="eastAsia"/>
                <w:color w:val="000000" w:themeColor="text1"/>
                <w:kern w:val="0"/>
                <w:sz w:val="24"/>
                <w:vertAlign w:val="superscript"/>
              </w:rPr>
              <w:t>9</w:t>
            </w: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  <w:vertAlign w:val="superscript"/>
              </w:rPr>
              <w:t>]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D750C0" w:rsidRPr="00657C18" w:rsidRDefault="00D750C0" w:rsidP="00E77CF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Book Antiqua" w:cs="宋体"/>
                <w:color w:val="000000" w:themeColor="text1"/>
                <w:kern w:val="0"/>
                <w:sz w:val="22"/>
                <w:szCs w:val="22"/>
                <w:lang w:val="zh-CN"/>
              </w:rPr>
            </w:pPr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BSC+/-</w:t>
            </w:r>
            <w:proofErr w:type="spellStart"/>
            <w:r w:rsidRPr="00657C18">
              <w:rPr>
                <w:rFonts w:ascii="Book Antiqua" w:hAnsi="Book Antiqua" w:cs="Book Antiqua"/>
                <w:color w:val="000000" w:themeColor="text1"/>
                <w:kern w:val="0"/>
                <w:sz w:val="24"/>
              </w:rPr>
              <w:t>panitumumab</w:t>
            </w:r>
            <w:proofErr w:type="spellEnd"/>
          </w:p>
        </w:tc>
      </w:tr>
    </w:tbl>
    <w:p w:rsidR="00D750C0" w:rsidRPr="00657C18" w:rsidRDefault="00D750C0" w:rsidP="00E77CF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844882">
        <w:rPr>
          <w:rFonts w:ascii="Book Antiqua" w:hAnsi="Book Antiqua" w:cs="Book Antiqua"/>
          <w:color w:val="000000" w:themeColor="text1"/>
          <w:kern w:val="0"/>
          <w:sz w:val="24"/>
        </w:rPr>
        <w:t>Ox</w:t>
      </w:r>
      <w:r w:rsidR="00844882">
        <w:rPr>
          <w:rFonts w:ascii="Book Antiqua" w:hAnsi="Book Antiqua" w:cs="Book Antiqua" w:hint="eastAsia"/>
          <w:color w:val="000000" w:themeColor="text1"/>
          <w:kern w:val="0"/>
          <w:sz w:val="24"/>
        </w:rPr>
        <w:t>:</w:t>
      </w:r>
      <w:r w:rsidRPr="00844882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="00844882" w:rsidRPr="00844882">
        <w:rPr>
          <w:rFonts w:ascii="Book Antiqua" w:hAnsi="Book Antiqua" w:cs="Book Antiqua"/>
          <w:color w:val="000000" w:themeColor="text1"/>
          <w:kern w:val="0"/>
          <w:sz w:val="24"/>
        </w:rPr>
        <w:t>Oxaliplatin</w:t>
      </w:r>
      <w:proofErr w:type="spellEnd"/>
      <w:r w:rsidRPr="00844882">
        <w:rPr>
          <w:rFonts w:ascii="Book Antiqua" w:hAnsi="Book Antiqua" w:cs="Book Antiqua"/>
          <w:color w:val="000000" w:themeColor="text1"/>
          <w:kern w:val="0"/>
          <w:sz w:val="24"/>
        </w:rPr>
        <w:t>; FA</w:t>
      </w:r>
      <w:r w:rsidR="00844882">
        <w:rPr>
          <w:rFonts w:ascii="Book Antiqua" w:hAnsi="Book Antiqua" w:cs="Book Antiqua" w:hint="eastAsia"/>
          <w:color w:val="000000" w:themeColor="text1"/>
          <w:kern w:val="0"/>
          <w:sz w:val="24"/>
        </w:rPr>
        <w:t>:</w:t>
      </w:r>
      <w:r w:rsidRPr="00844882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="00844882" w:rsidRPr="00844882">
        <w:rPr>
          <w:rFonts w:ascii="Book Antiqua" w:hAnsi="Book Antiqua" w:cs="Book Antiqua"/>
          <w:color w:val="000000" w:themeColor="text1"/>
          <w:kern w:val="0"/>
          <w:sz w:val="24"/>
        </w:rPr>
        <w:t>Folinic</w:t>
      </w:r>
      <w:proofErr w:type="spellEnd"/>
      <w:r w:rsidR="00844882" w:rsidRPr="00844882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Pr="00844882">
        <w:rPr>
          <w:rFonts w:ascii="Book Antiqua" w:hAnsi="Book Antiqua" w:cs="Book Antiqua"/>
          <w:color w:val="000000" w:themeColor="text1"/>
          <w:kern w:val="0"/>
          <w:sz w:val="24"/>
        </w:rPr>
        <w:t>acid; 5FU</w:t>
      </w:r>
      <w:r w:rsidR="00844882">
        <w:rPr>
          <w:rFonts w:ascii="Book Antiqua" w:hAnsi="Book Antiqua" w:cs="Book Antiqua" w:hint="eastAsia"/>
          <w:color w:val="000000" w:themeColor="text1"/>
          <w:kern w:val="0"/>
          <w:sz w:val="24"/>
        </w:rPr>
        <w:t>:</w:t>
      </w:r>
      <w:r w:rsidRPr="00844882">
        <w:rPr>
          <w:rFonts w:ascii="Book Antiqua" w:hAnsi="Book Antiqua" w:cs="Book Antiqua"/>
          <w:color w:val="000000" w:themeColor="text1"/>
          <w:kern w:val="0"/>
          <w:sz w:val="24"/>
        </w:rPr>
        <w:t xml:space="preserve"> 5-fluourouracil; Cap</w:t>
      </w:r>
      <w:r w:rsidR="00844882">
        <w:rPr>
          <w:rFonts w:ascii="Book Antiqua" w:hAnsi="Book Antiqua" w:cs="Book Antiqua" w:hint="eastAsia"/>
          <w:color w:val="000000" w:themeColor="text1"/>
          <w:kern w:val="0"/>
          <w:sz w:val="24"/>
        </w:rPr>
        <w:t>:</w:t>
      </w:r>
      <w:r w:rsidRPr="00844882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="00844882" w:rsidRPr="00844882">
        <w:rPr>
          <w:rFonts w:ascii="Book Antiqua" w:hAnsi="Book Antiqua" w:cs="Book Antiqua"/>
          <w:color w:val="000000" w:themeColor="text1"/>
          <w:kern w:val="0"/>
          <w:sz w:val="24"/>
        </w:rPr>
        <w:t>Capecitabine</w:t>
      </w:r>
      <w:proofErr w:type="spellEnd"/>
      <w:r w:rsidRPr="00844882">
        <w:rPr>
          <w:rFonts w:ascii="Book Antiqua" w:hAnsi="Book Antiqua" w:cs="Book Antiqua"/>
          <w:color w:val="000000" w:themeColor="text1"/>
          <w:kern w:val="0"/>
          <w:sz w:val="24"/>
        </w:rPr>
        <w:t xml:space="preserve">; </w:t>
      </w:r>
      <w:proofErr w:type="spellStart"/>
      <w:r w:rsidRPr="00844882">
        <w:rPr>
          <w:rFonts w:ascii="Book Antiqua" w:hAnsi="Book Antiqua" w:cs="Book Antiqua"/>
          <w:color w:val="000000" w:themeColor="text1"/>
          <w:kern w:val="0"/>
          <w:sz w:val="24"/>
        </w:rPr>
        <w:t>Iri</w:t>
      </w:r>
      <w:proofErr w:type="spellEnd"/>
      <w:r w:rsidR="00844882">
        <w:rPr>
          <w:rFonts w:ascii="Book Antiqua" w:hAnsi="Book Antiqua" w:cs="Book Antiqua" w:hint="eastAsia"/>
          <w:color w:val="000000" w:themeColor="text1"/>
          <w:kern w:val="0"/>
          <w:sz w:val="24"/>
        </w:rPr>
        <w:t>:</w:t>
      </w:r>
      <w:r w:rsidRPr="00844882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="00844882" w:rsidRPr="00844882">
        <w:rPr>
          <w:rFonts w:ascii="Book Antiqua" w:hAnsi="Book Antiqua" w:cs="Book Antiqua"/>
          <w:color w:val="000000" w:themeColor="text1"/>
          <w:kern w:val="0"/>
          <w:sz w:val="24"/>
        </w:rPr>
        <w:t>Irinotecan</w:t>
      </w:r>
      <w:proofErr w:type="spellEnd"/>
      <w:r w:rsidRPr="00844882">
        <w:rPr>
          <w:rFonts w:ascii="Book Antiqua" w:hAnsi="Book Antiqua" w:cs="Book Antiqua"/>
          <w:color w:val="000000" w:themeColor="text1"/>
          <w:kern w:val="0"/>
          <w:sz w:val="24"/>
        </w:rPr>
        <w:t>; Bev</w:t>
      </w:r>
      <w:r w:rsidR="00844882">
        <w:rPr>
          <w:rFonts w:ascii="Book Antiqua" w:hAnsi="Book Antiqua" w:cs="Book Antiqua" w:hint="eastAsia"/>
          <w:color w:val="000000" w:themeColor="text1"/>
          <w:kern w:val="0"/>
          <w:sz w:val="24"/>
        </w:rPr>
        <w:t>:</w:t>
      </w:r>
      <w:r w:rsidRPr="00844882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proofErr w:type="spellStart"/>
      <w:r w:rsidR="00844882" w:rsidRPr="00844882">
        <w:rPr>
          <w:rFonts w:ascii="Book Antiqua" w:hAnsi="Book Antiqua" w:cs="Book Antiqua"/>
          <w:color w:val="000000" w:themeColor="text1"/>
          <w:kern w:val="0"/>
          <w:sz w:val="24"/>
        </w:rPr>
        <w:t>Bevacizumab</w:t>
      </w:r>
      <w:proofErr w:type="spellEnd"/>
      <w:r w:rsidRPr="00844882">
        <w:rPr>
          <w:rFonts w:ascii="Book Antiqua" w:hAnsi="Book Antiqua" w:cs="Book Antiqua"/>
          <w:color w:val="000000" w:themeColor="text1"/>
          <w:kern w:val="0"/>
          <w:sz w:val="24"/>
        </w:rPr>
        <w:t>; BSC</w:t>
      </w:r>
      <w:r w:rsidR="00844882">
        <w:rPr>
          <w:rFonts w:ascii="Book Antiqua" w:hAnsi="Book Antiqua" w:cs="Book Antiqua" w:hint="eastAsia"/>
          <w:color w:val="000000" w:themeColor="text1"/>
          <w:kern w:val="0"/>
          <w:sz w:val="24"/>
        </w:rPr>
        <w:t>:</w:t>
      </w:r>
      <w:r w:rsidRPr="00844882">
        <w:rPr>
          <w:rFonts w:ascii="Book Antiqua" w:hAnsi="Book Antiqua" w:cs="Book Antiqua"/>
          <w:color w:val="000000" w:themeColor="text1"/>
          <w:kern w:val="0"/>
          <w:sz w:val="24"/>
        </w:rPr>
        <w:t xml:space="preserve"> </w:t>
      </w:r>
      <w:r w:rsidR="00844882" w:rsidRPr="00844882">
        <w:rPr>
          <w:rFonts w:ascii="Book Antiqua" w:hAnsi="Book Antiqua" w:cs="Book Antiqua"/>
          <w:color w:val="000000" w:themeColor="text1"/>
          <w:kern w:val="0"/>
          <w:sz w:val="24"/>
        </w:rPr>
        <w:t xml:space="preserve">Best </w:t>
      </w:r>
      <w:r w:rsidRPr="00844882">
        <w:rPr>
          <w:rFonts w:ascii="Book Antiqua" w:hAnsi="Book Antiqua" w:cs="Book Antiqua"/>
          <w:color w:val="000000" w:themeColor="text1"/>
          <w:kern w:val="0"/>
          <w:sz w:val="24"/>
        </w:rPr>
        <w:t>support</w:t>
      </w:r>
      <w:r w:rsidR="009657B9" w:rsidRPr="00844882">
        <w:rPr>
          <w:rFonts w:ascii="Book Antiqua" w:hAnsi="Book Antiqua" w:cs="Book Antiqua"/>
          <w:color w:val="000000" w:themeColor="text1"/>
          <w:kern w:val="0"/>
          <w:sz w:val="24"/>
        </w:rPr>
        <w:t>ive</w:t>
      </w:r>
      <w:r w:rsidRPr="00844882">
        <w:rPr>
          <w:rFonts w:ascii="Book Antiqua" w:hAnsi="Book Antiqua" w:cs="Book Antiqua"/>
          <w:color w:val="000000" w:themeColor="text1"/>
          <w:kern w:val="0"/>
          <w:sz w:val="24"/>
        </w:rPr>
        <w:t xml:space="preserve"> care.</w:t>
      </w:r>
    </w:p>
    <w:p w:rsidR="003645D7" w:rsidRPr="00657C18" w:rsidRDefault="003645D7" w:rsidP="00E77CF2">
      <w:pPr>
        <w:adjustRightInd w:val="0"/>
        <w:snapToGrid w:val="0"/>
        <w:spacing w:line="360" w:lineRule="auto"/>
        <w:rPr>
          <w:color w:val="000000" w:themeColor="text1"/>
        </w:rPr>
      </w:pPr>
    </w:p>
    <w:sectPr w:rsidR="003645D7" w:rsidRPr="00657C18" w:rsidSect="00D750C0">
      <w:footerReference w:type="even" r:id="rId28"/>
      <w:footerReference w:type="default" r:id="rId2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66" w:rsidRDefault="00AD3466">
      <w:r>
        <w:separator/>
      </w:r>
    </w:p>
  </w:endnote>
  <w:endnote w:type="continuationSeparator" w:id="0">
    <w:p w:rsidR="00AD3466" w:rsidRDefault="00AD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F0" w:rsidRDefault="001371F0" w:rsidP="00276AE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71F0" w:rsidRDefault="001371F0" w:rsidP="00F902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F0" w:rsidRDefault="001371F0" w:rsidP="00276AE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691E">
      <w:rPr>
        <w:rStyle w:val="a4"/>
        <w:noProof/>
      </w:rPr>
      <w:t>20</w:t>
    </w:r>
    <w:r>
      <w:rPr>
        <w:rStyle w:val="a4"/>
      </w:rPr>
      <w:fldChar w:fldCharType="end"/>
    </w:r>
  </w:p>
  <w:p w:rsidR="001371F0" w:rsidRDefault="001371F0" w:rsidP="00F902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66" w:rsidRDefault="00AD3466">
      <w:r>
        <w:separator/>
      </w:r>
    </w:p>
  </w:footnote>
  <w:footnote w:type="continuationSeparator" w:id="0">
    <w:p w:rsidR="00AD3466" w:rsidRDefault="00AD3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6314"/>
    <w:multiLevelType w:val="hybridMultilevel"/>
    <w:tmpl w:val="7A80FF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F422A5"/>
    <w:multiLevelType w:val="hybridMultilevel"/>
    <w:tmpl w:val="228813FA"/>
    <w:lvl w:ilvl="0" w:tplc="00CAB9E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C0"/>
    <w:rsid w:val="000054FB"/>
    <w:rsid w:val="00082F07"/>
    <w:rsid w:val="000C2DEE"/>
    <w:rsid w:val="001148CB"/>
    <w:rsid w:val="001371F0"/>
    <w:rsid w:val="001514DF"/>
    <w:rsid w:val="001A46F1"/>
    <w:rsid w:val="001A5201"/>
    <w:rsid w:val="001F1DB5"/>
    <w:rsid w:val="00232A90"/>
    <w:rsid w:val="002411ED"/>
    <w:rsid w:val="0027537F"/>
    <w:rsid w:val="00276AE4"/>
    <w:rsid w:val="002A741E"/>
    <w:rsid w:val="00307392"/>
    <w:rsid w:val="00340CF4"/>
    <w:rsid w:val="003645D7"/>
    <w:rsid w:val="003A41CA"/>
    <w:rsid w:val="003C5607"/>
    <w:rsid w:val="0042678B"/>
    <w:rsid w:val="00441893"/>
    <w:rsid w:val="0047171D"/>
    <w:rsid w:val="00486D5F"/>
    <w:rsid w:val="004C03F2"/>
    <w:rsid w:val="004C51EE"/>
    <w:rsid w:val="004D4F9D"/>
    <w:rsid w:val="004F662A"/>
    <w:rsid w:val="00546F8E"/>
    <w:rsid w:val="005516CF"/>
    <w:rsid w:val="00551C0B"/>
    <w:rsid w:val="00551CFE"/>
    <w:rsid w:val="00554AF0"/>
    <w:rsid w:val="005910E0"/>
    <w:rsid w:val="00594E20"/>
    <w:rsid w:val="005C5800"/>
    <w:rsid w:val="006108B5"/>
    <w:rsid w:val="00657C18"/>
    <w:rsid w:val="00663F14"/>
    <w:rsid w:val="006B5966"/>
    <w:rsid w:val="006E2C96"/>
    <w:rsid w:val="006F4C3C"/>
    <w:rsid w:val="0074722A"/>
    <w:rsid w:val="00790B71"/>
    <w:rsid w:val="007D523A"/>
    <w:rsid w:val="00823AC2"/>
    <w:rsid w:val="00844882"/>
    <w:rsid w:val="008D5FD1"/>
    <w:rsid w:val="0090664F"/>
    <w:rsid w:val="009225D0"/>
    <w:rsid w:val="00946FC1"/>
    <w:rsid w:val="0095660F"/>
    <w:rsid w:val="009657B9"/>
    <w:rsid w:val="00972E00"/>
    <w:rsid w:val="009834B0"/>
    <w:rsid w:val="00993D48"/>
    <w:rsid w:val="009A3EEE"/>
    <w:rsid w:val="009B52AE"/>
    <w:rsid w:val="00A0227E"/>
    <w:rsid w:val="00A239C6"/>
    <w:rsid w:val="00A36C38"/>
    <w:rsid w:val="00A91995"/>
    <w:rsid w:val="00AD3466"/>
    <w:rsid w:val="00AD4EAE"/>
    <w:rsid w:val="00B0196F"/>
    <w:rsid w:val="00B10D03"/>
    <w:rsid w:val="00B25BCE"/>
    <w:rsid w:val="00B4683B"/>
    <w:rsid w:val="00B47DD3"/>
    <w:rsid w:val="00B5344D"/>
    <w:rsid w:val="00B56A20"/>
    <w:rsid w:val="00B617B0"/>
    <w:rsid w:val="00BA40AB"/>
    <w:rsid w:val="00BB7701"/>
    <w:rsid w:val="00C0675F"/>
    <w:rsid w:val="00C1147E"/>
    <w:rsid w:val="00C855D3"/>
    <w:rsid w:val="00CA691E"/>
    <w:rsid w:val="00CF16F5"/>
    <w:rsid w:val="00D14D3B"/>
    <w:rsid w:val="00D2114A"/>
    <w:rsid w:val="00D249A6"/>
    <w:rsid w:val="00D750C0"/>
    <w:rsid w:val="00E05E04"/>
    <w:rsid w:val="00E113FF"/>
    <w:rsid w:val="00E2470F"/>
    <w:rsid w:val="00E26782"/>
    <w:rsid w:val="00E77CF2"/>
    <w:rsid w:val="00E970D0"/>
    <w:rsid w:val="00EB3E4D"/>
    <w:rsid w:val="00EE5D55"/>
    <w:rsid w:val="00F0644B"/>
    <w:rsid w:val="00F14923"/>
    <w:rsid w:val="00F25E95"/>
    <w:rsid w:val="00F300DC"/>
    <w:rsid w:val="00F4429F"/>
    <w:rsid w:val="00F74450"/>
    <w:rsid w:val="00F75306"/>
    <w:rsid w:val="00F804E6"/>
    <w:rsid w:val="00F87AC9"/>
    <w:rsid w:val="00F90273"/>
    <w:rsid w:val="00FC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0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90273"/>
  </w:style>
  <w:style w:type="paragraph" w:styleId="a5">
    <w:name w:val="Balloon Text"/>
    <w:basedOn w:val="a"/>
    <w:link w:val="Char"/>
    <w:rsid w:val="00B617B0"/>
    <w:rPr>
      <w:rFonts w:ascii="Tahoma" w:hAnsi="Tahoma"/>
      <w:sz w:val="16"/>
      <w:szCs w:val="16"/>
    </w:rPr>
  </w:style>
  <w:style w:type="character" w:customStyle="1" w:styleId="Char">
    <w:name w:val="批注框文本 Char"/>
    <w:link w:val="a5"/>
    <w:rsid w:val="00B617B0"/>
    <w:rPr>
      <w:rFonts w:ascii="Tahoma" w:hAnsi="Tahoma" w:cs="Tahoma"/>
      <w:kern w:val="2"/>
      <w:sz w:val="16"/>
      <w:szCs w:val="16"/>
      <w:lang w:val="en-US" w:eastAsia="zh-CN"/>
    </w:rPr>
  </w:style>
  <w:style w:type="character" w:styleId="a6">
    <w:name w:val="annotation reference"/>
    <w:basedOn w:val="a0"/>
    <w:semiHidden/>
    <w:rsid w:val="00551CFE"/>
    <w:rPr>
      <w:sz w:val="21"/>
      <w:szCs w:val="21"/>
    </w:rPr>
  </w:style>
  <w:style w:type="paragraph" w:styleId="a7">
    <w:name w:val="annotation text"/>
    <w:basedOn w:val="a"/>
    <w:semiHidden/>
    <w:rsid w:val="00551CFE"/>
    <w:pPr>
      <w:jc w:val="left"/>
    </w:pPr>
  </w:style>
  <w:style w:type="paragraph" w:styleId="a8">
    <w:name w:val="annotation subject"/>
    <w:basedOn w:val="a7"/>
    <w:next w:val="a7"/>
    <w:semiHidden/>
    <w:rsid w:val="00551CFE"/>
    <w:rPr>
      <w:b/>
      <w:bCs/>
    </w:rPr>
  </w:style>
  <w:style w:type="paragraph" w:styleId="a9">
    <w:name w:val="header"/>
    <w:basedOn w:val="a"/>
    <w:link w:val="Char0"/>
    <w:rsid w:val="00983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9834B0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0196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0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90273"/>
  </w:style>
  <w:style w:type="paragraph" w:styleId="a5">
    <w:name w:val="Balloon Text"/>
    <w:basedOn w:val="a"/>
    <w:link w:val="Char"/>
    <w:rsid w:val="00B617B0"/>
    <w:rPr>
      <w:rFonts w:ascii="Tahoma" w:hAnsi="Tahoma"/>
      <w:sz w:val="16"/>
      <w:szCs w:val="16"/>
    </w:rPr>
  </w:style>
  <w:style w:type="character" w:customStyle="1" w:styleId="Char">
    <w:name w:val="批注框文本 Char"/>
    <w:link w:val="a5"/>
    <w:rsid w:val="00B617B0"/>
    <w:rPr>
      <w:rFonts w:ascii="Tahoma" w:hAnsi="Tahoma" w:cs="Tahoma"/>
      <w:kern w:val="2"/>
      <w:sz w:val="16"/>
      <w:szCs w:val="16"/>
      <w:lang w:val="en-US" w:eastAsia="zh-CN"/>
    </w:rPr>
  </w:style>
  <w:style w:type="character" w:styleId="a6">
    <w:name w:val="annotation reference"/>
    <w:basedOn w:val="a0"/>
    <w:semiHidden/>
    <w:rsid w:val="00551CFE"/>
    <w:rPr>
      <w:sz w:val="21"/>
      <w:szCs w:val="21"/>
    </w:rPr>
  </w:style>
  <w:style w:type="paragraph" w:styleId="a7">
    <w:name w:val="annotation text"/>
    <w:basedOn w:val="a"/>
    <w:semiHidden/>
    <w:rsid w:val="00551CFE"/>
    <w:pPr>
      <w:jc w:val="left"/>
    </w:pPr>
  </w:style>
  <w:style w:type="paragraph" w:styleId="a8">
    <w:name w:val="annotation subject"/>
    <w:basedOn w:val="a7"/>
    <w:next w:val="a7"/>
    <w:semiHidden/>
    <w:rsid w:val="00551CFE"/>
    <w:rPr>
      <w:b/>
      <w:bCs/>
    </w:rPr>
  </w:style>
  <w:style w:type="paragraph" w:styleId="a9">
    <w:name w:val="header"/>
    <w:basedOn w:val="a"/>
    <w:link w:val="Char0"/>
    <w:rsid w:val="00983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9834B0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019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Epidermal_growth_factor_receptor" TargetMode="External"/><Relationship Id="rId18" Type="http://schemas.openxmlformats.org/officeDocument/2006/relationships/hyperlink" Target="http://en.wikipedia.org/wiki/Angiogenesis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en.wikipedia.org/wiki/Kidney_cance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Monoclonal_antibodies" TargetMode="External"/><Relationship Id="rId17" Type="http://schemas.openxmlformats.org/officeDocument/2006/relationships/hyperlink" Target="http://en.wikipedia.org/wiki/Angiogenesis_inhibitor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Antibody-dependent_cellular_cytotoxicity" TargetMode="External"/><Relationship Id="rId20" Type="http://schemas.openxmlformats.org/officeDocument/2006/relationships/hyperlink" Target="http://en.wikipedia.org/wiki/Glioblastoma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Panitumumab" TargetMode="External"/><Relationship Id="rId24" Type="http://schemas.openxmlformats.org/officeDocument/2006/relationships/hyperlink" Target="http://en.wikipedia.org/wiki/Vascular_endothelial_growth_factor_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IgG2" TargetMode="External"/><Relationship Id="rId23" Type="http://schemas.openxmlformats.org/officeDocument/2006/relationships/hyperlink" Target="http://en.wikipedia.org/wiki/Monoclonal_antibody" TargetMode="External"/><Relationship Id="rId28" Type="http://schemas.openxmlformats.org/officeDocument/2006/relationships/footer" Target="footer1.xml"/><Relationship Id="rId10" Type="http://schemas.openxmlformats.org/officeDocument/2006/relationships/hyperlink" Target="http://en.wikipedia.org/wiki/Cetuximab" TargetMode="External"/><Relationship Id="rId19" Type="http://schemas.openxmlformats.org/officeDocument/2006/relationships/hyperlink" Target="http://en.wikipedia.org/wiki/Colorectal_cancer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linicaltrials.gov/" TargetMode="External"/><Relationship Id="rId14" Type="http://schemas.openxmlformats.org/officeDocument/2006/relationships/hyperlink" Target="http://en.wikipedia.org/wiki/IgG1" TargetMode="External"/><Relationship Id="rId22" Type="http://schemas.openxmlformats.org/officeDocument/2006/relationships/hyperlink" Target="http://en.wikipedia.org/wiki/Ovarian_cancer" TargetMode="External"/><Relationship Id="rId27" Type="http://schemas.openxmlformats.org/officeDocument/2006/relationships/image" Target="media/image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EF7D-906A-4830-9A1D-07C5431F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5690</Words>
  <Characters>32433</Characters>
  <Application>Microsoft Office Word</Application>
  <DocSecurity>0</DocSecurity>
  <Lines>270</Lines>
  <Paragraphs>76</Paragraphs>
  <ScaleCrop>false</ScaleCrop>
  <Company>Lenovo</Company>
  <LinksUpToDate>false</LinksUpToDate>
  <CharactersWithSpaces>38047</CharactersWithSpaces>
  <SharedDoc>false</SharedDoc>
  <HLinks>
    <vt:vector size="102" baseType="variant">
      <vt:variant>
        <vt:i4>3276920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http://en.wikipedia.org/wiki/Vascular_endothelial_growth_factor_A</vt:lpwstr>
      </vt:variant>
      <vt:variant>
        <vt:lpwstr/>
      </vt:variant>
      <vt:variant>
        <vt:i4>4128840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http://en.wikipedia.org/wiki/Monoclonal_antibody</vt:lpwstr>
      </vt:variant>
      <vt:variant>
        <vt:lpwstr/>
      </vt:variant>
      <vt:variant>
        <vt:i4>8257549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http://en.wikipedia.org/wiki/Ovarian_cancer</vt:lpwstr>
      </vt:variant>
      <vt:variant>
        <vt:lpwstr/>
      </vt:variant>
      <vt:variant>
        <vt:i4>5898275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http://en.wikipedia.org/wiki/Kidney_cancer</vt:lpwstr>
      </vt:variant>
      <vt:variant>
        <vt:lpwstr/>
      </vt:variant>
      <vt:variant>
        <vt:i4>720966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http://en.wikipedia.org/wiki/Glioblastoma</vt:lpwstr>
      </vt:variant>
      <vt:variant>
        <vt:lpwstr/>
      </vt:variant>
      <vt:variant>
        <vt:i4>5177376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http://en.wikipedia.org/wiki/Colorectal_cancer</vt:lpwstr>
      </vt:variant>
      <vt:variant>
        <vt:lpwstr/>
      </vt:variant>
      <vt:variant>
        <vt:i4>2031688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http://en.wikipedia.org/wiki/Angiogenesis</vt:lpwstr>
      </vt:variant>
      <vt:variant>
        <vt:lpwstr/>
      </vt:variant>
      <vt:variant>
        <vt:i4>4259884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http://en.wikipedia.org/wiki/Angiogenesis_inhibitor</vt:lpwstr>
      </vt:variant>
      <vt:variant>
        <vt:lpwstr/>
      </vt:variant>
      <vt:variant>
        <vt:i4>7274610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http://en.wikipedia.org/wiki/Antibody-dependent_cellular_cytotoxicity</vt:lpwstr>
      </vt:variant>
      <vt:variant>
        <vt:lpwstr/>
      </vt:variant>
      <vt:variant>
        <vt:i4>1114194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http://en.wikipedia.org/wiki/IgG2</vt:lpwstr>
      </vt:variant>
      <vt:variant>
        <vt:lpwstr/>
      </vt:variant>
      <vt:variant>
        <vt:i4>1114194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http://en.wikipedia.org/wiki/IgG1</vt:lpwstr>
      </vt:variant>
      <vt:variant>
        <vt:lpwstr/>
      </vt:variant>
      <vt:variant>
        <vt:i4>3997761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http://en.wikipedia.org/wiki/Epidermal_growth_factor_receptor</vt:lpwstr>
      </vt:variant>
      <vt:variant>
        <vt:lpwstr/>
      </vt:variant>
      <vt:variant>
        <vt:i4>6029357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http://en.wikipedia.org/wiki/Monoclonal_antibodies</vt:lpwstr>
      </vt:variant>
      <vt:variant>
        <vt:lpwstr/>
      </vt:variant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http://en.wikipedia.org/wiki/Panitumumab</vt:lpwstr>
      </vt:variant>
      <vt:variant>
        <vt:lpwstr/>
      </vt:variant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http://en.wikipedia.org/wiki/Cetuximab</vt:lpwstr>
      </vt:variant>
      <vt:variant>
        <vt:lpwstr/>
      </vt:variant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mailto:qibinsong@163.com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provide language certificate letter by professional English language editing companies (Classification of manuscript language quality evaluation is B)</dc:title>
  <dc:creator>lenovo</dc:creator>
  <cp:lastModifiedBy>LS Ma</cp:lastModifiedBy>
  <cp:revision>2</cp:revision>
  <dcterms:created xsi:type="dcterms:W3CDTF">2014-10-13T23:04:00Z</dcterms:created>
  <dcterms:modified xsi:type="dcterms:W3CDTF">2014-10-13T23:04:00Z</dcterms:modified>
</cp:coreProperties>
</file>