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22" w:rsidRPr="008C0625" w:rsidRDefault="007C6E22" w:rsidP="008C0625">
      <w:pPr>
        <w:spacing w:after="0" w:line="360" w:lineRule="auto"/>
        <w:jc w:val="both"/>
        <w:rPr>
          <w:rFonts w:ascii="Book Antiqua" w:hAnsi="Book Antiqua"/>
          <w:b/>
          <w:i/>
          <w:color w:val="000000" w:themeColor="text1"/>
          <w:sz w:val="24"/>
          <w:szCs w:val="24"/>
          <w:lang w:eastAsia="zh-CN"/>
        </w:rPr>
      </w:pPr>
      <w:r w:rsidRPr="008C0625">
        <w:rPr>
          <w:rFonts w:ascii="Book Antiqua" w:hAnsi="Book Antiqua"/>
          <w:b/>
          <w:color w:val="000000" w:themeColor="text1"/>
          <w:sz w:val="24"/>
          <w:szCs w:val="24"/>
          <w:lang w:eastAsia="zh-CN"/>
        </w:rPr>
        <w:t xml:space="preserve">Name of journal: </w:t>
      </w:r>
      <w:r w:rsidRPr="008C0625">
        <w:rPr>
          <w:rFonts w:ascii="Book Antiqua" w:hAnsi="Book Antiqua"/>
          <w:b/>
          <w:i/>
          <w:color w:val="000000" w:themeColor="text1"/>
          <w:sz w:val="24"/>
          <w:szCs w:val="24"/>
          <w:lang w:eastAsia="zh-CN"/>
        </w:rPr>
        <w:t>World Journal of Nephrology</w:t>
      </w:r>
    </w:p>
    <w:p w:rsidR="007C6E22" w:rsidRPr="008C0625" w:rsidRDefault="007C6E22" w:rsidP="008C0625">
      <w:pPr>
        <w:spacing w:after="0" w:line="360" w:lineRule="auto"/>
        <w:jc w:val="both"/>
        <w:rPr>
          <w:rFonts w:ascii="Book Antiqua" w:hAnsi="Book Antiqua"/>
          <w:b/>
          <w:color w:val="000000" w:themeColor="text1"/>
          <w:sz w:val="24"/>
          <w:szCs w:val="24"/>
          <w:lang w:eastAsia="zh-CN"/>
        </w:rPr>
      </w:pPr>
      <w:r w:rsidRPr="008C0625">
        <w:rPr>
          <w:rFonts w:ascii="Book Antiqua" w:hAnsi="Book Antiqua"/>
          <w:b/>
          <w:color w:val="000000" w:themeColor="text1"/>
          <w:sz w:val="24"/>
          <w:szCs w:val="24"/>
          <w:lang w:eastAsia="zh-CN"/>
        </w:rPr>
        <w:t>ESPS Manuscript NO: 12768</w:t>
      </w:r>
    </w:p>
    <w:p w:rsidR="007C6E22" w:rsidRPr="008C0625" w:rsidRDefault="007C6E22" w:rsidP="008C0625">
      <w:pPr>
        <w:spacing w:after="0" w:line="360" w:lineRule="auto"/>
        <w:jc w:val="both"/>
        <w:rPr>
          <w:rFonts w:ascii="Book Antiqua" w:hAnsi="Book Antiqua"/>
          <w:b/>
          <w:color w:val="000000" w:themeColor="text1"/>
          <w:sz w:val="24"/>
          <w:szCs w:val="24"/>
          <w:lang w:eastAsia="zh-CN"/>
        </w:rPr>
      </w:pPr>
      <w:r w:rsidRPr="008C0625">
        <w:rPr>
          <w:rFonts w:ascii="Book Antiqua" w:hAnsi="Book Antiqua"/>
          <w:b/>
          <w:color w:val="000000" w:themeColor="text1"/>
          <w:sz w:val="24"/>
          <w:szCs w:val="24"/>
          <w:lang w:eastAsia="zh-CN"/>
        </w:rPr>
        <w:t>Columns: MINIREVIEWS</w:t>
      </w:r>
    </w:p>
    <w:p w:rsidR="007C6E22" w:rsidRPr="008C0625" w:rsidRDefault="007C6E22" w:rsidP="008C0625">
      <w:pPr>
        <w:spacing w:after="0" w:line="360" w:lineRule="auto"/>
        <w:jc w:val="both"/>
        <w:rPr>
          <w:rFonts w:ascii="Book Antiqua" w:hAnsi="Book Antiqua"/>
          <w:b/>
          <w:color w:val="000000" w:themeColor="text1"/>
          <w:sz w:val="24"/>
          <w:szCs w:val="24"/>
          <w:lang w:eastAsia="zh-CN"/>
        </w:rPr>
      </w:pPr>
    </w:p>
    <w:p w:rsidR="009147C1" w:rsidRPr="008C0625" w:rsidRDefault="009147C1" w:rsidP="008C0625">
      <w:pPr>
        <w:spacing w:after="0" w:line="360" w:lineRule="auto"/>
        <w:jc w:val="both"/>
        <w:rPr>
          <w:rFonts w:ascii="Book Antiqua" w:hAnsi="Book Antiqua"/>
          <w:b/>
          <w:color w:val="000000" w:themeColor="text1"/>
          <w:sz w:val="24"/>
          <w:szCs w:val="24"/>
        </w:rPr>
      </w:pPr>
      <w:r w:rsidRPr="008C0625">
        <w:rPr>
          <w:rFonts w:ascii="Book Antiqua" w:hAnsi="Book Antiqua"/>
          <w:b/>
          <w:color w:val="000000" w:themeColor="text1"/>
          <w:sz w:val="24"/>
          <w:szCs w:val="24"/>
        </w:rPr>
        <w:t>Evidence-based medicine: An update on treatments for peritoneal dialysis-related peritonitis</w:t>
      </w:r>
    </w:p>
    <w:p w:rsidR="009147C1" w:rsidRPr="008C0625" w:rsidRDefault="009147C1" w:rsidP="008C0625">
      <w:pPr>
        <w:spacing w:after="0" w:line="360" w:lineRule="auto"/>
        <w:jc w:val="both"/>
        <w:rPr>
          <w:rFonts w:ascii="Book Antiqua" w:hAnsi="Book Antiqua"/>
          <w:b/>
          <w:color w:val="000000" w:themeColor="text1"/>
          <w:sz w:val="24"/>
          <w:szCs w:val="24"/>
        </w:rPr>
      </w:pPr>
    </w:p>
    <w:p w:rsidR="009147C1" w:rsidRPr="008C0625" w:rsidRDefault="007C6E22"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lang w:eastAsia="zh-CN"/>
        </w:rPr>
        <w:t>Barretti</w:t>
      </w:r>
      <w:r w:rsidRPr="008C0625">
        <w:rPr>
          <w:rFonts w:ascii="Book Antiqua" w:hAnsi="Book Antiqua"/>
          <w:color w:val="000000" w:themeColor="text1"/>
          <w:sz w:val="24"/>
          <w:szCs w:val="24"/>
        </w:rPr>
        <w:t xml:space="preserve"> </w:t>
      </w:r>
      <w:r w:rsidRPr="008C0625">
        <w:rPr>
          <w:rFonts w:ascii="Book Antiqua" w:hAnsi="Book Antiqua"/>
          <w:color w:val="000000" w:themeColor="text1"/>
          <w:sz w:val="24"/>
          <w:szCs w:val="24"/>
          <w:lang w:eastAsia="zh-CN"/>
        </w:rPr>
        <w:t xml:space="preserve">P </w:t>
      </w:r>
      <w:r w:rsidRPr="008C0625">
        <w:rPr>
          <w:rFonts w:ascii="Book Antiqua" w:hAnsi="Book Antiqua"/>
          <w:i/>
          <w:color w:val="000000" w:themeColor="text1"/>
          <w:sz w:val="24"/>
          <w:szCs w:val="24"/>
          <w:lang w:eastAsia="zh-CN"/>
        </w:rPr>
        <w:t>et al</w:t>
      </w:r>
      <w:r w:rsidRPr="008C0625">
        <w:rPr>
          <w:rFonts w:ascii="Book Antiqua" w:hAnsi="Book Antiqua"/>
          <w:color w:val="000000" w:themeColor="text1"/>
          <w:sz w:val="24"/>
          <w:szCs w:val="24"/>
          <w:lang w:eastAsia="zh-CN"/>
        </w:rPr>
        <w:t xml:space="preserve">. </w:t>
      </w:r>
      <w:r w:rsidR="009147C1" w:rsidRPr="008C0625">
        <w:rPr>
          <w:rFonts w:ascii="Book Antiqua" w:hAnsi="Book Antiqua"/>
          <w:color w:val="000000" w:themeColor="text1"/>
          <w:sz w:val="24"/>
          <w:szCs w:val="24"/>
        </w:rPr>
        <w:t>A review on peritoneal dialysis-related peritonitis</w:t>
      </w:r>
      <w:r w:rsidR="00AA0E23" w:rsidRPr="008C0625">
        <w:rPr>
          <w:rFonts w:ascii="Book Antiqua" w:hAnsi="Book Antiqua"/>
          <w:color w:val="000000" w:themeColor="text1"/>
          <w:sz w:val="24"/>
          <w:szCs w:val="24"/>
        </w:rPr>
        <w:t xml:space="preserve"> treatment</w:t>
      </w:r>
    </w:p>
    <w:p w:rsidR="009147C1" w:rsidRPr="008C0625" w:rsidRDefault="009147C1" w:rsidP="008C0625">
      <w:pPr>
        <w:spacing w:after="0" w:line="360" w:lineRule="auto"/>
        <w:jc w:val="both"/>
        <w:rPr>
          <w:rFonts w:ascii="Book Antiqua" w:hAnsi="Book Antiqua"/>
          <w:b/>
          <w:color w:val="000000" w:themeColor="text1"/>
          <w:sz w:val="24"/>
          <w:szCs w:val="24"/>
          <w:lang w:eastAsia="zh-CN"/>
        </w:rPr>
      </w:pPr>
    </w:p>
    <w:p w:rsidR="007C6E22" w:rsidRPr="008C0625" w:rsidRDefault="007C6E22" w:rsidP="008C0625">
      <w:pPr>
        <w:spacing w:after="0" w:line="360" w:lineRule="auto"/>
        <w:jc w:val="both"/>
        <w:rPr>
          <w:rFonts w:ascii="Book Antiqua" w:hAnsi="Book Antiqua"/>
          <w:color w:val="000000" w:themeColor="text1"/>
          <w:sz w:val="24"/>
          <w:szCs w:val="24"/>
          <w:lang w:val="pt-BR" w:eastAsia="zh-CN"/>
        </w:rPr>
      </w:pPr>
      <w:r w:rsidRPr="008C0625">
        <w:rPr>
          <w:rFonts w:ascii="Book Antiqua" w:hAnsi="Book Antiqua"/>
          <w:color w:val="000000" w:themeColor="text1"/>
          <w:sz w:val="24"/>
          <w:szCs w:val="24"/>
          <w:lang w:val="pt-BR" w:eastAsia="zh-CN"/>
        </w:rPr>
        <w:t>Pasqual Barretti, João Vitor Pereira Doles, Douglas Gonçalves Pinotti, Regina Paolucci El Dib</w:t>
      </w:r>
    </w:p>
    <w:p w:rsidR="007C6E22" w:rsidRPr="008C0625" w:rsidRDefault="007C6E22" w:rsidP="008C0625">
      <w:pPr>
        <w:spacing w:after="0" w:line="360" w:lineRule="auto"/>
        <w:jc w:val="both"/>
        <w:rPr>
          <w:rFonts w:ascii="Book Antiqua" w:hAnsi="Book Antiqua"/>
          <w:b/>
          <w:color w:val="000000" w:themeColor="text1"/>
          <w:sz w:val="24"/>
          <w:szCs w:val="24"/>
          <w:lang w:val="pt-BR" w:eastAsia="zh-CN"/>
        </w:rPr>
      </w:pPr>
    </w:p>
    <w:p w:rsidR="009147C1" w:rsidRPr="008C0625" w:rsidRDefault="009147C1" w:rsidP="008C0625">
      <w:pPr>
        <w:spacing w:after="0" w:line="360" w:lineRule="auto"/>
        <w:jc w:val="both"/>
        <w:rPr>
          <w:rFonts w:ascii="Book Antiqua" w:hAnsi="Book Antiqua"/>
          <w:color w:val="000000" w:themeColor="text1"/>
          <w:sz w:val="24"/>
          <w:szCs w:val="24"/>
          <w:lang w:eastAsia="zh-CN"/>
        </w:rPr>
      </w:pPr>
      <w:r w:rsidRPr="008C0625">
        <w:rPr>
          <w:rFonts w:ascii="Book Antiqua" w:hAnsi="Book Antiqua"/>
          <w:b/>
          <w:color w:val="000000" w:themeColor="text1"/>
          <w:sz w:val="24"/>
          <w:szCs w:val="24"/>
        </w:rPr>
        <w:t>Pasqual Barretti,</w:t>
      </w:r>
      <w:r w:rsidRPr="008C0625">
        <w:rPr>
          <w:rFonts w:ascii="Book Antiqua" w:hAnsi="Book Antiqua"/>
          <w:color w:val="000000" w:themeColor="text1"/>
          <w:sz w:val="24"/>
          <w:szCs w:val="24"/>
        </w:rPr>
        <w:t xml:space="preserve"> Department of Internal Medicine, Botucatu Medical School, UNESP, </w:t>
      </w:r>
      <w:r w:rsidR="008C0625" w:rsidRPr="008C0625">
        <w:rPr>
          <w:rFonts w:ascii="Book Antiqua" w:hAnsi="Book Antiqua"/>
          <w:color w:val="000000" w:themeColor="text1"/>
          <w:sz w:val="24"/>
          <w:szCs w:val="24"/>
        </w:rPr>
        <w:t>18618000</w:t>
      </w:r>
      <w:r w:rsidRPr="008C0625">
        <w:rPr>
          <w:rFonts w:ascii="Book Antiqua" w:hAnsi="Book Antiqua"/>
          <w:color w:val="000000" w:themeColor="text1"/>
          <w:sz w:val="24"/>
          <w:szCs w:val="24"/>
        </w:rPr>
        <w:t>Botucatu, Sao Paulo, Brazil</w:t>
      </w:r>
    </w:p>
    <w:p w:rsidR="008C0625" w:rsidRPr="008C0625" w:rsidRDefault="008C0625" w:rsidP="008C0625">
      <w:pPr>
        <w:spacing w:after="0" w:line="360" w:lineRule="auto"/>
        <w:jc w:val="both"/>
        <w:rPr>
          <w:rFonts w:ascii="Book Antiqua" w:hAnsi="Book Antiqua"/>
          <w:color w:val="000000" w:themeColor="text1"/>
          <w:sz w:val="24"/>
          <w:szCs w:val="24"/>
          <w:lang w:eastAsia="zh-CN"/>
        </w:rPr>
      </w:pPr>
    </w:p>
    <w:p w:rsidR="009147C1" w:rsidRPr="008C0625" w:rsidRDefault="009147C1" w:rsidP="008C0625">
      <w:pPr>
        <w:spacing w:after="0" w:line="360" w:lineRule="auto"/>
        <w:jc w:val="both"/>
        <w:rPr>
          <w:rFonts w:ascii="Book Antiqua" w:hAnsi="Book Antiqua"/>
          <w:color w:val="000000" w:themeColor="text1"/>
          <w:sz w:val="24"/>
          <w:szCs w:val="24"/>
          <w:lang w:val="pt-BR" w:eastAsia="zh-CN"/>
        </w:rPr>
      </w:pPr>
      <w:r w:rsidRPr="008C0625">
        <w:rPr>
          <w:rFonts w:ascii="Book Antiqua" w:hAnsi="Book Antiqua"/>
          <w:b/>
          <w:color w:val="000000" w:themeColor="text1"/>
          <w:sz w:val="24"/>
          <w:szCs w:val="24"/>
          <w:lang w:val="pt-BR"/>
        </w:rPr>
        <w:t>Joao Vitor Pereira Doles,</w:t>
      </w:r>
      <w:r w:rsidRPr="008C0625">
        <w:rPr>
          <w:rFonts w:ascii="Book Antiqua" w:hAnsi="Book Antiqua"/>
          <w:color w:val="000000" w:themeColor="text1"/>
          <w:sz w:val="24"/>
          <w:szCs w:val="24"/>
          <w:lang w:val="pt-BR"/>
        </w:rPr>
        <w:t xml:space="preserve"> </w:t>
      </w:r>
      <w:r w:rsidR="007C6E22" w:rsidRPr="008C0625">
        <w:rPr>
          <w:rFonts w:ascii="Book Antiqua" w:hAnsi="Book Antiqua"/>
          <w:b/>
          <w:color w:val="000000" w:themeColor="text1"/>
          <w:sz w:val="24"/>
          <w:szCs w:val="24"/>
          <w:lang w:val="pt-BR"/>
        </w:rPr>
        <w:t>Douglas Gonçalves Pinotti,</w:t>
      </w:r>
      <w:r w:rsidRPr="008C0625">
        <w:rPr>
          <w:rFonts w:ascii="Book Antiqua" w:hAnsi="Book Antiqua"/>
          <w:color w:val="000000" w:themeColor="text1"/>
          <w:sz w:val="24"/>
          <w:szCs w:val="24"/>
          <w:lang w:val="pt-BR"/>
        </w:rPr>
        <w:t xml:space="preserve">Botucatu Medical School, UNESP, </w:t>
      </w:r>
      <w:r w:rsidR="008C0625" w:rsidRPr="008C0625">
        <w:rPr>
          <w:rFonts w:ascii="Book Antiqua" w:hAnsi="Book Antiqua"/>
          <w:color w:val="000000" w:themeColor="text1"/>
          <w:sz w:val="24"/>
          <w:szCs w:val="24"/>
          <w:lang w:val="pt-BR"/>
        </w:rPr>
        <w:t>18618000</w:t>
      </w:r>
      <w:r w:rsidR="008C0625" w:rsidRPr="008C0625">
        <w:rPr>
          <w:rFonts w:ascii="Book Antiqua" w:hAnsi="Book Antiqua"/>
          <w:color w:val="000000" w:themeColor="text1"/>
          <w:sz w:val="24"/>
          <w:szCs w:val="24"/>
          <w:lang w:val="pt-BR" w:eastAsia="zh-CN"/>
        </w:rPr>
        <w:t xml:space="preserve"> </w:t>
      </w:r>
      <w:r w:rsidRPr="008C0625">
        <w:rPr>
          <w:rFonts w:ascii="Book Antiqua" w:hAnsi="Book Antiqua"/>
          <w:color w:val="000000" w:themeColor="text1"/>
          <w:sz w:val="24"/>
          <w:szCs w:val="24"/>
          <w:lang w:val="pt-BR"/>
        </w:rPr>
        <w:t>Botucatu, Sao Paulo, Brazil</w:t>
      </w:r>
    </w:p>
    <w:p w:rsidR="008C0625" w:rsidRPr="008C0625" w:rsidRDefault="008C0625" w:rsidP="008C0625">
      <w:pPr>
        <w:spacing w:after="0" w:line="360" w:lineRule="auto"/>
        <w:jc w:val="both"/>
        <w:rPr>
          <w:rFonts w:ascii="Book Antiqua" w:hAnsi="Book Antiqua"/>
          <w:color w:val="000000" w:themeColor="text1"/>
          <w:sz w:val="24"/>
          <w:szCs w:val="24"/>
          <w:lang w:val="pt-BR" w:eastAsia="zh-CN"/>
        </w:rPr>
      </w:pPr>
    </w:p>
    <w:p w:rsidR="009147C1" w:rsidRPr="008C0625" w:rsidRDefault="009147C1" w:rsidP="008C0625">
      <w:pPr>
        <w:spacing w:after="0" w:line="360" w:lineRule="auto"/>
        <w:jc w:val="both"/>
        <w:rPr>
          <w:rFonts w:ascii="Book Antiqua" w:hAnsi="Book Antiqua"/>
          <w:color w:val="000000" w:themeColor="text1"/>
          <w:sz w:val="24"/>
          <w:szCs w:val="24"/>
        </w:rPr>
      </w:pPr>
      <w:r w:rsidRPr="008C0625">
        <w:rPr>
          <w:rFonts w:ascii="Book Antiqua" w:hAnsi="Book Antiqua"/>
          <w:b/>
          <w:color w:val="000000" w:themeColor="text1"/>
          <w:sz w:val="24"/>
          <w:szCs w:val="24"/>
        </w:rPr>
        <w:t>Regina Paolucci El Dib,</w:t>
      </w:r>
      <w:r w:rsidRPr="008C0625">
        <w:rPr>
          <w:rFonts w:ascii="Book Antiqua" w:hAnsi="Book Antiqua"/>
          <w:color w:val="000000" w:themeColor="text1"/>
          <w:sz w:val="24"/>
          <w:szCs w:val="24"/>
        </w:rPr>
        <w:t xml:space="preserve"> Department of</w:t>
      </w:r>
      <w:r w:rsidR="007C6E22" w:rsidRPr="008C0625">
        <w:rPr>
          <w:rFonts w:ascii="Book Antiqua" w:hAnsi="Book Antiqua"/>
          <w:color w:val="000000" w:themeColor="text1"/>
          <w:sz w:val="24"/>
          <w:szCs w:val="24"/>
        </w:rPr>
        <w:t xml:space="preserve"> </w:t>
      </w:r>
      <w:r w:rsidRPr="008C0625">
        <w:rPr>
          <w:rFonts w:ascii="Book Antiqua" w:hAnsi="Book Antiqua"/>
          <w:color w:val="000000" w:themeColor="text1"/>
          <w:sz w:val="24"/>
          <w:szCs w:val="24"/>
        </w:rPr>
        <w:t>Anesthesiology, Botucatu Medical School, UNESP,</w:t>
      </w:r>
      <w:r w:rsidR="008C0625" w:rsidRPr="008C0625">
        <w:rPr>
          <w:rFonts w:ascii="Book Antiqua" w:hAnsi="Book Antiqua"/>
          <w:color w:val="000000" w:themeColor="text1"/>
          <w:sz w:val="24"/>
          <w:szCs w:val="24"/>
        </w:rPr>
        <w:t xml:space="preserve"> 18618000</w:t>
      </w:r>
      <w:r w:rsidRPr="008C0625">
        <w:rPr>
          <w:rFonts w:ascii="Book Antiqua" w:hAnsi="Book Antiqua"/>
          <w:color w:val="000000" w:themeColor="text1"/>
          <w:sz w:val="24"/>
          <w:szCs w:val="24"/>
        </w:rPr>
        <w:t xml:space="preserve"> Botucatu, Sao Paulo, Brazil</w:t>
      </w:r>
    </w:p>
    <w:p w:rsidR="009147C1" w:rsidRPr="008C0625" w:rsidRDefault="009147C1" w:rsidP="008C0625">
      <w:pPr>
        <w:spacing w:after="0" w:line="360" w:lineRule="auto"/>
        <w:jc w:val="both"/>
        <w:rPr>
          <w:rFonts w:ascii="Book Antiqua" w:hAnsi="Book Antiqua"/>
          <w:color w:val="000000" w:themeColor="text1"/>
          <w:sz w:val="24"/>
          <w:szCs w:val="24"/>
        </w:rPr>
      </w:pPr>
    </w:p>
    <w:p w:rsidR="009147C1" w:rsidRPr="008C0625" w:rsidRDefault="009147C1" w:rsidP="008C0625">
      <w:pPr>
        <w:spacing w:after="0" w:line="360" w:lineRule="auto"/>
        <w:jc w:val="both"/>
        <w:rPr>
          <w:rFonts w:ascii="Book Antiqua" w:hAnsi="Book Antiqua"/>
          <w:color w:val="000000" w:themeColor="text1"/>
          <w:sz w:val="24"/>
          <w:szCs w:val="24"/>
        </w:rPr>
      </w:pPr>
      <w:r w:rsidRPr="008C0625">
        <w:rPr>
          <w:rFonts w:ascii="Book Antiqua" w:hAnsi="Book Antiqua"/>
          <w:b/>
          <w:color w:val="000000" w:themeColor="text1"/>
          <w:sz w:val="24"/>
          <w:szCs w:val="24"/>
        </w:rPr>
        <w:t>Author contribution</w:t>
      </w:r>
      <w:r w:rsidR="007C6E22" w:rsidRPr="008C0625">
        <w:rPr>
          <w:rFonts w:ascii="Book Antiqua" w:hAnsi="Book Antiqua"/>
          <w:b/>
          <w:color w:val="000000" w:themeColor="text1"/>
          <w:sz w:val="24"/>
          <w:szCs w:val="24"/>
          <w:lang w:eastAsia="zh-CN"/>
        </w:rPr>
        <w:t>s</w:t>
      </w:r>
      <w:r w:rsidRPr="008C0625">
        <w:rPr>
          <w:rFonts w:ascii="Book Antiqua" w:hAnsi="Book Antiqua"/>
          <w:b/>
          <w:color w:val="000000" w:themeColor="text1"/>
          <w:sz w:val="24"/>
          <w:szCs w:val="24"/>
        </w:rPr>
        <w:t>:</w:t>
      </w:r>
      <w:r w:rsidR="007C6E22" w:rsidRPr="008C0625">
        <w:rPr>
          <w:rFonts w:ascii="Book Antiqua" w:hAnsi="Book Antiqua"/>
          <w:b/>
          <w:color w:val="000000" w:themeColor="text1"/>
          <w:sz w:val="24"/>
          <w:szCs w:val="24"/>
        </w:rPr>
        <w:t xml:space="preserve"> </w:t>
      </w:r>
      <w:r w:rsidR="00EE42F3" w:rsidRPr="008C0625">
        <w:rPr>
          <w:rFonts w:ascii="Book Antiqua" w:hAnsi="Book Antiqua"/>
          <w:color w:val="000000" w:themeColor="text1"/>
          <w:sz w:val="24"/>
          <w:szCs w:val="24"/>
          <w:lang w:val="pt-BR" w:eastAsia="zh-CN"/>
        </w:rPr>
        <w:t>Vitor Pereira Doles</w:t>
      </w:r>
      <w:r w:rsidR="00EE42F3" w:rsidRPr="008C0625">
        <w:rPr>
          <w:rFonts w:ascii="Book Antiqua" w:hAnsi="Book Antiqua"/>
          <w:color w:val="000000" w:themeColor="text1"/>
          <w:sz w:val="24"/>
          <w:szCs w:val="24"/>
        </w:rPr>
        <w:t xml:space="preserve"> </w:t>
      </w:r>
      <w:r w:rsidRPr="008C0625">
        <w:rPr>
          <w:rFonts w:ascii="Book Antiqua" w:hAnsi="Book Antiqua"/>
          <w:color w:val="000000" w:themeColor="text1"/>
          <w:sz w:val="24"/>
          <w:szCs w:val="24"/>
        </w:rPr>
        <w:t>J extracted the data from case series studies.</w:t>
      </w:r>
      <w:r w:rsidR="00EE42F3" w:rsidRPr="008C0625">
        <w:rPr>
          <w:rFonts w:ascii="Book Antiqua" w:hAnsi="Book Antiqua"/>
          <w:color w:val="000000" w:themeColor="text1"/>
          <w:sz w:val="24"/>
          <w:szCs w:val="24"/>
          <w:lang w:val="pt-BR" w:eastAsia="zh-CN"/>
        </w:rPr>
        <w:t xml:space="preserve"> Pinotti</w:t>
      </w:r>
      <w:r w:rsidRPr="008C0625">
        <w:rPr>
          <w:rFonts w:ascii="Book Antiqua" w:hAnsi="Book Antiqua"/>
          <w:color w:val="000000" w:themeColor="text1"/>
          <w:sz w:val="24"/>
          <w:szCs w:val="24"/>
        </w:rPr>
        <w:t xml:space="preserve"> DG helped extract from RCT studies. </w:t>
      </w:r>
      <w:r w:rsidR="00EE42F3" w:rsidRPr="008C0625">
        <w:rPr>
          <w:rFonts w:ascii="Book Antiqua" w:hAnsi="Book Antiqua"/>
          <w:color w:val="000000" w:themeColor="text1"/>
          <w:sz w:val="24"/>
          <w:szCs w:val="24"/>
          <w:lang w:val="pt-BR" w:eastAsia="zh-CN"/>
        </w:rPr>
        <w:t>El Dib R</w:t>
      </w:r>
      <w:r w:rsidR="008C0625" w:rsidRPr="008C0625">
        <w:rPr>
          <w:rFonts w:ascii="Book Antiqua" w:hAnsi="Book Antiqua"/>
          <w:color w:val="000000" w:themeColor="text1"/>
          <w:sz w:val="24"/>
          <w:szCs w:val="24"/>
          <w:lang w:val="pt-BR" w:eastAsia="zh-CN"/>
        </w:rPr>
        <w:t>P</w:t>
      </w:r>
      <w:r w:rsidRPr="008C0625">
        <w:rPr>
          <w:rFonts w:ascii="Book Antiqua" w:hAnsi="Book Antiqua"/>
          <w:color w:val="000000" w:themeColor="text1"/>
          <w:sz w:val="24"/>
          <w:szCs w:val="24"/>
        </w:rPr>
        <w:t xml:space="preserve"> wrote the initial draft of the paper.</w:t>
      </w:r>
      <w:r w:rsidR="00EE42F3" w:rsidRPr="008C0625">
        <w:rPr>
          <w:rFonts w:ascii="Book Antiqua" w:hAnsi="Book Antiqua"/>
          <w:color w:val="000000" w:themeColor="text1"/>
          <w:sz w:val="24"/>
          <w:szCs w:val="24"/>
          <w:lang w:eastAsia="zh-CN"/>
        </w:rPr>
        <w:t xml:space="preserve"> Barretti</w:t>
      </w:r>
      <w:r w:rsidRPr="008C0625">
        <w:rPr>
          <w:rFonts w:ascii="Book Antiqua" w:hAnsi="Book Antiqua"/>
          <w:color w:val="000000" w:themeColor="text1"/>
          <w:sz w:val="24"/>
          <w:szCs w:val="24"/>
        </w:rPr>
        <w:t xml:space="preserve"> P extracted data from narrative reviews, reviewed the draft of the paper, and wrote the final version. </w:t>
      </w:r>
    </w:p>
    <w:p w:rsidR="009147C1" w:rsidRPr="008C0625" w:rsidRDefault="009147C1" w:rsidP="008C0625">
      <w:pPr>
        <w:spacing w:after="0" w:line="360" w:lineRule="auto"/>
        <w:jc w:val="both"/>
        <w:rPr>
          <w:rFonts w:ascii="Book Antiqua" w:hAnsi="Book Antiqua"/>
          <w:b/>
          <w:color w:val="000000" w:themeColor="text1"/>
          <w:sz w:val="24"/>
          <w:szCs w:val="24"/>
          <w:lang w:eastAsia="zh-CN"/>
        </w:rPr>
      </w:pPr>
    </w:p>
    <w:p w:rsidR="008C0625" w:rsidRPr="008C0625" w:rsidRDefault="008C0625" w:rsidP="008C0625">
      <w:pPr>
        <w:pStyle w:val="BodyTextIndent"/>
        <w:spacing w:after="0" w:line="360" w:lineRule="auto"/>
        <w:ind w:leftChars="0" w:left="0"/>
        <w:rPr>
          <w:rFonts w:eastAsia="宋体"/>
          <w:sz w:val="24"/>
          <w:szCs w:val="24"/>
          <w:lang w:eastAsia="zh-CN"/>
        </w:rPr>
      </w:pPr>
      <w:r w:rsidRPr="008C0625">
        <w:rPr>
          <w:rFonts w:eastAsia="Times New Roman" w:cs="Gulim"/>
          <w:b/>
          <w:color w:val="000000"/>
          <w:sz w:val="24"/>
          <w:szCs w:val="24"/>
        </w:rPr>
        <w:t>Conflict-of-interest</w:t>
      </w:r>
      <w:r w:rsidRPr="008C0625">
        <w:rPr>
          <w:rFonts w:cs="Gulim"/>
          <w:b/>
          <w:color w:val="000000"/>
          <w:sz w:val="24"/>
          <w:szCs w:val="24"/>
          <w:lang w:eastAsia="zh-CN"/>
        </w:rPr>
        <w:t>:</w:t>
      </w:r>
      <w:r w:rsidRPr="008C0625">
        <w:rPr>
          <w:rFonts w:eastAsia="宋体" w:cs="Gulim"/>
          <w:b/>
          <w:color w:val="000000"/>
          <w:sz w:val="24"/>
          <w:szCs w:val="24"/>
          <w:lang w:eastAsia="zh-CN"/>
        </w:rPr>
        <w:t xml:space="preserve"> </w:t>
      </w:r>
      <w:r w:rsidRPr="008C0625">
        <w:rPr>
          <w:sz w:val="24"/>
          <w:szCs w:val="24"/>
        </w:rPr>
        <w:t>The authors declare no conflict of interest.</w:t>
      </w:r>
    </w:p>
    <w:p w:rsidR="008C0625" w:rsidRPr="008C0625" w:rsidRDefault="008C0625" w:rsidP="008C0625">
      <w:pPr>
        <w:pStyle w:val="CommentText"/>
        <w:adjustRightInd w:val="0"/>
        <w:snapToGrid w:val="0"/>
        <w:spacing w:after="0" w:line="360" w:lineRule="auto"/>
        <w:jc w:val="both"/>
        <w:rPr>
          <w:rFonts w:ascii="Book Antiqua" w:hAnsi="Book Antiqua" w:cs="Gulim"/>
          <w:b/>
          <w:color w:val="000000"/>
          <w:sz w:val="24"/>
          <w:szCs w:val="24"/>
          <w:lang w:eastAsia="zh-CN"/>
        </w:rPr>
      </w:pPr>
      <w:r w:rsidRPr="008C0625">
        <w:rPr>
          <w:rFonts w:ascii="Book Antiqua" w:eastAsia="Times New Roman" w:hAnsi="Book Antiqua" w:cs="Gulim"/>
          <w:b/>
          <w:color w:val="000000"/>
          <w:sz w:val="24"/>
          <w:szCs w:val="24"/>
        </w:rPr>
        <w:t xml:space="preserve"> </w:t>
      </w:r>
    </w:p>
    <w:p w:rsidR="008C0625" w:rsidRPr="008C0625" w:rsidRDefault="008C0625" w:rsidP="008C0625">
      <w:pPr>
        <w:spacing w:after="0" w:line="360" w:lineRule="auto"/>
        <w:jc w:val="both"/>
        <w:rPr>
          <w:rFonts w:ascii="Book Antiqua" w:hAnsi="Book Antiqua" w:cs="宋体"/>
          <w:sz w:val="24"/>
          <w:szCs w:val="24"/>
        </w:rPr>
      </w:pPr>
      <w:r w:rsidRPr="008C0625">
        <w:rPr>
          <w:rFonts w:ascii="Book Antiqua" w:hAnsi="Book Antiqua"/>
          <w:b/>
          <w:color w:val="000000"/>
          <w:sz w:val="24"/>
          <w:szCs w:val="24"/>
        </w:rPr>
        <w:t xml:space="preserve">Open-Access: </w:t>
      </w:r>
      <w:r w:rsidRPr="008C0625">
        <w:rPr>
          <w:rFonts w:ascii="Book Antiqua" w:hAnsi="Book Antiqua"/>
          <w:color w:val="000000"/>
          <w:sz w:val="24"/>
          <w:szCs w:val="24"/>
        </w:rPr>
        <w:t xml:space="preserve">This article is an </w:t>
      </w:r>
      <w:r w:rsidRPr="008C0625">
        <w:rPr>
          <w:rFonts w:ascii="Book Antiqua" w:hAnsi="Book Antiqua" w:cs="宋体"/>
          <w:sz w:val="24"/>
          <w:szCs w:val="24"/>
        </w:rPr>
        <w:t xml:space="preserve">open-access article which </w:t>
      </w:r>
      <w:r w:rsidRPr="008C0625">
        <w:rPr>
          <w:rFonts w:ascii="Book Antiqua" w:hAnsi="Book Antiqua"/>
          <w:sz w:val="24"/>
          <w:szCs w:val="24"/>
        </w:rPr>
        <w:t xml:space="preserve">selected by an in-house editor and fully peer-reviewed by external reviewers. It </w:t>
      </w:r>
      <w:r w:rsidRPr="008C0625">
        <w:rPr>
          <w:rFonts w:ascii="Book Antiqua" w:hAnsi="Book Antiqua" w:cs="宋体"/>
          <w:sz w:val="24"/>
          <w:szCs w:val="24"/>
        </w:rPr>
        <w:lastRenderedPageBreak/>
        <w:t xml:space="preserve">distributed in accordance with </w:t>
      </w:r>
      <w:r w:rsidRPr="008C0625">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C0625" w:rsidRPr="008C0625" w:rsidRDefault="008C0625" w:rsidP="008C0625">
      <w:pPr>
        <w:spacing w:after="0" w:line="360" w:lineRule="auto"/>
        <w:jc w:val="both"/>
        <w:rPr>
          <w:rFonts w:ascii="Book Antiqua" w:hAnsi="Book Antiqua"/>
          <w:b/>
          <w:color w:val="000000" w:themeColor="text1"/>
          <w:sz w:val="24"/>
          <w:szCs w:val="24"/>
          <w:lang w:eastAsia="zh-CN"/>
        </w:rPr>
      </w:pPr>
    </w:p>
    <w:p w:rsidR="007C6E22" w:rsidRPr="008C0625" w:rsidRDefault="009147C1" w:rsidP="008C0625">
      <w:pPr>
        <w:spacing w:after="0" w:line="360" w:lineRule="auto"/>
        <w:jc w:val="both"/>
        <w:rPr>
          <w:rFonts w:ascii="Book Antiqua" w:hAnsi="Book Antiqua"/>
          <w:color w:val="000000" w:themeColor="text1"/>
          <w:sz w:val="24"/>
          <w:szCs w:val="24"/>
          <w:lang w:val="pt-BR" w:eastAsia="zh-CN"/>
        </w:rPr>
      </w:pPr>
      <w:r w:rsidRPr="008C0625">
        <w:rPr>
          <w:rFonts w:ascii="Book Antiqua" w:hAnsi="Book Antiqua"/>
          <w:b/>
          <w:color w:val="000000" w:themeColor="text1"/>
          <w:sz w:val="24"/>
          <w:szCs w:val="24"/>
        </w:rPr>
        <w:t>Correspondence to:</w:t>
      </w:r>
      <w:r w:rsidR="007C6E22" w:rsidRPr="008C0625">
        <w:rPr>
          <w:rFonts w:ascii="Book Antiqua" w:hAnsi="Book Antiqua"/>
          <w:b/>
          <w:color w:val="000000" w:themeColor="text1"/>
          <w:sz w:val="24"/>
          <w:szCs w:val="24"/>
        </w:rPr>
        <w:t xml:space="preserve"> </w:t>
      </w:r>
      <w:r w:rsidRPr="008C0625">
        <w:rPr>
          <w:rFonts w:ascii="Book Antiqua" w:hAnsi="Book Antiqua"/>
          <w:b/>
          <w:color w:val="000000" w:themeColor="text1"/>
          <w:sz w:val="24"/>
          <w:szCs w:val="24"/>
        </w:rPr>
        <w:t>Pasqual Barretti, MD, PhD, Professor</w:t>
      </w:r>
      <w:r w:rsidR="007C6E22" w:rsidRPr="008C0625">
        <w:rPr>
          <w:rFonts w:ascii="Book Antiqua" w:hAnsi="Book Antiqua"/>
          <w:color w:val="000000" w:themeColor="text1"/>
          <w:sz w:val="24"/>
          <w:szCs w:val="24"/>
          <w:lang w:eastAsia="zh-CN"/>
        </w:rPr>
        <w:t xml:space="preserve">, </w:t>
      </w:r>
      <w:r w:rsidRPr="008C0625">
        <w:rPr>
          <w:rFonts w:ascii="Book Antiqua" w:hAnsi="Book Antiqua"/>
          <w:color w:val="000000" w:themeColor="text1"/>
          <w:sz w:val="24"/>
          <w:szCs w:val="24"/>
        </w:rPr>
        <w:t>Department of Internal Medicine,</w:t>
      </w:r>
      <w:r w:rsidR="008C0625" w:rsidRPr="008C0625">
        <w:rPr>
          <w:rFonts w:ascii="Book Antiqua" w:hAnsi="Book Antiqua"/>
          <w:color w:val="000000" w:themeColor="text1"/>
          <w:sz w:val="24"/>
          <w:szCs w:val="24"/>
        </w:rPr>
        <w:t xml:space="preserve"> Botucatu Medical School</w:t>
      </w:r>
      <w:r w:rsidR="008C0625" w:rsidRPr="008C0625">
        <w:rPr>
          <w:rFonts w:ascii="Book Antiqua" w:hAnsi="Book Antiqua"/>
          <w:color w:val="000000" w:themeColor="text1"/>
          <w:sz w:val="24"/>
          <w:szCs w:val="24"/>
          <w:lang w:eastAsia="zh-CN"/>
        </w:rPr>
        <w:t>,</w:t>
      </w:r>
      <w:r w:rsidR="007C6E22" w:rsidRPr="008C0625">
        <w:rPr>
          <w:rFonts w:ascii="Book Antiqua" w:hAnsi="Book Antiqua"/>
          <w:color w:val="000000" w:themeColor="text1"/>
          <w:sz w:val="24"/>
          <w:szCs w:val="24"/>
        </w:rPr>
        <w:t xml:space="preserve"> </w:t>
      </w:r>
      <w:r w:rsidRPr="008C0625">
        <w:rPr>
          <w:rFonts w:ascii="Book Antiqua" w:hAnsi="Book Antiqua"/>
          <w:color w:val="000000" w:themeColor="text1"/>
          <w:sz w:val="24"/>
          <w:szCs w:val="24"/>
        </w:rPr>
        <w:t xml:space="preserve">Rubiao Jr w/n, </w:t>
      </w:r>
      <w:r w:rsidR="008C0625" w:rsidRPr="008C0625">
        <w:rPr>
          <w:rFonts w:ascii="Book Antiqua" w:hAnsi="Book Antiqua"/>
          <w:color w:val="000000" w:themeColor="text1"/>
          <w:sz w:val="24"/>
          <w:szCs w:val="24"/>
          <w:lang w:val="pt-BR"/>
        </w:rPr>
        <w:t>UNESP, 18618000</w:t>
      </w:r>
      <w:r w:rsidR="008C0625" w:rsidRPr="008C0625">
        <w:rPr>
          <w:rFonts w:ascii="Book Antiqua" w:hAnsi="Book Antiqua"/>
          <w:color w:val="000000" w:themeColor="text1"/>
          <w:sz w:val="24"/>
          <w:szCs w:val="24"/>
          <w:lang w:val="pt-BR" w:eastAsia="zh-CN"/>
        </w:rPr>
        <w:t xml:space="preserve"> </w:t>
      </w:r>
      <w:r w:rsidR="008C0625" w:rsidRPr="008C0625">
        <w:rPr>
          <w:rFonts w:ascii="Book Antiqua" w:hAnsi="Book Antiqua"/>
          <w:color w:val="000000" w:themeColor="text1"/>
          <w:sz w:val="24"/>
          <w:szCs w:val="24"/>
          <w:lang w:val="pt-BR"/>
        </w:rPr>
        <w:t>Botucatu, Sao Paulo, Brazil</w:t>
      </w:r>
      <w:r w:rsidRPr="008C0625">
        <w:rPr>
          <w:rFonts w:ascii="Book Antiqua" w:hAnsi="Book Antiqua"/>
          <w:color w:val="000000" w:themeColor="text1"/>
          <w:sz w:val="24"/>
          <w:szCs w:val="24"/>
        </w:rPr>
        <w:t>.</w:t>
      </w:r>
      <w:r w:rsidR="007C6E22" w:rsidRPr="008C0625">
        <w:rPr>
          <w:rFonts w:ascii="Book Antiqua" w:hAnsi="Book Antiqua"/>
          <w:color w:val="000000" w:themeColor="text1"/>
          <w:sz w:val="24"/>
          <w:szCs w:val="24"/>
          <w:lang w:eastAsia="zh-CN"/>
        </w:rPr>
        <w:t xml:space="preserve"> </w:t>
      </w:r>
      <w:r w:rsidR="007C6E22" w:rsidRPr="008C0625">
        <w:rPr>
          <w:rFonts w:ascii="Book Antiqua" w:hAnsi="Book Antiqua"/>
          <w:color w:val="000000" w:themeColor="text1"/>
          <w:sz w:val="24"/>
          <w:szCs w:val="24"/>
        </w:rPr>
        <w:t xml:space="preserve">pbarretti@uol.com.br </w:t>
      </w:r>
    </w:p>
    <w:p w:rsidR="009147C1" w:rsidRPr="008C0625" w:rsidRDefault="009147C1" w:rsidP="008C0625">
      <w:pPr>
        <w:spacing w:after="0" w:line="360" w:lineRule="auto"/>
        <w:jc w:val="both"/>
        <w:rPr>
          <w:rFonts w:ascii="Book Antiqua" w:hAnsi="Book Antiqua" w:cs="Times New Roman"/>
          <w:b/>
          <w:color w:val="000000" w:themeColor="text1"/>
          <w:sz w:val="24"/>
          <w:szCs w:val="24"/>
          <w:lang w:eastAsia="zh-CN"/>
        </w:rPr>
      </w:pPr>
    </w:p>
    <w:p w:rsidR="003E1020" w:rsidRDefault="009147C1" w:rsidP="008C0625">
      <w:pPr>
        <w:spacing w:after="0" w:line="360" w:lineRule="auto"/>
        <w:jc w:val="both"/>
        <w:rPr>
          <w:rFonts w:ascii="Book Antiqua" w:hAnsi="Book Antiqua" w:cs="Times New Roman"/>
          <w:b/>
          <w:color w:val="000000" w:themeColor="text1"/>
          <w:sz w:val="24"/>
          <w:szCs w:val="24"/>
          <w:lang w:eastAsia="zh-CN"/>
        </w:rPr>
      </w:pPr>
      <w:r w:rsidRPr="008C0625">
        <w:rPr>
          <w:rFonts w:ascii="Book Antiqua" w:hAnsi="Book Antiqua" w:cs="Times New Roman"/>
          <w:b/>
          <w:color w:val="000000" w:themeColor="text1"/>
          <w:sz w:val="24"/>
          <w:szCs w:val="24"/>
        </w:rPr>
        <w:t>Telephone</w:t>
      </w:r>
      <w:r w:rsidR="009418F8" w:rsidRPr="008C0625">
        <w:rPr>
          <w:rFonts w:ascii="Book Antiqua" w:hAnsi="Book Antiqua" w:cs="Times New Roman"/>
          <w:b/>
          <w:color w:val="000000" w:themeColor="text1"/>
          <w:sz w:val="24"/>
          <w:szCs w:val="24"/>
        </w:rPr>
        <w:t>:</w:t>
      </w:r>
      <w:r w:rsidR="009418F8" w:rsidRPr="008C0625">
        <w:rPr>
          <w:rFonts w:ascii="Book Antiqua" w:hAnsi="Book Antiqua" w:cs="Times New Roman"/>
          <w:b/>
          <w:color w:val="000000" w:themeColor="text1"/>
          <w:sz w:val="24"/>
          <w:szCs w:val="24"/>
          <w:lang w:eastAsia="zh-CN"/>
        </w:rPr>
        <w:t xml:space="preserve"> </w:t>
      </w:r>
      <w:r w:rsidRPr="008C0625">
        <w:rPr>
          <w:rFonts w:ascii="Book Antiqua" w:hAnsi="Book Antiqua" w:cs="Times New Roman"/>
          <w:color w:val="000000" w:themeColor="text1"/>
          <w:sz w:val="24"/>
          <w:szCs w:val="24"/>
        </w:rPr>
        <w:t>+55-14-38116005</w:t>
      </w:r>
      <w:r w:rsidR="007C6E22" w:rsidRPr="008C0625">
        <w:rPr>
          <w:rFonts w:ascii="Book Antiqua" w:hAnsi="Book Antiqua" w:cs="Times New Roman"/>
          <w:color w:val="000000" w:themeColor="text1"/>
          <w:sz w:val="24"/>
          <w:szCs w:val="24"/>
          <w:lang w:eastAsia="zh-CN"/>
        </w:rPr>
        <w:t xml:space="preserve"> </w:t>
      </w:r>
      <w:r w:rsidR="007C6E22" w:rsidRPr="008C0625">
        <w:rPr>
          <w:rFonts w:ascii="Book Antiqua" w:hAnsi="Book Antiqua" w:cs="Times New Roman"/>
          <w:b/>
          <w:color w:val="000000" w:themeColor="text1"/>
          <w:sz w:val="24"/>
          <w:szCs w:val="24"/>
          <w:lang w:eastAsia="zh-CN"/>
        </w:rPr>
        <w:t xml:space="preserve"> </w:t>
      </w:r>
      <w:r w:rsidR="009418F8" w:rsidRPr="008C0625">
        <w:rPr>
          <w:rFonts w:ascii="Book Antiqua" w:hAnsi="Book Antiqua" w:cs="Times New Roman"/>
          <w:b/>
          <w:color w:val="000000" w:themeColor="text1"/>
          <w:sz w:val="24"/>
          <w:szCs w:val="24"/>
          <w:lang w:eastAsia="zh-CN"/>
        </w:rPr>
        <w:t xml:space="preserve">   </w:t>
      </w:r>
    </w:p>
    <w:p w:rsidR="008C0625" w:rsidRPr="008C0625" w:rsidRDefault="007C6E22" w:rsidP="008C0625">
      <w:pPr>
        <w:spacing w:after="0" w:line="360" w:lineRule="auto"/>
        <w:jc w:val="both"/>
        <w:rPr>
          <w:rFonts w:ascii="Book Antiqua" w:hAnsi="Book Antiqua" w:cs="Times New Roman"/>
          <w:b/>
          <w:color w:val="000000" w:themeColor="text1"/>
          <w:sz w:val="24"/>
          <w:szCs w:val="24"/>
          <w:lang w:eastAsia="zh-CN"/>
        </w:rPr>
      </w:pPr>
      <w:r w:rsidRPr="008C0625">
        <w:rPr>
          <w:rFonts w:ascii="Book Antiqua" w:hAnsi="Book Antiqua" w:cs="Times New Roman"/>
          <w:b/>
          <w:color w:val="000000" w:themeColor="text1"/>
          <w:sz w:val="24"/>
          <w:szCs w:val="24"/>
        </w:rPr>
        <w:t>Fax</w:t>
      </w:r>
      <w:r w:rsidRPr="008C0625">
        <w:rPr>
          <w:rFonts w:ascii="Book Antiqua" w:hAnsi="Book Antiqua" w:cs="Times New Roman"/>
          <w:b/>
          <w:color w:val="000000" w:themeColor="text1"/>
          <w:sz w:val="24"/>
          <w:szCs w:val="24"/>
          <w:lang w:eastAsia="zh-CN"/>
        </w:rPr>
        <w:t xml:space="preserve">: </w:t>
      </w:r>
      <w:r w:rsidRPr="008C0625">
        <w:rPr>
          <w:rFonts w:ascii="Book Antiqua" w:hAnsi="Book Antiqua" w:cs="Times New Roman"/>
          <w:color w:val="000000" w:themeColor="text1"/>
          <w:sz w:val="24"/>
          <w:szCs w:val="24"/>
        </w:rPr>
        <w:t>+55-14-38116005</w:t>
      </w:r>
    </w:p>
    <w:p w:rsidR="008C0625" w:rsidRPr="008C0625" w:rsidRDefault="008C0625" w:rsidP="008C0625">
      <w:pPr>
        <w:spacing w:after="0" w:line="360" w:lineRule="auto"/>
        <w:jc w:val="both"/>
        <w:rPr>
          <w:rFonts w:ascii="Book Antiqua" w:hAnsi="Book Antiqua"/>
          <w:sz w:val="24"/>
          <w:szCs w:val="24"/>
          <w:lang w:eastAsia="zh-CN"/>
        </w:rPr>
      </w:pPr>
      <w:r>
        <w:rPr>
          <w:rFonts w:ascii="Book Antiqua" w:hAnsi="Book Antiqua"/>
          <w:b/>
          <w:sz w:val="24"/>
          <w:szCs w:val="24"/>
        </w:rPr>
        <w:t>Received:</w:t>
      </w:r>
      <w:r>
        <w:rPr>
          <w:rFonts w:ascii="Book Antiqua" w:hAnsi="Book Antiqua" w:hint="eastAsia"/>
          <w:b/>
          <w:sz w:val="24"/>
          <w:szCs w:val="24"/>
          <w:lang w:eastAsia="zh-CN"/>
        </w:rPr>
        <w:t xml:space="preserve"> </w:t>
      </w:r>
      <w:r w:rsidRPr="008C0625">
        <w:rPr>
          <w:rFonts w:ascii="Book Antiqua" w:hAnsi="Book Antiqua" w:hint="eastAsia"/>
          <w:sz w:val="24"/>
          <w:szCs w:val="24"/>
          <w:lang w:eastAsia="zh-CN"/>
        </w:rPr>
        <w:t>July 24, 2014</w:t>
      </w:r>
    </w:p>
    <w:p w:rsidR="008C0625" w:rsidRPr="008C0625" w:rsidRDefault="008C0625" w:rsidP="008C0625">
      <w:pPr>
        <w:spacing w:after="0" w:line="360" w:lineRule="auto"/>
        <w:jc w:val="both"/>
        <w:rPr>
          <w:rFonts w:ascii="Book Antiqua" w:hAnsi="Book Antiqua"/>
          <w:sz w:val="24"/>
          <w:szCs w:val="24"/>
          <w:lang w:eastAsia="zh-CN"/>
        </w:rPr>
      </w:pPr>
      <w:r w:rsidRPr="008C0625">
        <w:rPr>
          <w:rFonts w:ascii="Book Antiqua" w:hAnsi="Book Antiqua"/>
          <w:b/>
          <w:sz w:val="24"/>
          <w:szCs w:val="24"/>
        </w:rPr>
        <w:t>Peer-review started:</w:t>
      </w:r>
      <w:r>
        <w:rPr>
          <w:rFonts w:ascii="Book Antiqua" w:hAnsi="Book Antiqua" w:hint="eastAsia"/>
          <w:b/>
          <w:sz w:val="24"/>
          <w:szCs w:val="24"/>
          <w:lang w:eastAsia="zh-CN"/>
        </w:rPr>
        <w:t xml:space="preserve"> </w:t>
      </w:r>
      <w:r w:rsidRPr="008C0625">
        <w:rPr>
          <w:rFonts w:ascii="Book Antiqua" w:hAnsi="Book Antiqua" w:hint="eastAsia"/>
          <w:sz w:val="24"/>
          <w:szCs w:val="24"/>
          <w:lang w:eastAsia="zh-CN"/>
        </w:rPr>
        <w:t>July 2</w:t>
      </w:r>
      <w:r>
        <w:rPr>
          <w:rFonts w:ascii="Book Antiqua" w:hAnsi="Book Antiqua" w:hint="eastAsia"/>
          <w:sz w:val="24"/>
          <w:szCs w:val="24"/>
          <w:lang w:eastAsia="zh-CN"/>
        </w:rPr>
        <w:t>5</w:t>
      </w:r>
      <w:r w:rsidRPr="008C0625">
        <w:rPr>
          <w:rFonts w:ascii="Book Antiqua" w:hAnsi="Book Antiqua" w:hint="eastAsia"/>
          <w:sz w:val="24"/>
          <w:szCs w:val="24"/>
          <w:lang w:eastAsia="zh-CN"/>
        </w:rPr>
        <w:t>, 2014</w:t>
      </w:r>
    </w:p>
    <w:p w:rsidR="008C0625" w:rsidRPr="008C0625" w:rsidRDefault="008C0625" w:rsidP="008C0625">
      <w:pPr>
        <w:spacing w:after="0" w:line="360" w:lineRule="auto"/>
        <w:jc w:val="both"/>
        <w:rPr>
          <w:rFonts w:ascii="Book Antiqua" w:hAnsi="Book Antiqua"/>
          <w:b/>
          <w:sz w:val="24"/>
          <w:szCs w:val="24"/>
          <w:lang w:eastAsia="zh-CN"/>
        </w:rPr>
      </w:pPr>
      <w:r w:rsidRPr="008C0625">
        <w:rPr>
          <w:rFonts w:ascii="Book Antiqua" w:hAnsi="Book Antiqua"/>
          <w:b/>
          <w:sz w:val="24"/>
          <w:szCs w:val="24"/>
        </w:rPr>
        <w:t>First decision:</w:t>
      </w:r>
      <w:r>
        <w:rPr>
          <w:rFonts w:ascii="Book Antiqua" w:hAnsi="Book Antiqua" w:hint="eastAsia"/>
          <w:b/>
          <w:sz w:val="24"/>
          <w:szCs w:val="24"/>
          <w:lang w:eastAsia="zh-CN"/>
        </w:rPr>
        <w:t xml:space="preserve"> </w:t>
      </w:r>
      <w:r w:rsidRPr="008C0625">
        <w:rPr>
          <w:rFonts w:ascii="Book Antiqua" w:hAnsi="Book Antiqua"/>
          <w:sz w:val="24"/>
          <w:szCs w:val="24"/>
          <w:lang w:eastAsia="zh-CN"/>
        </w:rPr>
        <w:t>October</w:t>
      </w:r>
      <w:r w:rsidRPr="008C0625">
        <w:rPr>
          <w:rFonts w:ascii="Book Antiqua" w:hAnsi="Book Antiqua" w:hint="eastAsia"/>
          <w:sz w:val="24"/>
          <w:szCs w:val="24"/>
          <w:lang w:eastAsia="zh-CN"/>
        </w:rPr>
        <w:t xml:space="preserve"> 28, 2014</w:t>
      </w:r>
    </w:p>
    <w:p w:rsidR="008C0625" w:rsidRPr="008C0625" w:rsidRDefault="008C0625" w:rsidP="008C0625">
      <w:pPr>
        <w:spacing w:after="0" w:line="360" w:lineRule="auto"/>
        <w:jc w:val="both"/>
        <w:rPr>
          <w:rFonts w:ascii="Book Antiqua" w:hAnsi="Book Antiqua"/>
          <w:b/>
          <w:sz w:val="24"/>
          <w:szCs w:val="24"/>
          <w:lang w:eastAsia="zh-CN"/>
        </w:rPr>
      </w:pPr>
      <w:r>
        <w:rPr>
          <w:rFonts w:ascii="Book Antiqua" w:hAnsi="Book Antiqua"/>
          <w:b/>
          <w:sz w:val="24"/>
          <w:szCs w:val="24"/>
        </w:rPr>
        <w:t>Revised:</w:t>
      </w:r>
      <w:r>
        <w:rPr>
          <w:rFonts w:ascii="Book Antiqua" w:hAnsi="Book Antiqua" w:hint="eastAsia"/>
          <w:b/>
          <w:sz w:val="24"/>
          <w:szCs w:val="24"/>
          <w:lang w:eastAsia="zh-CN"/>
        </w:rPr>
        <w:t xml:space="preserve"> </w:t>
      </w:r>
      <w:r w:rsidRPr="008C0625">
        <w:rPr>
          <w:rFonts w:ascii="Book Antiqua" w:hAnsi="Book Antiqua"/>
          <w:sz w:val="24"/>
          <w:szCs w:val="24"/>
          <w:lang w:eastAsia="zh-CN"/>
        </w:rPr>
        <w:t>October</w:t>
      </w:r>
      <w:r w:rsidRPr="008C0625">
        <w:rPr>
          <w:rFonts w:ascii="Book Antiqua" w:hAnsi="Book Antiqua" w:hint="eastAsia"/>
          <w:sz w:val="24"/>
          <w:szCs w:val="24"/>
          <w:lang w:eastAsia="zh-CN"/>
        </w:rPr>
        <w:t xml:space="preserve"> </w:t>
      </w:r>
      <w:r>
        <w:rPr>
          <w:rFonts w:ascii="Book Antiqua" w:hAnsi="Book Antiqua" w:hint="eastAsia"/>
          <w:sz w:val="24"/>
          <w:szCs w:val="24"/>
          <w:lang w:eastAsia="zh-CN"/>
        </w:rPr>
        <w:t>30</w:t>
      </w:r>
      <w:r w:rsidRPr="008C0625">
        <w:rPr>
          <w:rFonts w:ascii="Book Antiqua" w:hAnsi="Book Antiqua" w:hint="eastAsia"/>
          <w:sz w:val="24"/>
          <w:szCs w:val="24"/>
          <w:lang w:eastAsia="zh-CN"/>
        </w:rPr>
        <w:t>, 2014</w:t>
      </w:r>
    </w:p>
    <w:p w:rsidR="008C0625" w:rsidRPr="0038085E" w:rsidRDefault="008C0625" w:rsidP="0038085E">
      <w:pPr>
        <w:rPr>
          <w:rFonts w:ascii="Book Antiqua" w:hAnsi="Book Antiqua"/>
          <w:iCs/>
          <w:sz w:val="24"/>
        </w:rPr>
      </w:pPr>
      <w:r w:rsidRPr="008C0625">
        <w:rPr>
          <w:rFonts w:ascii="Book Antiqua" w:hAnsi="Book Antiqua"/>
          <w:b/>
          <w:sz w:val="24"/>
          <w:szCs w:val="24"/>
        </w:rPr>
        <w:t xml:space="preserve">Accepted: </w:t>
      </w:r>
      <w:bookmarkStart w:id="0" w:name="OLE_LINK13"/>
      <w:bookmarkStart w:id="1" w:name="OLE_LINK14"/>
      <w:bookmarkStart w:id="2" w:name="OLE_LINK17"/>
      <w:bookmarkStart w:id="3" w:name="OLE_LINK18"/>
      <w:bookmarkStart w:id="4" w:name="OLE_LINK19"/>
      <w:bookmarkStart w:id="5" w:name="OLE_LINK22"/>
      <w:bookmarkStart w:id="6" w:name="OLE_LINK24"/>
      <w:bookmarkStart w:id="7" w:name="OLE_LINK25"/>
      <w:bookmarkStart w:id="8" w:name="OLE_LINK26"/>
      <w:bookmarkStart w:id="9" w:name="OLE_LINK27"/>
      <w:bookmarkStart w:id="10" w:name="OLE_LINK28"/>
      <w:bookmarkStart w:id="11" w:name="OLE_LINK29"/>
      <w:bookmarkStart w:id="12" w:name="OLE_LINK30"/>
      <w:bookmarkStart w:id="13" w:name="OLE_LINK31"/>
      <w:bookmarkStart w:id="14" w:name="OLE_LINK32"/>
      <w:bookmarkStart w:id="15" w:name="OLE_LINK34"/>
      <w:bookmarkStart w:id="16" w:name="OLE_LINK36"/>
      <w:bookmarkStart w:id="17" w:name="OLE_LINK37"/>
      <w:bookmarkStart w:id="18" w:name="OLE_LINK38"/>
      <w:bookmarkStart w:id="19" w:name="OLE_LINK41"/>
      <w:bookmarkStart w:id="20" w:name="OLE_LINK42"/>
      <w:bookmarkStart w:id="21" w:name="OLE_LINK44"/>
      <w:bookmarkStart w:id="22" w:name="OLE_LINK45"/>
      <w:bookmarkStart w:id="23" w:name="OLE_LINK46"/>
      <w:bookmarkStart w:id="24" w:name="OLE_LINK47"/>
      <w:bookmarkStart w:id="25" w:name="OLE_LINK52"/>
      <w:bookmarkStart w:id="26" w:name="OLE_LINK43"/>
      <w:bookmarkStart w:id="27" w:name="OLE_LINK57"/>
      <w:bookmarkStart w:id="28" w:name="OLE_LINK58"/>
      <w:bookmarkStart w:id="29" w:name="OLE_LINK62"/>
      <w:bookmarkStart w:id="30" w:name="OLE_LINK66"/>
      <w:bookmarkStart w:id="31" w:name="OLE_LINK68"/>
      <w:bookmarkStart w:id="32" w:name="OLE_LINK69"/>
      <w:bookmarkStart w:id="33" w:name="OLE_LINK71"/>
      <w:bookmarkStart w:id="34" w:name="OLE_LINK74"/>
      <w:bookmarkStart w:id="35" w:name="OLE_LINK77"/>
      <w:bookmarkStart w:id="36" w:name="OLE_LINK78"/>
      <w:bookmarkStart w:id="37" w:name="OLE_LINK72"/>
      <w:bookmarkStart w:id="38" w:name="OLE_LINK73"/>
      <w:bookmarkStart w:id="39" w:name="OLE_LINK79"/>
      <w:bookmarkStart w:id="40" w:name="OLE_LINK81"/>
      <w:bookmarkStart w:id="41" w:name="OLE_LINK86"/>
      <w:bookmarkStart w:id="42" w:name="OLE_LINK87"/>
      <w:bookmarkStart w:id="43" w:name="OLE_LINK88"/>
      <w:bookmarkStart w:id="44" w:name="OLE_LINK89"/>
      <w:bookmarkStart w:id="45" w:name="OLE_LINK92"/>
      <w:bookmarkStart w:id="46" w:name="OLE_LINK94"/>
      <w:bookmarkStart w:id="47" w:name="OLE_LINK95"/>
      <w:r w:rsidR="0038085E" w:rsidRPr="00FF2504">
        <w:rPr>
          <w:rStyle w:val="Emphasis"/>
        </w:rPr>
        <w:t xml:space="preserve">December </w:t>
      </w:r>
      <w:r w:rsidR="0038085E">
        <w:rPr>
          <w:rStyle w:val="Emphasis"/>
        </w:rPr>
        <w:t>29</w:t>
      </w:r>
      <w:r w:rsidR="0038085E" w:rsidRPr="00FF2504">
        <w:rPr>
          <w:rStyle w:val="Emphasis"/>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8C0625">
        <w:rPr>
          <w:rFonts w:ascii="Book Antiqua" w:hAnsi="Book Antiqua"/>
          <w:b/>
          <w:sz w:val="24"/>
          <w:szCs w:val="24"/>
        </w:rPr>
        <w:t xml:space="preserve"> </w:t>
      </w:r>
    </w:p>
    <w:p w:rsidR="008C0625" w:rsidRPr="008C0625" w:rsidRDefault="008C0625" w:rsidP="008C0625">
      <w:pPr>
        <w:spacing w:after="0" w:line="360" w:lineRule="auto"/>
        <w:jc w:val="both"/>
        <w:rPr>
          <w:rFonts w:ascii="Book Antiqua" w:hAnsi="Book Antiqua"/>
          <w:b/>
          <w:sz w:val="24"/>
          <w:szCs w:val="24"/>
        </w:rPr>
      </w:pPr>
      <w:r w:rsidRPr="008C0625">
        <w:rPr>
          <w:rFonts w:ascii="Book Antiqua" w:hAnsi="Book Antiqua"/>
          <w:b/>
          <w:sz w:val="24"/>
          <w:szCs w:val="24"/>
        </w:rPr>
        <w:t>Article in press:</w:t>
      </w:r>
    </w:p>
    <w:p w:rsidR="008C0625" w:rsidRPr="008C0625" w:rsidRDefault="008C0625" w:rsidP="008C0625">
      <w:pPr>
        <w:spacing w:after="0" w:line="360" w:lineRule="auto"/>
        <w:jc w:val="both"/>
        <w:rPr>
          <w:rFonts w:ascii="Book Antiqua" w:hAnsi="Book Antiqua"/>
          <w:b/>
          <w:sz w:val="24"/>
          <w:szCs w:val="24"/>
        </w:rPr>
      </w:pPr>
      <w:r w:rsidRPr="008C0625">
        <w:rPr>
          <w:rFonts w:ascii="Book Antiqua" w:hAnsi="Book Antiqua"/>
          <w:b/>
          <w:sz w:val="24"/>
          <w:szCs w:val="24"/>
        </w:rPr>
        <w:t xml:space="preserve">Published online: </w:t>
      </w:r>
    </w:p>
    <w:p w:rsidR="008C0625" w:rsidRPr="008C0625" w:rsidRDefault="008C0625" w:rsidP="008C0625">
      <w:pPr>
        <w:spacing w:after="0" w:line="360" w:lineRule="auto"/>
        <w:jc w:val="both"/>
        <w:rPr>
          <w:rFonts w:ascii="Book Antiqua" w:hAnsi="Book Antiqua" w:cs="Times New Roman"/>
          <w:b/>
          <w:color w:val="000000" w:themeColor="text1"/>
          <w:sz w:val="24"/>
          <w:szCs w:val="24"/>
          <w:lang w:eastAsia="zh-CN"/>
        </w:rPr>
      </w:pPr>
    </w:p>
    <w:p w:rsidR="009147C1" w:rsidRPr="008C0625" w:rsidRDefault="007C6E22" w:rsidP="008C0625">
      <w:pPr>
        <w:spacing w:after="0" w:line="360" w:lineRule="auto"/>
        <w:jc w:val="both"/>
        <w:rPr>
          <w:rFonts w:ascii="Book Antiqua" w:hAnsi="Book Antiqua" w:cs="Times New Roman"/>
          <w:b/>
          <w:color w:val="000000" w:themeColor="text1"/>
          <w:sz w:val="24"/>
          <w:szCs w:val="24"/>
        </w:rPr>
      </w:pPr>
      <w:r w:rsidRPr="008C0625">
        <w:rPr>
          <w:rFonts w:ascii="Book Antiqua" w:hAnsi="Book Antiqua" w:cs="Times New Roman"/>
          <w:b/>
          <w:color w:val="000000" w:themeColor="text1"/>
          <w:sz w:val="24"/>
          <w:szCs w:val="24"/>
        </w:rPr>
        <w:t>Abstract</w:t>
      </w:r>
    </w:p>
    <w:p w:rsidR="009147C1" w:rsidRPr="008C0625" w:rsidRDefault="009147C1"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rPr>
        <w:t>Peritonitis continues to be a major complication of peritoneal dialysis (PD), and adequate treatment is crucial for a favorable outcome. There is no consensus regarding the optimal therapeutic regimen, and few prospective controlled studies have been published. The objective of this manuscript is to review the results of PD peritonitis treatment reported in narrative reviews, systematic reviews, and proportional meta-analyses. Two narrative reviews, the only existing systematic review and its update published between 1991 and 2014 were included. In addition, we reported the results of a proportional meta-analysis in development in our center. Results from systematic reviews of randomized control trials (RCT) and quasi-RCT were not able to identify any optimal antimicrobial treatment, but glycopeptide regimens were more likely to achieve a complete cure than a first generation cephalosporin. Compared to urokinase, simultaneous catheter removal and replacem</w:t>
      </w:r>
      <w:r w:rsidR="007C6E22" w:rsidRPr="008C0625">
        <w:rPr>
          <w:rFonts w:ascii="Book Antiqua" w:hAnsi="Book Antiqua"/>
          <w:color w:val="000000" w:themeColor="text1"/>
          <w:sz w:val="24"/>
          <w:szCs w:val="24"/>
        </w:rPr>
        <w:t>ent resulted in better outcomes</w:t>
      </w:r>
      <w:r w:rsidRPr="008C0625">
        <w:rPr>
          <w:rFonts w:ascii="Book Antiqua" w:hAnsi="Book Antiqua"/>
          <w:color w:val="000000" w:themeColor="text1"/>
          <w:sz w:val="24"/>
          <w:szCs w:val="24"/>
        </w:rPr>
        <w:t>.</w:t>
      </w:r>
      <w:r w:rsidR="007C6E22" w:rsidRPr="008C0625">
        <w:rPr>
          <w:rFonts w:ascii="Book Antiqua" w:hAnsi="Book Antiqua"/>
          <w:color w:val="000000" w:themeColor="text1"/>
          <w:sz w:val="24"/>
          <w:szCs w:val="24"/>
        </w:rPr>
        <w:t xml:space="preserve"> </w:t>
      </w:r>
      <w:r w:rsidRPr="008C0625">
        <w:rPr>
          <w:rFonts w:ascii="Book Antiqua" w:hAnsi="Book Antiqua"/>
          <w:color w:val="000000" w:themeColor="text1"/>
          <w:sz w:val="24"/>
          <w:szCs w:val="24"/>
        </w:rPr>
        <w:t xml:space="preserve">Continuous and intermittent IP antibiotic use had similar outcomes. </w:t>
      </w:r>
      <w:r w:rsidR="009418F8" w:rsidRPr="008C0625">
        <w:rPr>
          <w:rFonts w:ascii="Book Antiqua" w:hAnsi="Book Antiqua" w:cs="Times New Roman"/>
          <w:color w:val="000000" w:themeColor="text1"/>
          <w:sz w:val="24"/>
          <w:szCs w:val="24"/>
        </w:rPr>
        <w:t>Intraperitoneal</w:t>
      </w:r>
      <w:r w:rsidR="009418F8" w:rsidRPr="008C0625">
        <w:rPr>
          <w:rFonts w:ascii="Book Antiqua" w:hAnsi="Book Antiqua"/>
          <w:color w:val="000000" w:themeColor="text1"/>
          <w:sz w:val="24"/>
          <w:szCs w:val="24"/>
        </w:rPr>
        <w:t xml:space="preserve"> </w:t>
      </w:r>
      <w:r w:rsidRPr="008C0625">
        <w:rPr>
          <w:rFonts w:ascii="Book Antiqua" w:hAnsi="Book Antiqua"/>
          <w:color w:val="000000" w:themeColor="text1"/>
          <w:sz w:val="24"/>
          <w:szCs w:val="24"/>
        </w:rPr>
        <w:t>antibiotics were superior to intravenous antibiotics in reducing treatment failure.</w:t>
      </w:r>
      <w:r w:rsidR="007C6E22" w:rsidRPr="008C0625">
        <w:rPr>
          <w:rFonts w:ascii="Book Antiqua" w:hAnsi="Book Antiqua"/>
          <w:color w:val="000000" w:themeColor="text1"/>
          <w:sz w:val="24"/>
          <w:szCs w:val="24"/>
        </w:rPr>
        <w:t xml:space="preserve"> </w:t>
      </w:r>
      <w:r w:rsidRPr="008C0625">
        <w:rPr>
          <w:rFonts w:ascii="Book Antiqua" w:hAnsi="Book Antiqua"/>
          <w:color w:val="000000" w:themeColor="text1"/>
          <w:sz w:val="24"/>
          <w:szCs w:val="24"/>
        </w:rPr>
        <w:t>In the proportional meta-analysis of RCTs and the case series, the resolution rate (86%) of ceftazidime plus glycopeptide as initial treatment was significantly higher than first generation ceph</w:t>
      </w:r>
      <w:r w:rsidR="007C6E22" w:rsidRPr="008C0625">
        <w:rPr>
          <w:rFonts w:ascii="Book Antiqua" w:hAnsi="Book Antiqua"/>
          <w:color w:val="000000" w:themeColor="text1"/>
          <w:sz w:val="24"/>
          <w:szCs w:val="24"/>
        </w:rPr>
        <w:t xml:space="preserve">alosporin plus aminoglycosides </w:t>
      </w:r>
      <w:r w:rsidR="007C6E22" w:rsidRPr="008C0625">
        <w:rPr>
          <w:rFonts w:ascii="Book Antiqua" w:hAnsi="Book Antiqua"/>
          <w:color w:val="000000" w:themeColor="text1"/>
          <w:sz w:val="24"/>
          <w:szCs w:val="24"/>
          <w:lang w:eastAsia="zh-CN"/>
        </w:rPr>
        <w:t>(</w:t>
      </w:r>
      <w:r w:rsidRPr="008C0625">
        <w:rPr>
          <w:rFonts w:ascii="Book Antiqua" w:hAnsi="Book Antiqua"/>
          <w:color w:val="000000" w:themeColor="text1"/>
          <w:sz w:val="24"/>
          <w:szCs w:val="24"/>
        </w:rPr>
        <w:t xml:space="preserve">66%) and glycopeptides plus aminoglycosides (75%). Other comparisons of regimens used for either initial treatment or treatment of gram-positive rods or gram-negative rods did not show statistically significant differences. The superiority of a combination of a glycopeptide and a third generation cephalosporin was also reported by a narrative review study published in 1991, which reported an 88% resolution rate. </w:t>
      </w:r>
    </w:p>
    <w:p w:rsidR="007C6E22" w:rsidRPr="008C0625" w:rsidRDefault="007C6E22" w:rsidP="008C0625">
      <w:pPr>
        <w:spacing w:after="0" w:line="360" w:lineRule="auto"/>
        <w:jc w:val="both"/>
        <w:rPr>
          <w:rFonts w:ascii="Book Antiqua" w:hAnsi="Book Antiqua"/>
          <w:b/>
          <w:color w:val="000000" w:themeColor="text1"/>
          <w:sz w:val="24"/>
          <w:szCs w:val="24"/>
          <w:lang w:eastAsia="zh-CN"/>
        </w:rPr>
      </w:pPr>
    </w:p>
    <w:p w:rsidR="009147C1" w:rsidRPr="008C0625" w:rsidRDefault="009147C1" w:rsidP="008C0625">
      <w:pPr>
        <w:spacing w:after="0" w:line="360" w:lineRule="auto"/>
        <w:jc w:val="both"/>
        <w:rPr>
          <w:rFonts w:ascii="Book Antiqua" w:hAnsi="Book Antiqua"/>
          <w:color w:val="000000" w:themeColor="text1"/>
          <w:sz w:val="24"/>
          <w:szCs w:val="24"/>
          <w:lang w:eastAsia="zh-CN"/>
        </w:rPr>
      </w:pPr>
      <w:r w:rsidRPr="008C0625">
        <w:rPr>
          <w:rFonts w:ascii="Book Antiqua" w:hAnsi="Book Antiqua"/>
          <w:b/>
          <w:color w:val="000000" w:themeColor="text1"/>
          <w:sz w:val="24"/>
          <w:szCs w:val="24"/>
        </w:rPr>
        <w:t>Key words</w:t>
      </w:r>
      <w:r w:rsidRPr="008C0625">
        <w:rPr>
          <w:rFonts w:ascii="Book Antiqua" w:hAnsi="Book Antiqua"/>
          <w:color w:val="000000" w:themeColor="text1"/>
          <w:sz w:val="24"/>
          <w:szCs w:val="24"/>
        </w:rPr>
        <w:t>:</w:t>
      </w:r>
      <w:r w:rsidR="007C6E22" w:rsidRPr="008C0625">
        <w:rPr>
          <w:rFonts w:ascii="Book Antiqua" w:hAnsi="Book Antiqua"/>
          <w:color w:val="000000" w:themeColor="text1"/>
          <w:sz w:val="24"/>
          <w:szCs w:val="24"/>
        </w:rPr>
        <w:t xml:space="preserve"> </w:t>
      </w:r>
      <w:r w:rsidRPr="008C0625">
        <w:rPr>
          <w:rFonts w:ascii="Book Antiqua" w:hAnsi="Book Antiqua"/>
          <w:color w:val="000000" w:themeColor="text1"/>
          <w:sz w:val="24"/>
          <w:szCs w:val="24"/>
        </w:rPr>
        <w:t>Peritonitis; Peritoneal dialysis; Antibiotic; Treatment</w:t>
      </w:r>
    </w:p>
    <w:p w:rsidR="007C6E22" w:rsidRPr="008C0625" w:rsidRDefault="007C6E22" w:rsidP="008C0625">
      <w:pPr>
        <w:spacing w:after="0" w:line="360" w:lineRule="auto"/>
        <w:jc w:val="both"/>
        <w:rPr>
          <w:rFonts w:ascii="Book Antiqua" w:hAnsi="Book Antiqua"/>
          <w:color w:val="000000" w:themeColor="text1"/>
          <w:sz w:val="24"/>
          <w:szCs w:val="24"/>
          <w:lang w:eastAsia="zh-CN"/>
        </w:rPr>
      </w:pPr>
    </w:p>
    <w:p w:rsidR="008C0625" w:rsidRPr="008C0625" w:rsidRDefault="008C0625" w:rsidP="008C0625">
      <w:pPr>
        <w:spacing w:after="0" w:line="360" w:lineRule="auto"/>
        <w:jc w:val="both"/>
        <w:rPr>
          <w:rFonts w:ascii="Book Antiqua" w:hAnsi="Book Antiqua"/>
          <w:i/>
          <w:iCs/>
          <w:sz w:val="24"/>
          <w:szCs w:val="24"/>
        </w:rPr>
      </w:pPr>
      <w:r w:rsidRPr="008C0625">
        <w:rPr>
          <w:rFonts w:ascii="Book Antiqua" w:hAnsi="Book Antiqua" w:cs="Tahoma"/>
          <w:color w:val="000000"/>
          <w:sz w:val="24"/>
          <w:szCs w:val="24"/>
          <w:lang w:val="en-GB" w:eastAsia="ja-JP"/>
        </w:rPr>
        <w:t xml:space="preserve">© </w:t>
      </w:r>
      <w:r w:rsidRPr="008C0625">
        <w:rPr>
          <w:rFonts w:ascii="Book Antiqua" w:eastAsia="AdvTimes" w:hAnsi="Book Antiqua" w:cs="AdvTimes"/>
          <w:color w:val="000000"/>
          <w:sz w:val="24"/>
          <w:szCs w:val="24"/>
          <w:lang w:val="fr-FR" w:eastAsia="ja-JP"/>
        </w:rPr>
        <w:t xml:space="preserve">The Author(s) 2015. Published by </w:t>
      </w:r>
      <w:r w:rsidRPr="008C0625">
        <w:rPr>
          <w:rFonts w:ascii="Book Antiqua" w:hAnsi="Book Antiqua" w:cs="Arial Unicode MS"/>
          <w:color w:val="000000"/>
          <w:sz w:val="24"/>
          <w:szCs w:val="24"/>
          <w:lang w:val="en-GB" w:eastAsia="ja-JP"/>
        </w:rPr>
        <w:t>Baishideng Publishing Group Inc.</w:t>
      </w:r>
      <w:r w:rsidRPr="008C0625">
        <w:rPr>
          <w:rFonts w:ascii="Book Antiqua" w:hAnsi="Book Antiqua" w:cs="Arial Unicode MS"/>
          <w:sz w:val="24"/>
          <w:szCs w:val="24"/>
          <w:lang w:val="en-GB" w:eastAsia="ja-JP"/>
        </w:rPr>
        <w:t xml:space="preserve"> </w:t>
      </w:r>
      <w:r w:rsidRPr="008C0625">
        <w:rPr>
          <w:rFonts w:ascii="Book Antiqua" w:hAnsi="Book Antiqua" w:cs="Arial Unicode MS"/>
          <w:sz w:val="24"/>
          <w:szCs w:val="24"/>
          <w:lang w:val="fr-FR" w:eastAsia="ja-JP"/>
        </w:rPr>
        <w:t>All rights reserved</w:t>
      </w:r>
      <w:r w:rsidRPr="008C0625">
        <w:rPr>
          <w:rFonts w:ascii="Book Antiqua" w:hAnsi="Book Antiqua" w:cs="Arial Unicode MS"/>
          <w:sz w:val="24"/>
          <w:szCs w:val="24"/>
          <w:lang w:val="fr-FR"/>
        </w:rPr>
        <w:t>.</w:t>
      </w:r>
    </w:p>
    <w:p w:rsidR="008C0625" w:rsidRPr="008C0625" w:rsidRDefault="008C0625" w:rsidP="008C0625">
      <w:pPr>
        <w:spacing w:after="0" w:line="360" w:lineRule="auto"/>
        <w:jc w:val="both"/>
        <w:rPr>
          <w:rFonts w:ascii="Book Antiqua" w:hAnsi="Book Antiqua"/>
          <w:color w:val="000000" w:themeColor="text1"/>
          <w:sz w:val="24"/>
          <w:szCs w:val="24"/>
          <w:lang w:eastAsia="zh-CN"/>
        </w:rPr>
      </w:pPr>
    </w:p>
    <w:p w:rsidR="007C6E22" w:rsidRPr="008C0625" w:rsidRDefault="007C6E22" w:rsidP="008C0625">
      <w:pPr>
        <w:spacing w:after="0" w:line="360" w:lineRule="auto"/>
        <w:jc w:val="both"/>
        <w:rPr>
          <w:rFonts w:ascii="Book Antiqua" w:hAnsi="Book Antiqua"/>
          <w:color w:val="000000" w:themeColor="text1"/>
          <w:sz w:val="24"/>
          <w:szCs w:val="24"/>
        </w:rPr>
      </w:pPr>
      <w:r w:rsidRPr="008C0625">
        <w:rPr>
          <w:rFonts w:ascii="Book Antiqua" w:hAnsi="Book Antiqua" w:cs="Times New Roman"/>
          <w:b/>
          <w:color w:val="000000" w:themeColor="text1"/>
          <w:sz w:val="24"/>
          <w:szCs w:val="24"/>
          <w:lang w:eastAsia="zh-CN"/>
        </w:rPr>
        <w:t xml:space="preserve">Core tip: </w:t>
      </w:r>
      <w:r w:rsidRPr="008C0625">
        <w:rPr>
          <w:rFonts w:ascii="Book Antiqua" w:hAnsi="Book Antiqua"/>
          <w:color w:val="000000" w:themeColor="text1"/>
          <w:sz w:val="24"/>
          <w:szCs w:val="24"/>
        </w:rPr>
        <w:t xml:space="preserve">This manuscript revised the data from narrative and systematic review, as well as those from a proportional meta-analysis study, regarding comparisons between antibiotic regimens used to peritoneal dialysis (PD)-related treatment, empathizing protocols for initial treatment. There is no consensus on the best treatment and the only published systematic review and its recent update have failed to find superiority of any regimen. This type of analysis, commonly excludes several studies, some of them with a great number of cases. Therefore, this review intends to contribute in this issue analyzing the results from different types of reviews. </w:t>
      </w:r>
    </w:p>
    <w:p w:rsidR="008C0625" w:rsidRPr="008C0625" w:rsidRDefault="008C0625" w:rsidP="008C0625">
      <w:pPr>
        <w:spacing w:after="0" w:line="360" w:lineRule="auto"/>
        <w:jc w:val="both"/>
        <w:rPr>
          <w:rFonts w:ascii="Book Antiqua" w:hAnsi="Book Antiqua"/>
          <w:b/>
          <w:color w:val="000000" w:themeColor="text1"/>
          <w:sz w:val="24"/>
          <w:szCs w:val="24"/>
          <w:lang w:eastAsia="zh-CN"/>
        </w:rPr>
      </w:pPr>
    </w:p>
    <w:p w:rsidR="008C0625" w:rsidRPr="008C0625" w:rsidRDefault="008C0625" w:rsidP="008C0625">
      <w:pPr>
        <w:spacing w:after="0" w:line="360" w:lineRule="auto"/>
        <w:jc w:val="both"/>
        <w:rPr>
          <w:rFonts w:ascii="Book Antiqua" w:hAnsi="Book Antiqua"/>
          <w:color w:val="000000" w:themeColor="text1"/>
          <w:sz w:val="24"/>
          <w:szCs w:val="24"/>
          <w:lang w:eastAsia="zh-CN"/>
        </w:rPr>
      </w:pPr>
      <w:r w:rsidRPr="008C0625">
        <w:rPr>
          <w:rFonts w:ascii="Book Antiqua" w:hAnsi="Book Antiqua"/>
          <w:color w:val="000000" w:themeColor="text1"/>
          <w:sz w:val="24"/>
          <w:szCs w:val="24"/>
          <w:lang w:eastAsia="zh-CN"/>
        </w:rPr>
        <w:t>Barretti</w:t>
      </w:r>
      <w:r w:rsidRPr="008C0625">
        <w:rPr>
          <w:rFonts w:ascii="Book Antiqua" w:hAnsi="Book Antiqua"/>
          <w:color w:val="000000" w:themeColor="text1"/>
          <w:sz w:val="24"/>
          <w:szCs w:val="24"/>
        </w:rPr>
        <w:t xml:space="preserve"> </w:t>
      </w:r>
      <w:r w:rsidRPr="008C0625">
        <w:rPr>
          <w:rFonts w:ascii="Book Antiqua" w:hAnsi="Book Antiqua"/>
          <w:color w:val="000000" w:themeColor="text1"/>
          <w:sz w:val="24"/>
          <w:szCs w:val="24"/>
          <w:lang w:eastAsia="zh-CN"/>
        </w:rPr>
        <w:t xml:space="preserve">P, </w:t>
      </w:r>
      <w:r w:rsidRPr="008C0625">
        <w:rPr>
          <w:rFonts w:ascii="Book Antiqua" w:hAnsi="Book Antiqua"/>
          <w:color w:val="000000" w:themeColor="text1"/>
          <w:sz w:val="24"/>
          <w:szCs w:val="24"/>
          <w:lang w:val="pt-BR" w:eastAsia="zh-CN"/>
        </w:rPr>
        <w:t xml:space="preserve">Vitor Pereira Doles J, Pinotti DG, El Dib RP. </w:t>
      </w:r>
      <w:r w:rsidRPr="008C0625">
        <w:rPr>
          <w:rFonts w:ascii="Book Antiqua" w:hAnsi="Book Antiqua"/>
          <w:color w:val="000000" w:themeColor="text1"/>
          <w:sz w:val="24"/>
          <w:szCs w:val="24"/>
        </w:rPr>
        <w:t>Evidence-based medicine: An update on treatments for peritoneal dialysis-related peritonitis</w:t>
      </w:r>
      <w:r w:rsidRPr="008C0625">
        <w:rPr>
          <w:rFonts w:ascii="Book Antiqua" w:hAnsi="Book Antiqua"/>
          <w:color w:val="000000" w:themeColor="text1"/>
          <w:sz w:val="24"/>
          <w:szCs w:val="24"/>
          <w:lang w:eastAsia="zh-CN"/>
        </w:rPr>
        <w:t xml:space="preserve">. </w:t>
      </w:r>
      <w:r w:rsidRPr="008C0625">
        <w:rPr>
          <w:rFonts w:ascii="Book Antiqua" w:hAnsi="Book Antiqua"/>
          <w:i/>
          <w:iCs/>
          <w:sz w:val="24"/>
          <w:szCs w:val="24"/>
        </w:rPr>
        <w:t>World J Nephrol</w:t>
      </w:r>
      <w:r w:rsidRPr="008C0625">
        <w:rPr>
          <w:rFonts w:ascii="Book Antiqua" w:hAnsi="Book Antiqua"/>
          <w:iCs/>
          <w:sz w:val="24"/>
          <w:szCs w:val="24"/>
          <w:lang w:eastAsia="zh-CN"/>
        </w:rPr>
        <w:t xml:space="preserve"> 2015; In press</w:t>
      </w:r>
    </w:p>
    <w:p w:rsidR="008C0625" w:rsidRPr="008C0625" w:rsidRDefault="008C0625" w:rsidP="008C0625">
      <w:pPr>
        <w:spacing w:after="0" w:line="360" w:lineRule="auto"/>
        <w:jc w:val="both"/>
        <w:rPr>
          <w:rFonts w:ascii="Book Antiqua" w:hAnsi="Book Antiqua"/>
          <w:color w:val="000000" w:themeColor="text1"/>
          <w:sz w:val="24"/>
          <w:szCs w:val="24"/>
          <w:lang w:val="pt-BR" w:eastAsia="zh-CN"/>
        </w:rPr>
      </w:pPr>
    </w:p>
    <w:p w:rsidR="009147C1" w:rsidRPr="008C0625" w:rsidRDefault="009147C1" w:rsidP="008C0625">
      <w:pPr>
        <w:spacing w:after="0" w:line="360" w:lineRule="auto"/>
        <w:jc w:val="both"/>
        <w:rPr>
          <w:rFonts w:ascii="Book Antiqua" w:hAnsi="Book Antiqua" w:cs="Times New Roman"/>
          <w:b/>
          <w:color w:val="000000" w:themeColor="text1"/>
          <w:sz w:val="24"/>
          <w:szCs w:val="24"/>
          <w:lang w:eastAsia="zh-CN"/>
        </w:rPr>
      </w:pPr>
      <w:r w:rsidRPr="008C0625">
        <w:rPr>
          <w:rFonts w:ascii="Book Antiqua" w:hAnsi="Book Antiqua" w:cs="Times New Roman"/>
          <w:b/>
          <w:color w:val="000000" w:themeColor="text1"/>
          <w:sz w:val="24"/>
          <w:szCs w:val="24"/>
        </w:rPr>
        <w:t>INTRODUCTION</w:t>
      </w:r>
    </w:p>
    <w:p w:rsidR="009147C1" w:rsidRPr="008C0625" w:rsidRDefault="009147C1" w:rsidP="008C0625">
      <w:pPr>
        <w:spacing w:after="0" w:line="360" w:lineRule="auto"/>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Since the introduction of peritoneal dialysis (PD) in routine clinical practice, peritonitis has been the main complication influencing patient mortality. Peritonitis continues to be the most frequent cause of technique failure</w:t>
      </w:r>
      <w:r w:rsidRPr="008C0625">
        <w:rPr>
          <w:rFonts w:ascii="Book Antiqua" w:hAnsi="Book Antiqua" w:cs="Times New Roman"/>
          <w:color w:val="000000" w:themeColor="text1"/>
          <w:sz w:val="24"/>
          <w:szCs w:val="24"/>
          <w:vertAlign w:val="superscript"/>
        </w:rPr>
        <w:t>[1]</w:t>
      </w:r>
      <w:r w:rsidRPr="008C0625">
        <w:rPr>
          <w:rFonts w:ascii="Book Antiqua" w:hAnsi="Book Antiqua" w:cs="Times New Roman"/>
          <w:color w:val="000000" w:themeColor="text1"/>
          <w:sz w:val="24"/>
          <w:szCs w:val="24"/>
        </w:rPr>
        <w:t>, despite technological improvement. The choice of initial treatment for PD-related peritonitis remains a challenge to nephrologists who perform PD, particularly because of the lack of evidence to indicate the best therapeutic protocols, beyond temporal changes in the bacterial antibiotic susceptibility profile.</w:t>
      </w:r>
    </w:p>
    <w:p w:rsidR="009147C1" w:rsidRPr="008C0625" w:rsidRDefault="009147C1" w:rsidP="008C0625">
      <w:pPr>
        <w:autoSpaceDE w:val="0"/>
        <w:autoSpaceDN w:val="0"/>
        <w:adjustRightInd w:val="0"/>
        <w:spacing w:after="0" w:line="360" w:lineRule="auto"/>
        <w:ind w:firstLine="708"/>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Coagulase negative staphylococci (CNS) are the most common etiological agents of PD-related peritonitis. In most PD centers</w:t>
      </w:r>
      <w:r w:rsidRPr="008C0625">
        <w:rPr>
          <w:rFonts w:ascii="Book Antiqua" w:hAnsi="Book Antiqua" w:cs="Times New Roman"/>
          <w:color w:val="000000" w:themeColor="text1"/>
          <w:sz w:val="24"/>
          <w:szCs w:val="24"/>
          <w:vertAlign w:val="superscript"/>
        </w:rPr>
        <w:t>[2]</w:t>
      </w:r>
      <w:r w:rsidRPr="008C0625">
        <w:rPr>
          <w:rFonts w:ascii="Book Antiqua" w:hAnsi="Book Antiqua" w:cs="Times New Roman"/>
          <w:color w:val="000000" w:themeColor="text1"/>
          <w:sz w:val="24"/>
          <w:szCs w:val="24"/>
        </w:rPr>
        <w:t xml:space="preserve">, these microorganisms cause approximately one-third of the episodes. Over the last two decades, </w:t>
      </w:r>
      <w:r w:rsidRPr="008C0625">
        <w:rPr>
          <w:rFonts w:ascii="Book Antiqua" w:hAnsi="Book Antiqua" w:cs="Times New Roman"/>
          <w:i/>
          <w:color w:val="000000" w:themeColor="text1"/>
          <w:sz w:val="24"/>
          <w:szCs w:val="24"/>
        </w:rPr>
        <w:t>Staphylococcus aureus</w:t>
      </w:r>
      <w:r w:rsidRPr="008C0625">
        <w:rPr>
          <w:rFonts w:ascii="Book Antiqua" w:hAnsi="Book Antiqua" w:cs="Times New Roman"/>
          <w:color w:val="000000" w:themeColor="text1"/>
          <w:sz w:val="24"/>
          <w:szCs w:val="24"/>
        </w:rPr>
        <w:t xml:space="preserve"> has lost </w:t>
      </w:r>
      <w:r w:rsidR="00CF0BA9" w:rsidRPr="008C0625">
        <w:rPr>
          <w:rFonts w:ascii="Book Antiqua" w:hAnsi="Book Antiqua" w:cs="Times New Roman"/>
          <w:color w:val="000000" w:themeColor="text1"/>
          <w:sz w:val="24"/>
          <w:szCs w:val="24"/>
        </w:rPr>
        <w:t>its status</w:t>
      </w:r>
      <w:r w:rsidRPr="008C0625">
        <w:rPr>
          <w:rFonts w:ascii="Book Antiqua" w:hAnsi="Book Antiqua" w:cs="Times New Roman"/>
          <w:color w:val="000000" w:themeColor="text1"/>
          <w:sz w:val="24"/>
          <w:szCs w:val="24"/>
        </w:rPr>
        <w:t xml:space="preserve"> as a PD-related peritonitis etiology, possibly because of technological advances in connection systems and the routine use of antibiotic prophy</w:t>
      </w:r>
      <w:r w:rsidR="007C6E22" w:rsidRPr="008C0625">
        <w:rPr>
          <w:rFonts w:ascii="Book Antiqua" w:hAnsi="Book Antiqua" w:cs="Times New Roman"/>
          <w:color w:val="000000" w:themeColor="text1"/>
          <w:sz w:val="24"/>
          <w:szCs w:val="24"/>
        </w:rPr>
        <w:t>laxis at the catheter exit site</w:t>
      </w:r>
      <w:r w:rsidRPr="008C0625">
        <w:rPr>
          <w:rFonts w:ascii="Book Antiqua" w:hAnsi="Book Antiqua" w:cs="Times New Roman"/>
          <w:color w:val="000000" w:themeColor="text1"/>
          <w:sz w:val="24"/>
          <w:szCs w:val="24"/>
          <w:vertAlign w:val="superscript"/>
        </w:rPr>
        <w:t>[3]</w:t>
      </w:r>
      <w:r w:rsidRPr="008C0625">
        <w:rPr>
          <w:rFonts w:ascii="Book Antiqua" w:hAnsi="Book Antiqua" w:cs="Times New Roman"/>
          <w:color w:val="000000" w:themeColor="text1"/>
          <w:sz w:val="24"/>
          <w:szCs w:val="24"/>
        </w:rPr>
        <w:t xml:space="preserve">. However, the proportion of cases due to gram-negative bacilli has increased </w:t>
      </w:r>
      <w:r w:rsidR="007C6E22" w:rsidRPr="008C0625">
        <w:rPr>
          <w:rFonts w:ascii="Book Antiqua" w:hAnsi="Book Antiqua" w:cs="Times New Roman"/>
          <w:color w:val="000000" w:themeColor="text1"/>
          <w:sz w:val="24"/>
          <w:szCs w:val="24"/>
        </w:rPr>
        <w:t>in several centers</w:t>
      </w:r>
      <w:r w:rsidRPr="008C0625">
        <w:rPr>
          <w:rFonts w:ascii="Book Antiqua" w:hAnsi="Book Antiqua" w:cs="Times New Roman"/>
          <w:color w:val="000000" w:themeColor="text1"/>
          <w:sz w:val="24"/>
          <w:szCs w:val="24"/>
          <w:vertAlign w:val="superscript"/>
        </w:rPr>
        <w:t>[4]</w:t>
      </w:r>
      <w:r w:rsidRPr="008C0625">
        <w:rPr>
          <w:rFonts w:ascii="Book Antiqua" w:hAnsi="Book Antiqua" w:cs="Times New Roman"/>
          <w:color w:val="000000" w:themeColor="text1"/>
          <w:sz w:val="24"/>
          <w:szCs w:val="24"/>
        </w:rPr>
        <w:t>. In addition, a gradual increase in the frequency of methicillin-resistant CNS and gram-negative species resistant to commonly use</w:t>
      </w:r>
      <w:r w:rsidR="007C6E22" w:rsidRPr="008C0625">
        <w:rPr>
          <w:rFonts w:ascii="Book Antiqua" w:hAnsi="Book Antiqua" w:cs="Times New Roman"/>
          <w:color w:val="000000" w:themeColor="text1"/>
          <w:sz w:val="24"/>
          <w:szCs w:val="24"/>
        </w:rPr>
        <w:t>d antibiotics has been reported</w:t>
      </w:r>
      <w:r w:rsidR="007C6E22" w:rsidRPr="008C0625">
        <w:rPr>
          <w:rFonts w:ascii="Book Antiqua" w:hAnsi="Book Antiqua" w:cs="Times New Roman"/>
          <w:color w:val="000000" w:themeColor="text1"/>
          <w:sz w:val="24"/>
          <w:szCs w:val="24"/>
          <w:vertAlign w:val="superscript"/>
        </w:rPr>
        <w:t>[5,</w:t>
      </w:r>
      <w:r w:rsidRPr="008C0625">
        <w:rPr>
          <w:rFonts w:ascii="Book Antiqua" w:hAnsi="Book Antiqua" w:cs="Times New Roman"/>
          <w:color w:val="000000" w:themeColor="text1"/>
          <w:sz w:val="24"/>
          <w:szCs w:val="24"/>
          <w:vertAlign w:val="superscript"/>
        </w:rPr>
        <w:t>6]</w:t>
      </w:r>
      <w:r w:rsidRPr="008C0625">
        <w:rPr>
          <w:rFonts w:ascii="Book Antiqua" w:hAnsi="Book Antiqua" w:cs="Times New Roman"/>
          <w:color w:val="000000" w:themeColor="text1"/>
          <w:sz w:val="24"/>
          <w:szCs w:val="24"/>
        </w:rPr>
        <w:t xml:space="preserve">. </w:t>
      </w:r>
    </w:p>
    <w:p w:rsidR="009147C1" w:rsidRPr="008C0625" w:rsidRDefault="009147C1" w:rsidP="008C0625">
      <w:pPr>
        <w:spacing w:after="0" w:line="360" w:lineRule="auto"/>
        <w:ind w:firstLineChars="200" w:firstLine="480"/>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 xml:space="preserve">Historically, the choice of initial antimicrobial regimen for PD-related peritonitis has been based on the recommendations of the International Society for Peritoneal Dialysis (ISPD), which published six documents </w:t>
      </w:r>
      <w:r w:rsidR="007C6E22" w:rsidRPr="008C0625">
        <w:rPr>
          <w:rFonts w:ascii="Book Antiqua" w:hAnsi="Book Antiqua" w:cs="Times New Roman"/>
          <w:color w:val="000000" w:themeColor="text1"/>
          <w:sz w:val="24"/>
          <w:szCs w:val="24"/>
        </w:rPr>
        <w:t>between 1989 and 2010</w:t>
      </w:r>
      <w:r w:rsidRPr="008C0625">
        <w:rPr>
          <w:rFonts w:ascii="Book Antiqua" w:hAnsi="Book Antiqua" w:cs="Times New Roman"/>
          <w:color w:val="000000" w:themeColor="text1"/>
          <w:sz w:val="24"/>
          <w:szCs w:val="24"/>
          <w:vertAlign w:val="superscript"/>
        </w:rPr>
        <w:t>[7–12]</w:t>
      </w:r>
      <w:r w:rsidRPr="008C0625">
        <w:rPr>
          <w:rFonts w:ascii="Book Antiqua" w:hAnsi="Book Antiqua" w:cs="Times New Roman"/>
          <w:color w:val="000000" w:themeColor="text1"/>
          <w:sz w:val="24"/>
          <w:szCs w:val="24"/>
        </w:rPr>
        <w:t>. According to these guidelines, the initial treatment of peritonitis (prior to the results of microbiological tests) should be based on a combination of drugs for coverage of gram-positive cocci and gram-negative bacilli. The recommendations regarding the class of antimicrobials have varied over time. In general, for coverage of gram-positive cocci, the use of a first generation cephalosporin or vancomycin has been proposed, while for gam-negative bacilli an aminoglycoside or ceftazidime has been recommended. However, based on the available literature there is no consensus regarding the best antimicrobial therapy for the initial treatment of these infections, and few prospective and controlled studies have been published.</w:t>
      </w:r>
    </w:p>
    <w:p w:rsidR="009147C1" w:rsidRPr="008C0625" w:rsidRDefault="009147C1" w:rsidP="008C0625">
      <w:pPr>
        <w:spacing w:after="0" w:line="360" w:lineRule="auto"/>
        <w:ind w:firstLine="708"/>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shd w:val="clear" w:color="auto" w:fill="FFFFFF"/>
        </w:rPr>
        <w:t>This manuscript intends to review the results from evidence-based medicine, comparing different treatment protocols for PD-related peritonitis in narrative reviews, systematic reviews and proportional meta-analyses.</w:t>
      </w:r>
    </w:p>
    <w:p w:rsidR="009147C1" w:rsidRPr="008C0625" w:rsidRDefault="009147C1" w:rsidP="008C0625">
      <w:pPr>
        <w:spacing w:after="0" w:line="360" w:lineRule="auto"/>
        <w:jc w:val="both"/>
        <w:rPr>
          <w:rFonts w:ascii="Book Antiqua" w:hAnsi="Book Antiqua" w:cs="Times New Roman"/>
          <w:color w:val="000000" w:themeColor="text1"/>
          <w:sz w:val="24"/>
          <w:szCs w:val="24"/>
        </w:rPr>
      </w:pPr>
    </w:p>
    <w:p w:rsidR="009147C1" w:rsidRPr="008C0625" w:rsidRDefault="009147C1" w:rsidP="008C0625">
      <w:pPr>
        <w:spacing w:after="0" w:line="360" w:lineRule="auto"/>
        <w:jc w:val="both"/>
        <w:rPr>
          <w:rFonts w:ascii="Book Antiqua" w:hAnsi="Book Antiqua" w:cs="Times New Roman"/>
          <w:b/>
          <w:color w:val="000000" w:themeColor="text1"/>
          <w:sz w:val="24"/>
          <w:szCs w:val="24"/>
        </w:rPr>
      </w:pPr>
      <w:r w:rsidRPr="008C0625">
        <w:rPr>
          <w:rFonts w:ascii="Book Antiqua" w:hAnsi="Book Antiqua" w:cs="Times New Roman"/>
          <w:b/>
          <w:color w:val="000000" w:themeColor="text1"/>
          <w:sz w:val="24"/>
          <w:szCs w:val="24"/>
        </w:rPr>
        <w:t>NARRATIVE REVIEWS</w:t>
      </w:r>
    </w:p>
    <w:p w:rsidR="009147C1" w:rsidRPr="008C0625" w:rsidRDefault="009147C1" w:rsidP="008C0625">
      <w:pPr>
        <w:spacing w:after="0" w:line="360" w:lineRule="auto"/>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Since the introduction of ambulatory PD as a modality of renal substitutive therapy as part of the clinical routine, several reviews have been published discussing general and specific aspects of this therapy, including peritonitis and its management;</w:t>
      </w:r>
      <w:r w:rsidRPr="008C0625">
        <w:rPr>
          <w:rFonts w:ascii="Book Antiqua" w:hAnsi="Book Antiqua" w:cs="Times New Roman"/>
          <w:b/>
          <w:color w:val="000000" w:themeColor="text1"/>
          <w:sz w:val="24"/>
          <w:szCs w:val="24"/>
        </w:rPr>
        <w:t xml:space="preserve"> </w:t>
      </w:r>
      <w:r w:rsidRPr="008C0625">
        <w:rPr>
          <w:rFonts w:ascii="Book Antiqua" w:hAnsi="Book Antiqua" w:cs="Times New Roman"/>
          <w:color w:val="000000" w:themeColor="text1"/>
          <w:sz w:val="24"/>
          <w:szCs w:val="24"/>
        </w:rPr>
        <w:t xml:space="preserve">however, few of these articles have focused on comparing the therapeutic regimens. </w:t>
      </w:r>
    </w:p>
    <w:p w:rsidR="009147C1" w:rsidRPr="008C0625" w:rsidRDefault="009147C1" w:rsidP="008C0625">
      <w:pPr>
        <w:spacing w:after="0" w:line="360" w:lineRule="auto"/>
        <w:ind w:firstLine="708"/>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In</w:t>
      </w:r>
      <w:r w:rsidR="007C6E22" w:rsidRPr="008C0625">
        <w:rPr>
          <w:rFonts w:ascii="Book Antiqua" w:hAnsi="Book Antiqua" w:cs="Times New Roman"/>
          <w:color w:val="000000" w:themeColor="text1"/>
          <w:sz w:val="24"/>
          <w:szCs w:val="24"/>
        </w:rPr>
        <w:t xml:space="preserve"> 1991, Millikin </w:t>
      </w:r>
      <w:r w:rsidR="007C6E22" w:rsidRPr="008C0625">
        <w:rPr>
          <w:rFonts w:ascii="Book Antiqua" w:hAnsi="Book Antiqua" w:cs="Times New Roman"/>
          <w:i/>
          <w:color w:val="000000" w:themeColor="text1"/>
          <w:sz w:val="24"/>
          <w:szCs w:val="24"/>
        </w:rPr>
        <w:t>et al</w:t>
      </w:r>
      <w:r w:rsidR="007C6E22" w:rsidRPr="008C0625">
        <w:rPr>
          <w:rFonts w:ascii="Book Antiqua" w:hAnsi="Book Antiqua" w:cs="Times New Roman"/>
          <w:color w:val="000000" w:themeColor="text1"/>
          <w:sz w:val="24"/>
          <w:szCs w:val="24"/>
          <w:vertAlign w:val="superscript"/>
        </w:rPr>
        <w:t>[13]</w:t>
      </w:r>
      <w:r w:rsidR="007C6E22" w:rsidRPr="008C0625">
        <w:rPr>
          <w:rFonts w:ascii="Book Antiqua" w:hAnsi="Book Antiqua" w:cs="Times New Roman"/>
          <w:color w:val="000000" w:themeColor="text1"/>
          <w:sz w:val="24"/>
          <w:szCs w:val="24"/>
        </w:rPr>
        <w:t xml:space="preserve"> published</w:t>
      </w:r>
      <w:r w:rsidRPr="008C0625">
        <w:rPr>
          <w:rFonts w:ascii="Book Antiqua" w:hAnsi="Book Antiqua" w:cs="Times New Roman"/>
          <w:color w:val="000000" w:themeColor="text1"/>
          <w:sz w:val="24"/>
          <w:szCs w:val="24"/>
        </w:rPr>
        <w:t xml:space="preserve"> the first robust review compiling existing data on antimicrobial treatment of PD-related peritonitis. That study reported on studies of antimicrobial treatment for peritonitis published in the medical literature before January 1990.</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According to the review, the regimens most frequently used for empirical therapy were a combination of two antimicrobial drugs; the majority of the regimens involved an aminoglycoside associated with an antibiotic to gram positive organism coverage. An aminoglycoside with a first-generation cephalosporin was used in 165 episodes, with an overall resolution rate of 83%, while the combination of an aminoglycoside with a glycopeptide resulted in a clinical response in 88% of 286 cases.</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 xml:space="preserve">When a glycopeptide associated with a third generation cephalosporin was used, the resolution rate reached 93% as reported by three studies in a total of 197 peritonitis episodes. </w:t>
      </w:r>
    </w:p>
    <w:p w:rsidR="009147C1" w:rsidRPr="008C0625" w:rsidRDefault="009147C1" w:rsidP="008C0625">
      <w:pPr>
        <w:spacing w:after="0" w:line="360" w:lineRule="auto"/>
        <w:ind w:firstLine="708"/>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The efficacy of drugs used for treatment of infections due to gram positive cocci was proven in 413 peritonitis episodes.</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 xml:space="preserve">The resolution rate was 90% for a first generation cephalosporin, used in 164 episodes. A similar clinical response was observed whether intraperitoneal </w:t>
      </w:r>
      <w:r w:rsidR="009418F8" w:rsidRPr="008C0625">
        <w:rPr>
          <w:rFonts w:ascii="Book Antiqua" w:hAnsi="Book Antiqua" w:cs="Times New Roman"/>
          <w:color w:val="000000" w:themeColor="text1"/>
          <w:sz w:val="24"/>
          <w:szCs w:val="24"/>
          <w:lang w:eastAsia="zh-CN"/>
        </w:rPr>
        <w:t xml:space="preserve">(IP) </w:t>
      </w:r>
      <w:r w:rsidRPr="008C0625">
        <w:rPr>
          <w:rFonts w:ascii="Book Antiqua" w:hAnsi="Book Antiqua" w:cs="Times New Roman"/>
          <w:color w:val="000000" w:themeColor="text1"/>
          <w:sz w:val="24"/>
          <w:szCs w:val="24"/>
        </w:rPr>
        <w:t>cefazolin was prescribed for intermittent or continuous administration. However, the results from second-generation cephalosporins, used for treatment in 29 episodes, showed a resolution rate of 76%.</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 xml:space="preserve"> In turn, the prescription of a glycopeptide, particularly vancomycin, resulted in a resolution rate of 94% in 220 cases.</w:t>
      </w:r>
    </w:p>
    <w:p w:rsidR="009147C1" w:rsidRPr="008C0625" w:rsidRDefault="009147C1" w:rsidP="008C0625">
      <w:pPr>
        <w:spacing w:after="0" w:line="360" w:lineRule="auto"/>
        <w:ind w:firstLine="708"/>
        <w:jc w:val="both"/>
        <w:rPr>
          <w:rFonts w:ascii="Book Antiqua" w:hAnsi="Book Antiqua" w:cs="Times New Roman"/>
          <w:color w:val="000000" w:themeColor="text1"/>
          <w:sz w:val="24"/>
          <w:szCs w:val="24"/>
          <w:lang w:eastAsia="zh-CN"/>
        </w:rPr>
      </w:pPr>
      <w:r w:rsidRPr="008C0625">
        <w:rPr>
          <w:rFonts w:ascii="Book Antiqua" w:hAnsi="Book Antiqua" w:cs="Times New Roman"/>
          <w:color w:val="000000" w:themeColor="text1"/>
          <w:sz w:val="24"/>
          <w:szCs w:val="24"/>
        </w:rPr>
        <w:t>For gram negative peritonitis episodes, aminoglycoside monotherapy produced a clinical response in 48% of the 58 episodes, while a monobactam (aztreonam) resolved 22 of 27 cases (81%), and a quinolone resolved 13 of 17 cases (76</w:t>
      </w:r>
      <w:r w:rsidR="00B77D53" w:rsidRPr="008C0625">
        <w:rPr>
          <w:rFonts w:ascii="Book Antiqua" w:hAnsi="Book Antiqua" w:cs="Times New Roman"/>
          <w:color w:val="000000" w:themeColor="text1"/>
          <w:sz w:val="24"/>
          <w:szCs w:val="24"/>
          <w:lang w:eastAsia="zh-CN"/>
        </w:rPr>
        <w:t>.</w:t>
      </w:r>
      <w:r w:rsidRPr="008C0625">
        <w:rPr>
          <w:rFonts w:ascii="Book Antiqua" w:hAnsi="Book Antiqua" w:cs="Times New Roman"/>
          <w:color w:val="000000" w:themeColor="text1"/>
          <w:sz w:val="24"/>
          <w:szCs w:val="24"/>
        </w:rPr>
        <w:t>4%).</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 xml:space="preserve">In 97% of cases involving </w:t>
      </w:r>
      <w:r w:rsidRPr="008C0625">
        <w:rPr>
          <w:rFonts w:ascii="Book Antiqua" w:hAnsi="Book Antiqua" w:cs="Times New Roman"/>
          <w:i/>
          <w:color w:val="000000" w:themeColor="text1"/>
          <w:sz w:val="24"/>
          <w:szCs w:val="24"/>
        </w:rPr>
        <w:t>pseudomonas</w:t>
      </w:r>
      <w:r w:rsidRPr="008C0625">
        <w:rPr>
          <w:rFonts w:ascii="Book Antiqua" w:hAnsi="Book Antiqua" w:cs="Times New Roman"/>
          <w:color w:val="000000" w:themeColor="text1"/>
          <w:sz w:val="24"/>
          <w:szCs w:val="24"/>
        </w:rPr>
        <w:t xml:space="preserve"> peritonitis, an aminoglycoside was used either as monotherapy or in combination with anti-</w:t>
      </w:r>
      <w:r w:rsidRPr="008C0625">
        <w:rPr>
          <w:rFonts w:ascii="Book Antiqua" w:hAnsi="Book Antiqua" w:cs="Times New Roman"/>
          <w:i/>
          <w:color w:val="000000" w:themeColor="text1"/>
          <w:sz w:val="24"/>
          <w:szCs w:val="24"/>
        </w:rPr>
        <w:t>pseudomonas</w:t>
      </w:r>
      <w:r w:rsidRPr="008C0625">
        <w:rPr>
          <w:rFonts w:ascii="Book Antiqua" w:hAnsi="Book Antiqua" w:cs="Times New Roman"/>
          <w:color w:val="000000" w:themeColor="text1"/>
          <w:sz w:val="24"/>
          <w:szCs w:val="24"/>
        </w:rPr>
        <w:t xml:space="preserve"> penicillin. When the peritonitis episode was at the exit site or was catheter related (</w:t>
      </w:r>
      <w:r w:rsidRPr="008C0625">
        <w:rPr>
          <w:rFonts w:ascii="Book Antiqua" w:hAnsi="Book Antiqua" w:cs="Times New Roman"/>
          <w:i/>
          <w:color w:val="000000" w:themeColor="text1"/>
          <w:sz w:val="24"/>
          <w:szCs w:val="24"/>
        </w:rPr>
        <w:t>n</w:t>
      </w:r>
      <w:r w:rsidR="00B77D53" w:rsidRPr="008C0625">
        <w:rPr>
          <w:rFonts w:ascii="Book Antiqua" w:hAnsi="Book Antiqua" w:cs="Times New Roman"/>
          <w:color w:val="000000" w:themeColor="text1"/>
          <w:sz w:val="24"/>
          <w:szCs w:val="24"/>
          <w:lang w:eastAsia="zh-CN"/>
        </w:rPr>
        <w:t xml:space="preserve"> = </w:t>
      </w:r>
      <w:r w:rsidRPr="008C0625">
        <w:rPr>
          <w:rFonts w:ascii="Book Antiqua" w:hAnsi="Book Antiqua" w:cs="Times New Roman"/>
          <w:color w:val="000000" w:themeColor="text1"/>
          <w:sz w:val="24"/>
          <w:szCs w:val="24"/>
        </w:rPr>
        <w:t xml:space="preserve">47), the response rate was only 32%. </w:t>
      </w:r>
      <w:r w:rsidRPr="008C0625">
        <w:rPr>
          <w:rFonts w:ascii="Book Antiqua" w:hAnsi="Book Antiqua" w:cs="Times New Roman"/>
          <w:i/>
          <w:color w:val="000000" w:themeColor="text1"/>
          <w:sz w:val="24"/>
          <w:szCs w:val="24"/>
        </w:rPr>
        <w:t>Pseudomonas</w:t>
      </w:r>
      <w:r w:rsidRPr="008C0625">
        <w:rPr>
          <w:rFonts w:ascii="Book Antiqua" w:hAnsi="Book Antiqua" w:cs="Times New Roman"/>
          <w:color w:val="000000" w:themeColor="text1"/>
          <w:sz w:val="24"/>
          <w:szCs w:val="24"/>
        </w:rPr>
        <w:t xml:space="preserve"> peritonitis that was not associated with catheter infection, however, responded to these agents in 73% of 44 cases.</w:t>
      </w:r>
      <w:r w:rsidR="007C6E22" w:rsidRPr="008C0625">
        <w:rPr>
          <w:rFonts w:ascii="Book Antiqua" w:hAnsi="Book Antiqua" w:cs="Times New Roman"/>
          <w:color w:val="000000" w:themeColor="text1"/>
          <w:sz w:val="24"/>
          <w:szCs w:val="24"/>
        </w:rPr>
        <w:t xml:space="preserve">   </w:t>
      </w:r>
    </w:p>
    <w:p w:rsidR="009147C1" w:rsidRPr="008C0625" w:rsidRDefault="009147C1" w:rsidP="008C0625">
      <w:pPr>
        <w:spacing w:after="0" w:line="360" w:lineRule="auto"/>
        <w:ind w:firstLine="708"/>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 xml:space="preserve">In 2000, our group published a literature review analyzing the therapeutic response from the empirical antimicrobial regimen proposed in the first, second, and third report of the Ad Hoc Committee on Peritonitis Management of the International Society of Nephrology (‘ISPD guidelines’), </w:t>
      </w:r>
      <w:r w:rsidR="009418F8" w:rsidRPr="008C0625">
        <w:rPr>
          <w:rFonts w:ascii="Book Antiqua" w:hAnsi="Book Antiqua" w:cs="Times New Roman"/>
          <w:color w:val="000000" w:themeColor="text1"/>
          <w:sz w:val="24"/>
          <w:szCs w:val="24"/>
        </w:rPr>
        <w:t>published between 1985 and 2000</w:t>
      </w:r>
      <w:r w:rsidRPr="008C0625">
        <w:rPr>
          <w:rFonts w:ascii="Book Antiqua" w:hAnsi="Book Antiqua" w:cs="Times New Roman"/>
          <w:color w:val="000000" w:themeColor="text1"/>
          <w:sz w:val="24"/>
          <w:szCs w:val="24"/>
          <w:vertAlign w:val="superscript"/>
        </w:rPr>
        <w:t>[14]</w:t>
      </w:r>
      <w:r w:rsidRPr="008C0625">
        <w:rPr>
          <w:rFonts w:ascii="Book Antiqua" w:hAnsi="Book Antiqua" w:cs="Times New Roman"/>
          <w:color w:val="000000" w:themeColor="text1"/>
          <w:sz w:val="24"/>
          <w:szCs w:val="24"/>
        </w:rPr>
        <w:t>.</w:t>
      </w:r>
    </w:p>
    <w:p w:rsidR="009147C1" w:rsidRPr="008C0625" w:rsidRDefault="009147C1" w:rsidP="008C0625">
      <w:pPr>
        <w:spacing w:after="0" w:line="360" w:lineRule="auto"/>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ab/>
        <w:t>From 1985 to 1990, covering the period from the first report by The Ad Hoc Committee on Peritonitis Management</w:t>
      </w:r>
      <w:r w:rsidRPr="008C0625">
        <w:rPr>
          <w:rFonts w:ascii="Book Antiqua" w:hAnsi="Book Antiqua" w:cs="Times New Roman"/>
          <w:color w:val="000000" w:themeColor="text1"/>
          <w:sz w:val="24"/>
          <w:szCs w:val="24"/>
          <w:vertAlign w:val="superscript"/>
        </w:rPr>
        <w:t>[7]</w:t>
      </w:r>
      <w:r w:rsidRPr="008C0625">
        <w:rPr>
          <w:rFonts w:ascii="Book Antiqua" w:hAnsi="Book Antiqua" w:cs="Times New Roman"/>
          <w:color w:val="000000" w:themeColor="text1"/>
          <w:sz w:val="24"/>
          <w:szCs w:val="24"/>
        </w:rPr>
        <w:t>, a total of six publications with 204 peritonitis episodes, a resolution rate higher than 80% was observed with the combination of a first generation cephalosporin and an aminoglycoside.</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In 1993, the second</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report by</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The Ad Hoc Committee on Peritonitis Management</w:t>
      </w:r>
      <w:r w:rsidRPr="008C0625">
        <w:rPr>
          <w:rFonts w:ascii="Book Antiqua" w:hAnsi="Book Antiqua" w:cs="Times New Roman"/>
          <w:color w:val="000000" w:themeColor="text1"/>
          <w:sz w:val="24"/>
          <w:szCs w:val="24"/>
          <w:vertAlign w:val="superscript"/>
        </w:rPr>
        <w:t>[8]</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recommended</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the initial use of</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vancomycin plus an</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 xml:space="preserve">aminoglycoside, both by an intermittent </w:t>
      </w:r>
      <w:r w:rsidR="009418F8" w:rsidRPr="008C0625">
        <w:rPr>
          <w:rFonts w:ascii="Book Antiqua" w:hAnsi="Book Antiqua" w:cs="Times New Roman"/>
          <w:color w:val="000000" w:themeColor="text1"/>
          <w:sz w:val="24"/>
          <w:szCs w:val="24"/>
        </w:rPr>
        <w:t>IP</w:t>
      </w:r>
      <w:r w:rsidRPr="008C0625">
        <w:rPr>
          <w:rFonts w:ascii="Book Antiqua" w:hAnsi="Book Antiqua" w:cs="Times New Roman"/>
          <w:color w:val="000000" w:themeColor="text1"/>
          <w:sz w:val="24"/>
          <w:szCs w:val="24"/>
        </w:rPr>
        <w:t xml:space="preserve"> route, or IP injection of vancomycin combined with a third generation cephalosporin.</w:t>
      </w:r>
      <w:r w:rsidR="007C6E22" w:rsidRPr="008C0625">
        <w:rPr>
          <w:rFonts w:ascii="Book Antiqua" w:hAnsi="Book Antiqua" w:cs="Times New Roman"/>
          <w:color w:val="000000" w:themeColor="text1"/>
          <w:sz w:val="24"/>
          <w:szCs w:val="24"/>
        </w:rPr>
        <w:t xml:space="preserve"> </w:t>
      </w:r>
    </w:p>
    <w:p w:rsidR="009147C1" w:rsidRPr="008C0625" w:rsidRDefault="009147C1" w:rsidP="008C0625">
      <w:pPr>
        <w:spacing w:after="0" w:line="360" w:lineRule="auto"/>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ab/>
        <w:t>Results from the empirical prescription of vancomycin plus an aminoglycoside were reported in 23 publications between 1985 and 200</w:t>
      </w:r>
      <w:r w:rsidR="00B77D53" w:rsidRPr="008C0625">
        <w:rPr>
          <w:rFonts w:ascii="Book Antiqua" w:hAnsi="Book Antiqua" w:cs="Times New Roman"/>
          <w:color w:val="000000" w:themeColor="text1"/>
          <w:sz w:val="24"/>
          <w:szCs w:val="24"/>
        </w:rPr>
        <w:t>0, corresponding to more than 1</w:t>
      </w:r>
      <w:r w:rsidRPr="008C0625">
        <w:rPr>
          <w:rFonts w:ascii="Book Antiqua" w:hAnsi="Book Antiqua" w:cs="Times New Roman"/>
          <w:color w:val="000000" w:themeColor="text1"/>
          <w:sz w:val="24"/>
          <w:szCs w:val="24"/>
        </w:rPr>
        <w:t>300 peritonitis episodes. A clinical response above 80% was reported in almost all of the series. In the series with the largest number of consecutive episodes (241 cases), the authors observed a resolution rate of 86%.</w:t>
      </w:r>
      <w:r w:rsidR="007C6E22" w:rsidRPr="008C0625">
        <w:rPr>
          <w:rFonts w:ascii="Book Antiqua" w:hAnsi="Book Antiqua" w:cs="Times New Roman"/>
          <w:color w:val="000000" w:themeColor="text1"/>
          <w:sz w:val="24"/>
          <w:szCs w:val="24"/>
        </w:rPr>
        <w:t xml:space="preserve"> </w:t>
      </w:r>
    </w:p>
    <w:p w:rsidR="009147C1" w:rsidRPr="008C0625" w:rsidRDefault="009147C1" w:rsidP="008C0625">
      <w:pPr>
        <w:spacing w:after="0" w:line="360" w:lineRule="auto"/>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ab/>
        <w:t>Vancomycin associated with ceftazidime was used in four studies, with a total of 302 episodes, resulting in a resolution rate above 90%.</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In the study with the largest number of cases (102 episodes</w:t>
      </w:r>
      <w:r w:rsidR="00FC161E" w:rsidRPr="008C0625">
        <w:rPr>
          <w:rFonts w:ascii="Book Antiqua" w:hAnsi="Book Antiqua" w:cs="Times New Roman"/>
          <w:color w:val="000000" w:themeColor="text1"/>
          <w:sz w:val="24"/>
          <w:szCs w:val="24"/>
        </w:rPr>
        <w:t>) a</w:t>
      </w:r>
      <w:r w:rsidRPr="008C0625">
        <w:rPr>
          <w:rFonts w:ascii="Book Antiqua" w:hAnsi="Book Antiqua" w:cs="Times New Roman"/>
          <w:color w:val="000000" w:themeColor="text1"/>
          <w:sz w:val="24"/>
          <w:szCs w:val="24"/>
        </w:rPr>
        <w:t xml:space="preserve"> cure rate of 92% was </w:t>
      </w:r>
      <w:r w:rsidR="00FC161E" w:rsidRPr="008C0625">
        <w:rPr>
          <w:rFonts w:ascii="Book Antiqua" w:hAnsi="Book Antiqua" w:cs="Times New Roman"/>
          <w:color w:val="000000" w:themeColor="text1"/>
          <w:sz w:val="24"/>
          <w:szCs w:val="24"/>
        </w:rPr>
        <w:t>reported</w:t>
      </w:r>
      <w:r w:rsidR="00FC161E" w:rsidRPr="008C0625">
        <w:rPr>
          <w:rFonts w:ascii="Book Antiqua" w:hAnsi="Book Antiqua" w:cs="Times New Roman"/>
          <w:color w:val="000000" w:themeColor="text1"/>
          <w:sz w:val="24"/>
          <w:szCs w:val="24"/>
          <w:vertAlign w:val="superscript"/>
        </w:rPr>
        <w:t>[15]</w:t>
      </w:r>
      <w:r w:rsidRPr="008C0625">
        <w:rPr>
          <w:rFonts w:ascii="Book Antiqua" w:hAnsi="Book Antiqua" w:cs="Times New Roman"/>
          <w:color w:val="000000" w:themeColor="text1"/>
          <w:sz w:val="24"/>
          <w:szCs w:val="24"/>
        </w:rPr>
        <w:t xml:space="preserve">. </w:t>
      </w:r>
    </w:p>
    <w:p w:rsidR="009147C1" w:rsidRPr="008C0625" w:rsidRDefault="009147C1" w:rsidP="008C0625">
      <w:pPr>
        <w:spacing w:after="0" w:line="360" w:lineRule="auto"/>
        <w:ind w:firstLine="708"/>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The third report of The Ad Hoc Committee on Peritonitis Management</w:t>
      </w:r>
      <w:r w:rsidRPr="008C0625">
        <w:rPr>
          <w:rFonts w:ascii="Book Antiqua" w:hAnsi="Book Antiqua" w:cs="Times New Roman"/>
          <w:i/>
          <w:color w:val="000000" w:themeColor="text1"/>
          <w:sz w:val="24"/>
          <w:szCs w:val="24"/>
        </w:rPr>
        <w:t xml:space="preserve"> </w:t>
      </w:r>
      <w:r w:rsidR="00B77D53" w:rsidRPr="008C0625">
        <w:rPr>
          <w:rFonts w:ascii="Book Antiqua" w:hAnsi="Book Antiqua" w:cs="Times New Roman"/>
          <w:color w:val="000000" w:themeColor="text1"/>
          <w:sz w:val="24"/>
          <w:szCs w:val="24"/>
        </w:rPr>
        <w:t>was published in 1996</w:t>
      </w:r>
      <w:r w:rsidRPr="008C0625">
        <w:rPr>
          <w:rFonts w:ascii="Book Antiqua" w:hAnsi="Book Antiqua" w:cs="Times New Roman"/>
          <w:color w:val="000000" w:themeColor="text1"/>
          <w:sz w:val="24"/>
          <w:szCs w:val="24"/>
          <w:vertAlign w:val="superscript"/>
        </w:rPr>
        <w:t>[9]</w:t>
      </w:r>
      <w:r w:rsidRPr="008C0625">
        <w:rPr>
          <w:rFonts w:ascii="Book Antiqua" w:hAnsi="Book Antiqua" w:cs="Times New Roman"/>
          <w:color w:val="000000" w:themeColor="text1"/>
          <w:sz w:val="24"/>
          <w:szCs w:val="24"/>
        </w:rPr>
        <w:t>. Based on the emergence of vancomycin-resistant enterococci</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 xml:space="preserve">and the possibility of gene transfer or resistance to </w:t>
      </w:r>
      <w:r w:rsidRPr="008C0625">
        <w:rPr>
          <w:rFonts w:ascii="Book Antiqua" w:hAnsi="Book Antiqua" w:cs="Times New Roman"/>
          <w:i/>
          <w:color w:val="000000" w:themeColor="text1"/>
          <w:sz w:val="24"/>
          <w:szCs w:val="24"/>
        </w:rPr>
        <w:t>Staphylococcus aureus</w:t>
      </w:r>
      <w:r w:rsidRPr="008C0625">
        <w:rPr>
          <w:rFonts w:ascii="Book Antiqua" w:hAnsi="Book Antiqua" w:cs="Times New Roman"/>
          <w:color w:val="000000" w:themeColor="text1"/>
          <w:sz w:val="24"/>
          <w:szCs w:val="24"/>
        </w:rPr>
        <w:t xml:space="preserve">, that document recommended the non-use of vancomycin in the empirical treatment of peritonitis. The combination of a first generation cephalosporin with an aminoglycoside again became the recommended empirical treatment for PD-related peritonitis. </w:t>
      </w:r>
    </w:p>
    <w:p w:rsidR="009147C1" w:rsidRPr="008C0625" w:rsidRDefault="009147C1" w:rsidP="008C0625">
      <w:pPr>
        <w:spacing w:after="0" w:line="360" w:lineRule="auto"/>
        <w:ind w:firstLine="708"/>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Between the publication of the third report of The Ad Hoc Commitee on Peritonitis Management and its fourth version in</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2000</w:t>
      </w:r>
      <w:r w:rsidRPr="008C0625">
        <w:rPr>
          <w:rFonts w:ascii="Book Antiqua" w:hAnsi="Book Antiqua" w:cs="Times New Roman"/>
          <w:color w:val="000000" w:themeColor="text1"/>
          <w:sz w:val="24"/>
          <w:szCs w:val="24"/>
          <w:vertAlign w:val="superscript"/>
        </w:rPr>
        <w:t>[10]</w:t>
      </w:r>
      <w:r w:rsidRPr="008C0625">
        <w:rPr>
          <w:rFonts w:ascii="Book Antiqua" w:hAnsi="Book Antiqua" w:cs="Times New Roman"/>
          <w:color w:val="000000" w:themeColor="text1"/>
          <w:sz w:val="24"/>
          <w:szCs w:val="24"/>
        </w:rPr>
        <w:t>, the results obtained with this protocol we</w:t>
      </w:r>
      <w:r w:rsidR="00B77D53" w:rsidRPr="008C0625">
        <w:rPr>
          <w:rFonts w:ascii="Book Antiqua" w:hAnsi="Book Antiqua" w:cs="Times New Roman"/>
          <w:color w:val="000000" w:themeColor="text1"/>
          <w:sz w:val="24"/>
          <w:szCs w:val="24"/>
        </w:rPr>
        <w:t>re reported in six publications</w:t>
      </w:r>
      <w:r w:rsidRPr="008C0625">
        <w:rPr>
          <w:rFonts w:ascii="Book Antiqua" w:hAnsi="Book Antiqua" w:cs="Times New Roman"/>
          <w:color w:val="000000" w:themeColor="text1"/>
          <w:sz w:val="24"/>
          <w:szCs w:val="24"/>
          <w:vertAlign w:val="superscript"/>
        </w:rPr>
        <w:t>[14]</w:t>
      </w:r>
      <w:r w:rsidRPr="008C0625">
        <w:rPr>
          <w:rFonts w:ascii="Book Antiqua" w:hAnsi="Book Antiqua" w:cs="Times New Roman"/>
          <w:color w:val="000000" w:themeColor="text1"/>
          <w:sz w:val="24"/>
          <w:szCs w:val="24"/>
        </w:rPr>
        <w:t>. In five of these reports, the resolution rate was over 75%. In our center, a study reporting 34 peritonitis episodes demonstrated complet</w:t>
      </w:r>
      <w:r w:rsidR="00B77D53" w:rsidRPr="008C0625">
        <w:rPr>
          <w:rFonts w:ascii="Book Antiqua" w:hAnsi="Book Antiqua" w:cs="Times New Roman"/>
          <w:color w:val="000000" w:themeColor="text1"/>
          <w:sz w:val="24"/>
          <w:szCs w:val="24"/>
        </w:rPr>
        <w:t>e cure in only 55% of the cases</w:t>
      </w:r>
      <w:r w:rsidRPr="008C0625">
        <w:rPr>
          <w:rFonts w:ascii="Book Antiqua" w:hAnsi="Book Antiqua" w:cs="Times New Roman"/>
          <w:color w:val="000000" w:themeColor="text1"/>
          <w:sz w:val="24"/>
          <w:szCs w:val="24"/>
          <w:vertAlign w:val="superscript"/>
        </w:rPr>
        <w:t>[16]</w:t>
      </w:r>
      <w:r w:rsidRPr="008C0625">
        <w:rPr>
          <w:rFonts w:ascii="Book Antiqua" w:hAnsi="Book Antiqua" w:cs="Times New Roman"/>
          <w:color w:val="000000" w:themeColor="text1"/>
          <w:sz w:val="24"/>
          <w:szCs w:val="24"/>
        </w:rPr>
        <w:t xml:space="preserve">. </w:t>
      </w:r>
    </w:p>
    <w:p w:rsidR="007B1032" w:rsidRPr="008C0625" w:rsidRDefault="007B1032" w:rsidP="008C0625">
      <w:pPr>
        <w:spacing w:after="0" w:line="360" w:lineRule="auto"/>
        <w:jc w:val="both"/>
        <w:rPr>
          <w:rFonts w:ascii="Book Antiqua" w:hAnsi="Book Antiqua" w:cs="Times New Roman"/>
          <w:b/>
          <w:color w:val="000000" w:themeColor="text1"/>
          <w:sz w:val="24"/>
          <w:szCs w:val="24"/>
          <w:lang w:eastAsia="zh-CN"/>
        </w:rPr>
      </w:pPr>
    </w:p>
    <w:p w:rsidR="009147C1" w:rsidRPr="008C0625" w:rsidRDefault="009147C1" w:rsidP="008C0625">
      <w:pPr>
        <w:spacing w:after="0" w:line="360" w:lineRule="auto"/>
        <w:jc w:val="both"/>
        <w:rPr>
          <w:rFonts w:ascii="Book Antiqua" w:hAnsi="Book Antiqua" w:cs="Times New Roman"/>
          <w:b/>
          <w:color w:val="000000" w:themeColor="text1"/>
          <w:sz w:val="24"/>
          <w:szCs w:val="24"/>
        </w:rPr>
      </w:pPr>
      <w:r w:rsidRPr="008C0625">
        <w:rPr>
          <w:rFonts w:ascii="Book Antiqua" w:hAnsi="Book Antiqua" w:cs="Times New Roman"/>
          <w:b/>
          <w:color w:val="000000" w:themeColor="text1"/>
          <w:sz w:val="24"/>
          <w:szCs w:val="24"/>
        </w:rPr>
        <w:t>SYSTEMATIC REVIEWS</w:t>
      </w:r>
    </w:p>
    <w:p w:rsidR="009147C1" w:rsidRPr="008C0625" w:rsidRDefault="00B77D53" w:rsidP="008C0625">
      <w:pPr>
        <w:spacing w:after="0" w:line="360" w:lineRule="auto"/>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 xml:space="preserve">Wiggins </w:t>
      </w:r>
      <w:r w:rsidRPr="008C0625">
        <w:rPr>
          <w:rFonts w:ascii="Book Antiqua" w:hAnsi="Book Antiqua" w:cs="Times New Roman"/>
          <w:i/>
          <w:color w:val="000000" w:themeColor="text1"/>
          <w:sz w:val="24"/>
          <w:szCs w:val="24"/>
        </w:rPr>
        <w:t>et al</w:t>
      </w:r>
      <w:r w:rsidR="009147C1" w:rsidRPr="008C0625">
        <w:rPr>
          <w:rFonts w:ascii="Book Antiqua" w:hAnsi="Book Antiqua" w:cs="Times New Roman"/>
          <w:color w:val="000000" w:themeColor="text1"/>
          <w:sz w:val="24"/>
          <w:szCs w:val="24"/>
          <w:vertAlign w:val="superscript"/>
        </w:rPr>
        <w:t>[17]</w:t>
      </w:r>
      <w:r w:rsidR="009147C1" w:rsidRPr="008C0625">
        <w:rPr>
          <w:rFonts w:ascii="Book Antiqua" w:hAnsi="Book Antiqua" w:cs="Times New Roman"/>
          <w:color w:val="000000" w:themeColor="text1"/>
          <w:sz w:val="24"/>
          <w:szCs w:val="24"/>
        </w:rPr>
        <w:t xml:space="preserve"> published a systematic review of randomized controlled trials (RCTs) on PD-related peritonitis in 2007. The study included 36 trials published from 1985 to 2006. The results indicated that there was no superior antimicrobial agent or regimen, although glycopeptide-based regimens achieved a significantly higher complete cure rate (three studies, 370 episodes) than first-generation cephalosporin-based regimens. Vancomycin and teicoplanin resulted in similar treatment failure and relapse rates (two trials, 178 participants). Equivalent treatment failure rates and risk of relapse were observed between IP intermittent or continuous antibiotic administration (four</w:t>
      </w:r>
      <w:r w:rsidR="00D27816" w:rsidRPr="008C0625">
        <w:rPr>
          <w:rFonts w:ascii="Book Antiqua" w:hAnsi="Book Antiqua" w:cs="Times New Roman"/>
          <w:color w:val="000000" w:themeColor="text1"/>
          <w:sz w:val="24"/>
          <w:szCs w:val="24"/>
        </w:rPr>
        <w:t xml:space="preserve"> </w:t>
      </w:r>
      <w:r w:rsidR="009147C1" w:rsidRPr="008C0625">
        <w:rPr>
          <w:rFonts w:ascii="Book Antiqua" w:hAnsi="Book Antiqua" w:cs="Times New Roman"/>
          <w:color w:val="000000" w:themeColor="text1"/>
          <w:sz w:val="24"/>
          <w:szCs w:val="24"/>
        </w:rPr>
        <w:t>trials, 338 participants), while one trial with 75 patients showed an advantages of IP antibiotics over intravenous therapy. Based on one trial with 37 patients with relapsing or persistent peritonitis, simultaneous catheter removal/replacement was demonstrated to be superior to urokinase at reducing treatment failure rates. Catheter removal was not decreased by urokinase treatment compared with placebo (two trials, 168 participants). Based on one trial with 36 patients, there was no statistically significant difference in clinical response within a 24-hour period of peritoneal lavage when compared to non-lavage.</w:t>
      </w:r>
    </w:p>
    <w:p w:rsidR="009147C1" w:rsidRPr="008C0625" w:rsidRDefault="009418F8" w:rsidP="008C0625">
      <w:pPr>
        <w:spacing w:after="0" w:line="360" w:lineRule="auto"/>
        <w:ind w:firstLine="708"/>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Recently, Ballinger</w:t>
      </w:r>
      <w:r w:rsidRPr="008C0625">
        <w:rPr>
          <w:rFonts w:ascii="Book Antiqua" w:hAnsi="Book Antiqua" w:cs="Times New Roman"/>
          <w:i/>
          <w:color w:val="000000" w:themeColor="text1"/>
          <w:sz w:val="24"/>
          <w:szCs w:val="24"/>
        </w:rPr>
        <w:t xml:space="preserve"> et al</w:t>
      </w:r>
      <w:r w:rsidR="009147C1" w:rsidRPr="008C0625">
        <w:rPr>
          <w:rFonts w:ascii="Book Antiqua" w:hAnsi="Book Antiqua" w:cs="Times New Roman"/>
          <w:color w:val="000000" w:themeColor="text1"/>
          <w:sz w:val="24"/>
          <w:szCs w:val="24"/>
          <w:vertAlign w:val="superscript"/>
        </w:rPr>
        <w:t>[18]</w:t>
      </w:r>
      <w:r w:rsidR="009147C1" w:rsidRPr="008C0625">
        <w:rPr>
          <w:rFonts w:ascii="Book Antiqua" w:hAnsi="Book Antiqua" w:cs="Times New Roman"/>
          <w:color w:val="000000" w:themeColor="text1"/>
          <w:sz w:val="24"/>
          <w:szCs w:val="24"/>
        </w:rPr>
        <w:t>, from the same group of investigators, published an update of this systematic review. The authors included RCTs and quasi-RCTs to assess the treatment of peritonitis in adults and children. In total, there were 42 studies publi</w:t>
      </w:r>
      <w:r w:rsidRPr="008C0625">
        <w:rPr>
          <w:rFonts w:ascii="Book Antiqua" w:hAnsi="Book Antiqua" w:cs="Times New Roman"/>
          <w:color w:val="000000" w:themeColor="text1"/>
          <w:sz w:val="24"/>
          <w:szCs w:val="24"/>
        </w:rPr>
        <w:t>shed up to March 5 2014, with 3</w:t>
      </w:r>
      <w:r w:rsidR="009147C1" w:rsidRPr="008C0625">
        <w:rPr>
          <w:rFonts w:ascii="Book Antiqua" w:hAnsi="Book Antiqua" w:cs="Times New Roman"/>
          <w:color w:val="000000" w:themeColor="text1"/>
          <w:sz w:val="24"/>
          <w:szCs w:val="24"/>
        </w:rPr>
        <w:t>013 episodes of peritonitis. Their results were similar to the previous analysis; the authors did not identify any optimal antibiotic agent or combination of agents. The advantages of a glycopeptide-based regimen over those based on a first generation cephalosporin regarding complete cure rate were demonstrated (three studies, 370 participants). However, no differences between these regimens have been found when the endpoints were primary treatment failure (two studies, 305 participants), relapse (3 studies, 350 participants), catheter removal (twos</w:t>
      </w:r>
      <w:r w:rsidR="00D27816" w:rsidRPr="008C0625">
        <w:rPr>
          <w:rFonts w:ascii="Book Antiqua" w:hAnsi="Book Antiqua" w:cs="Times New Roman"/>
          <w:color w:val="000000" w:themeColor="text1"/>
          <w:sz w:val="24"/>
          <w:szCs w:val="24"/>
        </w:rPr>
        <w:t xml:space="preserve"> </w:t>
      </w:r>
      <w:r w:rsidR="009147C1" w:rsidRPr="008C0625">
        <w:rPr>
          <w:rFonts w:ascii="Book Antiqua" w:hAnsi="Book Antiqua" w:cs="Times New Roman"/>
          <w:color w:val="000000" w:themeColor="text1"/>
          <w:sz w:val="24"/>
          <w:szCs w:val="24"/>
        </w:rPr>
        <w:t>tudies, 305 participants), and microbiological eradication (one study, 45 participants). Similarities between vancomycin and teicoplanin in the treatment failure and relapse were shown, although the authors provided new information, showing that the primary treatment failure rate was lower with teicoplanin than vancomycin (two studies, 138 participants).</w:t>
      </w:r>
      <w:r w:rsidR="007C6E22" w:rsidRPr="008C0625">
        <w:rPr>
          <w:rFonts w:ascii="Book Antiqua" w:hAnsi="Book Antiqua" w:cs="Times New Roman"/>
          <w:color w:val="000000" w:themeColor="text1"/>
          <w:sz w:val="24"/>
          <w:szCs w:val="24"/>
        </w:rPr>
        <w:t xml:space="preserve"> </w:t>
      </w:r>
      <w:r w:rsidR="009147C1" w:rsidRPr="008C0625">
        <w:rPr>
          <w:rFonts w:ascii="Book Antiqua" w:hAnsi="Book Antiqua" w:cs="Times New Roman"/>
          <w:color w:val="000000" w:themeColor="text1"/>
          <w:sz w:val="24"/>
          <w:szCs w:val="24"/>
        </w:rPr>
        <w:t>Similar to the previous systematic review, comparisons between IP intermittent or continuous antibiotic administration showed no difference in the complete cure and relapse rates (four studies, 338 participants). The results were updated for primary treatment failure (five studies, 522 participants) and the catheter removal rate (1 study, 20 participants); no differences between the two forms of antibiotics were found. A preference for IP antibiotics (vancomycin and tobramycin) over intravenous administration was newly stated based on one study with 75 patients. In addition, based on one study, comparisons of the adverse effects of these antibiotic administration routes were included. No significant differences were observed in the incidence of hypotension (76 participants), cutaneous rash (20 participants), and infusion pain (20 participants).</w:t>
      </w:r>
      <w:r w:rsidR="007C6E22" w:rsidRPr="008C0625">
        <w:rPr>
          <w:rFonts w:ascii="Book Antiqua" w:hAnsi="Book Antiqua" w:cs="Times New Roman"/>
          <w:color w:val="000000" w:themeColor="text1"/>
          <w:sz w:val="24"/>
          <w:szCs w:val="24"/>
        </w:rPr>
        <w:t xml:space="preserve"> </w:t>
      </w:r>
      <w:r w:rsidR="009147C1" w:rsidRPr="008C0625">
        <w:rPr>
          <w:rFonts w:ascii="Book Antiqua" w:hAnsi="Book Antiqua" w:cs="Times New Roman"/>
          <w:color w:val="000000" w:themeColor="text1"/>
          <w:sz w:val="24"/>
          <w:szCs w:val="24"/>
        </w:rPr>
        <w:t xml:space="preserve">The advantage of simultaneous catheter removal/replacement over urokinase at reducing treatment failure rate was rewritten (one study, 37 participants), but the authors presented new information on comparisons between fibrinolytic agents and non-urokinase or placebo. No significant differences were found in the following outcomes: complete cure rate (one study, 88 participants), primary treatment failure (two studies, 99 participants), relapse in persistent peritonitis (2 studies, 101 patients), relapse when fibrinolytic therapy was initiated at the time peritonitis was diagnosed (one study, 80 participants), catheter removal (2 studies, 116 participants), and all-cause mortality (1 study, 88 participants). Finally, the study found that there is no advantage to a 24-h period of peritoneal lavage compared to non-lavage (one study, 36 participants). </w:t>
      </w:r>
    </w:p>
    <w:p w:rsidR="009147C1" w:rsidRPr="008C0625" w:rsidRDefault="009147C1" w:rsidP="008C0625">
      <w:pPr>
        <w:spacing w:after="0" w:line="360" w:lineRule="auto"/>
        <w:jc w:val="both"/>
        <w:rPr>
          <w:rFonts w:ascii="Book Antiqua" w:hAnsi="Book Antiqua" w:cs="Times New Roman"/>
          <w:b/>
          <w:color w:val="000000" w:themeColor="text1"/>
          <w:sz w:val="24"/>
          <w:szCs w:val="24"/>
        </w:rPr>
      </w:pPr>
    </w:p>
    <w:p w:rsidR="009147C1" w:rsidRPr="008C0625" w:rsidRDefault="009147C1" w:rsidP="008C0625">
      <w:pPr>
        <w:spacing w:after="0" w:line="360" w:lineRule="auto"/>
        <w:jc w:val="both"/>
        <w:rPr>
          <w:rFonts w:ascii="Book Antiqua" w:hAnsi="Book Antiqua" w:cs="Times New Roman"/>
          <w:b/>
          <w:color w:val="000000" w:themeColor="text1"/>
          <w:sz w:val="24"/>
          <w:szCs w:val="24"/>
          <w:lang w:eastAsia="zh-CN"/>
        </w:rPr>
      </w:pPr>
      <w:r w:rsidRPr="008C0625">
        <w:rPr>
          <w:rFonts w:ascii="Book Antiqua" w:hAnsi="Book Antiqua" w:cs="Times New Roman"/>
          <w:b/>
          <w:color w:val="000000" w:themeColor="text1"/>
          <w:sz w:val="24"/>
          <w:szCs w:val="24"/>
        </w:rPr>
        <w:t>PROPORTIONAL META-ANALYSIS</w:t>
      </w:r>
    </w:p>
    <w:p w:rsidR="009147C1" w:rsidRPr="008C0625" w:rsidRDefault="009147C1"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rPr>
        <w:t xml:space="preserve">One limitation of systematic review studies is the exclusion of a large number of publications with a large number of patients and episodes of peritonitis. Most of these excluded studies were case series. In turn, their authors have noted the inclusion of many trials with small </w:t>
      </w:r>
      <w:r w:rsidR="00B77D53" w:rsidRPr="008C0625">
        <w:rPr>
          <w:rFonts w:ascii="Book Antiqua" w:hAnsi="Book Antiqua"/>
          <w:color w:val="000000" w:themeColor="text1"/>
          <w:sz w:val="24"/>
          <w:szCs w:val="24"/>
        </w:rPr>
        <w:t>patient numbers as a limitation</w:t>
      </w:r>
      <w:r w:rsidRPr="008C0625">
        <w:rPr>
          <w:rFonts w:ascii="Book Antiqua" w:hAnsi="Book Antiqua"/>
          <w:color w:val="000000" w:themeColor="text1"/>
          <w:sz w:val="24"/>
          <w:szCs w:val="24"/>
          <w:vertAlign w:val="superscript"/>
        </w:rPr>
        <w:t>[17,18]</w:t>
      </w:r>
      <w:r w:rsidRPr="008C0625">
        <w:rPr>
          <w:rFonts w:ascii="Book Antiqua" w:hAnsi="Book Antiqua"/>
          <w:color w:val="000000" w:themeColor="text1"/>
          <w:sz w:val="24"/>
          <w:szCs w:val="24"/>
        </w:rPr>
        <w:t>. In an attempt to overcome these limitations, our center is employing an alternative methodology: the proportional meta-analysis to examine possible differences among therapeutic protocols. This method has been used in other clinical settings</w:t>
      </w:r>
      <w:r w:rsidR="00B77D53" w:rsidRPr="008C0625">
        <w:rPr>
          <w:rFonts w:ascii="Book Antiqua" w:hAnsi="Book Antiqua"/>
          <w:color w:val="000000" w:themeColor="text1"/>
          <w:sz w:val="24"/>
          <w:szCs w:val="24"/>
          <w:vertAlign w:val="superscript"/>
        </w:rPr>
        <w:t>[19,</w:t>
      </w:r>
      <w:r w:rsidRPr="008C0625">
        <w:rPr>
          <w:rFonts w:ascii="Book Antiqua" w:hAnsi="Book Antiqua"/>
          <w:color w:val="000000" w:themeColor="text1"/>
          <w:sz w:val="24"/>
          <w:szCs w:val="24"/>
          <w:vertAlign w:val="superscript"/>
        </w:rPr>
        <w:t>20]</w:t>
      </w:r>
      <w:r w:rsidRPr="008C0625">
        <w:rPr>
          <w:rFonts w:ascii="Book Antiqua" w:hAnsi="Book Antiqua"/>
          <w:color w:val="000000" w:themeColor="text1"/>
          <w:sz w:val="24"/>
          <w:szCs w:val="24"/>
          <w:vertAlign w:val="subscript"/>
        </w:rPr>
        <w:t xml:space="preserve">, </w:t>
      </w:r>
      <w:r w:rsidRPr="008C0625">
        <w:rPr>
          <w:rFonts w:ascii="Book Antiqua" w:hAnsi="Book Antiqua"/>
          <w:color w:val="000000" w:themeColor="text1"/>
          <w:sz w:val="24"/>
          <w:szCs w:val="24"/>
        </w:rPr>
        <w:t xml:space="preserve">and it is possible to perform a meta-analysis of results from case series. Accordingly, a review of case series and RCTs concerning the treatment of </w:t>
      </w:r>
      <w:r w:rsidRPr="008C0625">
        <w:rPr>
          <w:rFonts w:ascii="Book Antiqua" w:hAnsi="Book Antiqua"/>
          <w:bCs/>
          <w:color w:val="000000" w:themeColor="text1"/>
          <w:sz w:val="24"/>
          <w:szCs w:val="24"/>
        </w:rPr>
        <w:t>PD-related peritonitis</w:t>
      </w:r>
      <w:r w:rsidRPr="008C0625">
        <w:rPr>
          <w:rFonts w:ascii="Book Antiqua" w:hAnsi="Book Antiqua"/>
          <w:color w:val="000000" w:themeColor="text1"/>
          <w:sz w:val="24"/>
          <w:szCs w:val="24"/>
        </w:rPr>
        <w:t xml:space="preserve"> has been developed, focusing on comparing peritonitis resolution with antibiotics or antibiotic combinations more frequently recommended by the ISPD guidelines for empirical treatment of peritonitis and peritonitis due to gram positive or gram negative bacteria</w:t>
      </w:r>
      <w:r w:rsidRPr="008C0625">
        <w:rPr>
          <w:rFonts w:ascii="Book Antiqua" w:hAnsi="Book Antiqua"/>
          <w:color w:val="000000" w:themeColor="text1"/>
          <w:sz w:val="24"/>
          <w:szCs w:val="24"/>
          <w:vertAlign w:val="superscript"/>
        </w:rPr>
        <w:t>[21]</w:t>
      </w:r>
      <w:r w:rsidRPr="008C0625">
        <w:rPr>
          <w:rFonts w:ascii="Book Antiqua" w:hAnsi="Book Antiqua"/>
          <w:color w:val="000000" w:themeColor="text1"/>
          <w:sz w:val="24"/>
          <w:szCs w:val="24"/>
        </w:rPr>
        <w:t xml:space="preserve">. </w:t>
      </w:r>
    </w:p>
    <w:p w:rsidR="009147C1" w:rsidRPr="008C0625" w:rsidRDefault="009147C1" w:rsidP="008C0625">
      <w:pPr>
        <w:widowControl w:val="0"/>
        <w:autoSpaceDE w:val="0"/>
        <w:autoSpaceDN w:val="0"/>
        <w:adjustRightInd w:val="0"/>
        <w:spacing w:after="0" w:line="360" w:lineRule="auto"/>
        <w:ind w:firstLine="706"/>
        <w:jc w:val="both"/>
        <w:rPr>
          <w:rFonts w:ascii="Book Antiqua" w:hAnsi="Book Antiqua"/>
          <w:color w:val="000000" w:themeColor="text1"/>
          <w:sz w:val="24"/>
          <w:szCs w:val="24"/>
          <w:lang w:eastAsia="zh-CN"/>
        </w:rPr>
      </w:pPr>
      <w:r w:rsidRPr="008C0625">
        <w:rPr>
          <w:rFonts w:ascii="Book Antiqua" w:hAnsi="Book Antiqua"/>
          <w:color w:val="000000" w:themeColor="text1"/>
          <w:sz w:val="24"/>
          <w:szCs w:val="24"/>
        </w:rPr>
        <w:t>Studies were obtained between 1966 and January 2013, using the following sources: U</w:t>
      </w:r>
      <w:r w:rsidR="00B77D53" w:rsidRPr="008C0625">
        <w:rPr>
          <w:rFonts w:ascii="Book Antiqua" w:hAnsi="Book Antiqua"/>
          <w:color w:val="000000" w:themeColor="text1"/>
          <w:sz w:val="24"/>
          <w:szCs w:val="24"/>
          <w:lang w:eastAsia="zh-CN"/>
        </w:rPr>
        <w:t xml:space="preserve">nited States </w:t>
      </w:r>
      <w:r w:rsidRPr="008C0625">
        <w:rPr>
          <w:rFonts w:ascii="Book Antiqua" w:hAnsi="Book Antiqua"/>
          <w:color w:val="000000" w:themeColor="text1"/>
          <w:sz w:val="24"/>
          <w:szCs w:val="24"/>
        </w:rPr>
        <w:t>National Library of Medicine, Excerpta Medica database, and Literatura Latino-Americana e do Caribe em Ciências da Saúde. Peritonitis was defined according to the authors in accordance with the contemporary ISPD guidelines</w:t>
      </w:r>
      <w:r w:rsidRPr="008C0625">
        <w:rPr>
          <w:rFonts w:ascii="Book Antiqua" w:hAnsi="Book Antiqua"/>
          <w:color w:val="000000" w:themeColor="text1"/>
          <w:sz w:val="24"/>
          <w:szCs w:val="24"/>
          <w:vertAlign w:val="superscript"/>
        </w:rPr>
        <w:t>[7-12]</w:t>
      </w:r>
      <w:r w:rsidRPr="008C0625">
        <w:rPr>
          <w:rFonts w:ascii="Book Antiqua" w:hAnsi="Book Antiqua"/>
          <w:color w:val="000000" w:themeColor="text1"/>
          <w:sz w:val="24"/>
          <w:szCs w:val="24"/>
        </w:rPr>
        <w:t xml:space="preserve">. The criterion for peritonitis resolution was based on definitions used by authors and can vary greatly; the outcome resolution rate was treated as a dichotomous variable (peritonitis resolution </w:t>
      </w:r>
      <w:r w:rsidRPr="008C0625">
        <w:rPr>
          <w:rFonts w:ascii="Book Antiqua" w:hAnsi="Book Antiqua"/>
          <w:i/>
          <w:color w:val="000000" w:themeColor="text1"/>
          <w:sz w:val="24"/>
          <w:szCs w:val="24"/>
        </w:rPr>
        <w:t>vs</w:t>
      </w:r>
      <w:r w:rsidRPr="008C0625">
        <w:rPr>
          <w:rFonts w:ascii="Book Antiqua" w:hAnsi="Book Antiqua"/>
          <w:color w:val="000000" w:themeColor="text1"/>
          <w:sz w:val="24"/>
          <w:szCs w:val="24"/>
        </w:rPr>
        <w:t xml:space="preserve"> non- resolution). </w:t>
      </w:r>
    </w:p>
    <w:p w:rsidR="009147C1" w:rsidRPr="008C0625" w:rsidRDefault="009147C1" w:rsidP="008C0625">
      <w:pPr>
        <w:spacing w:after="0" w:line="360" w:lineRule="auto"/>
        <w:ind w:firstLine="708"/>
        <w:jc w:val="both"/>
        <w:rPr>
          <w:rFonts w:ascii="Book Antiqua" w:hAnsi="Book Antiqua"/>
          <w:color w:val="000000" w:themeColor="text1"/>
          <w:sz w:val="24"/>
          <w:szCs w:val="24"/>
        </w:rPr>
      </w:pPr>
      <w:r w:rsidRPr="008C0625">
        <w:rPr>
          <w:rFonts w:ascii="Book Antiqua" w:hAnsi="Book Antiqua"/>
          <w:color w:val="000000" w:themeColor="text1"/>
          <w:sz w:val="24"/>
          <w:szCs w:val="24"/>
        </w:rPr>
        <w:t xml:space="preserve">For first generation cephalosporins, we included the following: cefazolin, cephalotin, and cephaloridine. The only third generation cephalosporin we analyzed was ceftazidime. For aminoglycosides, we included gentamicin, amikacin, netilmicin and tobramycin. Vancomycin and teicoplanin were considered in the analysis as glycopeptides. Finally, ciprofloxacin, levofloxacin and ofloxacin were the fluoroquinolones included. </w:t>
      </w:r>
    </w:p>
    <w:p w:rsidR="009147C1" w:rsidRPr="008C0625" w:rsidRDefault="009147C1" w:rsidP="008C0625">
      <w:pPr>
        <w:spacing w:after="0" w:line="360" w:lineRule="auto"/>
        <w:ind w:firstLine="708"/>
        <w:jc w:val="both"/>
        <w:rPr>
          <w:rFonts w:ascii="Book Antiqua" w:hAnsi="Book Antiqua"/>
          <w:color w:val="000000" w:themeColor="text1"/>
          <w:sz w:val="24"/>
          <w:szCs w:val="24"/>
        </w:rPr>
      </w:pPr>
      <w:r w:rsidRPr="008C0625">
        <w:rPr>
          <w:rFonts w:ascii="Book Antiqua" w:hAnsi="Book Antiqua"/>
          <w:color w:val="000000" w:themeColor="text1"/>
          <w:sz w:val="24"/>
          <w:szCs w:val="24"/>
        </w:rPr>
        <w:t xml:space="preserve">After screening by title and abstract, we obtained full paper copies of 140 eligible studies </w:t>
      </w:r>
      <w:r w:rsidRPr="008C0625">
        <w:rPr>
          <w:rFonts w:ascii="Book Antiqua" w:hAnsi="Book Antiqua"/>
          <w:bCs/>
          <w:color w:val="000000" w:themeColor="text1"/>
          <w:sz w:val="24"/>
          <w:szCs w:val="24"/>
        </w:rPr>
        <w:t>reporting antibiotic therapy for PD-related peritonitis</w:t>
      </w:r>
      <w:r w:rsidRPr="008C0625">
        <w:rPr>
          <w:rFonts w:ascii="Book Antiqua" w:hAnsi="Book Antiqua"/>
          <w:color w:val="000000" w:themeColor="text1"/>
          <w:sz w:val="24"/>
          <w:szCs w:val="24"/>
        </w:rPr>
        <w:t xml:space="preserve">. However, after applying the inclusion and exclusion criteria, only 43 studies (26 case series and 17 RCT) were acceptable for a proportional meta-analysis. </w:t>
      </w:r>
    </w:p>
    <w:p w:rsidR="009147C1" w:rsidRPr="008C0625" w:rsidRDefault="009147C1" w:rsidP="008C0625">
      <w:pPr>
        <w:spacing w:after="0" w:line="360" w:lineRule="auto"/>
        <w:ind w:firstLine="708"/>
        <w:jc w:val="both"/>
        <w:rPr>
          <w:rFonts w:ascii="Book Antiqua" w:hAnsi="Book Antiqua"/>
          <w:color w:val="000000" w:themeColor="text1"/>
          <w:sz w:val="24"/>
          <w:szCs w:val="24"/>
          <w:lang w:eastAsia="zh-CN"/>
        </w:rPr>
      </w:pPr>
      <w:r w:rsidRPr="008C0625">
        <w:rPr>
          <w:rFonts w:ascii="Book Antiqua" w:hAnsi="Book Antiqua"/>
          <w:color w:val="000000" w:themeColor="text1"/>
          <w:sz w:val="24"/>
          <w:szCs w:val="24"/>
        </w:rPr>
        <w:t>Initial treatment with ceftazidime plus a glycopeptide was used in five</w:t>
      </w:r>
      <w:r w:rsidRPr="008C0625">
        <w:rPr>
          <w:rFonts w:ascii="Book Antiqua" w:hAnsi="Book Antiqua"/>
          <w:color w:val="000000" w:themeColor="text1"/>
          <w:sz w:val="24"/>
          <w:szCs w:val="24"/>
          <w:vertAlign w:val="superscript"/>
        </w:rPr>
        <w:t>[15,22-25]</w:t>
      </w:r>
      <w:r w:rsidRPr="008C0625">
        <w:rPr>
          <w:rFonts w:ascii="Book Antiqua" w:hAnsi="Book Antiqua"/>
          <w:color w:val="000000" w:themeColor="text1"/>
          <w:sz w:val="24"/>
          <w:szCs w:val="24"/>
        </w:rPr>
        <w:t xml:space="preserve"> studies with a total of 443 episodes; the pooled resolution rate was 86% (95% CI 0.82</w:t>
      </w:r>
      <w:r w:rsidR="00B77D53" w:rsidRPr="008C0625">
        <w:rPr>
          <w:rFonts w:ascii="Book Antiqua" w:hAnsi="Book Antiqua"/>
          <w:color w:val="000000" w:themeColor="text1"/>
          <w:sz w:val="24"/>
          <w:szCs w:val="24"/>
          <w:lang w:eastAsia="zh-CN"/>
        </w:rPr>
        <w:t>-</w:t>
      </w:r>
      <w:r w:rsidRPr="008C0625">
        <w:rPr>
          <w:rFonts w:ascii="Book Antiqua" w:hAnsi="Book Antiqua"/>
          <w:color w:val="000000" w:themeColor="text1"/>
          <w:sz w:val="24"/>
          <w:szCs w:val="24"/>
        </w:rPr>
        <w:t>0.89). This resolution rate was significantly higher than initial treatment with a first generation cephalosporin plus aminoglycosides (pooled proportion of 66%, 95% CI</w:t>
      </w:r>
      <w:r w:rsidR="009418F8" w:rsidRPr="008C0625">
        <w:rPr>
          <w:rFonts w:ascii="Book Antiqua" w:hAnsi="Book Antiqua"/>
          <w:color w:val="000000" w:themeColor="text1"/>
          <w:sz w:val="24"/>
          <w:szCs w:val="24"/>
          <w:lang w:eastAsia="zh-CN"/>
        </w:rPr>
        <w:t>:</w:t>
      </w:r>
      <w:r w:rsidRPr="008C0625">
        <w:rPr>
          <w:rFonts w:ascii="Book Antiqua" w:hAnsi="Book Antiqua"/>
          <w:color w:val="000000" w:themeColor="text1"/>
          <w:sz w:val="24"/>
          <w:szCs w:val="24"/>
        </w:rPr>
        <w:t xml:space="preserve"> 0.57–0.75) from 14 studies</w:t>
      </w:r>
      <w:r w:rsidRPr="008C0625">
        <w:rPr>
          <w:rFonts w:ascii="Book Antiqua" w:hAnsi="Book Antiqua"/>
          <w:color w:val="000000" w:themeColor="text1"/>
          <w:sz w:val="24"/>
          <w:szCs w:val="24"/>
          <w:vertAlign w:val="superscript"/>
        </w:rPr>
        <w:t>[25-38]</w:t>
      </w:r>
      <w:r w:rsidR="00B77D53" w:rsidRPr="008C0625">
        <w:rPr>
          <w:rFonts w:ascii="Book Antiqua" w:hAnsi="Book Antiqua"/>
          <w:color w:val="000000" w:themeColor="text1"/>
          <w:sz w:val="24"/>
          <w:szCs w:val="24"/>
        </w:rPr>
        <w:t xml:space="preserve"> with a total of 1</w:t>
      </w:r>
      <w:r w:rsidRPr="008C0625">
        <w:rPr>
          <w:rFonts w:ascii="Book Antiqua" w:hAnsi="Book Antiqua"/>
          <w:color w:val="000000" w:themeColor="text1"/>
          <w:sz w:val="24"/>
          <w:szCs w:val="24"/>
        </w:rPr>
        <w:t>438 total episodes (Figure 1). Initial treatment with ceftazidime plus a glycopeptide also showed a higher resolution rate than a glycopeptide plus aminoglycosides</w:t>
      </w:r>
      <w:r w:rsidR="00B77D53" w:rsidRPr="008C0625">
        <w:rPr>
          <w:rFonts w:ascii="Book Antiqua" w:hAnsi="Book Antiqua"/>
          <w:color w:val="000000" w:themeColor="text1"/>
          <w:sz w:val="24"/>
          <w:szCs w:val="24"/>
        </w:rPr>
        <w:t xml:space="preserve"> (pooled proportion of 75%, 95%</w:t>
      </w:r>
      <w:r w:rsidRPr="008C0625">
        <w:rPr>
          <w:rFonts w:ascii="Book Antiqua" w:hAnsi="Book Antiqua"/>
          <w:color w:val="000000" w:themeColor="text1"/>
          <w:sz w:val="24"/>
          <w:szCs w:val="24"/>
        </w:rPr>
        <w:t>CI</w:t>
      </w:r>
      <w:r w:rsidR="00B77D53" w:rsidRPr="008C0625">
        <w:rPr>
          <w:rFonts w:ascii="Book Antiqua" w:hAnsi="Book Antiqua"/>
          <w:color w:val="000000" w:themeColor="text1"/>
          <w:sz w:val="24"/>
          <w:szCs w:val="24"/>
          <w:lang w:eastAsia="zh-CN"/>
        </w:rPr>
        <w:t xml:space="preserve">: </w:t>
      </w:r>
      <w:r w:rsidRPr="008C0625">
        <w:rPr>
          <w:rFonts w:ascii="Book Antiqua" w:hAnsi="Book Antiqua"/>
          <w:color w:val="000000" w:themeColor="text1"/>
          <w:sz w:val="24"/>
          <w:szCs w:val="24"/>
        </w:rPr>
        <w:t>0.69</w:t>
      </w:r>
      <w:r w:rsidR="00B77D53" w:rsidRPr="008C0625">
        <w:rPr>
          <w:rFonts w:ascii="Book Antiqua" w:hAnsi="Book Antiqua"/>
          <w:color w:val="000000" w:themeColor="text1"/>
          <w:sz w:val="24"/>
          <w:szCs w:val="24"/>
          <w:lang w:eastAsia="zh-CN"/>
        </w:rPr>
        <w:t>-</w:t>
      </w:r>
      <w:r w:rsidRPr="008C0625">
        <w:rPr>
          <w:rFonts w:ascii="Book Antiqua" w:hAnsi="Book Antiqua"/>
          <w:color w:val="000000" w:themeColor="text1"/>
          <w:sz w:val="24"/>
          <w:szCs w:val="24"/>
        </w:rPr>
        <w:t>0.80), which was used in 16 studies</w:t>
      </w:r>
      <w:r w:rsidRPr="008C0625">
        <w:rPr>
          <w:rFonts w:ascii="Book Antiqua" w:hAnsi="Book Antiqua"/>
          <w:color w:val="000000" w:themeColor="text1"/>
          <w:sz w:val="24"/>
          <w:szCs w:val="24"/>
          <w:vertAlign w:val="superscript"/>
        </w:rPr>
        <w:t xml:space="preserve">[29-31,38-50] </w:t>
      </w:r>
      <w:r w:rsidRPr="008C0625">
        <w:rPr>
          <w:rFonts w:ascii="Book Antiqua" w:hAnsi="Book Antiqua"/>
          <w:color w:val="000000" w:themeColor="text1"/>
          <w:sz w:val="24"/>
          <w:szCs w:val="24"/>
        </w:rPr>
        <w:t>with a total of 574 episodes (Figure 2).</w:t>
      </w:r>
    </w:p>
    <w:p w:rsidR="009147C1" w:rsidRPr="008C0625" w:rsidRDefault="009147C1" w:rsidP="008C0625">
      <w:pPr>
        <w:pStyle w:val="Heading1"/>
        <w:ind w:firstLine="720"/>
        <w:rPr>
          <w:rFonts w:ascii="Book Antiqua" w:eastAsiaTheme="minorEastAsia" w:hAnsi="Book Antiqua"/>
          <w:b w:val="0"/>
          <w:color w:val="000000" w:themeColor="text1"/>
          <w:lang w:val="en-US" w:eastAsia="zh-CN"/>
        </w:rPr>
      </w:pPr>
      <w:r w:rsidRPr="008C0625">
        <w:rPr>
          <w:rFonts w:ascii="Book Antiqua" w:hAnsi="Book Antiqua"/>
          <w:b w:val="0"/>
          <w:noProof w:val="0"/>
          <w:color w:val="000000" w:themeColor="text1"/>
          <w:lang w:val="en-US"/>
        </w:rPr>
        <w:t xml:space="preserve">The following comparisons showed no statistically significant differences because their CIs overlapped: a first generation cephalosporin plus aminoglycosides </w:t>
      </w:r>
      <w:r w:rsidR="00B77D53" w:rsidRPr="008C0625">
        <w:rPr>
          <w:rFonts w:ascii="Book Antiqua" w:eastAsiaTheme="minorEastAsia" w:hAnsi="Book Antiqua"/>
          <w:b w:val="0"/>
          <w:noProof w:val="0"/>
          <w:color w:val="000000" w:themeColor="text1"/>
          <w:lang w:val="en-US" w:eastAsia="zh-CN"/>
        </w:rPr>
        <w:t>[</w:t>
      </w:r>
      <w:r w:rsidRPr="008C0625">
        <w:rPr>
          <w:rFonts w:ascii="Book Antiqua" w:hAnsi="Book Antiqua"/>
          <w:b w:val="0"/>
          <w:noProof w:val="0"/>
          <w:color w:val="000000" w:themeColor="text1"/>
          <w:lang w:val="en-US"/>
        </w:rPr>
        <w:t>resolution rate</w:t>
      </w:r>
      <w:r w:rsidR="00B77D53" w:rsidRPr="008C0625">
        <w:rPr>
          <w:rFonts w:ascii="Book Antiqua" w:eastAsiaTheme="minorEastAsia" w:hAnsi="Book Antiqua"/>
          <w:b w:val="0"/>
          <w:noProof w:val="0"/>
          <w:color w:val="000000" w:themeColor="text1"/>
          <w:lang w:val="en-US" w:eastAsia="zh-CN"/>
        </w:rPr>
        <w:t xml:space="preserve"> (RR)</w:t>
      </w:r>
      <w:r w:rsidR="00B77D53" w:rsidRPr="008C0625">
        <w:rPr>
          <w:rFonts w:ascii="Book Antiqua" w:hAnsi="Book Antiqua"/>
          <w:b w:val="0"/>
          <w:noProof w:val="0"/>
          <w:color w:val="000000" w:themeColor="text1"/>
          <w:lang w:val="en-US"/>
        </w:rPr>
        <w:t xml:space="preserve"> = 66%, </w:t>
      </w:r>
      <w:r w:rsidR="00B77D53" w:rsidRPr="008C0625">
        <w:rPr>
          <w:rFonts w:ascii="Book Antiqua" w:hAnsi="Book Antiqua"/>
          <w:b w:val="0"/>
          <w:color w:val="000000" w:themeColor="text1"/>
          <w:lang w:val="en-US"/>
        </w:rPr>
        <w:t>95%CI</w:t>
      </w:r>
      <w:r w:rsidR="00B77D53" w:rsidRPr="008C0625">
        <w:rPr>
          <w:rFonts w:ascii="Book Antiqua" w:hAnsi="Book Antiqua"/>
          <w:b w:val="0"/>
          <w:color w:val="000000" w:themeColor="text1"/>
          <w:lang w:val="en-US" w:eastAsia="zh-CN"/>
        </w:rPr>
        <w:t>:</w:t>
      </w:r>
      <w:r w:rsidRPr="008C0625">
        <w:rPr>
          <w:rFonts w:ascii="Book Antiqua" w:hAnsi="Book Antiqua"/>
          <w:b w:val="0"/>
          <w:noProof w:val="0"/>
          <w:color w:val="000000" w:themeColor="text1"/>
          <w:lang w:val="en-US"/>
        </w:rPr>
        <w:t xml:space="preserve"> 0.57</w:t>
      </w:r>
      <w:r w:rsidR="00B77D53" w:rsidRPr="008C0625">
        <w:rPr>
          <w:rFonts w:ascii="Book Antiqua" w:eastAsiaTheme="minorEastAsia" w:hAnsi="Book Antiqua"/>
          <w:b w:val="0"/>
          <w:noProof w:val="0"/>
          <w:color w:val="000000" w:themeColor="text1"/>
          <w:lang w:val="en-US" w:eastAsia="zh-CN"/>
        </w:rPr>
        <w:t>-</w:t>
      </w:r>
      <w:r w:rsidRPr="008C0625">
        <w:rPr>
          <w:rFonts w:ascii="Book Antiqua" w:hAnsi="Book Antiqua"/>
          <w:b w:val="0"/>
          <w:noProof w:val="0"/>
          <w:color w:val="000000" w:themeColor="text1"/>
          <w:lang w:val="en-US"/>
        </w:rPr>
        <w:t>0.75</w:t>
      </w:r>
      <w:r w:rsidR="00B77D53" w:rsidRPr="008C0625">
        <w:rPr>
          <w:rFonts w:ascii="Book Antiqua" w:eastAsiaTheme="minorEastAsia" w:hAnsi="Book Antiqua"/>
          <w:b w:val="0"/>
          <w:noProof w:val="0"/>
          <w:color w:val="000000" w:themeColor="text1"/>
          <w:lang w:val="en-US" w:eastAsia="zh-CN"/>
        </w:rPr>
        <w:t>]</w:t>
      </w:r>
      <w:r w:rsidRPr="008C0625">
        <w:rPr>
          <w:rFonts w:ascii="Book Antiqua" w:hAnsi="Book Antiqua"/>
          <w:b w:val="0"/>
          <w:noProof w:val="0"/>
          <w:color w:val="000000" w:themeColor="text1"/>
          <w:lang w:val="en-US"/>
        </w:rPr>
        <w:t xml:space="preserve"> </w:t>
      </w:r>
      <w:r w:rsidRPr="008C0625">
        <w:rPr>
          <w:rFonts w:ascii="Book Antiqua" w:hAnsi="Book Antiqua"/>
          <w:b w:val="0"/>
          <w:i/>
          <w:noProof w:val="0"/>
          <w:color w:val="000000" w:themeColor="text1"/>
          <w:lang w:val="en-US"/>
        </w:rPr>
        <w:t>vs</w:t>
      </w:r>
      <w:r w:rsidRPr="008C0625">
        <w:rPr>
          <w:rFonts w:ascii="Book Antiqua" w:hAnsi="Book Antiqua"/>
          <w:b w:val="0"/>
          <w:noProof w:val="0"/>
          <w:color w:val="000000" w:themeColor="text1"/>
          <w:lang w:val="en-US"/>
        </w:rPr>
        <w:t xml:space="preserve"> glycopeptides plus aminoglycosides (</w:t>
      </w:r>
      <w:r w:rsidR="00B77D53" w:rsidRPr="008C0625">
        <w:rPr>
          <w:rFonts w:ascii="Book Antiqua" w:eastAsiaTheme="minorEastAsia" w:hAnsi="Book Antiqua"/>
          <w:b w:val="0"/>
          <w:noProof w:val="0"/>
          <w:color w:val="000000" w:themeColor="text1"/>
          <w:lang w:val="en-US" w:eastAsia="zh-CN"/>
        </w:rPr>
        <w:t>RR</w:t>
      </w:r>
      <w:r w:rsidRPr="008C0625">
        <w:rPr>
          <w:rFonts w:ascii="Book Antiqua" w:hAnsi="Book Antiqua"/>
          <w:b w:val="0"/>
          <w:noProof w:val="0"/>
          <w:color w:val="000000" w:themeColor="text1"/>
          <w:lang w:val="en-US"/>
        </w:rPr>
        <w:t xml:space="preserve"> = 75%, </w:t>
      </w:r>
      <w:r w:rsidR="00B77D53" w:rsidRPr="008C0625">
        <w:rPr>
          <w:rFonts w:ascii="Book Antiqua" w:hAnsi="Book Antiqua"/>
          <w:b w:val="0"/>
          <w:color w:val="000000" w:themeColor="text1"/>
          <w:lang w:val="en-US"/>
        </w:rPr>
        <w:t>95%CI</w:t>
      </w:r>
      <w:r w:rsidR="00B77D53" w:rsidRPr="008C0625">
        <w:rPr>
          <w:rFonts w:ascii="Book Antiqua" w:hAnsi="Book Antiqua"/>
          <w:b w:val="0"/>
          <w:color w:val="000000" w:themeColor="text1"/>
          <w:lang w:val="en-US" w:eastAsia="zh-CN"/>
        </w:rPr>
        <w:t>:</w:t>
      </w:r>
      <w:r w:rsidRPr="008C0625">
        <w:rPr>
          <w:rFonts w:ascii="Book Antiqua" w:hAnsi="Book Antiqua"/>
          <w:b w:val="0"/>
          <w:noProof w:val="0"/>
          <w:color w:val="000000" w:themeColor="text1"/>
          <w:lang w:val="en-US"/>
        </w:rPr>
        <w:t xml:space="preserve"> 0.69</w:t>
      </w:r>
      <w:r w:rsidR="00B77D53" w:rsidRPr="008C0625">
        <w:rPr>
          <w:rFonts w:ascii="Book Antiqua" w:eastAsiaTheme="minorEastAsia" w:hAnsi="Book Antiqua"/>
          <w:b w:val="0"/>
          <w:noProof w:val="0"/>
          <w:color w:val="000000" w:themeColor="text1"/>
          <w:lang w:val="en-US" w:eastAsia="zh-CN"/>
        </w:rPr>
        <w:t>-</w:t>
      </w:r>
      <w:r w:rsidRPr="008C0625">
        <w:rPr>
          <w:rFonts w:ascii="Book Antiqua" w:hAnsi="Book Antiqua"/>
          <w:b w:val="0"/>
          <w:noProof w:val="0"/>
          <w:color w:val="000000" w:themeColor="text1"/>
          <w:lang w:val="en-US"/>
        </w:rPr>
        <w:t>0.80); a first generation cephalosporin plus aminoglycosides (</w:t>
      </w:r>
      <w:r w:rsidR="00B77D53" w:rsidRPr="008C0625">
        <w:rPr>
          <w:rFonts w:ascii="Book Antiqua" w:eastAsiaTheme="minorEastAsia" w:hAnsi="Book Antiqua"/>
          <w:b w:val="0"/>
          <w:noProof w:val="0"/>
          <w:color w:val="000000" w:themeColor="text1"/>
          <w:lang w:val="en-US" w:eastAsia="zh-CN"/>
        </w:rPr>
        <w:t>RR</w:t>
      </w:r>
      <w:r w:rsidRPr="008C0625">
        <w:rPr>
          <w:rFonts w:ascii="Book Antiqua" w:hAnsi="Book Antiqua"/>
          <w:b w:val="0"/>
          <w:noProof w:val="0"/>
          <w:color w:val="000000" w:themeColor="text1"/>
          <w:lang w:val="en-US"/>
        </w:rPr>
        <w:t xml:space="preserve"> = 66%, </w:t>
      </w:r>
      <w:r w:rsidR="00B77D53" w:rsidRPr="008C0625">
        <w:rPr>
          <w:rFonts w:ascii="Book Antiqua" w:hAnsi="Book Antiqua"/>
          <w:b w:val="0"/>
          <w:color w:val="000000" w:themeColor="text1"/>
          <w:lang w:val="en-US"/>
        </w:rPr>
        <w:t>95%CI</w:t>
      </w:r>
      <w:r w:rsidR="00B77D53" w:rsidRPr="008C0625">
        <w:rPr>
          <w:rFonts w:ascii="Book Antiqua" w:hAnsi="Book Antiqua"/>
          <w:b w:val="0"/>
          <w:color w:val="000000" w:themeColor="text1"/>
          <w:lang w:val="en-US" w:eastAsia="zh-CN"/>
        </w:rPr>
        <w:t>:</w:t>
      </w:r>
      <w:r w:rsidRPr="008C0625">
        <w:rPr>
          <w:rFonts w:ascii="Book Antiqua" w:hAnsi="Book Antiqua"/>
          <w:b w:val="0"/>
          <w:noProof w:val="0"/>
          <w:color w:val="000000" w:themeColor="text1"/>
          <w:lang w:val="en-US"/>
        </w:rPr>
        <w:t xml:space="preserve"> 0.57</w:t>
      </w:r>
      <w:r w:rsidR="00B77D53" w:rsidRPr="008C0625">
        <w:rPr>
          <w:rFonts w:ascii="Book Antiqua" w:eastAsiaTheme="minorEastAsia" w:hAnsi="Book Antiqua"/>
          <w:b w:val="0"/>
          <w:noProof w:val="0"/>
          <w:color w:val="000000" w:themeColor="text1"/>
          <w:lang w:val="en-US" w:eastAsia="zh-CN"/>
        </w:rPr>
        <w:t>-</w:t>
      </w:r>
      <w:r w:rsidRPr="008C0625">
        <w:rPr>
          <w:rFonts w:ascii="Book Antiqua" w:hAnsi="Book Antiqua"/>
          <w:b w:val="0"/>
          <w:noProof w:val="0"/>
          <w:color w:val="000000" w:themeColor="text1"/>
          <w:lang w:val="en-US"/>
        </w:rPr>
        <w:t xml:space="preserve">0.75) </w:t>
      </w:r>
      <w:r w:rsidRPr="008C0625">
        <w:rPr>
          <w:rFonts w:ascii="Book Antiqua" w:hAnsi="Book Antiqua"/>
          <w:b w:val="0"/>
          <w:i/>
          <w:noProof w:val="0"/>
          <w:color w:val="000000" w:themeColor="text1"/>
          <w:lang w:val="en-US"/>
        </w:rPr>
        <w:t>vs</w:t>
      </w:r>
      <w:r w:rsidRPr="008C0625">
        <w:rPr>
          <w:rFonts w:ascii="Book Antiqua" w:hAnsi="Book Antiqua"/>
          <w:b w:val="0"/>
          <w:noProof w:val="0"/>
          <w:color w:val="000000" w:themeColor="text1"/>
          <w:lang w:val="en-US"/>
        </w:rPr>
        <w:t xml:space="preserve"> a first generation cephalosporin plus ceftazidime (</w:t>
      </w:r>
      <w:r w:rsidR="00B77D53" w:rsidRPr="008C0625">
        <w:rPr>
          <w:rFonts w:ascii="Book Antiqua" w:eastAsiaTheme="minorEastAsia" w:hAnsi="Book Antiqua"/>
          <w:b w:val="0"/>
          <w:noProof w:val="0"/>
          <w:color w:val="000000" w:themeColor="text1"/>
          <w:lang w:val="en-US" w:eastAsia="zh-CN"/>
        </w:rPr>
        <w:t>RR</w:t>
      </w:r>
      <w:r w:rsidRPr="008C0625">
        <w:rPr>
          <w:rFonts w:ascii="Book Antiqua" w:hAnsi="Book Antiqua"/>
          <w:b w:val="0"/>
          <w:noProof w:val="0"/>
          <w:color w:val="000000" w:themeColor="text1"/>
          <w:lang w:val="en-US"/>
        </w:rPr>
        <w:t xml:space="preserve"> = 59%, </w:t>
      </w:r>
      <w:r w:rsidR="00B77D53" w:rsidRPr="008C0625">
        <w:rPr>
          <w:rFonts w:ascii="Book Antiqua" w:hAnsi="Book Antiqua"/>
          <w:b w:val="0"/>
          <w:color w:val="000000" w:themeColor="text1"/>
          <w:lang w:val="en-US"/>
        </w:rPr>
        <w:t>95%CI</w:t>
      </w:r>
      <w:r w:rsidR="00B77D53" w:rsidRPr="008C0625">
        <w:rPr>
          <w:rFonts w:ascii="Book Antiqua" w:hAnsi="Book Antiqua"/>
          <w:b w:val="0"/>
          <w:color w:val="000000" w:themeColor="text1"/>
          <w:lang w:val="en-US" w:eastAsia="zh-CN"/>
        </w:rPr>
        <w:t>:</w:t>
      </w:r>
      <w:r w:rsidRPr="008C0625">
        <w:rPr>
          <w:rFonts w:ascii="Book Antiqua" w:hAnsi="Book Antiqua"/>
          <w:b w:val="0"/>
          <w:noProof w:val="0"/>
          <w:color w:val="000000" w:themeColor="text1"/>
          <w:lang w:val="en-US"/>
        </w:rPr>
        <w:t xml:space="preserve"> 0.32</w:t>
      </w:r>
      <w:r w:rsidR="00B77D53" w:rsidRPr="008C0625">
        <w:rPr>
          <w:rFonts w:ascii="Book Antiqua" w:eastAsiaTheme="minorEastAsia" w:hAnsi="Book Antiqua"/>
          <w:b w:val="0"/>
          <w:noProof w:val="0"/>
          <w:color w:val="000000" w:themeColor="text1"/>
          <w:lang w:val="en-US" w:eastAsia="zh-CN"/>
        </w:rPr>
        <w:t>-</w:t>
      </w:r>
      <w:r w:rsidRPr="008C0625">
        <w:rPr>
          <w:rFonts w:ascii="Book Antiqua" w:hAnsi="Book Antiqua"/>
          <w:b w:val="0"/>
          <w:noProof w:val="0"/>
          <w:color w:val="000000" w:themeColor="text1"/>
          <w:lang w:val="en-US"/>
        </w:rPr>
        <w:t>0.83); glycopeptides plus aminoglycosides (</w:t>
      </w:r>
      <w:r w:rsidR="00B77D53" w:rsidRPr="008C0625">
        <w:rPr>
          <w:rFonts w:ascii="Book Antiqua" w:eastAsiaTheme="minorEastAsia" w:hAnsi="Book Antiqua"/>
          <w:b w:val="0"/>
          <w:noProof w:val="0"/>
          <w:color w:val="000000" w:themeColor="text1"/>
          <w:lang w:val="en-US" w:eastAsia="zh-CN"/>
        </w:rPr>
        <w:t>RR</w:t>
      </w:r>
      <w:r w:rsidRPr="008C0625">
        <w:rPr>
          <w:rFonts w:ascii="Book Antiqua" w:hAnsi="Book Antiqua"/>
          <w:b w:val="0"/>
          <w:noProof w:val="0"/>
          <w:color w:val="000000" w:themeColor="text1"/>
          <w:lang w:val="en-US"/>
        </w:rPr>
        <w:t xml:space="preserve"> = 75%, </w:t>
      </w:r>
      <w:r w:rsidR="00B77D53" w:rsidRPr="008C0625">
        <w:rPr>
          <w:rFonts w:ascii="Book Antiqua" w:hAnsi="Book Antiqua"/>
          <w:b w:val="0"/>
          <w:color w:val="000000" w:themeColor="text1"/>
          <w:lang w:val="en-US"/>
        </w:rPr>
        <w:t>95%CI</w:t>
      </w:r>
      <w:r w:rsidR="00B77D53" w:rsidRPr="008C0625">
        <w:rPr>
          <w:rFonts w:ascii="Book Antiqua" w:hAnsi="Book Antiqua"/>
          <w:b w:val="0"/>
          <w:color w:val="000000" w:themeColor="text1"/>
          <w:lang w:val="en-US" w:eastAsia="zh-CN"/>
        </w:rPr>
        <w:t>:</w:t>
      </w:r>
      <w:r w:rsidRPr="008C0625">
        <w:rPr>
          <w:rFonts w:ascii="Book Antiqua" w:hAnsi="Book Antiqua"/>
          <w:b w:val="0"/>
          <w:noProof w:val="0"/>
          <w:color w:val="000000" w:themeColor="text1"/>
          <w:lang w:val="en-US"/>
        </w:rPr>
        <w:t xml:space="preserve"> 0.69</w:t>
      </w:r>
      <w:r w:rsidR="00B77D53" w:rsidRPr="008C0625">
        <w:rPr>
          <w:rFonts w:ascii="Book Antiqua" w:eastAsiaTheme="minorEastAsia" w:hAnsi="Book Antiqua"/>
          <w:b w:val="0"/>
          <w:noProof w:val="0"/>
          <w:color w:val="000000" w:themeColor="text1"/>
          <w:lang w:val="en-US" w:eastAsia="zh-CN"/>
        </w:rPr>
        <w:t>-</w:t>
      </w:r>
      <w:r w:rsidRPr="008C0625">
        <w:rPr>
          <w:rFonts w:ascii="Book Antiqua" w:hAnsi="Book Antiqua"/>
          <w:b w:val="0"/>
          <w:noProof w:val="0"/>
          <w:color w:val="000000" w:themeColor="text1"/>
          <w:lang w:val="en-US"/>
        </w:rPr>
        <w:t xml:space="preserve">0.80) </w:t>
      </w:r>
      <w:r w:rsidRPr="008C0625">
        <w:rPr>
          <w:rFonts w:ascii="Book Antiqua" w:hAnsi="Book Antiqua"/>
          <w:b w:val="0"/>
          <w:i/>
          <w:noProof w:val="0"/>
          <w:color w:val="000000" w:themeColor="text1"/>
          <w:lang w:val="en-US"/>
        </w:rPr>
        <w:t>vs</w:t>
      </w:r>
      <w:r w:rsidRPr="008C0625">
        <w:rPr>
          <w:rFonts w:ascii="Book Antiqua" w:hAnsi="Book Antiqua"/>
          <w:b w:val="0"/>
          <w:noProof w:val="0"/>
          <w:color w:val="000000" w:themeColor="text1"/>
          <w:lang w:val="en-US"/>
        </w:rPr>
        <w:t xml:space="preserve"> first generation cephalosporin plus ceftazidime (</w:t>
      </w:r>
      <w:r w:rsidR="00B77D53" w:rsidRPr="008C0625">
        <w:rPr>
          <w:rFonts w:ascii="Book Antiqua" w:eastAsiaTheme="minorEastAsia" w:hAnsi="Book Antiqua"/>
          <w:b w:val="0"/>
          <w:noProof w:val="0"/>
          <w:color w:val="000000" w:themeColor="text1"/>
          <w:lang w:val="en-US" w:eastAsia="zh-CN"/>
        </w:rPr>
        <w:t>RR</w:t>
      </w:r>
      <w:r w:rsidRPr="008C0625">
        <w:rPr>
          <w:rFonts w:ascii="Book Antiqua" w:hAnsi="Book Antiqua"/>
          <w:b w:val="0"/>
          <w:noProof w:val="0"/>
          <w:color w:val="000000" w:themeColor="text1"/>
          <w:lang w:val="en-US"/>
        </w:rPr>
        <w:t xml:space="preserve"> = 59%, </w:t>
      </w:r>
      <w:r w:rsidR="00B77D53" w:rsidRPr="008C0625">
        <w:rPr>
          <w:rFonts w:ascii="Book Antiqua" w:hAnsi="Book Antiqua"/>
          <w:b w:val="0"/>
          <w:color w:val="000000" w:themeColor="text1"/>
          <w:lang w:val="en-US"/>
        </w:rPr>
        <w:t>95%CI</w:t>
      </w:r>
      <w:r w:rsidR="00B77D53" w:rsidRPr="008C0625">
        <w:rPr>
          <w:rFonts w:ascii="Book Antiqua" w:hAnsi="Book Antiqua"/>
          <w:b w:val="0"/>
          <w:color w:val="000000" w:themeColor="text1"/>
          <w:lang w:val="en-US" w:eastAsia="zh-CN"/>
        </w:rPr>
        <w:t>:</w:t>
      </w:r>
      <w:r w:rsidRPr="008C0625">
        <w:rPr>
          <w:rFonts w:ascii="Book Antiqua" w:hAnsi="Book Antiqua"/>
          <w:b w:val="0"/>
          <w:noProof w:val="0"/>
          <w:color w:val="000000" w:themeColor="text1"/>
          <w:lang w:val="en-US"/>
        </w:rPr>
        <w:t xml:space="preserve"> 0.32</w:t>
      </w:r>
      <w:r w:rsidR="00B77D53" w:rsidRPr="008C0625">
        <w:rPr>
          <w:rFonts w:ascii="Book Antiqua" w:eastAsiaTheme="minorEastAsia" w:hAnsi="Book Antiqua"/>
          <w:b w:val="0"/>
          <w:noProof w:val="0"/>
          <w:color w:val="000000" w:themeColor="text1"/>
          <w:lang w:val="en-US" w:eastAsia="zh-CN"/>
        </w:rPr>
        <w:t>-</w:t>
      </w:r>
      <w:r w:rsidRPr="008C0625">
        <w:rPr>
          <w:rFonts w:ascii="Book Antiqua" w:hAnsi="Book Antiqua"/>
          <w:b w:val="0"/>
          <w:noProof w:val="0"/>
          <w:color w:val="000000" w:themeColor="text1"/>
          <w:lang w:val="en-US"/>
        </w:rPr>
        <w:t>0.83), and a first generation cephalosporin plus ceftazidime (</w:t>
      </w:r>
      <w:r w:rsidR="00B77D53" w:rsidRPr="008C0625">
        <w:rPr>
          <w:rFonts w:ascii="Book Antiqua" w:eastAsiaTheme="minorEastAsia" w:hAnsi="Book Antiqua"/>
          <w:b w:val="0"/>
          <w:noProof w:val="0"/>
          <w:color w:val="000000" w:themeColor="text1"/>
          <w:lang w:val="en-US" w:eastAsia="zh-CN"/>
        </w:rPr>
        <w:t>RR</w:t>
      </w:r>
      <w:bookmarkStart w:id="48" w:name="_GoBack"/>
      <w:r w:rsidRPr="008C0625">
        <w:rPr>
          <w:rFonts w:ascii="Book Antiqua" w:hAnsi="Book Antiqua"/>
          <w:b w:val="0"/>
          <w:noProof w:val="0"/>
          <w:color w:val="000000" w:themeColor="text1"/>
          <w:lang w:val="en-US"/>
        </w:rPr>
        <w:t xml:space="preserve"> </w:t>
      </w:r>
      <w:bookmarkEnd w:id="48"/>
      <w:r w:rsidRPr="008C0625">
        <w:rPr>
          <w:rFonts w:ascii="Book Antiqua" w:hAnsi="Book Antiqua"/>
          <w:b w:val="0"/>
          <w:noProof w:val="0"/>
          <w:color w:val="000000" w:themeColor="text1"/>
          <w:lang w:val="en-US"/>
        </w:rPr>
        <w:t xml:space="preserve">= 59%, </w:t>
      </w:r>
      <w:r w:rsidR="00B77D53" w:rsidRPr="008C0625">
        <w:rPr>
          <w:rFonts w:ascii="Book Antiqua" w:hAnsi="Book Antiqua"/>
          <w:b w:val="0"/>
          <w:color w:val="000000" w:themeColor="text1"/>
          <w:lang w:val="en-US"/>
        </w:rPr>
        <w:t>95%CI</w:t>
      </w:r>
      <w:r w:rsidR="00B77D53" w:rsidRPr="008C0625">
        <w:rPr>
          <w:rFonts w:ascii="Book Antiqua" w:hAnsi="Book Antiqua"/>
          <w:b w:val="0"/>
          <w:color w:val="000000" w:themeColor="text1"/>
          <w:lang w:val="en-US" w:eastAsia="zh-CN"/>
        </w:rPr>
        <w:t>:</w:t>
      </w:r>
      <w:r w:rsidRPr="008C0625">
        <w:rPr>
          <w:rFonts w:ascii="Book Antiqua" w:hAnsi="Book Antiqua"/>
          <w:b w:val="0"/>
          <w:noProof w:val="0"/>
          <w:color w:val="000000" w:themeColor="text1"/>
          <w:lang w:val="en-US"/>
        </w:rPr>
        <w:t>0.32</w:t>
      </w:r>
      <w:r w:rsidR="00B77D53" w:rsidRPr="008C0625">
        <w:rPr>
          <w:rFonts w:ascii="Book Antiqua" w:eastAsiaTheme="minorEastAsia" w:hAnsi="Book Antiqua"/>
          <w:b w:val="0"/>
          <w:noProof w:val="0"/>
          <w:color w:val="000000" w:themeColor="text1"/>
          <w:lang w:val="en-US" w:eastAsia="zh-CN"/>
        </w:rPr>
        <w:t>-</w:t>
      </w:r>
      <w:r w:rsidRPr="008C0625">
        <w:rPr>
          <w:rFonts w:ascii="Book Antiqua" w:hAnsi="Book Antiqua"/>
          <w:b w:val="0"/>
          <w:noProof w:val="0"/>
          <w:color w:val="000000" w:themeColor="text1"/>
          <w:lang w:val="en-US"/>
        </w:rPr>
        <w:t xml:space="preserve">0.83) </w:t>
      </w:r>
      <w:r w:rsidRPr="008C0625">
        <w:rPr>
          <w:rFonts w:ascii="Book Antiqua" w:hAnsi="Book Antiqua"/>
          <w:b w:val="0"/>
          <w:i/>
          <w:noProof w:val="0"/>
          <w:color w:val="000000" w:themeColor="text1"/>
          <w:lang w:val="en-US"/>
        </w:rPr>
        <w:t>vs</w:t>
      </w:r>
      <w:r w:rsidRPr="008C0625">
        <w:rPr>
          <w:rFonts w:ascii="Book Antiqua" w:hAnsi="Book Antiqua"/>
          <w:b w:val="0"/>
          <w:noProof w:val="0"/>
          <w:color w:val="000000" w:themeColor="text1"/>
          <w:lang w:val="en-US"/>
        </w:rPr>
        <w:t xml:space="preserve"> ceftazidime plus a glycopeptide</w:t>
      </w:r>
      <w:r w:rsidR="007C6E22" w:rsidRPr="008C0625">
        <w:rPr>
          <w:rFonts w:ascii="Book Antiqua" w:hAnsi="Book Antiqua"/>
          <w:b w:val="0"/>
          <w:noProof w:val="0"/>
          <w:color w:val="000000" w:themeColor="text1"/>
          <w:lang w:val="en-US"/>
        </w:rPr>
        <w:t xml:space="preserve"> </w:t>
      </w:r>
      <w:r w:rsidRPr="008C0625">
        <w:rPr>
          <w:rFonts w:ascii="Book Antiqua" w:hAnsi="Book Antiqua"/>
          <w:b w:val="0"/>
          <w:noProof w:val="0"/>
          <w:color w:val="000000" w:themeColor="text1"/>
          <w:lang w:val="en-US"/>
        </w:rPr>
        <w:t>(</w:t>
      </w:r>
      <w:r w:rsidR="00B77D53" w:rsidRPr="008C0625">
        <w:rPr>
          <w:rFonts w:ascii="Book Antiqua" w:eastAsiaTheme="minorEastAsia" w:hAnsi="Book Antiqua"/>
          <w:b w:val="0"/>
          <w:noProof w:val="0"/>
          <w:color w:val="000000" w:themeColor="text1"/>
          <w:lang w:val="en-US" w:eastAsia="zh-CN"/>
        </w:rPr>
        <w:t>RR</w:t>
      </w:r>
      <w:r w:rsidRPr="008C0625">
        <w:rPr>
          <w:rFonts w:ascii="Book Antiqua" w:hAnsi="Book Antiqua"/>
          <w:b w:val="0"/>
          <w:noProof w:val="0"/>
          <w:color w:val="000000" w:themeColor="text1"/>
          <w:lang w:val="en-US"/>
        </w:rPr>
        <w:t xml:space="preserve"> = 86%, </w:t>
      </w:r>
      <w:r w:rsidR="00B77D53" w:rsidRPr="008C0625">
        <w:rPr>
          <w:rFonts w:ascii="Book Antiqua" w:hAnsi="Book Antiqua"/>
          <w:b w:val="0"/>
          <w:color w:val="000000" w:themeColor="text1"/>
          <w:lang w:val="en-US"/>
        </w:rPr>
        <w:t>95%CI</w:t>
      </w:r>
      <w:r w:rsidR="00B77D53" w:rsidRPr="008C0625">
        <w:rPr>
          <w:rFonts w:ascii="Book Antiqua" w:hAnsi="Book Antiqua"/>
          <w:b w:val="0"/>
          <w:color w:val="000000" w:themeColor="text1"/>
          <w:lang w:val="en-US" w:eastAsia="zh-CN"/>
        </w:rPr>
        <w:t>:</w:t>
      </w:r>
      <w:r w:rsidR="00B77D53" w:rsidRPr="008C0625">
        <w:rPr>
          <w:rFonts w:ascii="Book Antiqua" w:eastAsiaTheme="minorEastAsia" w:hAnsi="Book Antiqua"/>
          <w:b w:val="0"/>
          <w:color w:val="000000" w:themeColor="text1"/>
          <w:lang w:val="en-US" w:eastAsia="zh-CN"/>
        </w:rPr>
        <w:t xml:space="preserve"> </w:t>
      </w:r>
      <w:r w:rsidRPr="008C0625">
        <w:rPr>
          <w:rFonts w:ascii="Book Antiqua" w:hAnsi="Book Antiqua"/>
          <w:b w:val="0"/>
          <w:noProof w:val="0"/>
          <w:color w:val="000000" w:themeColor="text1"/>
          <w:lang w:val="en-US"/>
        </w:rPr>
        <w:t>0.82</w:t>
      </w:r>
      <w:r w:rsidR="00B77D53" w:rsidRPr="008C0625">
        <w:rPr>
          <w:rFonts w:ascii="Book Antiqua" w:eastAsiaTheme="minorEastAsia" w:hAnsi="Book Antiqua"/>
          <w:b w:val="0"/>
          <w:noProof w:val="0"/>
          <w:color w:val="000000" w:themeColor="text1"/>
          <w:lang w:val="en-US" w:eastAsia="zh-CN"/>
        </w:rPr>
        <w:t>-</w:t>
      </w:r>
      <w:r w:rsidRPr="008C0625">
        <w:rPr>
          <w:rFonts w:ascii="Book Antiqua" w:hAnsi="Book Antiqua"/>
          <w:b w:val="0"/>
          <w:noProof w:val="0"/>
          <w:color w:val="000000" w:themeColor="text1"/>
          <w:lang w:val="en-US"/>
        </w:rPr>
        <w:t xml:space="preserve">0.89). </w:t>
      </w:r>
    </w:p>
    <w:p w:rsidR="009147C1" w:rsidRPr="008C0625" w:rsidRDefault="00B77D53" w:rsidP="008C0625">
      <w:pPr>
        <w:pStyle w:val="Heading1"/>
        <w:rPr>
          <w:rFonts w:ascii="Book Antiqua" w:eastAsiaTheme="minorEastAsia" w:hAnsi="Book Antiqua"/>
          <w:b w:val="0"/>
          <w:noProof w:val="0"/>
          <w:color w:val="000000" w:themeColor="text1"/>
          <w:lang w:val="en-US" w:eastAsia="zh-CN"/>
        </w:rPr>
      </w:pPr>
      <w:r w:rsidRPr="008C0625">
        <w:rPr>
          <w:rFonts w:ascii="Book Antiqua" w:eastAsiaTheme="minorEastAsia" w:hAnsi="Book Antiqua"/>
          <w:b w:val="0"/>
          <w:noProof w:val="0"/>
          <w:color w:val="000000" w:themeColor="text1"/>
          <w:lang w:val="en-US" w:eastAsia="zh-CN"/>
        </w:rPr>
        <w:t xml:space="preserve">        </w:t>
      </w:r>
      <w:r w:rsidR="009147C1" w:rsidRPr="008C0625">
        <w:rPr>
          <w:rFonts w:ascii="Book Antiqua" w:hAnsi="Book Antiqua"/>
          <w:b w:val="0"/>
          <w:noProof w:val="0"/>
          <w:color w:val="000000" w:themeColor="text1"/>
          <w:lang w:val="en-US"/>
        </w:rPr>
        <w:t>For treatment of episodes due to gram-positive rods, the pooled resolution rate from 13</w:t>
      </w:r>
      <w:r w:rsidR="009147C1" w:rsidRPr="008C0625">
        <w:rPr>
          <w:rFonts w:ascii="Book Antiqua" w:hAnsi="Book Antiqua"/>
          <w:b w:val="0"/>
          <w:noProof w:val="0"/>
          <w:color w:val="000000" w:themeColor="text1"/>
          <w:vertAlign w:val="superscript"/>
          <w:lang w:val="en-US"/>
        </w:rPr>
        <w:t>[23,39,40,48,49,51-58</w:t>
      </w:r>
      <w:r w:rsidR="009147C1" w:rsidRPr="008C0625">
        <w:rPr>
          <w:rFonts w:ascii="Book Antiqua" w:hAnsi="Book Antiqua"/>
          <w:b w:val="0"/>
          <w:noProof w:val="0"/>
          <w:color w:val="000000" w:themeColor="text1"/>
          <w:lang w:val="en-US"/>
        </w:rPr>
        <w:t>] studies with a total of 917 episodes was 78% (</w:t>
      </w:r>
      <w:r w:rsidRPr="008C0625">
        <w:rPr>
          <w:rFonts w:ascii="Book Antiqua" w:hAnsi="Book Antiqua"/>
          <w:b w:val="0"/>
          <w:color w:val="000000" w:themeColor="text1"/>
          <w:lang w:val="en-US"/>
        </w:rPr>
        <w:t>95%CI</w:t>
      </w:r>
      <w:r w:rsidRPr="008C0625">
        <w:rPr>
          <w:rFonts w:ascii="Book Antiqua" w:hAnsi="Book Antiqua"/>
          <w:b w:val="0"/>
          <w:color w:val="000000" w:themeColor="text1"/>
          <w:lang w:val="en-US" w:eastAsia="zh-CN"/>
        </w:rPr>
        <w:t>:</w:t>
      </w:r>
      <w:r w:rsidR="009147C1" w:rsidRPr="008C0625">
        <w:rPr>
          <w:rFonts w:ascii="Book Antiqua" w:hAnsi="Book Antiqua"/>
          <w:b w:val="0"/>
          <w:noProof w:val="0"/>
          <w:color w:val="000000" w:themeColor="text1"/>
          <w:lang w:val="en-US"/>
        </w:rPr>
        <w:t xml:space="preserve"> 0.66</w:t>
      </w:r>
      <w:r w:rsidRPr="008C0625">
        <w:rPr>
          <w:rFonts w:ascii="Book Antiqua" w:eastAsiaTheme="minorEastAsia" w:hAnsi="Book Antiqua"/>
          <w:b w:val="0"/>
          <w:noProof w:val="0"/>
          <w:color w:val="000000" w:themeColor="text1"/>
          <w:lang w:val="en-US" w:eastAsia="zh-CN"/>
        </w:rPr>
        <w:t>-</w:t>
      </w:r>
      <w:r w:rsidR="009147C1" w:rsidRPr="008C0625">
        <w:rPr>
          <w:rFonts w:ascii="Book Antiqua" w:hAnsi="Book Antiqua"/>
          <w:b w:val="0"/>
          <w:noProof w:val="0"/>
          <w:color w:val="000000" w:themeColor="text1"/>
          <w:lang w:val="en-US"/>
        </w:rPr>
        <w:t>0.88) for a glycopeptide, while the rates from five studies</w:t>
      </w:r>
      <w:r w:rsidR="009147C1" w:rsidRPr="008C0625">
        <w:rPr>
          <w:rFonts w:ascii="Book Antiqua" w:hAnsi="Book Antiqua"/>
          <w:b w:val="0"/>
          <w:noProof w:val="0"/>
          <w:color w:val="000000" w:themeColor="text1"/>
          <w:vertAlign w:val="superscript"/>
          <w:lang w:val="en-US"/>
        </w:rPr>
        <w:t>[26,37,53,58,59]</w:t>
      </w:r>
      <w:r w:rsidR="009147C1" w:rsidRPr="008C0625">
        <w:rPr>
          <w:rFonts w:ascii="Book Antiqua" w:hAnsi="Book Antiqua"/>
          <w:b w:val="0"/>
          <w:noProof w:val="0"/>
          <w:color w:val="000000" w:themeColor="text1"/>
          <w:lang w:val="en-US"/>
        </w:rPr>
        <w:t xml:space="preserve"> with a total of 532 episodes for a first generation cephalosporin were 73% (</w:t>
      </w:r>
      <w:r w:rsidRPr="008C0625">
        <w:rPr>
          <w:rFonts w:ascii="Book Antiqua" w:hAnsi="Book Antiqua"/>
          <w:b w:val="0"/>
          <w:color w:val="000000" w:themeColor="text1"/>
          <w:lang w:val="en-US"/>
        </w:rPr>
        <w:t>95%CI</w:t>
      </w:r>
      <w:r w:rsidRPr="008C0625">
        <w:rPr>
          <w:rFonts w:ascii="Book Antiqua" w:hAnsi="Book Antiqua"/>
          <w:b w:val="0"/>
          <w:color w:val="000000" w:themeColor="text1"/>
          <w:lang w:val="en-US" w:eastAsia="zh-CN"/>
        </w:rPr>
        <w:t>:</w:t>
      </w:r>
      <w:r w:rsidR="009147C1" w:rsidRPr="008C0625">
        <w:rPr>
          <w:rFonts w:ascii="Book Antiqua" w:hAnsi="Book Antiqua"/>
          <w:b w:val="0"/>
          <w:noProof w:val="0"/>
          <w:color w:val="000000" w:themeColor="text1"/>
          <w:lang w:val="en-US"/>
        </w:rPr>
        <w:t xml:space="preserve"> 0.55</w:t>
      </w:r>
      <w:r w:rsidRPr="008C0625">
        <w:rPr>
          <w:rFonts w:ascii="Book Antiqua" w:eastAsiaTheme="minorEastAsia" w:hAnsi="Book Antiqua"/>
          <w:b w:val="0"/>
          <w:noProof w:val="0"/>
          <w:color w:val="000000" w:themeColor="text1"/>
          <w:lang w:val="en-US" w:eastAsia="zh-CN"/>
        </w:rPr>
        <w:t>-</w:t>
      </w:r>
      <w:r w:rsidR="009147C1" w:rsidRPr="008C0625">
        <w:rPr>
          <w:rFonts w:ascii="Book Antiqua" w:hAnsi="Book Antiqua"/>
          <w:b w:val="0"/>
          <w:noProof w:val="0"/>
          <w:color w:val="000000" w:themeColor="text1"/>
          <w:lang w:val="en-US"/>
        </w:rPr>
        <w:t xml:space="preserve">0.88). There were no significant differences between the schemes. </w:t>
      </w:r>
    </w:p>
    <w:p w:rsidR="009147C1" w:rsidRPr="008C0625" w:rsidRDefault="00B77D53" w:rsidP="008C0625">
      <w:pPr>
        <w:pStyle w:val="Heading1"/>
        <w:rPr>
          <w:rFonts w:ascii="Book Antiqua" w:eastAsiaTheme="minorEastAsia" w:hAnsi="Book Antiqua"/>
          <w:b w:val="0"/>
          <w:noProof w:val="0"/>
          <w:color w:val="000000" w:themeColor="text1"/>
          <w:lang w:val="en-US" w:eastAsia="zh-CN"/>
        </w:rPr>
      </w:pPr>
      <w:r w:rsidRPr="008C0625">
        <w:rPr>
          <w:rFonts w:ascii="Book Antiqua" w:eastAsiaTheme="minorEastAsia" w:hAnsi="Book Antiqua"/>
          <w:b w:val="0"/>
          <w:noProof w:val="0"/>
          <w:color w:val="000000" w:themeColor="text1"/>
          <w:lang w:val="en-US" w:eastAsia="zh-CN"/>
        </w:rPr>
        <w:t xml:space="preserve">        </w:t>
      </w:r>
      <w:r w:rsidR="009147C1" w:rsidRPr="008C0625">
        <w:rPr>
          <w:rFonts w:ascii="Book Antiqua" w:hAnsi="Book Antiqua"/>
          <w:b w:val="0"/>
          <w:noProof w:val="0"/>
          <w:color w:val="000000" w:themeColor="text1"/>
          <w:lang w:val="en-US"/>
        </w:rPr>
        <w:t>Comparisons of episodes due to gram-negative rods showed that the pooled proportion resolution rate from nine studies</w:t>
      </w:r>
      <w:r w:rsidRPr="008C0625">
        <w:rPr>
          <w:rFonts w:ascii="Book Antiqua" w:hAnsi="Book Antiqua"/>
          <w:b w:val="0"/>
          <w:noProof w:val="0"/>
          <w:color w:val="000000" w:themeColor="text1"/>
          <w:vertAlign w:val="superscript"/>
          <w:lang w:val="en-US"/>
        </w:rPr>
        <w:t>[39,40,49,57,</w:t>
      </w:r>
      <w:r w:rsidR="009147C1" w:rsidRPr="008C0625">
        <w:rPr>
          <w:rFonts w:ascii="Book Antiqua" w:hAnsi="Book Antiqua"/>
          <w:b w:val="0"/>
          <w:noProof w:val="0"/>
          <w:color w:val="000000" w:themeColor="text1"/>
          <w:vertAlign w:val="superscript"/>
          <w:lang w:val="en-US"/>
        </w:rPr>
        <w:t>60-63]</w:t>
      </w:r>
      <w:r w:rsidR="009147C1" w:rsidRPr="008C0625">
        <w:rPr>
          <w:rFonts w:ascii="Book Antiqua" w:hAnsi="Book Antiqua"/>
          <w:b w:val="0"/>
          <w:noProof w:val="0"/>
          <w:color w:val="000000" w:themeColor="text1"/>
          <w:lang w:val="en-US"/>
        </w:rPr>
        <w:t xml:space="preserve"> with a total of 138 episodes was 68% (</w:t>
      </w:r>
      <w:r w:rsidRPr="008C0625">
        <w:rPr>
          <w:rFonts w:ascii="Book Antiqua" w:hAnsi="Book Antiqua"/>
          <w:b w:val="0"/>
          <w:color w:val="000000" w:themeColor="text1"/>
          <w:lang w:val="en-US"/>
        </w:rPr>
        <w:t>95%CI</w:t>
      </w:r>
      <w:r w:rsidRPr="008C0625">
        <w:rPr>
          <w:rFonts w:ascii="Book Antiqua" w:hAnsi="Book Antiqua"/>
          <w:b w:val="0"/>
          <w:color w:val="000000" w:themeColor="text1"/>
          <w:lang w:val="en-US" w:eastAsia="zh-CN"/>
        </w:rPr>
        <w:t>:</w:t>
      </w:r>
      <w:r w:rsidR="009147C1" w:rsidRPr="008C0625">
        <w:rPr>
          <w:rFonts w:ascii="Book Antiqua" w:hAnsi="Book Antiqua"/>
          <w:b w:val="0"/>
          <w:noProof w:val="0"/>
          <w:color w:val="000000" w:themeColor="text1"/>
          <w:lang w:val="en-US"/>
        </w:rPr>
        <w:t xml:space="preserve"> 0.50</w:t>
      </w:r>
      <w:r w:rsidRPr="008C0625">
        <w:rPr>
          <w:rFonts w:ascii="Book Antiqua" w:eastAsiaTheme="minorEastAsia" w:hAnsi="Book Antiqua"/>
          <w:b w:val="0"/>
          <w:noProof w:val="0"/>
          <w:color w:val="000000" w:themeColor="text1"/>
          <w:lang w:val="en-US" w:eastAsia="zh-CN"/>
        </w:rPr>
        <w:t>-</w:t>
      </w:r>
      <w:r w:rsidR="009147C1" w:rsidRPr="008C0625">
        <w:rPr>
          <w:rFonts w:ascii="Book Antiqua" w:hAnsi="Book Antiqua"/>
          <w:b w:val="0"/>
          <w:noProof w:val="0"/>
          <w:color w:val="000000" w:themeColor="text1"/>
          <w:lang w:val="en-US"/>
        </w:rPr>
        <w:t>0.85) for a quinolone. For ceftazidime, the resolution rate was 61% (</w:t>
      </w:r>
      <w:r w:rsidRPr="008C0625">
        <w:rPr>
          <w:rFonts w:ascii="Book Antiqua" w:hAnsi="Book Antiqua"/>
          <w:b w:val="0"/>
          <w:color w:val="000000" w:themeColor="text1"/>
          <w:lang w:val="en-US"/>
        </w:rPr>
        <w:t>95%CI</w:t>
      </w:r>
      <w:r w:rsidRPr="008C0625">
        <w:rPr>
          <w:rFonts w:ascii="Book Antiqua" w:hAnsi="Book Antiqua"/>
          <w:b w:val="0"/>
          <w:color w:val="000000" w:themeColor="text1"/>
          <w:lang w:val="en-US" w:eastAsia="zh-CN"/>
        </w:rPr>
        <w:t>:</w:t>
      </w:r>
      <w:r w:rsidR="009147C1" w:rsidRPr="008C0625">
        <w:rPr>
          <w:rFonts w:ascii="Book Antiqua" w:hAnsi="Book Antiqua"/>
          <w:b w:val="0"/>
          <w:noProof w:val="0"/>
          <w:color w:val="000000" w:themeColor="text1"/>
          <w:lang w:val="en-US"/>
        </w:rPr>
        <w:t xml:space="preserve"> 0.53</w:t>
      </w:r>
      <w:r w:rsidRPr="008C0625">
        <w:rPr>
          <w:rFonts w:ascii="Book Antiqua" w:eastAsiaTheme="minorEastAsia" w:hAnsi="Book Antiqua"/>
          <w:b w:val="0"/>
          <w:noProof w:val="0"/>
          <w:color w:val="000000" w:themeColor="text1"/>
          <w:lang w:val="en-US" w:eastAsia="zh-CN"/>
        </w:rPr>
        <w:t>-</w:t>
      </w:r>
      <w:r w:rsidR="009147C1" w:rsidRPr="008C0625">
        <w:rPr>
          <w:rFonts w:ascii="Book Antiqua" w:hAnsi="Book Antiqua"/>
          <w:b w:val="0"/>
          <w:noProof w:val="0"/>
          <w:color w:val="000000" w:themeColor="text1"/>
          <w:lang w:val="en-US"/>
        </w:rPr>
        <w:t xml:space="preserve">0.70) from three </w:t>
      </w:r>
      <w:r w:rsidR="009147C1" w:rsidRPr="008C0625">
        <w:rPr>
          <w:rFonts w:ascii="Book Antiqua" w:hAnsi="Book Antiqua"/>
          <w:b w:val="0"/>
          <w:noProof w:val="0"/>
          <w:color w:val="000000" w:themeColor="text1"/>
          <w:lang w:val="en-US"/>
        </w:rPr>
        <w:tab/>
        <w:t>studies</w:t>
      </w:r>
      <w:r w:rsidR="009147C1" w:rsidRPr="008C0625">
        <w:rPr>
          <w:rFonts w:ascii="Book Antiqua" w:hAnsi="Book Antiqua"/>
          <w:b w:val="0"/>
          <w:noProof w:val="0"/>
          <w:color w:val="000000" w:themeColor="text1"/>
          <w:vertAlign w:val="superscript"/>
          <w:lang w:val="en-US"/>
        </w:rPr>
        <w:t>[33,63,64]</w:t>
      </w:r>
      <w:r w:rsidR="009147C1" w:rsidRPr="008C0625">
        <w:rPr>
          <w:rFonts w:ascii="Book Antiqua" w:hAnsi="Book Antiqua"/>
          <w:b w:val="0"/>
          <w:noProof w:val="0"/>
          <w:color w:val="000000" w:themeColor="text1"/>
          <w:lang w:val="en-US"/>
        </w:rPr>
        <w:t xml:space="preserve"> with a total of 117 episodes, and for aminoglycosides the resolution rate was 65% (</w:t>
      </w:r>
      <w:r w:rsidRPr="008C0625">
        <w:rPr>
          <w:rFonts w:ascii="Book Antiqua" w:hAnsi="Book Antiqua"/>
          <w:b w:val="0"/>
          <w:color w:val="000000" w:themeColor="text1"/>
          <w:lang w:val="en-US"/>
        </w:rPr>
        <w:t>95%CI</w:t>
      </w:r>
      <w:r w:rsidRPr="008C0625">
        <w:rPr>
          <w:rFonts w:ascii="Book Antiqua" w:hAnsi="Book Antiqua"/>
          <w:b w:val="0"/>
          <w:color w:val="000000" w:themeColor="text1"/>
          <w:lang w:val="en-US" w:eastAsia="zh-CN"/>
        </w:rPr>
        <w:t>:</w:t>
      </w:r>
      <w:r w:rsidR="009147C1" w:rsidRPr="008C0625">
        <w:rPr>
          <w:rFonts w:ascii="Book Antiqua" w:hAnsi="Book Antiqua"/>
          <w:b w:val="0"/>
          <w:noProof w:val="0"/>
          <w:color w:val="000000" w:themeColor="text1"/>
          <w:lang w:val="en-US"/>
        </w:rPr>
        <w:t xml:space="preserve"> 0.51</w:t>
      </w:r>
      <w:r w:rsidRPr="008C0625">
        <w:rPr>
          <w:rFonts w:ascii="Book Antiqua" w:eastAsiaTheme="minorEastAsia" w:hAnsi="Book Antiqua"/>
          <w:b w:val="0"/>
          <w:noProof w:val="0"/>
          <w:color w:val="000000" w:themeColor="text1"/>
          <w:lang w:val="en-US" w:eastAsia="zh-CN"/>
        </w:rPr>
        <w:t>-</w:t>
      </w:r>
      <w:r w:rsidR="009147C1" w:rsidRPr="008C0625">
        <w:rPr>
          <w:rFonts w:ascii="Book Antiqua" w:hAnsi="Book Antiqua"/>
          <w:b w:val="0"/>
          <w:noProof w:val="0"/>
          <w:color w:val="000000" w:themeColor="text1"/>
          <w:lang w:val="en-US"/>
        </w:rPr>
        <w:t>0.77) from nine studies</w:t>
      </w:r>
      <w:r w:rsidR="009147C1" w:rsidRPr="008C0625">
        <w:rPr>
          <w:rFonts w:ascii="Book Antiqua" w:hAnsi="Book Antiqua"/>
          <w:b w:val="0"/>
          <w:noProof w:val="0"/>
          <w:color w:val="000000" w:themeColor="text1"/>
          <w:vertAlign w:val="superscript"/>
          <w:lang w:val="en-US"/>
        </w:rPr>
        <w:t>[23,26,31,39,40,49,55,60,61]</w:t>
      </w:r>
      <w:r w:rsidR="009147C1" w:rsidRPr="008C0625">
        <w:rPr>
          <w:rFonts w:ascii="Book Antiqua" w:hAnsi="Book Antiqua"/>
          <w:b w:val="0"/>
          <w:noProof w:val="0"/>
          <w:color w:val="000000" w:themeColor="text1"/>
          <w:lang w:val="en-US"/>
        </w:rPr>
        <w:t xml:space="preserve"> with a total of 211 episodes. There were no significant differences among these antibiotics.</w:t>
      </w:r>
    </w:p>
    <w:p w:rsidR="009147C1" w:rsidRPr="008C0625" w:rsidRDefault="009147C1" w:rsidP="008C0625">
      <w:pPr>
        <w:spacing w:after="0" w:line="360" w:lineRule="auto"/>
        <w:jc w:val="both"/>
        <w:rPr>
          <w:rFonts w:ascii="Book Antiqua" w:hAnsi="Book Antiqua"/>
          <w:b/>
          <w:color w:val="000000" w:themeColor="text1"/>
          <w:sz w:val="24"/>
          <w:szCs w:val="24"/>
        </w:rPr>
      </w:pPr>
      <w:r w:rsidRPr="008C0625">
        <w:rPr>
          <w:rFonts w:ascii="Book Antiqua" w:hAnsi="Book Antiqua"/>
          <w:b/>
          <w:color w:val="000000" w:themeColor="text1"/>
          <w:sz w:val="24"/>
          <w:szCs w:val="24"/>
        </w:rPr>
        <w:tab/>
      </w:r>
    </w:p>
    <w:p w:rsidR="009147C1" w:rsidRPr="008C0625" w:rsidRDefault="009147C1" w:rsidP="008C0625">
      <w:pPr>
        <w:spacing w:after="0" w:line="360" w:lineRule="auto"/>
        <w:jc w:val="both"/>
        <w:rPr>
          <w:rFonts w:ascii="Book Antiqua" w:hAnsi="Book Antiqua" w:cs="Times New Roman"/>
          <w:b/>
          <w:color w:val="000000" w:themeColor="text1"/>
          <w:sz w:val="24"/>
          <w:szCs w:val="24"/>
        </w:rPr>
      </w:pPr>
      <w:r w:rsidRPr="008C0625">
        <w:rPr>
          <w:rFonts w:ascii="Book Antiqua" w:hAnsi="Book Antiqua" w:cs="Times New Roman"/>
          <w:b/>
          <w:color w:val="000000" w:themeColor="text1"/>
          <w:sz w:val="24"/>
          <w:szCs w:val="24"/>
        </w:rPr>
        <w:t>LIMITATIONS</w:t>
      </w:r>
    </w:p>
    <w:p w:rsidR="009147C1" w:rsidRPr="008C0625" w:rsidRDefault="009147C1" w:rsidP="008C0625">
      <w:pPr>
        <w:spacing w:after="0" w:line="360" w:lineRule="auto"/>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The limitations of narrative reviews are those inherent to this type of publication, which include the use of different types of studies, such as RCTs, case series, and others without a statistical tool for comparisons among the treatments. Moreover, they refer to data published many years ago and may be influenced by an era effect.</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 xml:space="preserve"> </w:t>
      </w:r>
    </w:p>
    <w:p w:rsidR="009147C1" w:rsidRPr="008C0625" w:rsidRDefault="009147C1" w:rsidP="008C0625">
      <w:pPr>
        <w:spacing w:after="0" w:line="360" w:lineRule="auto"/>
        <w:ind w:firstLine="708"/>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 xml:space="preserve">Regarding the systematic reviews, their authors emphasize inadequate randomization and concealment methods. In addition, the deﬁnitions of peritonitis, successful treatment, </w:t>
      </w:r>
      <w:r w:rsidR="00B77D53" w:rsidRPr="008C0625">
        <w:rPr>
          <w:rFonts w:ascii="Book Antiqua" w:hAnsi="Book Antiqua" w:cs="Times New Roman"/>
          <w:color w:val="000000" w:themeColor="text1"/>
          <w:sz w:val="24"/>
          <w:szCs w:val="24"/>
        </w:rPr>
        <w:t>and relapse varied among trials</w:t>
      </w:r>
      <w:r w:rsidRPr="008C0625">
        <w:rPr>
          <w:rFonts w:ascii="Book Antiqua" w:hAnsi="Book Antiqua" w:cs="Times New Roman"/>
          <w:color w:val="000000" w:themeColor="text1"/>
          <w:sz w:val="24"/>
          <w:szCs w:val="24"/>
          <w:vertAlign w:val="superscript"/>
        </w:rPr>
        <w:t>[17]</w:t>
      </w:r>
      <w:r w:rsidRPr="008C0625">
        <w:rPr>
          <w:rFonts w:ascii="Book Antiqua" w:hAnsi="Book Antiqua" w:cs="Times New Roman"/>
          <w:color w:val="000000" w:themeColor="text1"/>
          <w:sz w:val="24"/>
          <w:szCs w:val="24"/>
        </w:rPr>
        <w:t>.</w:t>
      </w:r>
      <w:r w:rsidR="007C6E22" w:rsidRPr="008C0625">
        <w:rPr>
          <w:rFonts w:ascii="Book Antiqua" w:hAnsi="Book Antiqua" w:cs="Times New Roman"/>
          <w:color w:val="000000" w:themeColor="text1"/>
          <w:sz w:val="24"/>
          <w:szCs w:val="24"/>
        </w:rPr>
        <w:t xml:space="preserve"> </w:t>
      </w:r>
      <w:r w:rsidRPr="008C0625">
        <w:rPr>
          <w:rFonts w:ascii="Book Antiqua" w:hAnsi="Book Antiqua" w:cs="Times New Roman"/>
          <w:color w:val="000000" w:themeColor="text1"/>
          <w:sz w:val="24"/>
          <w:szCs w:val="24"/>
        </w:rPr>
        <w:t>Finally, many trials had small patient numbers, which reduces their statistical power.</w:t>
      </w:r>
    </w:p>
    <w:p w:rsidR="009147C1" w:rsidRPr="008C0625" w:rsidRDefault="009147C1" w:rsidP="008C0625">
      <w:pPr>
        <w:spacing w:after="0" w:line="360" w:lineRule="auto"/>
        <w:ind w:firstLine="708"/>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The most important limitation of our proportional meta-analysis is the low evidence level of case series included with the RCTs. In addition, there is significant heterogeneity among the studies, which differed considerably in their patient selection, baseline renal disease, number of subjects, antibiotic administration routes, and definition of peritonitis and resolution.</w:t>
      </w:r>
    </w:p>
    <w:p w:rsidR="007B1032" w:rsidRPr="008C0625" w:rsidRDefault="007B1032" w:rsidP="008C0625">
      <w:pPr>
        <w:spacing w:after="0" w:line="360" w:lineRule="auto"/>
        <w:jc w:val="both"/>
        <w:rPr>
          <w:rFonts w:ascii="Book Antiqua" w:hAnsi="Book Antiqua" w:cs="Times New Roman"/>
          <w:b/>
          <w:color w:val="000000" w:themeColor="text1"/>
          <w:sz w:val="24"/>
          <w:szCs w:val="24"/>
          <w:lang w:eastAsia="zh-CN"/>
        </w:rPr>
      </w:pPr>
    </w:p>
    <w:p w:rsidR="009147C1" w:rsidRPr="008C0625" w:rsidRDefault="009147C1" w:rsidP="008C0625">
      <w:pPr>
        <w:spacing w:after="0" w:line="360" w:lineRule="auto"/>
        <w:jc w:val="both"/>
        <w:rPr>
          <w:rFonts w:ascii="Book Antiqua" w:hAnsi="Book Antiqua" w:cs="Times New Roman"/>
          <w:b/>
          <w:color w:val="000000" w:themeColor="text1"/>
          <w:sz w:val="24"/>
          <w:szCs w:val="24"/>
          <w:lang w:eastAsia="zh-CN"/>
        </w:rPr>
      </w:pPr>
      <w:r w:rsidRPr="008C0625">
        <w:rPr>
          <w:rFonts w:ascii="Book Antiqua" w:hAnsi="Book Antiqua" w:cs="Times New Roman"/>
          <w:b/>
          <w:color w:val="000000" w:themeColor="text1"/>
          <w:sz w:val="24"/>
          <w:szCs w:val="24"/>
        </w:rPr>
        <w:t>CONCLUSION</w:t>
      </w:r>
    </w:p>
    <w:p w:rsidR="009147C1" w:rsidRPr="008C0625" w:rsidRDefault="009147C1" w:rsidP="008C0625">
      <w:pPr>
        <w:spacing w:after="0" w:line="360" w:lineRule="auto"/>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 xml:space="preserve">According to the results of the systematic reviews, there is no superior antimicrobial agent to treat PD-related peritonitis, although glycopeptide-based regimens achieved a significantly higher complete cure rate. Similar treatment failure rates were found with vancomycin and teicoplanin, while the primary treatment failure rate was lower with teicoplanin. Intermittent or continuous IP antibiotic administration had similar complete cure, primary treatment failure, relapse, and catheter removal rates. The advantages of IP antibiotics over intravenous therapy were reported. In cases of persistent or relapsing peritonitis, catheter removal is associated with better outcomes than with IP urokinase. Finally, no advantages were found to be associated with adjunctive therapies, such as fibrinolytic drugs and peritoneal lavage. </w:t>
      </w:r>
    </w:p>
    <w:p w:rsidR="009147C1" w:rsidRPr="008C0625" w:rsidRDefault="009147C1" w:rsidP="008C0625">
      <w:pPr>
        <w:spacing w:after="0" w:line="360" w:lineRule="auto"/>
        <w:jc w:val="both"/>
        <w:rPr>
          <w:rFonts w:ascii="Book Antiqua" w:hAnsi="Book Antiqua" w:cs="Times New Roman"/>
          <w:color w:val="000000" w:themeColor="text1"/>
          <w:sz w:val="24"/>
          <w:szCs w:val="24"/>
        </w:rPr>
      </w:pPr>
      <w:r w:rsidRPr="008C0625">
        <w:rPr>
          <w:rFonts w:ascii="Book Antiqua" w:hAnsi="Book Antiqua" w:cs="Times New Roman"/>
          <w:color w:val="000000" w:themeColor="text1"/>
          <w:sz w:val="24"/>
          <w:szCs w:val="24"/>
        </w:rPr>
        <w:tab/>
        <w:t>A narrative review of antimicrobial treatment for patients with PD-relate</w:t>
      </w:r>
      <w:r w:rsidR="00B77D53" w:rsidRPr="008C0625">
        <w:rPr>
          <w:rFonts w:ascii="Book Antiqua" w:hAnsi="Book Antiqua" w:cs="Times New Roman"/>
          <w:color w:val="000000" w:themeColor="text1"/>
          <w:sz w:val="24"/>
          <w:szCs w:val="24"/>
        </w:rPr>
        <w:t>d peritonitis published in 1991</w:t>
      </w:r>
      <w:r w:rsidRPr="008C0625">
        <w:rPr>
          <w:rFonts w:ascii="Book Antiqua" w:hAnsi="Book Antiqua" w:cs="Times New Roman"/>
          <w:color w:val="000000" w:themeColor="text1"/>
          <w:sz w:val="24"/>
          <w:szCs w:val="24"/>
          <w:vertAlign w:val="superscript"/>
        </w:rPr>
        <w:t>[13]</w:t>
      </w:r>
      <w:r w:rsidRPr="008C0625">
        <w:rPr>
          <w:rFonts w:ascii="Book Antiqua" w:hAnsi="Book Antiqua" w:cs="Times New Roman"/>
          <w:color w:val="000000" w:themeColor="text1"/>
          <w:sz w:val="24"/>
          <w:szCs w:val="24"/>
        </w:rPr>
        <w:t xml:space="preserve"> concluded that the optimal empirical treatment was weekly vancomycin and ceftazidime.</w:t>
      </w:r>
    </w:p>
    <w:p w:rsidR="007B1032" w:rsidRPr="008C0625" w:rsidRDefault="009147C1" w:rsidP="008C0625">
      <w:pPr>
        <w:spacing w:after="0" w:line="360" w:lineRule="auto"/>
        <w:ind w:firstLine="708"/>
        <w:jc w:val="both"/>
        <w:rPr>
          <w:rFonts w:ascii="Book Antiqua" w:hAnsi="Book Antiqua"/>
          <w:color w:val="000000" w:themeColor="text1"/>
          <w:sz w:val="24"/>
          <w:szCs w:val="24"/>
          <w:shd w:val="clear" w:color="auto" w:fill="FFFFFF"/>
          <w:lang w:eastAsia="zh-CN"/>
        </w:rPr>
      </w:pPr>
      <w:r w:rsidRPr="008C0625">
        <w:rPr>
          <w:rFonts w:ascii="Book Antiqua" w:hAnsi="Book Antiqua" w:cs="Times New Roman"/>
          <w:color w:val="000000" w:themeColor="text1"/>
          <w:sz w:val="24"/>
          <w:szCs w:val="24"/>
        </w:rPr>
        <w:t>Our proportional meta-analysis</w:t>
      </w:r>
      <w:r w:rsidRPr="008C0625">
        <w:rPr>
          <w:rFonts w:ascii="Book Antiqua" w:hAnsi="Book Antiqua" w:cs="Times New Roman"/>
          <w:color w:val="000000" w:themeColor="text1"/>
          <w:sz w:val="24"/>
          <w:szCs w:val="24"/>
          <w:vertAlign w:val="superscript"/>
        </w:rPr>
        <w:t>[21]</w:t>
      </w:r>
      <w:r w:rsidRPr="008C0625">
        <w:rPr>
          <w:rFonts w:ascii="Book Antiqua" w:hAnsi="Book Antiqua" w:cs="Times New Roman"/>
          <w:color w:val="000000" w:themeColor="text1"/>
          <w:sz w:val="24"/>
          <w:szCs w:val="24"/>
        </w:rPr>
        <w:t xml:space="preserve"> was able to identify that the combination of a glycopeptide plus ceftazidime in the initial treatment of PD-related peritonitis was superior to a glycopeptide plus an aminoglycoside or the combination of a first generation cephalosporin plus an aminoglycoside. This result strongly suggests that the differences found may be related to better coverage of gram-negative bacilli with third generation cephalosporins than with aminoglycosides. Bacterial resistance of gram-negative bacilli, particularly </w:t>
      </w:r>
      <w:r w:rsidRPr="008C0625">
        <w:rPr>
          <w:rFonts w:ascii="Book Antiqua" w:hAnsi="Book Antiqua" w:cs="Times New Roman"/>
          <w:i/>
          <w:color w:val="000000" w:themeColor="text1"/>
          <w:sz w:val="24"/>
          <w:szCs w:val="24"/>
        </w:rPr>
        <w:t>Pseudomonas</w:t>
      </w:r>
      <w:r w:rsidRPr="008C0625">
        <w:rPr>
          <w:rFonts w:ascii="Book Antiqua" w:hAnsi="Book Antiqua" w:cs="Times New Roman"/>
          <w:color w:val="000000" w:themeColor="text1"/>
          <w:sz w:val="24"/>
          <w:szCs w:val="24"/>
        </w:rPr>
        <w:t xml:space="preserve"> species, to commonly prescribed antimicrobials has been reported in recent years </w:t>
      </w:r>
      <w:r w:rsidRPr="008C0625">
        <w:rPr>
          <w:rFonts w:ascii="Book Antiqua" w:hAnsi="Book Antiqua" w:cs="Times New Roman"/>
          <w:color w:val="000000" w:themeColor="text1"/>
          <w:sz w:val="24"/>
          <w:szCs w:val="24"/>
          <w:vertAlign w:val="superscript"/>
        </w:rPr>
        <w:t>[6]</w:t>
      </w:r>
      <w:r w:rsidRPr="008C0625">
        <w:rPr>
          <w:rFonts w:ascii="Book Antiqua" w:hAnsi="Book Antiqua"/>
          <w:color w:val="000000" w:themeColor="text1"/>
          <w:sz w:val="24"/>
          <w:szCs w:val="24"/>
          <w:shd w:val="clear" w:color="auto" w:fill="FFFFFF"/>
        </w:rPr>
        <w:t>; this finding may explain the superiority of the protocols employing ceftazidime. This review showed that a treatment regimen with a glycopeptide plus ceftazidime could be a promising initial therapy in patients with PD-related peritonitis. However, this result should be carefully analyzed, because this treatment was</w:t>
      </w:r>
      <w:r w:rsidR="00B77D53" w:rsidRPr="008C0625">
        <w:rPr>
          <w:rFonts w:ascii="Book Antiqua" w:hAnsi="Book Antiqua"/>
          <w:color w:val="000000" w:themeColor="text1"/>
          <w:sz w:val="24"/>
          <w:szCs w:val="24"/>
          <w:shd w:val="clear" w:color="auto" w:fill="FFFFFF"/>
        </w:rPr>
        <w:t xml:space="preserve"> only used in four cases series</w:t>
      </w:r>
      <w:r w:rsidR="00B77D53" w:rsidRPr="008C0625">
        <w:rPr>
          <w:rFonts w:ascii="Book Antiqua" w:hAnsi="Book Antiqua"/>
          <w:color w:val="000000" w:themeColor="text1"/>
          <w:sz w:val="24"/>
          <w:szCs w:val="24"/>
          <w:shd w:val="clear" w:color="auto" w:fill="FFFFFF"/>
          <w:vertAlign w:val="superscript"/>
        </w:rPr>
        <w:t>[15,22</w:t>
      </w:r>
      <w:r w:rsidR="00B77D53" w:rsidRPr="008C0625">
        <w:rPr>
          <w:rFonts w:ascii="Book Antiqua" w:hAnsi="Book Antiqua"/>
          <w:color w:val="000000" w:themeColor="text1"/>
          <w:sz w:val="24"/>
          <w:szCs w:val="24"/>
          <w:shd w:val="clear" w:color="auto" w:fill="FFFFFF"/>
          <w:vertAlign w:val="superscript"/>
          <w:lang w:eastAsia="zh-CN"/>
        </w:rPr>
        <w:t>-</w:t>
      </w:r>
      <w:r w:rsidRPr="008C0625">
        <w:rPr>
          <w:rFonts w:ascii="Book Antiqua" w:hAnsi="Book Antiqua"/>
          <w:color w:val="000000" w:themeColor="text1"/>
          <w:sz w:val="24"/>
          <w:szCs w:val="24"/>
          <w:shd w:val="clear" w:color="auto" w:fill="FFFFFF"/>
          <w:vertAlign w:val="superscript"/>
        </w:rPr>
        <w:t>24]</w:t>
      </w:r>
      <w:r w:rsidR="00B77D53" w:rsidRPr="008C0625">
        <w:rPr>
          <w:rFonts w:ascii="Book Antiqua" w:hAnsi="Book Antiqua"/>
          <w:color w:val="000000" w:themeColor="text1"/>
          <w:sz w:val="24"/>
          <w:szCs w:val="24"/>
          <w:shd w:val="clear" w:color="auto" w:fill="FFFFFF"/>
        </w:rPr>
        <w:t xml:space="preserve"> and one RCT</w:t>
      </w:r>
      <w:r w:rsidRPr="008C0625">
        <w:rPr>
          <w:rFonts w:ascii="Book Antiqua" w:hAnsi="Book Antiqua"/>
          <w:color w:val="000000" w:themeColor="text1"/>
          <w:sz w:val="24"/>
          <w:szCs w:val="24"/>
          <w:shd w:val="clear" w:color="auto" w:fill="FFFFFF"/>
          <w:vertAlign w:val="superscript"/>
        </w:rPr>
        <w:t>[25]</w:t>
      </w:r>
      <w:r w:rsidRPr="008C0625">
        <w:rPr>
          <w:rFonts w:ascii="Book Antiqua" w:hAnsi="Book Antiqua"/>
          <w:color w:val="000000" w:themeColor="text1"/>
          <w:sz w:val="24"/>
          <w:szCs w:val="24"/>
          <w:shd w:val="clear" w:color="auto" w:fill="FFFFFF"/>
        </w:rPr>
        <w:t xml:space="preserve"> for a total of 443 peritonitis episodes. Moreover, an emphasis should be placed on the necessity of monitoring the local microbiologic profile in each dialysis center to determine the initial therapeutic protocol.</w:t>
      </w:r>
      <w:r w:rsidR="00D27816" w:rsidRPr="008C0625">
        <w:rPr>
          <w:rFonts w:ascii="Book Antiqua" w:hAnsi="Book Antiqua"/>
          <w:color w:val="000000" w:themeColor="text1"/>
          <w:sz w:val="24"/>
          <w:szCs w:val="24"/>
          <w:shd w:val="clear" w:color="auto" w:fill="FFFFFF"/>
        </w:rPr>
        <w:t xml:space="preserve"> </w:t>
      </w:r>
      <w:r w:rsidR="00963019" w:rsidRPr="008C0625">
        <w:rPr>
          <w:rFonts w:ascii="Book Antiqua" w:hAnsi="Book Antiqua"/>
          <w:color w:val="000000" w:themeColor="text1"/>
          <w:sz w:val="24"/>
          <w:szCs w:val="24"/>
          <w:shd w:val="clear" w:color="auto" w:fill="FFFFFF"/>
        </w:rPr>
        <w:t xml:space="preserve">Recommendations for antibiotics choice in peritoneal dialysis-related peritonitis are expressed in the </w:t>
      </w:r>
      <w:r w:rsidR="00B77D53" w:rsidRPr="008C0625">
        <w:rPr>
          <w:rFonts w:ascii="Book Antiqua" w:hAnsi="Book Antiqua"/>
          <w:color w:val="000000" w:themeColor="text1"/>
          <w:sz w:val="24"/>
          <w:szCs w:val="24"/>
          <w:shd w:val="clear" w:color="auto" w:fill="FFFFFF"/>
        </w:rPr>
        <w:t xml:space="preserve">Table </w:t>
      </w:r>
      <w:r w:rsidR="00963019" w:rsidRPr="008C0625">
        <w:rPr>
          <w:rFonts w:ascii="Book Antiqua" w:hAnsi="Book Antiqua"/>
          <w:color w:val="000000" w:themeColor="text1"/>
          <w:sz w:val="24"/>
          <w:szCs w:val="24"/>
          <w:shd w:val="clear" w:color="auto" w:fill="FFFFFF"/>
        </w:rPr>
        <w:t>1.</w:t>
      </w:r>
    </w:p>
    <w:p w:rsidR="009418F8" w:rsidRPr="008C0625" w:rsidRDefault="009418F8" w:rsidP="008C0625">
      <w:pPr>
        <w:spacing w:after="0" w:line="360" w:lineRule="auto"/>
        <w:jc w:val="both"/>
        <w:rPr>
          <w:rFonts w:ascii="Book Antiqua" w:hAnsi="Book Antiqua" w:cs="Times New Roman"/>
          <w:b/>
          <w:color w:val="000000" w:themeColor="text1"/>
          <w:sz w:val="24"/>
          <w:szCs w:val="24"/>
          <w:lang w:eastAsia="zh-CN"/>
        </w:rPr>
      </w:pPr>
    </w:p>
    <w:p w:rsidR="009418F8" w:rsidRPr="008C0625" w:rsidRDefault="009418F8" w:rsidP="008C0625">
      <w:pPr>
        <w:spacing w:after="0" w:line="360" w:lineRule="auto"/>
        <w:jc w:val="both"/>
        <w:rPr>
          <w:rFonts w:ascii="Book Antiqua" w:hAnsi="Book Antiqua"/>
          <w:b/>
          <w:color w:val="000000" w:themeColor="text1"/>
          <w:sz w:val="24"/>
          <w:szCs w:val="24"/>
          <w:lang w:eastAsia="zh-CN"/>
        </w:rPr>
      </w:pPr>
      <w:r w:rsidRPr="008C0625">
        <w:rPr>
          <w:rFonts w:ascii="Book Antiqua" w:hAnsi="Book Antiqua"/>
          <w:b/>
          <w:color w:val="000000" w:themeColor="text1"/>
          <w:sz w:val="24"/>
          <w:szCs w:val="24"/>
        </w:rPr>
        <w:t>ACNOWLEDGEMENT</w:t>
      </w:r>
      <w:r w:rsidRPr="008C0625">
        <w:rPr>
          <w:rFonts w:ascii="Book Antiqua" w:hAnsi="Book Antiqua"/>
          <w:b/>
          <w:color w:val="000000" w:themeColor="text1"/>
          <w:sz w:val="24"/>
          <w:szCs w:val="24"/>
          <w:lang w:eastAsia="zh-CN"/>
        </w:rPr>
        <w:t>S</w:t>
      </w:r>
    </w:p>
    <w:p w:rsidR="009418F8" w:rsidRPr="008C0625" w:rsidRDefault="009418F8" w:rsidP="008C0625">
      <w:pPr>
        <w:spacing w:after="0" w:line="360" w:lineRule="auto"/>
        <w:jc w:val="both"/>
        <w:rPr>
          <w:rFonts w:ascii="Book Antiqua" w:hAnsi="Book Antiqua"/>
          <w:bCs/>
          <w:color w:val="000000" w:themeColor="text1"/>
          <w:sz w:val="24"/>
          <w:szCs w:val="24"/>
          <w:lang w:eastAsia="zh-CN"/>
        </w:rPr>
      </w:pPr>
      <w:r w:rsidRPr="008C0625">
        <w:rPr>
          <w:rFonts w:ascii="Book Antiqua" w:hAnsi="Book Antiqua"/>
          <w:color w:val="000000" w:themeColor="text1"/>
          <w:sz w:val="24"/>
          <w:szCs w:val="24"/>
        </w:rPr>
        <w:t>The authors</w:t>
      </w:r>
      <w:r w:rsidRPr="008C0625">
        <w:rPr>
          <w:rFonts w:ascii="Book Antiqua" w:hAnsi="Book Antiqua"/>
          <w:bCs/>
          <w:color w:val="000000" w:themeColor="text1"/>
          <w:sz w:val="24"/>
          <w:szCs w:val="24"/>
        </w:rPr>
        <w:t xml:space="preserve"> would like to thank Marluci Betini, a librarian who helped in acquisition of data and Janete Soares for her language support. </w:t>
      </w:r>
    </w:p>
    <w:p w:rsidR="009418F8" w:rsidRPr="008C0625" w:rsidRDefault="009418F8" w:rsidP="008C0625">
      <w:pPr>
        <w:spacing w:after="0" w:line="360" w:lineRule="auto"/>
        <w:jc w:val="both"/>
        <w:rPr>
          <w:rFonts w:ascii="Book Antiqua" w:hAnsi="Book Antiqua"/>
          <w:color w:val="000000" w:themeColor="text1"/>
          <w:sz w:val="24"/>
          <w:szCs w:val="24"/>
          <w:lang w:eastAsia="zh-CN"/>
        </w:rPr>
      </w:pPr>
    </w:p>
    <w:p w:rsidR="00EE42F3" w:rsidRPr="008C0625" w:rsidRDefault="009418F8" w:rsidP="008C0625">
      <w:pPr>
        <w:spacing w:after="0" w:line="360" w:lineRule="auto"/>
        <w:jc w:val="both"/>
        <w:rPr>
          <w:rFonts w:ascii="Book Antiqua" w:hAnsi="Book Antiqua"/>
          <w:b/>
          <w:color w:val="000000" w:themeColor="text1"/>
          <w:sz w:val="24"/>
          <w:szCs w:val="24"/>
          <w:shd w:val="clear" w:color="auto" w:fill="FFFFFF"/>
          <w:lang w:eastAsia="zh-CN"/>
        </w:rPr>
      </w:pPr>
      <w:r w:rsidRPr="008C0625">
        <w:rPr>
          <w:rFonts w:ascii="Book Antiqua" w:hAnsi="Book Antiqua"/>
          <w:b/>
          <w:color w:val="000000" w:themeColor="text1"/>
          <w:sz w:val="24"/>
          <w:szCs w:val="24"/>
          <w:shd w:val="clear" w:color="auto" w:fill="FFFFFF"/>
          <w:lang w:eastAsia="zh-CN"/>
        </w:rPr>
        <w:t>REFERENCES</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1 </w:t>
      </w:r>
      <w:r w:rsidRPr="004F0AF3">
        <w:rPr>
          <w:rFonts w:ascii="Book Antiqua" w:eastAsia="宋体" w:hAnsi="Book Antiqua" w:cs="宋体"/>
          <w:b/>
          <w:bCs/>
          <w:sz w:val="24"/>
          <w:szCs w:val="24"/>
        </w:rPr>
        <w:t>Davenport A</w:t>
      </w:r>
      <w:r w:rsidRPr="004F0AF3">
        <w:rPr>
          <w:rFonts w:ascii="Book Antiqua" w:eastAsia="宋体" w:hAnsi="Book Antiqua" w:cs="宋体"/>
          <w:sz w:val="24"/>
          <w:szCs w:val="24"/>
        </w:rPr>
        <w:t xml:space="preserve">. Peritonitis remains the major clinical complication of peritoneal dialysis: the London, UK, peritonitis audit 2002-2003.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2009</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29</w:t>
      </w:r>
      <w:r w:rsidRPr="004F0AF3">
        <w:rPr>
          <w:rFonts w:ascii="Book Antiqua" w:eastAsia="宋体" w:hAnsi="Book Antiqua" w:cs="宋体"/>
          <w:sz w:val="24"/>
          <w:szCs w:val="24"/>
        </w:rPr>
        <w:t>: 297-302 [PMID: 19458302]</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2 </w:t>
      </w:r>
      <w:r w:rsidRPr="004F0AF3">
        <w:rPr>
          <w:rFonts w:ascii="Book Antiqua" w:eastAsia="宋体" w:hAnsi="Book Antiqua" w:cs="宋体"/>
          <w:b/>
          <w:bCs/>
          <w:sz w:val="24"/>
          <w:szCs w:val="24"/>
        </w:rPr>
        <w:t>Camargo CH</w:t>
      </w:r>
      <w:r w:rsidRPr="004F0AF3">
        <w:rPr>
          <w:rFonts w:ascii="Book Antiqua" w:eastAsia="宋体" w:hAnsi="Book Antiqua" w:cs="宋体"/>
          <w:sz w:val="24"/>
          <w:szCs w:val="24"/>
        </w:rPr>
        <w:t xml:space="preserve">, Cunha Mde L, Caramori JC, Mondelli AL, Montelli AC, Barretti P. Peritoneal dialysis-related peritonitis due to coagulase-negative Staphylococcus: a review of 115 cases in a Brazilian center. </w:t>
      </w:r>
      <w:r w:rsidRPr="004F0AF3">
        <w:rPr>
          <w:rFonts w:ascii="Book Antiqua" w:eastAsia="宋体" w:hAnsi="Book Antiqua" w:cs="宋体"/>
          <w:i/>
          <w:iCs/>
          <w:sz w:val="24"/>
          <w:szCs w:val="24"/>
        </w:rPr>
        <w:t>Clin J Am Soc Nephrol</w:t>
      </w:r>
      <w:r w:rsidRPr="004F0AF3">
        <w:rPr>
          <w:rFonts w:ascii="Book Antiqua" w:eastAsia="宋体" w:hAnsi="Book Antiqua" w:cs="宋体"/>
          <w:sz w:val="24"/>
          <w:szCs w:val="24"/>
        </w:rPr>
        <w:t xml:space="preserve"> 2014; </w:t>
      </w:r>
      <w:r w:rsidRPr="004F0AF3">
        <w:rPr>
          <w:rFonts w:ascii="Book Antiqua" w:eastAsia="宋体" w:hAnsi="Book Antiqua" w:cs="宋体"/>
          <w:b/>
          <w:bCs/>
          <w:sz w:val="24"/>
          <w:szCs w:val="24"/>
        </w:rPr>
        <w:t>9</w:t>
      </w:r>
      <w:r w:rsidRPr="004F0AF3">
        <w:rPr>
          <w:rFonts w:ascii="Book Antiqua" w:eastAsia="宋体" w:hAnsi="Book Antiqua" w:cs="宋体"/>
          <w:sz w:val="24"/>
          <w:szCs w:val="24"/>
        </w:rPr>
        <w:t>: 1074-1081 [PMID: 24677560 DOI: 10.2215/CJN.09280913]</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3 </w:t>
      </w:r>
      <w:r w:rsidRPr="004F0AF3">
        <w:rPr>
          <w:rFonts w:ascii="Book Antiqua" w:eastAsia="宋体" w:hAnsi="Book Antiqua" w:cs="宋体"/>
          <w:b/>
          <w:bCs/>
          <w:sz w:val="24"/>
          <w:szCs w:val="24"/>
        </w:rPr>
        <w:t>Piraino B</w:t>
      </w:r>
      <w:r w:rsidRPr="004F0AF3">
        <w:rPr>
          <w:rFonts w:ascii="Book Antiqua" w:eastAsia="宋体" w:hAnsi="Book Antiqua" w:cs="宋体"/>
          <w:sz w:val="24"/>
          <w:szCs w:val="24"/>
        </w:rPr>
        <w:t xml:space="preserve">, Bernardini J, Florio T, Fried L. Staphylococcus aureus prophylaxis and trends in gram-negative infections in peritoneal dialysis patients.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2003</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23</w:t>
      </w:r>
      <w:r w:rsidRPr="004F0AF3">
        <w:rPr>
          <w:rFonts w:ascii="Book Antiqua" w:eastAsia="宋体" w:hAnsi="Book Antiqua" w:cs="宋体"/>
          <w:sz w:val="24"/>
          <w:szCs w:val="24"/>
        </w:rPr>
        <w:t>: 456-459 [PMID: 14604197]</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4 </w:t>
      </w:r>
      <w:r w:rsidRPr="004F0AF3">
        <w:rPr>
          <w:rFonts w:ascii="Book Antiqua" w:eastAsia="宋体" w:hAnsi="Book Antiqua" w:cs="宋体"/>
          <w:b/>
          <w:bCs/>
          <w:sz w:val="24"/>
          <w:szCs w:val="24"/>
        </w:rPr>
        <w:t>Bender FH</w:t>
      </w:r>
      <w:r w:rsidRPr="004F0AF3">
        <w:rPr>
          <w:rFonts w:ascii="Book Antiqua" w:eastAsia="宋体" w:hAnsi="Book Antiqua" w:cs="宋体"/>
          <w:sz w:val="24"/>
          <w:szCs w:val="24"/>
        </w:rPr>
        <w:t xml:space="preserve">, Bernardini J, Piraino B. Prevention of infectious complications in peritoneal dialysis: best demonstrated practices. </w:t>
      </w:r>
      <w:r w:rsidRPr="004F0AF3">
        <w:rPr>
          <w:rFonts w:ascii="Book Antiqua" w:eastAsia="宋体" w:hAnsi="Book Antiqua" w:cs="宋体"/>
          <w:i/>
          <w:iCs/>
          <w:sz w:val="24"/>
          <w:szCs w:val="24"/>
        </w:rPr>
        <w:t>Kidney Int Suppl</w:t>
      </w:r>
      <w:r w:rsidRPr="008C0625">
        <w:rPr>
          <w:rFonts w:ascii="Book Antiqua" w:eastAsia="宋体" w:hAnsi="Book Antiqua" w:cs="宋体"/>
          <w:sz w:val="24"/>
          <w:szCs w:val="24"/>
        </w:rPr>
        <w:t xml:space="preserve"> 2006; </w:t>
      </w:r>
      <w:r w:rsidRPr="008C0625">
        <w:rPr>
          <w:rFonts w:ascii="Book Antiqua" w:eastAsia="宋体" w:hAnsi="Book Antiqua" w:cs="宋体"/>
          <w:b/>
          <w:sz w:val="24"/>
          <w:szCs w:val="24"/>
        </w:rPr>
        <w:t>(103)</w:t>
      </w:r>
      <w:r w:rsidRPr="004F0AF3">
        <w:rPr>
          <w:rFonts w:ascii="Book Antiqua" w:eastAsia="宋体" w:hAnsi="Book Antiqua" w:cs="宋体"/>
          <w:sz w:val="24"/>
          <w:szCs w:val="24"/>
        </w:rPr>
        <w:t xml:space="preserve">: S44-S54 [PMID: </w:t>
      </w:r>
      <w:bookmarkStart w:id="49" w:name="OLE_LINK1"/>
      <w:bookmarkStart w:id="50" w:name="OLE_LINK2"/>
      <w:r w:rsidRPr="004F0AF3">
        <w:rPr>
          <w:rFonts w:ascii="Book Antiqua" w:eastAsia="宋体" w:hAnsi="Book Antiqua" w:cs="宋体"/>
          <w:sz w:val="24"/>
          <w:szCs w:val="24"/>
        </w:rPr>
        <w:t xml:space="preserve">17080111 </w:t>
      </w:r>
      <w:bookmarkEnd w:id="49"/>
      <w:bookmarkEnd w:id="50"/>
      <w:r w:rsidRPr="004F0AF3">
        <w:rPr>
          <w:rFonts w:ascii="Book Antiqua" w:eastAsia="宋体" w:hAnsi="Book Antiqua" w:cs="宋体"/>
          <w:sz w:val="24"/>
          <w:szCs w:val="24"/>
        </w:rPr>
        <w:t>DOI: 10.1038/sj.ki.5001915]</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5 </w:t>
      </w:r>
      <w:r w:rsidRPr="004F0AF3">
        <w:rPr>
          <w:rFonts w:ascii="Book Antiqua" w:eastAsia="宋体" w:hAnsi="Book Antiqua" w:cs="宋体"/>
          <w:b/>
          <w:bCs/>
          <w:sz w:val="24"/>
          <w:szCs w:val="24"/>
        </w:rPr>
        <w:t>Kim DK</w:t>
      </w:r>
      <w:r w:rsidRPr="004F0AF3">
        <w:rPr>
          <w:rFonts w:ascii="Book Antiqua" w:eastAsia="宋体" w:hAnsi="Book Antiqua" w:cs="宋体"/>
          <w:sz w:val="24"/>
          <w:szCs w:val="24"/>
        </w:rPr>
        <w:t xml:space="preserve">, Yoo TH, Ryu DR, Xu ZG, Kim HJ, Choi KH, Lee HY, Han DS, Kang SW. Changes in causative organisms and their antimicrobial susceptibilities in CAPD peritonitis: a single center's experience over one decade.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2004</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24</w:t>
      </w:r>
      <w:r w:rsidRPr="004F0AF3">
        <w:rPr>
          <w:rFonts w:ascii="Book Antiqua" w:eastAsia="宋体" w:hAnsi="Book Antiqua" w:cs="宋体"/>
          <w:sz w:val="24"/>
          <w:szCs w:val="24"/>
        </w:rPr>
        <w:t>: 424-432 [PMID: 15490981]</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6 </w:t>
      </w:r>
      <w:r w:rsidRPr="004F0AF3">
        <w:rPr>
          <w:rFonts w:ascii="Book Antiqua" w:eastAsia="宋体" w:hAnsi="Book Antiqua" w:cs="宋体"/>
          <w:b/>
          <w:bCs/>
          <w:sz w:val="24"/>
          <w:szCs w:val="24"/>
        </w:rPr>
        <w:t>Barretti P</w:t>
      </w:r>
      <w:r w:rsidRPr="004F0AF3">
        <w:rPr>
          <w:rFonts w:ascii="Book Antiqua" w:eastAsia="宋体" w:hAnsi="Book Antiqua" w:cs="宋体"/>
          <w:sz w:val="24"/>
          <w:szCs w:val="24"/>
        </w:rPr>
        <w:t xml:space="preserve">, Pereira D, Brasil MA, de Lourdes Cunha M, Caramori J, Montelli A. Evolution of gram-negative bacilli susceptibility in peritoneal dialysis-related peritonitis in Brazil: a single center's experience over nine years.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2009</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29</w:t>
      </w:r>
      <w:r w:rsidRPr="004F0AF3">
        <w:rPr>
          <w:rFonts w:ascii="Book Antiqua" w:eastAsia="宋体" w:hAnsi="Book Antiqua" w:cs="宋体"/>
          <w:sz w:val="24"/>
          <w:szCs w:val="24"/>
        </w:rPr>
        <w:t>: 230-233 [PMID: 19293362]</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7 Continuous ambulatory peritoneal dialysis (CAPD) peritonitis treatment recommendations: 1989 update. The Ad Hoc Advisory Committee on Peritonitis Management.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1989; </w:t>
      </w:r>
      <w:r w:rsidRPr="004F0AF3">
        <w:rPr>
          <w:rFonts w:ascii="Book Antiqua" w:eastAsia="宋体" w:hAnsi="Book Antiqua" w:cs="宋体"/>
          <w:b/>
          <w:bCs/>
          <w:sz w:val="24"/>
          <w:szCs w:val="24"/>
        </w:rPr>
        <w:t>9</w:t>
      </w:r>
      <w:r w:rsidRPr="004F0AF3">
        <w:rPr>
          <w:rFonts w:ascii="Book Antiqua" w:eastAsia="宋体" w:hAnsi="Book Antiqua" w:cs="宋体"/>
          <w:sz w:val="24"/>
          <w:szCs w:val="24"/>
        </w:rPr>
        <w:t xml:space="preserve">: 247-256 [PMID: </w:t>
      </w:r>
      <w:bookmarkStart w:id="51" w:name="OLE_LINK7"/>
      <w:bookmarkStart w:id="52" w:name="OLE_LINK8"/>
      <w:r w:rsidRPr="004F0AF3">
        <w:rPr>
          <w:rFonts w:ascii="Book Antiqua" w:eastAsia="宋体" w:hAnsi="Book Antiqua" w:cs="宋体"/>
          <w:sz w:val="24"/>
          <w:szCs w:val="24"/>
        </w:rPr>
        <w:t>2488376</w:t>
      </w:r>
      <w:bookmarkEnd w:id="51"/>
      <w:bookmarkEnd w:id="52"/>
      <w:r w:rsidRPr="004F0AF3">
        <w:rPr>
          <w:rFonts w:ascii="Book Antiqua" w:eastAsia="宋体" w:hAnsi="Book Antiqua" w:cs="宋体"/>
          <w:sz w:val="24"/>
          <w:szCs w:val="24"/>
        </w:rPr>
        <w:t>]</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8 </w:t>
      </w:r>
      <w:r w:rsidRPr="004F0AF3">
        <w:rPr>
          <w:rFonts w:ascii="Book Antiqua" w:eastAsia="宋体" w:hAnsi="Book Antiqua" w:cs="宋体"/>
          <w:b/>
          <w:bCs/>
          <w:sz w:val="24"/>
          <w:szCs w:val="24"/>
        </w:rPr>
        <w:t>Keane WF</w:t>
      </w:r>
      <w:r w:rsidRPr="004F0AF3">
        <w:rPr>
          <w:rFonts w:ascii="Book Antiqua" w:eastAsia="宋体" w:hAnsi="Book Antiqua" w:cs="宋体"/>
          <w:sz w:val="24"/>
          <w:szCs w:val="24"/>
        </w:rPr>
        <w:t xml:space="preserve">, Everett ED, Golper TA, Gokal R, Halstenson C, Kawaguchi Y, Riella M, Vas S, Verbrugh HA. Peritoneal dialysis-related peritonitis treatment recommendations. 1993 update. The Ad Hoc Advisory Committee on Peritonitis Management. International Society for Peritoneal Dialysis.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1993; </w:t>
      </w:r>
      <w:r w:rsidRPr="004F0AF3">
        <w:rPr>
          <w:rFonts w:ascii="Book Antiqua" w:eastAsia="宋体" w:hAnsi="Book Antiqua" w:cs="宋体"/>
          <w:b/>
          <w:bCs/>
          <w:sz w:val="24"/>
          <w:szCs w:val="24"/>
        </w:rPr>
        <w:t>13</w:t>
      </w:r>
      <w:r w:rsidRPr="004F0AF3">
        <w:rPr>
          <w:rFonts w:ascii="Book Antiqua" w:eastAsia="宋体" w:hAnsi="Book Antiqua" w:cs="宋体"/>
          <w:sz w:val="24"/>
          <w:szCs w:val="24"/>
        </w:rPr>
        <w:t xml:space="preserve">: 14-28 [PMID: </w:t>
      </w:r>
      <w:bookmarkStart w:id="53" w:name="OLE_LINK9"/>
      <w:bookmarkStart w:id="54" w:name="OLE_LINK10"/>
      <w:r w:rsidRPr="004F0AF3">
        <w:rPr>
          <w:rFonts w:ascii="Book Antiqua" w:eastAsia="宋体" w:hAnsi="Book Antiqua" w:cs="宋体"/>
          <w:sz w:val="24"/>
          <w:szCs w:val="24"/>
        </w:rPr>
        <w:t>8443273</w:t>
      </w:r>
      <w:bookmarkEnd w:id="53"/>
      <w:bookmarkEnd w:id="54"/>
      <w:r w:rsidRPr="004F0AF3">
        <w:rPr>
          <w:rFonts w:ascii="Book Antiqua" w:eastAsia="宋体" w:hAnsi="Book Antiqua" w:cs="宋体"/>
          <w:sz w:val="24"/>
          <w:szCs w:val="24"/>
        </w:rPr>
        <w:t>]</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9 </w:t>
      </w:r>
      <w:r w:rsidRPr="004F0AF3">
        <w:rPr>
          <w:rFonts w:ascii="Book Antiqua" w:eastAsia="宋体" w:hAnsi="Book Antiqua" w:cs="宋体"/>
          <w:b/>
          <w:bCs/>
          <w:sz w:val="24"/>
          <w:szCs w:val="24"/>
        </w:rPr>
        <w:t>Keane WF</w:t>
      </w:r>
      <w:r w:rsidRPr="004F0AF3">
        <w:rPr>
          <w:rFonts w:ascii="Book Antiqua" w:eastAsia="宋体" w:hAnsi="Book Antiqua" w:cs="宋体"/>
          <w:sz w:val="24"/>
          <w:szCs w:val="24"/>
        </w:rPr>
        <w:t xml:space="preserve">, Alexander SR, Bailie GR, Boeschoten E, Gokal R, Golper TA, Holmes CJ, Huang CC, Kawaguchi Y, Piraino B, Riella M, Schaefer F, Vas S. Peritoneal dialysis-related peritonitis treatment recommendations: 1996 update.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1996</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16</w:t>
      </w:r>
      <w:r w:rsidRPr="004F0AF3">
        <w:rPr>
          <w:rFonts w:ascii="Book Antiqua" w:eastAsia="宋体" w:hAnsi="Book Antiqua" w:cs="宋体"/>
          <w:sz w:val="24"/>
          <w:szCs w:val="24"/>
        </w:rPr>
        <w:t>: 557-573 [PMID: 8981523]</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10 </w:t>
      </w:r>
      <w:r w:rsidRPr="004F0AF3">
        <w:rPr>
          <w:rFonts w:ascii="Book Antiqua" w:eastAsia="宋体" w:hAnsi="Book Antiqua" w:cs="宋体"/>
          <w:b/>
          <w:bCs/>
          <w:sz w:val="24"/>
          <w:szCs w:val="24"/>
        </w:rPr>
        <w:t>Keane WF</w:t>
      </w:r>
      <w:r w:rsidRPr="004F0AF3">
        <w:rPr>
          <w:rFonts w:ascii="Book Antiqua" w:eastAsia="宋体" w:hAnsi="Book Antiqua" w:cs="宋体"/>
          <w:sz w:val="24"/>
          <w:szCs w:val="24"/>
        </w:rPr>
        <w:t xml:space="preserve">, Bailie GR, Boeschoten E, Gokal R, Golper TA, Holmes CJ, Kawaguchi Y, Piraino B, Riella M, Vas S. Adult peritoneal dialysis-related peritonitis treatment recommendations: 2000 update.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2000</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20</w:t>
      </w:r>
      <w:r w:rsidRPr="004F0AF3">
        <w:rPr>
          <w:rFonts w:ascii="Book Antiqua" w:eastAsia="宋体" w:hAnsi="Book Antiqua" w:cs="宋体"/>
          <w:sz w:val="24"/>
          <w:szCs w:val="24"/>
        </w:rPr>
        <w:t>: 396-411 [PMID: 11007371]</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11 </w:t>
      </w:r>
      <w:r w:rsidRPr="004F0AF3">
        <w:rPr>
          <w:rFonts w:ascii="Book Antiqua" w:eastAsia="宋体" w:hAnsi="Book Antiqua" w:cs="宋体"/>
          <w:b/>
          <w:bCs/>
          <w:sz w:val="24"/>
          <w:szCs w:val="24"/>
        </w:rPr>
        <w:t>Piraino B</w:t>
      </w:r>
      <w:r w:rsidRPr="004F0AF3">
        <w:rPr>
          <w:rFonts w:ascii="Book Antiqua" w:eastAsia="宋体" w:hAnsi="Book Antiqua" w:cs="宋体"/>
          <w:sz w:val="24"/>
          <w:szCs w:val="24"/>
        </w:rPr>
        <w:t>, Bailie GR, Bernardini J, Boeschoten E, Gupta A, Holmes C, Kuijper EJ, Li PK, Lye WC, Mujais S, Paterson DL, Fontan MP, Ramos A, Schaefer F, Uttley L</w:t>
      </w:r>
      <w:r w:rsidRPr="008C0625">
        <w:rPr>
          <w:rFonts w:ascii="Book Antiqua" w:eastAsia="宋体" w:hAnsi="Book Antiqua" w:cs="宋体"/>
          <w:sz w:val="24"/>
          <w:szCs w:val="24"/>
        </w:rPr>
        <w:t>; ISPD Ad Hoc Advisory Committee</w:t>
      </w:r>
      <w:r w:rsidRPr="004F0AF3">
        <w:rPr>
          <w:rFonts w:ascii="Book Antiqua" w:eastAsia="宋体" w:hAnsi="Book Antiqua" w:cs="宋体"/>
          <w:sz w:val="24"/>
          <w:szCs w:val="24"/>
        </w:rPr>
        <w:t xml:space="preserve">. Peritoneal dialysis-related infections recommendations: 2005 update.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2005</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25</w:t>
      </w:r>
      <w:r w:rsidRPr="004F0AF3">
        <w:rPr>
          <w:rFonts w:ascii="Book Antiqua" w:eastAsia="宋体" w:hAnsi="Book Antiqua" w:cs="宋体"/>
          <w:sz w:val="24"/>
          <w:szCs w:val="24"/>
        </w:rPr>
        <w:t>: 107-131 [PMID: 15796137]</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12 </w:t>
      </w:r>
      <w:r w:rsidRPr="004F0AF3">
        <w:rPr>
          <w:rFonts w:ascii="Book Antiqua" w:eastAsia="宋体" w:hAnsi="Book Antiqua" w:cs="宋体"/>
          <w:b/>
          <w:bCs/>
          <w:sz w:val="24"/>
          <w:szCs w:val="24"/>
        </w:rPr>
        <w:t>Li PK</w:t>
      </w:r>
      <w:r w:rsidRPr="004F0AF3">
        <w:rPr>
          <w:rFonts w:ascii="Book Antiqua" w:eastAsia="宋体" w:hAnsi="Book Antiqua" w:cs="宋体"/>
          <w:sz w:val="24"/>
          <w:szCs w:val="24"/>
        </w:rPr>
        <w:t>, Szeto CC, Piraino B, Bernardini J, Figueiredo AE, Gupta A, Johnson DW, Kuijper EJ, Lye WC, Salzer W, Schaefer F, Struijk DG</w:t>
      </w:r>
      <w:r w:rsidRPr="008C0625">
        <w:rPr>
          <w:rFonts w:ascii="Book Antiqua" w:eastAsia="宋体" w:hAnsi="Book Antiqua" w:cs="宋体"/>
          <w:sz w:val="24"/>
          <w:szCs w:val="24"/>
        </w:rPr>
        <w:t>; International Society for Peritoneal Dialysis</w:t>
      </w:r>
      <w:r w:rsidRPr="004F0AF3">
        <w:rPr>
          <w:rFonts w:ascii="Book Antiqua" w:eastAsia="宋体" w:hAnsi="Book Antiqua" w:cs="宋体"/>
          <w:sz w:val="24"/>
          <w:szCs w:val="24"/>
        </w:rPr>
        <w:t xml:space="preserve">. Peritoneal dialysis-related infections recommendations: 2010 update.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2010</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30</w:t>
      </w:r>
      <w:r w:rsidRPr="004F0AF3">
        <w:rPr>
          <w:rFonts w:ascii="Book Antiqua" w:eastAsia="宋体" w:hAnsi="Book Antiqua" w:cs="宋体"/>
          <w:sz w:val="24"/>
          <w:szCs w:val="24"/>
        </w:rPr>
        <w:t>: 393-423 [PMID: 20628102 DOI: 10.3747/pdi.2010.00049]</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13 </w:t>
      </w:r>
      <w:r w:rsidRPr="004F0AF3">
        <w:rPr>
          <w:rFonts w:ascii="Book Antiqua" w:eastAsia="宋体" w:hAnsi="Book Antiqua" w:cs="宋体"/>
          <w:b/>
          <w:bCs/>
          <w:sz w:val="24"/>
          <w:szCs w:val="24"/>
        </w:rPr>
        <w:t>Millikin SP</w:t>
      </w:r>
      <w:r w:rsidRPr="004F0AF3">
        <w:rPr>
          <w:rFonts w:ascii="Book Antiqua" w:eastAsia="宋体" w:hAnsi="Book Antiqua" w:cs="宋体"/>
          <w:sz w:val="24"/>
          <w:szCs w:val="24"/>
        </w:rPr>
        <w:t xml:space="preserve">, Matzke GR, Keane WF. Antimicrobial treatment of peritonitis associated with continuous ambulatory peritoneal dialysis.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1991; </w:t>
      </w:r>
      <w:r w:rsidRPr="004F0AF3">
        <w:rPr>
          <w:rFonts w:ascii="Book Antiqua" w:eastAsia="宋体" w:hAnsi="Book Antiqua" w:cs="宋体"/>
          <w:b/>
          <w:bCs/>
          <w:sz w:val="24"/>
          <w:szCs w:val="24"/>
        </w:rPr>
        <w:t>11</w:t>
      </w:r>
      <w:r w:rsidRPr="004F0AF3">
        <w:rPr>
          <w:rFonts w:ascii="Book Antiqua" w:eastAsia="宋体" w:hAnsi="Book Antiqua" w:cs="宋体"/>
          <w:sz w:val="24"/>
          <w:szCs w:val="24"/>
        </w:rPr>
        <w:t>: 252-260 [PMID: 1832968]</w:t>
      </w:r>
    </w:p>
    <w:p w:rsidR="00EE42F3" w:rsidRPr="008C0625" w:rsidRDefault="00EE42F3" w:rsidP="008C0625">
      <w:pPr>
        <w:spacing w:after="0" w:line="360" w:lineRule="auto"/>
        <w:jc w:val="both"/>
        <w:rPr>
          <w:rFonts w:ascii="Book Antiqua" w:eastAsia="宋体" w:hAnsi="Book Antiqua" w:cs="宋体"/>
          <w:b/>
          <w:sz w:val="24"/>
          <w:szCs w:val="24"/>
        </w:rPr>
      </w:pPr>
      <w:r w:rsidRPr="004F0AF3">
        <w:rPr>
          <w:rFonts w:ascii="Book Antiqua" w:eastAsia="宋体" w:hAnsi="Book Antiqua" w:cs="宋体"/>
          <w:sz w:val="24"/>
          <w:szCs w:val="24"/>
        </w:rPr>
        <w:t xml:space="preserve">14 </w:t>
      </w:r>
      <w:r w:rsidRPr="008C0625">
        <w:rPr>
          <w:rFonts w:ascii="Book Antiqua" w:eastAsia="宋体" w:hAnsi="Book Antiqua" w:cs="宋体"/>
          <w:b/>
          <w:sz w:val="24"/>
          <w:szCs w:val="24"/>
        </w:rPr>
        <w:t xml:space="preserve">Barretti P, </w:t>
      </w:r>
      <w:r w:rsidRPr="008C0625">
        <w:rPr>
          <w:rFonts w:ascii="Book Antiqua" w:eastAsia="宋体" w:hAnsi="Book Antiqua" w:cs="宋体"/>
          <w:sz w:val="24"/>
          <w:szCs w:val="24"/>
        </w:rPr>
        <w:t xml:space="preserve">Montelli AC, Cunha MLRS, Caramori JCT. </w:t>
      </w:r>
      <w:bookmarkStart w:id="55" w:name="OLE_LINK3"/>
      <w:bookmarkStart w:id="56" w:name="OLE_LINK4"/>
      <w:r w:rsidRPr="008C0625">
        <w:rPr>
          <w:rFonts w:ascii="Book Antiqua" w:eastAsia="宋体" w:hAnsi="Book Antiqua" w:cs="宋体"/>
          <w:sz w:val="24"/>
          <w:szCs w:val="24"/>
        </w:rPr>
        <w:t>Tratamento atual das peritonites em em diálise peritoneal ambulatorial contínua</w:t>
      </w:r>
      <w:bookmarkEnd w:id="55"/>
      <w:bookmarkEnd w:id="56"/>
      <w:r w:rsidRPr="008C0625">
        <w:rPr>
          <w:rFonts w:ascii="Book Antiqua" w:eastAsia="宋体" w:hAnsi="Book Antiqua" w:cs="宋体"/>
          <w:sz w:val="24"/>
          <w:szCs w:val="24"/>
        </w:rPr>
        <w:t xml:space="preserve">. </w:t>
      </w:r>
      <w:r w:rsidRPr="008C0625">
        <w:rPr>
          <w:rFonts w:ascii="Book Antiqua" w:eastAsia="宋体" w:hAnsi="Book Antiqua" w:cs="宋体"/>
          <w:i/>
          <w:sz w:val="24"/>
          <w:szCs w:val="24"/>
        </w:rPr>
        <w:t>J Bras Nefrol</w:t>
      </w:r>
      <w:r w:rsidRPr="008C0625">
        <w:rPr>
          <w:rFonts w:ascii="Book Antiqua" w:eastAsia="宋体" w:hAnsi="Book Antiqua" w:cs="宋体"/>
          <w:sz w:val="24"/>
          <w:szCs w:val="24"/>
        </w:rPr>
        <w:t xml:space="preserve"> 2001; </w:t>
      </w:r>
      <w:r w:rsidRPr="008C0625">
        <w:rPr>
          <w:rFonts w:ascii="Book Antiqua" w:eastAsia="宋体" w:hAnsi="Book Antiqua" w:cs="宋体"/>
          <w:b/>
          <w:sz w:val="24"/>
          <w:szCs w:val="24"/>
        </w:rPr>
        <w:t>23</w:t>
      </w:r>
      <w:r w:rsidRPr="008C0625">
        <w:rPr>
          <w:rFonts w:ascii="Book Antiqua" w:eastAsia="宋体" w:hAnsi="Book Antiqua" w:cs="宋体"/>
          <w:sz w:val="24"/>
          <w:szCs w:val="24"/>
        </w:rPr>
        <w:t>: 114-120</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15 </w:t>
      </w:r>
      <w:r w:rsidRPr="004F0AF3">
        <w:rPr>
          <w:rFonts w:ascii="Book Antiqua" w:eastAsia="宋体" w:hAnsi="Book Antiqua" w:cs="宋体"/>
          <w:b/>
          <w:bCs/>
          <w:sz w:val="24"/>
          <w:szCs w:val="24"/>
        </w:rPr>
        <w:t>Beaman M</w:t>
      </w:r>
      <w:r w:rsidRPr="004F0AF3">
        <w:rPr>
          <w:rFonts w:ascii="Book Antiqua" w:eastAsia="宋体" w:hAnsi="Book Antiqua" w:cs="宋体"/>
          <w:sz w:val="24"/>
          <w:szCs w:val="24"/>
        </w:rPr>
        <w:t xml:space="preserve">, Solaro L, McGonigle RJ, Michael J, Adu D. Vancomycin and ceftazidime in the treatment of CAPD peritonitis. </w:t>
      </w:r>
      <w:r w:rsidRPr="004F0AF3">
        <w:rPr>
          <w:rFonts w:ascii="Book Antiqua" w:eastAsia="宋体" w:hAnsi="Book Antiqua" w:cs="宋体"/>
          <w:i/>
          <w:iCs/>
          <w:sz w:val="24"/>
          <w:szCs w:val="24"/>
        </w:rPr>
        <w:t>Nephron</w:t>
      </w:r>
      <w:r w:rsidRPr="004F0AF3">
        <w:rPr>
          <w:rFonts w:ascii="Book Antiqua" w:eastAsia="宋体" w:hAnsi="Book Antiqua" w:cs="宋体"/>
          <w:sz w:val="24"/>
          <w:szCs w:val="24"/>
        </w:rPr>
        <w:t xml:space="preserve"> 1989; </w:t>
      </w:r>
      <w:r w:rsidRPr="004F0AF3">
        <w:rPr>
          <w:rFonts w:ascii="Book Antiqua" w:eastAsia="宋体" w:hAnsi="Book Antiqua" w:cs="宋体"/>
          <w:b/>
          <w:bCs/>
          <w:sz w:val="24"/>
          <w:szCs w:val="24"/>
        </w:rPr>
        <w:t>51</w:t>
      </w:r>
      <w:r w:rsidRPr="004F0AF3">
        <w:rPr>
          <w:rFonts w:ascii="Book Antiqua" w:eastAsia="宋体" w:hAnsi="Book Antiqua" w:cs="宋体"/>
          <w:sz w:val="24"/>
          <w:szCs w:val="24"/>
        </w:rPr>
        <w:t>: 51-55 [PMID:</w:t>
      </w:r>
      <w:r w:rsidRPr="008C0625">
        <w:rPr>
          <w:rFonts w:ascii="Book Antiqua" w:eastAsia="宋体" w:hAnsi="Book Antiqua" w:cs="宋体"/>
          <w:sz w:val="24"/>
          <w:szCs w:val="24"/>
        </w:rPr>
        <w:t xml:space="preserve"> 2644565 DOI: 10.1159/000185242</w:t>
      </w:r>
      <w:r w:rsidRPr="004F0AF3">
        <w:rPr>
          <w:rFonts w:ascii="Book Antiqua" w:eastAsia="宋体" w:hAnsi="Book Antiqua" w:cs="宋体"/>
          <w:sz w:val="24"/>
          <w:szCs w:val="24"/>
        </w:rPr>
        <w:t>]</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16 </w:t>
      </w:r>
      <w:r w:rsidRPr="004F0AF3">
        <w:rPr>
          <w:rFonts w:ascii="Book Antiqua" w:eastAsia="宋体" w:hAnsi="Book Antiqua" w:cs="宋体"/>
          <w:b/>
          <w:bCs/>
          <w:sz w:val="24"/>
          <w:szCs w:val="24"/>
        </w:rPr>
        <w:t>Onozato ML</w:t>
      </w:r>
      <w:r w:rsidRPr="004F0AF3">
        <w:rPr>
          <w:rFonts w:ascii="Book Antiqua" w:eastAsia="宋体" w:hAnsi="Book Antiqua" w:cs="宋体"/>
          <w:sz w:val="24"/>
          <w:szCs w:val="24"/>
        </w:rPr>
        <w:t xml:space="preserve">, Caramori JC, Barretti P. Initial treatment of CAPD peritonitis: poor response with association of cefazolin and amikacin.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1999</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19</w:t>
      </w:r>
      <w:r w:rsidRPr="004F0AF3">
        <w:rPr>
          <w:rFonts w:ascii="Book Antiqua" w:eastAsia="宋体" w:hAnsi="Book Antiqua" w:cs="宋体"/>
          <w:sz w:val="24"/>
          <w:szCs w:val="24"/>
        </w:rPr>
        <w:t>: 88-89 [PMID: 10201353]</w:t>
      </w:r>
    </w:p>
    <w:p w:rsidR="00EE42F3" w:rsidRPr="008C0625"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17 </w:t>
      </w:r>
      <w:r w:rsidRPr="008C0625">
        <w:rPr>
          <w:rFonts w:ascii="Book Antiqua" w:eastAsia="宋体" w:hAnsi="Book Antiqua" w:cs="宋体"/>
          <w:b/>
          <w:sz w:val="24"/>
          <w:szCs w:val="24"/>
        </w:rPr>
        <w:t>Wiggins KJ,</w:t>
      </w:r>
      <w:r w:rsidRPr="008C0625">
        <w:rPr>
          <w:rFonts w:ascii="Book Antiqua" w:eastAsia="宋体" w:hAnsi="Book Antiqua" w:cs="宋体"/>
          <w:sz w:val="24"/>
          <w:szCs w:val="24"/>
        </w:rPr>
        <w:t xml:space="preserve"> Johnson DW, Craig JC, Strippoli GF. Treatment of peritoneal dialysis-associated peritonitis: a systematic review of randomized controlled trials. </w:t>
      </w:r>
      <w:r w:rsidRPr="008C0625">
        <w:rPr>
          <w:rFonts w:ascii="Book Antiqua" w:eastAsia="宋体" w:hAnsi="Book Antiqua" w:cs="宋体"/>
          <w:i/>
          <w:sz w:val="24"/>
          <w:szCs w:val="24"/>
        </w:rPr>
        <w:t>Am J Kidney Dis</w:t>
      </w:r>
      <w:r w:rsidRPr="008C0625">
        <w:rPr>
          <w:rFonts w:ascii="Book Antiqua" w:eastAsia="宋体" w:hAnsi="Book Antiqua" w:cs="宋体"/>
          <w:sz w:val="24"/>
          <w:szCs w:val="24"/>
        </w:rPr>
        <w:t xml:space="preserve"> 2007; </w:t>
      </w:r>
      <w:r w:rsidRPr="008C0625">
        <w:rPr>
          <w:rFonts w:ascii="Book Antiqua" w:eastAsia="宋体" w:hAnsi="Book Antiqua" w:cs="宋体"/>
          <w:b/>
          <w:sz w:val="24"/>
          <w:szCs w:val="24"/>
        </w:rPr>
        <w:t>50</w:t>
      </w:r>
      <w:r w:rsidRPr="008C0625">
        <w:rPr>
          <w:rFonts w:ascii="Book Antiqua" w:eastAsia="宋体" w:hAnsi="Book Antiqua" w:cs="宋体"/>
          <w:sz w:val="24"/>
          <w:szCs w:val="24"/>
        </w:rPr>
        <w:t>: 967-988 [PMID: 18037098 DOI:10.1053/j.ajkd.2007.08.015]</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18 </w:t>
      </w:r>
      <w:r w:rsidRPr="004F0AF3">
        <w:rPr>
          <w:rFonts w:ascii="Book Antiqua" w:eastAsia="宋体" w:hAnsi="Book Antiqua" w:cs="宋体"/>
          <w:b/>
          <w:bCs/>
          <w:sz w:val="24"/>
          <w:szCs w:val="24"/>
        </w:rPr>
        <w:t>Ballinger AE</w:t>
      </w:r>
      <w:r w:rsidRPr="004F0AF3">
        <w:rPr>
          <w:rFonts w:ascii="Book Antiqua" w:eastAsia="宋体" w:hAnsi="Book Antiqua" w:cs="宋体"/>
          <w:sz w:val="24"/>
          <w:szCs w:val="24"/>
        </w:rPr>
        <w:t xml:space="preserve">, Palmer SC, Wiggins KJ, Craig JC, Johnson DW, Cross NB, Strippoli GF. Treatment for peritoneal dialysis-associated peritonitis. </w:t>
      </w:r>
      <w:r w:rsidRPr="004F0AF3">
        <w:rPr>
          <w:rFonts w:ascii="Book Antiqua" w:eastAsia="宋体" w:hAnsi="Book Antiqua" w:cs="宋体"/>
          <w:i/>
          <w:iCs/>
          <w:sz w:val="24"/>
          <w:szCs w:val="24"/>
        </w:rPr>
        <w:t>Cochrane Database Syst Rev</w:t>
      </w:r>
      <w:r w:rsidRPr="004F0AF3">
        <w:rPr>
          <w:rFonts w:ascii="Book Antiqua" w:eastAsia="宋体" w:hAnsi="Book Antiqua" w:cs="宋体"/>
          <w:sz w:val="24"/>
          <w:szCs w:val="24"/>
        </w:rPr>
        <w:t xml:space="preserve"> 2014; </w:t>
      </w:r>
      <w:r w:rsidRPr="004F0AF3">
        <w:rPr>
          <w:rFonts w:ascii="Book Antiqua" w:eastAsia="宋体" w:hAnsi="Book Antiqua" w:cs="宋体"/>
          <w:b/>
          <w:bCs/>
          <w:sz w:val="24"/>
          <w:szCs w:val="24"/>
        </w:rPr>
        <w:t>4</w:t>
      </w:r>
      <w:r w:rsidRPr="004F0AF3">
        <w:rPr>
          <w:rFonts w:ascii="Book Antiqua" w:eastAsia="宋体" w:hAnsi="Book Antiqua" w:cs="宋体"/>
          <w:sz w:val="24"/>
          <w:szCs w:val="24"/>
        </w:rPr>
        <w:t>: CD005284 [PMID: 24771351 DOI: 10.1002/14651858.CD005284.pub3]</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19 </w:t>
      </w:r>
      <w:r w:rsidRPr="004F0AF3">
        <w:rPr>
          <w:rFonts w:ascii="Book Antiqua" w:eastAsia="宋体" w:hAnsi="Book Antiqua" w:cs="宋体"/>
          <w:b/>
          <w:bCs/>
          <w:sz w:val="24"/>
          <w:szCs w:val="24"/>
        </w:rPr>
        <w:t>El Dib R</w:t>
      </w:r>
      <w:r w:rsidRPr="004F0AF3">
        <w:rPr>
          <w:rFonts w:ascii="Book Antiqua" w:eastAsia="宋体" w:hAnsi="Book Antiqua" w:cs="宋体"/>
          <w:sz w:val="24"/>
          <w:szCs w:val="24"/>
        </w:rPr>
        <w:t xml:space="preserve">, Touma NJ, Kapoor A. Cryoablation vs radiofrequency ablation for the treatment of renal cell carcinoma: a meta-analysis of case series studies. </w:t>
      </w:r>
      <w:r w:rsidRPr="004F0AF3">
        <w:rPr>
          <w:rFonts w:ascii="Book Antiqua" w:eastAsia="宋体" w:hAnsi="Book Antiqua" w:cs="宋体"/>
          <w:i/>
          <w:iCs/>
          <w:sz w:val="24"/>
          <w:szCs w:val="24"/>
        </w:rPr>
        <w:t>BJU Int</w:t>
      </w:r>
      <w:r w:rsidRPr="004F0AF3">
        <w:rPr>
          <w:rFonts w:ascii="Book Antiqua" w:eastAsia="宋体" w:hAnsi="Book Antiqua" w:cs="宋体"/>
          <w:sz w:val="24"/>
          <w:szCs w:val="24"/>
        </w:rPr>
        <w:t xml:space="preserve"> 2012; </w:t>
      </w:r>
      <w:r w:rsidRPr="004F0AF3">
        <w:rPr>
          <w:rFonts w:ascii="Book Antiqua" w:eastAsia="宋体" w:hAnsi="Book Antiqua" w:cs="宋体"/>
          <w:b/>
          <w:bCs/>
          <w:sz w:val="24"/>
          <w:szCs w:val="24"/>
        </w:rPr>
        <w:t>110</w:t>
      </w:r>
      <w:r w:rsidRPr="004F0AF3">
        <w:rPr>
          <w:rFonts w:ascii="Book Antiqua" w:eastAsia="宋体" w:hAnsi="Book Antiqua" w:cs="宋体"/>
          <w:sz w:val="24"/>
          <w:szCs w:val="24"/>
        </w:rPr>
        <w:t>: 510-516 [PMID: 22304329 DOI: 1</w:t>
      </w:r>
      <w:r w:rsidRPr="008C0625">
        <w:rPr>
          <w:rFonts w:ascii="Book Antiqua" w:eastAsia="宋体" w:hAnsi="Book Antiqua" w:cs="宋体"/>
          <w:sz w:val="24"/>
          <w:szCs w:val="24"/>
        </w:rPr>
        <w:t>0.1111/j.1464-410X.2011.10885.x</w:t>
      </w:r>
      <w:r w:rsidRPr="004F0AF3">
        <w:rPr>
          <w:rFonts w:ascii="Book Antiqua" w:eastAsia="宋体" w:hAnsi="Book Antiqua" w:cs="宋体"/>
          <w:sz w:val="24"/>
          <w:szCs w:val="24"/>
        </w:rPr>
        <w:t>]</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20 </w:t>
      </w:r>
      <w:r w:rsidRPr="004F0AF3">
        <w:rPr>
          <w:rFonts w:ascii="Book Antiqua" w:eastAsia="宋体" w:hAnsi="Book Antiqua" w:cs="宋体"/>
          <w:b/>
          <w:bCs/>
          <w:sz w:val="24"/>
          <w:szCs w:val="24"/>
        </w:rPr>
        <w:t>Gurgel SJ</w:t>
      </w:r>
      <w:r w:rsidRPr="004F0AF3">
        <w:rPr>
          <w:rFonts w:ascii="Book Antiqua" w:eastAsia="宋体" w:hAnsi="Book Antiqua" w:cs="宋体"/>
          <w:sz w:val="24"/>
          <w:szCs w:val="24"/>
        </w:rPr>
        <w:t xml:space="preserve">, El Dib R, do Nascimento P. Enhanced recovery after elective open surgical repair of abdominal aortic aneurysm: a complementary overview through a pooled analysis of proportions from case series studies. </w:t>
      </w:r>
      <w:r w:rsidRPr="004F0AF3">
        <w:rPr>
          <w:rFonts w:ascii="Book Antiqua" w:eastAsia="宋体" w:hAnsi="Book Antiqua" w:cs="宋体"/>
          <w:i/>
          <w:iCs/>
          <w:sz w:val="24"/>
          <w:szCs w:val="24"/>
        </w:rPr>
        <w:t>PLoS One</w:t>
      </w:r>
      <w:r w:rsidRPr="004F0AF3">
        <w:rPr>
          <w:rFonts w:ascii="Book Antiqua" w:eastAsia="宋体" w:hAnsi="Book Antiqua" w:cs="宋体"/>
          <w:sz w:val="24"/>
          <w:szCs w:val="24"/>
        </w:rPr>
        <w:t xml:space="preserve"> 2014; </w:t>
      </w:r>
      <w:r w:rsidRPr="004F0AF3">
        <w:rPr>
          <w:rFonts w:ascii="Book Antiqua" w:eastAsia="宋体" w:hAnsi="Book Antiqua" w:cs="宋体"/>
          <w:b/>
          <w:bCs/>
          <w:sz w:val="24"/>
          <w:szCs w:val="24"/>
        </w:rPr>
        <w:t>9</w:t>
      </w:r>
      <w:r w:rsidRPr="004F0AF3">
        <w:rPr>
          <w:rFonts w:ascii="Book Antiqua" w:eastAsia="宋体" w:hAnsi="Book Antiqua" w:cs="宋体"/>
          <w:sz w:val="24"/>
          <w:szCs w:val="24"/>
        </w:rPr>
        <w:t>: e98006 [PMID: 24887022 DOI: 10.1371/journal.pone.0098006]</w:t>
      </w:r>
    </w:p>
    <w:p w:rsidR="00EE42F3" w:rsidRPr="008C0625"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21 </w:t>
      </w:r>
      <w:r w:rsidRPr="004F0AF3">
        <w:rPr>
          <w:rFonts w:ascii="Book Antiqua" w:eastAsia="宋体" w:hAnsi="Book Antiqua" w:cs="宋体"/>
          <w:b/>
          <w:bCs/>
          <w:sz w:val="24"/>
          <w:szCs w:val="24"/>
        </w:rPr>
        <w:t>Barretti P</w:t>
      </w:r>
      <w:r w:rsidRPr="004F0AF3">
        <w:rPr>
          <w:rFonts w:ascii="Book Antiqua" w:eastAsia="宋体" w:hAnsi="Book Antiqua" w:cs="宋体"/>
          <w:sz w:val="24"/>
          <w:szCs w:val="24"/>
        </w:rPr>
        <w:t xml:space="preserve">, Doles JV, Pinotti DG, El Dib R. Efficacy of antibiotic therapy for peritoneal dialysis-associated peritonitis: a proportional meta-analysis. </w:t>
      </w:r>
      <w:r w:rsidRPr="004F0AF3">
        <w:rPr>
          <w:rFonts w:ascii="Book Antiqua" w:eastAsia="宋体" w:hAnsi="Book Antiqua" w:cs="宋体"/>
          <w:i/>
          <w:iCs/>
          <w:sz w:val="24"/>
          <w:szCs w:val="24"/>
        </w:rPr>
        <w:t>BMC Infect Dis</w:t>
      </w:r>
      <w:r w:rsidRPr="004F0AF3">
        <w:rPr>
          <w:rFonts w:ascii="Book Antiqua" w:eastAsia="宋体" w:hAnsi="Book Antiqua" w:cs="宋体"/>
          <w:sz w:val="24"/>
          <w:szCs w:val="24"/>
        </w:rPr>
        <w:t xml:space="preserve"> 2014; </w:t>
      </w:r>
      <w:r w:rsidRPr="004F0AF3">
        <w:rPr>
          <w:rFonts w:ascii="Book Antiqua" w:eastAsia="宋体" w:hAnsi="Book Antiqua" w:cs="宋体"/>
          <w:b/>
          <w:bCs/>
          <w:sz w:val="24"/>
          <w:szCs w:val="24"/>
        </w:rPr>
        <w:t>14</w:t>
      </w:r>
      <w:r w:rsidRPr="004F0AF3">
        <w:rPr>
          <w:rFonts w:ascii="Book Antiqua" w:eastAsia="宋体" w:hAnsi="Book Antiqua" w:cs="宋体"/>
          <w:sz w:val="24"/>
          <w:szCs w:val="24"/>
        </w:rPr>
        <w:t>: 445 [PMID: 25135487 DOI: 10.1186/1471-2334-14-445]</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22 </w:t>
      </w:r>
      <w:r w:rsidRPr="004F0AF3">
        <w:rPr>
          <w:rFonts w:ascii="Book Antiqua" w:eastAsia="宋体" w:hAnsi="Book Antiqua" w:cs="宋体"/>
          <w:b/>
          <w:bCs/>
          <w:sz w:val="24"/>
          <w:szCs w:val="24"/>
        </w:rPr>
        <w:t>Ludlam HA</w:t>
      </w:r>
      <w:r w:rsidRPr="004F0AF3">
        <w:rPr>
          <w:rFonts w:ascii="Book Antiqua" w:eastAsia="宋体" w:hAnsi="Book Antiqua" w:cs="宋体"/>
          <w:sz w:val="24"/>
          <w:szCs w:val="24"/>
        </w:rPr>
        <w:t xml:space="preserve">, Price TN, Berry AJ, Phillips I. Laboratory diagnosis of peritonitis in patients on continuous ambulatory peritoneal dialysis. </w:t>
      </w:r>
      <w:r w:rsidRPr="004F0AF3">
        <w:rPr>
          <w:rFonts w:ascii="Book Antiqua" w:eastAsia="宋体" w:hAnsi="Book Antiqua" w:cs="宋体"/>
          <w:i/>
          <w:iCs/>
          <w:sz w:val="24"/>
          <w:szCs w:val="24"/>
        </w:rPr>
        <w:t>J Clin Microbiol</w:t>
      </w:r>
      <w:r w:rsidRPr="004F0AF3">
        <w:rPr>
          <w:rFonts w:ascii="Book Antiqua" w:eastAsia="宋体" w:hAnsi="Book Antiqua" w:cs="宋体"/>
          <w:sz w:val="24"/>
          <w:szCs w:val="24"/>
        </w:rPr>
        <w:t xml:space="preserve"> 1988; </w:t>
      </w:r>
      <w:r w:rsidRPr="004F0AF3">
        <w:rPr>
          <w:rFonts w:ascii="Book Antiqua" w:eastAsia="宋体" w:hAnsi="Book Antiqua" w:cs="宋体"/>
          <w:b/>
          <w:bCs/>
          <w:sz w:val="24"/>
          <w:szCs w:val="24"/>
        </w:rPr>
        <w:t>26</w:t>
      </w:r>
      <w:r w:rsidRPr="004F0AF3">
        <w:rPr>
          <w:rFonts w:ascii="Book Antiqua" w:eastAsia="宋体" w:hAnsi="Book Antiqua" w:cs="宋体"/>
          <w:sz w:val="24"/>
          <w:szCs w:val="24"/>
        </w:rPr>
        <w:t>: 1757-1762 [PMID: 3183023]</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23 </w:t>
      </w:r>
      <w:r w:rsidRPr="004F0AF3">
        <w:rPr>
          <w:rFonts w:ascii="Book Antiqua" w:eastAsia="宋体" w:hAnsi="Book Antiqua" w:cs="宋体"/>
          <w:b/>
          <w:bCs/>
          <w:sz w:val="24"/>
          <w:szCs w:val="24"/>
        </w:rPr>
        <w:t>Blunden M</w:t>
      </w:r>
      <w:r w:rsidRPr="004F0AF3">
        <w:rPr>
          <w:rFonts w:ascii="Book Antiqua" w:eastAsia="宋体" w:hAnsi="Book Antiqua" w:cs="宋体"/>
          <w:sz w:val="24"/>
          <w:szCs w:val="24"/>
        </w:rPr>
        <w:t xml:space="preserve">, Zeitlin D, Ashman N, Fan SL. Single UK centre experience on the treatment of PD peritonitis--antibiotic levels and outcomes. </w:t>
      </w:r>
      <w:r w:rsidRPr="004F0AF3">
        <w:rPr>
          <w:rFonts w:ascii="Book Antiqua" w:eastAsia="宋体" w:hAnsi="Book Antiqua" w:cs="宋体"/>
          <w:i/>
          <w:iCs/>
          <w:sz w:val="24"/>
          <w:szCs w:val="24"/>
        </w:rPr>
        <w:t>Nephrol Dial Transplant</w:t>
      </w:r>
      <w:r w:rsidRPr="004F0AF3">
        <w:rPr>
          <w:rFonts w:ascii="Book Antiqua" w:eastAsia="宋体" w:hAnsi="Book Antiqua" w:cs="宋体"/>
          <w:sz w:val="24"/>
          <w:szCs w:val="24"/>
        </w:rPr>
        <w:t xml:space="preserve"> 2007; </w:t>
      </w:r>
      <w:r w:rsidRPr="004F0AF3">
        <w:rPr>
          <w:rFonts w:ascii="Book Antiqua" w:eastAsia="宋体" w:hAnsi="Book Antiqua" w:cs="宋体"/>
          <w:b/>
          <w:bCs/>
          <w:sz w:val="24"/>
          <w:szCs w:val="24"/>
        </w:rPr>
        <w:t>22</w:t>
      </w:r>
      <w:r w:rsidRPr="004F0AF3">
        <w:rPr>
          <w:rFonts w:ascii="Book Antiqua" w:eastAsia="宋体" w:hAnsi="Book Antiqua" w:cs="宋体"/>
          <w:sz w:val="24"/>
          <w:szCs w:val="24"/>
        </w:rPr>
        <w:t>: 1714-1719 [PMID: 17369615 DOI: 10.1093/ndt/gfm079]</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24 </w:t>
      </w:r>
      <w:r w:rsidRPr="004F0AF3">
        <w:rPr>
          <w:rFonts w:ascii="Book Antiqua" w:eastAsia="宋体" w:hAnsi="Book Antiqua" w:cs="宋体"/>
          <w:b/>
          <w:bCs/>
          <w:sz w:val="24"/>
          <w:szCs w:val="24"/>
        </w:rPr>
        <w:t>Quintanar Lartundo JA</w:t>
      </w:r>
      <w:r w:rsidRPr="004F0AF3">
        <w:rPr>
          <w:rFonts w:ascii="Book Antiqua" w:eastAsia="宋体" w:hAnsi="Book Antiqua" w:cs="宋体"/>
          <w:sz w:val="24"/>
          <w:szCs w:val="24"/>
        </w:rPr>
        <w:t xml:space="preserve">, Palomar R, Dominguez-Diez A, Salas C, Ruiz-Criado J, Rodrigo E, Martinez De Francisco AL, Arias M. Microbiological profile of peritoneal dialysis peritonitis and predictors of hospitalization. </w:t>
      </w:r>
      <w:r w:rsidRPr="004F0AF3">
        <w:rPr>
          <w:rFonts w:ascii="Book Antiqua" w:eastAsia="宋体" w:hAnsi="Book Antiqua" w:cs="宋体"/>
          <w:i/>
          <w:iCs/>
          <w:sz w:val="24"/>
          <w:szCs w:val="24"/>
        </w:rPr>
        <w:t>Adv Perit Dial</w:t>
      </w:r>
      <w:r w:rsidRPr="004F0AF3">
        <w:rPr>
          <w:rFonts w:ascii="Book Antiqua" w:eastAsia="宋体" w:hAnsi="Book Antiqua" w:cs="宋体"/>
          <w:sz w:val="24"/>
          <w:szCs w:val="24"/>
        </w:rPr>
        <w:t xml:space="preserve"> 2011; </w:t>
      </w:r>
      <w:r w:rsidRPr="004F0AF3">
        <w:rPr>
          <w:rFonts w:ascii="Book Antiqua" w:eastAsia="宋体" w:hAnsi="Book Antiqua" w:cs="宋体"/>
          <w:b/>
          <w:bCs/>
          <w:sz w:val="24"/>
          <w:szCs w:val="24"/>
        </w:rPr>
        <w:t>27</w:t>
      </w:r>
      <w:r w:rsidRPr="004F0AF3">
        <w:rPr>
          <w:rFonts w:ascii="Book Antiqua" w:eastAsia="宋体" w:hAnsi="Book Antiqua" w:cs="宋体"/>
          <w:sz w:val="24"/>
          <w:szCs w:val="24"/>
        </w:rPr>
        <w:t>: 38-42 [PMID: 22073826]</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25 </w:t>
      </w:r>
      <w:r w:rsidRPr="004F0AF3">
        <w:rPr>
          <w:rFonts w:ascii="Book Antiqua" w:eastAsia="宋体" w:hAnsi="Book Antiqua" w:cs="宋体"/>
          <w:b/>
          <w:bCs/>
          <w:sz w:val="24"/>
          <w:szCs w:val="24"/>
        </w:rPr>
        <w:t>Gucek A</w:t>
      </w:r>
      <w:r w:rsidRPr="004F0AF3">
        <w:rPr>
          <w:rFonts w:ascii="Book Antiqua" w:eastAsia="宋体" w:hAnsi="Book Antiqua" w:cs="宋体"/>
          <w:sz w:val="24"/>
          <w:szCs w:val="24"/>
        </w:rPr>
        <w:t xml:space="preserve">, Bren AF, Hergouth V, Lindic J. Cefazolin and netilmycin versus vancomycin and ceftazidime in the treatment of CAPD peritonitis. </w:t>
      </w:r>
      <w:r w:rsidRPr="004F0AF3">
        <w:rPr>
          <w:rFonts w:ascii="Book Antiqua" w:eastAsia="宋体" w:hAnsi="Book Antiqua" w:cs="宋体"/>
          <w:i/>
          <w:iCs/>
          <w:sz w:val="24"/>
          <w:szCs w:val="24"/>
        </w:rPr>
        <w:t>Adv Perit Dial</w:t>
      </w:r>
      <w:r w:rsidRPr="004F0AF3">
        <w:rPr>
          <w:rFonts w:ascii="Book Antiqua" w:eastAsia="宋体" w:hAnsi="Book Antiqua" w:cs="宋体"/>
          <w:sz w:val="24"/>
          <w:szCs w:val="24"/>
        </w:rPr>
        <w:t xml:space="preserve"> 1997; </w:t>
      </w:r>
      <w:r w:rsidRPr="004F0AF3">
        <w:rPr>
          <w:rFonts w:ascii="Book Antiqua" w:eastAsia="宋体" w:hAnsi="Book Antiqua" w:cs="宋体"/>
          <w:b/>
          <w:bCs/>
          <w:sz w:val="24"/>
          <w:szCs w:val="24"/>
        </w:rPr>
        <w:t>13</w:t>
      </w:r>
      <w:r w:rsidRPr="004F0AF3">
        <w:rPr>
          <w:rFonts w:ascii="Book Antiqua" w:eastAsia="宋体" w:hAnsi="Book Antiqua" w:cs="宋体"/>
          <w:sz w:val="24"/>
          <w:szCs w:val="24"/>
        </w:rPr>
        <w:t>: 218-220 [PMID: 9360685]</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26 </w:t>
      </w:r>
      <w:r w:rsidRPr="004F0AF3">
        <w:rPr>
          <w:rFonts w:ascii="Book Antiqua" w:eastAsia="宋体" w:hAnsi="Book Antiqua" w:cs="宋体"/>
          <w:b/>
          <w:bCs/>
          <w:sz w:val="24"/>
          <w:szCs w:val="24"/>
        </w:rPr>
        <w:t>Leung CB</w:t>
      </w:r>
      <w:r w:rsidRPr="004F0AF3">
        <w:rPr>
          <w:rFonts w:ascii="Book Antiqua" w:eastAsia="宋体" w:hAnsi="Book Antiqua" w:cs="宋体"/>
          <w:sz w:val="24"/>
          <w:szCs w:val="24"/>
        </w:rPr>
        <w:t xml:space="preserve">, Szeto CC, Chow KM, Kwan BC, Wang AY, Lui SF, Li PK. Cefazolin plus ceftazidime versus imipenem/cilastatin monotherapy for treatment of CAPD peritonitis--a randomized controlled trial.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2004</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24</w:t>
      </w:r>
      <w:r w:rsidRPr="004F0AF3">
        <w:rPr>
          <w:rFonts w:ascii="Book Antiqua" w:eastAsia="宋体" w:hAnsi="Book Antiqua" w:cs="宋体"/>
          <w:sz w:val="24"/>
          <w:szCs w:val="24"/>
        </w:rPr>
        <w:t>: 440-446 [PMID: 15490983]</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27 </w:t>
      </w:r>
      <w:r w:rsidRPr="004F0AF3">
        <w:rPr>
          <w:rFonts w:ascii="Book Antiqua" w:eastAsia="宋体" w:hAnsi="Book Antiqua" w:cs="宋体"/>
          <w:b/>
          <w:bCs/>
          <w:sz w:val="24"/>
          <w:szCs w:val="24"/>
        </w:rPr>
        <w:t>Chan MK</w:t>
      </w:r>
      <w:r w:rsidRPr="004F0AF3">
        <w:rPr>
          <w:rFonts w:ascii="Book Antiqua" w:eastAsia="宋体" w:hAnsi="Book Antiqua" w:cs="宋体"/>
          <w:sz w:val="24"/>
          <w:szCs w:val="24"/>
        </w:rPr>
        <w:t xml:space="preserve">, Cheng IK, Ng WS. A randomized prospective trial of three different regimens of treatment of peritonitis in patients on continuous ambulatory peritoneal dialysis. </w:t>
      </w:r>
      <w:r w:rsidRPr="004F0AF3">
        <w:rPr>
          <w:rFonts w:ascii="Book Antiqua" w:eastAsia="宋体" w:hAnsi="Book Antiqua" w:cs="宋体"/>
          <w:i/>
          <w:iCs/>
          <w:sz w:val="24"/>
          <w:szCs w:val="24"/>
        </w:rPr>
        <w:t>Am J Kidney Dis</w:t>
      </w:r>
      <w:r w:rsidRPr="004F0AF3">
        <w:rPr>
          <w:rFonts w:ascii="Book Antiqua" w:eastAsia="宋体" w:hAnsi="Book Antiqua" w:cs="宋体"/>
          <w:sz w:val="24"/>
          <w:szCs w:val="24"/>
        </w:rPr>
        <w:t xml:space="preserve"> 1990; </w:t>
      </w:r>
      <w:r w:rsidRPr="004F0AF3">
        <w:rPr>
          <w:rFonts w:ascii="Book Antiqua" w:eastAsia="宋体" w:hAnsi="Book Antiqua" w:cs="宋体"/>
          <w:b/>
          <w:bCs/>
          <w:sz w:val="24"/>
          <w:szCs w:val="24"/>
        </w:rPr>
        <w:t>15</w:t>
      </w:r>
      <w:r w:rsidRPr="004F0AF3">
        <w:rPr>
          <w:rFonts w:ascii="Book Antiqua" w:eastAsia="宋体" w:hAnsi="Book Antiqua" w:cs="宋体"/>
          <w:sz w:val="24"/>
          <w:szCs w:val="24"/>
        </w:rPr>
        <w:t>: 155-159 [PMID: 2405653 DOI: 10.1016/S0272-6386(12)80513-0]</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28 </w:t>
      </w:r>
      <w:r w:rsidRPr="004F0AF3">
        <w:rPr>
          <w:rFonts w:ascii="Book Antiqua" w:eastAsia="宋体" w:hAnsi="Book Antiqua" w:cs="宋体"/>
          <w:b/>
          <w:bCs/>
          <w:sz w:val="24"/>
          <w:szCs w:val="24"/>
        </w:rPr>
        <w:t>Weber J</w:t>
      </w:r>
      <w:r w:rsidRPr="004F0AF3">
        <w:rPr>
          <w:rFonts w:ascii="Book Antiqua" w:eastAsia="宋体" w:hAnsi="Book Antiqua" w:cs="宋体"/>
          <w:sz w:val="24"/>
          <w:szCs w:val="24"/>
        </w:rPr>
        <w:t xml:space="preserve">, Kuhlmann U. Intraperitoneal cefazolin and gentamicin in the management of CAPD-related peritonitis. </w:t>
      </w:r>
      <w:r w:rsidRPr="004F0AF3">
        <w:rPr>
          <w:rFonts w:ascii="Book Antiqua" w:eastAsia="宋体" w:hAnsi="Book Antiqua" w:cs="宋体"/>
          <w:i/>
          <w:iCs/>
          <w:sz w:val="24"/>
          <w:szCs w:val="24"/>
        </w:rPr>
        <w:t>Contrib Nephrol</w:t>
      </w:r>
      <w:r w:rsidRPr="004F0AF3">
        <w:rPr>
          <w:rFonts w:ascii="Book Antiqua" w:eastAsia="宋体" w:hAnsi="Book Antiqua" w:cs="宋体"/>
          <w:sz w:val="24"/>
          <w:szCs w:val="24"/>
        </w:rPr>
        <w:t xml:space="preserve"> 1991; </w:t>
      </w:r>
      <w:r w:rsidRPr="004F0AF3">
        <w:rPr>
          <w:rFonts w:ascii="Book Antiqua" w:eastAsia="宋体" w:hAnsi="Book Antiqua" w:cs="宋体"/>
          <w:b/>
          <w:bCs/>
          <w:sz w:val="24"/>
          <w:szCs w:val="24"/>
        </w:rPr>
        <w:t>89</w:t>
      </w:r>
      <w:r w:rsidRPr="004F0AF3">
        <w:rPr>
          <w:rFonts w:ascii="Book Antiqua" w:eastAsia="宋体" w:hAnsi="Book Antiqua" w:cs="宋体"/>
          <w:sz w:val="24"/>
          <w:szCs w:val="24"/>
        </w:rPr>
        <w:t>: 108-118 [PMID: 1893715]</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29 </w:t>
      </w:r>
      <w:r w:rsidRPr="004F0AF3">
        <w:rPr>
          <w:rFonts w:ascii="Book Antiqua" w:eastAsia="宋体" w:hAnsi="Book Antiqua" w:cs="宋体"/>
          <w:b/>
          <w:bCs/>
          <w:sz w:val="24"/>
          <w:szCs w:val="24"/>
        </w:rPr>
        <w:t>Lupo A</w:t>
      </w:r>
      <w:r w:rsidRPr="004F0AF3">
        <w:rPr>
          <w:rFonts w:ascii="Book Antiqua" w:eastAsia="宋体" w:hAnsi="Book Antiqua" w:cs="宋体"/>
          <w:sz w:val="24"/>
          <w:szCs w:val="24"/>
        </w:rPr>
        <w:t xml:space="preserve">, Rugiu C, Bernich P, Laudon A, Marcantoni C, Mosconi G, Cantaluppi MC, Maschio G. A prospective, randomized trial of two antibiotic regimens in the treatment of peritonitis in CAPD patients: teicoplanin plus tobramycin versus cephalothin plus tobramycin. </w:t>
      </w:r>
      <w:r w:rsidRPr="004F0AF3">
        <w:rPr>
          <w:rFonts w:ascii="Book Antiqua" w:eastAsia="宋体" w:hAnsi="Book Antiqua" w:cs="宋体"/>
          <w:i/>
          <w:iCs/>
          <w:sz w:val="24"/>
          <w:szCs w:val="24"/>
        </w:rPr>
        <w:t>J Antimicrob Chemother</w:t>
      </w:r>
      <w:r w:rsidRPr="004F0AF3">
        <w:rPr>
          <w:rFonts w:ascii="Book Antiqua" w:eastAsia="宋体" w:hAnsi="Book Antiqua" w:cs="宋体"/>
          <w:sz w:val="24"/>
          <w:szCs w:val="24"/>
        </w:rPr>
        <w:t xml:space="preserve"> 1997; </w:t>
      </w:r>
      <w:r w:rsidRPr="004F0AF3">
        <w:rPr>
          <w:rFonts w:ascii="Book Antiqua" w:eastAsia="宋体" w:hAnsi="Book Antiqua" w:cs="宋体"/>
          <w:b/>
          <w:bCs/>
          <w:sz w:val="24"/>
          <w:szCs w:val="24"/>
        </w:rPr>
        <w:t>40</w:t>
      </w:r>
      <w:r w:rsidRPr="004F0AF3">
        <w:rPr>
          <w:rFonts w:ascii="Book Antiqua" w:eastAsia="宋体" w:hAnsi="Book Antiqua" w:cs="宋体"/>
          <w:sz w:val="24"/>
          <w:szCs w:val="24"/>
        </w:rPr>
        <w:t>: 729-732 [PMID: 9421325 DOI: 10.1093/jac/40.5.729]</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30 </w:t>
      </w:r>
      <w:r w:rsidRPr="004F0AF3">
        <w:rPr>
          <w:rFonts w:ascii="Book Antiqua" w:eastAsia="宋体" w:hAnsi="Book Antiqua" w:cs="宋体"/>
          <w:b/>
          <w:bCs/>
          <w:sz w:val="24"/>
          <w:szCs w:val="24"/>
        </w:rPr>
        <w:t>Vas S</w:t>
      </w:r>
      <w:r w:rsidRPr="004F0AF3">
        <w:rPr>
          <w:rFonts w:ascii="Book Antiqua" w:eastAsia="宋体" w:hAnsi="Book Antiqua" w:cs="宋体"/>
          <w:sz w:val="24"/>
          <w:szCs w:val="24"/>
        </w:rPr>
        <w:t xml:space="preserve">, Bargman J, Oreopoulos D. Treatment in PD patients of peritonitis caused by gram-positive organisms with single daily dose of antibiotics.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1997</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17</w:t>
      </w:r>
      <w:r w:rsidRPr="004F0AF3">
        <w:rPr>
          <w:rFonts w:ascii="Book Antiqua" w:eastAsia="宋体" w:hAnsi="Book Antiqua" w:cs="宋体"/>
          <w:sz w:val="24"/>
          <w:szCs w:val="24"/>
        </w:rPr>
        <w:t>: 91-94 [PMID: 9068032]</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31 </w:t>
      </w:r>
      <w:r w:rsidRPr="004F0AF3">
        <w:rPr>
          <w:rFonts w:ascii="Book Antiqua" w:eastAsia="宋体" w:hAnsi="Book Antiqua" w:cs="宋体"/>
          <w:b/>
          <w:bCs/>
          <w:sz w:val="24"/>
          <w:szCs w:val="24"/>
        </w:rPr>
        <w:t>Goldberg L</w:t>
      </w:r>
      <w:r w:rsidRPr="004F0AF3">
        <w:rPr>
          <w:rFonts w:ascii="Book Antiqua" w:eastAsia="宋体" w:hAnsi="Book Antiqua" w:cs="宋体"/>
          <w:sz w:val="24"/>
          <w:szCs w:val="24"/>
        </w:rPr>
        <w:t xml:space="preserve">, Clemenger M, Azadian B, Brown EA. Initial treatment of peritoneal dialysis peritonitis without vancomycin with a once-daily cefazolin-based regimen. </w:t>
      </w:r>
      <w:r w:rsidRPr="004F0AF3">
        <w:rPr>
          <w:rFonts w:ascii="Book Antiqua" w:eastAsia="宋体" w:hAnsi="Book Antiqua" w:cs="宋体"/>
          <w:i/>
          <w:iCs/>
          <w:sz w:val="24"/>
          <w:szCs w:val="24"/>
        </w:rPr>
        <w:t>Am J Kidney Dis</w:t>
      </w:r>
      <w:r w:rsidRPr="004F0AF3">
        <w:rPr>
          <w:rFonts w:ascii="Book Antiqua" w:eastAsia="宋体" w:hAnsi="Book Antiqua" w:cs="宋体"/>
          <w:sz w:val="24"/>
          <w:szCs w:val="24"/>
        </w:rPr>
        <w:t xml:space="preserve"> 2001; </w:t>
      </w:r>
      <w:r w:rsidRPr="004F0AF3">
        <w:rPr>
          <w:rFonts w:ascii="Book Antiqua" w:eastAsia="宋体" w:hAnsi="Book Antiqua" w:cs="宋体"/>
          <w:b/>
          <w:bCs/>
          <w:sz w:val="24"/>
          <w:szCs w:val="24"/>
        </w:rPr>
        <w:t>37</w:t>
      </w:r>
      <w:r w:rsidRPr="004F0AF3">
        <w:rPr>
          <w:rFonts w:ascii="Book Antiqua" w:eastAsia="宋体" w:hAnsi="Book Antiqua" w:cs="宋体"/>
          <w:sz w:val="24"/>
          <w:szCs w:val="24"/>
        </w:rPr>
        <w:t>: 49-55 [PMID: 11136167 DOI: 10.1053/ajkd.2001.20581]</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32 </w:t>
      </w:r>
      <w:r w:rsidRPr="004F0AF3">
        <w:rPr>
          <w:rFonts w:ascii="Book Antiqua" w:eastAsia="宋体" w:hAnsi="Book Antiqua" w:cs="宋体"/>
          <w:b/>
          <w:bCs/>
          <w:sz w:val="24"/>
          <w:szCs w:val="24"/>
        </w:rPr>
        <w:t>Silva MM</w:t>
      </w:r>
      <w:r w:rsidRPr="004F0AF3">
        <w:rPr>
          <w:rFonts w:ascii="Book Antiqua" w:eastAsia="宋体" w:hAnsi="Book Antiqua" w:cs="宋体"/>
          <w:sz w:val="24"/>
          <w:szCs w:val="24"/>
        </w:rPr>
        <w:t xml:space="preserve">, Pecoits-Filho R, Rocha CS, Stinghen AE, Pachaly MA, Nascimento MM, Campos RP, Sauthier S, Fuerbringer R, Riella MC. The recommendations from the International Society for Peritoneal Dialysis for Peritonitis Treatment: a single-center historical comparison. </w:t>
      </w:r>
      <w:r w:rsidRPr="004F0AF3">
        <w:rPr>
          <w:rFonts w:ascii="Book Antiqua" w:eastAsia="宋体" w:hAnsi="Book Antiqua" w:cs="宋体"/>
          <w:i/>
          <w:iCs/>
          <w:sz w:val="24"/>
          <w:szCs w:val="24"/>
        </w:rPr>
        <w:t>Adv Perit Dial</w:t>
      </w:r>
      <w:r w:rsidRPr="004F0AF3">
        <w:rPr>
          <w:rFonts w:ascii="Book Antiqua" w:eastAsia="宋体" w:hAnsi="Book Antiqua" w:cs="宋体"/>
          <w:sz w:val="24"/>
          <w:szCs w:val="24"/>
        </w:rPr>
        <w:t xml:space="preserve"> 2004; </w:t>
      </w:r>
      <w:r w:rsidRPr="004F0AF3">
        <w:rPr>
          <w:rFonts w:ascii="Book Antiqua" w:eastAsia="宋体" w:hAnsi="Book Antiqua" w:cs="宋体"/>
          <w:b/>
          <w:bCs/>
          <w:sz w:val="24"/>
          <w:szCs w:val="24"/>
        </w:rPr>
        <w:t>20</w:t>
      </w:r>
      <w:r w:rsidRPr="004F0AF3">
        <w:rPr>
          <w:rFonts w:ascii="Book Antiqua" w:eastAsia="宋体" w:hAnsi="Book Antiqua" w:cs="宋体"/>
          <w:sz w:val="24"/>
          <w:szCs w:val="24"/>
        </w:rPr>
        <w:t>: 74-77 [PMID: 15384800]</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33 </w:t>
      </w:r>
      <w:r w:rsidRPr="004F0AF3">
        <w:rPr>
          <w:rFonts w:ascii="Book Antiqua" w:eastAsia="宋体" w:hAnsi="Book Antiqua" w:cs="宋体"/>
          <w:b/>
          <w:bCs/>
          <w:sz w:val="24"/>
          <w:szCs w:val="24"/>
        </w:rPr>
        <w:t>Toussaint N</w:t>
      </w:r>
      <w:r w:rsidRPr="004F0AF3">
        <w:rPr>
          <w:rFonts w:ascii="Book Antiqua" w:eastAsia="宋体" w:hAnsi="Book Antiqua" w:cs="宋体"/>
          <w:sz w:val="24"/>
          <w:szCs w:val="24"/>
        </w:rPr>
        <w:t xml:space="preserve">, Mullins K, Snider J, Murphy B, Langham R, Gock H. Efficacy of a non-vancomycin-based peritoneal dialysis peritonitis protocol. </w:t>
      </w:r>
      <w:r w:rsidRPr="004F0AF3">
        <w:rPr>
          <w:rFonts w:ascii="Book Antiqua" w:eastAsia="宋体" w:hAnsi="Book Antiqua" w:cs="宋体"/>
          <w:i/>
          <w:iCs/>
          <w:sz w:val="24"/>
          <w:szCs w:val="24"/>
        </w:rPr>
        <w:t xml:space="preserve">Nephrology </w:t>
      </w:r>
      <w:r w:rsidRPr="004F0AF3">
        <w:rPr>
          <w:rFonts w:ascii="Book Antiqua" w:eastAsia="宋体" w:hAnsi="Book Antiqua" w:cs="宋体"/>
          <w:iCs/>
          <w:sz w:val="24"/>
          <w:szCs w:val="24"/>
        </w:rPr>
        <w:t>(Carlton)</w:t>
      </w:r>
      <w:r w:rsidRPr="004F0AF3">
        <w:rPr>
          <w:rFonts w:ascii="Book Antiqua" w:eastAsia="宋体" w:hAnsi="Book Antiqua" w:cs="宋体"/>
          <w:sz w:val="24"/>
          <w:szCs w:val="24"/>
        </w:rPr>
        <w:t xml:space="preserve"> 2005; </w:t>
      </w:r>
      <w:r w:rsidRPr="004F0AF3">
        <w:rPr>
          <w:rFonts w:ascii="Book Antiqua" w:eastAsia="宋体" w:hAnsi="Book Antiqua" w:cs="宋体"/>
          <w:b/>
          <w:bCs/>
          <w:sz w:val="24"/>
          <w:szCs w:val="24"/>
        </w:rPr>
        <w:t>10</w:t>
      </w:r>
      <w:r w:rsidRPr="004F0AF3">
        <w:rPr>
          <w:rFonts w:ascii="Book Antiqua" w:eastAsia="宋体" w:hAnsi="Book Antiqua" w:cs="宋体"/>
          <w:sz w:val="24"/>
          <w:szCs w:val="24"/>
        </w:rPr>
        <w:t>: 142-146 [PMID: 15877673 DOI: 10.1111/j.1440-1797.2005.00379.x]</w:t>
      </w:r>
    </w:p>
    <w:p w:rsidR="00EE42F3" w:rsidRPr="008C0625"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34 </w:t>
      </w:r>
      <w:r w:rsidRPr="008C0625">
        <w:rPr>
          <w:rFonts w:ascii="Book Antiqua" w:eastAsia="宋体" w:hAnsi="Book Antiqua" w:cs="宋体"/>
          <w:b/>
          <w:sz w:val="24"/>
          <w:szCs w:val="24"/>
        </w:rPr>
        <w:t>Chen KH,</w:t>
      </w:r>
      <w:r w:rsidRPr="008C0625">
        <w:rPr>
          <w:rFonts w:ascii="Book Antiqua" w:eastAsia="宋体" w:hAnsi="Book Antiqua" w:cs="宋体"/>
          <w:sz w:val="24"/>
          <w:szCs w:val="24"/>
        </w:rPr>
        <w:t xml:space="preserve"> Chang CT, Weng SM, Yu CC, Fang JT, Huang JY, Yang CW, Hung CC. Culture-negative peritonitis: a fifteen-year review. </w:t>
      </w:r>
      <w:r w:rsidRPr="008C0625">
        <w:rPr>
          <w:rFonts w:ascii="Book Antiqua" w:eastAsia="宋体" w:hAnsi="Book Antiqua" w:cs="宋体"/>
          <w:i/>
          <w:sz w:val="24"/>
          <w:szCs w:val="24"/>
        </w:rPr>
        <w:t>Ren Fail</w:t>
      </w:r>
      <w:r w:rsidRPr="008C0625">
        <w:rPr>
          <w:rFonts w:ascii="Book Antiqua" w:eastAsia="宋体" w:hAnsi="Book Antiqua" w:cs="宋体"/>
          <w:sz w:val="24"/>
          <w:szCs w:val="24"/>
        </w:rPr>
        <w:t xml:space="preserve"> 2007; </w:t>
      </w:r>
      <w:r w:rsidRPr="008C0625">
        <w:rPr>
          <w:rFonts w:ascii="Book Antiqua" w:eastAsia="宋体" w:hAnsi="Book Antiqua" w:cs="宋体"/>
          <w:b/>
          <w:sz w:val="24"/>
          <w:szCs w:val="24"/>
        </w:rPr>
        <w:t>29</w:t>
      </w:r>
      <w:r w:rsidRPr="008C0625">
        <w:rPr>
          <w:rFonts w:ascii="Book Antiqua" w:eastAsia="宋体" w:hAnsi="Book Antiqua" w:cs="宋体"/>
          <w:sz w:val="24"/>
          <w:szCs w:val="24"/>
        </w:rPr>
        <w:t>: 177-181[PMID: 17365933 DOI: 10.1080/08860220601098847]</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35 </w:t>
      </w:r>
      <w:r w:rsidRPr="004F0AF3">
        <w:rPr>
          <w:rFonts w:ascii="Book Antiqua" w:eastAsia="宋体" w:hAnsi="Book Antiqua" w:cs="宋体"/>
          <w:b/>
          <w:bCs/>
          <w:sz w:val="24"/>
          <w:szCs w:val="24"/>
        </w:rPr>
        <w:t>Barretti P</w:t>
      </w:r>
      <w:r w:rsidRPr="004F0AF3">
        <w:rPr>
          <w:rFonts w:ascii="Book Antiqua" w:eastAsia="宋体" w:hAnsi="Book Antiqua" w:cs="宋体"/>
          <w:sz w:val="24"/>
          <w:szCs w:val="24"/>
        </w:rPr>
        <w:t xml:space="preserve">, Montelli AC, Batalha JE, Caramori JC, Cunha Mde L. The role of virulence factors in the outcome of staphylococcal peritonitis in CAPD patients. </w:t>
      </w:r>
      <w:r w:rsidRPr="004F0AF3">
        <w:rPr>
          <w:rFonts w:ascii="Book Antiqua" w:eastAsia="宋体" w:hAnsi="Book Antiqua" w:cs="宋体"/>
          <w:i/>
          <w:iCs/>
          <w:sz w:val="24"/>
          <w:szCs w:val="24"/>
        </w:rPr>
        <w:t>BMC Infect Dis</w:t>
      </w:r>
      <w:r w:rsidRPr="004F0AF3">
        <w:rPr>
          <w:rFonts w:ascii="Book Antiqua" w:eastAsia="宋体" w:hAnsi="Book Antiqua" w:cs="宋体"/>
          <w:sz w:val="24"/>
          <w:szCs w:val="24"/>
        </w:rPr>
        <w:t xml:space="preserve"> 2009; </w:t>
      </w:r>
      <w:r w:rsidRPr="004F0AF3">
        <w:rPr>
          <w:rFonts w:ascii="Book Antiqua" w:eastAsia="宋体" w:hAnsi="Book Antiqua" w:cs="宋体"/>
          <w:b/>
          <w:bCs/>
          <w:sz w:val="24"/>
          <w:szCs w:val="24"/>
        </w:rPr>
        <w:t>9</w:t>
      </w:r>
      <w:r w:rsidRPr="004F0AF3">
        <w:rPr>
          <w:rFonts w:ascii="Book Antiqua" w:eastAsia="宋体" w:hAnsi="Book Antiqua" w:cs="宋体"/>
          <w:sz w:val="24"/>
          <w:szCs w:val="24"/>
        </w:rPr>
        <w:t>: 212 [PMID: 200285</w:t>
      </w:r>
      <w:r w:rsidRPr="008C0625">
        <w:rPr>
          <w:rFonts w:ascii="Book Antiqua" w:eastAsia="宋体" w:hAnsi="Book Antiqua" w:cs="宋体"/>
          <w:sz w:val="24"/>
          <w:szCs w:val="24"/>
        </w:rPr>
        <w:t>09 DOI: 10.1186/1471-2334-9-212</w:t>
      </w:r>
      <w:r w:rsidRPr="004F0AF3">
        <w:rPr>
          <w:rFonts w:ascii="Book Antiqua" w:eastAsia="宋体" w:hAnsi="Book Antiqua" w:cs="宋体"/>
          <w:sz w:val="24"/>
          <w:szCs w:val="24"/>
        </w:rPr>
        <w:t>]</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36 </w:t>
      </w:r>
      <w:r w:rsidRPr="004F0AF3">
        <w:rPr>
          <w:rFonts w:ascii="Book Antiqua" w:eastAsia="宋体" w:hAnsi="Book Antiqua" w:cs="宋体"/>
          <w:b/>
          <w:bCs/>
          <w:sz w:val="24"/>
          <w:szCs w:val="24"/>
        </w:rPr>
        <w:t>Lee CC</w:t>
      </w:r>
      <w:r w:rsidRPr="004F0AF3">
        <w:rPr>
          <w:rFonts w:ascii="Book Antiqua" w:eastAsia="宋体" w:hAnsi="Book Antiqua" w:cs="宋体"/>
          <w:sz w:val="24"/>
          <w:szCs w:val="24"/>
        </w:rPr>
        <w:t xml:space="preserve">, Sun CY, Chang KC, Wu MS. Positive dialysate gram stain predicts outcome of empirical antibiotic therapy for peritoneal dialysis-associated peritonitis. </w:t>
      </w:r>
      <w:r w:rsidRPr="004F0AF3">
        <w:rPr>
          <w:rFonts w:ascii="Book Antiqua" w:eastAsia="宋体" w:hAnsi="Book Antiqua" w:cs="宋体"/>
          <w:i/>
          <w:iCs/>
          <w:sz w:val="24"/>
          <w:szCs w:val="24"/>
        </w:rPr>
        <w:t>Ther Apher Dial</w:t>
      </w:r>
      <w:r w:rsidRPr="004F0AF3">
        <w:rPr>
          <w:rFonts w:ascii="Book Antiqua" w:eastAsia="宋体" w:hAnsi="Book Antiqua" w:cs="宋体"/>
          <w:sz w:val="24"/>
          <w:szCs w:val="24"/>
        </w:rPr>
        <w:t xml:space="preserve"> 2010; </w:t>
      </w:r>
      <w:r w:rsidRPr="004F0AF3">
        <w:rPr>
          <w:rFonts w:ascii="Book Antiqua" w:eastAsia="宋体" w:hAnsi="Book Antiqua" w:cs="宋体"/>
          <w:b/>
          <w:bCs/>
          <w:sz w:val="24"/>
          <w:szCs w:val="24"/>
        </w:rPr>
        <w:t>14</w:t>
      </w:r>
      <w:r w:rsidRPr="004F0AF3">
        <w:rPr>
          <w:rFonts w:ascii="Book Antiqua" w:eastAsia="宋体" w:hAnsi="Book Antiqua" w:cs="宋体"/>
          <w:sz w:val="24"/>
          <w:szCs w:val="24"/>
        </w:rPr>
        <w:t>: 201-208 [PMID: 20438543 DOI: 1</w:t>
      </w:r>
      <w:r w:rsidRPr="008C0625">
        <w:rPr>
          <w:rFonts w:ascii="Book Antiqua" w:eastAsia="宋体" w:hAnsi="Book Antiqua" w:cs="宋体"/>
          <w:sz w:val="24"/>
          <w:szCs w:val="24"/>
        </w:rPr>
        <w:t>0.1111/j.1744-9987.2009.00784.x</w:t>
      </w:r>
      <w:r w:rsidRPr="004F0AF3">
        <w:rPr>
          <w:rFonts w:ascii="Book Antiqua" w:eastAsia="宋体" w:hAnsi="Book Antiqua" w:cs="宋体"/>
          <w:sz w:val="24"/>
          <w:szCs w:val="24"/>
        </w:rPr>
        <w:t>]</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37 </w:t>
      </w:r>
      <w:r w:rsidRPr="004F0AF3">
        <w:rPr>
          <w:rFonts w:ascii="Book Antiqua" w:eastAsia="宋体" w:hAnsi="Book Antiqua" w:cs="宋体"/>
          <w:b/>
          <w:bCs/>
          <w:sz w:val="24"/>
          <w:szCs w:val="24"/>
        </w:rPr>
        <w:t>Huang ST</w:t>
      </w:r>
      <w:r w:rsidRPr="004F0AF3">
        <w:rPr>
          <w:rFonts w:ascii="Book Antiqua" w:eastAsia="宋体" w:hAnsi="Book Antiqua" w:cs="宋体"/>
          <w:sz w:val="24"/>
          <w:szCs w:val="24"/>
        </w:rPr>
        <w:t xml:space="preserve">, Chuang YW, Cheng CH, Wu MJ, Chen CH, Yu TM, Shu KH. Evolution of microbiological trends and treatment outcomes in peritoneal dialysis-related peritonitis. </w:t>
      </w:r>
      <w:r w:rsidRPr="004F0AF3">
        <w:rPr>
          <w:rFonts w:ascii="Book Antiqua" w:eastAsia="宋体" w:hAnsi="Book Antiqua" w:cs="宋体"/>
          <w:i/>
          <w:iCs/>
          <w:sz w:val="24"/>
          <w:szCs w:val="24"/>
        </w:rPr>
        <w:t>Clin Nephrol</w:t>
      </w:r>
      <w:r w:rsidRPr="004F0AF3">
        <w:rPr>
          <w:rFonts w:ascii="Book Antiqua" w:eastAsia="宋体" w:hAnsi="Book Antiqua" w:cs="宋体"/>
          <w:sz w:val="24"/>
          <w:szCs w:val="24"/>
        </w:rPr>
        <w:t xml:space="preserve"> 2011; </w:t>
      </w:r>
      <w:r w:rsidRPr="004F0AF3">
        <w:rPr>
          <w:rFonts w:ascii="Book Antiqua" w:eastAsia="宋体" w:hAnsi="Book Antiqua" w:cs="宋体"/>
          <w:b/>
          <w:bCs/>
          <w:sz w:val="24"/>
          <w:szCs w:val="24"/>
        </w:rPr>
        <w:t>75</w:t>
      </w:r>
      <w:r w:rsidRPr="004F0AF3">
        <w:rPr>
          <w:rFonts w:ascii="Book Antiqua" w:eastAsia="宋体" w:hAnsi="Book Antiqua" w:cs="宋体"/>
          <w:sz w:val="24"/>
          <w:szCs w:val="24"/>
        </w:rPr>
        <w:t>: 416-425 [PMID: 21543021 DOI: 10.5414/CNP75416]</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38 </w:t>
      </w:r>
      <w:r w:rsidRPr="004F0AF3">
        <w:rPr>
          <w:rFonts w:ascii="Book Antiqua" w:eastAsia="宋体" w:hAnsi="Book Antiqua" w:cs="宋体"/>
          <w:b/>
          <w:bCs/>
          <w:sz w:val="24"/>
          <w:szCs w:val="24"/>
        </w:rPr>
        <w:t>Oliveira LG</w:t>
      </w:r>
      <w:r w:rsidRPr="004F0AF3">
        <w:rPr>
          <w:rFonts w:ascii="Book Antiqua" w:eastAsia="宋体" w:hAnsi="Book Antiqua" w:cs="宋体"/>
          <w:sz w:val="24"/>
          <w:szCs w:val="24"/>
        </w:rPr>
        <w:t xml:space="preserve">, Luengo J, Caramori JC, Montelli AC, Cunha Mde L, Barretti P. Peritonitis in recent years: clinical findings and predictors of treatment response of 170 episodes at a single Brazilian center. </w:t>
      </w:r>
      <w:r w:rsidRPr="004F0AF3">
        <w:rPr>
          <w:rFonts w:ascii="Book Antiqua" w:eastAsia="宋体" w:hAnsi="Book Antiqua" w:cs="宋体"/>
          <w:i/>
          <w:iCs/>
          <w:sz w:val="24"/>
          <w:szCs w:val="24"/>
        </w:rPr>
        <w:t>Int Urol Nephrol</w:t>
      </w:r>
      <w:r w:rsidRPr="004F0AF3">
        <w:rPr>
          <w:rFonts w:ascii="Book Antiqua" w:eastAsia="宋体" w:hAnsi="Book Antiqua" w:cs="宋体"/>
          <w:sz w:val="24"/>
          <w:szCs w:val="24"/>
        </w:rPr>
        <w:t xml:space="preserve"> 2012; </w:t>
      </w:r>
      <w:r w:rsidRPr="004F0AF3">
        <w:rPr>
          <w:rFonts w:ascii="Book Antiqua" w:eastAsia="宋体" w:hAnsi="Book Antiqua" w:cs="宋体"/>
          <w:b/>
          <w:bCs/>
          <w:sz w:val="24"/>
          <w:szCs w:val="24"/>
        </w:rPr>
        <w:t>44</w:t>
      </w:r>
      <w:r w:rsidRPr="004F0AF3">
        <w:rPr>
          <w:rFonts w:ascii="Book Antiqua" w:eastAsia="宋体" w:hAnsi="Book Antiqua" w:cs="宋体"/>
          <w:sz w:val="24"/>
          <w:szCs w:val="24"/>
        </w:rPr>
        <w:t>: 1529-1537 [PMID: 22302733 DOI: 10.1007/s11255-011-0107-7]</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39 </w:t>
      </w:r>
      <w:r w:rsidRPr="004F0AF3">
        <w:rPr>
          <w:rFonts w:ascii="Book Antiqua" w:eastAsia="宋体" w:hAnsi="Book Antiqua" w:cs="宋体"/>
          <w:b/>
          <w:bCs/>
          <w:sz w:val="24"/>
          <w:szCs w:val="24"/>
        </w:rPr>
        <w:t>Lye WC</w:t>
      </w:r>
      <w:r w:rsidRPr="004F0AF3">
        <w:rPr>
          <w:rFonts w:ascii="Book Antiqua" w:eastAsia="宋体" w:hAnsi="Book Antiqua" w:cs="宋体"/>
          <w:sz w:val="24"/>
          <w:szCs w:val="24"/>
        </w:rPr>
        <w:t xml:space="preserve">, Lee EJ, van der Straaten J. Intraperitoneal vancomycin/oral pefloxacin versus intraperitoneal vancomycin/gentamicin in the treatment of continuous ambulatory peritoneal dialysis peritonitis.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1993; </w:t>
      </w:r>
      <w:r w:rsidRPr="004F0AF3">
        <w:rPr>
          <w:rFonts w:ascii="Book Antiqua" w:eastAsia="宋体" w:hAnsi="Book Antiqua" w:cs="宋体"/>
          <w:b/>
          <w:bCs/>
          <w:sz w:val="24"/>
          <w:szCs w:val="24"/>
        </w:rPr>
        <w:t xml:space="preserve">13 </w:t>
      </w:r>
      <w:r w:rsidRPr="004F0AF3">
        <w:rPr>
          <w:rFonts w:ascii="Book Antiqua" w:eastAsia="宋体" w:hAnsi="Book Antiqua" w:cs="宋体"/>
          <w:bCs/>
          <w:sz w:val="24"/>
          <w:szCs w:val="24"/>
        </w:rPr>
        <w:t>Suppl 2</w:t>
      </w:r>
      <w:r w:rsidRPr="004F0AF3">
        <w:rPr>
          <w:rFonts w:ascii="Book Antiqua" w:eastAsia="宋体" w:hAnsi="Book Antiqua" w:cs="宋体"/>
          <w:sz w:val="24"/>
          <w:szCs w:val="24"/>
        </w:rPr>
        <w:t>: S348-S350 [PMID: 8399607]</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40 </w:t>
      </w:r>
      <w:r w:rsidRPr="004F0AF3">
        <w:rPr>
          <w:rFonts w:ascii="Book Antiqua" w:eastAsia="宋体" w:hAnsi="Book Antiqua" w:cs="宋体"/>
          <w:b/>
          <w:bCs/>
          <w:sz w:val="24"/>
          <w:szCs w:val="24"/>
        </w:rPr>
        <w:t>Bennett-Jones DN</w:t>
      </w:r>
      <w:r w:rsidRPr="004F0AF3">
        <w:rPr>
          <w:rFonts w:ascii="Book Antiqua" w:eastAsia="宋体" w:hAnsi="Book Antiqua" w:cs="宋体"/>
          <w:sz w:val="24"/>
          <w:szCs w:val="24"/>
        </w:rPr>
        <w:t xml:space="preserve">, Russell GI, Barrett A. A comparison between oral ciprofloxacin and intra-peritoneal vancomycin and gentamicin in the treatment of CAPD peritonitis. </w:t>
      </w:r>
      <w:r w:rsidRPr="004F0AF3">
        <w:rPr>
          <w:rFonts w:ascii="Book Antiqua" w:eastAsia="宋体" w:hAnsi="Book Antiqua" w:cs="宋体"/>
          <w:i/>
          <w:iCs/>
          <w:sz w:val="24"/>
          <w:szCs w:val="24"/>
        </w:rPr>
        <w:t>J Antimicrob Chemother</w:t>
      </w:r>
      <w:r w:rsidRPr="004F0AF3">
        <w:rPr>
          <w:rFonts w:ascii="Book Antiqua" w:eastAsia="宋体" w:hAnsi="Book Antiqua" w:cs="宋体"/>
          <w:sz w:val="24"/>
          <w:szCs w:val="24"/>
        </w:rPr>
        <w:t xml:space="preserve"> 1990; </w:t>
      </w:r>
      <w:r w:rsidRPr="004F0AF3">
        <w:rPr>
          <w:rFonts w:ascii="Book Antiqua" w:eastAsia="宋体" w:hAnsi="Book Antiqua" w:cs="宋体"/>
          <w:b/>
          <w:bCs/>
          <w:sz w:val="24"/>
          <w:szCs w:val="24"/>
        </w:rPr>
        <w:t xml:space="preserve">26 </w:t>
      </w:r>
      <w:r w:rsidRPr="004F0AF3">
        <w:rPr>
          <w:rFonts w:ascii="Book Antiqua" w:eastAsia="宋体" w:hAnsi="Book Antiqua" w:cs="宋体"/>
          <w:bCs/>
          <w:sz w:val="24"/>
          <w:szCs w:val="24"/>
        </w:rPr>
        <w:t>Suppl F</w:t>
      </w:r>
      <w:r w:rsidRPr="004F0AF3">
        <w:rPr>
          <w:rFonts w:ascii="Book Antiqua" w:eastAsia="宋体" w:hAnsi="Book Antiqua" w:cs="宋体"/>
          <w:sz w:val="24"/>
          <w:szCs w:val="24"/>
        </w:rPr>
        <w:t>: 73-76 [PMID: 2292547 DOI: 10.1093/jac/26.suppl_F.73]</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41 </w:t>
      </w:r>
      <w:r w:rsidRPr="004F0AF3">
        <w:rPr>
          <w:rFonts w:ascii="Book Antiqua" w:eastAsia="宋体" w:hAnsi="Book Antiqua" w:cs="宋体"/>
          <w:b/>
          <w:bCs/>
          <w:sz w:val="24"/>
          <w:szCs w:val="24"/>
        </w:rPr>
        <w:t>Friedland JS</w:t>
      </w:r>
      <w:r w:rsidRPr="004F0AF3">
        <w:rPr>
          <w:rFonts w:ascii="Book Antiqua" w:eastAsia="宋体" w:hAnsi="Book Antiqua" w:cs="宋体"/>
          <w:sz w:val="24"/>
          <w:szCs w:val="24"/>
        </w:rPr>
        <w:t xml:space="preserve">, Iveson TJ, Fraise AP, Winearls CG, Selkon JB, Oliver DO. A comparison between intraperitoneal ciprofloxacin and intraperitoneal vancomycin and gentamicin in the treatment of peritonitis associated with continuous ambulatory peritoneal dialysis (CAPD). </w:t>
      </w:r>
      <w:r w:rsidRPr="004F0AF3">
        <w:rPr>
          <w:rFonts w:ascii="Book Antiqua" w:eastAsia="宋体" w:hAnsi="Book Antiqua" w:cs="宋体"/>
          <w:i/>
          <w:iCs/>
          <w:sz w:val="24"/>
          <w:szCs w:val="24"/>
        </w:rPr>
        <w:t>J Antimicrob Chemother</w:t>
      </w:r>
      <w:r w:rsidRPr="004F0AF3">
        <w:rPr>
          <w:rFonts w:ascii="Book Antiqua" w:eastAsia="宋体" w:hAnsi="Book Antiqua" w:cs="宋体"/>
          <w:sz w:val="24"/>
          <w:szCs w:val="24"/>
        </w:rPr>
        <w:t xml:space="preserve"> 1990; </w:t>
      </w:r>
      <w:r w:rsidRPr="004F0AF3">
        <w:rPr>
          <w:rFonts w:ascii="Book Antiqua" w:eastAsia="宋体" w:hAnsi="Book Antiqua" w:cs="宋体"/>
          <w:b/>
          <w:bCs/>
          <w:sz w:val="24"/>
          <w:szCs w:val="24"/>
        </w:rPr>
        <w:t xml:space="preserve">26 </w:t>
      </w:r>
      <w:r w:rsidRPr="004F0AF3">
        <w:rPr>
          <w:rFonts w:ascii="Book Antiqua" w:eastAsia="宋体" w:hAnsi="Book Antiqua" w:cs="宋体"/>
          <w:bCs/>
          <w:sz w:val="24"/>
          <w:szCs w:val="24"/>
        </w:rPr>
        <w:t>Suppl F</w:t>
      </w:r>
      <w:r w:rsidRPr="004F0AF3">
        <w:rPr>
          <w:rFonts w:ascii="Book Antiqua" w:eastAsia="宋体" w:hAnsi="Book Antiqua" w:cs="宋体"/>
          <w:sz w:val="24"/>
          <w:szCs w:val="24"/>
        </w:rPr>
        <w:t>: 77-81 [PMID: 2292548 DOI: 10.1093/jac/26.suppl_F.77]</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42 </w:t>
      </w:r>
      <w:r w:rsidRPr="004F0AF3">
        <w:rPr>
          <w:rFonts w:ascii="Book Antiqua" w:eastAsia="宋体" w:hAnsi="Book Antiqua" w:cs="宋体"/>
          <w:b/>
          <w:bCs/>
          <w:sz w:val="24"/>
          <w:szCs w:val="24"/>
        </w:rPr>
        <w:t>Tapson JS</w:t>
      </w:r>
      <w:r w:rsidRPr="004F0AF3">
        <w:rPr>
          <w:rFonts w:ascii="Book Antiqua" w:eastAsia="宋体" w:hAnsi="Book Antiqua" w:cs="宋体"/>
          <w:sz w:val="24"/>
          <w:szCs w:val="24"/>
        </w:rPr>
        <w:t xml:space="preserve">, Orr KE, George JC, Stansfield E, Bint AJ, Ward MK. A comparison between oral ciprofloxacin and intraperitoneal vancomycin and netilmicin in CAPD peritonitis. </w:t>
      </w:r>
      <w:r w:rsidRPr="004F0AF3">
        <w:rPr>
          <w:rFonts w:ascii="Book Antiqua" w:eastAsia="宋体" w:hAnsi="Book Antiqua" w:cs="宋体"/>
          <w:i/>
          <w:iCs/>
          <w:sz w:val="24"/>
          <w:szCs w:val="24"/>
        </w:rPr>
        <w:t>J Antimicrob Chemother</w:t>
      </w:r>
      <w:r w:rsidRPr="004F0AF3">
        <w:rPr>
          <w:rFonts w:ascii="Book Antiqua" w:eastAsia="宋体" w:hAnsi="Book Antiqua" w:cs="宋体"/>
          <w:sz w:val="24"/>
          <w:szCs w:val="24"/>
        </w:rPr>
        <w:t xml:space="preserve"> 1990; </w:t>
      </w:r>
      <w:r w:rsidRPr="004F0AF3">
        <w:rPr>
          <w:rFonts w:ascii="Book Antiqua" w:eastAsia="宋体" w:hAnsi="Book Antiqua" w:cs="宋体"/>
          <w:b/>
          <w:bCs/>
          <w:sz w:val="24"/>
          <w:szCs w:val="24"/>
        </w:rPr>
        <w:t xml:space="preserve">26 </w:t>
      </w:r>
      <w:r w:rsidRPr="004F0AF3">
        <w:rPr>
          <w:rFonts w:ascii="Book Antiqua" w:eastAsia="宋体" w:hAnsi="Book Antiqua" w:cs="宋体"/>
          <w:bCs/>
          <w:sz w:val="24"/>
          <w:szCs w:val="24"/>
        </w:rPr>
        <w:t>Suppl F</w:t>
      </w:r>
      <w:r w:rsidRPr="004F0AF3">
        <w:rPr>
          <w:rFonts w:ascii="Book Antiqua" w:eastAsia="宋体" w:hAnsi="Book Antiqua" w:cs="宋体"/>
          <w:sz w:val="24"/>
          <w:szCs w:val="24"/>
        </w:rPr>
        <w:t>: 63-71 [PMID: 2292546 DOI: 10.1093/jac/26.suppl_F.63]</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43 </w:t>
      </w:r>
      <w:r w:rsidRPr="004F0AF3">
        <w:rPr>
          <w:rFonts w:ascii="Book Antiqua" w:eastAsia="宋体" w:hAnsi="Book Antiqua" w:cs="宋体"/>
          <w:b/>
          <w:bCs/>
          <w:sz w:val="24"/>
          <w:szCs w:val="24"/>
        </w:rPr>
        <w:t>Merchant MR</w:t>
      </w:r>
      <w:r w:rsidRPr="004F0AF3">
        <w:rPr>
          <w:rFonts w:ascii="Book Antiqua" w:eastAsia="宋体" w:hAnsi="Book Antiqua" w:cs="宋体"/>
          <w:sz w:val="24"/>
          <w:szCs w:val="24"/>
        </w:rPr>
        <w:t xml:space="preserve">, Anwar N, Were A, Uttley L, Tooth JA, Gokal R. Imipenem versus netilmicin and vancomycin in the treatment of CAPD peritonitis. </w:t>
      </w:r>
      <w:r w:rsidRPr="004F0AF3">
        <w:rPr>
          <w:rFonts w:ascii="Book Antiqua" w:eastAsia="宋体" w:hAnsi="Book Antiqua" w:cs="宋体"/>
          <w:i/>
          <w:iCs/>
          <w:sz w:val="24"/>
          <w:szCs w:val="24"/>
        </w:rPr>
        <w:t>Adv Perit Dial</w:t>
      </w:r>
      <w:r w:rsidRPr="004F0AF3">
        <w:rPr>
          <w:rFonts w:ascii="Book Antiqua" w:eastAsia="宋体" w:hAnsi="Book Antiqua" w:cs="宋体"/>
          <w:sz w:val="24"/>
          <w:szCs w:val="24"/>
        </w:rPr>
        <w:t xml:space="preserve"> 1992; </w:t>
      </w:r>
      <w:r w:rsidRPr="004F0AF3">
        <w:rPr>
          <w:rFonts w:ascii="Book Antiqua" w:eastAsia="宋体" w:hAnsi="Book Antiqua" w:cs="宋体"/>
          <w:b/>
          <w:bCs/>
          <w:sz w:val="24"/>
          <w:szCs w:val="24"/>
        </w:rPr>
        <w:t>8</w:t>
      </w:r>
      <w:r w:rsidRPr="004F0AF3">
        <w:rPr>
          <w:rFonts w:ascii="Book Antiqua" w:eastAsia="宋体" w:hAnsi="Book Antiqua" w:cs="宋体"/>
          <w:sz w:val="24"/>
          <w:szCs w:val="24"/>
        </w:rPr>
        <w:t>: 234-237 [PMID: 1361795]</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44 </w:t>
      </w:r>
      <w:r w:rsidRPr="004F0AF3">
        <w:rPr>
          <w:rFonts w:ascii="Book Antiqua" w:eastAsia="宋体" w:hAnsi="Book Antiqua" w:cs="宋体"/>
          <w:b/>
          <w:bCs/>
          <w:sz w:val="24"/>
          <w:szCs w:val="24"/>
        </w:rPr>
        <w:t>Were AJ</w:t>
      </w:r>
      <w:r w:rsidRPr="004F0AF3">
        <w:rPr>
          <w:rFonts w:ascii="Book Antiqua" w:eastAsia="宋体" w:hAnsi="Book Antiqua" w:cs="宋体"/>
          <w:sz w:val="24"/>
          <w:szCs w:val="24"/>
        </w:rPr>
        <w:t xml:space="preserve">, Marsden A, Tooth A, Ramsden R, Mistry CD, Gokal R. Netilmycin and vancomycin in the treatment of peritonitis in CAPD patients. </w:t>
      </w:r>
      <w:r w:rsidRPr="004F0AF3">
        <w:rPr>
          <w:rFonts w:ascii="Book Antiqua" w:eastAsia="宋体" w:hAnsi="Book Antiqua" w:cs="宋体"/>
          <w:i/>
          <w:iCs/>
          <w:sz w:val="24"/>
          <w:szCs w:val="24"/>
        </w:rPr>
        <w:t>Clin Nephrol</w:t>
      </w:r>
      <w:r w:rsidRPr="004F0AF3">
        <w:rPr>
          <w:rFonts w:ascii="Book Antiqua" w:eastAsia="宋体" w:hAnsi="Book Antiqua" w:cs="宋体"/>
          <w:sz w:val="24"/>
          <w:szCs w:val="24"/>
        </w:rPr>
        <w:t xml:space="preserve"> 1992; </w:t>
      </w:r>
      <w:r w:rsidRPr="004F0AF3">
        <w:rPr>
          <w:rFonts w:ascii="Book Antiqua" w:eastAsia="宋体" w:hAnsi="Book Antiqua" w:cs="宋体"/>
          <w:b/>
          <w:bCs/>
          <w:sz w:val="24"/>
          <w:szCs w:val="24"/>
        </w:rPr>
        <w:t>37</w:t>
      </w:r>
      <w:r w:rsidRPr="004F0AF3">
        <w:rPr>
          <w:rFonts w:ascii="Book Antiqua" w:eastAsia="宋体" w:hAnsi="Book Antiqua" w:cs="宋体"/>
          <w:sz w:val="24"/>
          <w:szCs w:val="24"/>
        </w:rPr>
        <w:t>: 209-213 [PMID: 1582059]</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45 </w:t>
      </w:r>
      <w:r w:rsidRPr="004F0AF3">
        <w:rPr>
          <w:rFonts w:ascii="Book Antiqua" w:eastAsia="宋体" w:hAnsi="Book Antiqua" w:cs="宋体"/>
          <w:b/>
          <w:bCs/>
          <w:sz w:val="24"/>
          <w:szCs w:val="24"/>
        </w:rPr>
        <w:t>Anwar N</w:t>
      </w:r>
      <w:r w:rsidRPr="004F0AF3">
        <w:rPr>
          <w:rFonts w:ascii="Book Antiqua" w:eastAsia="宋体" w:hAnsi="Book Antiqua" w:cs="宋体"/>
          <w:sz w:val="24"/>
          <w:szCs w:val="24"/>
        </w:rPr>
        <w:t xml:space="preserve">, Merchant M, Were T, Tooth A, Uttley L, Gokal R. A prospective, randomized study of the comparative safety and efficacy of intraperitoneal imipenem versus vancomycin and netilmicin in the treatment of peritonitis on CAPD.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1995; </w:t>
      </w:r>
      <w:r w:rsidRPr="004F0AF3">
        <w:rPr>
          <w:rFonts w:ascii="Book Antiqua" w:eastAsia="宋体" w:hAnsi="Book Antiqua" w:cs="宋体"/>
          <w:b/>
          <w:bCs/>
          <w:sz w:val="24"/>
          <w:szCs w:val="24"/>
        </w:rPr>
        <w:t>15</w:t>
      </w:r>
      <w:r w:rsidRPr="004F0AF3">
        <w:rPr>
          <w:rFonts w:ascii="Book Antiqua" w:eastAsia="宋体" w:hAnsi="Book Antiqua" w:cs="宋体"/>
          <w:sz w:val="24"/>
          <w:szCs w:val="24"/>
        </w:rPr>
        <w:t>: 167-171 [PMID: 7612739]</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46 </w:t>
      </w:r>
      <w:r w:rsidRPr="004F0AF3">
        <w:rPr>
          <w:rFonts w:ascii="Book Antiqua" w:eastAsia="宋体" w:hAnsi="Book Antiqua" w:cs="宋体"/>
          <w:b/>
          <w:bCs/>
          <w:sz w:val="24"/>
          <w:szCs w:val="24"/>
        </w:rPr>
        <w:t>Guest SS</w:t>
      </w:r>
      <w:r w:rsidRPr="004F0AF3">
        <w:rPr>
          <w:rFonts w:ascii="Book Antiqua" w:eastAsia="宋体" w:hAnsi="Book Antiqua" w:cs="宋体"/>
          <w:sz w:val="24"/>
          <w:szCs w:val="24"/>
        </w:rPr>
        <w:t xml:space="preserve">, Erickson LJ. Combination therapy involving ciprofloxacin for peritonitis.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1996</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16</w:t>
      </w:r>
      <w:r w:rsidRPr="004F0AF3">
        <w:rPr>
          <w:rFonts w:ascii="Book Antiqua" w:eastAsia="宋体" w:hAnsi="Book Antiqua" w:cs="宋体"/>
          <w:sz w:val="24"/>
          <w:szCs w:val="24"/>
        </w:rPr>
        <w:t>: 316-318 [PMID: 8761547]</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47 </w:t>
      </w:r>
      <w:r w:rsidRPr="004F0AF3">
        <w:rPr>
          <w:rFonts w:ascii="Book Antiqua" w:eastAsia="宋体" w:hAnsi="Book Antiqua" w:cs="宋体"/>
          <w:b/>
          <w:bCs/>
          <w:sz w:val="24"/>
          <w:szCs w:val="24"/>
        </w:rPr>
        <w:t>Lai MN</w:t>
      </w:r>
      <w:r w:rsidRPr="004F0AF3">
        <w:rPr>
          <w:rFonts w:ascii="Book Antiqua" w:eastAsia="宋体" w:hAnsi="Book Antiqua" w:cs="宋体"/>
          <w:sz w:val="24"/>
          <w:szCs w:val="24"/>
        </w:rPr>
        <w:t xml:space="preserve">, Kao MT, Chen CC, Cheung SY, Chung WK. Intraperitoneal once-daily dose of cefazolin and gentamicin for treating CAPD peritonitis.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1997</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17</w:t>
      </w:r>
      <w:r w:rsidRPr="004F0AF3">
        <w:rPr>
          <w:rFonts w:ascii="Book Antiqua" w:eastAsia="宋体" w:hAnsi="Book Antiqua" w:cs="宋体"/>
          <w:sz w:val="24"/>
          <w:szCs w:val="24"/>
        </w:rPr>
        <w:t>: 87-89 [PMID: 9068030]</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48 </w:t>
      </w:r>
      <w:r w:rsidRPr="004F0AF3">
        <w:rPr>
          <w:rFonts w:ascii="Book Antiqua" w:eastAsia="宋体" w:hAnsi="Book Antiqua" w:cs="宋体"/>
          <w:b/>
          <w:bCs/>
          <w:sz w:val="24"/>
          <w:szCs w:val="24"/>
        </w:rPr>
        <w:t>Bowley JA</w:t>
      </w:r>
      <w:r w:rsidRPr="004F0AF3">
        <w:rPr>
          <w:rFonts w:ascii="Book Antiqua" w:eastAsia="宋体" w:hAnsi="Book Antiqua" w:cs="宋体"/>
          <w:sz w:val="24"/>
          <w:szCs w:val="24"/>
        </w:rPr>
        <w:t xml:space="preserve">, Pickering SJ, Scantlebury AJ, Ackrill P, Jones DM. Intraperitoneal teicoplanin in the treatment of peritonitis associated with continuous ambulatory peritoneal dialysis. </w:t>
      </w:r>
      <w:r w:rsidRPr="004F0AF3">
        <w:rPr>
          <w:rFonts w:ascii="Book Antiqua" w:eastAsia="宋体" w:hAnsi="Book Antiqua" w:cs="宋体"/>
          <w:i/>
          <w:iCs/>
          <w:sz w:val="24"/>
          <w:szCs w:val="24"/>
        </w:rPr>
        <w:t>J Antimicrob Chemother</w:t>
      </w:r>
      <w:r w:rsidRPr="004F0AF3">
        <w:rPr>
          <w:rFonts w:ascii="Book Antiqua" w:eastAsia="宋体" w:hAnsi="Book Antiqua" w:cs="宋体"/>
          <w:sz w:val="24"/>
          <w:szCs w:val="24"/>
        </w:rPr>
        <w:t xml:space="preserve"> 1988; </w:t>
      </w:r>
      <w:r w:rsidRPr="004F0AF3">
        <w:rPr>
          <w:rFonts w:ascii="Book Antiqua" w:eastAsia="宋体" w:hAnsi="Book Antiqua" w:cs="宋体"/>
          <w:b/>
          <w:bCs/>
          <w:sz w:val="24"/>
          <w:szCs w:val="24"/>
        </w:rPr>
        <w:t xml:space="preserve">21 </w:t>
      </w:r>
      <w:r w:rsidRPr="004F0AF3">
        <w:rPr>
          <w:rFonts w:ascii="Book Antiqua" w:eastAsia="宋体" w:hAnsi="Book Antiqua" w:cs="宋体"/>
          <w:bCs/>
          <w:sz w:val="24"/>
          <w:szCs w:val="24"/>
        </w:rPr>
        <w:t>Suppl A</w:t>
      </w:r>
      <w:r w:rsidRPr="004F0AF3">
        <w:rPr>
          <w:rFonts w:ascii="Book Antiqua" w:eastAsia="宋体" w:hAnsi="Book Antiqua" w:cs="宋体"/>
          <w:sz w:val="24"/>
          <w:szCs w:val="24"/>
        </w:rPr>
        <w:t>: 133-139 [PMID: 2965125 DOI: 10.1093/jac/21.suppl_A.133]</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49 </w:t>
      </w:r>
      <w:r w:rsidRPr="004F0AF3">
        <w:rPr>
          <w:rFonts w:ascii="Book Antiqua" w:eastAsia="宋体" w:hAnsi="Book Antiqua" w:cs="宋体"/>
          <w:b/>
          <w:bCs/>
          <w:sz w:val="24"/>
          <w:szCs w:val="24"/>
        </w:rPr>
        <w:t>Cheng IK</w:t>
      </w:r>
      <w:r w:rsidRPr="004F0AF3">
        <w:rPr>
          <w:rFonts w:ascii="Book Antiqua" w:eastAsia="宋体" w:hAnsi="Book Antiqua" w:cs="宋体"/>
          <w:sz w:val="24"/>
          <w:szCs w:val="24"/>
        </w:rPr>
        <w:t xml:space="preserve">, Fang GX, Chau PY, Chan TM, Tong KL, Wong AK, Li CS, Lo WK, Cheung KO, Kumana CR. A randomized prospective comparison of oral levofloxacin plus intraperitoneal (IP) vancomycin and IP netromycin plus IP vancomycin as primary treatment of peritonitis complicating CAPD.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1998</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18</w:t>
      </w:r>
      <w:r w:rsidRPr="004F0AF3">
        <w:rPr>
          <w:rFonts w:ascii="Book Antiqua" w:eastAsia="宋体" w:hAnsi="Book Antiqua" w:cs="宋体"/>
          <w:sz w:val="24"/>
          <w:szCs w:val="24"/>
        </w:rPr>
        <w:t>: 371-375 [PMID: 10505557]</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50 </w:t>
      </w:r>
      <w:r w:rsidRPr="004F0AF3">
        <w:rPr>
          <w:rFonts w:ascii="Book Antiqua" w:eastAsia="宋体" w:hAnsi="Book Antiqua" w:cs="宋体"/>
          <w:b/>
          <w:bCs/>
          <w:sz w:val="24"/>
          <w:szCs w:val="24"/>
        </w:rPr>
        <w:t>Wong KM</w:t>
      </w:r>
      <w:r w:rsidRPr="004F0AF3">
        <w:rPr>
          <w:rFonts w:ascii="Book Antiqua" w:eastAsia="宋体" w:hAnsi="Book Antiqua" w:cs="宋体"/>
          <w:sz w:val="24"/>
          <w:szCs w:val="24"/>
        </w:rPr>
        <w:t xml:space="preserve">, Chan YH, Cheung CY, Chak WL, Choi KS, Leung SH, Leung J, Chau KF, Tsang DN, Li CS. Cefepime versus vancomycin plus netilmicin therapy for continuous ambulatory peritoneal dialysis-associated peritonitis. </w:t>
      </w:r>
      <w:r w:rsidRPr="004F0AF3">
        <w:rPr>
          <w:rFonts w:ascii="Book Antiqua" w:eastAsia="宋体" w:hAnsi="Book Antiqua" w:cs="宋体"/>
          <w:i/>
          <w:iCs/>
          <w:sz w:val="24"/>
          <w:szCs w:val="24"/>
        </w:rPr>
        <w:t>Am J Kidney Dis</w:t>
      </w:r>
      <w:r w:rsidRPr="004F0AF3">
        <w:rPr>
          <w:rFonts w:ascii="Book Antiqua" w:eastAsia="宋体" w:hAnsi="Book Antiqua" w:cs="宋体"/>
          <w:sz w:val="24"/>
          <w:szCs w:val="24"/>
        </w:rPr>
        <w:t xml:space="preserve"> 2001; </w:t>
      </w:r>
      <w:r w:rsidRPr="004F0AF3">
        <w:rPr>
          <w:rFonts w:ascii="Book Antiqua" w:eastAsia="宋体" w:hAnsi="Book Antiqua" w:cs="宋体"/>
          <w:b/>
          <w:bCs/>
          <w:sz w:val="24"/>
          <w:szCs w:val="24"/>
        </w:rPr>
        <w:t>38</w:t>
      </w:r>
      <w:r w:rsidRPr="004F0AF3">
        <w:rPr>
          <w:rFonts w:ascii="Book Antiqua" w:eastAsia="宋体" w:hAnsi="Book Antiqua" w:cs="宋体"/>
          <w:sz w:val="24"/>
          <w:szCs w:val="24"/>
        </w:rPr>
        <w:t>: 127-131 [PMID: 11431192 DOI: 10.1053/ajkd.2001.25205]</w:t>
      </w:r>
    </w:p>
    <w:p w:rsidR="00EE42F3" w:rsidRPr="004F0AF3" w:rsidRDefault="00EE42F3" w:rsidP="008C0625">
      <w:pPr>
        <w:spacing w:after="0" w:line="360" w:lineRule="auto"/>
        <w:jc w:val="both"/>
        <w:rPr>
          <w:rFonts w:ascii="Book Antiqua" w:eastAsia="宋体" w:hAnsi="Book Antiqua" w:cs="宋体"/>
          <w:sz w:val="24"/>
          <w:szCs w:val="24"/>
        </w:rPr>
      </w:pPr>
      <w:r w:rsidRPr="008C0625">
        <w:rPr>
          <w:rFonts w:ascii="Book Antiqua" w:eastAsia="宋体" w:hAnsi="Book Antiqua" w:cs="宋体"/>
          <w:sz w:val="24"/>
          <w:szCs w:val="24"/>
        </w:rPr>
        <w:t xml:space="preserve">51 </w:t>
      </w:r>
      <w:r w:rsidRPr="008C0625">
        <w:rPr>
          <w:rFonts w:ascii="Book Antiqua" w:eastAsia="宋体" w:hAnsi="Book Antiqua" w:cs="宋体"/>
          <w:b/>
          <w:sz w:val="24"/>
          <w:szCs w:val="24"/>
        </w:rPr>
        <w:t>Al-Wali W</w:t>
      </w:r>
      <w:r w:rsidRPr="004F0AF3">
        <w:rPr>
          <w:rFonts w:ascii="Book Antiqua" w:eastAsia="宋体" w:hAnsi="Book Antiqua" w:cs="宋体"/>
          <w:b/>
          <w:sz w:val="24"/>
          <w:szCs w:val="24"/>
        </w:rPr>
        <w:t>,</w:t>
      </w:r>
      <w:r w:rsidRPr="004F0AF3">
        <w:rPr>
          <w:rFonts w:ascii="Book Antiqua" w:eastAsia="宋体" w:hAnsi="Book Antiqua" w:cs="宋体"/>
          <w:sz w:val="24"/>
          <w:szCs w:val="24"/>
        </w:rPr>
        <w:t xml:space="preserve"> Baillod R</w:t>
      </w:r>
      <w:r w:rsidRPr="008C0625">
        <w:rPr>
          <w:rFonts w:ascii="Book Antiqua" w:eastAsia="宋体" w:hAnsi="Book Antiqua" w:cs="宋体"/>
          <w:sz w:val="24"/>
          <w:szCs w:val="24"/>
        </w:rPr>
        <w:t>A, Brumfitt W, Hamilton-Miller JM</w:t>
      </w:r>
      <w:r w:rsidRPr="004F0AF3">
        <w:rPr>
          <w:rFonts w:ascii="Book Antiqua" w:eastAsia="宋体" w:hAnsi="Book Antiqua" w:cs="宋体"/>
          <w:sz w:val="24"/>
          <w:szCs w:val="24"/>
        </w:rPr>
        <w:t>T. Teicoplanin in the treatment of peritonitis in patients receiving continuous ambulatory peritoneal dialysis: A comparativ</w:t>
      </w:r>
      <w:r w:rsidRPr="008C0625">
        <w:rPr>
          <w:rFonts w:ascii="Book Antiqua" w:eastAsia="宋体" w:hAnsi="Book Antiqua" w:cs="宋体"/>
          <w:sz w:val="24"/>
          <w:szCs w:val="24"/>
        </w:rPr>
        <w:t xml:space="preserve">e trial against vancomycin. </w:t>
      </w:r>
      <w:r w:rsidRPr="008C0625">
        <w:rPr>
          <w:rFonts w:ascii="Book Antiqua" w:eastAsia="宋体" w:hAnsi="Book Antiqua" w:cs="宋体"/>
          <w:i/>
          <w:sz w:val="24"/>
          <w:szCs w:val="24"/>
        </w:rPr>
        <w:t xml:space="preserve">Int J Antimicrob Agents </w:t>
      </w:r>
      <w:r w:rsidRPr="008C0625">
        <w:rPr>
          <w:rFonts w:ascii="Book Antiqua" w:eastAsia="宋体" w:hAnsi="Book Antiqua" w:cs="宋体"/>
          <w:sz w:val="24"/>
          <w:szCs w:val="24"/>
        </w:rPr>
        <w:t xml:space="preserve">1992; </w:t>
      </w:r>
      <w:r w:rsidRPr="008C0625">
        <w:rPr>
          <w:rFonts w:ascii="Book Antiqua" w:eastAsia="宋体" w:hAnsi="Book Antiqua" w:cs="宋体"/>
          <w:b/>
          <w:sz w:val="24"/>
          <w:szCs w:val="24"/>
        </w:rPr>
        <w:t>1</w:t>
      </w:r>
      <w:r w:rsidRPr="008C0625">
        <w:rPr>
          <w:rFonts w:ascii="Book Antiqua" w:eastAsia="宋体" w:hAnsi="Book Antiqua" w:cs="宋体"/>
          <w:sz w:val="24"/>
          <w:szCs w:val="24"/>
        </w:rPr>
        <w:t>: S1-S6</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52 </w:t>
      </w:r>
      <w:r w:rsidRPr="004F0AF3">
        <w:rPr>
          <w:rFonts w:ascii="Book Antiqua" w:eastAsia="宋体" w:hAnsi="Book Antiqua" w:cs="宋体"/>
          <w:b/>
          <w:bCs/>
          <w:sz w:val="24"/>
          <w:szCs w:val="24"/>
        </w:rPr>
        <w:t>Vargemezis V</w:t>
      </w:r>
      <w:r w:rsidRPr="004F0AF3">
        <w:rPr>
          <w:rFonts w:ascii="Book Antiqua" w:eastAsia="宋体" w:hAnsi="Book Antiqua" w:cs="宋体"/>
          <w:sz w:val="24"/>
          <w:szCs w:val="24"/>
        </w:rPr>
        <w:t xml:space="preserve">, Pasadakis P, Thodis H, Coucudis P, Peihaberis P, Jafer H, Jara F, Kartali S. Vancomycin therapy for gram-positive peritonitis in patients on CAPD. </w:t>
      </w:r>
      <w:r w:rsidRPr="004F0AF3">
        <w:rPr>
          <w:rFonts w:ascii="Book Antiqua" w:eastAsia="宋体" w:hAnsi="Book Antiqua" w:cs="宋体"/>
          <w:i/>
          <w:iCs/>
          <w:sz w:val="24"/>
          <w:szCs w:val="24"/>
        </w:rPr>
        <w:t>Adv Perit Dial</w:t>
      </w:r>
      <w:r w:rsidRPr="004F0AF3">
        <w:rPr>
          <w:rFonts w:ascii="Book Antiqua" w:eastAsia="宋体" w:hAnsi="Book Antiqua" w:cs="宋体"/>
          <w:sz w:val="24"/>
          <w:szCs w:val="24"/>
        </w:rPr>
        <w:t xml:space="preserve"> 1989; </w:t>
      </w:r>
      <w:r w:rsidRPr="004F0AF3">
        <w:rPr>
          <w:rFonts w:ascii="Book Antiqua" w:eastAsia="宋体" w:hAnsi="Book Antiqua" w:cs="宋体"/>
          <w:b/>
          <w:bCs/>
          <w:sz w:val="24"/>
          <w:szCs w:val="24"/>
        </w:rPr>
        <w:t>5</w:t>
      </w:r>
      <w:r w:rsidRPr="004F0AF3">
        <w:rPr>
          <w:rFonts w:ascii="Book Antiqua" w:eastAsia="宋体" w:hAnsi="Book Antiqua" w:cs="宋体"/>
          <w:sz w:val="24"/>
          <w:szCs w:val="24"/>
        </w:rPr>
        <w:t>: 128-129 [PMID: 2577394]</w:t>
      </w:r>
    </w:p>
    <w:p w:rsidR="00EE42F3" w:rsidRPr="004F0AF3" w:rsidRDefault="00EE42F3" w:rsidP="008C0625">
      <w:pPr>
        <w:spacing w:after="0" w:line="360" w:lineRule="auto"/>
        <w:jc w:val="both"/>
        <w:rPr>
          <w:rFonts w:ascii="Book Antiqua" w:eastAsia="宋体" w:hAnsi="Book Antiqua" w:cs="宋体"/>
          <w:sz w:val="24"/>
          <w:szCs w:val="24"/>
        </w:rPr>
      </w:pPr>
      <w:r w:rsidRPr="008C0625">
        <w:rPr>
          <w:rFonts w:ascii="Book Antiqua" w:eastAsia="宋体" w:hAnsi="Book Antiqua" w:cs="宋体"/>
          <w:sz w:val="24"/>
          <w:szCs w:val="24"/>
        </w:rPr>
        <w:t xml:space="preserve">53 </w:t>
      </w:r>
      <w:r w:rsidRPr="004F0AF3">
        <w:rPr>
          <w:rFonts w:ascii="Book Antiqua" w:eastAsia="宋体" w:hAnsi="Book Antiqua" w:cs="宋体"/>
          <w:b/>
          <w:sz w:val="24"/>
          <w:szCs w:val="24"/>
        </w:rPr>
        <w:t>Flanigan MJ,</w:t>
      </w:r>
      <w:r w:rsidRPr="004F0AF3">
        <w:rPr>
          <w:rFonts w:ascii="Book Antiqua" w:eastAsia="宋体" w:hAnsi="Book Antiqua" w:cs="宋体"/>
          <w:sz w:val="24"/>
          <w:szCs w:val="24"/>
        </w:rPr>
        <w:t xml:space="preserve"> Lim VS. Initial treatment of dialysis associated peritonitis: a controlled trial of vancomycin versus cefazolin.</w:t>
      </w:r>
      <w:r w:rsidRPr="008C0625">
        <w:rPr>
          <w:rFonts w:ascii="Book Antiqua" w:eastAsia="宋体" w:hAnsi="Book Antiqua" w:cs="宋体"/>
          <w:sz w:val="24"/>
          <w:szCs w:val="24"/>
        </w:rPr>
        <w:t xml:space="preserve"> </w:t>
      </w:r>
      <w:r w:rsidRPr="008C0625">
        <w:rPr>
          <w:rFonts w:ascii="Book Antiqua" w:eastAsia="宋体" w:hAnsi="Book Antiqua" w:cs="宋体"/>
          <w:i/>
          <w:sz w:val="24"/>
          <w:szCs w:val="24"/>
        </w:rPr>
        <w:t>Perit Dial Int</w:t>
      </w:r>
      <w:r w:rsidRPr="008C0625">
        <w:rPr>
          <w:rFonts w:ascii="Book Antiqua" w:eastAsia="宋体" w:hAnsi="Book Antiqua" w:cs="宋体"/>
          <w:sz w:val="24"/>
          <w:szCs w:val="24"/>
        </w:rPr>
        <w:t xml:space="preserve"> 1991; </w:t>
      </w:r>
      <w:r w:rsidRPr="008C0625">
        <w:rPr>
          <w:rFonts w:ascii="Book Antiqua" w:eastAsia="宋体" w:hAnsi="Book Antiqua" w:cs="宋体"/>
          <w:b/>
          <w:sz w:val="24"/>
          <w:szCs w:val="24"/>
        </w:rPr>
        <w:t>11</w:t>
      </w:r>
      <w:r w:rsidRPr="008C0625">
        <w:rPr>
          <w:rFonts w:ascii="Book Antiqua" w:eastAsia="宋体" w:hAnsi="Book Antiqua" w:cs="宋体"/>
          <w:sz w:val="24"/>
          <w:szCs w:val="24"/>
        </w:rPr>
        <w:t>: 31-37</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54 </w:t>
      </w:r>
      <w:r w:rsidRPr="004F0AF3">
        <w:rPr>
          <w:rFonts w:ascii="Book Antiqua" w:eastAsia="宋体" w:hAnsi="Book Antiqua" w:cs="宋体"/>
          <w:b/>
          <w:bCs/>
          <w:sz w:val="24"/>
          <w:szCs w:val="24"/>
        </w:rPr>
        <w:t>Bailie GR</w:t>
      </w:r>
      <w:r w:rsidRPr="004F0AF3">
        <w:rPr>
          <w:rFonts w:ascii="Book Antiqua" w:eastAsia="宋体" w:hAnsi="Book Antiqua" w:cs="宋体"/>
          <w:sz w:val="24"/>
          <w:szCs w:val="24"/>
        </w:rPr>
        <w:t xml:space="preserve">, Haqqie SS, Eisele G, Gorman T, Low CL. Effectiveness of once-weekly vancomycin and once-daily gentamicin, intraperitoneally, for CAPD peritonitis.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1995</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15</w:t>
      </w:r>
      <w:r w:rsidRPr="004F0AF3">
        <w:rPr>
          <w:rFonts w:ascii="Book Antiqua" w:eastAsia="宋体" w:hAnsi="Book Antiqua" w:cs="宋体"/>
          <w:sz w:val="24"/>
          <w:szCs w:val="24"/>
        </w:rPr>
        <w:t>: 269-271 [PMID: 7578507]</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55 </w:t>
      </w:r>
      <w:r w:rsidRPr="004F0AF3">
        <w:rPr>
          <w:rFonts w:ascii="Book Antiqua" w:eastAsia="宋体" w:hAnsi="Book Antiqua" w:cs="宋体"/>
          <w:b/>
          <w:bCs/>
          <w:sz w:val="24"/>
          <w:szCs w:val="24"/>
        </w:rPr>
        <w:t>Chadwick DH</w:t>
      </w:r>
      <w:r w:rsidRPr="004F0AF3">
        <w:rPr>
          <w:rFonts w:ascii="Book Antiqua" w:eastAsia="宋体" w:hAnsi="Book Antiqua" w:cs="宋体"/>
          <w:sz w:val="24"/>
          <w:szCs w:val="24"/>
        </w:rPr>
        <w:t xml:space="preserve">, Agarwal S, Vora BJ, Hair M, McKewan A, Gokal R. Outcome of peritonitis treated with intraperitoneal (i.p.) weekly vancomycin and i.p. daily netilmicin. </w:t>
      </w:r>
      <w:r w:rsidRPr="004F0AF3">
        <w:rPr>
          <w:rFonts w:ascii="Book Antiqua" w:eastAsia="宋体" w:hAnsi="Book Antiqua" w:cs="宋体"/>
          <w:i/>
          <w:iCs/>
          <w:sz w:val="24"/>
          <w:szCs w:val="24"/>
        </w:rPr>
        <w:t>J Nephrol</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1999</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12</w:t>
      </w:r>
      <w:r w:rsidRPr="004F0AF3">
        <w:rPr>
          <w:rFonts w:ascii="Book Antiqua" w:eastAsia="宋体" w:hAnsi="Book Antiqua" w:cs="宋体"/>
          <w:sz w:val="24"/>
          <w:szCs w:val="24"/>
        </w:rPr>
        <w:t>: 318-321 [PMID: 10630696]</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56 </w:t>
      </w:r>
      <w:r w:rsidRPr="004F0AF3">
        <w:rPr>
          <w:rFonts w:ascii="Book Antiqua" w:eastAsia="宋体" w:hAnsi="Book Antiqua" w:cs="宋体"/>
          <w:b/>
          <w:bCs/>
          <w:sz w:val="24"/>
          <w:szCs w:val="24"/>
        </w:rPr>
        <w:t>Li PK</w:t>
      </w:r>
      <w:r w:rsidRPr="004F0AF3">
        <w:rPr>
          <w:rFonts w:ascii="Book Antiqua" w:eastAsia="宋体" w:hAnsi="Book Antiqua" w:cs="宋体"/>
          <w:sz w:val="24"/>
          <w:szCs w:val="24"/>
        </w:rPr>
        <w:t xml:space="preserve">, Ip M, Law MC, Szeto CC, Leung CB, Wong TY, Ho KK, Wang AY, Lui SF, Yu AW, Lyon DJ, Cheng AF, Lai KN. Use of intraperitoneal cefepime as monotherapy in treatment of CAPD peritonitis.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2000</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20</w:t>
      </w:r>
      <w:r w:rsidRPr="004F0AF3">
        <w:rPr>
          <w:rFonts w:ascii="Book Antiqua" w:eastAsia="宋体" w:hAnsi="Book Antiqua" w:cs="宋体"/>
          <w:sz w:val="24"/>
          <w:szCs w:val="24"/>
        </w:rPr>
        <w:t>: 232-234 [PMID: 10809249]</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57 </w:t>
      </w:r>
      <w:r w:rsidRPr="004F0AF3">
        <w:rPr>
          <w:rFonts w:ascii="Book Antiqua" w:eastAsia="宋体" w:hAnsi="Book Antiqua" w:cs="宋体"/>
          <w:b/>
          <w:bCs/>
          <w:sz w:val="24"/>
          <w:szCs w:val="24"/>
        </w:rPr>
        <w:t>Goffin E</w:t>
      </w:r>
      <w:r w:rsidRPr="004F0AF3">
        <w:rPr>
          <w:rFonts w:ascii="Book Antiqua" w:eastAsia="宋体" w:hAnsi="Book Antiqua" w:cs="宋体"/>
          <w:sz w:val="24"/>
          <w:szCs w:val="24"/>
        </w:rPr>
        <w:t xml:space="preserve">, Herbiet L, Pouthier D, Pochet JM, Lafontaine JJ, Christophe JL, Gigi J, Vandercam B. Vancomycin and ciprofloxacin: systemic antibiotic administration for peritoneal dialysis-associated peritonitis.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2004</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24</w:t>
      </w:r>
      <w:r w:rsidRPr="004F0AF3">
        <w:rPr>
          <w:rFonts w:ascii="Book Antiqua" w:eastAsia="宋体" w:hAnsi="Book Antiqua" w:cs="宋体"/>
          <w:sz w:val="24"/>
          <w:szCs w:val="24"/>
        </w:rPr>
        <w:t>: 433-439 [PMID: 15490982]</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58 </w:t>
      </w:r>
      <w:r w:rsidRPr="004F0AF3">
        <w:rPr>
          <w:rFonts w:ascii="Book Antiqua" w:eastAsia="宋体" w:hAnsi="Book Antiqua" w:cs="宋体"/>
          <w:b/>
          <w:bCs/>
          <w:sz w:val="24"/>
          <w:szCs w:val="24"/>
        </w:rPr>
        <w:t>Szeto CC</w:t>
      </w:r>
      <w:r w:rsidRPr="004F0AF3">
        <w:rPr>
          <w:rFonts w:ascii="Book Antiqua" w:eastAsia="宋体" w:hAnsi="Book Antiqua" w:cs="宋体"/>
          <w:sz w:val="24"/>
          <w:szCs w:val="24"/>
        </w:rPr>
        <w:t xml:space="preserve">, Kwan BC, Chow KM, Lau MF, Law MC, Chung KY, Leung CB, Li PK. Coagulase negative staphylococcal peritonitis in peritoneal dialysis patients: review of 232 consecutive cases. </w:t>
      </w:r>
      <w:r w:rsidRPr="004F0AF3">
        <w:rPr>
          <w:rFonts w:ascii="Book Antiqua" w:eastAsia="宋体" w:hAnsi="Book Antiqua" w:cs="宋体"/>
          <w:i/>
          <w:iCs/>
          <w:sz w:val="24"/>
          <w:szCs w:val="24"/>
        </w:rPr>
        <w:t>Clin J Am Soc Nephrol</w:t>
      </w:r>
      <w:r w:rsidRPr="004F0AF3">
        <w:rPr>
          <w:rFonts w:ascii="Book Antiqua" w:eastAsia="宋体" w:hAnsi="Book Antiqua" w:cs="宋体"/>
          <w:sz w:val="24"/>
          <w:szCs w:val="24"/>
        </w:rPr>
        <w:t xml:space="preserve"> 2008; </w:t>
      </w:r>
      <w:r w:rsidRPr="004F0AF3">
        <w:rPr>
          <w:rFonts w:ascii="Book Antiqua" w:eastAsia="宋体" w:hAnsi="Book Antiqua" w:cs="宋体"/>
          <w:b/>
          <w:bCs/>
          <w:sz w:val="24"/>
          <w:szCs w:val="24"/>
        </w:rPr>
        <w:t>3</w:t>
      </w:r>
      <w:r w:rsidRPr="004F0AF3">
        <w:rPr>
          <w:rFonts w:ascii="Book Antiqua" w:eastAsia="宋体" w:hAnsi="Book Antiqua" w:cs="宋体"/>
          <w:sz w:val="24"/>
          <w:szCs w:val="24"/>
        </w:rPr>
        <w:t>: 91-97 [PMID: 18032790 DOI: 10.2215/CJN.03070707]</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59 </w:t>
      </w:r>
      <w:r w:rsidRPr="004F0AF3">
        <w:rPr>
          <w:rFonts w:ascii="Book Antiqua" w:eastAsia="宋体" w:hAnsi="Book Antiqua" w:cs="宋体"/>
          <w:b/>
          <w:bCs/>
          <w:sz w:val="24"/>
          <w:szCs w:val="24"/>
        </w:rPr>
        <w:t>Percival A</w:t>
      </w:r>
      <w:r w:rsidRPr="004F0AF3">
        <w:rPr>
          <w:rFonts w:ascii="Book Antiqua" w:eastAsia="宋体" w:hAnsi="Book Antiqua" w:cs="宋体"/>
          <w:sz w:val="24"/>
          <w:szCs w:val="24"/>
        </w:rPr>
        <w:t xml:space="preserve">, Cohen SL. The treatment of peritoneal infections in patients on peritoneal dialysis. </w:t>
      </w:r>
      <w:r w:rsidRPr="004F0AF3">
        <w:rPr>
          <w:rFonts w:ascii="Book Antiqua" w:eastAsia="宋体" w:hAnsi="Book Antiqua" w:cs="宋体"/>
          <w:i/>
          <w:iCs/>
          <w:sz w:val="24"/>
          <w:szCs w:val="24"/>
        </w:rPr>
        <w:t>Postgrad Med J</w:t>
      </w:r>
      <w:r w:rsidRPr="004F0AF3">
        <w:rPr>
          <w:rFonts w:ascii="Book Antiqua" w:eastAsia="宋体" w:hAnsi="Book Antiqua" w:cs="宋体"/>
          <w:sz w:val="24"/>
          <w:szCs w:val="24"/>
        </w:rPr>
        <w:t xml:space="preserve"> 1967; </w:t>
      </w:r>
      <w:r w:rsidRPr="004F0AF3">
        <w:rPr>
          <w:rFonts w:ascii="Book Antiqua" w:eastAsia="宋体" w:hAnsi="Book Antiqua" w:cs="宋体"/>
          <w:b/>
          <w:bCs/>
          <w:sz w:val="24"/>
          <w:szCs w:val="24"/>
        </w:rPr>
        <w:t>43</w:t>
      </w:r>
      <w:r w:rsidRPr="004F0AF3">
        <w:rPr>
          <w:rFonts w:ascii="Book Antiqua" w:eastAsia="宋体" w:hAnsi="Book Antiqua" w:cs="宋体"/>
          <w:sz w:val="24"/>
          <w:szCs w:val="24"/>
        </w:rPr>
        <w:t xml:space="preserve"> Suppl 43: 160-165 [PMID: </w:t>
      </w:r>
      <w:bookmarkStart w:id="57" w:name="OLE_LINK5"/>
      <w:bookmarkStart w:id="58" w:name="OLE_LINK6"/>
      <w:r w:rsidRPr="004F0AF3">
        <w:rPr>
          <w:rFonts w:ascii="Book Antiqua" w:eastAsia="宋体" w:hAnsi="Book Antiqua" w:cs="宋体"/>
          <w:sz w:val="24"/>
          <w:szCs w:val="24"/>
        </w:rPr>
        <w:t>6052327</w:t>
      </w:r>
      <w:bookmarkEnd w:id="57"/>
      <w:bookmarkEnd w:id="58"/>
      <w:r w:rsidRPr="004F0AF3">
        <w:rPr>
          <w:rFonts w:ascii="Book Antiqua" w:eastAsia="宋体" w:hAnsi="Book Antiqua" w:cs="宋体"/>
          <w:sz w:val="24"/>
          <w:szCs w:val="24"/>
        </w:rPr>
        <w:t>]</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60 </w:t>
      </w:r>
      <w:r w:rsidRPr="004F0AF3">
        <w:rPr>
          <w:rFonts w:ascii="Book Antiqua" w:eastAsia="宋体" w:hAnsi="Book Antiqua" w:cs="宋体"/>
          <w:b/>
          <w:bCs/>
          <w:sz w:val="24"/>
          <w:szCs w:val="24"/>
        </w:rPr>
        <w:t>Ludlam HA</w:t>
      </w:r>
      <w:r w:rsidRPr="004F0AF3">
        <w:rPr>
          <w:rFonts w:ascii="Book Antiqua" w:eastAsia="宋体" w:hAnsi="Book Antiqua" w:cs="宋体"/>
          <w:sz w:val="24"/>
          <w:szCs w:val="24"/>
        </w:rPr>
        <w:t xml:space="preserve">, Barton I, White L, McMullin C, King A, Phillips I. Intraperitoneal ciprofloxacin for the treatment of peritonitis in patients receiving continuous ambulatory peritoneal dialysis (CAPD). </w:t>
      </w:r>
      <w:r w:rsidRPr="004F0AF3">
        <w:rPr>
          <w:rFonts w:ascii="Book Antiqua" w:eastAsia="宋体" w:hAnsi="Book Antiqua" w:cs="宋体"/>
          <w:i/>
          <w:iCs/>
          <w:sz w:val="24"/>
          <w:szCs w:val="24"/>
        </w:rPr>
        <w:t>J Antimicrob Chemother</w:t>
      </w:r>
      <w:r w:rsidRPr="004F0AF3">
        <w:rPr>
          <w:rFonts w:ascii="Book Antiqua" w:eastAsia="宋体" w:hAnsi="Book Antiqua" w:cs="宋体"/>
          <w:sz w:val="24"/>
          <w:szCs w:val="24"/>
        </w:rPr>
        <w:t xml:space="preserve"> 1990; </w:t>
      </w:r>
      <w:r w:rsidRPr="004F0AF3">
        <w:rPr>
          <w:rFonts w:ascii="Book Antiqua" w:eastAsia="宋体" w:hAnsi="Book Antiqua" w:cs="宋体"/>
          <w:b/>
          <w:bCs/>
          <w:sz w:val="24"/>
          <w:szCs w:val="24"/>
        </w:rPr>
        <w:t>25</w:t>
      </w:r>
      <w:r w:rsidRPr="004F0AF3">
        <w:rPr>
          <w:rFonts w:ascii="Book Antiqua" w:eastAsia="宋体" w:hAnsi="Book Antiqua" w:cs="宋体"/>
          <w:sz w:val="24"/>
          <w:szCs w:val="24"/>
        </w:rPr>
        <w:t>: 843-851 [PMID: 2197264 DOI: 10.1093/jac/25.5.843]</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61 </w:t>
      </w:r>
      <w:r w:rsidRPr="004F0AF3">
        <w:rPr>
          <w:rFonts w:ascii="Book Antiqua" w:eastAsia="宋体" w:hAnsi="Book Antiqua" w:cs="宋体"/>
          <w:b/>
          <w:bCs/>
          <w:sz w:val="24"/>
          <w:szCs w:val="24"/>
        </w:rPr>
        <w:t>Cheng IK</w:t>
      </w:r>
      <w:r w:rsidRPr="004F0AF3">
        <w:rPr>
          <w:rFonts w:ascii="Book Antiqua" w:eastAsia="宋体" w:hAnsi="Book Antiqua" w:cs="宋体"/>
          <w:sz w:val="24"/>
          <w:szCs w:val="24"/>
        </w:rPr>
        <w:t xml:space="preserve">, Chan CY, Wong WT. A randomised prospective comparison of oral ofloxacin and intraperitoneal vancomycin plus aztreonam in the treatment of bacterial peritonitis complicating continuous ambulatory peritoneal dialysis (CAPD).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1991; </w:t>
      </w:r>
      <w:r w:rsidRPr="004F0AF3">
        <w:rPr>
          <w:rFonts w:ascii="Book Antiqua" w:eastAsia="宋体" w:hAnsi="Book Antiqua" w:cs="宋体"/>
          <w:b/>
          <w:bCs/>
          <w:sz w:val="24"/>
          <w:szCs w:val="24"/>
        </w:rPr>
        <w:t>11</w:t>
      </w:r>
      <w:r w:rsidRPr="004F0AF3">
        <w:rPr>
          <w:rFonts w:ascii="Book Antiqua" w:eastAsia="宋体" w:hAnsi="Book Antiqua" w:cs="宋体"/>
          <w:sz w:val="24"/>
          <w:szCs w:val="24"/>
        </w:rPr>
        <w:t>: 27-30 [PMID: 2049419]</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62 </w:t>
      </w:r>
      <w:r w:rsidRPr="004F0AF3">
        <w:rPr>
          <w:rFonts w:ascii="Book Antiqua" w:eastAsia="宋体" w:hAnsi="Book Antiqua" w:cs="宋体"/>
          <w:b/>
          <w:bCs/>
          <w:sz w:val="24"/>
          <w:szCs w:val="24"/>
        </w:rPr>
        <w:t>Dryden M</w:t>
      </w:r>
      <w:r w:rsidRPr="004F0AF3">
        <w:rPr>
          <w:rFonts w:ascii="Book Antiqua" w:eastAsia="宋体" w:hAnsi="Book Antiqua" w:cs="宋体"/>
          <w:sz w:val="24"/>
          <w:szCs w:val="24"/>
        </w:rPr>
        <w:t xml:space="preserve">, Eykyn SJ. Short-course gentamicin in gram-negative CAPD peritonitis. </w:t>
      </w:r>
      <w:r w:rsidRPr="004F0AF3">
        <w:rPr>
          <w:rFonts w:ascii="Book Antiqua" w:eastAsia="宋体" w:hAnsi="Book Antiqua" w:cs="宋体"/>
          <w:i/>
          <w:iCs/>
          <w:sz w:val="24"/>
          <w:szCs w:val="24"/>
        </w:rPr>
        <w:t>Lancet</w:t>
      </w:r>
      <w:r w:rsidRPr="004F0AF3">
        <w:rPr>
          <w:rFonts w:ascii="Book Antiqua" w:eastAsia="宋体" w:hAnsi="Book Antiqua" w:cs="宋体"/>
          <w:sz w:val="24"/>
          <w:szCs w:val="24"/>
        </w:rPr>
        <w:t xml:space="preserve"> 1993; </w:t>
      </w:r>
      <w:r w:rsidRPr="004F0AF3">
        <w:rPr>
          <w:rFonts w:ascii="Book Antiqua" w:eastAsia="宋体" w:hAnsi="Book Antiqua" w:cs="宋体"/>
          <w:b/>
          <w:bCs/>
          <w:sz w:val="24"/>
          <w:szCs w:val="24"/>
        </w:rPr>
        <w:t>341</w:t>
      </w:r>
      <w:r w:rsidRPr="004F0AF3">
        <w:rPr>
          <w:rFonts w:ascii="Book Antiqua" w:eastAsia="宋体" w:hAnsi="Book Antiqua" w:cs="宋体"/>
          <w:sz w:val="24"/>
          <w:szCs w:val="24"/>
        </w:rPr>
        <w:t>: 497 [PMID: 8094518 DOI: 10.1016/0140-6736(93)90252-C]</w:t>
      </w:r>
    </w:p>
    <w:p w:rsidR="00EE42F3" w:rsidRPr="004F0AF3" w:rsidRDefault="00EE42F3" w:rsidP="008C0625">
      <w:pPr>
        <w:spacing w:after="0" w:line="360" w:lineRule="auto"/>
        <w:jc w:val="both"/>
        <w:rPr>
          <w:rFonts w:ascii="Book Antiqua" w:eastAsia="宋体" w:hAnsi="Book Antiqua" w:cs="宋体"/>
          <w:sz w:val="24"/>
          <w:szCs w:val="24"/>
        </w:rPr>
      </w:pPr>
      <w:r w:rsidRPr="004F0AF3">
        <w:rPr>
          <w:rFonts w:ascii="Book Antiqua" w:eastAsia="宋体" w:hAnsi="Book Antiqua" w:cs="宋体"/>
          <w:sz w:val="24"/>
          <w:szCs w:val="24"/>
        </w:rPr>
        <w:t xml:space="preserve">63 </w:t>
      </w:r>
      <w:r w:rsidRPr="004F0AF3">
        <w:rPr>
          <w:rFonts w:ascii="Book Antiqua" w:eastAsia="宋体" w:hAnsi="Book Antiqua" w:cs="宋体"/>
          <w:b/>
          <w:bCs/>
          <w:sz w:val="24"/>
          <w:szCs w:val="24"/>
        </w:rPr>
        <w:t>Brown MC</w:t>
      </w:r>
      <w:r w:rsidRPr="004F0AF3">
        <w:rPr>
          <w:rFonts w:ascii="Book Antiqua" w:eastAsia="宋体" w:hAnsi="Book Antiqua" w:cs="宋体"/>
          <w:sz w:val="24"/>
          <w:szCs w:val="24"/>
        </w:rPr>
        <w:t xml:space="preserve">, Simpson K, Kerssens JJ, Mactier RA. Peritoneal dialysis-associated peritonitis rates and outcomes in a national cohort are not improving in the post-millennium (2000-2007).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2011</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31</w:t>
      </w:r>
      <w:r w:rsidRPr="004F0AF3">
        <w:rPr>
          <w:rFonts w:ascii="Book Antiqua" w:eastAsia="宋体" w:hAnsi="Book Antiqua" w:cs="宋体"/>
          <w:sz w:val="24"/>
          <w:szCs w:val="24"/>
        </w:rPr>
        <w:t>: 639-650 [PMID: 21804138 DOI: 10.3747/pdi.2010.00185]</w:t>
      </w:r>
    </w:p>
    <w:p w:rsidR="007B1032" w:rsidRDefault="00EE42F3" w:rsidP="008C0625">
      <w:pPr>
        <w:spacing w:after="0" w:line="360" w:lineRule="auto"/>
        <w:jc w:val="both"/>
        <w:rPr>
          <w:rFonts w:ascii="Book Antiqua" w:eastAsia="宋体" w:hAnsi="Book Antiqua" w:cs="宋体"/>
          <w:sz w:val="24"/>
          <w:szCs w:val="24"/>
          <w:lang w:eastAsia="zh-CN"/>
        </w:rPr>
      </w:pPr>
      <w:r w:rsidRPr="004F0AF3">
        <w:rPr>
          <w:rFonts w:ascii="Book Antiqua" w:eastAsia="宋体" w:hAnsi="Book Antiqua" w:cs="宋体"/>
          <w:sz w:val="24"/>
          <w:szCs w:val="24"/>
        </w:rPr>
        <w:t xml:space="preserve">64 </w:t>
      </w:r>
      <w:r w:rsidRPr="004F0AF3">
        <w:rPr>
          <w:rFonts w:ascii="Book Antiqua" w:eastAsia="宋体" w:hAnsi="Book Antiqua" w:cs="宋体"/>
          <w:b/>
          <w:bCs/>
          <w:sz w:val="24"/>
          <w:szCs w:val="24"/>
        </w:rPr>
        <w:t>de Fijter CW</w:t>
      </w:r>
      <w:r w:rsidRPr="004F0AF3">
        <w:rPr>
          <w:rFonts w:ascii="Book Antiqua" w:eastAsia="宋体" w:hAnsi="Book Antiqua" w:cs="宋体"/>
          <w:sz w:val="24"/>
          <w:szCs w:val="24"/>
        </w:rPr>
        <w:t xml:space="preserve">, ter Wee PM, Oe LP, Verbrugh HA. Intraperitoneal ciprofloxacin and rifampicin versus cephradine as initial treatment of (C)APD-related peritonitis: a prospective randomized multicenter comparison (CIPPER trial). </w:t>
      </w:r>
      <w:r w:rsidRPr="004F0AF3">
        <w:rPr>
          <w:rFonts w:ascii="Book Antiqua" w:eastAsia="宋体" w:hAnsi="Book Antiqua" w:cs="宋体"/>
          <w:i/>
          <w:iCs/>
          <w:sz w:val="24"/>
          <w:szCs w:val="24"/>
        </w:rPr>
        <w:t>Perit Dial Int</w:t>
      </w:r>
      <w:r w:rsidRPr="004F0AF3">
        <w:rPr>
          <w:rFonts w:ascii="Book Antiqua" w:eastAsia="宋体" w:hAnsi="Book Antiqua" w:cs="宋体"/>
          <w:sz w:val="24"/>
          <w:szCs w:val="24"/>
        </w:rPr>
        <w:t xml:space="preserve"> </w:t>
      </w:r>
      <w:r w:rsidRPr="008C0625">
        <w:rPr>
          <w:rFonts w:ascii="Book Antiqua" w:eastAsia="宋体" w:hAnsi="Book Antiqua" w:cs="宋体"/>
          <w:sz w:val="24"/>
          <w:szCs w:val="24"/>
        </w:rPr>
        <w:t>2001</w:t>
      </w:r>
      <w:r w:rsidRPr="004F0AF3">
        <w:rPr>
          <w:rFonts w:ascii="Book Antiqua" w:eastAsia="宋体" w:hAnsi="Book Antiqua" w:cs="宋体"/>
          <w:sz w:val="24"/>
          <w:szCs w:val="24"/>
        </w:rPr>
        <w:t xml:space="preserve">; </w:t>
      </w:r>
      <w:r w:rsidRPr="004F0AF3">
        <w:rPr>
          <w:rFonts w:ascii="Book Antiqua" w:eastAsia="宋体" w:hAnsi="Book Antiqua" w:cs="宋体"/>
          <w:b/>
          <w:bCs/>
          <w:sz w:val="24"/>
          <w:szCs w:val="24"/>
        </w:rPr>
        <w:t>21</w:t>
      </w:r>
      <w:r w:rsidRPr="004F0AF3">
        <w:rPr>
          <w:rFonts w:ascii="Book Antiqua" w:eastAsia="宋体" w:hAnsi="Book Antiqua" w:cs="宋体"/>
          <w:sz w:val="24"/>
          <w:szCs w:val="24"/>
        </w:rPr>
        <w:t>: 480-486 [PMID: 11757832]</w:t>
      </w:r>
    </w:p>
    <w:p w:rsidR="008C0625" w:rsidRPr="008C0625" w:rsidRDefault="008C0625" w:rsidP="008C0625">
      <w:pPr>
        <w:adjustRightInd w:val="0"/>
        <w:snapToGrid w:val="0"/>
        <w:spacing w:after="0" w:line="360" w:lineRule="auto"/>
        <w:ind w:right="238"/>
        <w:jc w:val="right"/>
        <w:rPr>
          <w:rFonts w:ascii="Book Antiqua" w:hAnsi="Book Antiqua"/>
          <w:b/>
          <w:bCs/>
          <w:sz w:val="24"/>
          <w:szCs w:val="24"/>
          <w:lang w:val="en-GB"/>
        </w:rPr>
      </w:pPr>
      <w:r w:rsidRPr="008C0625">
        <w:rPr>
          <w:rStyle w:val="Strong"/>
          <w:rFonts w:ascii="Book Antiqua" w:hAnsi="Book Antiqua" w:cs="Arial"/>
          <w:noProof/>
          <w:sz w:val="24"/>
          <w:szCs w:val="24"/>
          <w:lang w:val="en-GB"/>
        </w:rPr>
        <w:t>P-Reviewer:</w:t>
      </w:r>
      <w:r w:rsidRPr="008C0625">
        <w:rPr>
          <w:rFonts w:ascii="Book Antiqua" w:hAnsi="Book Antiqua" w:hint="eastAsia"/>
          <w:color w:val="000000"/>
          <w:sz w:val="24"/>
          <w:szCs w:val="24"/>
          <w:lang w:val="en-GB"/>
        </w:rPr>
        <w:t xml:space="preserve"> </w:t>
      </w:r>
      <w:r>
        <w:rPr>
          <w:rFonts w:ascii="Book Antiqua" w:hAnsi="Book Antiqua"/>
          <w:color w:val="000000"/>
          <w:sz w:val="24"/>
          <w:szCs w:val="24"/>
          <w:lang w:val="en-GB"/>
        </w:rPr>
        <w:t>Bellomo</w:t>
      </w:r>
      <w:r w:rsidRPr="008C0625">
        <w:rPr>
          <w:rFonts w:ascii="Book Antiqua" w:hAnsi="Book Antiqua"/>
          <w:color w:val="000000"/>
          <w:sz w:val="24"/>
          <w:szCs w:val="24"/>
          <w:lang w:val="en-GB"/>
        </w:rPr>
        <w:t xml:space="preserve"> G</w:t>
      </w:r>
      <w:r w:rsidRPr="008C0625">
        <w:rPr>
          <w:rFonts w:ascii="Book Antiqua" w:hAnsi="Book Antiqua" w:hint="eastAsia"/>
          <w:color w:val="000000"/>
          <w:sz w:val="24"/>
          <w:szCs w:val="24"/>
          <w:lang w:val="en-GB"/>
        </w:rPr>
        <w:t xml:space="preserve">, </w:t>
      </w:r>
      <w:r w:rsidRPr="008C0625">
        <w:rPr>
          <w:rFonts w:ascii="Book Antiqua" w:hAnsi="Book Antiqua"/>
          <w:color w:val="000000"/>
          <w:sz w:val="24"/>
          <w:szCs w:val="24"/>
          <w:lang w:val="en-GB"/>
        </w:rPr>
        <w:t>Eirini</w:t>
      </w:r>
      <w:r w:rsidRPr="008C0625">
        <w:rPr>
          <w:rFonts w:ascii="Book Antiqua" w:hAnsi="Book Antiqua"/>
          <w:color w:val="000000"/>
          <w:sz w:val="24"/>
          <w:szCs w:val="24"/>
          <w:lang w:val="en-GB" w:eastAsia="zh-CN"/>
        </w:rPr>
        <w:t xml:space="preserve"> </w:t>
      </w:r>
      <w:r>
        <w:rPr>
          <w:rFonts w:ascii="Book Antiqua" w:hAnsi="Book Antiqua"/>
          <w:color w:val="000000"/>
          <w:sz w:val="24"/>
          <w:szCs w:val="24"/>
          <w:lang w:val="en-GB" w:eastAsia="zh-CN"/>
        </w:rPr>
        <w:t>G</w:t>
      </w:r>
      <w:r w:rsidRPr="008C0625">
        <w:rPr>
          <w:rFonts w:ascii="Book Antiqua" w:hAnsi="Book Antiqua"/>
          <w:bCs/>
          <w:sz w:val="24"/>
          <w:szCs w:val="24"/>
          <w:lang w:val="en-GB"/>
        </w:rPr>
        <w:t xml:space="preserve"> </w:t>
      </w:r>
      <w:r w:rsidRPr="008C0625">
        <w:rPr>
          <w:rFonts w:ascii="Book Antiqua" w:hAnsi="Book Antiqua"/>
          <w:b/>
          <w:bCs/>
          <w:sz w:val="24"/>
          <w:szCs w:val="24"/>
          <w:lang w:val="en-GB"/>
        </w:rPr>
        <w:t>S-Editor:</w:t>
      </w:r>
      <w:r w:rsidRPr="008C0625">
        <w:rPr>
          <w:rFonts w:ascii="Book Antiqua" w:hAnsi="Book Antiqua"/>
          <w:bCs/>
          <w:sz w:val="24"/>
          <w:szCs w:val="24"/>
          <w:lang w:val="en-GB"/>
        </w:rPr>
        <w:t xml:space="preserve"> Tian YL</w:t>
      </w:r>
    </w:p>
    <w:p w:rsidR="008C0625" w:rsidRPr="008C0625" w:rsidRDefault="008C0625" w:rsidP="008C0625">
      <w:pPr>
        <w:adjustRightInd w:val="0"/>
        <w:snapToGrid w:val="0"/>
        <w:spacing w:after="0" w:line="360" w:lineRule="auto"/>
        <w:ind w:right="238"/>
        <w:jc w:val="right"/>
        <w:rPr>
          <w:rFonts w:ascii="Book Antiqua" w:hAnsi="Book Antiqua"/>
          <w:bCs/>
          <w:sz w:val="24"/>
          <w:szCs w:val="24"/>
        </w:rPr>
      </w:pPr>
      <w:r w:rsidRPr="008C0625">
        <w:rPr>
          <w:rFonts w:ascii="Book Antiqua" w:hAnsi="Book Antiqua"/>
          <w:b/>
          <w:bCs/>
          <w:sz w:val="24"/>
          <w:szCs w:val="24"/>
        </w:rPr>
        <w:t>L-Editor:   E-Editor:</w:t>
      </w:r>
    </w:p>
    <w:p w:rsidR="008C0625" w:rsidRPr="008C0625" w:rsidRDefault="008C0625" w:rsidP="008C0625">
      <w:pPr>
        <w:spacing w:after="0" w:line="360" w:lineRule="auto"/>
        <w:jc w:val="both"/>
        <w:rPr>
          <w:rFonts w:ascii="Book Antiqua" w:hAnsi="Book Antiqua"/>
          <w:b/>
          <w:color w:val="000000" w:themeColor="text1"/>
          <w:sz w:val="24"/>
          <w:szCs w:val="24"/>
          <w:shd w:val="clear" w:color="auto" w:fill="FFFFFF"/>
          <w:lang w:eastAsia="zh-CN"/>
        </w:rPr>
      </w:pPr>
    </w:p>
    <w:p w:rsidR="00EE42F3" w:rsidRPr="008C0625" w:rsidRDefault="00EE42F3" w:rsidP="008C0625">
      <w:pPr>
        <w:spacing w:after="0" w:line="360" w:lineRule="auto"/>
        <w:jc w:val="both"/>
        <w:rPr>
          <w:rFonts w:ascii="Book Antiqua" w:hAnsi="Book Antiqua"/>
          <w:b/>
          <w:color w:val="000000" w:themeColor="text1"/>
          <w:sz w:val="24"/>
          <w:szCs w:val="24"/>
        </w:rPr>
      </w:pPr>
      <w:r w:rsidRPr="008C0625">
        <w:rPr>
          <w:rFonts w:ascii="Book Antiqua" w:hAnsi="Book Antiqua"/>
          <w:b/>
          <w:color w:val="000000" w:themeColor="text1"/>
          <w:sz w:val="24"/>
          <w:szCs w:val="24"/>
        </w:rPr>
        <w:br w:type="page"/>
      </w:r>
    </w:p>
    <w:p w:rsidR="007B1032" w:rsidRPr="008C0625" w:rsidRDefault="00B64CF1" w:rsidP="008C0625">
      <w:pPr>
        <w:spacing w:after="0" w:line="360" w:lineRule="auto"/>
        <w:jc w:val="both"/>
        <w:rPr>
          <w:rFonts w:ascii="Book Antiqua" w:hAnsi="Book Antiqua"/>
          <w:b/>
          <w:color w:val="000000" w:themeColor="text1"/>
          <w:sz w:val="24"/>
          <w:szCs w:val="24"/>
          <w:lang w:eastAsia="zh-CN"/>
        </w:rPr>
      </w:pPr>
      <w:r w:rsidRPr="008C0625">
        <w:rPr>
          <w:rFonts w:ascii="Book Antiqua" w:hAnsi="Book Antiqua"/>
          <w:b/>
          <w:color w:val="000000" w:themeColor="text1"/>
          <w:sz w:val="24"/>
          <w:szCs w:val="24"/>
        </w:rPr>
        <w:t>Table 1</w:t>
      </w:r>
      <w:r w:rsidRPr="008C0625">
        <w:rPr>
          <w:rFonts w:ascii="Book Antiqua" w:hAnsi="Book Antiqua"/>
          <w:b/>
          <w:color w:val="000000" w:themeColor="text1"/>
          <w:sz w:val="24"/>
          <w:szCs w:val="24"/>
          <w:lang w:eastAsia="zh-CN"/>
        </w:rPr>
        <w:t xml:space="preserve"> </w:t>
      </w:r>
      <w:r w:rsidR="007B1032" w:rsidRPr="008C0625">
        <w:rPr>
          <w:rFonts w:ascii="Book Antiqua" w:hAnsi="Book Antiqua"/>
          <w:b/>
          <w:color w:val="000000" w:themeColor="text1"/>
          <w:sz w:val="24"/>
          <w:szCs w:val="24"/>
        </w:rPr>
        <w:t>Recommendations for antibiotics choice in peritone</w:t>
      </w:r>
      <w:r w:rsidR="00B77D53" w:rsidRPr="008C0625">
        <w:rPr>
          <w:rFonts w:ascii="Book Antiqua" w:hAnsi="Book Antiqua"/>
          <w:b/>
          <w:color w:val="000000" w:themeColor="text1"/>
          <w:sz w:val="24"/>
          <w:szCs w:val="24"/>
        </w:rPr>
        <w:t>al dialysis-related peritonitis</w:t>
      </w:r>
    </w:p>
    <w:tbl>
      <w:tblPr>
        <w:tblStyle w:val="TableGrid"/>
        <w:tblpPr w:leftFromText="180" w:rightFromText="180" w:vertAnchor="page" w:horzAnchor="margin" w:tblpY="2376"/>
        <w:tblW w:w="9498" w:type="dxa"/>
        <w:tblLook w:val="04A0" w:firstRow="1" w:lastRow="0" w:firstColumn="1" w:lastColumn="0" w:noHBand="0" w:noVBand="1"/>
      </w:tblPr>
      <w:tblGrid>
        <w:gridCol w:w="2836"/>
        <w:gridCol w:w="3260"/>
        <w:gridCol w:w="3402"/>
      </w:tblGrid>
      <w:tr w:rsidR="00EE42F3" w:rsidRPr="008C0625" w:rsidTr="00EE42F3">
        <w:trPr>
          <w:trHeight w:val="123"/>
        </w:trPr>
        <w:tc>
          <w:tcPr>
            <w:tcW w:w="2836" w:type="dxa"/>
            <w:vMerge w:val="restart"/>
          </w:tcPr>
          <w:p w:rsidR="00EE42F3" w:rsidRPr="008C0625" w:rsidRDefault="00EE42F3" w:rsidP="008C0625">
            <w:pPr>
              <w:spacing w:after="0" w:line="360" w:lineRule="auto"/>
              <w:jc w:val="both"/>
              <w:rPr>
                <w:rFonts w:ascii="Book Antiqua" w:hAnsi="Book Antiqua"/>
                <w:b/>
                <w:color w:val="000000" w:themeColor="text1"/>
                <w:sz w:val="24"/>
                <w:szCs w:val="24"/>
                <w:lang w:val="pt-BR"/>
              </w:rPr>
            </w:pPr>
          </w:p>
        </w:tc>
        <w:tc>
          <w:tcPr>
            <w:tcW w:w="6662" w:type="dxa"/>
            <w:gridSpan w:val="2"/>
          </w:tcPr>
          <w:p w:rsidR="00EE42F3" w:rsidRPr="008C0625" w:rsidRDefault="00EE42F3" w:rsidP="008C0625">
            <w:pPr>
              <w:spacing w:after="0" w:line="360" w:lineRule="auto"/>
              <w:jc w:val="both"/>
              <w:rPr>
                <w:rFonts w:ascii="Book Antiqua" w:hAnsi="Book Antiqua"/>
                <w:b/>
                <w:color w:val="000000" w:themeColor="text1"/>
                <w:sz w:val="24"/>
                <w:szCs w:val="24"/>
              </w:rPr>
            </w:pPr>
            <w:r w:rsidRPr="008C0625">
              <w:rPr>
                <w:rFonts w:ascii="Book Antiqua" w:hAnsi="Book Antiqua"/>
                <w:b/>
                <w:color w:val="000000" w:themeColor="text1"/>
                <w:sz w:val="24"/>
                <w:szCs w:val="24"/>
              </w:rPr>
              <w:t>Monitoring the etiologies and antimicrobial resistance profile</w:t>
            </w:r>
          </w:p>
        </w:tc>
      </w:tr>
      <w:tr w:rsidR="00EE42F3" w:rsidRPr="008C0625" w:rsidTr="00EE42F3">
        <w:trPr>
          <w:trHeight w:val="122"/>
        </w:trPr>
        <w:tc>
          <w:tcPr>
            <w:tcW w:w="2836" w:type="dxa"/>
            <w:vMerge/>
          </w:tcPr>
          <w:p w:rsidR="00EE42F3" w:rsidRPr="008C0625" w:rsidRDefault="00EE42F3" w:rsidP="008C0625">
            <w:pPr>
              <w:spacing w:after="0" w:line="360" w:lineRule="auto"/>
              <w:jc w:val="both"/>
              <w:rPr>
                <w:rFonts w:ascii="Book Antiqua" w:hAnsi="Book Antiqua"/>
                <w:b/>
                <w:color w:val="000000" w:themeColor="text1"/>
                <w:sz w:val="24"/>
                <w:szCs w:val="24"/>
              </w:rPr>
            </w:pPr>
          </w:p>
        </w:tc>
        <w:tc>
          <w:tcPr>
            <w:tcW w:w="3260" w:type="dxa"/>
          </w:tcPr>
          <w:p w:rsidR="00EE42F3" w:rsidRPr="008C0625" w:rsidRDefault="00EE42F3" w:rsidP="008C0625">
            <w:pPr>
              <w:spacing w:after="0" w:line="360" w:lineRule="auto"/>
              <w:jc w:val="both"/>
              <w:rPr>
                <w:rFonts w:ascii="Book Antiqua" w:hAnsi="Book Antiqua"/>
                <w:b/>
                <w:color w:val="000000" w:themeColor="text1"/>
                <w:sz w:val="24"/>
                <w:szCs w:val="24"/>
              </w:rPr>
            </w:pPr>
            <w:r w:rsidRPr="008C0625">
              <w:rPr>
                <w:rFonts w:ascii="Book Antiqua" w:hAnsi="Book Antiqua"/>
                <w:b/>
                <w:color w:val="000000" w:themeColor="text1"/>
                <w:sz w:val="24"/>
                <w:szCs w:val="24"/>
              </w:rPr>
              <w:t>Yes</w:t>
            </w:r>
          </w:p>
        </w:tc>
        <w:tc>
          <w:tcPr>
            <w:tcW w:w="3402" w:type="dxa"/>
          </w:tcPr>
          <w:p w:rsidR="00EE42F3" w:rsidRPr="008C0625" w:rsidRDefault="00EE42F3" w:rsidP="008C0625">
            <w:pPr>
              <w:spacing w:after="0" w:line="360" w:lineRule="auto"/>
              <w:jc w:val="both"/>
              <w:rPr>
                <w:rFonts w:ascii="Book Antiqua" w:hAnsi="Book Antiqua"/>
                <w:b/>
                <w:color w:val="000000" w:themeColor="text1"/>
                <w:sz w:val="24"/>
                <w:szCs w:val="24"/>
              </w:rPr>
            </w:pPr>
            <w:r w:rsidRPr="008C0625">
              <w:rPr>
                <w:rFonts w:ascii="Book Antiqua" w:hAnsi="Book Antiqua"/>
                <w:b/>
                <w:color w:val="000000" w:themeColor="text1"/>
                <w:sz w:val="24"/>
                <w:szCs w:val="24"/>
              </w:rPr>
              <w:t>No</w:t>
            </w:r>
          </w:p>
        </w:tc>
      </w:tr>
      <w:tr w:rsidR="00EE42F3" w:rsidRPr="008C0625" w:rsidTr="00EE42F3">
        <w:tc>
          <w:tcPr>
            <w:tcW w:w="2836" w:type="dxa"/>
          </w:tcPr>
          <w:p w:rsidR="00EE42F3" w:rsidRPr="008C0625" w:rsidRDefault="00EE42F3"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rPr>
              <w:t>Initial (empirical) protocol</w:t>
            </w:r>
          </w:p>
        </w:tc>
        <w:tc>
          <w:tcPr>
            <w:tcW w:w="3260" w:type="dxa"/>
          </w:tcPr>
          <w:p w:rsidR="00EE42F3" w:rsidRPr="008C0625" w:rsidRDefault="00EE42F3"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rPr>
              <w:t xml:space="preserve">Start intraperitoneal antibiotics to cover gram-positive and gram roads, according to local microbiologic profile. </w:t>
            </w:r>
          </w:p>
        </w:tc>
        <w:tc>
          <w:tcPr>
            <w:tcW w:w="3402" w:type="dxa"/>
          </w:tcPr>
          <w:p w:rsidR="00EE42F3" w:rsidRPr="008C0625" w:rsidRDefault="00EE42F3"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rPr>
              <w:t>Start a glycopeptide (gram- positive coverage) plus ceftazidime (gram- negative coverage), both by intraperitoneal route</w:t>
            </w:r>
            <w:r w:rsidRPr="008C0625">
              <w:rPr>
                <w:rFonts w:ascii="Book Antiqua" w:hAnsi="Book Antiqua"/>
                <w:color w:val="000000" w:themeColor="text1"/>
                <w:sz w:val="24"/>
                <w:szCs w:val="24"/>
                <w:vertAlign w:val="superscript"/>
                <w:lang w:eastAsia="zh-CN"/>
              </w:rPr>
              <w:t>1</w:t>
            </w:r>
            <w:r w:rsidRPr="008C0625">
              <w:rPr>
                <w:rFonts w:ascii="Book Antiqua" w:hAnsi="Book Antiqua"/>
                <w:color w:val="000000" w:themeColor="text1"/>
                <w:sz w:val="24"/>
                <w:szCs w:val="24"/>
              </w:rPr>
              <w:t xml:space="preserve"> </w:t>
            </w:r>
          </w:p>
        </w:tc>
      </w:tr>
      <w:tr w:rsidR="00EE42F3" w:rsidRPr="008C0625" w:rsidTr="00EE42F3">
        <w:trPr>
          <w:trHeight w:val="123"/>
        </w:trPr>
        <w:tc>
          <w:tcPr>
            <w:tcW w:w="2836" w:type="dxa"/>
            <w:vMerge w:val="restart"/>
          </w:tcPr>
          <w:p w:rsidR="00EE42F3" w:rsidRPr="008C0625" w:rsidRDefault="00EE42F3"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rPr>
              <w:t xml:space="preserve">After results of culture and </w:t>
            </w:r>
            <w:r w:rsidRPr="008C0625">
              <w:rPr>
                <w:rFonts w:ascii="Book Antiqua" w:hAnsi="Book Antiqua"/>
                <w:i/>
                <w:color w:val="000000" w:themeColor="text1"/>
                <w:sz w:val="24"/>
                <w:szCs w:val="24"/>
              </w:rPr>
              <w:t>in vitro</w:t>
            </w:r>
            <w:r w:rsidRPr="008C0625">
              <w:rPr>
                <w:rFonts w:ascii="Book Antiqua" w:hAnsi="Book Antiqua"/>
                <w:color w:val="000000" w:themeColor="text1"/>
                <w:sz w:val="24"/>
                <w:szCs w:val="24"/>
              </w:rPr>
              <w:t xml:space="preserve"> susceptibility tests</w:t>
            </w:r>
          </w:p>
        </w:tc>
        <w:tc>
          <w:tcPr>
            <w:tcW w:w="3260" w:type="dxa"/>
          </w:tcPr>
          <w:p w:rsidR="00EE42F3" w:rsidRPr="008C0625" w:rsidRDefault="00EE42F3"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rPr>
              <w:t xml:space="preserve">Culture positive: adjust the treatment according to bacterial susceptibility. If </w:t>
            </w:r>
            <w:r w:rsidRPr="008C0625">
              <w:rPr>
                <w:rFonts w:ascii="Book Antiqua" w:hAnsi="Book Antiqua"/>
                <w:i/>
                <w:color w:val="000000" w:themeColor="text1"/>
                <w:sz w:val="24"/>
                <w:szCs w:val="24"/>
              </w:rPr>
              <w:t>Pseudomonas</w:t>
            </w:r>
            <w:r w:rsidRPr="008C0625">
              <w:rPr>
                <w:rFonts w:ascii="Book Antiqua" w:hAnsi="Book Antiqua"/>
                <w:color w:val="000000" w:themeColor="text1"/>
                <w:sz w:val="24"/>
                <w:szCs w:val="24"/>
              </w:rPr>
              <w:t xml:space="preserve"> </w:t>
            </w:r>
            <w:r w:rsidRPr="008C0625">
              <w:rPr>
                <w:rFonts w:ascii="Book Antiqua" w:hAnsi="Book Antiqua"/>
                <w:i/>
                <w:color w:val="000000" w:themeColor="text1"/>
                <w:sz w:val="24"/>
                <w:szCs w:val="24"/>
              </w:rPr>
              <w:t>spp</w:t>
            </w:r>
            <w:r w:rsidRPr="008C0625">
              <w:rPr>
                <w:rFonts w:ascii="Book Antiqua" w:hAnsi="Book Antiqua"/>
                <w:color w:val="000000" w:themeColor="text1"/>
                <w:sz w:val="24"/>
                <w:szCs w:val="24"/>
              </w:rPr>
              <w:t xml:space="preserve"> on culture,</w:t>
            </w:r>
            <w:r w:rsidRPr="008C0625">
              <w:rPr>
                <w:rFonts w:ascii="Book Antiqua" w:hAnsi="Book Antiqua"/>
                <w:i/>
                <w:color w:val="000000" w:themeColor="text1"/>
                <w:sz w:val="24"/>
                <w:szCs w:val="24"/>
              </w:rPr>
              <w:t xml:space="preserve"> </w:t>
            </w:r>
            <w:r w:rsidRPr="008C0625">
              <w:rPr>
                <w:rFonts w:ascii="Book Antiqua" w:hAnsi="Book Antiqua"/>
                <w:color w:val="000000" w:themeColor="text1"/>
                <w:sz w:val="24"/>
                <w:szCs w:val="24"/>
              </w:rPr>
              <w:t>add a second anti-</w:t>
            </w:r>
            <w:r w:rsidRPr="008C0625">
              <w:rPr>
                <w:rFonts w:ascii="Book Antiqua" w:hAnsi="Book Antiqua"/>
                <w:i/>
                <w:color w:val="000000" w:themeColor="text1"/>
                <w:sz w:val="24"/>
                <w:szCs w:val="24"/>
              </w:rPr>
              <w:t>pseudomonas</w:t>
            </w:r>
            <w:r w:rsidRPr="008C0625">
              <w:rPr>
                <w:rFonts w:ascii="Book Antiqua" w:hAnsi="Book Antiqua"/>
                <w:color w:val="000000" w:themeColor="text1"/>
                <w:sz w:val="24"/>
                <w:szCs w:val="24"/>
              </w:rPr>
              <w:t xml:space="preserve"> drug acting in different ways that organism is sensitive to</w:t>
            </w:r>
            <w:r w:rsidRPr="008C0625">
              <w:rPr>
                <w:rFonts w:ascii="Book Antiqua" w:hAnsi="Book Antiqua"/>
                <w:color w:val="000000" w:themeColor="text1"/>
                <w:sz w:val="24"/>
                <w:szCs w:val="24"/>
                <w:vertAlign w:val="superscript"/>
                <w:lang w:eastAsia="zh-CN"/>
              </w:rPr>
              <w:t>2</w:t>
            </w:r>
            <w:r w:rsidRPr="008C0625">
              <w:rPr>
                <w:rFonts w:ascii="Book Antiqua" w:hAnsi="Book Antiqua"/>
                <w:color w:val="000000" w:themeColor="text1"/>
                <w:sz w:val="24"/>
                <w:szCs w:val="24"/>
              </w:rPr>
              <w:t xml:space="preserve"> </w:t>
            </w:r>
          </w:p>
        </w:tc>
        <w:tc>
          <w:tcPr>
            <w:tcW w:w="3402" w:type="dxa"/>
          </w:tcPr>
          <w:p w:rsidR="00EE42F3" w:rsidRPr="008C0625" w:rsidRDefault="00EE42F3" w:rsidP="008C0625">
            <w:pPr>
              <w:spacing w:after="0" w:line="360" w:lineRule="auto"/>
              <w:jc w:val="both"/>
              <w:rPr>
                <w:rFonts w:ascii="Book Antiqua" w:hAnsi="Book Antiqua"/>
                <w:color w:val="000000" w:themeColor="text1"/>
                <w:sz w:val="24"/>
                <w:szCs w:val="24"/>
                <w:lang w:eastAsia="zh-CN"/>
              </w:rPr>
            </w:pPr>
            <w:r w:rsidRPr="008C0625">
              <w:rPr>
                <w:rFonts w:ascii="Book Antiqua" w:hAnsi="Book Antiqua"/>
                <w:color w:val="000000" w:themeColor="text1"/>
                <w:sz w:val="24"/>
                <w:szCs w:val="24"/>
              </w:rPr>
              <w:t xml:space="preserve"> Culture positive: adjust the treatment according to bacterial susceptibility. If </w:t>
            </w:r>
            <w:r w:rsidRPr="008C0625">
              <w:rPr>
                <w:rFonts w:ascii="Book Antiqua" w:hAnsi="Book Antiqua"/>
                <w:i/>
                <w:color w:val="000000" w:themeColor="text1"/>
                <w:sz w:val="24"/>
                <w:szCs w:val="24"/>
              </w:rPr>
              <w:t>Pseudomonas</w:t>
            </w:r>
            <w:r w:rsidRPr="008C0625">
              <w:rPr>
                <w:rFonts w:ascii="Book Antiqua" w:hAnsi="Book Antiqua"/>
                <w:color w:val="000000" w:themeColor="text1"/>
                <w:sz w:val="24"/>
                <w:szCs w:val="24"/>
              </w:rPr>
              <w:t xml:space="preserve"> </w:t>
            </w:r>
            <w:r w:rsidRPr="008C0625">
              <w:rPr>
                <w:rFonts w:ascii="Book Antiqua" w:hAnsi="Book Antiqua"/>
                <w:i/>
                <w:color w:val="000000" w:themeColor="text1"/>
                <w:sz w:val="24"/>
                <w:szCs w:val="24"/>
              </w:rPr>
              <w:t>spp</w:t>
            </w:r>
            <w:r w:rsidRPr="008C0625">
              <w:rPr>
                <w:rFonts w:ascii="Book Antiqua" w:hAnsi="Book Antiqua"/>
                <w:color w:val="000000" w:themeColor="text1"/>
                <w:sz w:val="24"/>
                <w:szCs w:val="24"/>
              </w:rPr>
              <w:t xml:space="preserve"> on culture,</w:t>
            </w:r>
            <w:r w:rsidRPr="008C0625">
              <w:rPr>
                <w:rFonts w:ascii="Book Antiqua" w:hAnsi="Book Antiqua"/>
                <w:i/>
                <w:color w:val="000000" w:themeColor="text1"/>
                <w:sz w:val="24"/>
                <w:szCs w:val="24"/>
              </w:rPr>
              <w:t xml:space="preserve"> </w:t>
            </w:r>
            <w:r w:rsidRPr="008C0625">
              <w:rPr>
                <w:rFonts w:ascii="Book Antiqua" w:hAnsi="Book Antiqua"/>
                <w:color w:val="000000" w:themeColor="text1"/>
                <w:sz w:val="24"/>
                <w:szCs w:val="24"/>
              </w:rPr>
              <w:t>add a second anti-</w:t>
            </w:r>
            <w:r w:rsidRPr="008C0625">
              <w:rPr>
                <w:rFonts w:ascii="Book Antiqua" w:hAnsi="Book Antiqua"/>
                <w:i/>
                <w:color w:val="000000" w:themeColor="text1"/>
                <w:sz w:val="24"/>
                <w:szCs w:val="24"/>
              </w:rPr>
              <w:t>pseudomonas</w:t>
            </w:r>
            <w:r w:rsidRPr="008C0625">
              <w:rPr>
                <w:rFonts w:ascii="Book Antiqua" w:hAnsi="Book Antiqua"/>
                <w:color w:val="000000" w:themeColor="text1"/>
                <w:sz w:val="24"/>
                <w:szCs w:val="24"/>
              </w:rPr>
              <w:t xml:space="preserve"> drug acting in different ways that organism is sensitive to</w:t>
            </w:r>
            <w:r w:rsidRPr="008C0625">
              <w:rPr>
                <w:rFonts w:ascii="Book Antiqua" w:hAnsi="Book Antiqua"/>
                <w:color w:val="000000" w:themeColor="text1"/>
                <w:sz w:val="24"/>
                <w:szCs w:val="24"/>
                <w:vertAlign w:val="superscript"/>
                <w:lang w:eastAsia="zh-CN"/>
              </w:rPr>
              <w:t>2</w:t>
            </w:r>
          </w:p>
        </w:tc>
      </w:tr>
      <w:tr w:rsidR="00EE42F3" w:rsidRPr="008C0625" w:rsidTr="00EE42F3">
        <w:trPr>
          <w:trHeight w:val="122"/>
        </w:trPr>
        <w:tc>
          <w:tcPr>
            <w:tcW w:w="2836" w:type="dxa"/>
            <w:vMerge/>
          </w:tcPr>
          <w:p w:rsidR="00EE42F3" w:rsidRPr="008C0625" w:rsidRDefault="00EE42F3" w:rsidP="008C0625">
            <w:pPr>
              <w:spacing w:after="0" w:line="360" w:lineRule="auto"/>
              <w:jc w:val="both"/>
              <w:rPr>
                <w:rFonts w:ascii="Book Antiqua" w:hAnsi="Book Antiqua"/>
                <w:color w:val="000000" w:themeColor="text1"/>
                <w:sz w:val="24"/>
                <w:szCs w:val="24"/>
              </w:rPr>
            </w:pPr>
          </w:p>
        </w:tc>
        <w:tc>
          <w:tcPr>
            <w:tcW w:w="3260" w:type="dxa"/>
          </w:tcPr>
          <w:p w:rsidR="00EE42F3" w:rsidRPr="008C0625" w:rsidRDefault="00EE42F3"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rPr>
              <w:t>Culture negative: continue initial antibiotics</w:t>
            </w:r>
          </w:p>
        </w:tc>
        <w:tc>
          <w:tcPr>
            <w:tcW w:w="3402" w:type="dxa"/>
          </w:tcPr>
          <w:p w:rsidR="00EE42F3" w:rsidRPr="008C0625" w:rsidRDefault="00EE42F3"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rPr>
              <w:t>Culture negative: continue initial antibiotics</w:t>
            </w:r>
          </w:p>
        </w:tc>
      </w:tr>
      <w:tr w:rsidR="00EE42F3" w:rsidRPr="008C0625" w:rsidTr="00EE42F3">
        <w:tc>
          <w:tcPr>
            <w:tcW w:w="2836" w:type="dxa"/>
            <w:vMerge w:val="restart"/>
          </w:tcPr>
          <w:p w:rsidR="00EE42F3" w:rsidRPr="008C0625" w:rsidRDefault="00EE42F3" w:rsidP="008C0625">
            <w:pPr>
              <w:spacing w:after="0" w:line="360" w:lineRule="auto"/>
              <w:jc w:val="both"/>
              <w:rPr>
                <w:rFonts w:ascii="Book Antiqua" w:hAnsi="Book Antiqua"/>
                <w:color w:val="000000" w:themeColor="text1"/>
                <w:sz w:val="24"/>
                <w:szCs w:val="24"/>
              </w:rPr>
            </w:pPr>
          </w:p>
          <w:p w:rsidR="00EE42F3" w:rsidRPr="008C0625" w:rsidRDefault="00EE42F3"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rPr>
              <w:t xml:space="preserve">Therapy duration </w:t>
            </w:r>
          </w:p>
        </w:tc>
        <w:tc>
          <w:tcPr>
            <w:tcW w:w="6662" w:type="dxa"/>
            <w:gridSpan w:val="2"/>
          </w:tcPr>
          <w:p w:rsidR="00EE42F3" w:rsidRPr="008C0625" w:rsidRDefault="00EE42F3" w:rsidP="008C0625">
            <w:pPr>
              <w:spacing w:after="0" w:line="360" w:lineRule="auto"/>
              <w:jc w:val="both"/>
              <w:rPr>
                <w:rFonts w:ascii="Book Antiqua" w:hAnsi="Book Antiqua"/>
                <w:color w:val="000000" w:themeColor="text1"/>
                <w:sz w:val="24"/>
                <w:szCs w:val="24"/>
              </w:rPr>
            </w:pPr>
            <w:r w:rsidRPr="008C0625">
              <w:rPr>
                <w:rFonts w:ascii="Book Antiqua" w:hAnsi="Book Antiqua"/>
                <w:i/>
                <w:color w:val="000000" w:themeColor="text1"/>
                <w:sz w:val="24"/>
                <w:szCs w:val="24"/>
              </w:rPr>
              <w:t>Pseudomonas spp</w:t>
            </w:r>
            <w:r w:rsidRPr="008C0625">
              <w:rPr>
                <w:rFonts w:ascii="Book Antiqua" w:hAnsi="Book Antiqua"/>
                <w:color w:val="000000" w:themeColor="text1"/>
                <w:sz w:val="24"/>
                <w:szCs w:val="24"/>
              </w:rPr>
              <w:t xml:space="preserve">, </w:t>
            </w:r>
            <w:r w:rsidRPr="008C0625">
              <w:rPr>
                <w:rFonts w:ascii="Book Antiqua" w:hAnsi="Book Antiqua"/>
                <w:i/>
                <w:color w:val="000000" w:themeColor="text1"/>
                <w:sz w:val="24"/>
                <w:szCs w:val="24"/>
              </w:rPr>
              <w:t>Enterococcus/Streptococcus spp</w:t>
            </w:r>
            <w:r w:rsidRPr="008C0625">
              <w:rPr>
                <w:rFonts w:ascii="Book Antiqua" w:hAnsi="Book Antiqua"/>
                <w:i/>
                <w:color w:val="000000" w:themeColor="text1"/>
                <w:sz w:val="24"/>
                <w:szCs w:val="24"/>
                <w:lang w:eastAsia="zh-CN"/>
              </w:rPr>
              <w:t xml:space="preserve"> </w:t>
            </w:r>
            <w:r w:rsidRPr="008C0625">
              <w:rPr>
                <w:rFonts w:ascii="Book Antiqua" w:hAnsi="Book Antiqua"/>
                <w:color w:val="000000" w:themeColor="text1"/>
                <w:sz w:val="24"/>
                <w:szCs w:val="24"/>
              </w:rPr>
              <w:t>= 21 d</w:t>
            </w:r>
          </w:p>
        </w:tc>
      </w:tr>
      <w:tr w:rsidR="00EE42F3" w:rsidRPr="008C0625" w:rsidTr="00EE42F3">
        <w:tc>
          <w:tcPr>
            <w:tcW w:w="2836" w:type="dxa"/>
            <w:vMerge/>
          </w:tcPr>
          <w:p w:rsidR="00EE42F3" w:rsidRPr="008C0625" w:rsidRDefault="00EE42F3" w:rsidP="008C0625">
            <w:pPr>
              <w:spacing w:after="0" w:line="360" w:lineRule="auto"/>
              <w:jc w:val="both"/>
              <w:rPr>
                <w:rFonts w:ascii="Book Antiqua" w:hAnsi="Book Antiqua"/>
                <w:color w:val="000000" w:themeColor="text1"/>
                <w:sz w:val="24"/>
                <w:szCs w:val="24"/>
              </w:rPr>
            </w:pPr>
          </w:p>
        </w:tc>
        <w:tc>
          <w:tcPr>
            <w:tcW w:w="6662" w:type="dxa"/>
            <w:gridSpan w:val="2"/>
          </w:tcPr>
          <w:p w:rsidR="00EE42F3" w:rsidRPr="008C0625" w:rsidRDefault="00EE42F3" w:rsidP="008C0625">
            <w:pPr>
              <w:spacing w:after="0" w:line="360" w:lineRule="auto"/>
              <w:jc w:val="both"/>
              <w:rPr>
                <w:rFonts w:ascii="Book Antiqua" w:hAnsi="Book Antiqua"/>
                <w:color w:val="000000" w:themeColor="text1"/>
                <w:sz w:val="24"/>
                <w:szCs w:val="24"/>
              </w:rPr>
            </w:pPr>
            <w:r w:rsidRPr="008C0625">
              <w:rPr>
                <w:rFonts w:ascii="Book Antiqua" w:hAnsi="Book Antiqua"/>
                <w:color w:val="000000" w:themeColor="text1"/>
                <w:sz w:val="24"/>
                <w:szCs w:val="24"/>
              </w:rPr>
              <w:t>Non-</w:t>
            </w:r>
            <w:r w:rsidRPr="008C0625">
              <w:rPr>
                <w:rFonts w:ascii="Book Antiqua" w:hAnsi="Book Antiqua"/>
                <w:i/>
                <w:color w:val="000000" w:themeColor="text1"/>
                <w:sz w:val="24"/>
                <w:szCs w:val="24"/>
              </w:rPr>
              <w:t>pseudomonas</w:t>
            </w:r>
            <w:r w:rsidRPr="008C0625">
              <w:rPr>
                <w:rFonts w:ascii="Book Antiqua" w:hAnsi="Book Antiqua"/>
                <w:color w:val="000000" w:themeColor="text1"/>
                <w:sz w:val="24"/>
                <w:szCs w:val="24"/>
              </w:rPr>
              <w:t xml:space="preserve"> single gram-negative = 14-21 d </w:t>
            </w:r>
          </w:p>
        </w:tc>
      </w:tr>
      <w:tr w:rsidR="00EE42F3" w:rsidRPr="008C0625" w:rsidTr="00EE42F3">
        <w:tc>
          <w:tcPr>
            <w:tcW w:w="2836" w:type="dxa"/>
            <w:vMerge/>
          </w:tcPr>
          <w:p w:rsidR="00EE42F3" w:rsidRPr="008C0625" w:rsidRDefault="00EE42F3" w:rsidP="008C0625">
            <w:pPr>
              <w:spacing w:after="0" w:line="360" w:lineRule="auto"/>
              <w:jc w:val="both"/>
              <w:rPr>
                <w:rFonts w:ascii="Book Antiqua" w:hAnsi="Book Antiqua"/>
                <w:color w:val="000000" w:themeColor="text1"/>
                <w:sz w:val="24"/>
                <w:szCs w:val="24"/>
              </w:rPr>
            </w:pPr>
          </w:p>
        </w:tc>
        <w:tc>
          <w:tcPr>
            <w:tcW w:w="6662" w:type="dxa"/>
            <w:gridSpan w:val="2"/>
          </w:tcPr>
          <w:p w:rsidR="00EE42F3" w:rsidRPr="008C0625" w:rsidRDefault="00EE42F3" w:rsidP="008C0625">
            <w:pPr>
              <w:spacing w:after="0" w:line="360" w:lineRule="auto"/>
              <w:jc w:val="both"/>
              <w:rPr>
                <w:rFonts w:ascii="Book Antiqua" w:hAnsi="Book Antiqua"/>
                <w:color w:val="000000" w:themeColor="text1"/>
                <w:sz w:val="24"/>
                <w:szCs w:val="24"/>
                <w:lang w:eastAsia="zh-CN"/>
              </w:rPr>
            </w:pPr>
            <w:r w:rsidRPr="008C0625">
              <w:rPr>
                <w:rFonts w:ascii="Book Antiqua" w:hAnsi="Book Antiqua"/>
                <w:color w:val="000000" w:themeColor="text1"/>
                <w:sz w:val="24"/>
                <w:szCs w:val="24"/>
              </w:rPr>
              <w:t>Culture negative, Coagulase negative staphylococcus, other gram-positive roads = 14</w:t>
            </w:r>
            <w:r w:rsidRPr="008C0625">
              <w:rPr>
                <w:rFonts w:ascii="Book Antiqua" w:hAnsi="Book Antiqua"/>
                <w:color w:val="000000" w:themeColor="text1"/>
                <w:sz w:val="24"/>
                <w:szCs w:val="24"/>
                <w:lang w:eastAsia="zh-CN"/>
              </w:rPr>
              <w:t xml:space="preserve"> d</w:t>
            </w:r>
          </w:p>
        </w:tc>
      </w:tr>
    </w:tbl>
    <w:p w:rsidR="00B64CF1" w:rsidRPr="008C0625" w:rsidRDefault="00B64CF1" w:rsidP="008C0625">
      <w:pPr>
        <w:spacing w:after="0" w:line="360" w:lineRule="auto"/>
        <w:jc w:val="both"/>
        <w:rPr>
          <w:rFonts w:ascii="Book Antiqua" w:hAnsi="Book Antiqua"/>
          <w:color w:val="000000" w:themeColor="text1"/>
          <w:sz w:val="24"/>
          <w:szCs w:val="24"/>
          <w:lang w:val="es-PE"/>
        </w:rPr>
      </w:pPr>
      <w:r w:rsidRPr="008C0625">
        <w:rPr>
          <w:rFonts w:ascii="Book Antiqua" w:hAnsi="Book Antiqua"/>
          <w:color w:val="000000" w:themeColor="text1"/>
          <w:sz w:val="24"/>
          <w:szCs w:val="24"/>
          <w:vertAlign w:val="superscript"/>
          <w:lang w:eastAsia="zh-CN"/>
        </w:rPr>
        <w:t>1</w:t>
      </w:r>
      <w:r w:rsidRPr="008C0625">
        <w:rPr>
          <w:rFonts w:ascii="Book Antiqua" w:hAnsi="Book Antiqua"/>
          <w:color w:val="000000" w:themeColor="text1"/>
          <w:sz w:val="24"/>
          <w:szCs w:val="24"/>
        </w:rPr>
        <w:t>Evidence-based medicine</w:t>
      </w:r>
      <w:r w:rsidRPr="008C0625">
        <w:rPr>
          <w:rFonts w:ascii="Book Antiqua" w:hAnsi="Book Antiqua"/>
          <w:color w:val="000000" w:themeColor="text1"/>
          <w:sz w:val="24"/>
          <w:szCs w:val="24"/>
          <w:lang w:eastAsia="zh-CN"/>
        </w:rPr>
        <w:t>;</w:t>
      </w:r>
      <w:r w:rsidRPr="008C0625">
        <w:rPr>
          <w:rFonts w:ascii="Book Antiqua" w:hAnsi="Book Antiqua"/>
          <w:color w:val="000000" w:themeColor="text1"/>
          <w:sz w:val="24"/>
          <w:szCs w:val="24"/>
        </w:rPr>
        <w:t xml:space="preserve"> </w:t>
      </w:r>
      <w:r w:rsidR="00EE42F3" w:rsidRPr="008C0625">
        <w:rPr>
          <w:rFonts w:ascii="Book Antiqua" w:hAnsi="Book Antiqua"/>
          <w:color w:val="000000" w:themeColor="text1"/>
          <w:sz w:val="24"/>
          <w:szCs w:val="24"/>
          <w:vertAlign w:val="superscript"/>
          <w:lang w:eastAsia="zh-CN"/>
        </w:rPr>
        <w:t>2</w:t>
      </w:r>
      <w:r w:rsidR="00EE42F3" w:rsidRPr="008C0625">
        <w:rPr>
          <w:rFonts w:ascii="Book Antiqua" w:hAnsi="Book Antiqua"/>
          <w:i/>
          <w:color w:val="000000" w:themeColor="text1"/>
          <w:sz w:val="24"/>
          <w:szCs w:val="24"/>
        </w:rPr>
        <w:t>E</w:t>
      </w:r>
      <w:r w:rsidRPr="008C0625">
        <w:rPr>
          <w:rFonts w:ascii="Book Antiqua" w:hAnsi="Book Antiqua"/>
          <w:i/>
          <w:color w:val="000000" w:themeColor="text1"/>
          <w:sz w:val="24"/>
          <w:szCs w:val="24"/>
        </w:rPr>
        <w:t>.g.</w:t>
      </w:r>
      <w:r w:rsidRPr="008C0625">
        <w:rPr>
          <w:rFonts w:ascii="Book Antiqua" w:hAnsi="Book Antiqua"/>
          <w:color w:val="000000" w:themeColor="text1"/>
          <w:sz w:val="24"/>
          <w:szCs w:val="24"/>
          <w:lang w:eastAsia="zh-CN"/>
        </w:rPr>
        <w:t>,</w:t>
      </w:r>
      <w:r w:rsidRPr="008C0625">
        <w:rPr>
          <w:rFonts w:ascii="Book Antiqua" w:hAnsi="Book Antiqua"/>
          <w:color w:val="000000" w:themeColor="text1"/>
          <w:sz w:val="24"/>
          <w:szCs w:val="24"/>
        </w:rPr>
        <w:t xml:space="preserve"> </w:t>
      </w:r>
      <w:r w:rsidRPr="008C0625">
        <w:rPr>
          <w:rFonts w:ascii="Book Antiqua" w:hAnsi="Book Antiqua"/>
          <w:color w:val="000000" w:themeColor="text1"/>
          <w:sz w:val="24"/>
          <w:szCs w:val="24"/>
          <w:lang w:val="es-PE"/>
        </w:rPr>
        <w:t>quinolone, ceftazidime, cefepime, amiglycoside, piperacillin.</w:t>
      </w:r>
    </w:p>
    <w:p w:rsidR="007B1032" w:rsidRPr="008C0625" w:rsidRDefault="007B1032" w:rsidP="008C0625">
      <w:pPr>
        <w:spacing w:after="0" w:line="360" w:lineRule="auto"/>
        <w:jc w:val="both"/>
        <w:rPr>
          <w:rFonts w:ascii="Book Antiqua" w:hAnsi="Book Antiqua"/>
          <w:color w:val="000000" w:themeColor="text1"/>
          <w:sz w:val="24"/>
          <w:szCs w:val="24"/>
          <w:lang w:val="es-PE" w:eastAsia="zh-CN"/>
        </w:rPr>
      </w:pPr>
    </w:p>
    <w:p w:rsidR="007B1032" w:rsidRPr="008C0625" w:rsidRDefault="007B1032" w:rsidP="008C0625">
      <w:pPr>
        <w:spacing w:after="0" w:line="360" w:lineRule="auto"/>
        <w:jc w:val="both"/>
        <w:rPr>
          <w:rFonts w:ascii="Book Antiqua" w:hAnsi="Book Antiqua"/>
          <w:color w:val="000000" w:themeColor="text1"/>
          <w:sz w:val="24"/>
          <w:szCs w:val="24"/>
        </w:rPr>
      </w:pPr>
    </w:p>
    <w:p w:rsidR="009147C1" w:rsidRPr="008C0625" w:rsidRDefault="009147C1" w:rsidP="008C0625">
      <w:pPr>
        <w:spacing w:after="0" w:line="360" w:lineRule="auto"/>
        <w:jc w:val="both"/>
        <w:rPr>
          <w:rFonts w:ascii="Book Antiqua" w:hAnsi="Book Antiqua" w:cs="Times New Roman"/>
          <w:b/>
          <w:color w:val="000000" w:themeColor="text1"/>
          <w:sz w:val="24"/>
          <w:szCs w:val="24"/>
        </w:rPr>
      </w:pPr>
    </w:p>
    <w:p w:rsidR="009147C1" w:rsidRPr="008C0625" w:rsidRDefault="00B64CF1" w:rsidP="008C0625">
      <w:pPr>
        <w:spacing w:after="0" w:line="360" w:lineRule="auto"/>
        <w:jc w:val="both"/>
        <w:rPr>
          <w:rFonts w:ascii="Book Antiqua" w:hAnsi="Book Antiqua" w:cs="Times New Roman"/>
          <w:b/>
          <w:color w:val="000000" w:themeColor="text1"/>
          <w:sz w:val="24"/>
          <w:szCs w:val="24"/>
          <w:lang w:eastAsia="zh-CN"/>
        </w:rPr>
      </w:pPr>
      <w:r w:rsidRPr="008C0625">
        <w:rPr>
          <w:rFonts w:ascii="Book Antiqua" w:hAnsi="Book Antiqua" w:cs="Times New Roman"/>
          <w:b/>
          <w:color w:val="000000" w:themeColor="text1"/>
          <w:sz w:val="24"/>
          <w:szCs w:val="24"/>
        </w:rPr>
        <w:t>Figure 1</w:t>
      </w:r>
      <w:r w:rsidR="009147C1" w:rsidRPr="008C0625">
        <w:rPr>
          <w:rFonts w:ascii="Book Antiqua" w:hAnsi="Book Antiqua" w:cs="Times New Roman"/>
          <w:b/>
          <w:color w:val="000000" w:themeColor="text1"/>
          <w:sz w:val="24"/>
          <w:szCs w:val="24"/>
        </w:rPr>
        <w:t xml:space="preserve"> Combined resolution rate and 95% confidence intervals of studies on initial treatment of peritoneal dialysis-related peritonitis with ceftazidime plus a glycopeptide </w:t>
      </w:r>
      <w:r w:rsidR="009147C1" w:rsidRPr="008C0625">
        <w:rPr>
          <w:rFonts w:ascii="Book Antiqua" w:hAnsi="Book Antiqua" w:cs="Times New Roman"/>
          <w:b/>
          <w:i/>
          <w:color w:val="000000" w:themeColor="text1"/>
          <w:sz w:val="24"/>
          <w:szCs w:val="24"/>
        </w:rPr>
        <w:t>vs</w:t>
      </w:r>
      <w:r w:rsidR="009147C1" w:rsidRPr="008C0625">
        <w:rPr>
          <w:rFonts w:ascii="Book Antiqua" w:hAnsi="Book Antiqua" w:cs="Times New Roman"/>
          <w:b/>
          <w:color w:val="000000" w:themeColor="text1"/>
          <w:sz w:val="24"/>
          <w:szCs w:val="24"/>
        </w:rPr>
        <w:t xml:space="preserve"> a first generation cephalosporin plus an aminoglycoside.</w:t>
      </w:r>
    </w:p>
    <w:p w:rsidR="009147C1" w:rsidRPr="008C0625" w:rsidRDefault="009147C1" w:rsidP="008C0625">
      <w:pPr>
        <w:spacing w:after="0" w:line="360" w:lineRule="auto"/>
        <w:jc w:val="both"/>
        <w:rPr>
          <w:rFonts w:ascii="Book Antiqua" w:hAnsi="Book Antiqua" w:cs="Times New Roman"/>
          <w:color w:val="000000" w:themeColor="text1"/>
          <w:sz w:val="24"/>
          <w:szCs w:val="24"/>
        </w:rPr>
      </w:pPr>
    </w:p>
    <w:p w:rsidR="009147C1" w:rsidRPr="008C0625" w:rsidRDefault="009147C1" w:rsidP="008C0625">
      <w:pPr>
        <w:spacing w:after="0" w:line="360" w:lineRule="auto"/>
        <w:jc w:val="both"/>
        <w:rPr>
          <w:rFonts w:ascii="Book Antiqua" w:hAnsi="Book Antiqua" w:cs="Times New Roman"/>
          <w:b/>
          <w:color w:val="000000" w:themeColor="text1"/>
          <w:sz w:val="24"/>
          <w:szCs w:val="24"/>
        </w:rPr>
      </w:pPr>
      <w:r w:rsidRPr="008C0625">
        <w:rPr>
          <w:rFonts w:ascii="Book Antiqua" w:hAnsi="Book Antiqua" w:cs="Times New Roman"/>
          <w:b/>
          <w:noProof/>
          <w:color w:val="000000" w:themeColor="text1"/>
          <w:sz w:val="24"/>
          <w:szCs w:val="24"/>
        </w:rPr>
        <w:drawing>
          <wp:inline distT="0" distB="0" distL="0" distR="0" wp14:anchorId="366932EB" wp14:editId="7CD334EA">
            <wp:extent cx="5400040" cy="2738120"/>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738120"/>
                    </a:xfrm>
                    <a:prstGeom prst="rect">
                      <a:avLst/>
                    </a:prstGeom>
                  </pic:spPr>
                </pic:pic>
              </a:graphicData>
            </a:graphic>
          </wp:inline>
        </w:drawing>
      </w:r>
    </w:p>
    <w:p w:rsidR="009147C1" w:rsidRPr="008C0625" w:rsidRDefault="009147C1" w:rsidP="008C0625">
      <w:pPr>
        <w:spacing w:after="0" w:line="360" w:lineRule="auto"/>
        <w:jc w:val="both"/>
        <w:rPr>
          <w:rFonts w:ascii="Book Antiqua" w:hAnsi="Book Antiqua" w:cs="Times New Roman"/>
          <w:b/>
          <w:color w:val="000000" w:themeColor="text1"/>
          <w:sz w:val="24"/>
          <w:szCs w:val="24"/>
        </w:rPr>
      </w:pPr>
    </w:p>
    <w:p w:rsidR="009147C1" w:rsidRPr="008C0625" w:rsidRDefault="00B64CF1" w:rsidP="008C0625">
      <w:pPr>
        <w:spacing w:after="0" w:line="360" w:lineRule="auto"/>
        <w:jc w:val="both"/>
        <w:rPr>
          <w:rFonts w:ascii="Book Antiqua" w:hAnsi="Book Antiqua" w:cs="Times New Roman"/>
          <w:color w:val="000000" w:themeColor="text1"/>
          <w:sz w:val="24"/>
          <w:szCs w:val="24"/>
        </w:rPr>
      </w:pPr>
      <w:r w:rsidRPr="008C0625">
        <w:rPr>
          <w:rFonts w:ascii="Book Antiqua" w:hAnsi="Book Antiqua" w:cs="Times New Roman"/>
          <w:b/>
          <w:color w:val="000000" w:themeColor="text1"/>
          <w:sz w:val="24"/>
          <w:szCs w:val="24"/>
        </w:rPr>
        <w:t>Figure 2</w:t>
      </w:r>
      <w:r w:rsidR="009147C1" w:rsidRPr="008C0625">
        <w:rPr>
          <w:rFonts w:ascii="Book Antiqua" w:hAnsi="Book Antiqua" w:cs="Times New Roman"/>
          <w:b/>
          <w:color w:val="000000" w:themeColor="text1"/>
          <w:sz w:val="24"/>
          <w:szCs w:val="24"/>
        </w:rPr>
        <w:t xml:space="preserve"> Combined resolution rate and 95% confidence intervals of studies on initial treatment of peritoneal dialysis-related peritonitis with ceftazidime plus a glycopeptide </w:t>
      </w:r>
      <w:r w:rsidR="009147C1" w:rsidRPr="008C0625">
        <w:rPr>
          <w:rFonts w:ascii="Book Antiqua" w:hAnsi="Book Antiqua" w:cs="Times New Roman"/>
          <w:b/>
          <w:i/>
          <w:color w:val="000000" w:themeColor="text1"/>
          <w:sz w:val="24"/>
          <w:szCs w:val="24"/>
        </w:rPr>
        <w:t>vs</w:t>
      </w:r>
      <w:r w:rsidR="009147C1" w:rsidRPr="008C0625">
        <w:rPr>
          <w:rFonts w:ascii="Book Antiqua" w:hAnsi="Book Antiqua" w:cs="Times New Roman"/>
          <w:b/>
          <w:color w:val="000000" w:themeColor="text1"/>
          <w:sz w:val="24"/>
          <w:szCs w:val="24"/>
        </w:rPr>
        <w:t xml:space="preserve"> a glycopeptide plus an aminoglycoside.</w:t>
      </w:r>
    </w:p>
    <w:p w:rsidR="009147C1" w:rsidRPr="008C0625" w:rsidRDefault="009147C1" w:rsidP="008C0625">
      <w:pPr>
        <w:spacing w:after="0" w:line="360" w:lineRule="auto"/>
        <w:jc w:val="both"/>
        <w:rPr>
          <w:rFonts w:ascii="Book Antiqua" w:hAnsi="Book Antiqua" w:cs="Times New Roman"/>
          <w:b/>
          <w:color w:val="000000" w:themeColor="text1"/>
          <w:sz w:val="24"/>
          <w:szCs w:val="24"/>
        </w:rPr>
      </w:pPr>
      <w:r w:rsidRPr="008C0625">
        <w:rPr>
          <w:rFonts w:ascii="Book Antiqua" w:hAnsi="Book Antiqua" w:cs="Times New Roman"/>
          <w:b/>
          <w:noProof/>
          <w:color w:val="000000" w:themeColor="text1"/>
          <w:sz w:val="24"/>
          <w:szCs w:val="24"/>
        </w:rPr>
        <w:drawing>
          <wp:inline distT="0" distB="0" distL="0" distR="0" wp14:anchorId="4DA1E327" wp14:editId="56942975">
            <wp:extent cx="5400040" cy="25209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2520950"/>
                    </a:xfrm>
                    <a:prstGeom prst="rect">
                      <a:avLst/>
                    </a:prstGeom>
                  </pic:spPr>
                </pic:pic>
              </a:graphicData>
            </a:graphic>
          </wp:inline>
        </w:drawing>
      </w:r>
    </w:p>
    <w:p w:rsidR="009147C1" w:rsidRPr="008C0625" w:rsidRDefault="009147C1" w:rsidP="008C0625">
      <w:pPr>
        <w:spacing w:after="0" w:line="360" w:lineRule="auto"/>
        <w:jc w:val="both"/>
        <w:rPr>
          <w:rFonts w:ascii="Book Antiqua" w:hAnsi="Book Antiqua" w:cs="Times New Roman"/>
          <w:b/>
          <w:color w:val="000000" w:themeColor="text1"/>
          <w:sz w:val="24"/>
          <w:szCs w:val="24"/>
        </w:rPr>
      </w:pPr>
    </w:p>
    <w:p w:rsidR="009147C1" w:rsidRPr="008C0625" w:rsidRDefault="009147C1" w:rsidP="008C0625">
      <w:pPr>
        <w:spacing w:after="0" w:line="360" w:lineRule="auto"/>
        <w:jc w:val="both"/>
        <w:rPr>
          <w:rFonts w:ascii="Book Antiqua" w:hAnsi="Book Antiqua" w:cs="Times New Roman"/>
          <w:b/>
          <w:color w:val="000000" w:themeColor="text1"/>
          <w:sz w:val="24"/>
          <w:szCs w:val="24"/>
        </w:rPr>
      </w:pPr>
    </w:p>
    <w:sectPr w:rsidR="009147C1" w:rsidRPr="008C0625" w:rsidSect="007C6E22">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77" w:rsidRDefault="00556777" w:rsidP="002C2BA9">
      <w:pPr>
        <w:spacing w:after="0" w:line="240" w:lineRule="auto"/>
      </w:pPr>
      <w:r>
        <w:separator/>
      </w:r>
    </w:p>
  </w:endnote>
  <w:endnote w:type="continuationSeparator" w:id="0">
    <w:p w:rsidR="00556777" w:rsidRDefault="00556777" w:rsidP="002C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87258"/>
      <w:docPartObj>
        <w:docPartGallery w:val="Page Numbers (Bottom of Page)"/>
        <w:docPartUnique/>
      </w:docPartObj>
    </w:sdtPr>
    <w:sdtEndPr/>
    <w:sdtContent>
      <w:p w:rsidR="008C0625" w:rsidRDefault="008C0625">
        <w:pPr>
          <w:pStyle w:val="Footer"/>
          <w:jc w:val="center"/>
        </w:pPr>
        <w:r>
          <w:fldChar w:fldCharType="begin"/>
        </w:r>
        <w:r>
          <w:instrText>PAGE   \* MERGEFORMAT</w:instrText>
        </w:r>
        <w:r>
          <w:fldChar w:fldCharType="separate"/>
        </w:r>
        <w:r w:rsidR="0038085E" w:rsidRPr="0038085E">
          <w:rPr>
            <w:noProof/>
            <w:lang w:val="pt-BR"/>
          </w:rPr>
          <w:t>1</w:t>
        </w:r>
        <w:r>
          <w:fldChar w:fldCharType="end"/>
        </w:r>
      </w:p>
    </w:sdtContent>
  </w:sdt>
  <w:p w:rsidR="008C0625" w:rsidRDefault="008C06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77" w:rsidRDefault="00556777" w:rsidP="002C2BA9">
      <w:pPr>
        <w:spacing w:after="0" w:line="240" w:lineRule="auto"/>
      </w:pPr>
      <w:r>
        <w:separator/>
      </w:r>
    </w:p>
  </w:footnote>
  <w:footnote w:type="continuationSeparator" w:id="0">
    <w:p w:rsidR="00556777" w:rsidRDefault="00556777" w:rsidP="002C2B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E1075"/>
    <w:multiLevelType w:val="hybridMultilevel"/>
    <w:tmpl w:val="8CAE6550"/>
    <w:lvl w:ilvl="0" w:tplc="13F62EF0">
      <w:start w:val="1"/>
      <w:numFmt w:val="decimal"/>
      <w:lvlText w:val="%1."/>
      <w:lvlJc w:val="left"/>
      <w:pPr>
        <w:ind w:left="2430" w:hanging="360"/>
      </w:pPr>
      <w:rPr>
        <w:rFonts w:hint="default"/>
        <w:b w:val="0"/>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C1"/>
    <w:rsid w:val="00041142"/>
    <w:rsid w:val="0008316A"/>
    <w:rsid w:val="000933B8"/>
    <w:rsid w:val="000A639C"/>
    <w:rsid w:val="000E7D0C"/>
    <w:rsid w:val="0018422D"/>
    <w:rsid w:val="001D2EB8"/>
    <w:rsid w:val="0023160C"/>
    <w:rsid w:val="002419F9"/>
    <w:rsid w:val="0025224D"/>
    <w:rsid w:val="00267EEC"/>
    <w:rsid w:val="002868F6"/>
    <w:rsid w:val="0029137C"/>
    <w:rsid w:val="002C2BA9"/>
    <w:rsid w:val="0038085E"/>
    <w:rsid w:val="00384515"/>
    <w:rsid w:val="003D0EBE"/>
    <w:rsid w:val="003E1020"/>
    <w:rsid w:val="003F024D"/>
    <w:rsid w:val="00445537"/>
    <w:rsid w:val="004668A5"/>
    <w:rsid w:val="00497249"/>
    <w:rsid w:val="004F4845"/>
    <w:rsid w:val="00556777"/>
    <w:rsid w:val="00571E08"/>
    <w:rsid w:val="0058011A"/>
    <w:rsid w:val="00586AC7"/>
    <w:rsid w:val="00641977"/>
    <w:rsid w:val="00647F6E"/>
    <w:rsid w:val="00675A52"/>
    <w:rsid w:val="00715CDF"/>
    <w:rsid w:val="00743537"/>
    <w:rsid w:val="007A5A78"/>
    <w:rsid w:val="007B1032"/>
    <w:rsid w:val="007C6E22"/>
    <w:rsid w:val="007F7959"/>
    <w:rsid w:val="0082519E"/>
    <w:rsid w:val="008B4FA6"/>
    <w:rsid w:val="008C0625"/>
    <w:rsid w:val="008D62EF"/>
    <w:rsid w:val="008E03E9"/>
    <w:rsid w:val="008E4495"/>
    <w:rsid w:val="00913D03"/>
    <w:rsid w:val="009147C1"/>
    <w:rsid w:val="009418F8"/>
    <w:rsid w:val="00963019"/>
    <w:rsid w:val="00A04AA1"/>
    <w:rsid w:val="00A85A44"/>
    <w:rsid w:val="00A95A0E"/>
    <w:rsid w:val="00A97525"/>
    <w:rsid w:val="00AA0D54"/>
    <w:rsid w:val="00AA0E23"/>
    <w:rsid w:val="00B044EA"/>
    <w:rsid w:val="00B50627"/>
    <w:rsid w:val="00B64CF1"/>
    <w:rsid w:val="00B77D53"/>
    <w:rsid w:val="00BA3B9F"/>
    <w:rsid w:val="00BC759C"/>
    <w:rsid w:val="00C44C6C"/>
    <w:rsid w:val="00C725C1"/>
    <w:rsid w:val="00CB4B87"/>
    <w:rsid w:val="00CC1EF2"/>
    <w:rsid w:val="00CF0BA9"/>
    <w:rsid w:val="00D27816"/>
    <w:rsid w:val="00D672FB"/>
    <w:rsid w:val="00DE1BD0"/>
    <w:rsid w:val="00E00A77"/>
    <w:rsid w:val="00E470A3"/>
    <w:rsid w:val="00E52967"/>
    <w:rsid w:val="00EB59F5"/>
    <w:rsid w:val="00EE42F3"/>
    <w:rsid w:val="00FB5E07"/>
    <w:rsid w:val="00FC161E"/>
    <w:rsid w:val="00FE2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C1"/>
    <w:pPr>
      <w:spacing w:after="160" w:line="259" w:lineRule="auto"/>
    </w:pPr>
  </w:style>
  <w:style w:type="paragraph" w:styleId="Heading1">
    <w:name w:val="heading 1"/>
    <w:basedOn w:val="Normal"/>
    <w:next w:val="Normal"/>
    <w:link w:val="Heading1Char"/>
    <w:qFormat/>
    <w:rsid w:val="009147C1"/>
    <w:pPr>
      <w:keepNext/>
      <w:widowControl w:val="0"/>
      <w:autoSpaceDE w:val="0"/>
      <w:autoSpaceDN w:val="0"/>
      <w:adjustRightInd w:val="0"/>
      <w:spacing w:after="0" w:line="360" w:lineRule="auto"/>
      <w:jc w:val="both"/>
      <w:outlineLvl w:val="0"/>
    </w:pPr>
    <w:rPr>
      <w:rFonts w:ascii="Arial" w:eastAsia="Times New Roman" w:hAnsi="Arial" w:cs="Times New Roman"/>
      <w:b/>
      <w:bCs/>
      <w:noProof/>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7C1"/>
    <w:rPr>
      <w:rFonts w:ascii="Arial" w:eastAsia="Times New Roman" w:hAnsi="Arial" w:cs="Times New Roman"/>
      <w:b/>
      <w:bCs/>
      <w:noProof/>
      <w:sz w:val="24"/>
      <w:szCs w:val="24"/>
      <w:lang w:val="pt-BR" w:eastAsia="pt-BR"/>
    </w:rPr>
  </w:style>
  <w:style w:type="paragraph" w:styleId="Header">
    <w:name w:val="header"/>
    <w:basedOn w:val="Normal"/>
    <w:link w:val="HeaderChar"/>
    <w:uiPriority w:val="99"/>
    <w:unhideWhenUsed/>
    <w:rsid w:val="009147C1"/>
    <w:pPr>
      <w:tabs>
        <w:tab w:val="center" w:pos="4252"/>
        <w:tab w:val="right" w:pos="8504"/>
      </w:tabs>
      <w:spacing w:after="0" w:line="240" w:lineRule="auto"/>
    </w:pPr>
  </w:style>
  <w:style w:type="character" w:customStyle="1" w:styleId="HeaderChar">
    <w:name w:val="Header Char"/>
    <w:basedOn w:val="DefaultParagraphFont"/>
    <w:link w:val="Header"/>
    <w:uiPriority w:val="99"/>
    <w:rsid w:val="009147C1"/>
  </w:style>
  <w:style w:type="paragraph" w:styleId="Footer">
    <w:name w:val="footer"/>
    <w:basedOn w:val="Normal"/>
    <w:link w:val="FooterChar"/>
    <w:uiPriority w:val="99"/>
    <w:unhideWhenUsed/>
    <w:rsid w:val="009147C1"/>
    <w:pPr>
      <w:tabs>
        <w:tab w:val="center" w:pos="4252"/>
        <w:tab w:val="right" w:pos="8504"/>
      </w:tabs>
      <w:spacing w:after="0" w:line="240" w:lineRule="auto"/>
    </w:pPr>
  </w:style>
  <w:style w:type="character" w:customStyle="1" w:styleId="FooterChar">
    <w:name w:val="Footer Char"/>
    <w:basedOn w:val="DefaultParagraphFont"/>
    <w:link w:val="Footer"/>
    <w:uiPriority w:val="99"/>
    <w:rsid w:val="009147C1"/>
  </w:style>
  <w:style w:type="paragraph" w:customStyle="1" w:styleId="Preformatted">
    <w:name w:val="Preformatted"/>
    <w:basedOn w:val="Normal"/>
    <w:rsid w:val="009147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pt-BR" w:eastAsia="pt-BR"/>
    </w:rPr>
  </w:style>
  <w:style w:type="character" w:styleId="Hyperlink">
    <w:name w:val="Hyperlink"/>
    <w:basedOn w:val="DefaultParagraphFont"/>
    <w:uiPriority w:val="99"/>
    <w:unhideWhenUsed/>
    <w:rsid w:val="009147C1"/>
    <w:rPr>
      <w:color w:val="0000FF" w:themeColor="hyperlink"/>
      <w:u w:val="single"/>
    </w:rPr>
  </w:style>
  <w:style w:type="character" w:customStyle="1" w:styleId="apple-converted-space">
    <w:name w:val="apple-converted-space"/>
    <w:basedOn w:val="DefaultParagraphFont"/>
    <w:rsid w:val="009147C1"/>
  </w:style>
  <w:style w:type="character" w:customStyle="1" w:styleId="jrnl">
    <w:name w:val="jrnl"/>
    <w:basedOn w:val="DefaultParagraphFont"/>
    <w:rsid w:val="009147C1"/>
  </w:style>
  <w:style w:type="character" w:customStyle="1" w:styleId="italic">
    <w:name w:val="italic"/>
    <w:basedOn w:val="DefaultParagraphFont"/>
    <w:rsid w:val="009147C1"/>
    <w:rPr>
      <w:i/>
      <w:iCs/>
    </w:rPr>
  </w:style>
  <w:style w:type="paragraph" w:styleId="BalloonText">
    <w:name w:val="Balloon Text"/>
    <w:basedOn w:val="Normal"/>
    <w:link w:val="BalloonTextChar"/>
    <w:uiPriority w:val="99"/>
    <w:semiHidden/>
    <w:unhideWhenUsed/>
    <w:rsid w:val="0091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C1"/>
    <w:rPr>
      <w:rFonts w:ascii="Tahoma" w:hAnsi="Tahoma" w:cs="Tahoma"/>
      <w:sz w:val="16"/>
      <w:szCs w:val="16"/>
    </w:rPr>
  </w:style>
  <w:style w:type="character" w:styleId="CommentReference">
    <w:name w:val="annotation reference"/>
    <w:basedOn w:val="DefaultParagraphFont"/>
    <w:uiPriority w:val="99"/>
    <w:semiHidden/>
    <w:unhideWhenUsed/>
    <w:rsid w:val="009147C1"/>
    <w:rPr>
      <w:sz w:val="16"/>
      <w:szCs w:val="16"/>
    </w:rPr>
  </w:style>
  <w:style w:type="paragraph" w:styleId="CommentText">
    <w:name w:val="annotation text"/>
    <w:basedOn w:val="Normal"/>
    <w:link w:val="CommentTextChar"/>
    <w:unhideWhenUsed/>
    <w:rsid w:val="009147C1"/>
    <w:pPr>
      <w:spacing w:line="240" w:lineRule="auto"/>
    </w:pPr>
    <w:rPr>
      <w:sz w:val="20"/>
      <w:szCs w:val="20"/>
    </w:rPr>
  </w:style>
  <w:style w:type="character" w:customStyle="1" w:styleId="CommentTextChar">
    <w:name w:val="Comment Text Char"/>
    <w:basedOn w:val="DefaultParagraphFont"/>
    <w:link w:val="CommentText"/>
    <w:rsid w:val="009147C1"/>
    <w:rPr>
      <w:sz w:val="20"/>
      <w:szCs w:val="20"/>
    </w:rPr>
  </w:style>
  <w:style w:type="character" w:customStyle="1" w:styleId="CommentSubjectChar">
    <w:name w:val="Comment Subject Char"/>
    <w:basedOn w:val="CommentTextChar"/>
    <w:link w:val="CommentSubject"/>
    <w:uiPriority w:val="99"/>
    <w:semiHidden/>
    <w:rsid w:val="009147C1"/>
    <w:rPr>
      <w:b/>
      <w:bCs/>
      <w:sz w:val="20"/>
      <w:szCs w:val="20"/>
    </w:rPr>
  </w:style>
  <w:style w:type="paragraph" w:styleId="CommentSubject">
    <w:name w:val="annotation subject"/>
    <w:basedOn w:val="CommentText"/>
    <w:next w:val="CommentText"/>
    <w:link w:val="CommentSubjectChar"/>
    <w:uiPriority w:val="99"/>
    <w:semiHidden/>
    <w:unhideWhenUsed/>
    <w:rsid w:val="009147C1"/>
    <w:rPr>
      <w:b/>
      <w:bCs/>
    </w:rPr>
  </w:style>
  <w:style w:type="character" w:styleId="Strong">
    <w:name w:val="Strong"/>
    <w:basedOn w:val="DefaultParagraphFont"/>
    <w:qFormat/>
    <w:rsid w:val="009147C1"/>
    <w:rPr>
      <w:b/>
      <w:bCs/>
    </w:rPr>
  </w:style>
  <w:style w:type="character" w:customStyle="1" w:styleId="txt">
    <w:name w:val="txt"/>
    <w:rsid w:val="009147C1"/>
  </w:style>
  <w:style w:type="character" w:customStyle="1" w:styleId="txtbold">
    <w:name w:val="txtbold"/>
    <w:rsid w:val="009147C1"/>
  </w:style>
  <w:style w:type="character" w:styleId="LineNumber">
    <w:name w:val="line number"/>
    <w:basedOn w:val="DefaultParagraphFont"/>
    <w:uiPriority w:val="99"/>
    <w:semiHidden/>
    <w:unhideWhenUsed/>
    <w:rsid w:val="00C44C6C"/>
  </w:style>
  <w:style w:type="table" w:styleId="TableGrid">
    <w:name w:val="Table Grid"/>
    <w:basedOn w:val="TableNormal"/>
    <w:uiPriority w:val="59"/>
    <w:rsid w:val="007B1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8C0625"/>
    <w:pPr>
      <w:widowControl w:val="0"/>
      <w:spacing w:after="120" w:line="240" w:lineRule="auto"/>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8C0625"/>
    <w:rPr>
      <w:rFonts w:ascii="Book Antiqua" w:hAnsi="Book Antiqua" w:cs="Times New Roman"/>
      <w:sz w:val="20"/>
      <w:szCs w:val="20"/>
      <w:lang w:eastAsia="ja-JP"/>
    </w:rPr>
  </w:style>
  <w:style w:type="character" w:styleId="Emphasis">
    <w:name w:val="Emphasis"/>
    <w:qFormat/>
    <w:rsid w:val="0038085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C1"/>
    <w:pPr>
      <w:spacing w:after="160" w:line="259" w:lineRule="auto"/>
    </w:pPr>
  </w:style>
  <w:style w:type="paragraph" w:styleId="Heading1">
    <w:name w:val="heading 1"/>
    <w:basedOn w:val="Normal"/>
    <w:next w:val="Normal"/>
    <w:link w:val="Heading1Char"/>
    <w:qFormat/>
    <w:rsid w:val="009147C1"/>
    <w:pPr>
      <w:keepNext/>
      <w:widowControl w:val="0"/>
      <w:autoSpaceDE w:val="0"/>
      <w:autoSpaceDN w:val="0"/>
      <w:adjustRightInd w:val="0"/>
      <w:spacing w:after="0" w:line="360" w:lineRule="auto"/>
      <w:jc w:val="both"/>
      <w:outlineLvl w:val="0"/>
    </w:pPr>
    <w:rPr>
      <w:rFonts w:ascii="Arial" w:eastAsia="Times New Roman" w:hAnsi="Arial" w:cs="Times New Roman"/>
      <w:b/>
      <w:bCs/>
      <w:noProof/>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7C1"/>
    <w:rPr>
      <w:rFonts w:ascii="Arial" w:eastAsia="Times New Roman" w:hAnsi="Arial" w:cs="Times New Roman"/>
      <w:b/>
      <w:bCs/>
      <w:noProof/>
      <w:sz w:val="24"/>
      <w:szCs w:val="24"/>
      <w:lang w:val="pt-BR" w:eastAsia="pt-BR"/>
    </w:rPr>
  </w:style>
  <w:style w:type="paragraph" w:styleId="Header">
    <w:name w:val="header"/>
    <w:basedOn w:val="Normal"/>
    <w:link w:val="HeaderChar"/>
    <w:uiPriority w:val="99"/>
    <w:unhideWhenUsed/>
    <w:rsid w:val="009147C1"/>
    <w:pPr>
      <w:tabs>
        <w:tab w:val="center" w:pos="4252"/>
        <w:tab w:val="right" w:pos="8504"/>
      </w:tabs>
      <w:spacing w:after="0" w:line="240" w:lineRule="auto"/>
    </w:pPr>
  </w:style>
  <w:style w:type="character" w:customStyle="1" w:styleId="HeaderChar">
    <w:name w:val="Header Char"/>
    <w:basedOn w:val="DefaultParagraphFont"/>
    <w:link w:val="Header"/>
    <w:uiPriority w:val="99"/>
    <w:rsid w:val="009147C1"/>
  </w:style>
  <w:style w:type="paragraph" w:styleId="Footer">
    <w:name w:val="footer"/>
    <w:basedOn w:val="Normal"/>
    <w:link w:val="FooterChar"/>
    <w:uiPriority w:val="99"/>
    <w:unhideWhenUsed/>
    <w:rsid w:val="009147C1"/>
    <w:pPr>
      <w:tabs>
        <w:tab w:val="center" w:pos="4252"/>
        <w:tab w:val="right" w:pos="8504"/>
      </w:tabs>
      <w:spacing w:after="0" w:line="240" w:lineRule="auto"/>
    </w:pPr>
  </w:style>
  <w:style w:type="character" w:customStyle="1" w:styleId="FooterChar">
    <w:name w:val="Footer Char"/>
    <w:basedOn w:val="DefaultParagraphFont"/>
    <w:link w:val="Footer"/>
    <w:uiPriority w:val="99"/>
    <w:rsid w:val="009147C1"/>
  </w:style>
  <w:style w:type="paragraph" w:customStyle="1" w:styleId="Preformatted">
    <w:name w:val="Preformatted"/>
    <w:basedOn w:val="Normal"/>
    <w:rsid w:val="009147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pt-BR" w:eastAsia="pt-BR"/>
    </w:rPr>
  </w:style>
  <w:style w:type="character" w:styleId="Hyperlink">
    <w:name w:val="Hyperlink"/>
    <w:basedOn w:val="DefaultParagraphFont"/>
    <w:uiPriority w:val="99"/>
    <w:unhideWhenUsed/>
    <w:rsid w:val="009147C1"/>
    <w:rPr>
      <w:color w:val="0000FF" w:themeColor="hyperlink"/>
      <w:u w:val="single"/>
    </w:rPr>
  </w:style>
  <w:style w:type="character" w:customStyle="1" w:styleId="apple-converted-space">
    <w:name w:val="apple-converted-space"/>
    <w:basedOn w:val="DefaultParagraphFont"/>
    <w:rsid w:val="009147C1"/>
  </w:style>
  <w:style w:type="character" w:customStyle="1" w:styleId="jrnl">
    <w:name w:val="jrnl"/>
    <w:basedOn w:val="DefaultParagraphFont"/>
    <w:rsid w:val="009147C1"/>
  </w:style>
  <w:style w:type="character" w:customStyle="1" w:styleId="italic">
    <w:name w:val="italic"/>
    <w:basedOn w:val="DefaultParagraphFont"/>
    <w:rsid w:val="009147C1"/>
    <w:rPr>
      <w:i/>
      <w:iCs/>
    </w:rPr>
  </w:style>
  <w:style w:type="paragraph" w:styleId="BalloonText">
    <w:name w:val="Balloon Text"/>
    <w:basedOn w:val="Normal"/>
    <w:link w:val="BalloonTextChar"/>
    <w:uiPriority w:val="99"/>
    <w:semiHidden/>
    <w:unhideWhenUsed/>
    <w:rsid w:val="0091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C1"/>
    <w:rPr>
      <w:rFonts w:ascii="Tahoma" w:hAnsi="Tahoma" w:cs="Tahoma"/>
      <w:sz w:val="16"/>
      <w:szCs w:val="16"/>
    </w:rPr>
  </w:style>
  <w:style w:type="character" w:styleId="CommentReference">
    <w:name w:val="annotation reference"/>
    <w:basedOn w:val="DefaultParagraphFont"/>
    <w:uiPriority w:val="99"/>
    <w:semiHidden/>
    <w:unhideWhenUsed/>
    <w:rsid w:val="009147C1"/>
    <w:rPr>
      <w:sz w:val="16"/>
      <w:szCs w:val="16"/>
    </w:rPr>
  </w:style>
  <w:style w:type="paragraph" w:styleId="CommentText">
    <w:name w:val="annotation text"/>
    <w:basedOn w:val="Normal"/>
    <w:link w:val="CommentTextChar"/>
    <w:unhideWhenUsed/>
    <w:rsid w:val="009147C1"/>
    <w:pPr>
      <w:spacing w:line="240" w:lineRule="auto"/>
    </w:pPr>
    <w:rPr>
      <w:sz w:val="20"/>
      <w:szCs w:val="20"/>
    </w:rPr>
  </w:style>
  <w:style w:type="character" w:customStyle="1" w:styleId="CommentTextChar">
    <w:name w:val="Comment Text Char"/>
    <w:basedOn w:val="DefaultParagraphFont"/>
    <w:link w:val="CommentText"/>
    <w:rsid w:val="009147C1"/>
    <w:rPr>
      <w:sz w:val="20"/>
      <w:szCs w:val="20"/>
    </w:rPr>
  </w:style>
  <w:style w:type="character" w:customStyle="1" w:styleId="CommentSubjectChar">
    <w:name w:val="Comment Subject Char"/>
    <w:basedOn w:val="CommentTextChar"/>
    <w:link w:val="CommentSubject"/>
    <w:uiPriority w:val="99"/>
    <w:semiHidden/>
    <w:rsid w:val="009147C1"/>
    <w:rPr>
      <w:b/>
      <w:bCs/>
      <w:sz w:val="20"/>
      <w:szCs w:val="20"/>
    </w:rPr>
  </w:style>
  <w:style w:type="paragraph" w:styleId="CommentSubject">
    <w:name w:val="annotation subject"/>
    <w:basedOn w:val="CommentText"/>
    <w:next w:val="CommentText"/>
    <w:link w:val="CommentSubjectChar"/>
    <w:uiPriority w:val="99"/>
    <w:semiHidden/>
    <w:unhideWhenUsed/>
    <w:rsid w:val="009147C1"/>
    <w:rPr>
      <w:b/>
      <w:bCs/>
    </w:rPr>
  </w:style>
  <w:style w:type="character" w:styleId="Strong">
    <w:name w:val="Strong"/>
    <w:basedOn w:val="DefaultParagraphFont"/>
    <w:qFormat/>
    <w:rsid w:val="009147C1"/>
    <w:rPr>
      <w:b/>
      <w:bCs/>
    </w:rPr>
  </w:style>
  <w:style w:type="character" w:customStyle="1" w:styleId="txt">
    <w:name w:val="txt"/>
    <w:rsid w:val="009147C1"/>
  </w:style>
  <w:style w:type="character" w:customStyle="1" w:styleId="txtbold">
    <w:name w:val="txtbold"/>
    <w:rsid w:val="009147C1"/>
  </w:style>
  <w:style w:type="character" w:styleId="LineNumber">
    <w:name w:val="line number"/>
    <w:basedOn w:val="DefaultParagraphFont"/>
    <w:uiPriority w:val="99"/>
    <w:semiHidden/>
    <w:unhideWhenUsed/>
    <w:rsid w:val="00C44C6C"/>
  </w:style>
  <w:style w:type="table" w:styleId="TableGrid">
    <w:name w:val="Table Grid"/>
    <w:basedOn w:val="TableNormal"/>
    <w:uiPriority w:val="59"/>
    <w:rsid w:val="007B1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8C0625"/>
    <w:pPr>
      <w:widowControl w:val="0"/>
      <w:spacing w:after="120" w:line="240" w:lineRule="auto"/>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8C0625"/>
    <w:rPr>
      <w:rFonts w:ascii="Book Antiqua" w:hAnsi="Book Antiqua" w:cs="Times New Roman"/>
      <w:sz w:val="20"/>
      <w:szCs w:val="20"/>
      <w:lang w:eastAsia="ja-JP"/>
    </w:rPr>
  </w:style>
  <w:style w:type="character" w:styleId="Emphasis">
    <w:name w:val="Emphasis"/>
    <w:qFormat/>
    <w:rsid w:val="0038085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32">
      <w:bodyDiv w:val="1"/>
      <w:marLeft w:val="0"/>
      <w:marRight w:val="0"/>
      <w:marTop w:val="0"/>
      <w:marBottom w:val="0"/>
      <w:divBdr>
        <w:top w:val="none" w:sz="0" w:space="0" w:color="auto"/>
        <w:left w:val="none" w:sz="0" w:space="0" w:color="auto"/>
        <w:bottom w:val="none" w:sz="0" w:space="0" w:color="auto"/>
        <w:right w:val="none" w:sz="0" w:space="0" w:color="auto"/>
      </w:divBdr>
    </w:div>
    <w:div w:id="20592625">
      <w:bodyDiv w:val="1"/>
      <w:marLeft w:val="0"/>
      <w:marRight w:val="0"/>
      <w:marTop w:val="0"/>
      <w:marBottom w:val="0"/>
      <w:divBdr>
        <w:top w:val="none" w:sz="0" w:space="0" w:color="auto"/>
        <w:left w:val="none" w:sz="0" w:space="0" w:color="auto"/>
        <w:bottom w:val="none" w:sz="0" w:space="0" w:color="auto"/>
        <w:right w:val="none" w:sz="0" w:space="0" w:color="auto"/>
      </w:divBdr>
    </w:div>
    <w:div w:id="24645625">
      <w:bodyDiv w:val="1"/>
      <w:marLeft w:val="0"/>
      <w:marRight w:val="0"/>
      <w:marTop w:val="0"/>
      <w:marBottom w:val="0"/>
      <w:divBdr>
        <w:top w:val="none" w:sz="0" w:space="0" w:color="auto"/>
        <w:left w:val="none" w:sz="0" w:space="0" w:color="auto"/>
        <w:bottom w:val="none" w:sz="0" w:space="0" w:color="auto"/>
        <w:right w:val="none" w:sz="0" w:space="0" w:color="auto"/>
      </w:divBdr>
    </w:div>
    <w:div w:id="27265565">
      <w:bodyDiv w:val="1"/>
      <w:marLeft w:val="0"/>
      <w:marRight w:val="0"/>
      <w:marTop w:val="0"/>
      <w:marBottom w:val="0"/>
      <w:divBdr>
        <w:top w:val="none" w:sz="0" w:space="0" w:color="auto"/>
        <w:left w:val="none" w:sz="0" w:space="0" w:color="auto"/>
        <w:bottom w:val="none" w:sz="0" w:space="0" w:color="auto"/>
        <w:right w:val="none" w:sz="0" w:space="0" w:color="auto"/>
      </w:divBdr>
    </w:div>
    <w:div w:id="75522587">
      <w:bodyDiv w:val="1"/>
      <w:marLeft w:val="0"/>
      <w:marRight w:val="0"/>
      <w:marTop w:val="0"/>
      <w:marBottom w:val="0"/>
      <w:divBdr>
        <w:top w:val="none" w:sz="0" w:space="0" w:color="auto"/>
        <w:left w:val="none" w:sz="0" w:space="0" w:color="auto"/>
        <w:bottom w:val="none" w:sz="0" w:space="0" w:color="auto"/>
        <w:right w:val="none" w:sz="0" w:space="0" w:color="auto"/>
      </w:divBdr>
    </w:div>
    <w:div w:id="122694689">
      <w:bodyDiv w:val="1"/>
      <w:marLeft w:val="0"/>
      <w:marRight w:val="0"/>
      <w:marTop w:val="0"/>
      <w:marBottom w:val="0"/>
      <w:divBdr>
        <w:top w:val="none" w:sz="0" w:space="0" w:color="auto"/>
        <w:left w:val="none" w:sz="0" w:space="0" w:color="auto"/>
        <w:bottom w:val="none" w:sz="0" w:space="0" w:color="auto"/>
        <w:right w:val="none" w:sz="0" w:space="0" w:color="auto"/>
      </w:divBdr>
    </w:div>
    <w:div w:id="123277578">
      <w:bodyDiv w:val="1"/>
      <w:marLeft w:val="0"/>
      <w:marRight w:val="0"/>
      <w:marTop w:val="0"/>
      <w:marBottom w:val="0"/>
      <w:divBdr>
        <w:top w:val="none" w:sz="0" w:space="0" w:color="auto"/>
        <w:left w:val="none" w:sz="0" w:space="0" w:color="auto"/>
        <w:bottom w:val="none" w:sz="0" w:space="0" w:color="auto"/>
        <w:right w:val="none" w:sz="0" w:space="0" w:color="auto"/>
      </w:divBdr>
    </w:div>
    <w:div w:id="162626751">
      <w:bodyDiv w:val="1"/>
      <w:marLeft w:val="0"/>
      <w:marRight w:val="0"/>
      <w:marTop w:val="0"/>
      <w:marBottom w:val="0"/>
      <w:divBdr>
        <w:top w:val="none" w:sz="0" w:space="0" w:color="auto"/>
        <w:left w:val="none" w:sz="0" w:space="0" w:color="auto"/>
        <w:bottom w:val="none" w:sz="0" w:space="0" w:color="auto"/>
        <w:right w:val="none" w:sz="0" w:space="0" w:color="auto"/>
      </w:divBdr>
    </w:div>
    <w:div w:id="180819911">
      <w:bodyDiv w:val="1"/>
      <w:marLeft w:val="0"/>
      <w:marRight w:val="0"/>
      <w:marTop w:val="0"/>
      <w:marBottom w:val="0"/>
      <w:divBdr>
        <w:top w:val="none" w:sz="0" w:space="0" w:color="auto"/>
        <w:left w:val="none" w:sz="0" w:space="0" w:color="auto"/>
        <w:bottom w:val="none" w:sz="0" w:space="0" w:color="auto"/>
        <w:right w:val="none" w:sz="0" w:space="0" w:color="auto"/>
      </w:divBdr>
    </w:div>
    <w:div w:id="239220257">
      <w:bodyDiv w:val="1"/>
      <w:marLeft w:val="0"/>
      <w:marRight w:val="0"/>
      <w:marTop w:val="0"/>
      <w:marBottom w:val="0"/>
      <w:divBdr>
        <w:top w:val="none" w:sz="0" w:space="0" w:color="auto"/>
        <w:left w:val="none" w:sz="0" w:space="0" w:color="auto"/>
        <w:bottom w:val="none" w:sz="0" w:space="0" w:color="auto"/>
        <w:right w:val="none" w:sz="0" w:space="0" w:color="auto"/>
      </w:divBdr>
    </w:div>
    <w:div w:id="289749993">
      <w:bodyDiv w:val="1"/>
      <w:marLeft w:val="0"/>
      <w:marRight w:val="0"/>
      <w:marTop w:val="0"/>
      <w:marBottom w:val="0"/>
      <w:divBdr>
        <w:top w:val="none" w:sz="0" w:space="0" w:color="auto"/>
        <w:left w:val="none" w:sz="0" w:space="0" w:color="auto"/>
        <w:bottom w:val="none" w:sz="0" w:space="0" w:color="auto"/>
        <w:right w:val="none" w:sz="0" w:space="0" w:color="auto"/>
      </w:divBdr>
    </w:div>
    <w:div w:id="296224519">
      <w:bodyDiv w:val="1"/>
      <w:marLeft w:val="0"/>
      <w:marRight w:val="0"/>
      <w:marTop w:val="0"/>
      <w:marBottom w:val="0"/>
      <w:divBdr>
        <w:top w:val="none" w:sz="0" w:space="0" w:color="auto"/>
        <w:left w:val="none" w:sz="0" w:space="0" w:color="auto"/>
        <w:bottom w:val="none" w:sz="0" w:space="0" w:color="auto"/>
        <w:right w:val="none" w:sz="0" w:space="0" w:color="auto"/>
      </w:divBdr>
    </w:div>
    <w:div w:id="317272935">
      <w:bodyDiv w:val="1"/>
      <w:marLeft w:val="0"/>
      <w:marRight w:val="0"/>
      <w:marTop w:val="0"/>
      <w:marBottom w:val="0"/>
      <w:divBdr>
        <w:top w:val="none" w:sz="0" w:space="0" w:color="auto"/>
        <w:left w:val="none" w:sz="0" w:space="0" w:color="auto"/>
        <w:bottom w:val="none" w:sz="0" w:space="0" w:color="auto"/>
        <w:right w:val="none" w:sz="0" w:space="0" w:color="auto"/>
      </w:divBdr>
    </w:div>
    <w:div w:id="361907494">
      <w:bodyDiv w:val="1"/>
      <w:marLeft w:val="0"/>
      <w:marRight w:val="0"/>
      <w:marTop w:val="0"/>
      <w:marBottom w:val="0"/>
      <w:divBdr>
        <w:top w:val="none" w:sz="0" w:space="0" w:color="auto"/>
        <w:left w:val="none" w:sz="0" w:space="0" w:color="auto"/>
        <w:bottom w:val="none" w:sz="0" w:space="0" w:color="auto"/>
        <w:right w:val="none" w:sz="0" w:space="0" w:color="auto"/>
      </w:divBdr>
    </w:div>
    <w:div w:id="381830495">
      <w:bodyDiv w:val="1"/>
      <w:marLeft w:val="0"/>
      <w:marRight w:val="0"/>
      <w:marTop w:val="0"/>
      <w:marBottom w:val="0"/>
      <w:divBdr>
        <w:top w:val="none" w:sz="0" w:space="0" w:color="auto"/>
        <w:left w:val="none" w:sz="0" w:space="0" w:color="auto"/>
        <w:bottom w:val="none" w:sz="0" w:space="0" w:color="auto"/>
        <w:right w:val="none" w:sz="0" w:space="0" w:color="auto"/>
      </w:divBdr>
    </w:div>
    <w:div w:id="403576722">
      <w:bodyDiv w:val="1"/>
      <w:marLeft w:val="0"/>
      <w:marRight w:val="0"/>
      <w:marTop w:val="0"/>
      <w:marBottom w:val="0"/>
      <w:divBdr>
        <w:top w:val="none" w:sz="0" w:space="0" w:color="auto"/>
        <w:left w:val="none" w:sz="0" w:space="0" w:color="auto"/>
        <w:bottom w:val="none" w:sz="0" w:space="0" w:color="auto"/>
        <w:right w:val="none" w:sz="0" w:space="0" w:color="auto"/>
      </w:divBdr>
    </w:div>
    <w:div w:id="504906887">
      <w:bodyDiv w:val="1"/>
      <w:marLeft w:val="0"/>
      <w:marRight w:val="0"/>
      <w:marTop w:val="0"/>
      <w:marBottom w:val="0"/>
      <w:divBdr>
        <w:top w:val="none" w:sz="0" w:space="0" w:color="auto"/>
        <w:left w:val="none" w:sz="0" w:space="0" w:color="auto"/>
        <w:bottom w:val="none" w:sz="0" w:space="0" w:color="auto"/>
        <w:right w:val="none" w:sz="0" w:space="0" w:color="auto"/>
      </w:divBdr>
    </w:div>
    <w:div w:id="529269296">
      <w:bodyDiv w:val="1"/>
      <w:marLeft w:val="0"/>
      <w:marRight w:val="0"/>
      <w:marTop w:val="0"/>
      <w:marBottom w:val="0"/>
      <w:divBdr>
        <w:top w:val="none" w:sz="0" w:space="0" w:color="auto"/>
        <w:left w:val="none" w:sz="0" w:space="0" w:color="auto"/>
        <w:bottom w:val="none" w:sz="0" w:space="0" w:color="auto"/>
        <w:right w:val="none" w:sz="0" w:space="0" w:color="auto"/>
      </w:divBdr>
    </w:div>
    <w:div w:id="541984592">
      <w:bodyDiv w:val="1"/>
      <w:marLeft w:val="0"/>
      <w:marRight w:val="0"/>
      <w:marTop w:val="0"/>
      <w:marBottom w:val="0"/>
      <w:divBdr>
        <w:top w:val="none" w:sz="0" w:space="0" w:color="auto"/>
        <w:left w:val="none" w:sz="0" w:space="0" w:color="auto"/>
        <w:bottom w:val="none" w:sz="0" w:space="0" w:color="auto"/>
        <w:right w:val="none" w:sz="0" w:space="0" w:color="auto"/>
      </w:divBdr>
    </w:div>
    <w:div w:id="545290134">
      <w:bodyDiv w:val="1"/>
      <w:marLeft w:val="0"/>
      <w:marRight w:val="0"/>
      <w:marTop w:val="0"/>
      <w:marBottom w:val="0"/>
      <w:divBdr>
        <w:top w:val="none" w:sz="0" w:space="0" w:color="auto"/>
        <w:left w:val="none" w:sz="0" w:space="0" w:color="auto"/>
        <w:bottom w:val="none" w:sz="0" w:space="0" w:color="auto"/>
        <w:right w:val="none" w:sz="0" w:space="0" w:color="auto"/>
      </w:divBdr>
    </w:div>
    <w:div w:id="567499160">
      <w:bodyDiv w:val="1"/>
      <w:marLeft w:val="0"/>
      <w:marRight w:val="0"/>
      <w:marTop w:val="0"/>
      <w:marBottom w:val="0"/>
      <w:divBdr>
        <w:top w:val="none" w:sz="0" w:space="0" w:color="auto"/>
        <w:left w:val="none" w:sz="0" w:space="0" w:color="auto"/>
        <w:bottom w:val="none" w:sz="0" w:space="0" w:color="auto"/>
        <w:right w:val="none" w:sz="0" w:space="0" w:color="auto"/>
      </w:divBdr>
    </w:div>
    <w:div w:id="580066015">
      <w:bodyDiv w:val="1"/>
      <w:marLeft w:val="0"/>
      <w:marRight w:val="0"/>
      <w:marTop w:val="0"/>
      <w:marBottom w:val="0"/>
      <w:divBdr>
        <w:top w:val="none" w:sz="0" w:space="0" w:color="auto"/>
        <w:left w:val="none" w:sz="0" w:space="0" w:color="auto"/>
        <w:bottom w:val="none" w:sz="0" w:space="0" w:color="auto"/>
        <w:right w:val="none" w:sz="0" w:space="0" w:color="auto"/>
      </w:divBdr>
    </w:div>
    <w:div w:id="584264158">
      <w:bodyDiv w:val="1"/>
      <w:marLeft w:val="0"/>
      <w:marRight w:val="0"/>
      <w:marTop w:val="0"/>
      <w:marBottom w:val="0"/>
      <w:divBdr>
        <w:top w:val="none" w:sz="0" w:space="0" w:color="auto"/>
        <w:left w:val="none" w:sz="0" w:space="0" w:color="auto"/>
        <w:bottom w:val="none" w:sz="0" w:space="0" w:color="auto"/>
        <w:right w:val="none" w:sz="0" w:space="0" w:color="auto"/>
      </w:divBdr>
    </w:div>
    <w:div w:id="590773644">
      <w:bodyDiv w:val="1"/>
      <w:marLeft w:val="0"/>
      <w:marRight w:val="0"/>
      <w:marTop w:val="0"/>
      <w:marBottom w:val="0"/>
      <w:divBdr>
        <w:top w:val="none" w:sz="0" w:space="0" w:color="auto"/>
        <w:left w:val="none" w:sz="0" w:space="0" w:color="auto"/>
        <w:bottom w:val="none" w:sz="0" w:space="0" w:color="auto"/>
        <w:right w:val="none" w:sz="0" w:space="0" w:color="auto"/>
      </w:divBdr>
    </w:div>
    <w:div w:id="667833492">
      <w:bodyDiv w:val="1"/>
      <w:marLeft w:val="0"/>
      <w:marRight w:val="0"/>
      <w:marTop w:val="0"/>
      <w:marBottom w:val="0"/>
      <w:divBdr>
        <w:top w:val="none" w:sz="0" w:space="0" w:color="auto"/>
        <w:left w:val="none" w:sz="0" w:space="0" w:color="auto"/>
        <w:bottom w:val="none" w:sz="0" w:space="0" w:color="auto"/>
        <w:right w:val="none" w:sz="0" w:space="0" w:color="auto"/>
      </w:divBdr>
    </w:div>
    <w:div w:id="675117299">
      <w:bodyDiv w:val="1"/>
      <w:marLeft w:val="0"/>
      <w:marRight w:val="0"/>
      <w:marTop w:val="0"/>
      <w:marBottom w:val="0"/>
      <w:divBdr>
        <w:top w:val="none" w:sz="0" w:space="0" w:color="auto"/>
        <w:left w:val="none" w:sz="0" w:space="0" w:color="auto"/>
        <w:bottom w:val="none" w:sz="0" w:space="0" w:color="auto"/>
        <w:right w:val="none" w:sz="0" w:space="0" w:color="auto"/>
      </w:divBdr>
    </w:div>
    <w:div w:id="691033056">
      <w:bodyDiv w:val="1"/>
      <w:marLeft w:val="0"/>
      <w:marRight w:val="0"/>
      <w:marTop w:val="0"/>
      <w:marBottom w:val="0"/>
      <w:divBdr>
        <w:top w:val="none" w:sz="0" w:space="0" w:color="auto"/>
        <w:left w:val="none" w:sz="0" w:space="0" w:color="auto"/>
        <w:bottom w:val="none" w:sz="0" w:space="0" w:color="auto"/>
        <w:right w:val="none" w:sz="0" w:space="0" w:color="auto"/>
      </w:divBdr>
    </w:div>
    <w:div w:id="762798635">
      <w:bodyDiv w:val="1"/>
      <w:marLeft w:val="0"/>
      <w:marRight w:val="0"/>
      <w:marTop w:val="0"/>
      <w:marBottom w:val="0"/>
      <w:divBdr>
        <w:top w:val="none" w:sz="0" w:space="0" w:color="auto"/>
        <w:left w:val="none" w:sz="0" w:space="0" w:color="auto"/>
        <w:bottom w:val="none" w:sz="0" w:space="0" w:color="auto"/>
        <w:right w:val="none" w:sz="0" w:space="0" w:color="auto"/>
      </w:divBdr>
    </w:div>
    <w:div w:id="791361186">
      <w:bodyDiv w:val="1"/>
      <w:marLeft w:val="0"/>
      <w:marRight w:val="0"/>
      <w:marTop w:val="0"/>
      <w:marBottom w:val="0"/>
      <w:divBdr>
        <w:top w:val="none" w:sz="0" w:space="0" w:color="auto"/>
        <w:left w:val="none" w:sz="0" w:space="0" w:color="auto"/>
        <w:bottom w:val="none" w:sz="0" w:space="0" w:color="auto"/>
        <w:right w:val="none" w:sz="0" w:space="0" w:color="auto"/>
      </w:divBdr>
    </w:div>
    <w:div w:id="906299729">
      <w:bodyDiv w:val="1"/>
      <w:marLeft w:val="0"/>
      <w:marRight w:val="0"/>
      <w:marTop w:val="0"/>
      <w:marBottom w:val="0"/>
      <w:divBdr>
        <w:top w:val="none" w:sz="0" w:space="0" w:color="auto"/>
        <w:left w:val="none" w:sz="0" w:space="0" w:color="auto"/>
        <w:bottom w:val="none" w:sz="0" w:space="0" w:color="auto"/>
        <w:right w:val="none" w:sz="0" w:space="0" w:color="auto"/>
      </w:divBdr>
    </w:div>
    <w:div w:id="954944764">
      <w:bodyDiv w:val="1"/>
      <w:marLeft w:val="0"/>
      <w:marRight w:val="0"/>
      <w:marTop w:val="0"/>
      <w:marBottom w:val="0"/>
      <w:divBdr>
        <w:top w:val="none" w:sz="0" w:space="0" w:color="auto"/>
        <w:left w:val="none" w:sz="0" w:space="0" w:color="auto"/>
        <w:bottom w:val="none" w:sz="0" w:space="0" w:color="auto"/>
        <w:right w:val="none" w:sz="0" w:space="0" w:color="auto"/>
      </w:divBdr>
    </w:div>
    <w:div w:id="978919351">
      <w:bodyDiv w:val="1"/>
      <w:marLeft w:val="0"/>
      <w:marRight w:val="0"/>
      <w:marTop w:val="0"/>
      <w:marBottom w:val="0"/>
      <w:divBdr>
        <w:top w:val="none" w:sz="0" w:space="0" w:color="auto"/>
        <w:left w:val="none" w:sz="0" w:space="0" w:color="auto"/>
        <w:bottom w:val="none" w:sz="0" w:space="0" w:color="auto"/>
        <w:right w:val="none" w:sz="0" w:space="0" w:color="auto"/>
      </w:divBdr>
    </w:div>
    <w:div w:id="983897029">
      <w:bodyDiv w:val="1"/>
      <w:marLeft w:val="0"/>
      <w:marRight w:val="0"/>
      <w:marTop w:val="0"/>
      <w:marBottom w:val="0"/>
      <w:divBdr>
        <w:top w:val="none" w:sz="0" w:space="0" w:color="auto"/>
        <w:left w:val="none" w:sz="0" w:space="0" w:color="auto"/>
        <w:bottom w:val="none" w:sz="0" w:space="0" w:color="auto"/>
        <w:right w:val="none" w:sz="0" w:space="0" w:color="auto"/>
      </w:divBdr>
    </w:div>
    <w:div w:id="996031261">
      <w:bodyDiv w:val="1"/>
      <w:marLeft w:val="0"/>
      <w:marRight w:val="0"/>
      <w:marTop w:val="0"/>
      <w:marBottom w:val="0"/>
      <w:divBdr>
        <w:top w:val="none" w:sz="0" w:space="0" w:color="auto"/>
        <w:left w:val="none" w:sz="0" w:space="0" w:color="auto"/>
        <w:bottom w:val="none" w:sz="0" w:space="0" w:color="auto"/>
        <w:right w:val="none" w:sz="0" w:space="0" w:color="auto"/>
      </w:divBdr>
    </w:div>
    <w:div w:id="1024330892">
      <w:bodyDiv w:val="1"/>
      <w:marLeft w:val="0"/>
      <w:marRight w:val="0"/>
      <w:marTop w:val="0"/>
      <w:marBottom w:val="0"/>
      <w:divBdr>
        <w:top w:val="none" w:sz="0" w:space="0" w:color="auto"/>
        <w:left w:val="none" w:sz="0" w:space="0" w:color="auto"/>
        <w:bottom w:val="none" w:sz="0" w:space="0" w:color="auto"/>
        <w:right w:val="none" w:sz="0" w:space="0" w:color="auto"/>
      </w:divBdr>
    </w:div>
    <w:div w:id="1097946413">
      <w:bodyDiv w:val="1"/>
      <w:marLeft w:val="0"/>
      <w:marRight w:val="0"/>
      <w:marTop w:val="0"/>
      <w:marBottom w:val="0"/>
      <w:divBdr>
        <w:top w:val="none" w:sz="0" w:space="0" w:color="auto"/>
        <w:left w:val="none" w:sz="0" w:space="0" w:color="auto"/>
        <w:bottom w:val="none" w:sz="0" w:space="0" w:color="auto"/>
        <w:right w:val="none" w:sz="0" w:space="0" w:color="auto"/>
      </w:divBdr>
    </w:div>
    <w:div w:id="1125854094">
      <w:bodyDiv w:val="1"/>
      <w:marLeft w:val="0"/>
      <w:marRight w:val="0"/>
      <w:marTop w:val="0"/>
      <w:marBottom w:val="0"/>
      <w:divBdr>
        <w:top w:val="none" w:sz="0" w:space="0" w:color="auto"/>
        <w:left w:val="none" w:sz="0" w:space="0" w:color="auto"/>
        <w:bottom w:val="none" w:sz="0" w:space="0" w:color="auto"/>
        <w:right w:val="none" w:sz="0" w:space="0" w:color="auto"/>
      </w:divBdr>
    </w:div>
    <w:div w:id="1134106514">
      <w:bodyDiv w:val="1"/>
      <w:marLeft w:val="0"/>
      <w:marRight w:val="0"/>
      <w:marTop w:val="0"/>
      <w:marBottom w:val="0"/>
      <w:divBdr>
        <w:top w:val="none" w:sz="0" w:space="0" w:color="auto"/>
        <w:left w:val="none" w:sz="0" w:space="0" w:color="auto"/>
        <w:bottom w:val="none" w:sz="0" w:space="0" w:color="auto"/>
        <w:right w:val="none" w:sz="0" w:space="0" w:color="auto"/>
      </w:divBdr>
    </w:div>
    <w:div w:id="1176579672">
      <w:bodyDiv w:val="1"/>
      <w:marLeft w:val="0"/>
      <w:marRight w:val="0"/>
      <w:marTop w:val="0"/>
      <w:marBottom w:val="0"/>
      <w:divBdr>
        <w:top w:val="none" w:sz="0" w:space="0" w:color="auto"/>
        <w:left w:val="none" w:sz="0" w:space="0" w:color="auto"/>
        <w:bottom w:val="none" w:sz="0" w:space="0" w:color="auto"/>
        <w:right w:val="none" w:sz="0" w:space="0" w:color="auto"/>
      </w:divBdr>
    </w:div>
    <w:div w:id="1194929257">
      <w:bodyDiv w:val="1"/>
      <w:marLeft w:val="0"/>
      <w:marRight w:val="0"/>
      <w:marTop w:val="0"/>
      <w:marBottom w:val="0"/>
      <w:divBdr>
        <w:top w:val="none" w:sz="0" w:space="0" w:color="auto"/>
        <w:left w:val="none" w:sz="0" w:space="0" w:color="auto"/>
        <w:bottom w:val="none" w:sz="0" w:space="0" w:color="auto"/>
        <w:right w:val="none" w:sz="0" w:space="0" w:color="auto"/>
      </w:divBdr>
    </w:div>
    <w:div w:id="1283537769">
      <w:bodyDiv w:val="1"/>
      <w:marLeft w:val="0"/>
      <w:marRight w:val="0"/>
      <w:marTop w:val="0"/>
      <w:marBottom w:val="0"/>
      <w:divBdr>
        <w:top w:val="none" w:sz="0" w:space="0" w:color="auto"/>
        <w:left w:val="none" w:sz="0" w:space="0" w:color="auto"/>
        <w:bottom w:val="none" w:sz="0" w:space="0" w:color="auto"/>
        <w:right w:val="none" w:sz="0" w:space="0" w:color="auto"/>
      </w:divBdr>
    </w:div>
    <w:div w:id="1291475244">
      <w:bodyDiv w:val="1"/>
      <w:marLeft w:val="0"/>
      <w:marRight w:val="0"/>
      <w:marTop w:val="0"/>
      <w:marBottom w:val="0"/>
      <w:divBdr>
        <w:top w:val="none" w:sz="0" w:space="0" w:color="auto"/>
        <w:left w:val="none" w:sz="0" w:space="0" w:color="auto"/>
        <w:bottom w:val="none" w:sz="0" w:space="0" w:color="auto"/>
        <w:right w:val="none" w:sz="0" w:space="0" w:color="auto"/>
      </w:divBdr>
    </w:div>
    <w:div w:id="1319841740">
      <w:bodyDiv w:val="1"/>
      <w:marLeft w:val="0"/>
      <w:marRight w:val="0"/>
      <w:marTop w:val="0"/>
      <w:marBottom w:val="0"/>
      <w:divBdr>
        <w:top w:val="none" w:sz="0" w:space="0" w:color="auto"/>
        <w:left w:val="none" w:sz="0" w:space="0" w:color="auto"/>
        <w:bottom w:val="none" w:sz="0" w:space="0" w:color="auto"/>
        <w:right w:val="none" w:sz="0" w:space="0" w:color="auto"/>
      </w:divBdr>
    </w:div>
    <w:div w:id="1363288503">
      <w:bodyDiv w:val="1"/>
      <w:marLeft w:val="0"/>
      <w:marRight w:val="0"/>
      <w:marTop w:val="0"/>
      <w:marBottom w:val="0"/>
      <w:divBdr>
        <w:top w:val="none" w:sz="0" w:space="0" w:color="auto"/>
        <w:left w:val="none" w:sz="0" w:space="0" w:color="auto"/>
        <w:bottom w:val="none" w:sz="0" w:space="0" w:color="auto"/>
        <w:right w:val="none" w:sz="0" w:space="0" w:color="auto"/>
      </w:divBdr>
    </w:div>
    <w:div w:id="1385564317">
      <w:bodyDiv w:val="1"/>
      <w:marLeft w:val="0"/>
      <w:marRight w:val="0"/>
      <w:marTop w:val="0"/>
      <w:marBottom w:val="0"/>
      <w:divBdr>
        <w:top w:val="none" w:sz="0" w:space="0" w:color="auto"/>
        <w:left w:val="none" w:sz="0" w:space="0" w:color="auto"/>
        <w:bottom w:val="none" w:sz="0" w:space="0" w:color="auto"/>
        <w:right w:val="none" w:sz="0" w:space="0" w:color="auto"/>
      </w:divBdr>
    </w:div>
    <w:div w:id="1408532454">
      <w:bodyDiv w:val="1"/>
      <w:marLeft w:val="0"/>
      <w:marRight w:val="0"/>
      <w:marTop w:val="0"/>
      <w:marBottom w:val="0"/>
      <w:divBdr>
        <w:top w:val="none" w:sz="0" w:space="0" w:color="auto"/>
        <w:left w:val="none" w:sz="0" w:space="0" w:color="auto"/>
        <w:bottom w:val="none" w:sz="0" w:space="0" w:color="auto"/>
        <w:right w:val="none" w:sz="0" w:space="0" w:color="auto"/>
      </w:divBdr>
    </w:div>
    <w:div w:id="1433209117">
      <w:bodyDiv w:val="1"/>
      <w:marLeft w:val="0"/>
      <w:marRight w:val="0"/>
      <w:marTop w:val="0"/>
      <w:marBottom w:val="0"/>
      <w:divBdr>
        <w:top w:val="none" w:sz="0" w:space="0" w:color="auto"/>
        <w:left w:val="none" w:sz="0" w:space="0" w:color="auto"/>
        <w:bottom w:val="none" w:sz="0" w:space="0" w:color="auto"/>
        <w:right w:val="none" w:sz="0" w:space="0" w:color="auto"/>
      </w:divBdr>
    </w:div>
    <w:div w:id="1470247502">
      <w:bodyDiv w:val="1"/>
      <w:marLeft w:val="0"/>
      <w:marRight w:val="0"/>
      <w:marTop w:val="0"/>
      <w:marBottom w:val="0"/>
      <w:divBdr>
        <w:top w:val="none" w:sz="0" w:space="0" w:color="auto"/>
        <w:left w:val="none" w:sz="0" w:space="0" w:color="auto"/>
        <w:bottom w:val="none" w:sz="0" w:space="0" w:color="auto"/>
        <w:right w:val="none" w:sz="0" w:space="0" w:color="auto"/>
      </w:divBdr>
    </w:div>
    <w:div w:id="1477842741">
      <w:bodyDiv w:val="1"/>
      <w:marLeft w:val="0"/>
      <w:marRight w:val="0"/>
      <w:marTop w:val="0"/>
      <w:marBottom w:val="0"/>
      <w:divBdr>
        <w:top w:val="none" w:sz="0" w:space="0" w:color="auto"/>
        <w:left w:val="none" w:sz="0" w:space="0" w:color="auto"/>
        <w:bottom w:val="none" w:sz="0" w:space="0" w:color="auto"/>
        <w:right w:val="none" w:sz="0" w:space="0" w:color="auto"/>
      </w:divBdr>
    </w:div>
    <w:div w:id="1533420213">
      <w:bodyDiv w:val="1"/>
      <w:marLeft w:val="0"/>
      <w:marRight w:val="0"/>
      <w:marTop w:val="0"/>
      <w:marBottom w:val="0"/>
      <w:divBdr>
        <w:top w:val="none" w:sz="0" w:space="0" w:color="auto"/>
        <w:left w:val="none" w:sz="0" w:space="0" w:color="auto"/>
        <w:bottom w:val="none" w:sz="0" w:space="0" w:color="auto"/>
        <w:right w:val="none" w:sz="0" w:space="0" w:color="auto"/>
      </w:divBdr>
    </w:div>
    <w:div w:id="1584682706">
      <w:bodyDiv w:val="1"/>
      <w:marLeft w:val="0"/>
      <w:marRight w:val="0"/>
      <w:marTop w:val="0"/>
      <w:marBottom w:val="0"/>
      <w:divBdr>
        <w:top w:val="none" w:sz="0" w:space="0" w:color="auto"/>
        <w:left w:val="none" w:sz="0" w:space="0" w:color="auto"/>
        <w:bottom w:val="none" w:sz="0" w:space="0" w:color="auto"/>
        <w:right w:val="none" w:sz="0" w:space="0" w:color="auto"/>
      </w:divBdr>
    </w:div>
    <w:div w:id="1644962663">
      <w:bodyDiv w:val="1"/>
      <w:marLeft w:val="0"/>
      <w:marRight w:val="0"/>
      <w:marTop w:val="0"/>
      <w:marBottom w:val="0"/>
      <w:divBdr>
        <w:top w:val="none" w:sz="0" w:space="0" w:color="auto"/>
        <w:left w:val="none" w:sz="0" w:space="0" w:color="auto"/>
        <w:bottom w:val="none" w:sz="0" w:space="0" w:color="auto"/>
        <w:right w:val="none" w:sz="0" w:space="0" w:color="auto"/>
      </w:divBdr>
    </w:div>
    <w:div w:id="1677733321">
      <w:bodyDiv w:val="1"/>
      <w:marLeft w:val="0"/>
      <w:marRight w:val="0"/>
      <w:marTop w:val="0"/>
      <w:marBottom w:val="0"/>
      <w:divBdr>
        <w:top w:val="none" w:sz="0" w:space="0" w:color="auto"/>
        <w:left w:val="none" w:sz="0" w:space="0" w:color="auto"/>
        <w:bottom w:val="none" w:sz="0" w:space="0" w:color="auto"/>
        <w:right w:val="none" w:sz="0" w:space="0" w:color="auto"/>
      </w:divBdr>
    </w:div>
    <w:div w:id="1687906584">
      <w:bodyDiv w:val="1"/>
      <w:marLeft w:val="0"/>
      <w:marRight w:val="0"/>
      <w:marTop w:val="0"/>
      <w:marBottom w:val="0"/>
      <w:divBdr>
        <w:top w:val="none" w:sz="0" w:space="0" w:color="auto"/>
        <w:left w:val="none" w:sz="0" w:space="0" w:color="auto"/>
        <w:bottom w:val="none" w:sz="0" w:space="0" w:color="auto"/>
        <w:right w:val="none" w:sz="0" w:space="0" w:color="auto"/>
      </w:divBdr>
    </w:div>
    <w:div w:id="1693334283">
      <w:bodyDiv w:val="1"/>
      <w:marLeft w:val="0"/>
      <w:marRight w:val="0"/>
      <w:marTop w:val="0"/>
      <w:marBottom w:val="0"/>
      <w:divBdr>
        <w:top w:val="none" w:sz="0" w:space="0" w:color="auto"/>
        <w:left w:val="none" w:sz="0" w:space="0" w:color="auto"/>
        <w:bottom w:val="none" w:sz="0" w:space="0" w:color="auto"/>
        <w:right w:val="none" w:sz="0" w:space="0" w:color="auto"/>
      </w:divBdr>
    </w:div>
    <w:div w:id="1776635179">
      <w:bodyDiv w:val="1"/>
      <w:marLeft w:val="0"/>
      <w:marRight w:val="0"/>
      <w:marTop w:val="0"/>
      <w:marBottom w:val="0"/>
      <w:divBdr>
        <w:top w:val="none" w:sz="0" w:space="0" w:color="auto"/>
        <w:left w:val="none" w:sz="0" w:space="0" w:color="auto"/>
        <w:bottom w:val="none" w:sz="0" w:space="0" w:color="auto"/>
        <w:right w:val="none" w:sz="0" w:space="0" w:color="auto"/>
      </w:divBdr>
    </w:div>
    <w:div w:id="1797139369">
      <w:bodyDiv w:val="1"/>
      <w:marLeft w:val="0"/>
      <w:marRight w:val="0"/>
      <w:marTop w:val="0"/>
      <w:marBottom w:val="0"/>
      <w:divBdr>
        <w:top w:val="none" w:sz="0" w:space="0" w:color="auto"/>
        <w:left w:val="none" w:sz="0" w:space="0" w:color="auto"/>
        <w:bottom w:val="none" w:sz="0" w:space="0" w:color="auto"/>
        <w:right w:val="none" w:sz="0" w:space="0" w:color="auto"/>
      </w:divBdr>
    </w:div>
    <w:div w:id="1810169988">
      <w:bodyDiv w:val="1"/>
      <w:marLeft w:val="0"/>
      <w:marRight w:val="0"/>
      <w:marTop w:val="0"/>
      <w:marBottom w:val="0"/>
      <w:divBdr>
        <w:top w:val="none" w:sz="0" w:space="0" w:color="auto"/>
        <w:left w:val="none" w:sz="0" w:space="0" w:color="auto"/>
        <w:bottom w:val="none" w:sz="0" w:space="0" w:color="auto"/>
        <w:right w:val="none" w:sz="0" w:space="0" w:color="auto"/>
      </w:divBdr>
    </w:div>
    <w:div w:id="1830516719">
      <w:bodyDiv w:val="1"/>
      <w:marLeft w:val="0"/>
      <w:marRight w:val="0"/>
      <w:marTop w:val="0"/>
      <w:marBottom w:val="0"/>
      <w:divBdr>
        <w:top w:val="none" w:sz="0" w:space="0" w:color="auto"/>
        <w:left w:val="none" w:sz="0" w:space="0" w:color="auto"/>
        <w:bottom w:val="none" w:sz="0" w:space="0" w:color="auto"/>
        <w:right w:val="none" w:sz="0" w:space="0" w:color="auto"/>
      </w:divBdr>
    </w:div>
    <w:div w:id="1841769503">
      <w:bodyDiv w:val="1"/>
      <w:marLeft w:val="0"/>
      <w:marRight w:val="0"/>
      <w:marTop w:val="0"/>
      <w:marBottom w:val="0"/>
      <w:divBdr>
        <w:top w:val="none" w:sz="0" w:space="0" w:color="auto"/>
        <w:left w:val="none" w:sz="0" w:space="0" w:color="auto"/>
        <w:bottom w:val="none" w:sz="0" w:space="0" w:color="auto"/>
        <w:right w:val="none" w:sz="0" w:space="0" w:color="auto"/>
      </w:divBdr>
    </w:div>
    <w:div w:id="1850755506">
      <w:bodyDiv w:val="1"/>
      <w:marLeft w:val="0"/>
      <w:marRight w:val="0"/>
      <w:marTop w:val="0"/>
      <w:marBottom w:val="0"/>
      <w:divBdr>
        <w:top w:val="none" w:sz="0" w:space="0" w:color="auto"/>
        <w:left w:val="none" w:sz="0" w:space="0" w:color="auto"/>
        <w:bottom w:val="none" w:sz="0" w:space="0" w:color="auto"/>
        <w:right w:val="none" w:sz="0" w:space="0" w:color="auto"/>
      </w:divBdr>
    </w:div>
    <w:div w:id="1891920938">
      <w:bodyDiv w:val="1"/>
      <w:marLeft w:val="0"/>
      <w:marRight w:val="0"/>
      <w:marTop w:val="0"/>
      <w:marBottom w:val="0"/>
      <w:divBdr>
        <w:top w:val="none" w:sz="0" w:space="0" w:color="auto"/>
        <w:left w:val="none" w:sz="0" w:space="0" w:color="auto"/>
        <w:bottom w:val="none" w:sz="0" w:space="0" w:color="auto"/>
        <w:right w:val="none" w:sz="0" w:space="0" w:color="auto"/>
      </w:divBdr>
    </w:div>
    <w:div w:id="1900245227">
      <w:bodyDiv w:val="1"/>
      <w:marLeft w:val="0"/>
      <w:marRight w:val="0"/>
      <w:marTop w:val="0"/>
      <w:marBottom w:val="0"/>
      <w:divBdr>
        <w:top w:val="none" w:sz="0" w:space="0" w:color="auto"/>
        <w:left w:val="none" w:sz="0" w:space="0" w:color="auto"/>
        <w:bottom w:val="none" w:sz="0" w:space="0" w:color="auto"/>
        <w:right w:val="none" w:sz="0" w:space="0" w:color="auto"/>
      </w:divBdr>
    </w:div>
    <w:div w:id="1917543662">
      <w:bodyDiv w:val="1"/>
      <w:marLeft w:val="0"/>
      <w:marRight w:val="0"/>
      <w:marTop w:val="0"/>
      <w:marBottom w:val="0"/>
      <w:divBdr>
        <w:top w:val="none" w:sz="0" w:space="0" w:color="auto"/>
        <w:left w:val="none" w:sz="0" w:space="0" w:color="auto"/>
        <w:bottom w:val="none" w:sz="0" w:space="0" w:color="auto"/>
        <w:right w:val="none" w:sz="0" w:space="0" w:color="auto"/>
      </w:divBdr>
    </w:div>
    <w:div w:id="1957711865">
      <w:bodyDiv w:val="1"/>
      <w:marLeft w:val="0"/>
      <w:marRight w:val="0"/>
      <w:marTop w:val="0"/>
      <w:marBottom w:val="0"/>
      <w:divBdr>
        <w:top w:val="none" w:sz="0" w:space="0" w:color="auto"/>
        <w:left w:val="none" w:sz="0" w:space="0" w:color="auto"/>
        <w:bottom w:val="none" w:sz="0" w:space="0" w:color="auto"/>
        <w:right w:val="none" w:sz="0" w:space="0" w:color="auto"/>
      </w:divBdr>
    </w:div>
    <w:div w:id="1976637007">
      <w:bodyDiv w:val="1"/>
      <w:marLeft w:val="0"/>
      <w:marRight w:val="0"/>
      <w:marTop w:val="0"/>
      <w:marBottom w:val="0"/>
      <w:divBdr>
        <w:top w:val="none" w:sz="0" w:space="0" w:color="auto"/>
        <w:left w:val="none" w:sz="0" w:space="0" w:color="auto"/>
        <w:bottom w:val="none" w:sz="0" w:space="0" w:color="auto"/>
        <w:right w:val="none" w:sz="0" w:space="0" w:color="auto"/>
      </w:divBdr>
    </w:div>
    <w:div w:id="2063482682">
      <w:bodyDiv w:val="1"/>
      <w:marLeft w:val="0"/>
      <w:marRight w:val="0"/>
      <w:marTop w:val="0"/>
      <w:marBottom w:val="0"/>
      <w:divBdr>
        <w:top w:val="none" w:sz="0" w:space="0" w:color="auto"/>
        <w:left w:val="none" w:sz="0" w:space="0" w:color="auto"/>
        <w:bottom w:val="none" w:sz="0" w:space="0" w:color="auto"/>
        <w:right w:val="none" w:sz="0" w:space="0" w:color="auto"/>
      </w:divBdr>
    </w:div>
    <w:div w:id="2067753099">
      <w:bodyDiv w:val="1"/>
      <w:marLeft w:val="0"/>
      <w:marRight w:val="0"/>
      <w:marTop w:val="0"/>
      <w:marBottom w:val="0"/>
      <w:divBdr>
        <w:top w:val="none" w:sz="0" w:space="0" w:color="auto"/>
        <w:left w:val="none" w:sz="0" w:space="0" w:color="auto"/>
        <w:bottom w:val="none" w:sz="0" w:space="0" w:color="auto"/>
        <w:right w:val="none" w:sz="0" w:space="0" w:color="auto"/>
      </w:divBdr>
    </w:div>
    <w:div w:id="2074615526">
      <w:bodyDiv w:val="1"/>
      <w:marLeft w:val="0"/>
      <w:marRight w:val="0"/>
      <w:marTop w:val="0"/>
      <w:marBottom w:val="0"/>
      <w:divBdr>
        <w:top w:val="none" w:sz="0" w:space="0" w:color="auto"/>
        <w:left w:val="none" w:sz="0" w:space="0" w:color="auto"/>
        <w:bottom w:val="none" w:sz="0" w:space="0" w:color="auto"/>
        <w:right w:val="none" w:sz="0" w:space="0" w:color="auto"/>
      </w:divBdr>
    </w:div>
    <w:div w:id="2078896239">
      <w:bodyDiv w:val="1"/>
      <w:marLeft w:val="0"/>
      <w:marRight w:val="0"/>
      <w:marTop w:val="0"/>
      <w:marBottom w:val="0"/>
      <w:divBdr>
        <w:top w:val="none" w:sz="0" w:space="0" w:color="auto"/>
        <w:left w:val="none" w:sz="0" w:space="0" w:color="auto"/>
        <w:bottom w:val="none" w:sz="0" w:space="0" w:color="auto"/>
        <w:right w:val="none" w:sz="0" w:space="0" w:color="auto"/>
      </w:divBdr>
    </w:div>
    <w:div w:id="2129270940">
      <w:bodyDiv w:val="1"/>
      <w:marLeft w:val="0"/>
      <w:marRight w:val="0"/>
      <w:marTop w:val="0"/>
      <w:marBottom w:val="0"/>
      <w:divBdr>
        <w:top w:val="none" w:sz="0" w:space="0" w:color="auto"/>
        <w:left w:val="none" w:sz="0" w:space="0" w:color="auto"/>
        <w:bottom w:val="none" w:sz="0" w:space="0" w:color="auto"/>
        <w:right w:val="none" w:sz="0" w:space="0" w:color="auto"/>
      </w:divBdr>
    </w:div>
    <w:div w:id="2129933917">
      <w:bodyDiv w:val="1"/>
      <w:marLeft w:val="0"/>
      <w:marRight w:val="0"/>
      <w:marTop w:val="0"/>
      <w:marBottom w:val="0"/>
      <w:divBdr>
        <w:top w:val="none" w:sz="0" w:space="0" w:color="auto"/>
        <w:left w:val="none" w:sz="0" w:space="0" w:color="auto"/>
        <w:bottom w:val="none" w:sz="0" w:space="0" w:color="auto"/>
        <w:right w:val="none" w:sz="0" w:space="0" w:color="auto"/>
      </w:divBdr>
    </w:div>
    <w:div w:id="21345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CA19-DADE-0F4D-AC1D-8C6AD00C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6272</Words>
  <Characters>35757</Characters>
  <Application>Microsoft Macintosh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dc:creator>
  <cp:lastModifiedBy>NA MA</cp:lastModifiedBy>
  <cp:revision>2</cp:revision>
  <cp:lastPrinted>2014-11-13T11:05:00Z</cp:lastPrinted>
  <dcterms:created xsi:type="dcterms:W3CDTF">2014-12-30T06:15:00Z</dcterms:created>
  <dcterms:modified xsi:type="dcterms:W3CDTF">2014-12-30T06:15:00Z</dcterms:modified>
</cp:coreProperties>
</file>