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04" w:rsidRPr="008C705C" w:rsidRDefault="005C4A04" w:rsidP="00370380">
      <w:pPr>
        <w:spacing w:line="360" w:lineRule="auto"/>
        <w:jc w:val="both"/>
        <w:rPr>
          <w:rFonts w:ascii="Book Antiqua" w:hAnsi="Book Antiqua"/>
        </w:rPr>
      </w:pPr>
      <w:r w:rsidRPr="008C705C">
        <w:rPr>
          <w:rFonts w:ascii="Book Antiqua" w:hAnsi="Book Antiqua"/>
        </w:rPr>
        <w:t xml:space="preserve">Name of journal: </w:t>
      </w:r>
      <w:r w:rsidRPr="008C705C">
        <w:rPr>
          <w:rFonts w:ascii="Book Antiqua" w:hAnsi="Book Antiqua"/>
          <w:i/>
        </w:rPr>
        <w:t>World Journal of Gastrointestinal Surgery</w:t>
      </w:r>
    </w:p>
    <w:p w:rsidR="005C4A04" w:rsidRPr="008C705C" w:rsidRDefault="005C4A04" w:rsidP="00370380">
      <w:pPr>
        <w:spacing w:line="360" w:lineRule="auto"/>
        <w:jc w:val="both"/>
        <w:rPr>
          <w:rFonts w:ascii="Book Antiqua" w:hAnsi="Book Antiqua"/>
        </w:rPr>
      </w:pPr>
      <w:r w:rsidRPr="008C705C">
        <w:rPr>
          <w:rFonts w:ascii="Book Antiqua" w:hAnsi="Book Antiqua"/>
        </w:rPr>
        <w:t>ESPS Manuscript NO:</w:t>
      </w:r>
      <w:r w:rsidRPr="008C705C">
        <w:rPr>
          <w:rFonts w:ascii="Book Antiqua" w:hAnsi="Book Antiqua"/>
          <w:lang w:eastAsia="zh-CN"/>
        </w:rPr>
        <w:t xml:space="preserve"> 12850</w:t>
      </w:r>
      <w:r w:rsidRPr="008C705C">
        <w:rPr>
          <w:rFonts w:ascii="Book Antiqua" w:hAnsi="Book Antiqua"/>
        </w:rPr>
        <w:t xml:space="preserve"> </w:t>
      </w:r>
    </w:p>
    <w:p w:rsidR="0016647F" w:rsidRPr="008C705C" w:rsidRDefault="005C4A04" w:rsidP="0016647F">
      <w:pPr>
        <w:spacing w:line="360" w:lineRule="auto"/>
        <w:jc w:val="both"/>
        <w:rPr>
          <w:rFonts w:ascii="Book Antiqua" w:hAnsi="Book Antiqua"/>
          <w:lang w:eastAsia="zh-CN"/>
        </w:rPr>
      </w:pPr>
      <w:r w:rsidRPr="008C705C">
        <w:rPr>
          <w:rFonts w:ascii="Book Antiqua" w:hAnsi="Book Antiqua"/>
        </w:rPr>
        <w:t>Columns: Observational Study</w:t>
      </w:r>
    </w:p>
    <w:p w:rsidR="0016647F" w:rsidRPr="008C705C" w:rsidRDefault="0016647F" w:rsidP="0016647F">
      <w:pPr>
        <w:spacing w:line="360" w:lineRule="auto"/>
        <w:jc w:val="both"/>
        <w:rPr>
          <w:rFonts w:ascii="Book Antiqua" w:hAnsi="Book Antiqua"/>
          <w:b/>
          <w:bCs/>
          <w:iCs/>
          <w:lang w:eastAsia="zh-CN"/>
        </w:rPr>
      </w:pPr>
    </w:p>
    <w:p w:rsidR="00D06560" w:rsidRPr="008C705C" w:rsidRDefault="00D06560" w:rsidP="00370380">
      <w:pPr>
        <w:pStyle w:val="Header"/>
        <w:spacing w:line="360" w:lineRule="auto"/>
        <w:jc w:val="both"/>
        <w:rPr>
          <w:rFonts w:ascii="Book Antiqua" w:hAnsi="Book Antiqua"/>
          <w:b/>
          <w:bCs/>
          <w:iCs/>
          <w:lang w:eastAsia="zh-CN"/>
        </w:rPr>
      </w:pPr>
      <w:r w:rsidRPr="008C705C">
        <w:rPr>
          <w:rFonts w:ascii="Book Antiqua" w:hAnsi="Book Antiqua"/>
          <w:b/>
          <w:bCs/>
          <w:iCs/>
        </w:rPr>
        <w:t>Factors influencing the diagnostic accuracy and management in acute surgical patients</w:t>
      </w:r>
    </w:p>
    <w:p w:rsidR="00C6019D" w:rsidRPr="008C705C" w:rsidRDefault="00C6019D" w:rsidP="00370380">
      <w:pPr>
        <w:pStyle w:val="Header"/>
        <w:spacing w:line="360" w:lineRule="auto"/>
        <w:jc w:val="both"/>
        <w:rPr>
          <w:rFonts w:ascii="Book Antiqua" w:hAnsi="Book Antiqua"/>
          <w:b/>
          <w:lang w:eastAsia="zh-CN"/>
        </w:rPr>
      </w:pPr>
    </w:p>
    <w:p w:rsidR="00D06560" w:rsidRPr="008C705C" w:rsidRDefault="00C6019D" w:rsidP="00370380">
      <w:pPr>
        <w:pStyle w:val="Header"/>
        <w:spacing w:line="360" w:lineRule="auto"/>
        <w:jc w:val="both"/>
        <w:rPr>
          <w:rFonts w:ascii="Book Antiqua" w:hAnsi="Book Antiqua"/>
          <w:lang w:eastAsia="zh-CN"/>
        </w:rPr>
      </w:pPr>
      <w:proofErr w:type="spellStart"/>
      <w:r w:rsidRPr="008C705C">
        <w:rPr>
          <w:rFonts w:ascii="Book Antiqua" w:hAnsi="Book Antiqua"/>
        </w:rPr>
        <w:t>Sajid</w:t>
      </w:r>
      <w:proofErr w:type="spellEnd"/>
      <w:r w:rsidRPr="008C705C">
        <w:rPr>
          <w:rFonts w:ascii="Book Antiqua" w:hAnsi="Book Antiqua"/>
          <w:lang w:eastAsia="zh-CN"/>
        </w:rPr>
        <w:t xml:space="preserve"> MS </w:t>
      </w:r>
      <w:r w:rsidRPr="008C705C">
        <w:rPr>
          <w:rFonts w:ascii="Book Antiqua" w:hAnsi="Book Antiqua"/>
          <w:i/>
          <w:lang w:eastAsia="zh-CN"/>
        </w:rPr>
        <w:t>et al.</w:t>
      </w:r>
      <w:r w:rsidRPr="008C705C">
        <w:rPr>
          <w:rFonts w:ascii="Book Antiqua" w:hAnsi="Book Antiqua"/>
        </w:rPr>
        <w:t xml:space="preserve"> Diagnostic accuracy in acute surgical patients</w:t>
      </w:r>
    </w:p>
    <w:p w:rsidR="00C6019D" w:rsidRPr="008C705C" w:rsidRDefault="00C6019D" w:rsidP="00370380">
      <w:pPr>
        <w:pStyle w:val="Header"/>
        <w:spacing w:line="360" w:lineRule="auto"/>
        <w:jc w:val="both"/>
        <w:rPr>
          <w:rFonts w:ascii="Book Antiqua" w:hAnsi="Book Antiqua"/>
          <w:i/>
          <w:lang w:eastAsia="zh-CN"/>
        </w:rPr>
      </w:pPr>
    </w:p>
    <w:p w:rsidR="001D5E68" w:rsidRPr="008C705C" w:rsidRDefault="001D5E68" w:rsidP="00370380">
      <w:pPr>
        <w:pStyle w:val="Header"/>
        <w:spacing w:line="360" w:lineRule="auto"/>
        <w:jc w:val="both"/>
        <w:rPr>
          <w:rFonts w:ascii="Book Antiqua" w:hAnsi="Book Antiqua"/>
          <w:lang w:eastAsia="zh-CN"/>
        </w:rPr>
      </w:pPr>
      <w:r w:rsidRPr="008C705C">
        <w:rPr>
          <w:rFonts w:ascii="Book Antiqua" w:hAnsi="Book Antiqua"/>
        </w:rPr>
        <w:t xml:space="preserve">Muhammad </w:t>
      </w:r>
      <w:proofErr w:type="spellStart"/>
      <w:r w:rsidRPr="008C705C">
        <w:rPr>
          <w:rFonts w:ascii="Book Antiqua" w:hAnsi="Book Antiqua"/>
        </w:rPr>
        <w:t>Shafique</w:t>
      </w:r>
      <w:proofErr w:type="spellEnd"/>
      <w:r w:rsidRPr="008C705C">
        <w:rPr>
          <w:rFonts w:ascii="Book Antiqua" w:hAnsi="Book Antiqua"/>
        </w:rPr>
        <w:t xml:space="preserve"> </w:t>
      </w:r>
      <w:proofErr w:type="spellStart"/>
      <w:r w:rsidRPr="008C705C">
        <w:rPr>
          <w:rFonts w:ascii="Book Antiqua" w:hAnsi="Book Antiqua"/>
        </w:rPr>
        <w:t>Sajid</w:t>
      </w:r>
      <w:proofErr w:type="spellEnd"/>
      <w:r w:rsidRPr="008C705C">
        <w:rPr>
          <w:rFonts w:ascii="Book Antiqua" w:hAnsi="Book Antiqua"/>
          <w:lang w:eastAsia="zh-CN"/>
        </w:rPr>
        <w:t xml:space="preserve">, </w:t>
      </w:r>
      <w:r w:rsidRPr="008C705C">
        <w:rPr>
          <w:rFonts w:ascii="Book Antiqua" w:hAnsi="Book Antiqua"/>
        </w:rPr>
        <w:t>Thaddeus Hollingsworth</w:t>
      </w:r>
      <w:r w:rsidRPr="008C705C">
        <w:rPr>
          <w:rFonts w:ascii="Book Antiqua" w:hAnsi="Book Antiqua"/>
          <w:lang w:eastAsia="zh-CN"/>
        </w:rPr>
        <w:t xml:space="preserve">, </w:t>
      </w:r>
      <w:r w:rsidRPr="008C705C">
        <w:rPr>
          <w:rFonts w:ascii="Book Antiqua" w:hAnsi="Book Antiqua"/>
        </w:rPr>
        <w:t xml:space="preserve">Mike </w:t>
      </w:r>
      <w:proofErr w:type="spellStart"/>
      <w:r w:rsidRPr="008C705C">
        <w:rPr>
          <w:rFonts w:ascii="Book Antiqua" w:hAnsi="Book Antiqua"/>
        </w:rPr>
        <w:t>MCglue</w:t>
      </w:r>
      <w:proofErr w:type="spellEnd"/>
      <w:r w:rsidRPr="008C705C">
        <w:rPr>
          <w:rFonts w:ascii="Book Antiqua" w:hAnsi="Book Antiqua"/>
          <w:lang w:eastAsia="zh-CN"/>
        </w:rPr>
        <w:t xml:space="preserve">, </w:t>
      </w:r>
      <w:r w:rsidRPr="008C705C">
        <w:rPr>
          <w:rFonts w:ascii="Book Antiqua" w:hAnsi="Book Antiqua"/>
        </w:rPr>
        <w:t xml:space="preserve">William </w:t>
      </w:r>
      <w:r w:rsidR="00C6019D" w:rsidRPr="008C705C">
        <w:rPr>
          <w:rFonts w:ascii="Book Antiqua" w:hAnsi="Book Antiqua"/>
          <w:lang w:eastAsia="zh-CN"/>
        </w:rPr>
        <w:t>F</w:t>
      </w:r>
      <w:r w:rsidRPr="008C705C">
        <w:rPr>
          <w:rFonts w:ascii="Book Antiqua" w:hAnsi="Book Antiqua"/>
        </w:rPr>
        <w:t xml:space="preserve">A Miles </w:t>
      </w:r>
    </w:p>
    <w:p w:rsidR="00FB2B73" w:rsidRPr="008C705C" w:rsidRDefault="00FB2B73" w:rsidP="00370380">
      <w:pPr>
        <w:pStyle w:val="Header"/>
        <w:spacing w:line="360" w:lineRule="auto"/>
        <w:jc w:val="both"/>
        <w:rPr>
          <w:rFonts w:ascii="Book Antiqua" w:hAnsi="Book Antiqua"/>
        </w:rPr>
      </w:pPr>
    </w:p>
    <w:p w:rsidR="00D06560" w:rsidRPr="008C705C" w:rsidRDefault="00C6019D" w:rsidP="00370380">
      <w:pPr>
        <w:pStyle w:val="Header"/>
        <w:spacing w:line="360" w:lineRule="auto"/>
        <w:jc w:val="both"/>
        <w:rPr>
          <w:rFonts w:ascii="Book Antiqua" w:hAnsi="Book Antiqua"/>
          <w:iCs/>
        </w:rPr>
      </w:pPr>
      <w:r w:rsidRPr="008C705C">
        <w:rPr>
          <w:rFonts w:ascii="Book Antiqua" w:hAnsi="Book Antiqua"/>
          <w:b/>
        </w:rPr>
        <w:t xml:space="preserve">Muhammad </w:t>
      </w:r>
      <w:proofErr w:type="spellStart"/>
      <w:r w:rsidRPr="008C705C">
        <w:rPr>
          <w:rFonts w:ascii="Book Antiqua" w:hAnsi="Book Antiqua"/>
          <w:b/>
        </w:rPr>
        <w:t>Shafique</w:t>
      </w:r>
      <w:proofErr w:type="spellEnd"/>
      <w:r w:rsidRPr="008C705C">
        <w:rPr>
          <w:rFonts w:ascii="Book Antiqua" w:hAnsi="Book Antiqua"/>
          <w:b/>
        </w:rPr>
        <w:t xml:space="preserve"> </w:t>
      </w:r>
      <w:proofErr w:type="spellStart"/>
      <w:r w:rsidRPr="008C705C">
        <w:rPr>
          <w:rFonts w:ascii="Book Antiqua" w:hAnsi="Book Antiqua"/>
          <w:b/>
        </w:rPr>
        <w:t>Sajid</w:t>
      </w:r>
      <w:proofErr w:type="spellEnd"/>
      <w:r w:rsidRPr="008C705C">
        <w:rPr>
          <w:rFonts w:ascii="Book Antiqua" w:hAnsi="Book Antiqua"/>
          <w:b/>
          <w:lang w:eastAsia="zh-CN"/>
        </w:rPr>
        <w:t xml:space="preserve">, </w:t>
      </w:r>
      <w:r w:rsidRPr="008C705C">
        <w:rPr>
          <w:rFonts w:ascii="Book Antiqua" w:hAnsi="Book Antiqua"/>
          <w:b/>
        </w:rPr>
        <w:t xml:space="preserve">William </w:t>
      </w:r>
      <w:r w:rsidRPr="008C705C">
        <w:rPr>
          <w:rFonts w:ascii="Book Antiqua" w:hAnsi="Book Antiqua"/>
          <w:b/>
          <w:lang w:eastAsia="zh-CN"/>
        </w:rPr>
        <w:t>F</w:t>
      </w:r>
      <w:r w:rsidRPr="008C705C">
        <w:rPr>
          <w:rFonts w:ascii="Book Antiqua" w:hAnsi="Book Antiqua"/>
          <w:b/>
        </w:rPr>
        <w:t>A Miles</w:t>
      </w:r>
      <w:r w:rsidRPr="008C705C">
        <w:rPr>
          <w:rFonts w:ascii="Book Antiqua" w:hAnsi="Book Antiqua"/>
          <w:b/>
          <w:lang w:eastAsia="zh-CN"/>
        </w:rPr>
        <w:t>,</w:t>
      </w:r>
      <w:r w:rsidRPr="008C705C">
        <w:rPr>
          <w:rFonts w:ascii="Book Antiqua" w:hAnsi="Book Antiqua"/>
          <w:b/>
        </w:rPr>
        <w:t xml:space="preserve"> </w:t>
      </w:r>
      <w:r w:rsidR="00D06560" w:rsidRPr="008C705C">
        <w:rPr>
          <w:rFonts w:ascii="Book Antiqua" w:hAnsi="Book Antiqua"/>
        </w:rPr>
        <w:t>Department of General, Laparoscopic and Endoscopic Colorectal Surgery</w:t>
      </w:r>
      <w:r w:rsidRPr="008C705C">
        <w:rPr>
          <w:rFonts w:ascii="Book Antiqua" w:hAnsi="Book Antiqua"/>
          <w:lang w:eastAsia="zh-CN"/>
        </w:rPr>
        <w:t>,</w:t>
      </w:r>
      <w:r w:rsidR="00D06560" w:rsidRPr="008C705C">
        <w:rPr>
          <w:rFonts w:ascii="Book Antiqua" w:hAnsi="Book Antiqua"/>
        </w:rPr>
        <w:t xml:space="preserve"> </w:t>
      </w:r>
      <w:r w:rsidR="00FB2B73" w:rsidRPr="008C705C">
        <w:rPr>
          <w:rFonts w:ascii="Book Antiqua" w:hAnsi="Book Antiqua"/>
        </w:rPr>
        <w:t>Western Sussex Hospitals NHS Foundation Trust</w:t>
      </w:r>
      <w:r w:rsidRPr="008C705C">
        <w:rPr>
          <w:rFonts w:ascii="Book Antiqua" w:hAnsi="Book Antiqua"/>
          <w:lang w:eastAsia="zh-CN"/>
        </w:rPr>
        <w:t>,</w:t>
      </w:r>
      <w:r w:rsidR="00FB2B73" w:rsidRPr="008C705C">
        <w:rPr>
          <w:rFonts w:ascii="Book Antiqua" w:hAnsi="Book Antiqua"/>
        </w:rPr>
        <w:t xml:space="preserve"> </w:t>
      </w:r>
      <w:proofErr w:type="spellStart"/>
      <w:r w:rsidR="00D06560" w:rsidRPr="008C705C">
        <w:rPr>
          <w:rFonts w:ascii="Book Antiqua" w:hAnsi="Book Antiqua"/>
        </w:rPr>
        <w:t>Worthing</w:t>
      </w:r>
      <w:proofErr w:type="spellEnd"/>
      <w:r w:rsidR="00D06560" w:rsidRPr="008C705C">
        <w:rPr>
          <w:rFonts w:ascii="Book Antiqua" w:hAnsi="Book Antiqua"/>
        </w:rPr>
        <w:t xml:space="preserve"> Hospital, </w:t>
      </w:r>
      <w:proofErr w:type="spellStart"/>
      <w:r w:rsidRPr="008C705C">
        <w:rPr>
          <w:rFonts w:ascii="Book Antiqua" w:hAnsi="Book Antiqua"/>
          <w:iCs/>
        </w:rPr>
        <w:t>Worthing</w:t>
      </w:r>
      <w:proofErr w:type="spellEnd"/>
      <w:r w:rsidRPr="008C705C">
        <w:rPr>
          <w:rFonts w:ascii="Book Antiqua" w:hAnsi="Book Antiqua"/>
          <w:iCs/>
          <w:lang w:eastAsia="zh-CN"/>
        </w:rPr>
        <w:t>,</w:t>
      </w:r>
      <w:r w:rsidR="00D06560" w:rsidRPr="008C705C">
        <w:rPr>
          <w:rFonts w:ascii="Book Antiqua" w:hAnsi="Book Antiqua"/>
          <w:iCs/>
        </w:rPr>
        <w:t xml:space="preserve"> West Sussex BN11 2DH</w:t>
      </w:r>
      <w:r w:rsidRPr="008C705C">
        <w:rPr>
          <w:rFonts w:ascii="Book Antiqua" w:hAnsi="Book Antiqua"/>
          <w:iCs/>
          <w:lang w:eastAsia="zh-CN"/>
        </w:rPr>
        <w:t>,</w:t>
      </w:r>
      <w:r w:rsidR="00D06560" w:rsidRPr="008C705C">
        <w:rPr>
          <w:rFonts w:ascii="Book Antiqua" w:hAnsi="Book Antiqua"/>
          <w:iCs/>
        </w:rPr>
        <w:t xml:space="preserve"> U</w:t>
      </w:r>
      <w:r w:rsidRPr="008C705C">
        <w:rPr>
          <w:rFonts w:ascii="Book Antiqua" w:hAnsi="Book Antiqua"/>
          <w:iCs/>
          <w:lang w:eastAsia="zh-CN"/>
        </w:rPr>
        <w:t xml:space="preserve">nited </w:t>
      </w:r>
      <w:r w:rsidR="00D06560" w:rsidRPr="008C705C">
        <w:rPr>
          <w:rFonts w:ascii="Book Antiqua" w:hAnsi="Book Antiqua"/>
          <w:iCs/>
        </w:rPr>
        <w:t>K</w:t>
      </w:r>
      <w:r w:rsidRPr="008C705C">
        <w:rPr>
          <w:rFonts w:ascii="Book Antiqua" w:hAnsi="Book Antiqua"/>
          <w:iCs/>
          <w:lang w:eastAsia="zh-CN"/>
        </w:rPr>
        <w:t>ingdom</w:t>
      </w:r>
      <w:r w:rsidR="00D06560" w:rsidRPr="008C705C">
        <w:rPr>
          <w:rFonts w:ascii="Book Antiqua" w:hAnsi="Book Antiqua"/>
          <w:iCs/>
        </w:rPr>
        <w:t xml:space="preserve"> </w:t>
      </w:r>
    </w:p>
    <w:p w:rsidR="00D06560" w:rsidRPr="008C705C" w:rsidRDefault="00D06560" w:rsidP="00370380">
      <w:pPr>
        <w:pStyle w:val="Header"/>
        <w:spacing w:line="360" w:lineRule="auto"/>
        <w:jc w:val="both"/>
        <w:rPr>
          <w:rFonts w:ascii="Book Antiqua" w:hAnsi="Book Antiqua"/>
        </w:rPr>
      </w:pPr>
    </w:p>
    <w:p w:rsidR="00D06560" w:rsidRPr="008C705C" w:rsidRDefault="00C6019D" w:rsidP="00370380">
      <w:pPr>
        <w:pStyle w:val="Header"/>
        <w:spacing w:line="360" w:lineRule="auto"/>
        <w:jc w:val="both"/>
        <w:rPr>
          <w:rFonts w:ascii="Book Antiqua" w:hAnsi="Book Antiqua"/>
          <w:iCs/>
          <w:lang w:eastAsia="zh-CN"/>
        </w:rPr>
      </w:pPr>
      <w:r w:rsidRPr="008C705C">
        <w:rPr>
          <w:rFonts w:ascii="Book Antiqua" w:hAnsi="Book Antiqua"/>
          <w:b/>
        </w:rPr>
        <w:t>Thaddeus Hollingsworth</w:t>
      </w:r>
      <w:r w:rsidRPr="008C705C">
        <w:rPr>
          <w:rFonts w:ascii="Book Antiqua" w:hAnsi="Book Antiqua"/>
          <w:b/>
          <w:lang w:eastAsia="zh-CN"/>
        </w:rPr>
        <w:t xml:space="preserve">, </w:t>
      </w:r>
      <w:r w:rsidRPr="008C705C">
        <w:rPr>
          <w:rFonts w:ascii="Book Antiqua" w:hAnsi="Book Antiqua"/>
          <w:b/>
        </w:rPr>
        <w:t xml:space="preserve">Mike </w:t>
      </w:r>
      <w:proofErr w:type="spellStart"/>
      <w:r w:rsidRPr="008C705C">
        <w:rPr>
          <w:rFonts w:ascii="Book Antiqua" w:hAnsi="Book Antiqua"/>
          <w:b/>
        </w:rPr>
        <w:t>MCglue</w:t>
      </w:r>
      <w:proofErr w:type="spellEnd"/>
      <w:r w:rsidRPr="008C705C">
        <w:rPr>
          <w:rFonts w:ascii="Book Antiqua" w:hAnsi="Book Antiqua"/>
          <w:b/>
          <w:lang w:eastAsia="zh-CN"/>
        </w:rPr>
        <w:t xml:space="preserve">, </w:t>
      </w:r>
      <w:r w:rsidR="00D06560" w:rsidRPr="008C705C">
        <w:rPr>
          <w:rFonts w:ascii="Book Antiqua" w:hAnsi="Book Antiqua"/>
        </w:rPr>
        <w:t>The American University of the Caribbean School of Medicine</w:t>
      </w:r>
      <w:r w:rsidRPr="008C705C">
        <w:rPr>
          <w:rFonts w:ascii="Book Antiqua" w:hAnsi="Book Antiqua"/>
          <w:lang w:eastAsia="zh-CN"/>
        </w:rPr>
        <w:t>,</w:t>
      </w:r>
      <w:r w:rsidR="00D06560" w:rsidRPr="008C705C">
        <w:rPr>
          <w:rFonts w:ascii="Book Antiqua" w:hAnsi="Book Antiqua"/>
        </w:rPr>
        <w:t xml:space="preserve"> </w:t>
      </w:r>
      <w:r w:rsidR="00D06560" w:rsidRPr="008C705C">
        <w:rPr>
          <w:rFonts w:ascii="Book Antiqua" w:hAnsi="Book Antiqua"/>
          <w:iCs/>
        </w:rPr>
        <w:t>FL 33134, U</w:t>
      </w:r>
      <w:r w:rsidRPr="008C705C">
        <w:rPr>
          <w:rFonts w:ascii="Book Antiqua" w:hAnsi="Book Antiqua"/>
          <w:iCs/>
          <w:lang w:eastAsia="zh-CN"/>
        </w:rPr>
        <w:t xml:space="preserve">nited </w:t>
      </w:r>
      <w:r w:rsidR="00D06560" w:rsidRPr="008C705C">
        <w:rPr>
          <w:rFonts w:ascii="Book Antiqua" w:hAnsi="Book Antiqua"/>
          <w:iCs/>
        </w:rPr>
        <w:t>S</w:t>
      </w:r>
      <w:r w:rsidRPr="008C705C">
        <w:rPr>
          <w:rFonts w:ascii="Book Antiqua" w:hAnsi="Book Antiqua"/>
          <w:iCs/>
          <w:lang w:eastAsia="zh-CN"/>
        </w:rPr>
        <w:t>tates</w:t>
      </w:r>
    </w:p>
    <w:p w:rsidR="00D06560" w:rsidRPr="008C705C" w:rsidRDefault="00D06560" w:rsidP="00370380">
      <w:pPr>
        <w:spacing w:line="360" w:lineRule="auto"/>
        <w:jc w:val="both"/>
        <w:rPr>
          <w:rFonts w:ascii="Book Antiqua" w:hAnsi="Book Antiqua"/>
          <w:lang w:val="en-GB" w:eastAsia="zh-CN"/>
        </w:rPr>
      </w:pPr>
    </w:p>
    <w:p w:rsidR="00D06560" w:rsidRPr="008C705C" w:rsidRDefault="00303831" w:rsidP="00370380">
      <w:pPr>
        <w:spacing w:line="360" w:lineRule="auto"/>
        <w:jc w:val="both"/>
        <w:rPr>
          <w:rFonts w:ascii="Book Antiqua" w:hAnsi="Book Antiqua"/>
          <w:lang w:eastAsia="zh-CN"/>
        </w:rPr>
      </w:pPr>
      <w:r w:rsidRPr="008C705C">
        <w:rPr>
          <w:rFonts w:ascii="Book Antiqua" w:hAnsi="Book Antiqua"/>
          <w:b/>
        </w:rPr>
        <w:t>Author contributions:</w:t>
      </w:r>
      <w:r w:rsidRPr="008C705C">
        <w:rPr>
          <w:rFonts w:ascii="Book Antiqua" w:hAnsi="Book Antiqua"/>
        </w:rPr>
        <w:t xml:space="preserve"> All</w:t>
      </w:r>
      <w:r w:rsidRPr="008C705C">
        <w:rPr>
          <w:rFonts w:ascii="Book Antiqua" w:hAnsi="Book Antiqua"/>
          <w:lang w:eastAsia="zh-CN"/>
        </w:rPr>
        <w:t xml:space="preserve"> authors contributed to this manuscript.</w:t>
      </w:r>
    </w:p>
    <w:p w:rsidR="00303831" w:rsidRPr="008C705C" w:rsidRDefault="00303831" w:rsidP="00370380">
      <w:pPr>
        <w:spacing w:line="360" w:lineRule="auto"/>
        <w:jc w:val="both"/>
        <w:rPr>
          <w:rFonts w:ascii="Book Antiqua" w:hAnsi="Book Antiqua"/>
          <w:lang w:val="en-GB" w:eastAsia="zh-CN"/>
        </w:rPr>
      </w:pPr>
    </w:p>
    <w:p w:rsidR="00D06560" w:rsidRPr="008C705C" w:rsidRDefault="003C334D" w:rsidP="00370380">
      <w:pPr>
        <w:spacing w:line="360" w:lineRule="auto"/>
        <w:jc w:val="both"/>
        <w:rPr>
          <w:rFonts w:ascii="Book Antiqua" w:hAnsi="Book Antiqua"/>
          <w:lang w:val="en-GB"/>
        </w:rPr>
      </w:pPr>
      <w:r w:rsidRPr="008C705C">
        <w:rPr>
          <w:rFonts w:ascii="Book Antiqua" w:hAnsi="Book Antiqua"/>
          <w:b/>
        </w:rPr>
        <w:t xml:space="preserve">Correspondence to: </w:t>
      </w:r>
      <w:r w:rsidRPr="008C705C">
        <w:rPr>
          <w:rFonts w:ascii="Book Antiqua" w:hAnsi="Book Antiqua"/>
          <w:b/>
          <w:lang w:val="en-GB"/>
        </w:rPr>
        <w:t xml:space="preserve">Muhammad </w:t>
      </w:r>
      <w:proofErr w:type="spellStart"/>
      <w:r w:rsidRPr="008C705C">
        <w:rPr>
          <w:rFonts w:ascii="Book Antiqua" w:hAnsi="Book Antiqua"/>
          <w:b/>
          <w:lang w:val="en-GB"/>
        </w:rPr>
        <w:t>Shafique</w:t>
      </w:r>
      <w:proofErr w:type="spellEnd"/>
      <w:r w:rsidRPr="008C705C">
        <w:rPr>
          <w:rFonts w:ascii="Book Antiqua" w:hAnsi="Book Antiqua"/>
          <w:b/>
          <w:lang w:val="en-GB"/>
        </w:rPr>
        <w:t xml:space="preserve"> </w:t>
      </w:r>
      <w:proofErr w:type="spellStart"/>
      <w:r w:rsidRPr="008C705C">
        <w:rPr>
          <w:rFonts w:ascii="Book Antiqua" w:hAnsi="Book Antiqua"/>
          <w:b/>
          <w:lang w:val="en-GB"/>
        </w:rPr>
        <w:t>Sajid</w:t>
      </w:r>
      <w:proofErr w:type="spellEnd"/>
      <w:r w:rsidRPr="008C705C">
        <w:rPr>
          <w:rFonts w:ascii="Book Antiqua" w:hAnsi="Book Antiqua"/>
          <w:b/>
          <w:lang w:val="en-GB" w:eastAsia="zh-CN"/>
        </w:rPr>
        <w:t xml:space="preserve">, </w:t>
      </w:r>
      <w:r w:rsidR="00D06560" w:rsidRPr="008C705C">
        <w:rPr>
          <w:rFonts w:ascii="Book Antiqua" w:hAnsi="Book Antiqua"/>
          <w:b/>
          <w:lang w:val="en-GB"/>
        </w:rPr>
        <w:t xml:space="preserve">Surgical Specialist Registrar, </w:t>
      </w:r>
      <w:r w:rsidRPr="008C705C">
        <w:rPr>
          <w:rFonts w:ascii="Book Antiqua" w:hAnsi="Book Antiqua"/>
        </w:rPr>
        <w:t>Department of General, Laparoscopic and Endoscopic Colorectal Surgery</w:t>
      </w:r>
      <w:r w:rsidRPr="008C705C">
        <w:rPr>
          <w:rFonts w:ascii="Book Antiqua" w:hAnsi="Book Antiqua"/>
          <w:lang w:eastAsia="zh-CN"/>
        </w:rPr>
        <w:t>,</w:t>
      </w:r>
      <w:r w:rsidRPr="008C705C">
        <w:rPr>
          <w:rFonts w:ascii="Book Antiqua" w:hAnsi="Book Antiqua"/>
        </w:rPr>
        <w:t xml:space="preserve"> Western Sussex Hospitals NHS Foundation Trust</w:t>
      </w:r>
      <w:r w:rsidRPr="008C705C">
        <w:rPr>
          <w:rFonts w:ascii="Book Antiqua" w:hAnsi="Book Antiqua"/>
          <w:lang w:eastAsia="zh-CN"/>
        </w:rPr>
        <w:t>,</w:t>
      </w:r>
      <w:r w:rsidRPr="008C705C">
        <w:rPr>
          <w:rFonts w:ascii="Book Antiqua" w:hAnsi="Book Antiqua"/>
        </w:rPr>
        <w:t xml:space="preserve"> </w:t>
      </w:r>
      <w:proofErr w:type="spellStart"/>
      <w:r w:rsidRPr="008C705C">
        <w:rPr>
          <w:rFonts w:ascii="Book Antiqua" w:hAnsi="Book Antiqua"/>
        </w:rPr>
        <w:t>Worthing</w:t>
      </w:r>
      <w:proofErr w:type="spellEnd"/>
      <w:r w:rsidRPr="008C705C">
        <w:rPr>
          <w:rFonts w:ascii="Book Antiqua" w:hAnsi="Book Antiqua"/>
        </w:rPr>
        <w:t xml:space="preserve"> Hospital, </w:t>
      </w:r>
      <w:r w:rsidR="00D06560" w:rsidRPr="008C705C">
        <w:rPr>
          <w:rFonts w:ascii="Book Antiqua" w:hAnsi="Book Antiqua"/>
          <w:lang w:val="en-GB"/>
        </w:rPr>
        <w:t>Washington Suite, North Wing,</w:t>
      </w:r>
      <w:r w:rsidRPr="008C705C">
        <w:rPr>
          <w:rFonts w:ascii="Book Antiqua" w:hAnsi="Book Antiqua"/>
          <w:lang w:val="en-GB"/>
        </w:rPr>
        <w:t xml:space="preserve"> Worthing Hospital, West Sussex</w:t>
      </w:r>
      <w:r w:rsidR="00D06560" w:rsidRPr="008C705C">
        <w:rPr>
          <w:rFonts w:ascii="Book Antiqua" w:hAnsi="Book Antiqua"/>
          <w:lang w:val="en-GB"/>
        </w:rPr>
        <w:t xml:space="preserve"> BN11 2DH</w:t>
      </w:r>
      <w:r w:rsidRPr="008C705C">
        <w:rPr>
          <w:rFonts w:ascii="Book Antiqua" w:hAnsi="Book Antiqua"/>
          <w:lang w:val="en-GB" w:eastAsia="zh-CN"/>
        </w:rPr>
        <w:t>,</w:t>
      </w:r>
      <w:r w:rsidR="00D06560" w:rsidRPr="008C705C">
        <w:rPr>
          <w:rFonts w:ascii="Book Antiqua" w:hAnsi="Book Antiqua"/>
          <w:lang w:val="en-GB"/>
        </w:rPr>
        <w:t xml:space="preserve"> </w:t>
      </w:r>
      <w:r w:rsidRPr="008C705C">
        <w:rPr>
          <w:rFonts w:ascii="Book Antiqua" w:hAnsi="Book Antiqua"/>
          <w:iCs/>
        </w:rPr>
        <w:t>U</w:t>
      </w:r>
      <w:r w:rsidRPr="008C705C">
        <w:rPr>
          <w:rFonts w:ascii="Book Antiqua" w:hAnsi="Book Antiqua"/>
          <w:iCs/>
          <w:lang w:eastAsia="zh-CN"/>
        </w:rPr>
        <w:t xml:space="preserve">nited </w:t>
      </w:r>
      <w:r w:rsidRPr="008C705C">
        <w:rPr>
          <w:rFonts w:ascii="Book Antiqua" w:hAnsi="Book Antiqua"/>
          <w:iCs/>
        </w:rPr>
        <w:t>K</w:t>
      </w:r>
      <w:r w:rsidRPr="008C705C">
        <w:rPr>
          <w:rFonts w:ascii="Book Antiqua" w:hAnsi="Book Antiqua"/>
          <w:iCs/>
          <w:lang w:eastAsia="zh-CN"/>
        </w:rPr>
        <w:t>ingdom.</w:t>
      </w:r>
      <w:r w:rsidRPr="008C705C">
        <w:rPr>
          <w:rFonts w:ascii="Book Antiqua" w:hAnsi="Book Antiqua"/>
          <w:lang w:eastAsia="zh-CN"/>
        </w:rPr>
        <w:t xml:space="preserve"> </w:t>
      </w:r>
      <w:r w:rsidR="00D06560" w:rsidRPr="008C705C">
        <w:rPr>
          <w:rFonts w:ascii="Book Antiqua" w:hAnsi="Book Antiqua"/>
          <w:lang w:val="en-GB"/>
        </w:rPr>
        <w:t>surgeon1wrh@hotmail.com</w:t>
      </w:r>
    </w:p>
    <w:p w:rsidR="003C334D" w:rsidRPr="008C705C" w:rsidRDefault="003C334D" w:rsidP="00370380">
      <w:pPr>
        <w:spacing w:line="360" w:lineRule="auto"/>
        <w:jc w:val="both"/>
        <w:rPr>
          <w:rFonts w:ascii="Book Antiqua" w:hAnsi="Book Antiqua"/>
          <w:lang w:val="en-GB" w:eastAsia="zh-CN"/>
        </w:rPr>
      </w:pPr>
    </w:p>
    <w:p w:rsidR="003C334D" w:rsidRPr="008C705C" w:rsidRDefault="003C334D" w:rsidP="00370380">
      <w:pPr>
        <w:spacing w:line="360" w:lineRule="auto"/>
        <w:jc w:val="both"/>
        <w:rPr>
          <w:rFonts w:ascii="Book Antiqua" w:hAnsi="Book Antiqua"/>
          <w:b/>
        </w:rPr>
      </w:pPr>
      <w:r w:rsidRPr="008C705C">
        <w:rPr>
          <w:rFonts w:ascii="Book Antiqua" w:hAnsi="Book Antiqua"/>
          <w:b/>
        </w:rPr>
        <w:t>Telephone:</w:t>
      </w:r>
      <w:r w:rsidRPr="008C705C">
        <w:rPr>
          <w:rFonts w:ascii="Book Antiqua" w:hAnsi="Book Antiqua"/>
          <w:lang w:val="en-GB" w:eastAsia="zh-CN"/>
        </w:rPr>
        <w:t xml:space="preserve"> +44-</w:t>
      </w:r>
      <w:r w:rsidRPr="008C705C">
        <w:rPr>
          <w:rFonts w:ascii="Book Antiqua" w:hAnsi="Book Antiqua"/>
          <w:lang w:val="en-GB"/>
        </w:rPr>
        <w:t>01</w:t>
      </w:r>
      <w:r w:rsidRPr="008C705C">
        <w:rPr>
          <w:rFonts w:ascii="Book Antiqua" w:hAnsi="Book Antiqua"/>
          <w:lang w:val="en-GB" w:eastAsia="zh-CN"/>
        </w:rPr>
        <w:t>-</w:t>
      </w:r>
      <w:r w:rsidRPr="008C705C">
        <w:rPr>
          <w:rFonts w:ascii="Book Antiqua" w:hAnsi="Book Antiqua"/>
          <w:lang w:val="en-GB"/>
        </w:rPr>
        <w:t>903205111</w:t>
      </w:r>
      <w:r w:rsidRPr="008C705C">
        <w:rPr>
          <w:rFonts w:ascii="Book Antiqua" w:hAnsi="Book Antiqua"/>
          <w:b/>
        </w:rPr>
        <w:t xml:space="preserve"> Fax:</w:t>
      </w:r>
      <w:r w:rsidRPr="008C705C">
        <w:rPr>
          <w:rFonts w:ascii="Book Antiqua" w:hAnsi="Book Antiqua"/>
          <w:lang w:eastAsia="zh-CN"/>
        </w:rPr>
        <w:t xml:space="preserve"> +44-</w:t>
      </w:r>
      <w:r w:rsidRPr="008C705C">
        <w:rPr>
          <w:rFonts w:ascii="Book Antiqua" w:hAnsi="Book Antiqua"/>
        </w:rPr>
        <w:t>01</w:t>
      </w:r>
      <w:r w:rsidRPr="008C705C">
        <w:rPr>
          <w:rFonts w:ascii="Book Antiqua" w:hAnsi="Book Antiqua"/>
          <w:lang w:eastAsia="zh-CN"/>
        </w:rPr>
        <w:t>-</w:t>
      </w:r>
      <w:r w:rsidRPr="008C705C">
        <w:rPr>
          <w:rFonts w:ascii="Book Antiqua" w:hAnsi="Book Antiqua"/>
        </w:rPr>
        <w:t>903285010</w:t>
      </w:r>
    </w:p>
    <w:p w:rsidR="003C334D" w:rsidRPr="008C705C" w:rsidRDefault="003C334D" w:rsidP="00370380">
      <w:pPr>
        <w:spacing w:line="360" w:lineRule="auto"/>
        <w:jc w:val="both"/>
        <w:rPr>
          <w:rFonts w:ascii="Book Antiqua" w:hAnsi="Book Antiqua"/>
          <w:lang w:val="en-GB" w:eastAsia="zh-CN"/>
        </w:rPr>
      </w:pPr>
    </w:p>
    <w:p w:rsidR="003C334D" w:rsidRPr="008C705C" w:rsidRDefault="003C334D" w:rsidP="00370380">
      <w:pPr>
        <w:spacing w:line="360" w:lineRule="auto"/>
        <w:jc w:val="both"/>
        <w:rPr>
          <w:rFonts w:ascii="Book Antiqua" w:hAnsi="Book Antiqua"/>
          <w:b/>
        </w:rPr>
      </w:pPr>
      <w:r w:rsidRPr="008C705C">
        <w:rPr>
          <w:rFonts w:ascii="Book Antiqua" w:hAnsi="Book Antiqua"/>
          <w:b/>
        </w:rPr>
        <w:t>Received:</w:t>
      </w:r>
      <w:r w:rsidRPr="008C705C">
        <w:rPr>
          <w:rFonts w:ascii="Book Antiqua" w:hAnsi="Book Antiqua"/>
        </w:rPr>
        <w:t xml:space="preserve"> </w:t>
      </w:r>
      <w:r w:rsidR="002741DF" w:rsidRPr="008C705C">
        <w:rPr>
          <w:rFonts w:ascii="Book Antiqua" w:hAnsi="Book Antiqua"/>
          <w:lang w:eastAsia="zh-CN"/>
        </w:rPr>
        <w:t>July 28, 2014</w:t>
      </w:r>
      <w:r w:rsidR="002741DF" w:rsidRPr="008C705C">
        <w:rPr>
          <w:rFonts w:ascii="Book Antiqua" w:hAnsi="Book Antiqua"/>
          <w:b/>
          <w:lang w:eastAsia="zh-CN"/>
        </w:rPr>
        <w:t xml:space="preserve"> </w:t>
      </w:r>
      <w:r w:rsidRPr="008C705C">
        <w:rPr>
          <w:rFonts w:ascii="Book Antiqua" w:hAnsi="Book Antiqua"/>
          <w:b/>
        </w:rPr>
        <w:t xml:space="preserve">Revised: </w:t>
      </w:r>
      <w:r w:rsidR="002741DF" w:rsidRPr="008C705C">
        <w:rPr>
          <w:rFonts w:ascii="Book Antiqua" w:hAnsi="Book Antiqua"/>
          <w:lang w:eastAsia="zh-CN"/>
        </w:rPr>
        <w:t>September 16, 2014</w:t>
      </w:r>
      <w:r w:rsidRPr="008C705C">
        <w:rPr>
          <w:rFonts w:ascii="Book Antiqua" w:hAnsi="Book Antiqua"/>
        </w:rPr>
        <w:t xml:space="preserve"> </w:t>
      </w:r>
    </w:p>
    <w:p w:rsidR="00AA6D46" w:rsidRPr="00605D8A" w:rsidRDefault="003C334D" w:rsidP="00AA6D46">
      <w:pPr>
        <w:rPr>
          <w:rFonts w:ascii="Book Antiqua" w:hAnsi="Book Antiqua"/>
          <w:color w:val="000000"/>
        </w:rPr>
      </w:pPr>
      <w:r w:rsidRPr="008C705C">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A6D46">
        <w:rPr>
          <w:rFonts w:ascii="Book Antiqua" w:hAnsi="Book Antiqua"/>
          <w:color w:val="000000"/>
        </w:rPr>
        <w:t>October</w:t>
      </w:r>
      <w:r w:rsidR="00AA6D46" w:rsidRPr="00605D8A">
        <w:rPr>
          <w:rFonts w:ascii="Book Antiqua" w:hAnsi="Book Antiqua"/>
          <w:color w:val="000000"/>
        </w:rPr>
        <w:t xml:space="preserve"> </w:t>
      </w:r>
      <w:r w:rsidR="00AA6D46">
        <w:rPr>
          <w:rFonts w:ascii="Book Antiqua" w:hAnsi="Book Antiqua"/>
          <w:color w:val="000000"/>
        </w:rPr>
        <w:t>14</w:t>
      </w:r>
      <w:r w:rsidR="00AA6D46"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C334D" w:rsidRPr="008C705C" w:rsidRDefault="003C334D" w:rsidP="00370380">
      <w:pPr>
        <w:spacing w:line="360" w:lineRule="auto"/>
        <w:jc w:val="both"/>
        <w:rPr>
          <w:rFonts w:ascii="Book Antiqua" w:hAnsi="Book Antiqua"/>
          <w:b/>
        </w:rPr>
      </w:pPr>
    </w:p>
    <w:p w:rsidR="003C334D" w:rsidRPr="008C705C" w:rsidRDefault="003C334D" w:rsidP="00370380">
      <w:pPr>
        <w:spacing w:line="360" w:lineRule="auto"/>
        <w:jc w:val="both"/>
        <w:rPr>
          <w:rFonts w:ascii="Book Antiqua" w:hAnsi="Book Antiqua" w:cs="宋体"/>
          <w:bCs/>
        </w:rPr>
      </w:pPr>
      <w:r w:rsidRPr="008C705C">
        <w:rPr>
          <w:rFonts w:ascii="Book Antiqua" w:hAnsi="Book Antiqua"/>
          <w:b/>
        </w:rPr>
        <w:t>Published online:</w:t>
      </w:r>
    </w:p>
    <w:p w:rsidR="002741DF" w:rsidRPr="008C705C" w:rsidRDefault="002741DF"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caps/>
        </w:rPr>
      </w:pPr>
      <w:r w:rsidRPr="008C705C">
        <w:rPr>
          <w:rFonts w:ascii="Book Antiqua" w:hAnsi="Book Antiqua"/>
          <w:b/>
          <w:caps/>
        </w:rPr>
        <w:t>A</w:t>
      </w:r>
      <w:r w:rsidR="001D5E68" w:rsidRPr="008C705C">
        <w:rPr>
          <w:rFonts w:ascii="Book Antiqua" w:hAnsi="Book Antiqua"/>
          <w:b/>
        </w:rPr>
        <w:t>bstract</w:t>
      </w:r>
    </w:p>
    <w:p w:rsidR="00D06560" w:rsidRPr="008C705C" w:rsidRDefault="001D5E68" w:rsidP="00370380">
      <w:pPr>
        <w:spacing w:line="360" w:lineRule="auto"/>
        <w:jc w:val="both"/>
        <w:rPr>
          <w:rFonts w:ascii="Book Antiqua" w:hAnsi="Book Antiqua"/>
          <w:lang w:eastAsia="zh-CN"/>
        </w:rPr>
      </w:pPr>
      <w:r w:rsidRPr="008C705C">
        <w:rPr>
          <w:rFonts w:ascii="Book Antiqua" w:hAnsi="Book Antiqua"/>
          <w:b/>
          <w:lang w:eastAsia="zh-CN"/>
        </w:rPr>
        <w:t>AIM:</w:t>
      </w:r>
      <w:r w:rsidR="00D06560" w:rsidRPr="008C705C">
        <w:rPr>
          <w:rFonts w:ascii="Book Antiqua" w:hAnsi="Book Antiqua"/>
        </w:rPr>
        <w:t xml:space="preserve"> </w:t>
      </w:r>
      <w:r w:rsidRPr="008C705C">
        <w:rPr>
          <w:rFonts w:ascii="Book Antiqua" w:hAnsi="Book Antiqua"/>
        </w:rPr>
        <w:t>T</w:t>
      </w:r>
      <w:r w:rsidR="00D06560" w:rsidRPr="008C705C">
        <w:rPr>
          <w:rFonts w:ascii="Book Antiqua" w:hAnsi="Book Antiqua"/>
        </w:rPr>
        <w:t>o evaluate the diagnostic accuracy (DA) in acute surgical patients admitted to a District General Hospital.</w:t>
      </w:r>
    </w:p>
    <w:p w:rsidR="001D5E68" w:rsidRPr="008C705C" w:rsidRDefault="001D5E68" w:rsidP="00370380">
      <w:pPr>
        <w:spacing w:line="360" w:lineRule="auto"/>
        <w:jc w:val="both"/>
        <w:rPr>
          <w:rFonts w:ascii="Book Antiqua" w:hAnsi="Book Antiqua"/>
          <w:lang w:eastAsia="zh-CN"/>
        </w:rPr>
      </w:pPr>
    </w:p>
    <w:p w:rsidR="00D06560" w:rsidRPr="008C705C" w:rsidRDefault="001D5E68" w:rsidP="00370380">
      <w:pPr>
        <w:spacing w:line="360" w:lineRule="auto"/>
        <w:jc w:val="both"/>
        <w:rPr>
          <w:rFonts w:ascii="Book Antiqua" w:hAnsi="Book Antiqua"/>
          <w:lang w:eastAsia="zh-CN"/>
        </w:rPr>
      </w:pPr>
      <w:r w:rsidRPr="008C705C">
        <w:rPr>
          <w:rFonts w:ascii="Book Antiqua" w:hAnsi="Book Antiqua"/>
          <w:b/>
        </w:rPr>
        <w:t>METHODS:</w:t>
      </w:r>
      <w:r w:rsidRPr="008C705C">
        <w:rPr>
          <w:rFonts w:ascii="Book Antiqua" w:hAnsi="Book Antiqua"/>
          <w:b/>
          <w:lang w:eastAsia="zh-CN"/>
        </w:rPr>
        <w:t xml:space="preserve"> </w:t>
      </w:r>
      <w:r w:rsidR="00D06560" w:rsidRPr="008C705C">
        <w:rPr>
          <w:rFonts w:ascii="Book Antiqua" w:hAnsi="Book Antiqua"/>
        </w:rPr>
        <w:t xml:space="preserve">The case notes of all acute surgical patients admitted under the surgical team for a period of two weeks were reviewed for the data pertaining to the admission diagnoses, relevant investigations and final diagnoses confirmed by either surgery or various other diagnostic modalities. The diagnostic pathway was recorded from the source of referral </w:t>
      </w:r>
      <w:r w:rsidR="002741DF" w:rsidRPr="008C705C">
        <w:rPr>
          <w:rFonts w:ascii="Book Antiqua" w:hAnsi="Book Antiqua"/>
          <w:lang w:eastAsia="zh-CN"/>
        </w:rPr>
        <w:t>[</w:t>
      </w:r>
      <w:r w:rsidR="002741DF" w:rsidRPr="008C705C">
        <w:rPr>
          <w:rFonts w:ascii="Book Antiqua" w:hAnsi="Book Antiqua"/>
        </w:rPr>
        <w:t xml:space="preserve">general practitioner </w:t>
      </w:r>
      <w:r w:rsidR="00D06560" w:rsidRPr="008C705C">
        <w:rPr>
          <w:rFonts w:ascii="Book Antiqua" w:hAnsi="Book Antiqua"/>
        </w:rPr>
        <w:t>(GP</w:t>
      </w:r>
      <w:r w:rsidR="002741DF" w:rsidRPr="008C705C">
        <w:rPr>
          <w:rFonts w:ascii="Book Antiqua" w:hAnsi="Book Antiqua"/>
          <w:lang w:eastAsia="zh-CN"/>
        </w:rPr>
        <w:t>)</w:t>
      </w:r>
      <w:r w:rsidR="00D06560" w:rsidRPr="008C705C">
        <w:rPr>
          <w:rFonts w:ascii="Book Antiqua" w:hAnsi="Book Antiqua"/>
        </w:rPr>
        <w:t>, A</w:t>
      </w:r>
      <w:r w:rsidR="002741DF" w:rsidRPr="008C705C">
        <w:rPr>
          <w:rFonts w:ascii="Book Antiqua" w:hAnsi="Book Antiqua"/>
          <w:lang w:eastAsia="zh-CN"/>
        </w:rPr>
        <w:t xml:space="preserve"> and </w:t>
      </w:r>
      <w:r w:rsidR="00D06560" w:rsidRPr="008C705C">
        <w:rPr>
          <w:rFonts w:ascii="Book Antiqua" w:hAnsi="Book Antiqua"/>
        </w:rPr>
        <w:t>E, in-patient</w:t>
      </w:r>
      <w:r w:rsidR="002741DF" w:rsidRPr="008C705C">
        <w:rPr>
          <w:rFonts w:ascii="Book Antiqua" w:hAnsi="Book Antiqua"/>
          <w:lang w:eastAsia="zh-CN"/>
        </w:rPr>
        <w:t>]</w:t>
      </w:r>
      <w:r w:rsidR="00D06560" w:rsidRPr="008C705C">
        <w:rPr>
          <w:rFonts w:ascii="Book Antiqua" w:hAnsi="Book Antiqua"/>
        </w:rPr>
        <w:t xml:space="preserve"> to the correct final diagnosis by the surgical team. </w:t>
      </w:r>
    </w:p>
    <w:p w:rsidR="001D5E68" w:rsidRPr="008C705C" w:rsidRDefault="001D5E68" w:rsidP="00370380">
      <w:pPr>
        <w:spacing w:line="360" w:lineRule="auto"/>
        <w:jc w:val="both"/>
        <w:rPr>
          <w:rFonts w:ascii="Book Antiqua" w:hAnsi="Book Antiqua"/>
          <w:b/>
          <w:lang w:eastAsia="zh-CN"/>
        </w:rPr>
      </w:pPr>
    </w:p>
    <w:p w:rsidR="00D06560" w:rsidRPr="008C705C" w:rsidRDefault="001D5E68" w:rsidP="00370380">
      <w:pPr>
        <w:spacing w:line="360" w:lineRule="auto"/>
        <w:jc w:val="both"/>
        <w:rPr>
          <w:rFonts w:ascii="Book Antiqua" w:hAnsi="Book Antiqua"/>
          <w:b/>
        </w:rPr>
      </w:pPr>
      <w:r w:rsidRPr="008C705C">
        <w:rPr>
          <w:rFonts w:ascii="Book Antiqua" w:hAnsi="Book Antiqua"/>
          <w:b/>
        </w:rPr>
        <w:t>RESULTS:</w:t>
      </w:r>
      <w:r w:rsidRPr="008C705C">
        <w:rPr>
          <w:rFonts w:ascii="Book Antiqua" w:hAnsi="Book Antiqua"/>
          <w:b/>
          <w:lang w:eastAsia="zh-CN"/>
        </w:rPr>
        <w:t xml:space="preserve"> </w:t>
      </w:r>
      <w:r w:rsidR="00D06560" w:rsidRPr="008C705C">
        <w:rPr>
          <w:rFonts w:ascii="Book Antiqua" w:hAnsi="Book Antiqua"/>
        </w:rPr>
        <w:t>Forty-one patients</w:t>
      </w:r>
      <w:r w:rsidR="00D06560" w:rsidRPr="008C705C">
        <w:rPr>
          <w:rFonts w:ascii="Book Antiqua" w:hAnsi="Book Antiqua"/>
          <w:b/>
        </w:rPr>
        <w:t xml:space="preserve"> </w:t>
      </w:r>
      <w:r w:rsidR="00D06560" w:rsidRPr="008C705C">
        <w:rPr>
          <w:rFonts w:ascii="Book Antiqua" w:hAnsi="Book Antiqua"/>
        </w:rPr>
        <w:t>(23 males)</w:t>
      </w:r>
      <w:r w:rsidR="00D06560" w:rsidRPr="008C705C">
        <w:rPr>
          <w:rFonts w:ascii="Book Antiqua" w:hAnsi="Book Antiqua"/>
          <w:b/>
        </w:rPr>
        <w:t xml:space="preserve"> </w:t>
      </w:r>
      <w:r w:rsidR="00D06560" w:rsidRPr="008C705C">
        <w:rPr>
          <w:rFonts w:ascii="Book Antiqua" w:hAnsi="Book Antiqua"/>
        </w:rPr>
        <w:t>were acute surgical admissions during two weeks of study period were evaluated. The mean age of study group was 61.05</w:t>
      </w:r>
      <w:r w:rsidR="002741DF" w:rsidRPr="008C705C">
        <w:rPr>
          <w:rFonts w:ascii="Book Antiqua" w:hAnsi="Book Antiqua"/>
          <w:lang w:eastAsia="zh-CN"/>
        </w:rPr>
        <w:t xml:space="preserve"> </w:t>
      </w:r>
      <w:r w:rsidR="00D06560" w:rsidRPr="008C705C">
        <w:rPr>
          <w:rFonts w:ascii="Book Antiqua" w:hAnsi="Book Antiqua"/>
        </w:rPr>
        <w:t>±</w:t>
      </w:r>
      <w:r w:rsidR="002741DF" w:rsidRPr="008C705C">
        <w:rPr>
          <w:rFonts w:ascii="Book Antiqua" w:hAnsi="Book Antiqua"/>
          <w:lang w:eastAsia="zh-CN"/>
        </w:rPr>
        <w:t xml:space="preserve"> </w:t>
      </w:r>
      <w:r w:rsidR="00D06560" w:rsidRPr="008C705C">
        <w:rPr>
          <w:rFonts w:ascii="Book Antiqua" w:hAnsi="Book Antiqua"/>
        </w:rPr>
        <w:t>23.24 years. There were 111 patient-doctor encounters. Final correct diagnosis was achieved in 85.4 % patients. The DA was 46%, 44%, 50%, 33%, 61%, 61%, and 75% by GP, A</w:t>
      </w:r>
      <w:r w:rsidR="002741DF" w:rsidRPr="008C705C">
        <w:rPr>
          <w:rFonts w:ascii="Book Antiqua" w:hAnsi="Book Antiqua"/>
          <w:lang w:eastAsia="zh-CN"/>
        </w:rPr>
        <w:t xml:space="preserve"> and </w:t>
      </w:r>
      <w:r w:rsidR="00D06560" w:rsidRPr="008C705C">
        <w:rPr>
          <w:rFonts w:ascii="Book Antiqua" w:hAnsi="Book Antiqua"/>
        </w:rPr>
        <w:t xml:space="preserve">E, in-patient referral, surgical </w:t>
      </w:r>
      <w:r w:rsidR="00FF0E3B" w:rsidRPr="008C705C">
        <w:rPr>
          <w:rFonts w:ascii="Book Antiqua" w:hAnsi="Book Antiqua"/>
        </w:rPr>
        <w:t>foundation year-1</w:t>
      </w:r>
      <w:r w:rsidR="00D06560" w:rsidRPr="008C705C">
        <w:rPr>
          <w:rFonts w:ascii="Book Antiqua" w:hAnsi="Book Antiqua"/>
        </w:rPr>
        <w:t xml:space="preserve">, surgical </w:t>
      </w:r>
      <w:r w:rsidR="002741DF" w:rsidRPr="008C705C">
        <w:rPr>
          <w:rFonts w:ascii="Book Antiqua" w:hAnsi="Book Antiqua"/>
        </w:rPr>
        <w:t xml:space="preserve">senior house officer </w:t>
      </w:r>
      <w:r w:rsidR="002741DF" w:rsidRPr="008C705C">
        <w:rPr>
          <w:rFonts w:ascii="Book Antiqua" w:hAnsi="Book Antiqua"/>
          <w:lang w:eastAsia="zh-CN"/>
        </w:rPr>
        <w:t>(</w:t>
      </w:r>
      <w:r w:rsidR="00D06560" w:rsidRPr="008C705C">
        <w:rPr>
          <w:rFonts w:ascii="Book Antiqua" w:hAnsi="Book Antiqua"/>
        </w:rPr>
        <w:t>SHO</w:t>
      </w:r>
      <w:r w:rsidR="002741DF" w:rsidRPr="008C705C">
        <w:rPr>
          <w:rFonts w:ascii="Book Antiqua" w:hAnsi="Book Antiqua"/>
          <w:lang w:eastAsia="zh-CN"/>
        </w:rPr>
        <w:t>)</w:t>
      </w:r>
      <w:r w:rsidR="00D06560" w:rsidRPr="008C705C">
        <w:rPr>
          <w:rFonts w:ascii="Book Antiqua" w:hAnsi="Book Antiqua"/>
        </w:rPr>
        <w:t xml:space="preserve">, surgical registrar, and surgical consultant respectively. The percentage of clinical consensus diagnosis was 12%. Surgery was performed in 48.8% of patients. Sixty-seven percent of GP-referred patients, 31% of </w:t>
      </w:r>
      <w:r w:rsidR="002741DF" w:rsidRPr="008C705C">
        <w:rPr>
          <w:rFonts w:ascii="Book Antiqua" w:hAnsi="Book Antiqua"/>
        </w:rPr>
        <w:t>A</w:t>
      </w:r>
      <w:r w:rsidR="002741DF" w:rsidRPr="008C705C">
        <w:rPr>
          <w:rFonts w:ascii="Book Antiqua" w:hAnsi="Book Antiqua"/>
          <w:lang w:eastAsia="zh-CN"/>
        </w:rPr>
        <w:t xml:space="preserve"> and </w:t>
      </w:r>
      <w:r w:rsidR="002741DF" w:rsidRPr="008C705C">
        <w:rPr>
          <w:rFonts w:ascii="Book Antiqua" w:hAnsi="Book Antiqua"/>
        </w:rPr>
        <w:t>E</w:t>
      </w:r>
      <w:r w:rsidR="00D06560" w:rsidRPr="008C705C">
        <w:rPr>
          <w:rFonts w:ascii="Book Antiqua" w:hAnsi="Book Antiqua"/>
        </w:rPr>
        <w:t>-referred, and 25% of the in-patient referrals underwent surgery. Surgical SHO made the most contributions to the primary diagnostic pathway.</w:t>
      </w:r>
    </w:p>
    <w:p w:rsidR="001D5E68" w:rsidRPr="008C705C" w:rsidRDefault="001D5E68" w:rsidP="00370380">
      <w:pPr>
        <w:spacing w:line="360" w:lineRule="auto"/>
        <w:jc w:val="both"/>
        <w:rPr>
          <w:rFonts w:ascii="Book Antiqua" w:hAnsi="Book Antiqua"/>
          <w:b/>
          <w:lang w:eastAsia="zh-CN"/>
        </w:rPr>
      </w:pPr>
    </w:p>
    <w:p w:rsidR="00D06560" w:rsidRPr="008C705C" w:rsidRDefault="001D5E68" w:rsidP="00370380">
      <w:pPr>
        <w:spacing w:line="360" w:lineRule="auto"/>
        <w:jc w:val="both"/>
        <w:rPr>
          <w:rFonts w:ascii="Book Antiqua" w:hAnsi="Book Antiqua"/>
          <w:b/>
        </w:rPr>
      </w:pPr>
      <w:r w:rsidRPr="008C705C">
        <w:rPr>
          <w:rFonts w:ascii="Book Antiqua" w:hAnsi="Book Antiqua"/>
          <w:b/>
        </w:rPr>
        <w:t>CONCLUSION:</w:t>
      </w:r>
      <w:r w:rsidRPr="008C705C">
        <w:rPr>
          <w:rFonts w:ascii="Book Antiqua" w:hAnsi="Book Antiqua"/>
          <w:b/>
          <w:lang w:eastAsia="zh-CN"/>
        </w:rPr>
        <w:t xml:space="preserve"> </w:t>
      </w:r>
      <w:r w:rsidR="00D06560" w:rsidRPr="008C705C">
        <w:rPr>
          <w:rFonts w:ascii="Book Antiqua" w:hAnsi="Book Antiqua"/>
        </w:rPr>
        <w:t>Approximately 85% of acute surgical patients can be diagnosed accurately along the diagnostic pathway. Patients referred by a GP are more likely to require surgery as compared to other referral sources. Surgical consultant was more likely to make correct surgical diagnosis, however it is the surgical SHO that contributes the most correct diagnoses along the diagnostic pathway.</w:t>
      </w:r>
    </w:p>
    <w:p w:rsidR="00D06560" w:rsidRPr="008C705C" w:rsidRDefault="00D06560" w:rsidP="00370380">
      <w:pPr>
        <w:pStyle w:val="HTMLPreformatted"/>
        <w:spacing w:line="360" w:lineRule="auto"/>
        <w:jc w:val="both"/>
        <w:rPr>
          <w:rFonts w:ascii="Book Antiqua" w:eastAsiaTheme="minorEastAsia" w:hAnsi="Book Antiqua" w:cs="Times New Roman"/>
          <w:sz w:val="24"/>
          <w:szCs w:val="24"/>
          <w:lang w:eastAsia="zh-CN"/>
        </w:rPr>
      </w:pPr>
    </w:p>
    <w:p w:rsidR="00FF0E3B" w:rsidRPr="008C705C" w:rsidRDefault="00FF0E3B" w:rsidP="00370380">
      <w:pPr>
        <w:pStyle w:val="HTMLPreformatted"/>
        <w:spacing w:line="360" w:lineRule="auto"/>
        <w:jc w:val="both"/>
        <w:rPr>
          <w:rFonts w:ascii="Book Antiqua" w:eastAsiaTheme="minorEastAsia" w:hAnsi="Book Antiqua"/>
          <w:sz w:val="24"/>
          <w:szCs w:val="24"/>
          <w:lang w:val="en-GB" w:eastAsia="zh-CN"/>
        </w:rPr>
      </w:pPr>
      <w:r w:rsidRPr="008C705C">
        <w:rPr>
          <w:rFonts w:ascii="Book Antiqua" w:hAnsi="Book Antiqua"/>
          <w:sz w:val="24"/>
          <w:szCs w:val="24"/>
        </w:rPr>
        <w:t xml:space="preserve">© </w:t>
      </w:r>
      <w:r w:rsidRPr="008C705C">
        <w:rPr>
          <w:rFonts w:ascii="Book Antiqua" w:hAnsi="Book Antiqua"/>
          <w:sz w:val="24"/>
          <w:szCs w:val="24"/>
          <w:lang w:val="en-GB"/>
        </w:rPr>
        <w:t xml:space="preserve">2014 </w:t>
      </w:r>
      <w:proofErr w:type="spellStart"/>
      <w:r w:rsidRPr="008C705C">
        <w:rPr>
          <w:rFonts w:ascii="Book Antiqua" w:hAnsi="Book Antiqua"/>
          <w:sz w:val="24"/>
          <w:szCs w:val="24"/>
          <w:lang w:val="en-GB"/>
        </w:rPr>
        <w:t>Baishideng</w:t>
      </w:r>
      <w:proofErr w:type="spellEnd"/>
      <w:r w:rsidRPr="008C705C">
        <w:rPr>
          <w:rFonts w:ascii="Book Antiqua" w:hAnsi="Book Antiqua"/>
          <w:sz w:val="24"/>
          <w:szCs w:val="24"/>
          <w:lang w:val="en-GB"/>
        </w:rPr>
        <w:t xml:space="preserve"> Publishing Group Inc. All rights reserved.</w:t>
      </w:r>
    </w:p>
    <w:p w:rsidR="00FF0E3B" w:rsidRPr="008C705C" w:rsidRDefault="00FF0E3B" w:rsidP="00370380">
      <w:pPr>
        <w:pStyle w:val="HTMLPreformatted"/>
        <w:spacing w:line="360" w:lineRule="auto"/>
        <w:jc w:val="both"/>
        <w:rPr>
          <w:rFonts w:ascii="Book Antiqua" w:eastAsiaTheme="minorEastAsia" w:hAnsi="Book Antiqua" w:cs="Times New Roman"/>
          <w:sz w:val="24"/>
          <w:szCs w:val="24"/>
          <w:lang w:eastAsia="zh-CN"/>
        </w:rPr>
      </w:pPr>
    </w:p>
    <w:p w:rsidR="00FF0E3B" w:rsidRPr="008C705C" w:rsidRDefault="00D06560" w:rsidP="00370380">
      <w:pPr>
        <w:pStyle w:val="HTMLPreformatted"/>
        <w:spacing w:line="360" w:lineRule="auto"/>
        <w:jc w:val="both"/>
        <w:rPr>
          <w:rFonts w:ascii="Book Antiqua" w:eastAsiaTheme="minorEastAsia" w:hAnsi="Book Antiqua" w:cs="Times New Roman"/>
          <w:sz w:val="24"/>
          <w:szCs w:val="24"/>
          <w:lang w:eastAsia="zh-CN"/>
        </w:rPr>
      </w:pPr>
      <w:r w:rsidRPr="008C705C">
        <w:rPr>
          <w:rFonts w:ascii="Book Antiqua" w:hAnsi="Book Antiqua" w:cs="Times New Roman"/>
          <w:b/>
          <w:sz w:val="24"/>
          <w:szCs w:val="24"/>
        </w:rPr>
        <w:t>Key words:</w:t>
      </w:r>
      <w:r w:rsidRPr="008C705C">
        <w:rPr>
          <w:rFonts w:ascii="Book Antiqua" w:hAnsi="Book Antiqua" w:cs="Times New Roman"/>
          <w:sz w:val="24"/>
          <w:szCs w:val="24"/>
        </w:rPr>
        <w:t xml:space="preserve"> Diagnostic </w:t>
      </w:r>
      <w:r w:rsidR="00FF0E3B" w:rsidRPr="008C705C">
        <w:rPr>
          <w:rFonts w:ascii="Book Antiqua" w:hAnsi="Book Antiqua" w:cs="Times New Roman"/>
          <w:sz w:val="24"/>
          <w:szCs w:val="24"/>
        </w:rPr>
        <w:t>a</w:t>
      </w:r>
      <w:r w:rsidRPr="008C705C">
        <w:rPr>
          <w:rFonts w:ascii="Book Antiqua" w:hAnsi="Book Antiqua" w:cs="Times New Roman"/>
          <w:sz w:val="24"/>
          <w:szCs w:val="24"/>
        </w:rPr>
        <w:t xml:space="preserve">ccuracy; Diagnostic </w:t>
      </w:r>
      <w:r w:rsidR="00FF0E3B" w:rsidRPr="008C705C">
        <w:rPr>
          <w:rFonts w:ascii="Book Antiqua" w:hAnsi="Book Antiqua" w:cs="Times New Roman"/>
          <w:sz w:val="24"/>
          <w:szCs w:val="24"/>
        </w:rPr>
        <w:t>e</w:t>
      </w:r>
      <w:r w:rsidRPr="008C705C">
        <w:rPr>
          <w:rFonts w:ascii="Book Antiqua" w:hAnsi="Book Antiqua" w:cs="Times New Roman"/>
          <w:sz w:val="24"/>
          <w:szCs w:val="24"/>
        </w:rPr>
        <w:t>rror; Misdiagnosis; Premature closure</w:t>
      </w:r>
    </w:p>
    <w:p w:rsidR="00FF0E3B" w:rsidRPr="008C705C" w:rsidRDefault="00FF0E3B" w:rsidP="00370380">
      <w:pPr>
        <w:pStyle w:val="HTMLPreformatted"/>
        <w:spacing w:line="360" w:lineRule="auto"/>
        <w:jc w:val="both"/>
        <w:rPr>
          <w:rFonts w:ascii="Book Antiqua" w:eastAsiaTheme="minorEastAsia" w:hAnsi="Book Antiqua" w:cs="Times New Roman"/>
          <w:sz w:val="24"/>
          <w:szCs w:val="24"/>
          <w:lang w:eastAsia="zh-CN"/>
        </w:rPr>
      </w:pPr>
    </w:p>
    <w:p w:rsidR="0086198F" w:rsidRPr="008C705C" w:rsidRDefault="0086198F" w:rsidP="00370380">
      <w:pPr>
        <w:pStyle w:val="HTMLPreformatted"/>
        <w:spacing w:line="360" w:lineRule="auto"/>
        <w:jc w:val="both"/>
        <w:rPr>
          <w:rFonts w:ascii="Book Antiqua" w:eastAsiaTheme="minorEastAsia" w:hAnsi="Book Antiqua"/>
          <w:sz w:val="24"/>
          <w:szCs w:val="24"/>
          <w:lang w:eastAsia="zh-CN"/>
        </w:rPr>
      </w:pPr>
      <w:r w:rsidRPr="008C705C">
        <w:rPr>
          <w:rFonts w:ascii="Book Antiqua" w:hAnsi="Book Antiqua"/>
          <w:b/>
          <w:sz w:val="24"/>
          <w:szCs w:val="24"/>
        </w:rPr>
        <w:t>C</w:t>
      </w:r>
      <w:r w:rsidR="001D5E68" w:rsidRPr="008C705C">
        <w:rPr>
          <w:rFonts w:ascii="Book Antiqua" w:hAnsi="Book Antiqua"/>
          <w:b/>
          <w:sz w:val="24"/>
          <w:szCs w:val="24"/>
        </w:rPr>
        <w:t>ore tip</w:t>
      </w:r>
      <w:r w:rsidR="001D5E68" w:rsidRPr="008C705C">
        <w:rPr>
          <w:rFonts w:ascii="Book Antiqua" w:hAnsi="Book Antiqua"/>
          <w:b/>
          <w:sz w:val="24"/>
          <w:szCs w:val="24"/>
          <w:lang w:eastAsia="zh-CN"/>
        </w:rPr>
        <w:t xml:space="preserve">: </w:t>
      </w:r>
      <w:r w:rsidRPr="008C705C">
        <w:rPr>
          <w:rFonts w:ascii="Book Antiqua" w:hAnsi="Book Antiqua"/>
          <w:sz w:val="24"/>
          <w:szCs w:val="24"/>
        </w:rPr>
        <w:t xml:space="preserve">Approximately 85% of acute surgical patients can be diagnosed accurately along the diagnostic pathway. One of the strategies to reduce diagnostic error is to develop pathways for feedback. It is particularly important to develop feedback pathways for the junior doctors, as it has been shown that less experienced doctors tend to most over-estimate their diagnostic accuracy. With anonymity removed, the basic design of this study seems well suited to enable feedback to each physician involved in the care of an acute surgical patient. </w:t>
      </w:r>
    </w:p>
    <w:p w:rsidR="00FF0E3B" w:rsidRPr="008C705C" w:rsidRDefault="00FF0E3B" w:rsidP="00370380">
      <w:pPr>
        <w:pStyle w:val="Header"/>
        <w:spacing w:line="360" w:lineRule="auto"/>
        <w:jc w:val="both"/>
        <w:rPr>
          <w:rFonts w:ascii="Book Antiqua" w:hAnsi="Book Antiqua"/>
          <w:i/>
          <w:lang w:eastAsia="zh-CN"/>
        </w:rPr>
      </w:pPr>
    </w:p>
    <w:p w:rsidR="00FF0E3B" w:rsidRPr="008C705C" w:rsidRDefault="00FF0E3B" w:rsidP="00370380">
      <w:pPr>
        <w:pStyle w:val="Header"/>
        <w:spacing w:line="360" w:lineRule="auto"/>
        <w:jc w:val="both"/>
        <w:rPr>
          <w:rFonts w:ascii="Book Antiqua" w:hAnsi="Book Antiqua"/>
          <w:bCs/>
          <w:iCs/>
          <w:lang w:eastAsia="zh-CN"/>
        </w:rPr>
      </w:pPr>
      <w:proofErr w:type="spellStart"/>
      <w:r w:rsidRPr="008C705C">
        <w:rPr>
          <w:rFonts w:ascii="Book Antiqua" w:hAnsi="Book Antiqua"/>
        </w:rPr>
        <w:t>Sajid</w:t>
      </w:r>
      <w:proofErr w:type="spellEnd"/>
      <w:r w:rsidRPr="008C705C">
        <w:rPr>
          <w:rFonts w:ascii="Book Antiqua" w:hAnsi="Book Antiqua"/>
          <w:lang w:eastAsia="zh-CN"/>
        </w:rPr>
        <w:t xml:space="preserve"> MS, </w:t>
      </w:r>
      <w:r w:rsidRPr="008C705C">
        <w:rPr>
          <w:rFonts w:ascii="Book Antiqua" w:hAnsi="Book Antiqua"/>
        </w:rPr>
        <w:t>Hollingsworth</w:t>
      </w:r>
      <w:r w:rsidRPr="008C705C">
        <w:rPr>
          <w:rFonts w:ascii="Book Antiqua" w:hAnsi="Book Antiqua"/>
          <w:lang w:eastAsia="zh-CN"/>
        </w:rPr>
        <w:t xml:space="preserve"> T, </w:t>
      </w:r>
      <w:proofErr w:type="spellStart"/>
      <w:r w:rsidRPr="008C705C">
        <w:rPr>
          <w:rFonts w:ascii="Book Antiqua" w:hAnsi="Book Antiqua"/>
        </w:rPr>
        <w:t>MCglue</w:t>
      </w:r>
      <w:proofErr w:type="spellEnd"/>
      <w:r w:rsidRPr="008C705C">
        <w:rPr>
          <w:rFonts w:ascii="Book Antiqua" w:hAnsi="Book Antiqua"/>
          <w:lang w:eastAsia="zh-CN"/>
        </w:rPr>
        <w:t xml:space="preserve"> M, </w:t>
      </w:r>
      <w:r w:rsidRPr="008C705C">
        <w:rPr>
          <w:rFonts w:ascii="Book Antiqua" w:hAnsi="Book Antiqua"/>
        </w:rPr>
        <w:t>Miles</w:t>
      </w:r>
      <w:r w:rsidRPr="008C705C">
        <w:rPr>
          <w:rFonts w:ascii="Book Antiqua" w:hAnsi="Book Antiqua"/>
          <w:lang w:eastAsia="zh-CN"/>
        </w:rPr>
        <w:t xml:space="preserve"> WFA.</w:t>
      </w:r>
      <w:r w:rsidRPr="008C705C">
        <w:rPr>
          <w:rFonts w:ascii="Book Antiqua" w:hAnsi="Book Antiqua"/>
          <w:bCs/>
          <w:iCs/>
        </w:rPr>
        <w:t xml:space="preserve"> </w:t>
      </w:r>
      <w:proofErr w:type="gramStart"/>
      <w:r w:rsidRPr="008C705C">
        <w:rPr>
          <w:rFonts w:ascii="Book Antiqua" w:hAnsi="Book Antiqua"/>
          <w:bCs/>
          <w:iCs/>
        </w:rPr>
        <w:t>Factors influencing the diagnostic accuracy and management in acute surgical patients</w:t>
      </w:r>
      <w:r w:rsidRPr="008C705C">
        <w:rPr>
          <w:rFonts w:ascii="Book Antiqua" w:hAnsi="Book Antiqua"/>
          <w:bCs/>
          <w:iCs/>
          <w:lang w:eastAsia="zh-CN"/>
        </w:rPr>
        <w:t>.</w:t>
      </w:r>
      <w:proofErr w:type="gramEnd"/>
      <w:r w:rsidRPr="008C705C">
        <w:rPr>
          <w:rFonts w:ascii="Book Antiqua" w:hAnsi="Book Antiqua"/>
          <w:bCs/>
          <w:iCs/>
          <w:lang w:eastAsia="zh-CN"/>
        </w:rPr>
        <w:t xml:space="preserve"> </w:t>
      </w:r>
      <w:r w:rsidRPr="008C705C">
        <w:rPr>
          <w:rFonts w:ascii="Book Antiqua" w:hAnsi="Book Antiqua"/>
          <w:i/>
          <w:iCs/>
        </w:rPr>
        <w:t xml:space="preserve">World J </w:t>
      </w:r>
      <w:proofErr w:type="spellStart"/>
      <w:r w:rsidRPr="008C705C">
        <w:rPr>
          <w:rFonts w:ascii="Book Antiqua" w:hAnsi="Book Antiqua"/>
          <w:i/>
          <w:iCs/>
        </w:rPr>
        <w:t>Gastrointest</w:t>
      </w:r>
      <w:proofErr w:type="spellEnd"/>
      <w:r w:rsidRPr="008C705C">
        <w:rPr>
          <w:rFonts w:ascii="Book Antiqua" w:hAnsi="Book Antiqua"/>
          <w:i/>
          <w:iCs/>
        </w:rPr>
        <w:t xml:space="preserve"> </w:t>
      </w:r>
      <w:proofErr w:type="spellStart"/>
      <w:r w:rsidRPr="008C705C">
        <w:rPr>
          <w:rFonts w:ascii="Book Antiqua" w:hAnsi="Book Antiqua"/>
          <w:i/>
          <w:iCs/>
        </w:rPr>
        <w:t>Surg</w:t>
      </w:r>
      <w:proofErr w:type="spellEnd"/>
      <w:r w:rsidRPr="008C705C">
        <w:rPr>
          <w:rFonts w:ascii="Book Antiqua" w:hAnsi="Book Antiqua"/>
          <w:i/>
          <w:iCs/>
          <w:lang w:eastAsia="zh-CN"/>
        </w:rPr>
        <w:t xml:space="preserve"> </w:t>
      </w:r>
      <w:r w:rsidRPr="008C705C">
        <w:rPr>
          <w:rFonts w:ascii="Book Antiqua" w:hAnsi="Book Antiqua"/>
          <w:iCs/>
          <w:lang w:eastAsia="zh-CN"/>
        </w:rPr>
        <w:t xml:space="preserve">2014; </w:t>
      </w:r>
      <w:proofErr w:type="gramStart"/>
      <w:r w:rsidRPr="008C705C">
        <w:rPr>
          <w:rFonts w:ascii="Book Antiqua" w:hAnsi="Book Antiqua"/>
          <w:iCs/>
          <w:lang w:eastAsia="zh-CN"/>
        </w:rPr>
        <w:t>In</w:t>
      </w:r>
      <w:proofErr w:type="gramEnd"/>
      <w:r w:rsidRPr="008C705C">
        <w:rPr>
          <w:rFonts w:ascii="Book Antiqua" w:hAnsi="Book Antiqua"/>
          <w:iCs/>
          <w:lang w:eastAsia="zh-CN"/>
        </w:rPr>
        <w:t xml:space="preserve"> press</w:t>
      </w:r>
    </w:p>
    <w:p w:rsidR="0086198F" w:rsidRPr="008C705C" w:rsidRDefault="0086198F" w:rsidP="00370380">
      <w:pPr>
        <w:pStyle w:val="HTMLPreformatted"/>
        <w:spacing w:line="360" w:lineRule="auto"/>
        <w:jc w:val="both"/>
        <w:rPr>
          <w:rFonts w:ascii="Book Antiqua" w:eastAsiaTheme="minorEastAsia" w:hAnsi="Book Antiqua" w:cs="Times New Roman"/>
          <w:sz w:val="24"/>
          <w:szCs w:val="24"/>
          <w:lang w:eastAsia="zh-CN"/>
        </w:rPr>
      </w:pPr>
    </w:p>
    <w:p w:rsidR="00D06560" w:rsidRPr="008C705C" w:rsidRDefault="00D06560" w:rsidP="00370380">
      <w:pPr>
        <w:pStyle w:val="HTMLPreformatted"/>
        <w:spacing w:line="360" w:lineRule="auto"/>
        <w:jc w:val="both"/>
        <w:rPr>
          <w:rFonts w:ascii="Book Antiqua" w:eastAsiaTheme="minorEastAsia" w:hAnsi="Book Antiqua" w:cs="Times New Roman"/>
          <w:b/>
          <w:sz w:val="24"/>
          <w:szCs w:val="24"/>
          <w:lang w:eastAsia="zh-CN"/>
        </w:rPr>
      </w:pPr>
      <w:r w:rsidRPr="008C705C">
        <w:rPr>
          <w:rFonts w:ascii="Book Antiqua" w:hAnsi="Book Antiqua" w:cs="Times New Roman"/>
          <w:b/>
          <w:sz w:val="24"/>
          <w:szCs w:val="24"/>
        </w:rPr>
        <w:t>INTRODUCTION</w:t>
      </w:r>
    </w:p>
    <w:p w:rsidR="00D06560" w:rsidRPr="008C705C" w:rsidRDefault="00D06560" w:rsidP="00370380">
      <w:pPr>
        <w:spacing w:line="360" w:lineRule="auto"/>
        <w:jc w:val="both"/>
        <w:rPr>
          <w:rFonts w:ascii="Book Antiqua" w:hAnsi="Book Antiqua"/>
          <w:vertAlign w:val="superscript"/>
        </w:rPr>
      </w:pPr>
      <w:r w:rsidRPr="008C705C">
        <w:rPr>
          <w:rFonts w:ascii="Book Antiqua" w:hAnsi="Book Antiqua"/>
        </w:rPr>
        <w:t xml:space="preserve">Diagnostic errors have recently begun to receive more attention as a preventable source of patient harm. Diagnostic errors </w:t>
      </w:r>
      <w:r w:rsidR="00370380" w:rsidRPr="008C705C">
        <w:rPr>
          <w:rFonts w:ascii="Book Antiqua" w:hAnsi="Book Antiqua"/>
        </w:rPr>
        <w:t xml:space="preserve">are estimated to account for 80000-160000 deaths per </w:t>
      </w:r>
      <w:proofErr w:type="gramStart"/>
      <w:r w:rsidR="00370380" w:rsidRPr="008C705C">
        <w:rPr>
          <w:rFonts w:ascii="Book Antiqua" w:hAnsi="Book Antiqua"/>
        </w:rPr>
        <w:t>year</w:t>
      </w:r>
      <w:r w:rsidRPr="008C705C">
        <w:rPr>
          <w:rFonts w:ascii="Book Antiqua" w:hAnsi="Book Antiqua"/>
          <w:vertAlign w:val="superscript"/>
        </w:rPr>
        <w:t>[</w:t>
      </w:r>
      <w:proofErr w:type="gramEnd"/>
      <w:r w:rsidRPr="008C705C">
        <w:rPr>
          <w:rFonts w:ascii="Book Antiqua" w:hAnsi="Book Antiqua"/>
          <w:vertAlign w:val="superscript"/>
        </w:rPr>
        <w:t>1]</w:t>
      </w:r>
      <w:r w:rsidRPr="008C705C">
        <w:rPr>
          <w:rFonts w:ascii="Book Antiqua" w:hAnsi="Book Antiqua"/>
        </w:rPr>
        <w:t>. Misdiagnosis has been the leading cause of medical malpractice payments over the last 25 years, making up 28.6% of cl</w:t>
      </w:r>
      <w:r w:rsidR="00370380" w:rsidRPr="008C705C">
        <w:rPr>
          <w:rFonts w:ascii="Book Antiqua" w:hAnsi="Book Antiqua"/>
        </w:rPr>
        <w:t xml:space="preserve">aims and 35.2% of total </w:t>
      </w:r>
      <w:proofErr w:type="gramStart"/>
      <w:r w:rsidR="00370380" w:rsidRPr="008C705C">
        <w:rPr>
          <w:rFonts w:ascii="Book Antiqua" w:hAnsi="Book Antiqua"/>
        </w:rPr>
        <w:t>payouts</w:t>
      </w:r>
      <w:r w:rsidRPr="008C705C">
        <w:rPr>
          <w:rFonts w:ascii="Book Antiqua" w:hAnsi="Book Antiqua"/>
          <w:vertAlign w:val="superscript"/>
        </w:rPr>
        <w:t>[</w:t>
      </w:r>
      <w:proofErr w:type="gramEnd"/>
      <w:r w:rsidRPr="008C705C">
        <w:rPr>
          <w:rFonts w:ascii="Book Antiqua" w:hAnsi="Book Antiqua"/>
          <w:vertAlign w:val="superscript"/>
        </w:rPr>
        <w:t>1]</w:t>
      </w:r>
      <w:r w:rsidRPr="008C705C">
        <w:rPr>
          <w:rFonts w:ascii="Book Antiqua" w:hAnsi="Book Antiqua"/>
        </w:rPr>
        <w:t>. Missed, incorrect, or delayed diagnoses are estimated to occur in 15% of clinical cases, accounting for 8</w:t>
      </w:r>
      <w:r w:rsidR="00370380" w:rsidRPr="008C705C">
        <w:rPr>
          <w:rFonts w:ascii="Book Antiqua" w:hAnsi="Book Antiqua" w:hint="eastAsia"/>
          <w:lang w:eastAsia="zh-CN"/>
        </w:rPr>
        <w:t>%</w:t>
      </w:r>
      <w:r w:rsidRPr="008C705C">
        <w:rPr>
          <w:rFonts w:ascii="Book Antiqua" w:hAnsi="Book Antiqua"/>
        </w:rPr>
        <w:t xml:space="preserve">-20% of adverse medical </w:t>
      </w:r>
      <w:proofErr w:type="gramStart"/>
      <w:r w:rsidRPr="008C705C">
        <w:rPr>
          <w:rFonts w:ascii="Book Antiqua" w:hAnsi="Book Antiqua"/>
        </w:rPr>
        <w:t>e</w:t>
      </w:r>
      <w:r w:rsidR="00370380" w:rsidRPr="008C705C">
        <w:rPr>
          <w:rFonts w:ascii="Book Antiqua" w:hAnsi="Book Antiqua"/>
        </w:rPr>
        <w:t>vents</w:t>
      </w:r>
      <w:r w:rsidRPr="008C705C">
        <w:rPr>
          <w:rFonts w:ascii="Book Antiqua" w:hAnsi="Book Antiqua"/>
          <w:vertAlign w:val="superscript"/>
        </w:rPr>
        <w:t>[</w:t>
      </w:r>
      <w:proofErr w:type="gramEnd"/>
      <w:r w:rsidRPr="008C705C">
        <w:rPr>
          <w:rFonts w:ascii="Book Antiqua" w:hAnsi="Book Antiqua"/>
          <w:vertAlign w:val="superscript"/>
        </w:rPr>
        <w:t>2]</w:t>
      </w:r>
      <w:r w:rsidRPr="008C705C">
        <w:rPr>
          <w:rFonts w:ascii="Book Antiqua" w:hAnsi="Book Antiqua"/>
        </w:rPr>
        <w:t xml:space="preserve">. Diagnosis is the most critical of a physician’s skills. </w:t>
      </w:r>
      <w:proofErr w:type="spellStart"/>
      <w:r w:rsidRPr="008C705C">
        <w:rPr>
          <w:rFonts w:ascii="Book Antiqua" w:hAnsi="Book Antiqua"/>
        </w:rPr>
        <w:t>Nuland</w:t>
      </w:r>
      <w:proofErr w:type="spellEnd"/>
      <w:r w:rsidRPr="008C705C">
        <w:rPr>
          <w:rFonts w:ascii="Book Antiqua" w:hAnsi="Book Antiqua"/>
        </w:rPr>
        <w:t xml:space="preserve"> previously so perfectly stated, “It is every doctor’s measure of his abilities; it is the most important ingredient i</w:t>
      </w:r>
      <w:r w:rsidR="00370380" w:rsidRPr="008C705C">
        <w:rPr>
          <w:rFonts w:ascii="Book Antiqua" w:hAnsi="Book Antiqua"/>
        </w:rPr>
        <w:t>n his professional self image”</w:t>
      </w:r>
      <w:r w:rsidRPr="008C705C">
        <w:rPr>
          <w:rFonts w:ascii="Book Antiqua" w:hAnsi="Book Antiqua"/>
          <w:vertAlign w:val="superscript"/>
        </w:rPr>
        <w:t>[3]</w:t>
      </w:r>
      <w:r w:rsidR="00370380" w:rsidRPr="008C705C">
        <w:rPr>
          <w:rFonts w:ascii="Book Antiqua" w:hAnsi="Book Antiqua" w:hint="eastAsia"/>
          <w:lang w:eastAsia="zh-CN"/>
        </w:rPr>
        <w:t xml:space="preserve">, </w:t>
      </w:r>
      <w:r w:rsidRPr="008C705C">
        <w:rPr>
          <w:rFonts w:ascii="Book Antiqua" w:hAnsi="Book Antiqua"/>
        </w:rPr>
        <w:t xml:space="preserve">yet even with such a high regard for diagnostic accuracy, there remains an absence of ownership when it comes to quality and safety systems </w:t>
      </w:r>
      <w:r w:rsidR="00370380" w:rsidRPr="008C705C">
        <w:rPr>
          <w:rFonts w:ascii="Book Antiqua" w:hAnsi="Book Antiqua"/>
        </w:rPr>
        <w:t>to reduce the diagnostic errors</w:t>
      </w:r>
      <w:r w:rsidRPr="008C705C">
        <w:rPr>
          <w:rFonts w:ascii="Book Antiqua" w:hAnsi="Book Antiqua"/>
          <w:vertAlign w:val="superscript"/>
        </w:rPr>
        <w:t>[4]</w:t>
      </w:r>
      <w:r w:rsidRPr="008C705C">
        <w:rPr>
          <w:rFonts w:ascii="Book Antiqua" w:hAnsi="Book Antiqua"/>
        </w:rPr>
        <w:t>.</w:t>
      </w:r>
      <w:r w:rsidRPr="008C705C">
        <w:rPr>
          <w:rFonts w:ascii="Book Antiqua" w:hAnsi="Book Antiqua"/>
          <w:vertAlign w:val="superscript"/>
        </w:rPr>
        <w:t xml:space="preserve"> </w:t>
      </w:r>
      <w:r w:rsidRPr="008C705C">
        <w:rPr>
          <w:rFonts w:ascii="Book Antiqua" w:hAnsi="Book Antiqua"/>
        </w:rPr>
        <w:t xml:space="preserve">Most of the studies attempting to quantify the diagnostic error have either been retrospective studies examining adverse events, such as malpractice claims and autopsy </w:t>
      </w:r>
      <w:r w:rsidRPr="008C705C">
        <w:rPr>
          <w:rFonts w:ascii="Book Antiqua" w:hAnsi="Book Antiqua"/>
        </w:rPr>
        <w:lastRenderedPageBreak/>
        <w:t>reports, or have been experimental studies comparing multiple physician responses to the same diagnostically challenging scenarios, which are often not reflective of the actual clinical environmen</w:t>
      </w:r>
      <w:r w:rsidR="00370380" w:rsidRPr="008C705C">
        <w:rPr>
          <w:rFonts w:ascii="Book Antiqua" w:hAnsi="Book Antiqua"/>
        </w:rPr>
        <w:t>t</w:t>
      </w:r>
      <w:r w:rsidRPr="008C705C">
        <w:rPr>
          <w:rFonts w:ascii="Book Antiqua" w:hAnsi="Book Antiqua"/>
          <w:vertAlign w:val="superscript"/>
        </w:rPr>
        <w:t>[2]</w:t>
      </w:r>
      <w:r w:rsidRPr="008C705C">
        <w:rPr>
          <w:rFonts w:ascii="Book Antiqua" w:hAnsi="Book Antiqua"/>
        </w:rPr>
        <w:t>. Therefore, the true prevalence of diagnostic errors and inability to make right diagnosis along the acute surgical pathway has been no</w:t>
      </w:r>
      <w:r w:rsidR="00370380" w:rsidRPr="008C705C">
        <w:rPr>
          <w:rFonts w:ascii="Book Antiqua" w:hAnsi="Book Antiqua"/>
        </w:rPr>
        <w:t xml:space="preserve">toriously difficult to </w:t>
      </w:r>
      <w:proofErr w:type="gramStart"/>
      <w:r w:rsidR="00370380" w:rsidRPr="008C705C">
        <w:rPr>
          <w:rFonts w:ascii="Book Antiqua" w:hAnsi="Book Antiqua"/>
        </w:rPr>
        <w:t>evaluate</w:t>
      </w:r>
      <w:r w:rsidR="00370380" w:rsidRPr="008C705C">
        <w:rPr>
          <w:rFonts w:ascii="Book Antiqua" w:hAnsi="Book Antiqua"/>
          <w:vertAlign w:val="superscript"/>
        </w:rPr>
        <w:t>[</w:t>
      </w:r>
      <w:proofErr w:type="gramEnd"/>
      <w:r w:rsidR="00370380" w:rsidRPr="008C705C">
        <w:rPr>
          <w:rFonts w:ascii="Book Antiqua" w:hAnsi="Book Antiqua"/>
          <w:vertAlign w:val="superscript"/>
        </w:rPr>
        <w:t>2,</w:t>
      </w:r>
      <w:r w:rsidRPr="008C705C">
        <w:rPr>
          <w:rFonts w:ascii="Book Antiqua" w:hAnsi="Book Antiqua"/>
          <w:vertAlign w:val="superscript"/>
        </w:rPr>
        <w:t>5]</w:t>
      </w:r>
      <w:r w:rsidRPr="008C705C">
        <w:rPr>
          <w:rFonts w:ascii="Book Antiqua" w:hAnsi="Book Antiqua"/>
        </w:rPr>
        <w:t>.</w:t>
      </w:r>
    </w:p>
    <w:p w:rsidR="00D06560" w:rsidRPr="008C705C" w:rsidRDefault="00D06560" w:rsidP="00370380">
      <w:pPr>
        <w:spacing w:line="360" w:lineRule="auto"/>
        <w:ind w:firstLineChars="100" w:firstLine="240"/>
        <w:jc w:val="both"/>
        <w:rPr>
          <w:rFonts w:ascii="Book Antiqua" w:hAnsi="Book Antiqua"/>
        </w:rPr>
      </w:pPr>
      <w:r w:rsidRPr="008C705C">
        <w:rPr>
          <w:rFonts w:ascii="Book Antiqua" w:hAnsi="Book Antiqua"/>
        </w:rPr>
        <w:t>Preventable diagnostic errors can result form the system-related factors and various cognitive factors. A published article on the prevalence of diagnostic error in 100 clinical cases revealed the system-related factors result in 65% diagnostic inaccuraci</w:t>
      </w:r>
      <w:r w:rsidR="001A0F6C" w:rsidRPr="008C705C">
        <w:rPr>
          <w:rFonts w:ascii="Book Antiqua" w:hAnsi="Book Antiqua"/>
        </w:rPr>
        <w:t>es and cognitive factors in 74%</w:t>
      </w:r>
      <w:r w:rsidRPr="008C705C">
        <w:rPr>
          <w:rFonts w:ascii="Book Antiqua" w:hAnsi="Book Antiqua"/>
          <w:vertAlign w:val="superscript"/>
        </w:rPr>
        <w:t>[6]</w:t>
      </w:r>
      <w:r w:rsidRPr="008C705C">
        <w:rPr>
          <w:rFonts w:ascii="Book Antiqua" w:hAnsi="Book Antiqua"/>
        </w:rPr>
        <w:t xml:space="preserve"> of the diagnostic inaccuracies. While many programs have been initiated to address the system-related factors such as improved communication, enhancing the concept of an effective teamwork, and tackling the procedural problems, clear pathways to reduce the diagnostic errors contributed by the cognitive factors have been more elusive and indefinable. A wide range of suggestions has been made about how to reduce cognitive errors in making the correct diagnosis. Graber </w:t>
      </w:r>
      <w:r w:rsidRPr="008C705C">
        <w:rPr>
          <w:rFonts w:ascii="Book Antiqua" w:hAnsi="Book Antiqua"/>
          <w:i/>
        </w:rPr>
        <w:t xml:space="preserve">et </w:t>
      </w:r>
      <w:proofErr w:type="gramStart"/>
      <w:r w:rsidRPr="008C705C">
        <w:rPr>
          <w:rFonts w:ascii="Book Antiqua" w:hAnsi="Book Antiqua"/>
          <w:i/>
        </w:rPr>
        <w:t>al</w:t>
      </w:r>
      <w:r w:rsidR="00AD479B" w:rsidRPr="008C705C">
        <w:rPr>
          <w:rFonts w:ascii="Book Antiqua" w:hAnsi="Book Antiqua" w:hint="eastAsia"/>
          <w:vertAlign w:val="superscript"/>
          <w:lang w:eastAsia="zh-CN"/>
        </w:rPr>
        <w:t>[</w:t>
      </w:r>
      <w:proofErr w:type="gramEnd"/>
      <w:r w:rsidR="00AD479B" w:rsidRPr="008C705C">
        <w:rPr>
          <w:rFonts w:ascii="Book Antiqua" w:hAnsi="Book Antiqua" w:hint="eastAsia"/>
          <w:vertAlign w:val="superscript"/>
          <w:lang w:eastAsia="zh-CN"/>
        </w:rPr>
        <w:t>6]</w:t>
      </w:r>
      <w:r w:rsidRPr="008C705C">
        <w:rPr>
          <w:rFonts w:ascii="Book Antiqua" w:hAnsi="Book Antiqua"/>
        </w:rPr>
        <w:t xml:space="preserve"> have described three distinct categories of interventions as those meant to</w:t>
      </w:r>
      <w:r w:rsidR="001A0F6C" w:rsidRPr="008C705C">
        <w:rPr>
          <w:rFonts w:ascii="Book Antiqua" w:hAnsi="Book Antiqua" w:hint="eastAsia"/>
          <w:lang w:eastAsia="zh-CN"/>
        </w:rPr>
        <w:t>:</w:t>
      </w:r>
      <w:r w:rsidRPr="008C705C">
        <w:rPr>
          <w:rFonts w:ascii="Book Antiqua" w:hAnsi="Book Antiqua"/>
        </w:rPr>
        <w:t xml:space="preserve"> </w:t>
      </w:r>
      <w:r w:rsidR="001A0F6C" w:rsidRPr="008C705C">
        <w:rPr>
          <w:rFonts w:ascii="Book Antiqua" w:hAnsi="Book Antiqua" w:hint="eastAsia"/>
          <w:lang w:eastAsia="zh-CN"/>
        </w:rPr>
        <w:t>(</w:t>
      </w:r>
      <w:r w:rsidRPr="008C705C">
        <w:rPr>
          <w:rFonts w:ascii="Book Antiqua" w:hAnsi="Book Antiqua"/>
        </w:rPr>
        <w:t>1) improve knowledge and experience</w:t>
      </w:r>
      <w:r w:rsidR="001A0F6C" w:rsidRPr="008C705C">
        <w:rPr>
          <w:rFonts w:ascii="Book Antiqua" w:hAnsi="Book Antiqua" w:hint="eastAsia"/>
          <w:lang w:eastAsia="zh-CN"/>
        </w:rPr>
        <w:t>;</w:t>
      </w:r>
      <w:r w:rsidRPr="008C705C">
        <w:rPr>
          <w:rFonts w:ascii="Book Antiqua" w:hAnsi="Book Antiqua"/>
        </w:rPr>
        <w:t xml:space="preserve"> </w:t>
      </w:r>
      <w:r w:rsidR="001A0F6C" w:rsidRPr="008C705C">
        <w:rPr>
          <w:rFonts w:ascii="Book Antiqua" w:hAnsi="Book Antiqua" w:hint="eastAsia"/>
          <w:lang w:eastAsia="zh-CN"/>
        </w:rPr>
        <w:t>(</w:t>
      </w:r>
      <w:r w:rsidRPr="008C705C">
        <w:rPr>
          <w:rFonts w:ascii="Book Antiqua" w:hAnsi="Book Antiqua"/>
        </w:rPr>
        <w:t>2) improve clinical reasoning and decision-making skills</w:t>
      </w:r>
      <w:r w:rsidR="001A0F6C" w:rsidRPr="008C705C">
        <w:rPr>
          <w:rFonts w:ascii="Book Antiqua" w:hAnsi="Book Antiqua" w:hint="eastAsia"/>
          <w:lang w:eastAsia="zh-CN"/>
        </w:rPr>
        <w:t>;</w:t>
      </w:r>
      <w:r w:rsidRPr="008C705C">
        <w:rPr>
          <w:rFonts w:ascii="Book Antiqua" w:hAnsi="Book Antiqua"/>
        </w:rPr>
        <w:t xml:space="preserve"> and </w:t>
      </w:r>
      <w:r w:rsidR="001A0F6C" w:rsidRPr="008C705C">
        <w:rPr>
          <w:rFonts w:ascii="Book Antiqua" w:hAnsi="Book Antiqua" w:hint="eastAsia"/>
          <w:lang w:eastAsia="zh-CN"/>
        </w:rPr>
        <w:t>(</w:t>
      </w:r>
      <w:r w:rsidRPr="008C705C">
        <w:rPr>
          <w:rFonts w:ascii="Book Antiqua" w:hAnsi="Book Antiqua"/>
        </w:rPr>
        <w:t xml:space="preserve">3) provide cognitive </w:t>
      </w:r>
      <w:r w:rsidR="001A0F6C" w:rsidRPr="008C705C">
        <w:rPr>
          <w:rFonts w:ascii="Book Antiqua" w:hAnsi="Book Antiqua"/>
          <w:lang w:eastAsia="zh-CN"/>
        </w:rPr>
        <w:t>“</w:t>
      </w:r>
      <w:r w:rsidR="001A0F6C" w:rsidRPr="008C705C">
        <w:rPr>
          <w:rFonts w:ascii="Book Antiqua" w:hAnsi="Book Antiqua"/>
        </w:rPr>
        <w:t>help</w:t>
      </w:r>
      <w:r w:rsidR="001A0F6C" w:rsidRPr="008C705C">
        <w:rPr>
          <w:rFonts w:ascii="Book Antiqua" w:hAnsi="Book Antiqua"/>
          <w:lang w:eastAsia="zh-CN"/>
        </w:rPr>
        <w:t>”</w:t>
      </w:r>
      <w:r w:rsidR="001A0F6C" w:rsidRPr="008C705C">
        <w:rPr>
          <w:rFonts w:ascii="Book Antiqua" w:hAnsi="Book Antiqua"/>
        </w:rPr>
        <w:t>.</w:t>
      </w:r>
      <w:r w:rsidRPr="008C705C">
        <w:rPr>
          <w:rFonts w:ascii="Book Antiqua" w:hAnsi="Book Antiqua"/>
        </w:rPr>
        <w:t xml:space="preserve"> Though many of these suggestions are well conceptualized and widely endorsed, a large portion remain untested or testing has been restricted to trainees in artificial settings, which does not nece</w:t>
      </w:r>
      <w:r w:rsidR="001A0F6C" w:rsidRPr="008C705C">
        <w:rPr>
          <w:rFonts w:ascii="Book Antiqua" w:hAnsi="Book Antiqua"/>
        </w:rPr>
        <w:t>ssarily reflect actual practice</w:t>
      </w:r>
      <w:r w:rsidRPr="008C705C">
        <w:rPr>
          <w:rFonts w:ascii="Book Antiqua" w:hAnsi="Book Antiqua"/>
          <w:vertAlign w:val="superscript"/>
        </w:rPr>
        <w:t>[7]</w:t>
      </w:r>
      <w:r w:rsidRPr="008C705C">
        <w:rPr>
          <w:rFonts w:ascii="Book Antiqua" w:hAnsi="Book Antiqua"/>
        </w:rPr>
        <w:t>. The diagnostic pathway for acute surgical patients involves GPs, A</w:t>
      </w:r>
      <w:r w:rsidR="001A0F6C" w:rsidRPr="008C705C">
        <w:rPr>
          <w:rFonts w:ascii="Book Antiqua" w:hAnsi="Book Antiqua" w:hint="eastAsia"/>
          <w:lang w:eastAsia="zh-CN"/>
        </w:rPr>
        <w:t xml:space="preserve"> and </w:t>
      </w:r>
      <w:r w:rsidRPr="008C705C">
        <w:rPr>
          <w:rFonts w:ascii="Book Antiqua" w:hAnsi="Book Antiqua"/>
        </w:rPr>
        <w:t xml:space="preserve">E, and surgeons. The need to investigate and quantify the impact of procedural and diagnostic accuracy at each level of medical contact is clear. Lack of a working diagnosis impacts patient care, outcome, and cost. </w:t>
      </w:r>
    </w:p>
    <w:p w:rsidR="00D06560" w:rsidRPr="008C705C" w:rsidRDefault="00D06560" w:rsidP="001A0F6C">
      <w:pPr>
        <w:spacing w:line="360" w:lineRule="auto"/>
        <w:ind w:firstLineChars="100" w:firstLine="240"/>
        <w:jc w:val="both"/>
        <w:rPr>
          <w:rFonts w:ascii="Book Antiqua" w:hAnsi="Book Antiqua"/>
        </w:rPr>
      </w:pPr>
      <w:r w:rsidRPr="008C705C">
        <w:rPr>
          <w:rFonts w:ascii="Book Antiqua" w:hAnsi="Book Antiqua"/>
        </w:rPr>
        <w:t>The objective of this observational study is to evaluate the diagnostic accuracy at each level of the primary diagnostic pathway in acute surgical patients admitted to a District General Hospital.</w:t>
      </w:r>
    </w:p>
    <w:p w:rsidR="00D06560" w:rsidRPr="008C705C" w:rsidRDefault="001A0F6C" w:rsidP="00370380">
      <w:pPr>
        <w:spacing w:line="360" w:lineRule="auto"/>
        <w:jc w:val="both"/>
        <w:rPr>
          <w:rFonts w:ascii="Book Antiqua" w:hAnsi="Book Antiqua"/>
          <w:b/>
          <w:caps/>
          <w:lang w:eastAsia="zh-CN"/>
        </w:rPr>
      </w:pPr>
      <w:r w:rsidRPr="008C705C">
        <w:rPr>
          <w:rFonts w:ascii="Book Antiqua" w:hAnsi="Book Antiqua" w:hint="eastAsia"/>
          <w:b/>
          <w:caps/>
          <w:lang w:eastAsia="zh-CN"/>
        </w:rPr>
        <w:t xml:space="preserve">materials and </w:t>
      </w:r>
      <w:r w:rsidR="00D06560" w:rsidRPr="008C705C">
        <w:rPr>
          <w:rFonts w:ascii="Book Antiqua" w:hAnsi="Book Antiqua"/>
          <w:b/>
          <w:caps/>
        </w:rPr>
        <w:t>Methods</w:t>
      </w:r>
    </w:p>
    <w:p w:rsidR="00D06560" w:rsidRPr="008C705C" w:rsidRDefault="00D06560" w:rsidP="00370380">
      <w:pPr>
        <w:spacing w:line="360" w:lineRule="auto"/>
        <w:jc w:val="both"/>
        <w:rPr>
          <w:rFonts w:ascii="Book Antiqua" w:hAnsi="Book Antiqua"/>
          <w:b/>
          <w:i/>
        </w:rPr>
      </w:pPr>
      <w:r w:rsidRPr="008C705C">
        <w:rPr>
          <w:rFonts w:ascii="Book Antiqua" w:hAnsi="Book Antiqua"/>
          <w:b/>
          <w:i/>
        </w:rPr>
        <w:t xml:space="preserve">Study </w:t>
      </w:r>
      <w:r w:rsidR="001A0F6C" w:rsidRPr="008C705C">
        <w:rPr>
          <w:rFonts w:ascii="Book Antiqua" w:hAnsi="Book Antiqua"/>
          <w:b/>
          <w:i/>
        </w:rPr>
        <w:t>c</w:t>
      </w:r>
      <w:r w:rsidRPr="008C705C">
        <w:rPr>
          <w:rFonts w:ascii="Book Antiqua" w:hAnsi="Book Antiqua"/>
          <w:b/>
          <w:i/>
        </w:rPr>
        <w:t>onception</w:t>
      </w:r>
    </w:p>
    <w:p w:rsidR="00812269"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It was noted that ward rounds for on-call surgeons were often disorganized, with no clear roles defined, leading to inconsistent record keeping. Therefore, on call surgical </w:t>
      </w:r>
      <w:r w:rsidRPr="008C705C">
        <w:rPr>
          <w:rFonts w:ascii="Book Antiqua" w:hAnsi="Book Antiqua"/>
        </w:rPr>
        <w:lastRenderedPageBreak/>
        <w:t xml:space="preserve">team decided to address this by running ward rounds using briefing and debriefing for each ward round, rotating roles (each person present taking turns with patient presentation, record-keeping, and drug chart review), and asking each member of the team if they had anything to add before moving to the next patient. The surgical team was encouraged to clearly record 3 differential diagnoses for each doctor-patient encounter. It became apparent that the differential diagnoses listed would often change along the primary diagnostic pathway, and the idea to survey these changes emerged. </w:t>
      </w:r>
    </w:p>
    <w:p w:rsidR="00E950D1" w:rsidRPr="008C705C" w:rsidRDefault="00E950D1"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proofErr w:type="spellStart"/>
      <w:r w:rsidRPr="008C705C">
        <w:rPr>
          <w:rFonts w:ascii="Book Antiqua" w:hAnsi="Book Antiqua"/>
          <w:b/>
          <w:i/>
        </w:rPr>
        <w:t>Profroma</w:t>
      </w:r>
      <w:proofErr w:type="spellEnd"/>
    </w:p>
    <w:p w:rsidR="00D06560" w:rsidRPr="008C705C" w:rsidRDefault="00812269" w:rsidP="00370380">
      <w:pPr>
        <w:spacing w:line="360" w:lineRule="auto"/>
        <w:jc w:val="both"/>
        <w:rPr>
          <w:rFonts w:ascii="Book Antiqua" w:hAnsi="Book Antiqua"/>
        </w:rPr>
      </w:pPr>
      <w:r w:rsidRPr="008C705C">
        <w:rPr>
          <w:rFonts w:ascii="Book Antiqua" w:hAnsi="Book Antiqua"/>
        </w:rPr>
        <w:t xml:space="preserve">A one-page </w:t>
      </w:r>
      <w:proofErr w:type="spellStart"/>
      <w:r w:rsidRPr="008C705C">
        <w:rPr>
          <w:rFonts w:ascii="Book Antiqua" w:hAnsi="Book Antiqua"/>
        </w:rPr>
        <w:t>profroma</w:t>
      </w:r>
      <w:proofErr w:type="spellEnd"/>
      <w:r w:rsidRPr="008C705C">
        <w:rPr>
          <w:rFonts w:ascii="Book Antiqua" w:hAnsi="Book Antiqua"/>
        </w:rPr>
        <w:t xml:space="preserve"> was designed</w:t>
      </w:r>
      <w:r w:rsidR="00D06560" w:rsidRPr="008C705C">
        <w:rPr>
          <w:rFonts w:ascii="Book Antiqua" w:hAnsi="Book Antiqua"/>
        </w:rPr>
        <w:t xml:space="preserve"> and relevant variables </w:t>
      </w:r>
      <w:r w:rsidRPr="008C705C">
        <w:rPr>
          <w:rFonts w:ascii="Book Antiqua" w:hAnsi="Book Antiqua"/>
        </w:rPr>
        <w:t xml:space="preserve">reported in previous but similar publications </w:t>
      </w:r>
      <w:r w:rsidR="00D06560" w:rsidRPr="008C705C">
        <w:rPr>
          <w:rFonts w:ascii="Book Antiqua" w:hAnsi="Book Antiqua"/>
        </w:rPr>
        <w:t xml:space="preserve">were inserted on it. </w:t>
      </w:r>
      <w:r w:rsidRPr="008C705C">
        <w:rPr>
          <w:rFonts w:ascii="Book Antiqua" w:hAnsi="Book Antiqua"/>
        </w:rPr>
        <w:t xml:space="preserve">Because this was an observational and pilot study examining the performance of </w:t>
      </w:r>
      <w:r w:rsidR="002B1FF8" w:rsidRPr="008C705C">
        <w:rPr>
          <w:rFonts w:ascii="Book Antiqua" w:hAnsi="Book Antiqua"/>
        </w:rPr>
        <w:t xml:space="preserve">the </w:t>
      </w:r>
      <w:r w:rsidRPr="008C705C">
        <w:rPr>
          <w:rFonts w:ascii="Book Antiqua" w:hAnsi="Book Antiqua"/>
        </w:rPr>
        <w:t>acute surgical team without any involvement of the patients, therefore, only an informal approval of the study was taken from</w:t>
      </w:r>
      <w:r w:rsidR="002B1FF8" w:rsidRPr="008C705C">
        <w:rPr>
          <w:rFonts w:ascii="Book Antiqua" w:hAnsi="Book Antiqua"/>
        </w:rPr>
        <w:t xml:space="preserve"> the local Ethics and Research C</w:t>
      </w:r>
      <w:r w:rsidRPr="008C705C">
        <w:rPr>
          <w:rFonts w:ascii="Book Antiqua" w:hAnsi="Book Antiqua"/>
        </w:rPr>
        <w:t>ommittee</w:t>
      </w:r>
      <w:r w:rsidR="002B1FF8" w:rsidRPr="008C705C">
        <w:rPr>
          <w:rFonts w:ascii="Book Antiqua" w:hAnsi="Book Antiqua"/>
        </w:rPr>
        <w:t xml:space="preserve"> with verbal discussion and electronic communication</w:t>
      </w:r>
      <w:r w:rsidRPr="008C705C">
        <w:rPr>
          <w:rFonts w:ascii="Book Antiqua" w:hAnsi="Book Antiqua"/>
        </w:rPr>
        <w:t xml:space="preserve">. </w:t>
      </w:r>
      <w:r w:rsidR="007D57EF" w:rsidRPr="008C705C">
        <w:rPr>
          <w:rFonts w:ascii="Book Antiqua" w:hAnsi="Book Antiqua"/>
        </w:rPr>
        <w:t xml:space="preserve">The contents of the </w:t>
      </w:r>
      <w:proofErr w:type="spellStart"/>
      <w:r w:rsidR="007D57EF" w:rsidRPr="008C705C">
        <w:rPr>
          <w:rFonts w:ascii="Book Antiqua" w:hAnsi="Book Antiqua"/>
        </w:rPr>
        <w:t>profroma</w:t>
      </w:r>
      <w:proofErr w:type="spellEnd"/>
      <w:r w:rsidR="007D57EF" w:rsidRPr="008C705C">
        <w:rPr>
          <w:rFonts w:ascii="Book Antiqua" w:hAnsi="Book Antiqua"/>
        </w:rPr>
        <w:t xml:space="preserve"> were presented in internal clinical governance meeting and few additional variables were also included based upon the recommendations clinical governance panel. </w:t>
      </w:r>
      <w:r w:rsidR="00D06560" w:rsidRPr="008C705C">
        <w:rPr>
          <w:rFonts w:ascii="Book Antiqua" w:hAnsi="Book Antiqua"/>
        </w:rPr>
        <w:t>All authors</w:t>
      </w:r>
      <w:r w:rsidR="002B1FF8" w:rsidRPr="008C705C">
        <w:rPr>
          <w:rFonts w:ascii="Book Antiqua" w:hAnsi="Book Antiqua"/>
        </w:rPr>
        <w:t xml:space="preserve"> and local Ethics </w:t>
      </w:r>
      <w:r w:rsidR="00E950D1" w:rsidRPr="008C705C">
        <w:rPr>
          <w:rFonts w:ascii="Book Antiqua" w:hAnsi="Book Antiqua" w:hint="eastAsia"/>
          <w:lang w:eastAsia="zh-CN"/>
        </w:rPr>
        <w:t>and</w:t>
      </w:r>
      <w:r w:rsidR="002B1FF8" w:rsidRPr="008C705C">
        <w:rPr>
          <w:rFonts w:ascii="Book Antiqua" w:hAnsi="Book Antiqua"/>
        </w:rPr>
        <w:t xml:space="preserve"> Research Committee</w:t>
      </w:r>
      <w:r w:rsidR="00D06560" w:rsidRPr="008C705C">
        <w:rPr>
          <w:rFonts w:ascii="Book Antiqua" w:hAnsi="Book Antiqua"/>
        </w:rPr>
        <w:t xml:space="preserve"> approved the </w:t>
      </w:r>
      <w:proofErr w:type="spellStart"/>
      <w:r w:rsidR="00D06560" w:rsidRPr="008C705C">
        <w:rPr>
          <w:rFonts w:ascii="Book Antiqua" w:hAnsi="Book Antiqua"/>
        </w:rPr>
        <w:t>profroma</w:t>
      </w:r>
      <w:proofErr w:type="spellEnd"/>
      <w:r w:rsidR="00D06560" w:rsidRPr="008C705C">
        <w:rPr>
          <w:rFonts w:ascii="Book Antiqua" w:hAnsi="Book Antiqua"/>
        </w:rPr>
        <w:t xml:space="preserve"> </w:t>
      </w:r>
      <w:r w:rsidR="002B1FF8" w:rsidRPr="008C705C">
        <w:rPr>
          <w:rFonts w:ascii="Book Antiqua" w:hAnsi="Book Antiqua"/>
        </w:rPr>
        <w:t xml:space="preserve">and its contents </w:t>
      </w:r>
      <w:r w:rsidR="00D06560" w:rsidRPr="008C705C">
        <w:rPr>
          <w:rFonts w:ascii="Book Antiqua" w:hAnsi="Book Antiqua"/>
        </w:rPr>
        <w:t>before starting the data collection.</w:t>
      </w:r>
    </w:p>
    <w:p w:rsidR="0000284A" w:rsidRPr="008C705C" w:rsidRDefault="0000284A" w:rsidP="00370380">
      <w:pPr>
        <w:spacing w:line="360" w:lineRule="auto"/>
        <w:jc w:val="both"/>
        <w:rPr>
          <w:rFonts w:ascii="Book Antiqua" w:hAnsi="Book Antiqua"/>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rPr>
        <w:t xml:space="preserve">Inclusion </w:t>
      </w:r>
      <w:r w:rsidR="00E950D1" w:rsidRPr="008C705C">
        <w:rPr>
          <w:rFonts w:ascii="Book Antiqua" w:hAnsi="Book Antiqua"/>
          <w:b/>
          <w:i/>
        </w:rPr>
        <w:t>c</w:t>
      </w:r>
      <w:r w:rsidRPr="008C705C">
        <w:rPr>
          <w:rFonts w:ascii="Book Antiqua" w:hAnsi="Book Antiqua"/>
          <w:b/>
          <w:i/>
        </w:rPr>
        <w:t>riteria</w:t>
      </w:r>
    </w:p>
    <w:p w:rsidR="00E950D1" w:rsidRPr="008C705C" w:rsidRDefault="007D57EF" w:rsidP="00370380">
      <w:pPr>
        <w:spacing w:line="360" w:lineRule="auto"/>
        <w:jc w:val="both"/>
        <w:rPr>
          <w:rFonts w:ascii="Book Antiqua" w:hAnsi="Book Antiqua"/>
          <w:lang w:eastAsia="zh-CN"/>
        </w:rPr>
      </w:pPr>
      <w:r w:rsidRPr="008C705C">
        <w:rPr>
          <w:rFonts w:ascii="Book Antiqua" w:hAnsi="Book Antiqua"/>
        </w:rPr>
        <w:t>To review the case notes and ward round entries of all acute surgical admissions during randomly selected two weeks</w:t>
      </w:r>
      <w:r w:rsidR="00E950D1" w:rsidRPr="008C705C">
        <w:rPr>
          <w:rFonts w:ascii="Book Antiqua" w:hAnsi="Book Antiqua" w:hint="eastAsia"/>
          <w:lang w:eastAsia="zh-CN"/>
        </w:rPr>
        <w:t>.</w:t>
      </w:r>
    </w:p>
    <w:p w:rsidR="00D06560" w:rsidRPr="008C705C" w:rsidRDefault="00D06560" w:rsidP="00370380">
      <w:pPr>
        <w:spacing w:line="360" w:lineRule="auto"/>
        <w:jc w:val="both"/>
        <w:rPr>
          <w:rFonts w:ascii="Book Antiqua" w:hAnsi="Book Antiqua"/>
        </w:rPr>
      </w:pPr>
      <w:r w:rsidRPr="008C705C">
        <w:rPr>
          <w:rFonts w:ascii="Book Antiqua" w:hAnsi="Book Antiqua"/>
        </w:rPr>
        <w:t xml:space="preserve"> </w:t>
      </w:r>
    </w:p>
    <w:p w:rsidR="00D06560" w:rsidRPr="008C705C" w:rsidRDefault="00D06560" w:rsidP="00370380">
      <w:pPr>
        <w:spacing w:line="360" w:lineRule="auto"/>
        <w:jc w:val="both"/>
        <w:rPr>
          <w:rFonts w:ascii="Book Antiqua" w:hAnsi="Book Antiqua"/>
          <w:b/>
          <w:i/>
        </w:rPr>
      </w:pPr>
      <w:r w:rsidRPr="008C705C">
        <w:rPr>
          <w:rFonts w:ascii="Book Antiqua" w:hAnsi="Book Antiqua"/>
          <w:b/>
          <w:i/>
        </w:rPr>
        <w:t xml:space="preserve">Exclusion </w:t>
      </w:r>
      <w:r w:rsidR="00E950D1" w:rsidRPr="008C705C">
        <w:rPr>
          <w:rFonts w:ascii="Book Antiqua" w:hAnsi="Book Antiqua"/>
          <w:b/>
          <w:i/>
        </w:rPr>
        <w:t>c</w:t>
      </w:r>
      <w:r w:rsidRPr="008C705C">
        <w:rPr>
          <w:rFonts w:ascii="Book Antiqua" w:hAnsi="Book Antiqua"/>
          <w:b/>
          <w:i/>
        </w:rPr>
        <w:t>riteria</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Patients whose notes were not available through secretaries or on the wards during data collection were excluded. </w:t>
      </w:r>
    </w:p>
    <w:p w:rsidR="00E950D1" w:rsidRPr="008C705C" w:rsidRDefault="00E950D1"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rPr>
        <w:t xml:space="preserve">Data </w:t>
      </w:r>
      <w:r w:rsidR="00E950D1" w:rsidRPr="008C705C">
        <w:rPr>
          <w:rFonts w:ascii="Book Antiqua" w:hAnsi="Book Antiqua"/>
          <w:b/>
          <w:i/>
        </w:rPr>
        <w:t>c</w:t>
      </w:r>
      <w:r w:rsidRPr="008C705C">
        <w:rPr>
          <w:rFonts w:ascii="Book Antiqua" w:hAnsi="Book Antiqua"/>
          <w:b/>
          <w:i/>
        </w:rPr>
        <w:t>ollection</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Patient information including surname, hospital number, date of birth, and gender wa</w:t>
      </w:r>
      <w:r w:rsidR="00B85977" w:rsidRPr="008C705C">
        <w:rPr>
          <w:rFonts w:ascii="Book Antiqua" w:hAnsi="Book Antiqua"/>
        </w:rPr>
        <w:t xml:space="preserve">s collected onto a one page </w:t>
      </w:r>
      <w:proofErr w:type="spellStart"/>
      <w:r w:rsidR="00B85977" w:rsidRPr="008C705C">
        <w:rPr>
          <w:rFonts w:ascii="Book Antiqua" w:hAnsi="Book Antiqua"/>
        </w:rPr>
        <w:t>pro</w:t>
      </w:r>
      <w:r w:rsidRPr="008C705C">
        <w:rPr>
          <w:rFonts w:ascii="Book Antiqua" w:hAnsi="Book Antiqua"/>
        </w:rPr>
        <w:t>forma</w:t>
      </w:r>
      <w:proofErr w:type="spellEnd"/>
      <w:r w:rsidRPr="008C705C">
        <w:rPr>
          <w:rFonts w:ascii="Book Antiqua" w:hAnsi="Book Antiqua"/>
        </w:rPr>
        <w:t xml:space="preserve">, and each doctor/patient encounter was reviewed </w:t>
      </w:r>
      <w:r w:rsidRPr="008C705C">
        <w:rPr>
          <w:rFonts w:ascii="Book Antiqua" w:hAnsi="Book Antiqua"/>
        </w:rPr>
        <w:lastRenderedPageBreak/>
        <w:t>retrospectively to include up to 3 differential diagnoses listed in the patient notes. Doctors were anonymously recorded as general practitioner (GP), accident and emergency doctor (A</w:t>
      </w:r>
      <w:r w:rsidR="00E950D1" w:rsidRPr="008C705C">
        <w:rPr>
          <w:rFonts w:ascii="Book Antiqua" w:hAnsi="Book Antiqua" w:hint="eastAsia"/>
          <w:lang w:eastAsia="zh-CN"/>
        </w:rPr>
        <w:t xml:space="preserve"> and </w:t>
      </w:r>
      <w:r w:rsidRPr="008C705C">
        <w:rPr>
          <w:rFonts w:ascii="Book Antiqua" w:hAnsi="Book Antiqua"/>
        </w:rPr>
        <w:t>E), in-patient referrer (IP), surgical foundation year-1 (FY-1), surgical senior house officer (SHO), surgical registrar on-call (SROC), and the surgical consultant. Patient/doctor encounters were recorded along the primary diagnostic pathway, from GP referral, if available, up to the first surgical consultant review or definitive diagnosis by emergency surgery if that preceded consultant review. Final diagnosis was determined by surgical findings, radiological confirmation, or clinical consensus of the rounding on call surgical team comprised of surgical F1, surgical SHO, SROC and surgical consultant as recorded in the discharge summary. All data was kept together in a ring binder and later entered into a spreadsheet for analysis.</w:t>
      </w:r>
      <w:r w:rsidR="00B85977" w:rsidRPr="008C705C">
        <w:rPr>
          <w:rFonts w:ascii="Book Antiqua" w:hAnsi="Book Antiqua"/>
        </w:rPr>
        <w:t xml:space="preserve"> Authors collected data independently and later on the discrepancies were removed with mutual discussion</w:t>
      </w:r>
      <w:r w:rsidR="00372BF8" w:rsidRPr="008C705C">
        <w:rPr>
          <w:rFonts w:ascii="Book Antiqua" w:hAnsi="Book Antiqua"/>
        </w:rPr>
        <w:t>s</w:t>
      </w:r>
      <w:r w:rsidR="00B85977" w:rsidRPr="008C705C">
        <w:rPr>
          <w:rFonts w:ascii="Book Antiqua" w:hAnsi="Book Antiqua"/>
        </w:rPr>
        <w:t xml:space="preserve">. There was high and statistically satisfactory inter-observer agreement based upon the Kappa Statistic Score of 0.93. </w:t>
      </w:r>
    </w:p>
    <w:p w:rsidR="00E950D1" w:rsidRPr="008C705C" w:rsidRDefault="00E950D1"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rPr>
        <w:t xml:space="preserve">Data </w:t>
      </w:r>
      <w:r w:rsidR="00E950D1" w:rsidRPr="008C705C">
        <w:rPr>
          <w:rFonts w:ascii="Book Antiqua" w:hAnsi="Book Antiqua"/>
          <w:b/>
          <w:i/>
        </w:rPr>
        <w:t>a</w:t>
      </w:r>
      <w:r w:rsidRPr="008C705C">
        <w:rPr>
          <w:rFonts w:ascii="Book Antiqua" w:hAnsi="Book Antiqua"/>
          <w:b/>
          <w:i/>
        </w:rPr>
        <w:t>nalysis</w:t>
      </w:r>
    </w:p>
    <w:p w:rsidR="00D06560" w:rsidRPr="008C705C" w:rsidRDefault="00D06560" w:rsidP="00370380">
      <w:pPr>
        <w:spacing w:line="360" w:lineRule="auto"/>
        <w:jc w:val="both"/>
        <w:rPr>
          <w:rFonts w:ascii="Book Antiqua" w:hAnsi="Book Antiqua"/>
        </w:rPr>
      </w:pPr>
      <w:r w:rsidRPr="008C705C">
        <w:rPr>
          <w:rFonts w:ascii="Book Antiqua" w:hAnsi="Book Antiqua"/>
        </w:rPr>
        <w:t xml:space="preserve">Data was organized and analyzed using </w:t>
      </w:r>
      <w:r w:rsidR="00497404" w:rsidRPr="008C705C">
        <w:rPr>
          <w:rFonts w:ascii="Book Antiqua" w:hAnsi="Book Antiqua"/>
        </w:rPr>
        <w:t xml:space="preserve">Microsoft </w:t>
      </w:r>
      <w:r w:rsidRPr="008C705C">
        <w:rPr>
          <w:rFonts w:ascii="Book Antiqua" w:hAnsi="Book Antiqua"/>
        </w:rPr>
        <w:t>Excel</w:t>
      </w:r>
      <w:r w:rsidR="00497404" w:rsidRPr="008C705C">
        <w:rPr>
          <w:rFonts w:ascii="Book Antiqua" w:hAnsi="Book Antiqua"/>
        </w:rPr>
        <w:t>® spread sheet (Office 2010, Microsoft Corporation,</w:t>
      </w:r>
      <w:r w:rsidR="002D1D24" w:rsidRPr="008C705C">
        <w:rPr>
          <w:rFonts w:ascii="Book Antiqua" w:hAnsi="Book Antiqua"/>
        </w:rPr>
        <w:t xml:space="preserve"> New York,</w:t>
      </w:r>
      <w:r w:rsidR="00497404" w:rsidRPr="008C705C">
        <w:rPr>
          <w:rFonts w:ascii="Book Antiqua" w:hAnsi="Book Antiqua"/>
        </w:rPr>
        <w:t xml:space="preserve"> U</w:t>
      </w:r>
      <w:r w:rsidR="00E950D1" w:rsidRPr="008C705C">
        <w:rPr>
          <w:rFonts w:ascii="Book Antiqua" w:hAnsi="Book Antiqua" w:hint="eastAsia"/>
          <w:lang w:eastAsia="zh-CN"/>
        </w:rPr>
        <w:t xml:space="preserve">nited </w:t>
      </w:r>
      <w:r w:rsidR="00497404" w:rsidRPr="008C705C">
        <w:rPr>
          <w:rFonts w:ascii="Book Antiqua" w:hAnsi="Book Antiqua"/>
        </w:rPr>
        <w:t>S</w:t>
      </w:r>
      <w:r w:rsidR="00E950D1" w:rsidRPr="008C705C">
        <w:rPr>
          <w:rFonts w:ascii="Book Antiqua" w:hAnsi="Book Antiqua" w:hint="eastAsia"/>
          <w:lang w:eastAsia="zh-CN"/>
        </w:rPr>
        <w:t>tates</w:t>
      </w:r>
      <w:r w:rsidR="00497404" w:rsidRPr="008C705C">
        <w:rPr>
          <w:rFonts w:ascii="Book Antiqua" w:hAnsi="Book Antiqua"/>
        </w:rPr>
        <w:t>)</w:t>
      </w:r>
      <w:r w:rsidRPr="008C705C">
        <w:rPr>
          <w:rFonts w:ascii="Book Antiqua" w:hAnsi="Book Antiqua"/>
        </w:rPr>
        <w:t>. Statistical analysis was per</w:t>
      </w:r>
      <w:r w:rsidR="00E950D1" w:rsidRPr="008C705C">
        <w:rPr>
          <w:rFonts w:ascii="Book Antiqua" w:hAnsi="Book Antiqua"/>
        </w:rPr>
        <w:t>formed with Review Manager 5.2.</w:t>
      </w:r>
      <w:r w:rsidRPr="008C705C">
        <w:rPr>
          <w:rFonts w:ascii="Book Antiqua" w:hAnsi="Book Antiqua"/>
        </w:rPr>
        <w:t xml:space="preserve"> Each differential diagnosis listed in a doctor/patient encounter was compared to the final diagnosis and scored as correct or incorrect. Failure to list any differential diagnosis was regarded as incorrect. </w:t>
      </w:r>
    </w:p>
    <w:p w:rsidR="0000284A" w:rsidRPr="008C705C" w:rsidRDefault="0000284A" w:rsidP="00370380">
      <w:pPr>
        <w:spacing w:line="360" w:lineRule="auto"/>
        <w:jc w:val="both"/>
        <w:rPr>
          <w:rFonts w:ascii="Book Antiqua" w:hAnsi="Book Antiqua"/>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rPr>
        <w:t>Endpoints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Recording a differential diagnosis that corresponded with the discharge summary was accepted as an accurate diagnosis. </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caps/>
          <w:lang w:eastAsia="zh-CN"/>
        </w:rPr>
      </w:pPr>
      <w:r w:rsidRPr="008C705C">
        <w:rPr>
          <w:rFonts w:ascii="Book Antiqua" w:hAnsi="Book Antiqua"/>
          <w:b/>
          <w:caps/>
        </w:rPr>
        <w:t>Results</w:t>
      </w:r>
    </w:p>
    <w:p w:rsidR="00D06560" w:rsidRPr="008C705C" w:rsidRDefault="00D06560" w:rsidP="00370380">
      <w:pPr>
        <w:spacing w:line="360" w:lineRule="auto"/>
        <w:jc w:val="both"/>
        <w:rPr>
          <w:rFonts w:ascii="Book Antiqua" w:hAnsi="Book Antiqua"/>
          <w:i/>
        </w:rPr>
      </w:pPr>
      <w:r w:rsidRPr="008C705C">
        <w:rPr>
          <w:rFonts w:ascii="Book Antiqua" w:hAnsi="Book Antiqua"/>
          <w:b/>
          <w:i/>
        </w:rPr>
        <w:t xml:space="preserve">Patient </w:t>
      </w:r>
      <w:r w:rsidR="00F93BE6" w:rsidRPr="008C705C">
        <w:rPr>
          <w:rFonts w:ascii="Book Antiqua" w:hAnsi="Book Antiqua"/>
          <w:b/>
          <w:i/>
        </w:rPr>
        <w:t>d</w:t>
      </w:r>
      <w:r w:rsidRPr="008C705C">
        <w:rPr>
          <w:rFonts w:ascii="Book Antiqua" w:hAnsi="Book Antiqua"/>
          <w:b/>
          <w:i/>
        </w:rPr>
        <w:t>emographics</w:t>
      </w:r>
    </w:p>
    <w:p w:rsidR="006022E6" w:rsidRPr="008C705C" w:rsidRDefault="00D06560" w:rsidP="00370380">
      <w:pPr>
        <w:spacing w:line="360" w:lineRule="auto"/>
        <w:jc w:val="both"/>
        <w:rPr>
          <w:rFonts w:ascii="Book Antiqua" w:hAnsi="Book Antiqua"/>
          <w:lang w:eastAsia="zh-CN"/>
        </w:rPr>
      </w:pPr>
      <w:r w:rsidRPr="008C705C">
        <w:rPr>
          <w:rFonts w:ascii="Book Antiqua" w:hAnsi="Book Antiqua"/>
        </w:rPr>
        <w:t>Forty-one patients</w:t>
      </w:r>
      <w:r w:rsidRPr="008C705C">
        <w:rPr>
          <w:rFonts w:ascii="Book Antiqua" w:hAnsi="Book Antiqua"/>
          <w:b/>
          <w:bCs/>
        </w:rPr>
        <w:t xml:space="preserve"> </w:t>
      </w:r>
      <w:r w:rsidRPr="008C705C">
        <w:rPr>
          <w:rFonts w:ascii="Book Antiqua" w:hAnsi="Book Antiqua"/>
        </w:rPr>
        <w:t>(23 males) with mean age of 61.05 (±</w:t>
      </w:r>
      <w:r w:rsidR="00F93BE6" w:rsidRPr="008C705C">
        <w:rPr>
          <w:rFonts w:ascii="Book Antiqua" w:hAnsi="Book Antiqua" w:hint="eastAsia"/>
          <w:lang w:eastAsia="zh-CN"/>
        </w:rPr>
        <w:t xml:space="preserve"> </w:t>
      </w:r>
      <w:r w:rsidRPr="008C705C">
        <w:rPr>
          <w:rFonts w:ascii="Book Antiqua" w:hAnsi="Book Antiqua"/>
        </w:rPr>
        <w:t xml:space="preserve">23.24) years were evaluated over 111 patient-doctor encounters. Surgery or other invasive diagnostic procedure was </w:t>
      </w:r>
      <w:r w:rsidRPr="008C705C">
        <w:rPr>
          <w:rFonts w:ascii="Book Antiqua" w:hAnsi="Book Antiqua"/>
        </w:rPr>
        <w:lastRenderedPageBreak/>
        <w:t>performed in 48.8% of patients. Correct</w:t>
      </w:r>
      <w:r w:rsidR="00F93BE6" w:rsidRPr="008C705C">
        <w:rPr>
          <w:rFonts w:ascii="Book Antiqua" w:hAnsi="Book Antiqua"/>
        </w:rPr>
        <w:t xml:space="preserve"> diagnosis was achieved in 85.4</w:t>
      </w:r>
      <w:r w:rsidRPr="008C705C">
        <w:rPr>
          <w:rFonts w:ascii="Book Antiqua" w:hAnsi="Book Antiqua"/>
        </w:rPr>
        <w:t xml:space="preserve">% of patients along the primary diagnostic pathway. </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i/>
        </w:rPr>
      </w:pPr>
      <w:r w:rsidRPr="008C705C">
        <w:rPr>
          <w:rFonts w:ascii="Book Antiqua" w:hAnsi="Book Antiqua"/>
          <w:b/>
          <w:i/>
        </w:rPr>
        <w:t xml:space="preserve">Diagnostic </w:t>
      </w:r>
      <w:r w:rsidR="00F93BE6" w:rsidRPr="008C705C">
        <w:rPr>
          <w:rFonts w:ascii="Book Antiqua" w:hAnsi="Book Antiqua"/>
          <w:b/>
          <w:i/>
        </w:rPr>
        <w:t>o</w:t>
      </w:r>
      <w:r w:rsidRPr="008C705C">
        <w:rPr>
          <w:rFonts w:ascii="Book Antiqua" w:hAnsi="Book Antiqua"/>
          <w:b/>
          <w:i/>
        </w:rPr>
        <w:t>utcomes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As shown in Figure 1, FY1, Consultant, and SHO recorded 3 differential diagnoses most often, (67%, 43%, and 39%, respectively) while referring physicians rarely recorded 3 differentials i.e. 0%, 12.5%, and 0% for GP, A/E, and IP respectively. Consultant was most likely to record a correct diagnosis (75%), followed by SHO (61.3%) and SROC (61.1%) </w:t>
      </w:r>
      <w:proofErr w:type="gramStart"/>
      <w:r w:rsidRPr="008C705C">
        <w:rPr>
          <w:rFonts w:ascii="Book Antiqua" w:hAnsi="Book Antiqua"/>
        </w:rPr>
        <w:t>(Figure 2).</w:t>
      </w:r>
      <w:proofErr w:type="gramEnd"/>
      <w:r w:rsidRPr="008C705C">
        <w:rPr>
          <w:rFonts w:ascii="Book Antiqua" w:hAnsi="Book Antiqua"/>
        </w:rPr>
        <w:t xml:space="preserve"> The accuracy of encounters with 3 differentials listed was 68.75% </w:t>
      </w:r>
      <w:r w:rsidRPr="008C705C">
        <w:rPr>
          <w:rFonts w:ascii="Book Antiqua" w:hAnsi="Book Antiqua"/>
          <w:i/>
        </w:rPr>
        <w:t xml:space="preserve">vs </w:t>
      </w:r>
      <w:r w:rsidRPr="008C705C">
        <w:rPr>
          <w:rFonts w:ascii="Book Antiqua" w:hAnsi="Book Antiqua"/>
        </w:rPr>
        <w:t>63.77% for just 1-2 differentials. Among the surgical team, the use of 3 differential diagnoses did improve diagnostic accuracy by 8.1%, (65.2% to 73.3%) though significance was not reached (Figure 3). Three differentials were listed at least one time in 23 of the 41 patients. A correct diagnosis was made in 19 of these patients (82.6%). In the remaining 18 patients only 1-2 differentials were ever listed. A correct diagnosis was made in 16 of these patients (88.9%). Of the 32 times in which 3 differentials were listed, only one (3.1%) of these had the correct diagnosis as the third differential (Figure 4).</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iCs/>
        </w:rPr>
        <w:t>Contribution</w:t>
      </w:r>
      <w:r w:rsidRPr="008C705C">
        <w:rPr>
          <w:rFonts w:ascii="Book Antiqua" w:hAnsi="Book Antiqua"/>
          <w:b/>
          <w:i/>
        </w:rPr>
        <w:t xml:space="preserve"> in the accurate diagnosis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It is important to identify where diagnoses were made, rather than simply repeated from a previous clinician. If a correct diagnosis had not been made previously, the clinician had the potential to contribute a correct diagnosis. As shown in Figure 5, the surgical SHO contributed the correct diagnoses most often (57.1% of potential contributions). The surgical SHO also contributed 34.3% of all correct diagnoses, the highest of any surgical personnel on call. Three differentials were used to make contributions most often by SHO, followed by Consultant and then by the SROC (66.7%, 60%, and 50% respectively). </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iCs/>
        </w:rPr>
        <w:t>Right-to-wrong changes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 xml:space="preserve">Failure to include a correct diagnosis made by a previous clinician was regarded as a right-to-wrong change. This occurred 5 times in 111 (4.5%), however 4 of these cases </w:t>
      </w:r>
      <w:r w:rsidRPr="008C705C">
        <w:rPr>
          <w:rFonts w:ascii="Book Antiqua" w:hAnsi="Book Antiqua"/>
        </w:rPr>
        <w:lastRenderedPageBreak/>
        <w:t xml:space="preserve">were due to no diagnosis being recorded after a correct diagnosis had been made previously. Only one truly right-to-wrong diagnosis was made, (0.9%) in which malignancy was removed from the list of differentials. </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i/>
        </w:rPr>
      </w:pPr>
      <w:r w:rsidRPr="008C705C">
        <w:rPr>
          <w:rFonts w:ascii="Book Antiqua" w:hAnsi="Book Antiqua"/>
          <w:b/>
          <w:i/>
          <w:iCs/>
        </w:rPr>
        <w:t>Surgical treatments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Patients referred by a GP were more than twice as likely to undergo surgery as patients referred from A/E. (OR 4.40, CI</w:t>
      </w:r>
      <w:r w:rsidR="00F93BE6" w:rsidRPr="008C705C">
        <w:rPr>
          <w:rFonts w:ascii="Book Antiqua" w:hAnsi="Book Antiqua" w:hint="eastAsia"/>
          <w:lang w:eastAsia="zh-CN"/>
        </w:rPr>
        <w:t>:</w:t>
      </w:r>
      <w:r w:rsidRPr="008C705C">
        <w:rPr>
          <w:rFonts w:ascii="Book Antiqua" w:hAnsi="Book Antiqua"/>
        </w:rPr>
        <w:t xml:space="preserve"> 1.09-17.72,</w:t>
      </w:r>
      <w:r w:rsidR="00F93BE6" w:rsidRPr="008C705C">
        <w:rPr>
          <w:rFonts w:ascii="Book Antiqua" w:hAnsi="Book Antiqua"/>
          <w:i/>
        </w:rPr>
        <w:t xml:space="preserve"> P</w:t>
      </w:r>
      <w:r w:rsidRPr="008C705C">
        <w:rPr>
          <w:rFonts w:ascii="Book Antiqua" w:hAnsi="Book Antiqua"/>
        </w:rPr>
        <w:t xml:space="preserve"> = 0.04) However, due to the small size of this study, significance was not reached for GP </w:t>
      </w:r>
      <w:r w:rsidR="00AD479B" w:rsidRPr="008C705C">
        <w:rPr>
          <w:rFonts w:ascii="Book Antiqua" w:hAnsi="Book Antiqua"/>
          <w:i/>
        </w:rPr>
        <w:t>vs</w:t>
      </w:r>
      <w:r w:rsidRPr="008C705C">
        <w:rPr>
          <w:rFonts w:ascii="Book Antiqua" w:hAnsi="Book Antiqua"/>
        </w:rPr>
        <w:t xml:space="preserve"> in-patient referrals (</w:t>
      </w:r>
      <w:r w:rsidR="00F93BE6" w:rsidRPr="008C705C">
        <w:rPr>
          <w:rFonts w:ascii="Book Antiqua" w:hAnsi="Book Antiqua"/>
          <w:i/>
        </w:rPr>
        <w:t>P</w:t>
      </w:r>
      <w:r w:rsidRPr="008C705C">
        <w:rPr>
          <w:rFonts w:ascii="Book Antiqua" w:hAnsi="Book Antiqua"/>
        </w:rPr>
        <w:t xml:space="preserve"> = 0.15) (Figure 6).</w:t>
      </w:r>
    </w:p>
    <w:p w:rsidR="00F93BE6" w:rsidRPr="008C705C" w:rsidRDefault="00F93BE6"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b/>
          <w:caps/>
        </w:rPr>
      </w:pPr>
      <w:r w:rsidRPr="008C705C">
        <w:rPr>
          <w:rFonts w:ascii="Book Antiqua" w:hAnsi="Book Antiqua"/>
          <w:b/>
          <w:caps/>
        </w:rPr>
        <w:t>Discussion</w:t>
      </w:r>
    </w:p>
    <w:p w:rsidR="00D06560" w:rsidRPr="008C705C" w:rsidRDefault="00D06560" w:rsidP="00370380">
      <w:pPr>
        <w:spacing w:line="360" w:lineRule="auto"/>
        <w:jc w:val="both"/>
        <w:rPr>
          <w:rFonts w:ascii="Book Antiqua" w:hAnsi="Book Antiqua"/>
        </w:rPr>
      </w:pPr>
      <w:r w:rsidRPr="008C705C">
        <w:rPr>
          <w:rFonts w:ascii="Book Antiqua" w:hAnsi="Book Antiqua"/>
        </w:rPr>
        <w:t>Approximately 85% of acute surgical patients can be diagnosed accurately along the primary diagnostic pathway during acute presentations. The surgical consultant was more likely to make a correct surgical diagnosis compared to all health personnel; however it is the surgical SHO that contributes the most correct diagnoses along the diagnostic pathway. Patients referred by a GP are more likely to require surgery as compared to other referral sources.</w:t>
      </w:r>
    </w:p>
    <w:p w:rsidR="00D06560" w:rsidRPr="008C705C" w:rsidRDefault="00D06560" w:rsidP="00F93BE6">
      <w:pPr>
        <w:spacing w:line="360" w:lineRule="auto"/>
        <w:ind w:firstLineChars="100" w:firstLine="240"/>
        <w:jc w:val="both"/>
        <w:rPr>
          <w:rFonts w:ascii="Book Antiqua" w:hAnsi="Book Antiqua"/>
          <w:lang w:eastAsia="zh-CN"/>
        </w:rPr>
      </w:pPr>
      <w:r w:rsidRPr="008C705C">
        <w:rPr>
          <w:rFonts w:ascii="Book Antiqua" w:hAnsi="Book Antiqua"/>
        </w:rPr>
        <w:t>Premature closure, the cognitive error of failing to continue to consider reasonable alternatives after an initial diagnosis has been made, is often cited as the most common cognitive facto</w:t>
      </w:r>
      <w:r w:rsidR="00F93BE6" w:rsidRPr="008C705C">
        <w:rPr>
          <w:rFonts w:ascii="Book Antiqua" w:hAnsi="Book Antiqua"/>
        </w:rPr>
        <w:t xml:space="preserve">r leading to a diagnostic </w:t>
      </w:r>
      <w:proofErr w:type="gramStart"/>
      <w:r w:rsidR="00F93BE6" w:rsidRPr="008C705C">
        <w:rPr>
          <w:rFonts w:ascii="Book Antiqua" w:hAnsi="Book Antiqua"/>
        </w:rPr>
        <w:t>error</w:t>
      </w:r>
      <w:r w:rsidRPr="008C705C">
        <w:rPr>
          <w:rFonts w:ascii="Book Antiqua" w:hAnsi="Book Antiqua"/>
          <w:vertAlign w:val="superscript"/>
        </w:rPr>
        <w:t>[</w:t>
      </w:r>
      <w:proofErr w:type="gramEnd"/>
      <w:r w:rsidRPr="008C705C">
        <w:rPr>
          <w:rFonts w:ascii="Book Antiqua" w:hAnsi="Book Antiqua"/>
          <w:vertAlign w:val="superscript"/>
        </w:rPr>
        <w:t>7</w:t>
      </w:r>
      <w:r w:rsidR="00F93BE6" w:rsidRPr="008C705C">
        <w:rPr>
          <w:rFonts w:ascii="Book Antiqua" w:hAnsi="Book Antiqua" w:hint="eastAsia"/>
          <w:vertAlign w:val="superscript"/>
          <w:lang w:eastAsia="zh-CN"/>
        </w:rPr>
        <w:t>-</w:t>
      </w:r>
      <w:r w:rsidRPr="008C705C">
        <w:rPr>
          <w:rFonts w:ascii="Book Antiqua" w:hAnsi="Book Antiqua"/>
          <w:vertAlign w:val="superscript"/>
        </w:rPr>
        <w:t>11]</w:t>
      </w:r>
      <w:r w:rsidR="00F93BE6" w:rsidRPr="008C705C">
        <w:rPr>
          <w:rFonts w:ascii="Book Antiqua" w:hAnsi="Book Antiqua"/>
        </w:rPr>
        <w:t>.</w:t>
      </w:r>
      <w:r w:rsidRPr="008C705C">
        <w:rPr>
          <w:rFonts w:ascii="Book Antiqua" w:hAnsi="Book Antiqua"/>
        </w:rPr>
        <w:t xml:space="preserve"> Much of the focus on decreasing cognitive errors has been on improving clinical reasoning and decision-making by educating physicians about how they make decisions and teaching the use of de-biasing techniques a</w:t>
      </w:r>
      <w:r w:rsidR="00F93BE6" w:rsidRPr="008C705C">
        <w:rPr>
          <w:rFonts w:ascii="Book Antiqua" w:hAnsi="Book Antiqua"/>
        </w:rPr>
        <w:t xml:space="preserve">nd active meta-cognitive </w:t>
      </w:r>
      <w:proofErr w:type="gramStart"/>
      <w:r w:rsidR="00F93BE6" w:rsidRPr="008C705C">
        <w:rPr>
          <w:rFonts w:ascii="Book Antiqua" w:hAnsi="Book Antiqua"/>
        </w:rPr>
        <w:t>review</w:t>
      </w:r>
      <w:r w:rsidRPr="008C705C">
        <w:rPr>
          <w:rFonts w:ascii="Book Antiqua" w:hAnsi="Book Antiqua"/>
          <w:vertAlign w:val="superscript"/>
        </w:rPr>
        <w:t>[</w:t>
      </w:r>
      <w:proofErr w:type="gramEnd"/>
      <w:r w:rsidRPr="008C705C">
        <w:rPr>
          <w:rFonts w:ascii="Book Antiqua" w:hAnsi="Book Antiqua"/>
          <w:vertAlign w:val="superscript"/>
        </w:rPr>
        <w:t>12]</w:t>
      </w:r>
      <w:r w:rsidR="00F93BE6" w:rsidRPr="008C705C">
        <w:rPr>
          <w:rFonts w:ascii="Book Antiqua" w:hAnsi="Book Antiqua"/>
        </w:rPr>
        <w:t>.</w:t>
      </w:r>
      <w:r w:rsidRPr="008C705C">
        <w:rPr>
          <w:rFonts w:ascii="Book Antiqua" w:hAnsi="Book Antiqua"/>
        </w:rPr>
        <w:t xml:space="preserve"> Some difficulties with the implementation of these strategies include time, cost, and physician interest, as well as the need to prove the efficacy of these </w:t>
      </w:r>
      <w:r w:rsidR="00F93BE6" w:rsidRPr="008C705C">
        <w:rPr>
          <w:rFonts w:ascii="Book Antiqua" w:hAnsi="Book Antiqua"/>
        </w:rPr>
        <w:t xml:space="preserve">strategies in clinical </w:t>
      </w:r>
      <w:proofErr w:type="gramStart"/>
      <w:r w:rsidR="00F93BE6" w:rsidRPr="008C705C">
        <w:rPr>
          <w:rFonts w:ascii="Book Antiqua" w:hAnsi="Book Antiqua"/>
        </w:rPr>
        <w:t>practice</w:t>
      </w:r>
      <w:r w:rsidRPr="008C705C">
        <w:rPr>
          <w:rFonts w:ascii="Book Antiqua" w:hAnsi="Book Antiqua"/>
          <w:vertAlign w:val="superscript"/>
        </w:rPr>
        <w:t>[</w:t>
      </w:r>
      <w:proofErr w:type="gramEnd"/>
      <w:r w:rsidRPr="008C705C">
        <w:rPr>
          <w:rFonts w:ascii="Book Antiqua" w:hAnsi="Book Antiqua"/>
          <w:vertAlign w:val="superscript"/>
        </w:rPr>
        <w:t>13]</w:t>
      </w:r>
      <w:r w:rsidRPr="008C705C">
        <w:rPr>
          <w:rFonts w:ascii="Book Antiqua" w:hAnsi="Book Antiqua"/>
        </w:rPr>
        <w:t>. The potential to reduce the incidence of premature closure with a simple practice that would require no further training and could be easily tested in clinical practice would be ideal as a means to reduce dangerous and costly diagnostic errors. The authors suggest that the practice of clearly listing 3 differential diagnoses in the patient notes is a simple way to modestly decrease the cogniti</w:t>
      </w:r>
      <w:r w:rsidR="00F93BE6" w:rsidRPr="008C705C">
        <w:rPr>
          <w:rFonts w:ascii="Book Antiqua" w:hAnsi="Book Antiqua"/>
        </w:rPr>
        <w:t>ve error of premature closure.</w:t>
      </w:r>
      <w:r w:rsidRPr="008C705C">
        <w:rPr>
          <w:rFonts w:ascii="Book Antiqua" w:hAnsi="Book Antiqua"/>
        </w:rPr>
        <w:t xml:space="preserve"> Listing of three differentials </w:t>
      </w:r>
      <w:r w:rsidR="00AD479B" w:rsidRPr="008C705C">
        <w:rPr>
          <w:rFonts w:ascii="Book Antiqua" w:hAnsi="Book Antiqua"/>
          <w:i/>
        </w:rPr>
        <w:t>vs</w:t>
      </w:r>
      <w:r w:rsidRPr="008C705C">
        <w:rPr>
          <w:rFonts w:ascii="Book Antiqua" w:hAnsi="Book Antiqua"/>
        </w:rPr>
        <w:t xml:space="preserve"> listing </w:t>
      </w:r>
      <w:r w:rsidRPr="008C705C">
        <w:rPr>
          <w:rFonts w:ascii="Book Antiqua" w:hAnsi="Book Antiqua"/>
        </w:rPr>
        <w:lastRenderedPageBreak/>
        <w:t>of one or two differentials seems to improve the diagnostic accuracy among the surgical team, although a larger study would be needed to reach statistical significance. For the 8.1% improvement in diagnostic accuracy seen among the surgical team to be</w:t>
      </w:r>
      <w:r w:rsidR="00F93BE6" w:rsidRPr="008C705C">
        <w:rPr>
          <w:rFonts w:ascii="Book Antiqua" w:hAnsi="Book Antiqua"/>
        </w:rPr>
        <w:t xml:space="preserve"> statistically significant (95%</w:t>
      </w:r>
      <w:r w:rsidRPr="008C705C">
        <w:rPr>
          <w:rFonts w:ascii="Book Antiqua" w:hAnsi="Book Antiqua"/>
        </w:rPr>
        <w:t xml:space="preserve">CI, 80% power), over 547 patient records should be evaluated. Further support for the use of three differentials comes from the increased proportion of diagnoses contributed using this method. Given the impact of misdiagnosis on the healthcare system, the difficult nature of reducing cognitive errors in clinical practice, and the simplicity of the intervention described, the authors feel it is worthwhile to consider further study in this area to explore any benefit of this practice. </w:t>
      </w:r>
    </w:p>
    <w:p w:rsidR="00F93BE6" w:rsidRPr="008C705C" w:rsidRDefault="00F93BE6" w:rsidP="00F93BE6">
      <w:pPr>
        <w:spacing w:line="360" w:lineRule="auto"/>
        <w:ind w:firstLineChars="100" w:firstLine="240"/>
        <w:jc w:val="both"/>
        <w:rPr>
          <w:rFonts w:ascii="Book Antiqua" w:hAnsi="Book Antiqua"/>
          <w:lang w:eastAsia="zh-CN"/>
        </w:rPr>
      </w:pPr>
    </w:p>
    <w:p w:rsidR="00D06560" w:rsidRPr="008C705C" w:rsidRDefault="00D06560" w:rsidP="00370380">
      <w:pPr>
        <w:spacing w:line="360" w:lineRule="auto"/>
        <w:jc w:val="both"/>
        <w:rPr>
          <w:rFonts w:ascii="Book Antiqua" w:hAnsi="Book Antiqua"/>
          <w:b/>
          <w:i/>
          <w:lang w:eastAsia="zh-CN"/>
        </w:rPr>
      </w:pPr>
      <w:r w:rsidRPr="008C705C">
        <w:rPr>
          <w:rFonts w:ascii="Book Antiqua" w:hAnsi="Book Antiqua"/>
          <w:b/>
          <w:i/>
        </w:rPr>
        <w:t>L</w:t>
      </w:r>
      <w:r w:rsidR="00F93BE6" w:rsidRPr="008C705C">
        <w:rPr>
          <w:rFonts w:ascii="Book Antiqua" w:hAnsi="Book Antiqua"/>
          <w:b/>
          <w:i/>
        </w:rPr>
        <w:t>imitations</w:t>
      </w:r>
    </w:p>
    <w:p w:rsidR="00D06560" w:rsidRPr="008C705C" w:rsidRDefault="00D06560" w:rsidP="00370380">
      <w:pPr>
        <w:spacing w:line="360" w:lineRule="auto"/>
        <w:jc w:val="both"/>
        <w:rPr>
          <w:rFonts w:ascii="Book Antiqua" w:hAnsi="Book Antiqua"/>
          <w:lang w:eastAsia="zh-CN"/>
        </w:rPr>
      </w:pPr>
      <w:r w:rsidRPr="008C705C">
        <w:rPr>
          <w:rFonts w:ascii="Book Antiqua" w:hAnsi="Book Antiqua"/>
        </w:rPr>
        <w:t>The small size of this study limits the statistical significance of many of the trends seen in the data. Other limitations noted during the data collection included difficulty in locating GP referral letters in the patient notes and therefore not including those encounters, as well as missing patients that were seen by on-call surgeons in the evening and subsequently discharged before morning rounds. The use of a junior doctor scribe when patients are reviewed by a consultant or registrar may result in differential diagnoses being stated but not recorded, and therefore not counted.</w:t>
      </w:r>
    </w:p>
    <w:p w:rsidR="00297874" w:rsidRPr="008C705C" w:rsidRDefault="00297874" w:rsidP="00370380">
      <w:pPr>
        <w:spacing w:line="360" w:lineRule="auto"/>
        <w:jc w:val="both"/>
        <w:rPr>
          <w:rFonts w:ascii="Book Antiqua" w:hAnsi="Book Antiqua"/>
          <w:lang w:eastAsia="zh-CN"/>
        </w:rPr>
      </w:pPr>
    </w:p>
    <w:p w:rsidR="00D06560" w:rsidRPr="008C705C" w:rsidRDefault="00D06560" w:rsidP="00370380">
      <w:pPr>
        <w:spacing w:line="360" w:lineRule="auto"/>
        <w:jc w:val="both"/>
        <w:rPr>
          <w:rFonts w:ascii="Book Antiqua" w:hAnsi="Book Antiqua"/>
          <w:i/>
          <w:lang w:eastAsia="zh-CN"/>
        </w:rPr>
      </w:pPr>
      <w:r w:rsidRPr="008C705C">
        <w:rPr>
          <w:rFonts w:ascii="Book Antiqua" w:hAnsi="Book Antiqua"/>
          <w:b/>
          <w:i/>
        </w:rPr>
        <w:t>F</w:t>
      </w:r>
      <w:r w:rsidR="00297874" w:rsidRPr="008C705C">
        <w:rPr>
          <w:rFonts w:ascii="Book Antiqua" w:hAnsi="Book Antiqua"/>
          <w:b/>
          <w:i/>
        </w:rPr>
        <w:t>uture implications</w:t>
      </w:r>
    </w:p>
    <w:p w:rsidR="005C4A04" w:rsidRPr="008C705C" w:rsidRDefault="00D06560" w:rsidP="00370380">
      <w:pPr>
        <w:spacing w:line="360" w:lineRule="auto"/>
        <w:jc w:val="both"/>
        <w:rPr>
          <w:rFonts w:ascii="Book Antiqua" w:hAnsi="Book Antiqua"/>
          <w:lang w:eastAsia="zh-CN"/>
        </w:rPr>
      </w:pPr>
      <w:r w:rsidRPr="008C705C">
        <w:rPr>
          <w:rFonts w:ascii="Book Antiqua" w:hAnsi="Book Antiqua"/>
        </w:rPr>
        <w:t>One of the strategies to reduce diagnostic error is t</w:t>
      </w:r>
      <w:r w:rsidR="00297874" w:rsidRPr="008C705C">
        <w:rPr>
          <w:rFonts w:ascii="Book Antiqua" w:hAnsi="Book Antiqua"/>
        </w:rPr>
        <w:t xml:space="preserve">o develop pathways for </w:t>
      </w:r>
      <w:proofErr w:type="gramStart"/>
      <w:r w:rsidR="00297874" w:rsidRPr="008C705C">
        <w:rPr>
          <w:rFonts w:ascii="Book Antiqua" w:hAnsi="Book Antiqua"/>
        </w:rPr>
        <w:t>feedback</w:t>
      </w:r>
      <w:r w:rsidR="00297874" w:rsidRPr="008C705C">
        <w:rPr>
          <w:rFonts w:ascii="Book Antiqua" w:hAnsi="Book Antiqua"/>
          <w:vertAlign w:val="superscript"/>
        </w:rPr>
        <w:t>[</w:t>
      </w:r>
      <w:proofErr w:type="gramEnd"/>
      <w:r w:rsidR="00297874" w:rsidRPr="008C705C">
        <w:rPr>
          <w:rFonts w:ascii="Book Antiqua" w:hAnsi="Book Antiqua"/>
          <w:vertAlign w:val="superscript"/>
        </w:rPr>
        <w:t>2,</w:t>
      </w:r>
      <w:r w:rsidRPr="008C705C">
        <w:rPr>
          <w:rFonts w:ascii="Book Antiqua" w:hAnsi="Book Antiqua"/>
          <w:vertAlign w:val="superscript"/>
        </w:rPr>
        <w:t>14]</w:t>
      </w:r>
      <w:r w:rsidRPr="008C705C">
        <w:rPr>
          <w:rFonts w:ascii="Book Antiqua" w:hAnsi="Book Antiqua"/>
        </w:rPr>
        <w:t>. It is particularly important to develop feedback pathways for the junior doctors, as it has been shown that less experienced doctors tend to most over-est</w:t>
      </w:r>
      <w:r w:rsidR="00297874" w:rsidRPr="008C705C">
        <w:rPr>
          <w:rFonts w:ascii="Book Antiqua" w:hAnsi="Book Antiqua"/>
        </w:rPr>
        <w:t xml:space="preserve">imate their diagnostic </w:t>
      </w:r>
      <w:proofErr w:type="gramStart"/>
      <w:r w:rsidR="00297874" w:rsidRPr="008C705C">
        <w:rPr>
          <w:rFonts w:ascii="Book Antiqua" w:hAnsi="Book Antiqua"/>
        </w:rPr>
        <w:t>accuracy</w:t>
      </w:r>
      <w:r w:rsidRPr="008C705C">
        <w:rPr>
          <w:rFonts w:ascii="Book Antiqua" w:hAnsi="Book Antiqua"/>
          <w:vertAlign w:val="superscript"/>
        </w:rPr>
        <w:t>[</w:t>
      </w:r>
      <w:proofErr w:type="gramEnd"/>
      <w:r w:rsidRPr="008C705C">
        <w:rPr>
          <w:rFonts w:ascii="Book Antiqua" w:hAnsi="Book Antiqua"/>
          <w:vertAlign w:val="superscript"/>
        </w:rPr>
        <w:t>2]</w:t>
      </w:r>
      <w:r w:rsidRPr="008C705C">
        <w:rPr>
          <w:rFonts w:ascii="Book Antiqua" w:hAnsi="Book Antiqua"/>
        </w:rPr>
        <w:t>. With anonymity removed, the basic design of this study seems well suited to enable feedback to each physician involved in the care of an acute surgical patient. In this way a simple score could be reported as a way to objectively evaluate diagnostic performance,</w:t>
      </w:r>
      <w:r w:rsidR="0075753D" w:rsidRPr="008C705C">
        <w:rPr>
          <w:rFonts w:ascii="Book Antiqua" w:hAnsi="Book Antiqua"/>
        </w:rPr>
        <w:t xml:space="preserve"> with the ultimate goal of self-</w:t>
      </w:r>
      <w:r w:rsidRPr="008C705C">
        <w:rPr>
          <w:rFonts w:ascii="Book Antiqua" w:hAnsi="Book Antiqua"/>
        </w:rPr>
        <w:t>improvement and future decrease in diagnostic errors. This approach would allow feedback not just after a negative event, as is the case with many feedback systems in place, but would track performan</w:t>
      </w:r>
      <w:r w:rsidR="0000284A" w:rsidRPr="008C705C">
        <w:rPr>
          <w:rFonts w:ascii="Book Antiqua" w:hAnsi="Book Antiqua"/>
        </w:rPr>
        <w:t>ce in a simple, ongoing manner.</w:t>
      </w:r>
    </w:p>
    <w:p w:rsidR="00297874" w:rsidRPr="008C705C" w:rsidRDefault="00297874" w:rsidP="00370380">
      <w:pPr>
        <w:spacing w:line="360" w:lineRule="auto"/>
        <w:jc w:val="both"/>
        <w:rPr>
          <w:rFonts w:ascii="Book Antiqua" w:hAnsi="Book Antiqua"/>
          <w:lang w:eastAsia="zh-CN"/>
        </w:rPr>
      </w:pPr>
    </w:p>
    <w:p w:rsidR="005C4A04" w:rsidRPr="008C705C" w:rsidRDefault="005C4A04" w:rsidP="00370380">
      <w:pPr>
        <w:spacing w:line="360" w:lineRule="auto"/>
        <w:jc w:val="both"/>
        <w:rPr>
          <w:rFonts w:ascii="Book Antiqua" w:hAnsi="Book Antiqua"/>
          <w:b/>
          <w:lang w:eastAsia="zh-CN"/>
        </w:rPr>
      </w:pPr>
      <w:r w:rsidRPr="008C705C">
        <w:rPr>
          <w:rFonts w:ascii="Book Antiqua" w:hAnsi="Book Antiqua"/>
          <w:b/>
          <w:lang w:eastAsia="zh-CN"/>
        </w:rPr>
        <w:t>COMMENTS</w:t>
      </w:r>
    </w:p>
    <w:p w:rsidR="0075753D" w:rsidRPr="008C705C" w:rsidRDefault="0075753D" w:rsidP="00370380">
      <w:pPr>
        <w:spacing w:line="360" w:lineRule="auto"/>
        <w:jc w:val="both"/>
        <w:rPr>
          <w:rFonts w:ascii="Book Antiqua" w:hAnsi="Book Antiqua"/>
          <w:b/>
          <w:bCs/>
          <w:i/>
        </w:rPr>
      </w:pPr>
      <w:r w:rsidRPr="008C705C">
        <w:rPr>
          <w:rFonts w:ascii="Book Antiqua" w:hAnsi="Book Antiqua"/>
          <w:b/>
          <w:bCs/>
          <w:i/>
        </w:rPr>
        <w:t>Background</w:t>
      </w:r>
    </w:p>
    <w:p w:rsidR="00094CC6" w:rsidRPr="008C705C" w:rsidRDefault="0075753D" w:rsidP="00370380">
      <w:pPr>
        <w:spacing w:line="360" w:lineRule="auto"/>
        <w:jc w:val="both"/>
        <w:rPr>
          <w:rFonts w:ascii="Book Antiqua" w:hAnsi="Book Antiqua"/>
        </w:rPr>
      </w:pPr>
      <w:r w:rsidRPr="008C705C">
        <w:rPr>
          <w:rFonts w:ascii="Book Antiqua" w:hAnsi="Book Antiqua"/>
        </w:rPr>
        <w:t>Accurate clinical diagnosis in acutely admitted surgical patients is of immense importance because of the necessity of timely surgical interventions such as need of laparotomy, laparoscopy and or organ resection. Inaccurate diagnosis can lead to serious consequences in terms of delayed treatment, prolonged hospital stay, increased operative morbidity or mortality putting excessive strain on the health resources</w:t>
      </w:r>
      <w:r w:rsidR="00094CC6" w:rsidRPr="008C705C">
        <w:rPr>
          <w:rFonts w:ascii="Book Antiqua" w:hAnsi="Book Antiqua"/>
        </w:rPr>
        <w:t>. Any measure which directly or indirectly may influence the diagnostic accuracy in acute surgical patients should be investigated and implemented in a timely manner to avoid these consequences. This article highlights the value and shortcomings of a referral pathway through which acute surgical patients pass through and get accurately diagnosed for the optimum management.</w:t>
      </w:r>
    </w:p>
    <w:p w:rsidR="00094CC6" w:rsidRPr="008C705C" w:rsidRDefault="00094CC6" w:rsidP="00370380">
      <w:pPr>
        <w:spacing w:line="360" w:lineRule="auto"/>
        <w:jc w:val="both"/>
        <w:rPr>
          <w:rFonts w:ascii="Book Antiqua" w:hAnsi="Book Antiqua"/>
          <w:b/>
          <w:bCs/>
          <w:lang w:eastAsia="zh-CN"/>
        </w:rPr>
      </w:pPr>
    </w:p>
    <w:p w:rsidR="00094CC6" w:rsidRPr="008C705C" w:rsidRDefault="00094CC6" w:rsidP="00370380">
      <w:pPr>
        <w:spacing w:line="360" w:lineRule="auto"/>
        <w:jc w:val="both"/>
        <w:rPr>
          <w:rFonts w:ascii="Book Antiqua" w:hAnsi="Book Antiqua"/>
          <w:b/>
          <w:bCs/>
          <w:i/>
        </w:rPr>
      </w:pPr>
      <w:r w:rsidRPr="008C705C">
        <w:rPr>
          <w:rFonts w:ascii="Book Antiqua" w:hAnsi="Book Antiqua"/>
          <w:b/>
          <w:bCs/>
          <w:i/>
        </w:rPr>
        <w:t>Research frontier</w:t>
      </w:r>
    </w:p>
    <w:p w:rsidR="00094CC6" w:rsidRPr="008C705C" w:rsidRDefault="00094CC6" w:rsidP="00370380">
      <w:pPr>
        <w:spacing w:line="360" w:lineRule="auto"/>
        <w:jc w:val="both"/>
        <w:rPr>
          <w:rFonts w:ascii="Book Antiqua" w:hAnsi="Book Antiqua"/>
          <w:bCs/>
          <w:lang w:eastAsia="zh-CN"/>
        </w:rPr>
      </w:pPr>
      <w:r w:rsidRPr="008C705C">
        <w:rPr>
          <w:rFonts w:ascii="Book Antiqua" w:hAnsi="Book Antiqua"/>
          <w:bCs/>
        </w:rPr>
        <w:t>Various studies published on this topic, although reported the diagnostic accuracy of different grades of acute surgical team with variable accuracy. This is the first study which investigates the diagnostic accuracy of all sources of referral during the course of management of acutely ill patients such as general practitioners, A/E doctors, surgical juniors, surgical middle grade doctors and eventually surgical consultant on call.</w:t>
      </w:r>
    </w:p>
    <w:p w:rsidR="0086112F" w:rsidRPr="008C705C" w:rsidRDefault="0086112F" w:rsidP="00370380">
      <w:pPr>
        <w:spacing w:line="360" w:lineRule="auto"/>
        <w:jc w:val="both"/>
        <w:rPr>
          <w:rFonts w:ascii="Book Antiqua" w:hAnsi="Book Antiqua"/>
          <w:bCs/>
          <w:lang w:eastAsia="zh-CN"/>
        </w:rPr>
      </w:pPr>
    </w:p>
    <w:p w:rsidR="00094CC6" w:rsidRPr="008C705C" w:rsidRDefault="0075753D" w:rsidP="00370380">
      <w:pPr>
        <w:spacing w:line="360" w:lineRule="auto"/>
        <w:jc w:val="both"/>
        <w:rPr>
          <w:rFonts w:ascii="Book Antiqua" w:hAnsi="Book Antiqua"/>
          <w:b/>
          <w:bCs/>
          <w:i/>
        </w:rPr>
      </w:pPr>
      <w:r w:rsidRPr="008C705C">
        <w:rPr>
          <w:rFonts w:ascii="Book Antiqua" w:hAnsi="Book Antiqua"/>
          <w:b/>
          <w:bCs/>
          <w:i/>
        </w:rPr>
        <w:t>Innovations and breakthroughs</w:t>
      </w:r>
    </w:p>
    <w:p w:rsidR="00FB4E87" w:rsidRPr="008C705C" w:rsidRDefault="00FB4E87" w:rsidP="00370380">
      <w:pPr>
        <w:spacing w:line="360" w:lineRule="auto"/>
        <w:jc w:val="both"/>
        <w:rPr>
          <w:rFonts w:ascii="Book Antiqua" w:hAnsi="Book Antiqua"/>
          <w:lang w:eastAsia="zh-CN"/>
        </w:rPr>
      </w:pPr>
      <w:r w:rsidRPr="008C705C">
        <w:rPr>
          <w:rFonts w:ascii="Book Antiqua" w:hAnsi="Book Antiqua"/>
        </w:rPr>
        <w:t xml:space="preserve">The potential to reduce the incidence of </w:t>
      </w:r>
      <w:proofErr w:type="spellStart"/>
      <w:r w:rsidRPr="008C705C">
        <w:rPr>
          <w:rFonts w:ascii="Book Antiqua" w:hAnsi="Book Antiqua"/>
        </w:rPr>
        <w:t>mis</w:t>
      </w:r>
      <w:proofErr w:type="spellEnd"/>
      <w:r w:rsidRPr="008C705C">
        <w:rPr>
          <w:rFonts w:ascii="Book Antiqua" w:hAnsi="Book Antiqua"/>
        </w:rPr>
        <w:t>-diagnosis with a simple practice that would require no further training and could be easily tested in clinical practice would be ideal as a means to reduce dangerous and costly diagnostic errors. The authors suggest that the practice of clearly listing 3 differential diagnoses in the patient notes is a simple way to modestly decrease the cogniti</w:t>
      </w:r>
      <w:r w:rsidR="0086112F" w:rsidRPr="008C705C">
        <w:rPr>
          <w:rFonts w:ascii="Book Antiqua" w:hAnsi="Book Antiqua"/>
        </w:rPr>
        <w:t>ve error of premature closure.</w:t>
      </w:r>
      <w:r w:rsidRPr="008C705C">
        <w:rPr>
          <w:rFonts w:ascii="Book Antiqua" w:hAnsi="Book Antiqua"/>
        </w:rPr>
        <w:t xml:space="preserve"> Listing of three differentials </w:t>
      </w:r>
      <w:r w:rsidR="00AD479B" w:rsidRPr="008C705C">
        <w:rPr>
          <w:rFonts w:ascii="Book Antiqua" w:hAnsi="Book Antiqua"/>
          <w:i/>
        </w:rPr>
        <w:t>vs</w:t>
      </w:r>
      <w:r w:rsidRPr="008C705C">
        <w:rPr>
          <w:rFonts w:ascii="Book Antiqua" w:hAnsi="Book Antiqua"/>
        </w:rPr>
        <w:t xml:space="preserve"> listing of one or two differentials seems to improve the diagnostic accuracy among the surgical team, although a larger study would be needed to reach statistical significance. For the 8.1% improvement in diagnostic accuracy seen among </w:t>
      </w:r>
      <w:r w:rsidRPr="008C705C">
        <w:rPr>
          <w:rFonts w:ascii="Book Antiqua" w:hAnsi="Book Antiqua"/>
        </w:rPr>
        <w:lastRenderedPageBreak/>
        <w:t>the surgical team to be</w:t>
      </w:r>
      <w:r w:rsidR="0086112F" w:rsidRPr="008C705C">
        <w:rPr>
          <w:rFonts w:ascii="Book Antiqua" w:hAnsi="Book Antiqua"/>
        </w:rPr>
        <w:t xml:space="preserve"> statistically significant (95%</w:t>
      </w:r>
      <w:r w:rsidRPr="008C705C">
        <w:rPr>
          <w:rFonts w:ascii="Book Antiqua" w:hAnsi="Book Antiqua"/>
        </w:rPr>
        <w:t xml:space="preserve">CI, 80% power), over 547 patient records should be evaluated. Further support for the use of three differentials comes from the increased proportion of diagnoses contributed using this method. Given the impact of misdiagnosis on the healthcare system, the difficult nature of reducing cognitive errors in clinical practice, and the simplicity of the intervention described, the authors feel it is worthwhile to consider further study in this area to explore any benefit of this practice. </w:t>
      </w:r>
    </w:p>
    <w:p w:rsidR="0086112F" w:rsidRPr="008C705C" w:rsidRDefault="0086112F" w:rsidP="00370380">
      <w:pPr>
        <w:spacing w:line="360" w:lineRule="auto"/>
        <w:jc w:val="both"/>
        <w:rPr>
          <w:rFonts w:ascii="Book Antiqua" w:hAnsi="Book Antiqua"/>
          <w:lang w:eastAsia="zh-CN"/>
        </w:rPr>
      </w:pPr>
    </w:p>
    <w:p w:rsidR="00FB4E87" w:rsidRPr="008C705C" w:rsidRDefault="0075753D" w:rsidP="00370380">
      <w:pPr>
        <w:spacing w:line="360" w:lineRule="auto"/>
        <w:jc w:val="both"/>
        <w:rPr>
          <w:rFonts w:ascii="Book Antiqua" w:hAnsi="Book Antiqua"/>
          <w:lang w:eastAsia="zh-CN"/>
        </w:rPr>
      </w:pPr>
      <w:r w:rsidRPr="008C705C">
        <w:rPr>
          <w:rFonts w:ascii="Book Antiqua" w:hAnsi="Book Antiqua"/>
          <w:b/>
          <w:bCs/>
          <w:i/>
        </w:rPr>
        <w:t>Applications</w:t>
      </w:r>
      <w:r w:rsidRPr="008C705C">
        <w:rPr>
          <w:rFonts w:ascii="Book Antiqua" w:hAnsi="Book Antiqua" w:cs="Tahoma"/>
        </w:rPr>
        <w:br/>
      </w:r>
      <w:r w:rsidR="00FB4E87" w:rsidRPr="008C705C">
        <w:rPr>
          <w:rFonts w:ascii="Book Antiqua" w:hAnsi="Book Antiqua"/>
        </w:rPr>
        <w:t>One of the strategies to reduce diagnostic error is to develop pathways for feedback. It is particularly important to develop feedback pathways for the junior doctors, as it has been shown that less experienced doctors tend to most over-estimate their diagnostic accuracy. With anonymity removed, the basic design of this study seems well suited to enable feedback to each physician involved in the care of an acute surgical patient. In this way a simple score could be reported as a way to objectively evaluate diagnostic performance, with the ultimate goal of self-improvement and future decrease in diagnostic errors. This approach would allow feedback not just after a negative event, as is the case with many feedback systems in place, but would track performance in a simple, ongoing manner.</w:t>
      </w:r>
    </w:p>
    <w:p w:rsidR="0086112F" w:rsidRPr="008C705C" w:rsidRDefault="0086112F" w:rsidP="00370380">
      <w:pPr>
        <w:spacing w:line="360" w:lineRule="auto"/>
        <w:jc w:val="both"/>
        <w:rPr>
          <w:rFonts w:ascii="Book Antiqua" w:hAnsi="Book Antiqua"/>
          <w:lang w:eastAsia="zh-CN"/>
        </w:rPr>
      </w:pPr>
    </w:p>
    <w:p w:rsidR="00FB4E87" w:rsidRPr="008C705C" w:rsidRDefault="0075753D" w:rsidP="00370380">
      <w:pPr>
        <w:spacing w:line="360" w:lineRule="auto"/>
        <w:jc w:val="both"/>
        <w:rPr>
          <w:rFonts w:ascii="Book Antiqua" w:hAnsi="Book Antiqua" w:cs="Arial"/>
          <w:b/>
          <w:bCs/>
          <w:i/>
        </w:rPr>
      </w:pPr>
      <w:r w:rsidRPr="008C705C">
        <w:rPr>
          <w:rFonts w:ascii="Book Antiqua" w:hAnsi="Book Antiqua" w:cs="Arial"/>
          <w:b/>
          <w:bCs/>
          <w:i/>
        </w:rPr>
        <w:t>Terminology</w:t>
      </w:r>
    </w:p>
    <w:p w:rsidR="0086112F" w:rsidRPr="008C705C" w:rsidRDefault="00FB4E87" w:rsidP="00370380">
      <w:pPr>
        <w:spacing w:line="360" w:lineRule="auto"/>
        <w:jc w:val="both"/>
        <w:rPr>
          <w:rFonts w:ascii="Book Antiqua" w:hAnsi="Book Antiqua" w:cs="Tahoma"/>
          <w:lang w:eastAsia="zh-CN"/>
        </w:rPr>
      </w:pPr>
      <w:r w:rsidRPr="008C705C">
        <w:rPr>
          <w:rFonts w:ascii="Book Antiqua" w:hAnsi="Book Antiqua" w:cs="Tahoma"/>
        </w:rPr>
        <w:t xml:space="preserve">FY1: It stands for </w:t>
      </w:r>
      <w:r w:rsidR="0082496E" w:rsidRPr="008C705C">
        <w:rPr>
          <w:rFonts w:ascii="Book Antiqua" w:hAnsi="Book Antiqua" w:cs="Tahoma"/>
        </w:rPr>
        <w:t>foundation y</w:t>
      </w:r>
      <w:r w:rsidRPr="008C705C">
        <w:rPr>
          <w:rFonts w:ascii="Book Antiqua" w:hAnsi="Book Antiqua" w:cs="Tahoma"/>
        </w:rPr>
        <w:t>ear 1. The group of junior most surgical doctors in the United Kingdom NHS Trust health system which start clinical practice just after finishing medical school.</w:t>
      </w:r>
      <w:r w:rsidR="0086112F" w:rsidRPr="008C705C">
        <w:rPr>
          <w:rFonts w:ascii="Book Antiqua" w:hAnsi="Book Antiqua" w:cs="Tahoma" w:hint="eastAsia"/>
          <w:lang w:eastAsia="zh-CN"/>
        </w:rPr>
        <w:t xml:space="preserve"> </w:t>
      </w:r>
      <w:r w:rsidRPr="008C705C">
        <w:rPr>
          <w:rFonts w:ascii="Book Antiqua" w:hAnsi="Book Antiqua" w:cs="Tahoma"/>
        </w:rPr>
        <w:t>SHO: It stands for Senior House Officer which a surgical grade after finishing two years of foundation training (FY1 and FY2).</w:t>
      </w:r>
      <w:r w:rsidR="0086112F" w:rsidRPr="008C705C">
        <w:rPr>
          <w:rFonts w:ascii="Book Antiqua" w:hAnsi="Book Antiqua" w:cs="Tahoma" w:hint="eastAsia"/>
          <w:lang w:eastAsia="zh-CN"/>
        </w:rPr>
        <w:t xml:space="preserve"> </w:t>
      </w:r>
      <w:r w:rsidRPr="008C705C">
        <w:rPr>
          <w:rFonts w:ascii="Book Antiqua" w:hAnsi="Book Antiqua" w:cs="Tahoma"/>
        </w:rPr>
        <w:t xml:space="preserve">SROC: Its stands for Surgical Registrar On Call. Surgical registrar is of variable experience depending upon the step of ladder on training pathway </w:t>
      </w:r>
      <w:r w:rsidR="002055E3" w:rsidRPr="008C705C">
        <w:rPr>
          <w:rFonts w:ascii="Book Antiqua" w:hAnsi="Book Antiqua" w:cs="Tahoma"/>
        </w:rPr>
        <w:t>(</w:t>
      </w:r>
      <w:r w:rsidR="0086112F" w:rsidRPr="008C705C">
        <w:rPr>
          <w:rFonts w:ascii="Book Antiqua" w:hAnsi="Book Antiqua" w:cs="Tahoma"/>
        </w:rPr>
        <w:t>year 1 to y</w:t>
      </w:r>
      <w:r w:rsidR="002055E3" w:rsidRPr="008C705C">
        <w:rPr>
          <w:rFonts w:ascii="Book Antiqua" w:hAnsi="Book Antiqua" w:cs="Tahoma"/>
        </w:rPr>
        <w:t>ear 8).</w:t>
      </w:r>
      <w:r w:rsidR="0086112F" w:rsidRPr="008C705C">
        <w:rPr>
          <w:rFonts w:ascii="Book Antiqua" w:hAnsi="Book Antiqua" w:cs="Tahoma" w:hint="eastAsia"/>
          <w:lang w:eastAsia="zh-CN"/>
        </w:rPr>
        <w:t xml:space="preserve"> </w:t>
      </w:r>
    </w:p>
    <w:p w:rsidR="0086112F" w:rsidRPr="008C705C" w:rsidRDefault="0086112F" w:rsidP="00370380">
      <w:pPr>
        <w:spacing w:line="360" w:lineRule="auto"/>
        <w:jc w:val="both"/>
        <w:rPr>
          <w:rFonts w:ascii="Book Antiqua" w:hAnsi="Book Antiqua" w:cs="Tahoma"/>
          <w:lang w:eastAsia="zh-CN"/>
        </w:rPr>
      </w:pPr>
    </w:p>
    <w:p w:rsidR="00FB4E87" w:rsidRPr="008C705C" w:rsidRDefault="0086112F" w:rsidP="00FC14D4">
      <w:pPr>
        <w:spacing w:line="360" w:lineRule="auto"/>
        <w:jc w:val="both"/>
        <w:rPr>
          <w:rFonts w:ascii="Book Antiqua" w:hAnsi="Book Antiqua" w:cs="Tahoma"/>
          <w:b/>
          <w:i/>
          <w:lang w:eastAsia="zh-CN"/>
        </w:rPr>
      </w:pPr>
      <w:r w:rsidRPr="008C705C">
        <w:rPr>
          <w:rFonts w:ascii="Book Antiqua" w:hAnsi="Book Antiqua" w:cs="Tahoma"/>
          <w:b/>
          <w:i/>
          <w:lang w:eastAsia="zh-CN"/>
        </w:rPr>
        <w:t>Peer review</w:t>
      </w:r>
    </w:p>
    <w:p w:rsidR="003C10E2" w:rsidRPr="008C705C" w:rsidRDefault="0082496E" w:rsidP="00FC14D4">
      <w:pPr>
        <w:spacing w:line="360" w:lineRule="auto"/>
        <w:jc w:val="both"/>
        <w:rPr>
          <w:rFonts w:ascii="Book Antiqua" w:hAnsi="Book Antiqua"/>
          <w:b/>
          <w:caps/>
        </w:rPr>
      </w:pPr>
      <w:r w:rsidRPr="008C705C">
        <w:rPr>
          <w:rFonts w:ascii="Book Antiqua" w:hAnsi="Book Antiqua"/>
        </w:rPr>
        <w:t>This is an interesting article</w:t>
      </w:r>
      <w:r w:rsidR="00AA6D46">
        <w:rPr>
          <w:rFonts w:ascii="Book Antiqua" w:hAnsi="Book Antiqua"/>
          <w:lang w:eastAsia="zh-CN"/>
        </w:rPr>
        <w:t>.</w:t>
      </w:r>
    </w:p>
    <w:p w:rsidR="007B2033" w:rsidRPr="008C705C" w:rsidRDefault="007B2033" w:rsidP="00FC14D4">
      <w:pPr>
        <w:spacing w:line="360" w:lineRule="auto"/>
        <w:jc w:val="both"/>
        <w:rPr>
          <w:rFonts w:ascii="Book Antiqua" w:hAnsi="Book Antiqua"/>
          <w:b/>
          <w:caps/>
          <w:lang w:eastAsia="zh-CN"/>
        </w:rPr>
      </w:pPr>
    </w:p>
    <w:p w:rsidR="00D06560" w:rsidRPr="008C705C" w:rsidRDefault="00D06560" w:rsidP="00FC14D4">
      <w:pPr>
        <w:spacing w:line="360" w:lineRule="auto"/>
        <w:jc w:val="both"/>
        <w:rPr>
          <w:rFonts w:ascii="Book Antiqua" w:hAnsi="Book Antiqua"/>
          <w:b/>
          <w:caps/>
          <w:lang w:eastAsia="zh-CN"/>
        </w:rPr>
      </w:pPr>
      <w:r w:rsidRPr="008C705C">
        <w:rPr>
          <w:rFonts w:ascii="Book Antiqua" w:hAnsi="Book Antiqua"/>
          <w:b/>
          <w:caps/>
        </w:rPr>
        <w:t>References</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1 </w:t>
      </w:r>
      <w:r w:rsidRPr="008C705C">
        <w:rPr>
          <w:rFonts w:ascii="Book Antiqua" w:eastAsia="宋体" w:hAnsi="Book Antiqua" w:cs="宋体"/>
          <w:b/>
          <w:bCs/>
          <w:lang w:eastAsia="zh-CN"/>
        </w:rPr>
        <w:t>Saber Tehrani AS</w:t>
      </w:r>
      <w:r w:rsidRPr="008C705C">
        <w:rPr>
          <w:rFonts w:ascii="Book Antiqua" w:eastAsia="宋体" w:hAnsi="Book Antiqua" w:cs="宋体"/>
          <w:lang w:eastAsia="zh-CN"/>
        </w:rPr>
        <w:t xml:space="preserve">, Lee H, Mathews SC, Shore A, </w:t>
      </w:r>
      <w:proofErr w:type="spellStart"/>
      <w:r w:rsidRPr="008C705C">
        <w:rPr>
          <w:rFonts w:ascii="Book Antiqua" w:eastAsia="宋体" w:hAnsi="Book Antiqua" w:cs="宋体"/>
          <w:lang w:eastAsia="zh-CN"/>
        </w:rPr>
        <w:t>Makary</w:t>
      </w:r>
      <w:proofErr w:type="spellEnd"/>
      <w:r w:rsidRPr="008C705C">
        <w:rPr>
          <w:rFonts w:ascii="Book Antiqua" w:eastAsia="宋体" w:hAnsi="Book Antiqua" w:cs="宋体"/>
          <w:lang w:eastAsia="zh-CN"/>
        </w:rPr>
        <w:t xml:space="preserve"> MA, </w:t>
      </w:r>
      <w:proofErr w:type="spellStart"/>
      <w:r w:rsidRPr="008C705C">
        <w:rPr>
          <w:rFonts w:ascii="Book Antiqua" w:eastAsia="宋体" w:hAnsi="Book Antiqua" w:cs="宋体"/>
          <w:lang w:eastAsia="zh-CN"/>
        </w:rPr>
        <w:t>Pronovost</w:t>
      </w:r>
      <w:proofErr w:type="spellEnd"/>
      <w:r w:rsidRPr="008C705C">
        <w:rPr>
          <w:rFonts w:ascii="Book Antiqua" w:eastAsia="宋体" w:hAnsi="Book Antiqua" w:cs="宋体"/>
          <w:lang w:eastAsia="zh-CN"/>
        </w:rPr>
        <w:t xml:space="preserve"> PJ, Newman-</w:t>
      </w:r>
      <w:proofErr w:type="spellStart"/>
      <w:r w:rsidRPr="008C705C">
        <w:rPr>
          <w:rFonts w:ascii="Book Antiqua" w:eastAsia="宋体" w:hAnsi="Book Antiqua" w:cs="宋体"/>
          <w:lang w:eastAsia="zh-CN"/>
        </w:rPr>
        <w:t>Toker</w:t>
      </w:r>
      <w:proofErr w:type="spellEnd"/>
      <w:r w:rsidRPr="008C705C">
        <w:rPr>
          <w:rFonts w:ascii="Book Antiqua" w:eastAsia="宋体" w:hAnsi="Book Antiqua" w:cs="宋体"/>
          <w:lang w:eastAsia="zh-CN"/>
        </w:rPr>
        <w:t xml:space="preserve"> DE. 25-Year summary of US malpractice claims for diagnostic errors 1986-2010: an analysis from the National Practitioner Data Bank. </w:t>
      </w:r>
      <w:r w:rsidRPr="008C705C">
        <w:rPr>
          <w:rFonts w:ascii="Book Antiqua" w:eastAsia="宋体" w:hAnsi="Book Antiqua" w:cs="宋体"/>
          <w:i/>
          <w:iCs/>
          <w:lang w:eastAsia="zh-CN"/>
        </w:rPr>
        <w:t xml:space="preserve">BMJ </w:t>
      </w:r>
      <w:proofErr w:type="spellStart"/>
      <w:r w:rsidRPr="008C705C">
        <w:rPr>
          <w:rFonts w:ascii="Book Antiqua" w:eastAsia="宋体" w:hAnsi="Book Antiqua" w:cs="宋体"/>
          <w:i/>
          <w:iCs/>
          <w:lang w:eastAsia="zh-CN"/>
        </w:rPr>
        <w:t>Qual</w:t>
      </w:r>
      <w:proofErr w:type="spellEnd"/>
      <w:r w:rsidRPr="008C705C">
        <w:rPr>
          <w:rFonts w:ascii="Book Antiqua" w:eastAsia="宋体" w:hAnsi="Book Antiqua" w:cs="宋体"/>
          <w:i/>
          <w:iCs/>
          <w:lang w:eastAsia="zh-CN"/>
        </w:rPr>
        <w:t xml:space="preserve"> </w:t>
      </w:r>
      <w:proofErr w:type="spellStart"/>
      <w:r w:rsidRPr="008C705C">
        <w:rPr>
          <w:rFonts w:ascii="Book Antiqua" w:eastAsia="宋体" w:hAnsi="Book Antiqua" w:cs="宋体"/>
          <w:i/>
          <w:iCs/>
          <w:lang w:eastAsia="zh-CN"/>
        </w:rPr>
        <w:t>Saf</w:t>
      </w:r>
      <w:proofErr w:type="spellEnd"/>
      <w:r w:rsidRPr="008C705C">
        <w:rPr>
          <w:rFonts w:ascii="Book Antiqua" w:eastAsia="宋体" w:hAnsi="Book Antiqua" w:cs="宋体"/>
          <w:lang w:eastAsia="zh-CN"/>
        </w:rPr>
        <w:t> 2013; </w:t>
      </w:r>
      <w:r w:rsidRPr="008C705C">
        <w:rPr>
          <w:rFonts w:ascii="Book Antiqua" w:eastAsia="宋体" w:hAnsi="Book Antiqua" w:cs="宋体"/>
          <w:b/>
          <w:bCs/>
          <w:lang w:eastAsia="zh-CN"/>
        </w:rPr>
        <w:t>22</w:t>
      </w:r>
      <w:r w:rsidRPr="008C705C">
        <w:rPr>
          <w:rFonts w:ascii="Book Antiqua" w:eastAsia="宋体" w:hAnsi="Book Antiqua" w:cs="宋体"/>
          <w:lang w:eastAsia="zh-CN"/>
        </w:rPr>
        <w:t>: 672-680 [PMID: 23610443 DOI: 10.1136/bmjqs-2012-001550]</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2 </w:t>
      </w:r>
      <w:proofErr w:type="spellStart"/>
      <w:r w:rsidRPr="008C705C">
        <w:rPr>
          <w:rFonts w:ascii="Book Antiqua" w:eastAsia="宋体" w:hAnsi="Book Antiqua" w:cs="宋体"/>
          <w:b/>
          <w:bCs/>
          <w:lang w:eastAsia="zh-CN"/>
        </w:rPr>
        <w:t>Berner</w:t>
      </w:r>
      <w:proofErr w:type="spellEnd"/>
      <w:r w:rsidRPr="008C705C">
        <w:rPr>
          <w:rFonts w:ascii="Book Antiqua" w:eastAsia="宋体" w:hAnsi="Book Antiqua" w:cs="宋体"/>
          <w:b/>
          <w:bCs/>
          <w:lang w:eastAsia="zh-CN"/>
        </w:rPr>
        <w:t xml:space="preserve"> ES</w:t>
      </w:r>
      <w:r w:rsidRPr="008C705C">
        <w:rPr>
          <w:rFonts w:ascii="Book Antiqua" w:eastAsia="宋体" w:hAnsi="Book Antiqua" w:cs="宋体"/>
          <w:lang w:eastAsia="zh-CN"/>
        </w:rPr>
        <w:t>, Graber ML. Overconfidence as a cause of diagnostic error in medicine. </w:t>
      </w:r>
      <w:r w:rsidRPr="008C705C">
        <w:rPr>
          <w:rFonts w:ascii="Book Antiqua" w:eastAsia="宋体" w:hAnsi="Book Antiqua" w:cs="宋体"/>
          <w:i/>
          <w:iCs/>
          <w:lang w:eastAsia="zh-CN"/>
        </w:rPr>
        <w:t>Am J Med</w:t>
      </w:r>
      <w:r w:rsidRPr="008C705C">
        <w:rPr>
          <w:rFonts w:ascii="Book Antiqua" w:eastAsia="宋体" w:hAnsi="Book Antiqua" w:cs="宋体"/>
          <w:lang w:eastAsia="zh-CN"/>
        </w:rPr>
        <w:t> 2008; </w:t>
      </w:r>
      <w:r w:rsidRPr="008C705C">
        <w:rPr>
          <w:rFonts w:ascii="Book Antiqua" w:eastAsia="宋体" w:hAnsi="Book Antiqua" w:cs="宋体"/>
          <w:b/>
          <w:bCs/>
          <w:lang w:eastAsia="zh-CN"/>
        </w:rPr>
        <w:t>121</w:t>
      </w:r>
      <w:r w:rsidRPr="008C705C">
        <w:rPr>
          <w:rFonts w:ascii="Book Antiqua" w:eastAsia="宋体" w:hAnsi="Book Antiqua" w:cs="宋体"/>
          <w:lang w:eastAsia="zh-CN"/>
        </w:rPr>
        <w:t>: S2-23 [PMID: 18440350 DOI: 10.1016/j.amjmed.2008.01.001]</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3</w:t>
      </w:r>
      <w:r w:rsidRPr="008C705C">
        <w:rPr>
          <w:rFonts w:ascii="Book Antiqua" w:eastAsia="宋体" w:hAnsi="Book Antiqua" w:cs="宋体" w:hint="eastAsia"/>
          <w:lang w:eastAsia="zh-CN"/>
        </w:rPr>
        <w:t xml:space="preserve"> </w:t>
      </w:r>
      <w:proofErr w:type="spellStart"/>
      <w:r w:rsidRPr="008C705C">
        <w:rPr>
          <w:rFonts w:ascii="Book Antiqua" w:eastAsia="宋体" w:hAnsi="Book Antiqua" w:cs="宋体"/>
          <w:b/>
          <w:lang w:eastAsia="zh-CN"/>
        </w:rPr>
        <w:t>Nuland</w:t>
      </w:r>
      <w:proofErr w:type="spellEnd"/>
      <w:r w:rsidRPr="008C705C">
        <w:rPr>
          <w:rFonts w:ascii="Book Antiqua" w:eastAsia="宋体" w:hAnsi="Book Antiqua" w:cs="宋体"/>
          <w:b/>
          <w:lang w:eastAsia="zh-CN"/>
        </w:rPr>
        <w:t xml:space="preserve"> S</w:t>
      </w:r>
      <w:r w:rsidRPr="008C705C">
        <w:rPr>
          <w:rFonts w:ascii="Book Antiqua" w:eastAsia="宋体" w:hAnsi="Book Antiqua" w:cs="宋体"/>
          <w:lang w:eastAsia="zh-CN"/>
        </w:rPr>
        <w:t>. How We Die: Reflections on Life’s Final Chapter. New York, NY: Knopf</w:t>
      </w:r>
      <w:r w:rsidRPr="008C705C">
        <w:rPr>
          <w:rFonts w:ascii="Book Antiqua" w:eastAsia="宋体" w:hAnsi="Book Antiqua" w:cs="宋体" w:hint="eastAsia"/>
          <w:lang w:eastAsia="zh-CN"/>
        </w:rPr>
        <w:t>,</w:t>
      </w:r>
      <w:r w:rsidRPr="008C705C">
        <w:rPr>
          <w:rFonts w:ascii="Book Antiqua" w:eastAsia="宋体" w:hAnsi="Book Antiqua" w:cs="宋体"/>
          <w:lang w:eastAsia="zh-CN"/>
        </w:rPr>
        <w:t xml:space="preserve"> 1994</w:t>
      </w:r>
      <w:r w:rsidRPr="008C705C">
        <w:rPr>
          <w:rFonts w:ascii="Book Antiqua" w:eastAsia="宋体" w:hAnsi="Book Antiqua" w:cs="宋体" w:hint="eastAsia"/>
          <w:lang w:eastAsia="zh-CN"/>
        </w:rPr>
        <w:t xml:space="preserve">: </w:t>
      </w:r>
      <w:r w:rsidRPr="008C705C">
        <w:rPr>
          <w:rFonts w:ascii="Book Antiqua" w:eastAsia="宋体" w:hAnsi="Book Antiqua" w:cs="宋体"/>
          <w:lang w:eastAsia="zh-CN"/>
        </w:rPr>
        <w:t>248</w:t>
      </w:r>
    </w:p>
    <w:p w:rsidR="00FC14D4" w:rsidRPr="008C705C" w:rsidRDefault="00FC14D4"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t>4 </w:t>
      </w:r>
      <w:r w:rsidRPr="008C705C">
        <w:rPr>
          <w:rFonts w:ascii="Book Antiqua" w:eastAsia="宋体" w:hAnsi="Book Antiqua" w:cs="宋体"/>
          <w:b/>
          <w:bCs/>
          <w:lang w:eastAsia="zh-CN"/>
        </w:rPr>
        <w:t>Graber ML</w:t>
      </w:r>
      <w:r w:rsidRPr="008C705C">
        <w:rPr>
          <w:rFonts w:ascii="Book Antiqua" w:eastAsia="宋体" w:hAnsi="Book Antiqua" w:cs="宋体"/>
          <w:lang w:eastAsia="zh-CN"/>
        </w:rPr>
        <w:t xml:space="preserve">, </w:t>
      </w:r>
      <w:proofErr w:type="spellStart"/>
      <w:r w:rsidRPr="008C705C">
        <w:rPr>
          <w:rFonts w:ascii="Book Antiqua" w:eastAsia="宋体" w:hAnsi="Book Antiqua" w:cs="宋体"/>
          <w:lang w:eastAsia="zh-CN"/>
        </w:rPr>
        <w:t>Wachter</w:t>
      </w:r>
      <w:proofErr w:type="spellEnd"/>
      <w:r w:rsidRPr="008C705C">
        <w:rPr>
          <w:rFonts w:ascii="Book Antiqua" w:eastAsia="宋体" w:hAnsi="Book Antiqua" w:cs="宋体"/>
          <w:lang w:eastAsia="zh-CN"/>
        </w:rPr>
        <w:t xml:space="preserve"> RM, Cassel CK. Bringing diagnosis into the quality and safety equations.</w:t>
      </w:r>
      <w:proofErr w:type="gramEnd"/>
      <w:r w:rsidRPr="008C705C">
        <w:rPr>
          <w:rFonts w:ascii="Book Antiqua" w:eastAsia="宋体" w:hAnsi="Book Antiqua" w:cs="宋体"/>
          <w:lang w:eastAsia="zh-CN"/>
        </w:rPr>
        <w:t> </w:t>
      </w:r>
      <w:r w:rsidRPr="008C705C">
        <w:rPr>
          <w:rFonts w:ascii="Book Antiqua" w:eastAsia="宋体" w:hAnsi="Book Antiqua" w:cs="宋体"/>
          <w:i/>
          <w:iCs/>
          <w:lang w:eastAsia="zh-CN"/>
        </w:rPr>
        <w:t>JAMA</w:t>
      </w:r>
      <w:r w:rsidRPr="008C705C">
        <w:rPr>
          <w:rFonts w:ascii="Book Antiqua" w:eastAsia="宋体" w:hAnsi="Book Antiqua" w:cs="宋体"/>
          <w:lang w:eastAsia="zh-CN"/>
        </w:rPr>
        <w:t> 2012; </w:t>
      </w:r>
      <w:r w:rsidRPr="008C705C">
        <w:rPr>
          <w:rFonts w:ascii="Book Antiqua" w:eastAsia="宋体" w:hAnsi="Book Antiqua" w:cs="宋体"/>
          <w:b/>
          <w:bCs/>
          <w:lang w:eastAsia="zh-CN"/>
        </w:rPr>
        <w:t>308</w:t>
      </w:r>
      <w:r w:rsidRPr="008C705C">
        <w:rPr>
          <w:rFonts w:ascii="Book Antiqua" w:eastAsia="宋体" w:hAnsi="Book Antiqua" w:cs="宋体"/>
          <w:lang w:eastAsia="zh-CN"/>
        </w:rPr>
        <w:t>: 1211-1212 [PMID: 23011708]</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5 </w:t>
      </w:r>
      <w:proofErr w:type="spellStart"/>
      <w:r w:rsidRPr="008C705C">
        <w:rPr>
          <w:rFonts w:ascii="Book Antiqua" w:eastAsia="宋体" w:hAnsi="Book Antiqua" w:cs="宋体"/>
          <w:b/>
          <w:bCs/>
          <w:lang w:eastAsia="zh-CN"/>
        </w:rPr>
        <w:t>Berner</w:t>
      </w:r>
      <w:proofErr w:type="spellEnd"/>
      <w:r w:rsidRPr="008C705C">
        <w:rPr>
          <w:rFonts w:ascii="Book Antiqua" w:eastAsia="宋体" w:hAnsi="Book Antiqua" w:cs="宋体"/>
          <w:b/>
          <w:bCs/>
          <w:lang w:eastAsia="zh-CN"/>
        </w:rPr>
        <w:t xml:space="preserve"> ES</w:t>
      </w:r>
      <w:r w:rsidRPr="008C705C">
        <w:rPr>
          <w:rFonts w:ascii="Book Antiqua" w:eastAsia="宋体" w:hAnsi="Book Antiqua" w:cs="宋体"/>
          <w:lang w:eastAsia="zh-CN"/>
        </w:rPr>
        <w:t>, Miller RA, Graber ML. Missed and delayed diagnoses in the ambulatory setting. </w:t>
      </w:r>
      <w:r w:rsidRPr="008C705C">
        <w:rPr>
          <w:rFonts w:ascii="Book Antiqua" w:eastAsia="宋体" w:hAnsi="Book Antiqua" w:cs="宋体"/>
          <w:i/>
          <w:iCs/>
          <w:lang w:eastAsia="zh-CN"/>
        </w:rPr>
        <w:t>Ann Intern Med</w:t>
      </w:r>
      <w:r w:rsidRPr="008C705C">
        <w:rPr>
          <w:rFonts w:ascii="Book Antiqua" w:eastAsia="宋体" w:hAnsi="Book Antiqua" w:cs="宋体"/>
          <w:lang w:eastAsia="zh-CN"/>
        </w:rPr>
        <w:t> 2007; </w:t>
      </w:r>
      <w:r w:rsidRPr="008C705C">
        <w:rPr>
          <w:rFonts w:ascii="Book Antiqua" w:eastAsia="宋体" w:hAnsi="Book Antiqua" w:cs="宋体"/>
          <w:b/>
          <w:bCs/>
          <w:lang w:eastAsia="zh-CN"/>
        </w:rPr>
        <w:t>146</w:t>
      </w:r>
      <w:r w:rsidRPr="008C705C">
        <w:rPr>
          <w:rFonts w:ascii="Book Antiqua" w:eastAsia="宋体" w:hAnsi="Book Antiqua" w:cs="宋体"/>
          <w:lang w:eastAsia="zh-CN"/>
        </w:rPr>
        <w:t>: 470; author reply 470-471 [PMID: 17371899]</w:t>
      </w:r>
    </w:p>
    <w:p w:rsidR="00FC14D4" w:rsidRPr="008C705C" w:rsidRDefault="00FC14D4"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t>6 </w:t>
      </w:r>
      <w:r w:rsidRPr="008C705C">
        <w:rPr>
          <w:rFonts w:ascii="Book Antiqua" w:eastAsia="宋体" w:hAnsi="Book Antiqua" w:cs="宋体"/>
          <w:b/>
          <w:bCs/>
          <w:lang w:eastAsia="zh-CN"/>
        </w:rPr>
        <w:t>Graber ML</w:t>
      </w:r>
      <w:r w:rsidRPr="008C705C">
        <w:rPr>
          <w:rFonts w:ascii="Book Antiqua" w:eastAsia="宋体" w:hAnsi="Book Antiqua" w:cs="宋体"/>
          <w:lang w:eastAsia="zh-CN"/>
        </w:rPr>
        <w:t>, Franklin N, Gordon R. Diagnostic error in internal medicine.</w:t>
      </w:r>
      <w:proofErr w:type="gramEnd"/>
      <w:r w:rsidRPr="008C705C">
        <w:rPr>
          <w:rFonts w:ascii="Book Antiqua" w:eastAsia="宋体" w:hAnsi="Book Antiqua" w:cs="宋体"/>
          <w:lang w:eastAsia="zh-CN"/>
        </w:rPr>
        <w:t> </w:t>
      </w:r>
      <w:r w:rsidRPr="008C705C">
        <w:rPr>
          <w:rFonts w:ascii="Book Antiqua" w:eastAsia="宋体" w:hAnsi="Book Antiqua" w:cs="宋体"/>
          <w:i/>
          <w:iCs/>
          <w:lang w:eastAsia="zh-CN"/>
        </w:rPr>
        <w:t>Arch Intern Med</w:t>
      </w:r>
      <w:r w:rsidRPr="008C705C">
        <w:rPr>
          <w:rFonts w:ascii="Book Antiqua" w:eastAsia="宋体" w:hAnsi="Book Antiqua" w:cs="宋体"/>
          <w:lang w:eastAsia="zh-CN"/>
        </w:rPr>
        <w:t> 2005; </w:t>
      </w:r>
      <w:r w:rsidRPr="008C705C">
        <w:rPr>
          <w:rFonts w:ascii="Book Antiqua" w:eastAsia="宋体" w:hAnsi="Book Antiqua" w:cs="宋体"/>
          <w:b/>
          <w:bCs/>
          <w:lang w:eastAsia="zh-CN"/>
        </w:rPr>
        <w:t>165</w:t>
      </w:r>
      <w:r w:rsidRPr="008C705C">
        <w:rPr>
          <w:rFonts w:ascii="Book Antiqua" w:eastAsia="宋体" w:hAnsi="Book Antiqua" w:cs="宋体"/>
          <w:lang w:eastAsia="zh-CN"/>
        </w:rPr>
        <w:t>: 1493-1499 [PMID: 16009864]</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7 </w:t>
      </w:r>
      <w:r w:rsidRPr="008C705C">
        <w:rPr>
          <w:rFonts w:ascii="Book Antiqua" w:eastAsia="宋体" w:hAnsi="Book Antiqua" w:cs="宋体"/>
          <w:b/>
          <w:bCs/>
          <w:lang w:eastAsia="zh-CN"/>
        </w:rPr>
        <w:t>Graber ML</w:t>
      </w:r>
      <w:r w:rsidRPr="008C705C">
        <w:rPr>
          <w:rFonts w:ascii="Book Antiqua" w:eastAsia="宋体" w:hAnsi="Book Antiqua" w:cs="宋体"/>
          <w:lang w:eastAsia="zh-CN"/>
        </w:rPr>
        <w:t xml:space="preserve">, </w:t>
      </w:r>
      <w:proofErr w:type="spellStart"/>
      <w:r w:rsidRPr="008C705C">
        <w:rPr>
          <w:rFonts w:ascii="Book Antiqua" w:eastAsia="宋体" w:hAnsi="Book Antiqua" w:cs="宋体"/>
          <w:lang w:eastAsia="zh-CN"/>
        </w:rPr>
        <w:t>Kissam</w:t>
      </w:r>
      <w:proofErr w:type="spellEnd"/>
      <w:r w:rsidRPr="008C705C">
        <w:rPr>
          <w:rFonts w:ascii="Book Antiqua" w:eastAsia="宋体" w:hAnsi="Book Antiqua" w:cs="宋体"/>
          <w:lang w:eastAsia="zh-CN"/>
        </w:rPr>
        <w:t xml:space="preserve"> S, Payne VL, Meyer AN, Sorensen A, </w:t>
      </w:r>
      <w:proofErr w:type="spellStart"/>
      <w:r w:rsidRPr="008C705C">
        <w:rPr>
          <w:rFonts w:ascii="Book Antiqua" w:eastAsia="宋体" w:hAnsi="Book Antiqua" w:cs="宋体"/>
          <w:lang w:eastAsia="zh-CN"/>
        </w:rPr>
        <w:t>Lenfestey</w:t>
      </w:r>
      <w:proofErr w:type="spellEnd"/>
      <w:r w:rsidRPr="008C705C">
        <w:rPr>
          <w:rFonts w:ascii="Book Antiqua" w:eastAsia="宋体" w:hAnsi="Book Antiqua" w:cs="宋体"/>
          <w:lang w:eastAsia="zh-CN"/>
        </w:rPr>
        <w:t xml:space="preserve"> N, </w:t>
      </w:r>
      <w:proofErr w:type="spellStart"/>
      <w:r w:rsidRPr="008C705C">
        <w:rPr>
          <w:rFonts w:ascii="Book Antiqua" w:eastAsia="宋体" w:hAnsi="Book Antiqua" w:cs="宋体"/>
          <w:lang w:eastAsia="zh-CN"/>
        </w:rPr>
        <w:t>Tant</w:t>
      </w:r>
      <w:proofErr w:type="spellEnd"/>
      <w:r w:rsidRPr="008C705C">
        <w:rPr>
          <w:rFonts w:ascii="Book Antiqua" w:eastAsia="宋体" w:hAnsi="Book Antiqua" w:cs="宋体"/>
          <w:lang w:eastAsia="zh-CN"/>
        </w:rPr>
        <w:t xml:space="preserve"> E, </w:t>
      </w:r>
      <w:proofErr w:type="spellStart"/>
      <w:r w:rsidRPr="008C705C">
        <w:rPr>
          <w:rFonts w:ascii="Book Antiqua" w:eastAsia="宋体" w:hAnsi="Book Antiqua" w:cs="宋体"/>
          <w:lang w:eastAsia="zh-CN"/>
        </w:rPr>
        <w:t>Henriksen</w:t>
      </w:r>
      <w:proofErr w:type="spellEnd"/>
      <w:r w:rsidRPr="008C705C">
        <w:rPr>
          <w:rFonts w:ascii="Book Antiqua" w:eastAsia="宋体" w:hAnsi="Book Antiqua" w:cs="宋体"/>
          <w:lang w:eastAsia="zh-CN"/>
        </w:rPr>
        <w:t xml:space="preserve"> K, </w:t>
      </w:r>
      <w:proofErr w:type="spellStart"/>
      <w:r w:rsidRPr="008C705C">
        <w:rPr>
          <w:rFonts w:ascii="Book Antiqua" w:eastAsia="宋体" w:hAnsi="Book Antiqua" w:cs="宋体"/>
          <w:lang w:eastAsia="zh-CN"/>
        </w:rPr>
        <w:t>Labresh</w:t>
      </w:r>
      <w:proofErr w:type="spellEnd"/>
      <w:r w:rsidRPr="008C705C">
        <w:rPr>
          <w:rFonts w:ascii="Book Antiqua" w:eastAsia="宋体" w:hAnsi="Book Antiqua" w:cs="宋体"/>
          <w:lang w:eastAsia="zh-CN"/>
        </w:rPr>
        <w:t xml:space="preserve"> K, Singh H. Cognitive interventions to reduce diagnostic error: a narrative review. </w:t>
      </w:r>
      <w:r w:rsidRPr="008C705C">
        <w:rPr>
          <w:rFonts w:ascii="Book Antiqua" w:eastAsia="宋体" w:hAnsi="Book Antiqua" w:cs="宋体"/>
          <w:i/>
          <w:iCs/>
          <w:lang w:eastAsia="zh-CN"/>
        </w:rPr>
        <w:t xml:space="preserve">BMJ </w:t>
      </w:r>
      <w:proofErr w:type="spellStart"/>
      <w:r w:rsidRPr="008C705C">
        <w:rPr>
          <w:rFonts w:ascii="Book Antiqua" w:eastAsia="宋体" w:hAnsi="Book Antiqua" w:cs="宋体"/>
          <w:i/>
          <w:iCs/>
          <w:lang w:eastAsia="zh-CN"/>
        </w:rPr>
        <w:t>Qual</w:t>
      </w:r>
      <w:proofErr w:type="spellEnd"/>
      <w:r w:rsidRPr="008C705C">
        <w:rPr>
          <w:rFonts w:ascii="Book Antiqua" w:eastAsia="宋体" w:hAnsi="Book Antiqua" w:cs="宋体"/>
          <w:i/>
          <w:iCs/>
          <w:lang w:eastAsia="zh-CN"/>
        </w:rPr>
        <w:t xml:space="preserve"> </w:t>
      </w:r>
      <w:proofErr w:type="spellStart"/>
      <w:r w:rsidRPr="008C705C">
        <w:rPr>
          <w:rFonts w:ascii="Book Antiqua" w:eastAsia="宋体" w:hAnsi="Book Antiqua" w:cs="宋体"/>
          <w:i/>
          <w:iCs/>
          <w:lang w:eastAsia="zh-CN"/>
        </w:rPr>
        <w:t>Saf</w:t>
      </w:r>
      <w:proofErr w:type="spellEnd"/>
      <w:r w:rsidRPr="008C705C">
        <w:rPr>
          <w:rFonts w:ascii="Book Antiqua" w:eastAsia="宋体" w:hAnsi="Book Antiqua" w:cs="宋体"/>
          <w:lang w:eastAsia="zh-CN"/>
        </w:rPr>
        <w:t> 2012; </w:t>
      </w:r>
      <w:r w:rsidRPr="008C705C">
        <w:rPr>
          <w:rFonts w:ascii="Book Antiqua" w:eastAsia="宋体" w:hAnsi="Book Antiqua" w:cs="宋体"/>
          <w:b/>
          <w:bCs/>
          <w:lang w:eastAsia="zh-CN"/>
        </w:rPr>
        <w:t>21</w:t>
      </w:r>
      <w:r w:rsidRPr="008C705C">
        <w:rPr>
          <w:rFonts w:ascii="Book Antiqua" w:eastAsia="宋体" w:hAnsi="Book Antiqua" w:cs="宋体"/>
          <w:lang w:eastAsia="zh-CN"/>
        </w:rPr>
        <w:t>: 535-557 [PMID: 22543420 DOI: 10.1136/bmjqs-2011-000149]</w:t>
      </w:r>
    </w:p>
    <w:p w:rsidR="00FC14D4" w:rsidRPr="008C705C" w:rsidRDefault="00FC14D4"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t>8 </w:t>
      </w:r>
      <w:r w:rsidRPr="008C705C">
        <w:rPr>
          <w:rFonts w:ascii="Book Antiqua" w:eastAsia="宋体" w:hAnsi="Book Antiqua" w:cs="宋体"/>
          <w:b/>
          <w:bCs/>
          <w:lang w:eastAsia="zh-CN"/>
        </w:rPr>
        <w:t>Ely JW</w:t>
      </w:r>
      <w:r w:rsidRPr="008C705C">
        <w:rPr>
          <w:rFonts w:ascii="Book Antiqua" w:eastAsia="宋体" w:hAnsi="Book Antiqua" w:cs="宋体"/>
          <w:lang w:eastAsia="zh-CN"/>
        </w:rPr>
        <w:t xml:space="preserve">, Graber ML, </w:t>
      </w:r>
      <w:proofErr w:type="spellStart"/>
      <w:r w:rsidRPr="008C705C">
        <w:rPr>
          <w:rFonts w:ascii="Book Antiqua" w:eastAsia="宋体" w:hAnsi="Book Antiqua" w:cs="宋体"/>
          <w:lang w:eastAsia="zh-CN"/>
        </w:rPr>
        <w:t>Croskerry</w:t>
      </w:r>
      <w:proofErr w:type="spellEnd"/>
      <w:r w:rsidRPr="008C705C">
        <w:rPr>
          <w:rFonts w:ascii="Book Antiqua" w:eastAsia="宋体" w:hAnsi="Book Antiqua" w:cs="宋体"/>
          <w:lang w:eastAsia="zh-CN"/>
        </w:rPr>
        <w:t xml:space="preserve"> P. Checklists to reduce diagnostic errors.</w:t>
      </w:r>
      <w:proofErr w:type="gramEnd"/>
      <w:r w:rsidRPr="008C705C">
        <w:rPr>
          <w:rFonts w:ascii="Book Antiqua" w:eastAsia="宋体" w:hAnsi="Book Antiqua" w:cs="宋体"/>
          <w:lang w:eastAsia="zh-CN"/>
        </w:rPr>
        <w:t> </w:t>
      </w:r>
      <w:proofErr w:type="spellStart"/>
      <w:r w:rsidRPr="008C705C">
        <w:rPr>
          <w:rFonts w:ascii="Book Antiqua" w:eastAsia="宋体" w:hAnsi="Book Antiqua" w:cs="宋体"/>
          <w:i/>
          <w:iCs/>
          <w:lang w:eastAsia="zh-CN"/>
        </w:rPr>
        <w:t>Acad</w:t>
      </w:r>
      <w:proofErr w:type="spellEnd"/>
      <w:r w:rsidRPr="008C705C">
        <w:rPr>
          <w:rFonts w:ascii="Book Antiqua" w:eastAsia="宋体" w:hAnsi="Book Antiqua" w:cs="宋体"/>
          <w:i/>
          <w:iCs/>
          <w:lang w:eastAsia="zh-CN"/>
        </w:rPr>
        <w:t xml:space="preserve"> Med</w:t>
      </w:r>
      <w:r w:rsidRPr="008C705C">
        <w:rPr>
          <w:rFonts w:ascii="Book Antiqua" w:eastAsia="宋体" w:hAnsi="Book Antiqua" w:cs="宋体"/>
          <w:lang w:eastAsia="zh-CN"/>
        </w:rPr>
        <w:t> 2011; </w:t>
      </w:r>
      <w:r w:rsidRPr="008C705C">
        <w:rPr>
          <w:rFonts w:ascii="Book Antiqua" w:eastAsia="宋体" w:hAnsi="Book Antiqua" w:cs="宋体"/>
          <w:b/>
          <w:bCs/>
          <w:lang w:eastAsia="zh-CN"/>
        </w:rPr>
        <w:t>86</w:t>
      </w:r>
      <w:r w:rsidRPr="008C705C">
        <w:rPr>
          <w:rFonts w:ascii="Book Antiqua" w:eastAsia="宋体" w:hAnsi="Book Antiqua" w:cs="宋体"/>
          <w:lang w:eastAsia="zh-CN"/>
        </w:rPr>
        <w:t>: 307-313 [PMID: 21248608 DOI: 10.1097/ACM.0b013e31820824cd]</w:t>
      </w:r>
    </w:p>
    <w:p w:rsidR="00FC14D4" w:rsidRPr="008C705C" w:rsidRDefault="00FC14D4"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t>9 </w:t>
      </w:r>
      <w:proofErr w:type="spellStart"/>
      <w:r w:rsidRPr="008C705C">
        <w:rPr>
          <w:rFonts w:ascii="Book Antiqua" w:eastAsia="宋体" w:hAnsi="Book Antiqua" w:cs="宋体"/>
          <w:b/>
          <w:bCs/>
          <w:lang w:eastAsia="zh-CN"/>
        </w:rPr>
        <w:t>Vázquez</w:t>
      </w:r>
      <w:proofErr w:type="spellEnd"/>
      <w:r w:rsidRPr="008C705C">
        <w:rPr>
          <w:rFonts w:ascii="Book Antiqua" w:eastAsia="宋体" w:hAnsi="Book Antiqua" w:cs="宋体"/>
          <w:b/>
          <w:bCs/>
          <w:lang w:eastAsia="zh-CN"/>
        </w:rPr>
        <w:t>-Costa M</w:t>
      </w:r>
      <w:proofErr w:type="gramEnd"/>
      <w:r w:rsidRPr="008C705C">
        <w:rPr>
          <w:rFonts w:ascii="Book Antiqua" w:eastAsia="宋体" w:hAnsi="Book Antiqua" w:cs="宋体"/>
          <w:lang w:eastAsia="zh-CN"/>
        </w:rPr>
        <w:t>, Costa-</w:t>
      </w:r>
      <w:proofErr w:type="spellStart"/>
      <w:r w:rsidRPr="008C705C">
        <w:rPr>
          <w:rFonts w:ascii="Book Antiqua" w:eastAsia="宋体" w:hAnsi="Book Antiqua" w:cs="宋体"/>
          <w:lang w:eastAsia="zh-CN"/>
        </w:rPr>
        <w:t>Alcaraz</w:t>
      </w:r>
      <w:proofErr w:type="spellEnd"/>
      <w:r w:rsidRPr="008C705C">
        <w:rPr>
          <w:rFonts w:ascii="Book Antiqua" w:eastAsia="宋体" w:hAnsi="Book Antiqua" w:cs="宋体"/>
          <w:lang w:eastAsia="zh-CN"/>
        </w:rPr>
        <w:t xml:space="preserve"> AM. Premature diagnostic closure: an avoidable type of error. </w:t>
      </w:r>
      <w:r w:rsidRPr="008C705C">
        <w:rPr>
          <w:rFonts w:ascii="Book Antiqua" w:eastAsia="宋体" w:hAnsi="Book Antiqua" w:cs="宋体"/>
          <w:i/>
          <w:iCs/>
          <w:lang w:eastAsia="zh-CN"/>
        </w:rPr>
        <w:t xml:space="preserve">Rev </w:t>
      </w:r>
      <w:proofErr w:type="spellStart"/>
      <w:r w:rsidRPr="008C705C">
        <w:rPr>
          <w:rFonts w:ascii="Book Antiqua" w:eastAsia="宋体" w:hAnsi="Book Antiqua" w:cs="宋体"/>
          <w:i/>
          <w:iCs/>
          <w:lang w:eastAsia="zh-CN"/>
        </w:rPr>
        <w:t>Clin</w:t>
      </w:r>
      <w:proofErr w:type="spellEnd"/>
      <w:r w:rsidRPr="008C705C">
        <w:rPr>
          <w:rFonts w:ascii="Book Antiqua" w:eastAsia="宋体" w:hAnsi="Book Antiqua" w:cs="宋体"/>
          <w:i/>
          <w:iCs/>
          <w:lang w:eastAsia="zh-CN"/>
        </w:rPr>
        <w:t xml:space="preserve"> </w:t>
      </w:r>
      <w:proofErr w:type="spellStart"/>
      <w:r w:rsidRPr="008C705C">
        <w:rPr>
          <w:rFonts w:ascii="Book Antiqua" w:eastAsia="宋体" w:hAnsi="Book Antiqua" w:cs="宋体"/>
          <w:i/>
          <w:iCs/>
          <w:lang w:eastAsia="zh-CN"/>
        </w:rPr>
        <w:t>Esp</w:t>
      </w:r>
      <w:proofErr w:type="spellEnd"/>
      <w:r w:rsidRPr="008C705C">
        <w:rPr>
          <w:rFonts w:ascii="Book Antiqua" w:eastAsia="宋体" w:hAnsi="Book Antiqua" w:cs="宋体"/>
          <w:i/>
          <w:iCs/>
          <w:lang w:eastAsia="zh-CN"/>
        </w:rPr>
        <w:t xml:space="preserve"> (</w:t>
      </w:r>
      <w:proofErr w:type="spellStart"/>
      <w:r w:rsidRPr="008C705C">
        <w:rPr>
          <w:rFonts w:ascii="Book Antiqua" w:eastAsia="宋体" w:hAnsi="Book Antiqua" w:cs="宋体"/>
          <w:i/>
          <w:iCs/>
          <w:lang w:eastAsia="zh-CN"/>
        </w:rPr>
        <w:t>Barc</w:t>
      </w:r>
      <w:proofErr w:type="spellEnd"/>
      <w:r w:rsidRPr="008C705C">
        <w:rPr>
          <w:rFonts w:ascii="Book Antiqua" w:eastAsia="宋体" w:hAnsi="Book Antiqua" w:cs="宋体"/>
          <w:i/>
          <w:iCs/>
          <w:lang w:eastAsia="zh-CN"/>
        </w:rPr>
        <w:t>)</w:t>
      </w:r>
      <w:r w:rsidRPr="008C705C">
        <w:rPr>
          <w:rFonts w:ascii="Book Antiqua" w:eastAsia="宋体" w:hAnsi="Book Antiqua" w:cs="宋体"/>
          <w:lang w:eastAsia="zh-CN"/>
        </w:rPr>
        <w:t> 2013; </w:t>
      </w:r>
      <w:r w:rsidRPr="008C705C">
        <w:rPr>
          <w:rFonts w:ascii="Book Antiqua" w:eastAsia="宋体" w:hAnsi="Book Antiqua" w:cs="宋体"/>
          <w:b/>
          <w:bCs/>
          <w:lang w:eastAsia="zh-CN"/>
        </w:rPr>
        <w:t>213</w:t>
      </w:r>
      <w:r w:rsidRPr="008C705C">
        <w:rPr>
          <w:rFonts w:ascii="Book Antiqua" w:eastAsia="宋体" w:hAnsi="Book Antiqua" w:cs="宋体"/>
          <w:lang w:eastAsia="zh-CN"/>
        </w:rPr>
        <w:t>: 158-162 [PMID: 22818221 DOI: 10.1016/j.rce.2012.05.012]</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10 </w:t>
      </w:r>
      <w:r w:rsidRPr="008C705C">
        <w:rPr>
          <w:rFonts w:ascii="Book Antiqua" w:eastAsia="宋体" w:hAnsi="Book Antiqua" w:cs="宋体"/>
          <w:b/>
          <w:bCs/>
          <w:lang w:eastAsia="zh-CN"/>
        </w:rPr>
        <w:t>Eva KW</w:t>
      </w:r>
      <w:r w:rsidRPr="008C705C">
        <w:rPr>
          <w:rFonts w:ascii="Book Antiqua" w:eastAsia="宋体" w:hAnsi="Book Antiqua" w:cs="宋体"/>
          <w:lang w:eastAsia="zh-CN"/>
        </w:rPr>
        <w:t xml:space="preserve">, Link CL, </w:t>
      </w:r>
      <w:proofErr w:type="spellStart"/>
      <w:r w:rsidRPr="008C705C">
        <w:rPr>
          <w:rFonts w:ascii="Book Antiqua" w:eastAsia="宋体" w:hAnsi="Book Antiqua" w:cs="宋体"/>
          <w:lang w:eastAsia="zh-CN"/>
        </w:rPr>
        <w:t>Lutfey</w:t>
      </w:r>
      <w:proofErr w:type="spellEnd"/>
      <w:r w:rsidRPr="008C705C">
        <w:rPr>
          <w:rFonts w:ascii="Book Antiqua" w:eastAsia="宋体" w:hAnsi="Book Antiqua" w:cs="宋体"/>
          <w:lang w:eastAsia="zh-CN"/>
        </w:rPr>
        <w:t xml:space="preserve"> KE, </w:t>
      </w:r>
      <w:proofErr w:type="spellStart"/>
      <w:r w:rsidRPr="008C705C">
        <w:rPr>
          <w:rFonts w:ascii="Book Antiqua" w:eastAsia="宋体" w:hAnsi="Book Antiqua" w:cs="宋体"/>
          <w:lang w:eastAsia="zh-CN"/>
        </w:rPr>
        <w:t>McKinlay</w:t>
      </w:r>
      <w:proofErr w:type="spellEnd"/>
      <w:r w:rsidRPr="008C705C">
        <w:rPr>
          <w:rFonts w:ascii="Book Antiqua" w:eastAsia="宋体" w:hAnsi="Book Antiqua" w:cs="宋体"/>
          <w:lang w:eastAsia="zh-CN"/>
        </w:rPr>
        <w:t xml:space="preserve"> JB. Swapping horses midstream: factors related to physicians' changing their minds about a diagnosis. </w:t>
      </w:r>
      <w:proofErr w:type="spellStart"/>
      <w:r w:rsidRPr="008C705C">
        <w:rPr>
          <w:rFonts w:ascii="Book Antiqua" w:eastAsia="宋体" w:hAnsi="Book Antiqua" w:cs="宋体"/>
          <w:i/>
          <w:iCs/>
          <w:lang w:eastAsia="zh-CN"/>
        </w:rPr>
        <w:t>Acad</w:t>
      </w:r>
      <w:proofErr w:type="spellEnd"/>
      <w:r w:rsidRPr="008C705C">
        <w:rPr>
          <w:rFonts w:ascii="Book Antiqua" w:eastAsia="宋体" w:hAnsi="Book Antiqua" w:cs="宋体"/>
          <w:i/>
          <w:iCs/>
          <w:lang w:eastAsia="zh-CN"/>
        </w:rPr>
        <w:t xml:space="preserve"> Med</w:t>
      </w:r>
      <w:r w:rsidRPr="008C705C">
        <w:rPr>
          <w:rFonts w:ascii="Book Antiqua" w:eastAsia="宋体" w:hAnsi="Book Antiqua" w:cs="宋体"/>
          <w:lang w:eastAsia="zh-CN"/>
        </w:rPr>
        <w:t> 2010; </w:t>
      </w:r>
      <w:r w:rsidRPr="008C705C">
        <w:rPr>
          <w:rFonts w:ascii="Book Antiqua" w:eastAsia="宋体" w:hAnsi="Book Antiqua" w:cs="宋体"/>
          <w:b/>
          <w:bCs/>
          <w:lang w:eastAsia="zh-CN"/>
        </w:rPr>
        <w:t>85</w:t>
      </w:r>
      <w:r w:rsidRPr="008C705C">
        <w:rPr>
          <w:rFonts w:ascii="Book Antiqua" w:eastAsia="宋体" w:hAnsi="Book Antiqua" w:cs="宋体"/>
          <w:lang w:eastAsia="zh-CN"/>
        </w:rPr>
        <w:t>: 1112-1117 [PMID: 20592506 DOI: 10.1097/ACM.0b013e3181e16103]</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11 </w:t>
      </w:r>
      <w:proofErr w:type="spellStart"/>
      <w:r w:rsidRPr="008C705C">
        <w:rPr>
          <w:rFonts w:ascii="Book Antiqua" w:eastAsia="宋体" w:hAnsi="Book Antiqua" w:cs="宋体"/>
          <w:b/>
          <w:bCs/>
          <w:lang w:eastAsia="zh-CN"/>
        </w:rPr>
        <w:t>Borrell-Carrió</w:t>
      </w:r>
      <w:proofErr w:type="spellEnd"/>
      <w:r w:rsidRPr="008C705C">
        <w:rPr>
          <w:rFonts w:ascii="Book Antiqua" w:eastAsia="宋体" w:hAnsi="Book Antiqua" w:cs="宋体"/>
          <w:b/>
          <w:bCs/>
          <w:lang w:eastAsia="zh-CN"/>
        </w:rPr>
        <w:t xml:space="preserve"> F</w:t>
      </w:r>
      <w:r w:rsidRPr="008C705C">
        <w:rPr>
          <w:rFonts w:ascii="Book Antiqua" w:eastAsia="宋体" w:hAnsi="Book Antiqua" w:cs="宋体"/>
          <w:lang w:eastAsia="zh-CN"/>
        </w:rPr>
        <w:t>, Epstein RM. Preventing errors in clinical practice: a call for self-awareness. </w:t>
      </w:r>
      <w:r w:rsidRPr="008C705C">
        <w:rPr>
          <w:rFonts w:ascii="Book Antiqua" w:eastAsia="宋体" w:hAnsi="Book Antiqua" w:cs="宋体"/>
          <w:i/>
          <w:iCs/>
          <w:lang w:eastAsia="zh-CN"/>
        </w:rPr>
        <w:t xml:space="preserve">Ann </w:t>
      </w:r>
      <w:proofErr w:type="spellStart"/>
      <w:proofErr w:type="gramStart"/>
      <w:r w:rsidRPr="008C705C">
        <w:rPr>
          <w:rFonts w:ascii="Book Antiqua" w:eastAsia="宋体" w:hAnsi="Book Antiqua" w:cs="宋体"/>
          <w:i/>
          <w:iCs/>
          <w:lang w:eastAsia="zh-CN"/>
        </w:rPr>
        <w:t>Fam</w:t>
      </w:r>
      <w:proofErr w:type="spellEnd"/>
      <w:r w:rsidRPr="008C705C">
        <w:rPr>
          <w:rFonts w:ascii="Book Antiqua" w:eastAsia="宋体" w:hAnsi="Book Antiqua" w:cs="宋体"/>
          <w:i/>
          <w:iCs/>
          <w:lang w:eastAsia="zh-CN"/>
        </w:rPr>
        <w:t xml:space="preserve"> Med</w:t>
      </w:r>
      <w:r w:rsidRPr="008C705C">
        <w:rPr>
          <w:rFonts w:ascii="Book Antiqua" w:eastAsia="宋体" w:hAnsi="Book Antiqua" w:cs="宋体"/>
          <w:lang w:eastAsia="zh-CN"/>
        </w:rPr>
        <w:t> </w:t>
      </w:r>
      <w:r w:rsidR="0016647F" w:rsidRPr="008C705C">
        <w:rPr>
          <w:rFonts w:ascii="Book Antiqua" w:eastAsia="宋体" w:hAnsi="Book Antiqua" w:cs="宋体" w:hint="eastAsia"/>
          <w:lang w:eastAsia="zh-CN"/>
        </w:rPr>
        <w:t>2004</w:t>
      </w:r>
      <w:proofErr w:type="gramEnd"/>
      <w:r w:rsidRPr="008C705C">
        <w:rPr>
          <w:rFonts w:ascii="Book Antiqua" w:eastAsia="宋体" w:hAnsi="Book Antiqua" w:cs="宋体"/>
          <w:lang w:eastAsia="zh-CN"/>
        </w:rPr>
        <w:t>; </w:t>
      </w:r>
      <w:r w:rsidRPr="008C705C">
        <w:rPr>
          <w:rFonts w:ascii="Book Antiqua" w:eastAsia="宋体" w:hAnsi="Book Antiqua" w:cs="宋体"/>
          <w:b/>
          <w:bCs/>
          <w:lang w:eastAsia="zh-CN"/>
        </w:rPr>
        <w:t>2</w:t>
      </w:r>
      <w:r w:rsidRPr="008C705C">
        <w:rPr>
          <w:rFonts w:ascii="Book Antiqua" w:eastAsia="宋体" w:hAnsi="Book Antiqua" w:cs="宋体"/>
          <w:lang w:eastAsia="zh-CN"/>
        </w:rPr>
        <w:t>: 310-316 [PMID: 15335129]</w:t>
      </w:r>
    </w:p>
    <w:p w:rsidR="00FC14D4" w:rsidRPr="008C705C" w:rsidRDefault="00FC14D4"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lastRenderedPageBreak/>
        <w:t>12 </w:t>
      </w:r>
      <w:proofErr w:type="spellStart"/>
      <w:r w:rsidRPr="008C705C">
        <w:rPr>
          <w:rFonts w:ascii="Book Antiqua" w:eastAsia="宋体" w:hAnsi="Book Antiqua" w:cs="宋体"/>
          <w:b/>
          <w:bCs/>
          <w:lang w:eastAsia="zh-CN"/>
        </w:rPr>
        <w:t>Croskerry</w:t>
      </w:r>
      <w:proofErr w:type="spellEnd"/>
      <w:r w:rsidRPr="008C705C">
        <w:rPr>
          <w:rFonts w:ascii="Book Antiqua" w:eastAsia="宋体" w:hAnsi="Book Antiqua" w:cs="宋体"/>
          <w:b/>
          <w:bCs/>
          <w:lang w:eastAsia="zh-CN"/>
        </w:rPr>
        <w:t xml:space="preserve"> P</w:t>
      </w:r>
      <w:r w:rsidRPr="008C705C">
        <w:rPr>
          <w:rFonts w:ascii="Book Antiqua" w:eastAsia="宋体" w:hAnsi="Book Antiqua" w:cs="宋体"/>
          <w:lang w:eastAsia="zh-CN"/>
        </w:rPr>
        <w:t>.</w:t>
      </w:r>
      <w:proofErr w:type="gramEnd"/>
      <w:r w:rsidRPr="008C705C">
        <w:rPr>
          <w:rFonts w:ascii="Book Antiqua" w:eastAsia="宋体" w:hAnsi="Book Antiqua" w:cs="宋体"/>
          <w:lang w:eastAsia="zh-CN"/>
        </w:rPr>
        <w:t xml:space="preserve"> </w:t>
      </w:r>
      <w:proofErr w:type="gramStart"/>
      <w:r w:rsidRPr="008C705C">
        <w:rPr>
          <w:rFonts w:ascii="Book Antiqua" w:eastAsia="宋体" w:hAnsi="Book Antiqua" w:cs="宋体"/>
          <w:lang w:eastAsia="zh-CN"/>
        </w:rPr>
        <w:t>The importance of cognitive errors in diagnosis and strategies to minimize them.</w:t>
      </w:r>
      <w:proofErr w:type="gramEnd"/>
      <w:r w:rsidRPr="008C705C">
        <w:rPr>
          <w:rFonts w:ascii="Book Antiqua" w:eastAsia="宋体" w:hAnsi="Book Antiqua" w:cs="宋体"/>
          <w:lang w:eastAsia="zh-CN"/>
        </w:rPr>
        <w:t> </w:t>
      </w:r>
      <w:proofErr w:type="spellStart"/>
      <w:r w:rsidRPr="008C705C">
        <w:rPr>
          <w:rFonts w:ascii="Book Antiqua" w:eastAsia="宋体" w:hAnsi="Book Antiqua" w:cs="宋体"/>
          <w:i/>
          <w:iCs/>
          <w:lang w:eastAsia="zh-CN"/>
        </w:rPr>
        <w:t>Acad</w:t>
      </w:r>
      <w:proofErr w:type="spellEnd"/>
      <w:r w:rsidRPr="008C705C">
        <w:rPr>
          <w:rFonts w:ascii="Book Antiqua" w:eastAsia="宋体" w:hAnsi="Book Antiqua" w:cs="宋体"/>
          <w:i/>
          <w:iCs/>
          <w:lang w:eastAsia="zh-CN"/>
        </w:rPr>
        <w:t xml:space="preserve"> Med</w:t>
      </w:r>
      <w:r w:rsidRPr="008C705C">
        <w:rPr>
          <w:rFonts w:ascii="Book Antiqua" w:eastAsia="宋体" w:hAnsi="Book Antiqua" w:cs="宋体"/>
          <w:lang w:eastAsia="zh-CN"/>
        </w:rPr>
        <w:t> 2003; </w:t>
      </w:r>
      <w:r w:rsidRPr="008C705C">
        <w:rPr>
          <w:rFonts w:ascii="Book Antiqua" w:eastAsia="宋体" w:hAnsi="Book Antiqua" w:cs="宋体"/>
          <w:b/>
          <w:bCs/>
          <w:lang w:eastAsia="zh-CN"/>
        </w:rPr>
        <w:t>78</w:t>
      </w:r>
      <w:r w:rsidRPr="008C705C">
        <w:rPr>
          <w:rFonts w:ascii="Book Antiqua" w:eastAsia="宋体" w:hAnsi="Book Antiqua" w:cs="宋体"/>
          <w:lang w:eastAsia="zh-CN"/>
        </w:rPr>
        <w:t>: 775-780 [PMID: 12915363]</w:t>
      </w:r>
    </w:p>
    <w:p w:rsidR="00FC14D4" w:rsidRPr="008C705C" w:rsidRDefault="00FC14D4" w:rsidP="00FC14D4">
      <w:pPr>
        <w:spacing w:line="360" w:lineRule="auto"/>
        <w:jc w:val="both"/>
        <w:rPr>
          <w:rFonts w:ascii="Book Antiqua" w:eastAsia="宋体" w:hAnsi="Book Antiqua" w:cs="宋体"/>
          <w:lang w:eastAsia="zh-CN"/>
        </w:rPr>
      </w:pPr>
      <w:r w:rsidRPr="008C705C">
        <w:rPr>
          <w:rFonts w:ascii="Book Antiqua" w:eastAsia="宋体" w:hAnsi="Book Antiqua" w:cs="宋体"/>
          <w:lang w:eastAsia="zh-CN"/>
        </w:rPr>
        <w:t>13 </w:t>
      </w:r>
      <w:proofErr w:type="spellStart"/>
      <w:r w:rsidRPr="008C705C">
        <w:rPr>
          <w:rFonts w:ascii="Book Antiqua" w:eastAsia="宋体" w:hAnsi="Book Antiqua" w:cs="宋体"/>
          <w:b/>
          <w:bCs/>
          <w:lang w:eastAsia="zh-CN"/>
        </w:rPr>
        <w:t>Nendaz</w:t>
      </w:r>
      <w:proofErr w:type="spellEnd"/>
      <w:r w:rsidRPr="008C705C">
        <w:rPr>
          <w:rFonts w:ascii="Book Antiqua" w:eastAsia="宋体" w:hAnsi="Book Antiqua" w:cs="宋体"/>
          <w:b/>
          <w:bCs/>
          <w:lang w:eastAsia="zh-CN"/>
        </w:rPr>
        <w:t xml:space="preserve"> M</w:t>
      </w:r>
      <w:r w:rsidRPr="008C705C">
        <w:rPr>
          <w:rFonts w:ascii="Book Antiqua" w:eastAsia="宋体" w:hAnsi="Book Antiqua" w:cs="宋体"/>
          <w:lang w:eastAsia="zh-CN"/>
        </w:rPr>
        <w:t>, Perrier A. Diagnostic errors and flaws in clinical reasoning: mechanisms and prevention in practice. </w:t>
      </w:r>
      <w:r w:rsidRPr="008C705C">
        <w:rPr>
          <w:rFonts w:ascii="Book Antiqua" w:eastAsia="宋体" w:hAnsi="Book Antiqua" w:cs="宋体"/>
          <w:i/>
          <w:iCs/>
          <w:lang w:eastAsia="zh-CN"/>
        </w:rPr>
        <w:t xml:space="preserve">Swiss Med </w:t>
      </w:r>
      <w:proofErr w:type="spellStart"/>
      <w:r w:rsidRPr="008C705C">
        <w:rPr>
          <w:rFonts w:ascii="Book Antiqua" w:eastAsia="宋体" w:hAnsi="Book Antiqua" w:cs="宋体"/>
          <w:i/>
          <w:iCs/>
          <w:lang w:eastAsia="zh-CN"/>
        </w:rPr>
        <w:t>Wkly</w:t>
      </w:r>
      <w:proofErr w:type="spellEnd"/>
      <w:r w:rsidRPr="008C705C">
        <w:rPr>
          <w:rFonts w:ascii="Book Antiqua" w:eastAsia="宋体" w:hAnsi="Book Antiqua" w:cs="宋体"/>
          <w:lang w:eastAsia="zh-CN"/>
        </w:rPr>
        <w:t> 2012; </w:t>
      </w:r>
      <w:r w:rsidRPr="008C705C">
        <w:rPr>
          <w:rFonts w:ascii="Book Antiqua" w:eastAsia="宋体" w:hAnsi="Book Antiqua" w:cs="宋体"/>
          <w:b/>
          <w:bCs/>
          <w:lang w:eastAsia="zh-CN"/>
        </w:rPr>
        <w:t>142</w:t>
      </w:r>
      <w:r w:rsidRPr="008C705C">
        <w:rPr>
          <w:rFonts w:ascii="Book Antiqua" w:eastAsia="宋体" w:hAnsi="Book Antiqua" w:cs="宋体"/>
          <w:lang w:eastAsia="zh-CN"/>
        </w:rPr>
        <w:t>: w13706 [PMID: 23135902 DOI: 10.4414/smw.2012.13706]</w:t>
      </w:r>
    </w:p>
    <w:p w:rsidR="00FC14D4" w:rsidRPr="008C705C" w:rsidRDefault="0016647F" w:rsidP="00FC14D4">
      <w:pPr>
        <w:spacing w:line="360" w:lineRule="auto"/>
        <w:jc w:val="both"/>
        <w:rPr>
          <w:rFonts w:ascii="Book Antiqua" w:eastAsia="宋体" w:hAnsi="Book Antiqua" w:cs="宋体"/>
          <w:lang w:eastAsia="zh-CN"/>
        </w:rPr>
      </w:pPr>
      <w:proofErr w:type="gramStart"/>
      <w:r w:rsidRPr="008C705C">
        <w:rPr>
          <w:rFonts w:ascii="Book Antiqua" w:eastAsia="宋体" w:hAnsi="Book Antiqua" w:cs="宋体"/>
          <w:lang w:eastAsia="zh-CN"/>
        </w:rPr>
        <w:t>14</w:t>
      </w:r>
      <w:r w:rsidRPr="008C705C">
        <w:rPr>
          <w:rFonts w:ascii="Book Antiqua" w:eastAsia="宋体" w:hAnsi="Book Antiqua" w:cs="宋体" w:hint="eastAsia"/>
          <w:b/>
          <w:lang w:eastAsia="zh-CN"/>
        </w:rPr>
        <w:t xml:space="preserve"> </w:t>
      </w:r>
      <w:r w:rsidR="00FC14D4" w:rsidRPr="008C705C">
        <w:rPr>
          <w:rFonts w:ascii="Book Antiqua" w:eastAsia="宋体" w:hAnsi="Book Antiqua" w:cs="宋体"/>
          <w:b/>
          <w:lang w:eastAsia="zh-CN"/>
        </w:rPr>
        <w:t>Anderson RE,</w:t>
      </w:r>
      <w:r w:rsidR="00FC14D4" w:rsidRPr="008C705C">
        <w:rPr>
          <w:rFonts w:ascii="Book Antiqua" w:eastAsia="宋体" w:hAnsi="Book Antiqua" w:cs="宋体"/>
          <w:lang w:eastAsia="zh-CN"/>
        </w:rPr>
        <w:t xml:space="preserve"> Graber ML.</w:t>
      </w:r>
      <w:proofErr w:type="gramEnd"/>
      <w:r w:rsidR="00FC14D4" w:rsidRPr="008C705C">
        <w:rPr>
          <w:rFonts w:ascii="Book Antiqua" w:eastAsia="宋体" w:hAnsi="Book Antiqua" w:cs="宋体"/>
          <w:lang w:eastAsia="zh-CN"/>
        </w:rPr>
        <w:t xml:space="preserve"> The new kid on the patient safety block: Diagnostic Error in Medicine. </w:t>
      </w:r>
      <w:proofErr w:type="gramStart"/>
      <w:r w:rsidR="00FC14D4" w:rsidRPr="008C705C">
        <w:rPr>
          <w:rFonts w:ascii="Book Antiqua" w:eastAsia="宋体" w:hAnsi="Book Antiqua" w:cs="宋体"/>
          <w:lang w:eastAsia="zh-CN"/>
        </w:rPr>
        <w:t>NPSF Professional Learning Series.</w:t>
      </w:r>
      <w:proofErr w:type="gramEnd"/>
      <w:r w:rsidR="00AA6D46">
        <w:rPr>
          <w:rFonts w:ascii="Book Antiqua" w:eastAsia="宋体" w:hAnsi="Book Antiqua" w:cs="宋体"/>
          <w:lang w:eastAsia="zh-CN"/>
        </w:rPr>
        <w:t xml:space="preserve"> [updated</w:t>
      </w:r>
      <w:r w:rsidR="00FC14D4" w:rsidRPr="008C705C">
        <w:rPr>
          <w:rFonts w:ascii="Book Antiqua" w:eastAsia="宋体" w:hAnsi="Book Antiqua" w:cs="宋体"/>
          <w:lang w:eastAsia="zh-CN"/>
        </w:rPr>
        <w:t xml:space="preserve"> 2011</w:t>
      </w:r>
      <w:r w:rsidR="00AA6D46" w:rsidRPr="00AA6D46">
        <w:rPr>
          <w:rFonts w:ascii="Book Antiqua" w:eastAsia="宋体" w:hAnsi="Book Antiqua" w:cs="宋体"/>
          <w:lang w:eastAsia="zh-CN"/>
        </w:rPr>
        <w:t xml:space="preserve"> </w:t>
      </w:r>
      <w:r w:rsidR="00AA6D46">
        <w:rPr>
          <w:rFonts w:ascii="Book Antiqua" w:eastAsia="宋体" w:hAnsi="Book Antiqua" w:cs="宋体"/>
          <w:lang w:eastAsia="zh-CN"/>
        </w:rPr>
        <w:t xml:space="preserve">November 16]. </w:t>
      </w:r>
      <w:bookmarkStart w:id="58" w:name="_GoBack"/>
      <w:bookmarkEnd w:id="58"/>
      <w:r w:rsidR="00FC14D4" w:rsidRPr="008C705C">
        <w:rPr>
          <w:rFonts w:ascii="Book Antiqua" w:eastAsia="宋体" w:hAnsi="Book Antiqua" w:cs="宋体"/>
          <w:lang w:eastAsia="zh-CN"/>
        </w:rPr>
        <w:t xml:space="preserve"> Available from: http: //www.npsf.org/wp-content/uploads/2011/12/PLS_1111_RE.pdf</w:t>
      </w:r>
    </w:p>
    <w:p w:rsidR="00826614" w:rsidRPr="008C705C" w:rsidRDefault="00826614" w:rsidP="00FC14D4">
      <w:pPr>
        <w:spacing w:line="360" w:lineRule="auto"/>
        <w:jc w:val="both"/>
        <w:rPr>
          <w:rFonts w:ascii="Book Antiqua" w:hAnsi="Book Antiqua"/>
          <w:lang w:eastAsia="zh-CN"/>
        </w:rPr>
      </w:pPr>
    </w:p>
    <w:p w:rsidR="0082496E" w:rsidRPr="008C705C" w:rsidRDefault="0082496E" w:rsidP="0016647F">
      <w:pPr>
        <w:pStyle w:val="PlainText"/>
        <w:spacing w:line="360" w:lineRule="auto"/>
        <w:jc w:val="right"/>
        <w:rPr>
          <w:rFonts w:ascii="Book Antiqua" w:hAnsi="Book Antiqua"/>
          <w:b/>
          <w:sz w:val="24"/>
          <w:szCs w:val="24"/>
        </w:rPr>
      </w:pPr>
      <w:r w:rsidRPr="008C705C">
        <w:rPr>
          <w:rFonts w:ascii="Book Antiqua" w:hAnsi="Book Antiqua"/>
          <w:b/>
          <w:sz w:val="24"/>
          <w:szCs w:val="24"/>
        </w:rPr>
        <w:t xml:space="preserve">P-Reviewer: </w:t>
      </w:r>
      <w:proofErr w:type="spellStart"/>
      <w:r w:rsidRPr="008C705C">
        <w:rPr>
          <w:rFonts w:ascii="Book Antiqua" w:hAnsi="Book Antiqua" w:cs="Tahoma"/>
          <w:sz w:val="24"/>
          <w:szCs w:val="24"/>
        </w:rPr>
        <w:t>Bludovsky</w:t>
      </w:r>
      <w:proofErr w:type="spellEnd"/>
      <w:r w:rsidRPr="008C705C">
        <w:rPr>
          <w:rFonts w:ascii="Book Antiqua" w:hAnsi="Book Antiqua" w:cs="Tahoma"/>
          <w:sz w:val="24"/>
          <w:szCs w:val="24"/>
        </w:rPr>
        <w:t xml:space="preserve"> D, Buell JF, </w:t>
      </w:r>
      <w:proofErr w:type="spellStart"/>
      <w:r w:rsidRPr="008C705C">
        <w:rPr>
          <w:rFonts w:ascii="Book Antiqua" w:hAnsi="Book Antiqua" w:cs="Tahoma"/>
          <w:sz w:val="24"/>
          <w:szCs w:val="24"/>
        </w:rPr>
        <w:t>Paraskevas</w:t>
      </w:r>
      <w:proofErr w:type="spellEnd"/>
      <w:r w:rsidRPr="008C705C">
        <w:rPr>
          <w:rFonts w:ascii="Book Antiqua" w:hAnsi="Book Antiqua" w:cs="Tahoma"/>
          <w:sz w:val="24"/>
          <w:szCs w:val="24"/>
        </w:rPr>
        <w:t xml:space="preserve"> KI</w:t>
      </w:r>
      <w:r w:rsidRPr="008C705C">
        <w:rPr>
          <w:rFonts w:ascii="Book Antiqua" w:hAnsi="Book Antiqua"/>
          <w:b/>
          <w:sz w:val="24"/>
          <w:szCs w:val="24"/>
        </w:rPr>
        <w:t xml:space="preserve"> S-Editor: </w:t>
      </w:r>
      <w:proofErr w:type="spellStart"/>
      <w:r w:rsidRPr="008C705C">
        <w:rPr>
          <w:rFonts w:ascii="Book Antiqua" w:hAnsi="Book Antiqua"/>
          <w:sz w:val="24"/>
          <w:szCs w:val="24"/>
        </w:rPr>
        <w:t>Ji</w:t>
      </w:r>
      <w:proofErr w:type="spellEnd"/>
      <w:r w:rsidRPr="008C705C">
        <w:rPr>
          <w:rFonts w:ascii="Book Antiqua" w:hAnsi="Book Antiqua"/>
          <w:sz w:val="24"/>
          <w:szCs w:val="24"/>
        </w:rPr>
        <w:t xml:space="preserve"> FF</w:t>
      </w:r>
      <w:r w:rsidRPr="008C705C">
        <w:rPr>
          <w:rFonts w:ascii="Book Antiqua" w:hAnsi="Book Antiqua"/>
          <w:b/>
          <w:sz w:val="24"/>
          <w:szCs w:val="24"/>
        </w:rPr>
        <w:t xml:space="preserve"> L-Editor: E-Editor:</w:t>
      </w:r>
    </w:p>
    <w:p w:rsidR="0082496E" w:rsidRPr="008C705C" w:rsidRDefault="0082496E" w:rsidP="00370380">
      <w:pPr>
        <w:spacing w:line="360" w:lineRule="auto"/>
        <w:jc w:val="both"/>
        <w:rPr>
          <w:rFonts w:ascii="Book Antiqua" w:hAnsi="Book Antiqua"/>
          <w:lang w:eastAsia="zh-CN"/>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p>
    <w:p w:rsidR="00826614" w:rsidRPr="008C705C" w:rsidRDefault="00826614" w:rsidP="00370380">
      <w:pPr>
        <w:spacing w:line="360" w:lineRule="auto"/>
        <w:jc w:val="both"/>
        <w:rPr>
          <w:rFonts w:ascii="Book Antiqua" w:hAnsi="Book Antiqua"/>
        </w:rPr>
      </w:pPr>
      <w:r w:rsidRPr="008C705C">
        <w:rPr>
          <w:rFonts w:ascii="Book Antiqua" w:hAnsi="Book Antiqua"/>
          <w:noProof/>
        </w:rPr>
        <w:drawing>
          <wp:anchor distT="0" distB="0" distL="114300" distR="114300" simplePos="0" relativeHeight="251659264" behindDoc="0" locked="0" layoutInCell="1" allowOverlap="1" wp14:anchorId="2DE5D2CB" wp14:editId="64D4931B">
            <wp:simplePos x="0" y="0"/>
            <wp:positionH relativeFrom="column">
              <wp:align>center</wp:align>
            </wp:positionH>
            <wp:positionV relativeFrom="paragraph">
              <wp:posOffset>30480</wp:posOffset>
            </wp:positionV>
            <wp:extent cx="5634355" cy="3022600"/>
            <wp:effectExtent l="25400" t="25400" r="444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p>
    <w:p w:rsidR="00826614" w:rsidRPr="008C705C" w:rsidRDefault="0082496E" w:rsidP="00370380">
      <w:pPr>
        <w:spacing w:line="360" w:lineRule="auto"/>
        <w:jc w:val="both"/>
        <w:rPr>
          <w:rFonts w:ascii="Book Antiqua" w:hAnsi="Book Antiqua"/>
          <w:b/>
          <w:lang w:eastAsia="zh-CN"/>
        </w:rPr>
      </w:pPr>
      <w:r w:rsidRPr="008C705C">
        <w:rPr>
          <w:rFonts w:ascii="Book Antiqua" w:hAnsi="Book Antiqua"/>
          <w:b/>
        </w:rPr>
        <w:t>Figure 1 Number of differential diagnoses listed by each doctor grade per patient encounter</w:t>
      </w:r>
      <w:r w:rsidRPr="008C705C">
        <w:rPr>
          <w:rFonts w:ascii="Book Antiqua" w:hAnsi="Book Antiqua" w:hint="eastAsia"/>
          <w:b/>
          <w:lang w:eastAsia="zh-CN"/>
        </w:rPr>
        <w:t xml:space="preserve">. </w:t>
      </w:r>
      <w:r w:rsidR="00826614" w:rsidRPr="008C705C">
        <w:rPr>
          <w:rFonts w:ascii="Book Antiqua" w:hAnsi="Book Antiqua"/>
        </w:rPr>
        <w:t>Referring physicians (GP, A</w:t>
      </w:r>
      <w:r w:rsidRPr="008C705C">
        <w:rPr>
          <w:rFonts w:ascii="Book Antiqua" w:hAnsi="Book Antiqua" w:hint="eastAsia"/>
          <w:lang w:eastAsia="zh-CN"/>
        </w:rPr>
        <w:t xml:space="preserve"> </w:t>
      </w:r>
      <w:r w:rsidRPr="008C705C">
        <w:rPr>
          <w:rFonts w:ascii="Book Antiqua" w:hAnsi="Book Antiqua"/>
          <w:lang w:eastAsia="zh-CN"/>
        </w:rPr>
        <w:t>and</w:t>
      </w:r>
      <w:r w:rsidRPr="008C705C">
        <w:rPr>
          <w:rFonts w:ascii="Book Antiqua" w:hAnsi="Book Antiqua" w:hint="eastAsia"/>
          <w:lang w:eastAsia="zh-CN"/>
        </w:rPr>
        <w:t xml:space="preserve"> </w:t>
      </w:r>
      <w:r w:rsidR="00826614" w:rsidRPr="008C705C">
        <w:rPr>
          <w:rFonts w:ascii="Book Antiqua" w:hAnsi="Book Antiqua"/>
        </w:rPr>
        <w:t xml:space="preserve">E, and IP) rarely recorded more than one </w:t>
      </w:r>
      <w:r w:rsidR="00826614" w:rsidRPr="008C705C">
        <w:rPr>
          <w:rFonts w:ascii="Book Antiqua" w:hAnsi="Book Antiqua"/>
        </w:rPr>
        <w:lastRenderedPageBreak/>
        <w:t xml:space="preserve">differential diagnosis. Among the surgical team, three differential diagnoses were listed most frequently, with the exception of SROC. </w:t>
      </w:r>
      <w:r w:rsidRPr="008C705C">
        <w:rPr>
          <w:rFonts w:ascii="Book Antiqua" w:hAnsi="Book Antiqua"/>
        </w:rPr>
        <w:t>GP</w:t>
      </w:r>
      <w:r w:rsidRPr="008C705C">
        <w:rPr>
          <w:rFonts w:ascii="Book Antiqua" w:hAnsi="Book Antiqua" w:hint="eastAsia"/>
          <w:lang w:eastAsia="zh-CN"/>
        </w:rPr>
        <w:t xml:space="preserve">: </w:t>
      </w:r>
      <w:r w:rsidRPr="008C705C">
        <w:rPr>
          <w:rFonts w:ascii="Book Antiqua" w:hAnsi="Book Antiqua"/>
        </w:rPr>
        <w:t>General practitioner</w:t>
      </w:r>
      <w:r w:rsidRPr="008C705C">
        <w:rPr>
          <w:rFonts w:ascii="Book Antiqua" w:hAnsi="Book Antiqua" w:hint="eastAsia"/>
          <w:lang w:eastAsia="zh-CN"/>
        </w:rPr>
        <w:t xml:space="preserve">; </w:t>
      </w:r>
      <w:r w:rsidRPr="008C705C">
        <w:rPr>
          <w:rFonts w:ascii="Book Antiqua" w:hAnsi="Book Antiqua"/>
        </w:rPr>
        <w:t>IP</w:t>
      </w:r>
      <w:r w:rsidRPr="008C705C">
        <w:rPr>
          <w:rFonts w:ascii="Book Antiqua" w:hAnsi="Book Antiqua" w:hint="eastAsia"/>
          <w:lang w:eastAsia="zh-CN"/>
        </w:rPr>
        <w:t xml:space="preserve">: </w:t>
      </w:r>
      <w:r w:rsidRPr="008C705C">
        <w:rPr>
          <w:rFonts w:ascii="Book Antiqua" w:hAnsi="Book Antiqua"/>
        </w:rPr>
        <w:t>In-patient referrer</w:t>
      </w:r>
      <w:r w:rsidRPr="008C705C">
        <w:rPr>
          <w:rFonts w:ascii="Book Antiqua" w:hAnsi="Book Antiqua" w:hint="eastAsia"/>
          <w:lang w:eastAsia="zh-CN"/>
        </w:rPr>
        <w:t xml:space="preserve">; </w:t>
      </w:r>
      <w:r w:rsidRPr="008C705C">
        <w:rPr>
          <w:rFonts w:ascii="Book Antiqua" w:hAnsi="Book Antiqua"/>
          <w:lang w:eastAsia="zh-CN"/>
        </w:rPr>
        <w:t>FY</w:t>
      </w:r>
      <w:r w:rsidRPr="008C705C">
        <w:rPr>
          <w:rFonts w:ascii="Book Antiqua" w:hAnsi="Book Antiqua" w:hint="eastAsia"/>
          <w:lang w:eastAsia="zh-CN"/>
        </w:rPr>
        <w:t>1:</w:t>
      </w:r>
      <w:r w:rsidRPr="008C705C">
        <w:rPr>
          <w:rFonts w:ascii="Book Antiqua" w:hAnsi="Book Antiqua"/>
          <w:lang w:eastAsia="zh-CN"/>
        </w:rPr>
        <w:t xml:space="preserve"> </w:t>
      </w:r>
      <w:r w:rsidRPr="008C705C">
        <w:rPr>
          <w:rFonts w:ascii="Book Antiqua" w:hAnsi="Book Antiqua"/>
        </w:rPr>
        <w:t>Foundation year-1</w:t>
      </w:r>
      <w:r w:rsidRPr="008C705C">
        <w:rPr>
          <w:rFonts w:ascii="Book Antiqua" w:hAnsi="Book Antiqua" w:hint="eastAsia"/>
          <w:lang w:eastAsia="zh-CN"/>
        </w:rPr>
        <w:t xml:space="preserve">; SHO: </w:t>
      </w:r>
      <w:r w:rsidRPr="008C705C">
        <w:rPr>
          <w:rFonts w:ascii="Book Antiqua" w:hAnsi="Book Antiqua"/>
        </w:rPr>
        <w:t>Senior house officer</w:t>
      </w:r>
      <w:r w:rsidRPr="008C705C">
        <w:rPr>
          <w:rFonts w:ascii="Book Antiqua" w:hAnsi="Book Antiqua" w:hint="eastAsia"/>
          <w:lang w:eastAsia="zh-CN"/>
        </w:rPr>
        <w:t>;</w:t>
      </w:r>
      <w:r w:rsidRPr="008C705C">
        <w:rPr>
          <w:rFonts w:ascii="Book Antiqua" w:hAnsi="Book Antiqua"/>
        </w:rPr>
        <w:t xml:space="preserve"> SROC</w:t>
      </w:r>
      <w:r w:rsidRPr="008C705C">
        <w:rPr>
          <w:rFonts w:ascii="Book Antiqua" w:hAnsi="Book Antiqua" w:hint="eastAsia"/>
          <w:lang w:eastAsia="zh-CN"/>
        </w:rPr>
        <w:t xml:space="preserve">: </w:t>
      </w:r>
      <w:r w:rsidRPr="008C705C">
        <w:rPr>
          <w:rFonts w:ascii="Book Antiqua" w:hAnsi="Book Antiqua"/>
        </w:rPr>
        <w:t>Surgical registrar on-call</w:t>
      </w:r>
      <w:r w:rsidRPr="008C705C">
        <w:rPr>
          <w:rFonts w:ascii="Book Antiqua" w:hAnsi="Book Antiqua" w:hint="eastAsia"/>
          <w:lang w:eastAsia="zh-CN"/>
        </w:rPr>
        <w:t>.</w:t>
      </w:r>
    </w:p>
    <w:p w:rsidR="00826614" w:rsidRPr="008C705C" w:rsidRDefault="00826614" w:rsidP="00370380">
      <w:pPr>
        <w:spacing w:line="360" w:lineRule="auto"/>
        <w:jc w:val="both"/>
        <w:rPr>
          <w:rFonts w:ascii="Book Antiqua" w:hAnsi="Book Antiqua"/>
        </w:rPr>
      </w:pPr>
      <w:r w:rsidRPr="008C705C">
        <w:rPr>
          <w:rFonts w:ascii="Book Antiqua" w:hAnsi="Book Antiqua"/>
        </w:rPr>
        <w:br w:type="page"/>
      </w:r>
    </w:p>
    <w:p w:rsidR="00826614" w:rsidRPr="008C705C" w:rsidRDefault="00826614" w:rsidP="00370380">
      <w:pPr>
        <w:spacing w:line="360" w:lineRule="auto"/>
        <w:jc w:val="both"/>
        <w:rPr>
          <w:rFonts w:ascii="Book Antiqua" w:hAnsi="Book Antiqua"/>
        </w:rPr>
      </w:pPr>
      <w:r w:rsidRPr="008C705C">
        <w:rPr>
          <w:rFonts w:ascii="Book Antiqua" w:hAnsi="Book Antiqua"/>
          <w:noProof/>
        </w:rPr>
        <w:lastRenderedPageBreak/>
        <w:drawing>
          <wp:inline distT="0" distB="0" distL="0" distR="0" wp14:anchorId="03556199" wp14:editId="7D8DE1F3">
            <wp:extent cx="5918200" cy="2736024"/>
            <wp:effectExtent l="25400" t="25400" r="0" b="7176"/>
            <wp:docPr id="2" name="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6614" w:rsidRPr="008C705C" w:rsidRDefault="00826614" w:rsidP="00370380">
      <w:pPr>
        <w:spacing w:line="360" w:lineRule="auto"/>
        <w:jc w:val="both"/>
        <w:rPr>
          <w:rFonts w:ascii="Book Antiqua" w:hAnsi="Book Antiqua"/>
        </w:rPr>
      </w:pPr>
    </w:p>
    <w:p w:rsidR="00826614" w:rsidRPr="008C705C" w:rsidRDefault="0082496E" w:rsidP="00370380">
      <w:pPr>
        <w:spacing w:line="360" w:lineRule="auto"/>
        <w:jc w:val="both"/>
        <w:rPr>
          <w:rFonts w:ascii="Book Antiqua" w:hAnsi="Book Antiqua"/>
        </w:rPr>
      </w:pPr>
      <w:r w:rsidRPr="008C705C">
        <w:rPr>
          <w:rFonts w:ascii="Book Antiqua" w:hAnsi="Book Antiqua"/>
          <w:b/>
        </w:rPr>
        <w:t>Figure 2 Percentage of patient encounters with a correct diagnosis</w:t>
      </w:r>
      <w:r w:rsidRPr="008C705C">
        <w:rPr>
          <w:rFonts w:ascii="Book Antiqua" w:hAnsi="Book Antiqua" w:hint="eastAsia"/>
          <w:b/>
          <w:lang w:eastAsia="zh-CN"/>
        </w:rPr>
        <w:t>.</w:t>
      </w:r>
      <w:r w:rsidRPr="008C705C">
        <w:rPr>
          <w:rFonts w:ascii="Book Antiqua" w:hAnsi="Book Antiqua"/>
          <w:b/>
        </w:rPr>
        <w:t xml:space="preserve"> </w:t>
      </w:r>
      <w:r w:rsidR="00826614" w:rsidRPr="008C705C">
        <w:rPr>
          <w:rFonts w:ascii="Book Antiqua" w:hAnsi="Book Antiqua"/>
        </w:rPr>
        <w:t xml:space="preserve">Consultant was most likely to record a correct diagnosis, followed by SHO and SROC. Overall 85.4% of patients received a correct diagnosis along the primary diagnostic pathway. </w:t>
      </w:r>
      <w:r w:rsidRPr="008C705C">
        <w:rPr>
          <w:rFonts w:ascii="Book Antiqua" w:hAnsi="Book Antiqua"/>
        </w:rPr>
        <w:t>GP</w:t>
      </w:r>
      <w:r w:rsidRPr="008C705C">
        <w:rPr>
          <w:rFonts w:ascii="Book Antiqua" w:hAnsi="Book Antiqua" w:hint="eastAsia"/>
          <w:lang w:eastAsia="zh-CN"/>
        </w:rPr>
        <w:t xml:space="preserve">: </w:t>
      </w:r>
      <w:r w:rsidRPr="008C705C">
        <w:rPr>
          <w:rFonts w:ascii="Book Antiqua" w:hAnsi="Book Antiqua"/>
        </w:rPr>
        <w:t>General practitioner</w:t>
      </w:r>
      <w:r w:rsidRPr="008C705C">
        <w:rPr>
          <w:rFonts w:ascii="Book Antiqua" w:hAnsi="Book Antiqua" w:hint="eastAsia"/>
          <w:lang w:eastAsia="zh-CN"/>
        </w:rPr>
        <w:t xml:space="preserve">; </w:t>
      </w:r>
      <w:r w:rsidRPr="008C705C">
        <w:rPr>
          <w:rFonts w:ascii="Book Antiqua" w:hAnsi="Book Antiqua"/>
        </w:rPr>
        <w:t>IP</w:t>
      </w:r>
      <w:r w:rsidRPr="008C705C">
        <w:rPr>
          <w:rFonts w:ascii="Book Antiqua" w:hAnsi="Book Antiqua" w:hint="eastAsia"/>
          <w:lang w:eastAsia="zh-CN"/>
        </w:rPr>
        <w:t xml:space="preserve">: </w:t>
      </w:r>
      <w:r w:rsidRPr="008C705C">
        <w:rPr>
          <w:rFonts w:ascii="Book Antiqua" w:hAnsi="Book Antiqua"/>
        </w:rPr>
        <w:t>In-patient referrer</w:t>
      </w:r>
      <w:r w:rsidRPr="008C705C">
        <w:rPr>
          <w:rFonts w:ascii="Book Antiqua" w:hAnsi="Book Antiqua" w:hint="eastAsia"/>
          <w:lang w:eastAsia="zh-CN"/>
        </w:rPr>
        <w:t xml:space="preserve">; </w:t>
      </w:r>
      <w:r w:rsidRPr="008C705C">
        <w:rPr>
          <w:rFonts w:ascii="Book Antiqua" w:hAnsi="Book Antiqua"/>
          <w:lang w:eastAsia="zh-CN"/>
        </w:rPr>
        <w:t>FY</w:t>
      </w:r>
      <w:r w:rsidRPr="008C705C">
        <w:rPr>
          <w:rFonts w:ascii="Book Antiqua" w:hAnsi="Book Antiqua" w:hint="eastAsia"/>
          <w:lang w:eastAsia="zh-CN"/>
        </w:rPr>
        <w:t>1:</w:t>
      </w:r>
      <w:r w:rsidRPr="008C705C">
        <w:rPr>
          <w:rFonts w:ascii="Book Antiqua" w:hAnsi="Book Antiqua"/>
          <w:lang w:eastAsia="zh-CN"/>
        </w:rPr>
        <w:t xml:space="preserve"> </w:t>
      </w:r>
      <w:r w:rsidRPr="008C705C">
        <w:rPr>
          <w:rFonts w:ascii="Book Antiqua" w:hAnsi="Book Antiqua"/>
        </w:rPr>
        <w:t>Foundation year-1</w:t>
      </w:r>
      <w:r w:rsidRPr="008C705C">
        <w:rPr>
          <w:rFonts w:ascii="Book Antiqua" w:hAnsi="Book Antiqua" w:hint="eastAsia"/>
          <w:lang w:eastAsia="zh-CN"/>
        </w:rPr>
        <w:t xml:space="preserve">; SHO: </w:t>
      </w:r>
      <w:r w:rsidRPr="008C705C">
        <w:rPr>
          <w:rFonts w:ascii="Book Antiqua" w:hAnsi="Book Antiqua"/>
        </w:rPr>
        <w:t>Senior house officer</w:t>
      </w:r>
      <w:r w:rsidRPr="008C705C">
        <w:rPr>
          <w:rFonts w:ascii="Book Antiqua" w:hAnsi="Book Antiqua" w:hint="eastAsia"/>
          <w:lang w:eastAsia="zh-CN"/>
        </w:rPr>
        <w:t>;</w:t>
      </w:r>
      <w:r w:rsidRPr="008C705C">
        <w:rPr>
          <w:rFonts w:ascii="Book Antiqua" w:hAnsi="Book Antiqua"/>
        </w:rPr>
        <w:t xml:space="preserve"> SROC</w:t>
      </w:r>
      <w:r w:rsidRPr="008C705C">
        <w:rPr>
          <w:rFonts w:ascii="Book Antiqua" w:hAnsi="Book Antiqua" w:hint="eastAsia"/>
          <w:lang w:eastAsia="zh-CN"/>
        </w:rPr>
        <w:t xml:space="preserve">: </w:t>
      </w:r>
      <w:r w:rsidRPr="008C705C">
        <w:rPr>
          <w:rFonts w:ascii="Book Antiqua" w:hAnsi="Book Antiqua"/>
        </w:rPr>
        <w:t>Surgical registrar on-call</w:t>
      </w:r>
      <w:r w:rsidRPr="008C705C">
        <w:rPr>
          <w:rFonts w:ascii="Book Antiqua" w:hAnsi="Book Antiqua" w:hint="eastAsia"/>
          <w:lang w:eastAsia="zh-CN"/>
        </w:rPr>
        <w:t>.</w:t>
      </w: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r w:rsidRPr="008C705C">
        <w:rPr>
          <w:rFonts w:ascii="Book Antiqua" w:hAnsi="Book Antiqua"/>
        </w:rPr>
        <w:br w:type="page"/>
      </w:r>
    </w:p>
    <w:p w:rsidR="00826614" w:rsidRPr="008C705C" w:rsidRDefault="00826614" w:rsidP="00370380">
      <w:pPr>
        <w:spacing w:line="360" w:lineRule="auto"/>
        <w:jc w:val="both"/>
        <w:rPr>
          <w:rFonts w:ascii="Book Antiqua" w:hAnsi="Book Antiqua"/>
        </w:rPr>
      </w:pPr>
      <w:r w:rsidRPr="008C705C">
        <w:rPr>
          <w:rFonts w:ascii="Book Antiqua" w:hAnsi="Book Antiqua"/>
          <w:noProof/>
        </w:rPr>
        <w:lastRenderedPageBreak/>
        <w:drawing>
          <wp:inline distT="0" distB="0" distL="0" distR="0" wp14:anchorId="77E03755" wp14:editId="6FB7B8AE">
            <wp:extent cx="5918200" cy="2946400"/>
            <wp:effectExtent l="25400" t="25400" r="0" b="0"/>
            <wp:docPr id="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614" w:rsidRPr="008C705C" w:rsidRDefault="00826614" w:rsidP="00370380">
      <w:pPr>
        <w:spacing w:line="360" w:lineRule="auto"/>
        <w:jc w:val="both"/>
        <w:rPr>
          <w:rFonts w:ascii="Book Antiqua" w:hAnsi="Book Antiqua"/>
        </w:rPr>
      </w:pPr>
    </w:p>
    <w:p w:rsidR="00826614" w:rsidRPr="008C705C" w:rsidRDefault="0082496E" w:rsidP="00370380">
      <w:pPr>
        <w:spacing w:line="360" w:lineRule="auto"/>
        <w:jc w:val="both"/>
        <w:rPr>
          <w:rFonts w:ascii="Book Antiqua" w:hAnsi="Book Antiqua"/>
          <w:b/>
          <w:lang w:eastAsia="zh-CN"/>
        </w:rPr>
      </w:pPr>
      <w:r w:rsidRPr="008C705C">
        <w:rPr>
          <w:rFonts w:ascii="Book Antiqua" w:hAnsi="Book Antiqua"/>
          <w:b/>
        </w:rPr>
        <w:t xml:space="preserve">Figure 3 Percentage of correct diagnoses made with 3 differential diagnoses </w:t>
      </w:r>
      <w:r w:rsidRPr="008C705C">
        <w:rPr>
          <w:rFonts w:ascii="Book Antiqua" w:hAnsi="Book Antiqua"/>
          <w:b/>
          <w:i/>
        </w:rPr>
        <w:t>vs</w:t>
      </w:r>
      <w:r w:rsidRPr="008C705C">
        <w:rPr>
          <w:rFonts w:ascii="Book Antiqua" w:hAnsi="Book Antiqua"/>
          <w:b/>
        </w:rPr>
        <w:t xml:space="preserve"> 1-2 differential diagnoses</w:t>
      </w:r>
      <w:r w:rsidRPr="008C705C">
        <w:rPr>
          <w:rFonts w:ascii="Book Antiqua" w:hAnsi="Book Antiqua" w:hint="eastAsia"/>
          <w:b/>
          <w:lang w:eastAsia="zh-CN"/>
        </w:rPr>
        <w:t xml:space="preserve">. </w:t>
      </w:r>
      <w:r w:rsidR="00826614" w:rsidRPr="008C705C">
        <w:rPr>
          <w:rFonts w:ascii="Book Antiqua" w:hAnsi="Book Antiqua"/>
        </w:rPr>
        <w:t>The use of 3 differential diagnoses among the surgical team (FY1, SHO, SROC, and Consultant) improved diagnos</w:t>
      </w:r>
      <w:r w:rsidR="0016647F" w:rsidRPr="008C705C">
        <w:rPr>
          <w:rFonts w:ascii="Book Antiqua" w:hAnsi="Book Antiqua"/>
        </w:rPr>
        <w:t>tic accuracy by 8.1%</w:t>
      </w:r>
      <w:r w:rsidRPr="008C705C">
        <w:rPr>
          <w:rFonts w:ascii="Book Antiqua" w:hAnsi="Book Antiqua"/>
        </w:rPr>
        <w:t xml:space="preserve"> (73.3% </w:t>
      </w:r>
      <w:r w:rsidRPr="008C705C">
        <w:rPr>
          <w:rFonts w:ascii="Book Antiqua" w:hAnsi="Book Antiqua"/>
          <w:i/>
        </w:rPr>
        <w:t>vs</w:t>
      </w:r>
      <w:r w:rsidR="00826614" w:rsidRPr="008C705C">
        <w:rPr>
          <w:rFonts w:ascii="Book Antiqua" w:hAnsi="Book Antiqua"/>
        </w:rPr>
        <w:t xml:space="preserve"> 65.2%)</w:t>
      </w:r>
      <w:r w:rsidR="0016647F" w:rsidRPr="008C705C">
        <w:rPr>
          <w:rFonts w:ascii="Book Antiqua" w:hAnsi="Book Antiqua" w:hint="eastAsia"/>
          <w:lang w:eastAsia="zh-CN"/>
        </w:rPr>
        <w:t xml:space="preserve">. </w:t>
      </w:r>
      <w:r w:rsidR="00826614" w:rsidRPr="008C705C">
        <w:rPr>
          <w:rFonts w:ascii="Book Antiqua" w:hAnsi="Book Antiqua"/>
        </w:rPr>
        <w:t xml:space="preserve">Referring physicians did not follow this trend. </w:t>
      </w:r>
      <w:r w:rsidRPr="008C705C">
        <w:rPr>
          <w:rFonts w:ascii="Book Antiqua" w:hAnsi="Book Antiqua"/>
        </w:rPr>
        <w:t>GP</w:t>
      </w:r>
      <w:r w:rsidRPr="008C705C">
        <w:rPr>
          <w:rFonts w:ascii="Book Antiqua" w:hAnsi="Book Antiqua" w:hint="eastAsia"/>
          <w:lang w:eastAsia="zh-CN"/>
        </w:rPr>
        <w:t xml:space="preserve">: </w:t>
      </w:r>
      <w:r w:rsidRPr="008C705C">
        <w:rPr>
          <w:rFonts w:ascii="Book Antiqua" w:hAnsi="Book Antiqua"/>
        </w:rPr>
        <w:t>General practitioner</w:t>
      </w:r>
      <w:r w:rsidRPr="008C705C">
        <w:rPr>
          <w:rFonts w:ascii="Book Antiqua" w:hAnsi="Book Antiqua" w:hint="eastAsia"/>
          <w:lang w:eastAsia="zh-CN"/>
        </w:rPr>
        <w:t xml:space="preserve">; </w:t>
      </w:r>
      <w:r w:rsidRPr="008C705C">
        <w:rPr>
          <w:rFonts w:ascii="Book Antiqua" w:hAnsi="Book Antiqua"/>
        </w:rPr>
        <w:t>IP</w:t>
      </w:r>
      <w:r w:rsidRPr="008C705C">
        <w:rPr>
          <w:rFonts w:ascii="Book Antiqua" w:hAnsi="Book Antiqua" w:hint="eastAsia"/>
          <w:lang w:eastAsia="zh-CN"/>
        </w:rPr>
        <w:t xml:space="preserve">: </w:t>
      </w:r>
      <w:r w:rsidRPr="008C705C">
        <w:rPr>
          <w:rFonts w:ascii="Book Antiqua" w:hAnsi="Book Antiqua"/>
        </w:rPr>
        <w:t>In-patient referrer</w:t>
      </w:r>
      <w:r w:rsidRPr="008C705C">
        <w:rPr>
          <w:rFonts w:ascii="Book Antiqua" w:hAnsi="Book Antiqua" w:hint="eastAsia"/>
          <w:lang w:eastAsia="zh-CN"/>
        </w:rPr>
        <w:t xml:space="preserve">; </w:t>
      </w:r>
      <w:r w:rsidRPr="008C705C">
        <w:rPr>
          <w:rFonts w:ascii="Book Antiqua" w:hAnsi="Book Antiqua"/>
          <w:lang w:eastAsia="zh-CN"/>
        </w:rPr>
        <w:t>FY</w:t>
      </w:r>
      <w:r w:rsidRPr="008C705C">
        <w:rPr>
          <w:rFonts w:ascii="Book Antiqua" w:hAnsi="Book Antiqua" w:hint="eastAsia"/>
          <w:lang w:eastAsia="zh-CN"/>
        </w:rPr>
        <w:t>1:</w:t>
      </w:r>
      <w:r w:rsidRPr="008C705C">
        <w:rPr>
          <w:rFonts w:ascii="Book Antiqua" w:hAnsi="Book Antiqua"/>
          <w:lang w:eastAsia="zh-CN"/>
        </w:rPr>
        <w:t xml:space="preserve"> </w:t>
      </w:r>
      <w:r w:rsidRPr="008C705C">
        <w:rPr>
          <w:rFonts w:ascii="Book Antiqua" w:hAnsi="Book Antiqua"/>
        </w:rPr>
        <w:t>Foundation year-1</w:t>
      </w:r>
      <w:r w:rsidRPr="008C705C">
        <w:rPr>
          <w:rFonts w:ascii="Book Antiqua" w:hAnsi="Book Antiqua" w:hint="eastAsia"/>
          <w:lang w:eastAsia="zh-CN"/>
        </w:rPr>
        <w:t xml:space="preserve">; SHO: </w:t>
      </w:r>
      <w:r w:rsidRPr="008C705C">
        <w:rPr>
          <w:rFonts w:ascii="Book Antiqua" w:hAnsi="Book Antiqua"/>
        </w:rPr>
        <w:t>Senior house officer</w:t>
      </w:r>
      <w:r w:rsidRPr="008C705C">
        <w:rPr>
          <w:rFonts w:ascii="Book Antiqua" w:hAnsi="Book Antiqua" w:hint="eastAsia"/>
          <w:lang w:eastAsia="zh-CN"/>
        </w:rPr>
        <w:t>;</w:t>
      </w:r>
      <w:r w:rsidRPr="008C705C">
        <w:rPr>
          <w:rFonts w:ascii="Book Antiqua" w:hAnsi="Book Antiqua"/>
        </w:rPr>
        <w:t xml:space="preserve"> SROC</w:t>
      </w:r>
      <w:r w:rsidRPr="008C705C">
        <w:rPr>
          <w:rFonts w:ascii="Book Antiqua" w:hAnsi="Book Antiqua" w:hint="eastAsia"/>
          <w:lang w:eastAsia="zh-CN"/>
        </w:rPr>
        <w:t xml:space="preserve">: </w:t>
      </w:r>
      <w:r w:rsidRPr="008C705C">
        <w:rPr>
          <w:rFonts w:ascii="Book Antiqua" w:hAnsi="Book Antiqua"/>
        </w:rPr>
        <w:t>Surgical registrar on-call</w:t>
      </w:r>
      <w:r w:rsidRPr="008C705C">
        <w:rPr>
          <w:rFonts w:ascii="Book Antiqua" w:hAnsi="Book Antiqua" w:hint="eastAsia"/>
          <w:lang w:eastAsia="zh-CN"/>
        </w:rPr>
        <w:t>.</w:t>
      </w: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r w:rsidRPr="008C705C">
        <w:rPr>
          <w:rFonts w:ascii="Book Antiqua" w:hAnsi="Book Antiqua"/>
        </w:rPr>
        <w:br w:type="page"/>
      </w:r>
    </w:p>
    <w:p w:rsidR="00826614" w:rsidRPr="008C705C" w:rsidRDefault="00826614" w:rsidP="00370380">
      <w:pPr>
        <w:spacing w:line="360" w:lineRule="auto"/>
        <w:jc w:val="both"/>
        <w:rPr>
          <w:rFonts w:ascii="Book Antiqua" w:hAnsi="Book Antiqua"/>
        </w:rPr>
      </w:pPr>
      <w:r w:rsidRPr="008C705C">
        <w:rPr>
          <w:rFonts w:ascii="Book Antiqua" w:hAnsi="Book Antiqua"/>
          <w:noProof/>
        </w:rPr>
        <w:lastRenderedPageBreak/>
        <w:drawing>
          <wp:inline distT="0" distB="0" distL="0" distR="0" wp14:anchorId="17E838CD" wp14:editId="42D7D5EE">
            <wp:extent cx="5918200" cy="2946400"/>
            <wp:effectExtent l="25400" t="25400" r="0" b="0"/>
            <wp:docPr id="4"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614" w:rsidRPr="008C705C" w:rsidRDefault="00826614" w:rsidP="00370380">
      <w:pPr>
        <w:spacing w:line="360" w:lineRule="auto"/>
        <w:jc w:val="both"/>
        <w:rPr>
          <w:rFonts w:ascii="Book Antiqua" w:hAnsi="Book Antiqua"/>
        </w:rPr>
      </w:pPr>
    </w:p>
    <w:p w:rsidR="00AD479B" w:rsidRPr="008C705C" w:rsidRDefault="0082496E" w:rsidP="00AD479B">
      <w:pPr>
        <w:spacing w:line="360" w:lineRule="auto"/>
        <w:jc w:val="both"/>
        <w:rPr>
          <w:rFonts w:ascii="Book Antiqua" w:hAnsi="Book Antiqua"/>
          <w:b/>
          <w:lang w:eastAsia="zh-CN"/>
        </w:rPr>
      </w:pPr>
      <w:r w:rsidRPr="008C705C">
        <w:rPr>
          <w:rFonts w:ascii="Book Antiqua" w:hAnsi="Book Antiqua"/>
          <w:b/>
        </w:rPr>
        <w:t>Figure 4 Differential ranking of correct diagnoses by each doctor grade</w:t>
      </w:r>
      <w:r w:rsidRPr="008C705C">
        <w:rPr>
          <w:rFonts w:ascii="Book Antiqua" w:hAnsi="Book Antiqua" w:hint="eastAsia"/>
          <w:b/>
          <w:lang w:eastAsia="zh-CN"/>
        </w:rPr>
        <w:t xml:space="preserve">. </w:t>
      </w:r>
      <w:r w:rsidR="00826614" w:rsidRPr="008C705C">
        <w:rPr>
          <w:rFonts w:ascii="Book Antiqua" w:hAnsi="Book Antiqua"/>
        </w:rPr>
        <w:t>The correct diagnosis was the first differential listed in most cases for all doctors. Consultant made the correct diagnosis with the second differential diagnosis more than any other group (42.9%), followed by SHO (21.1%) and SROC (9.1%). The correct diagnosis was made with the third differential diagnosis only once, by SHO. (3.1% of 32 times three differentials were listed)</w:t>
      </w:r>
      <w:r w:rsidRPr="008C705C">
        <w:rPr>
          <w:rFonts w:ascii="Book Antiqua" w:hAnsi="Book Antiqua" w:hint="eastAsia"/>
          <w:lang w:eastAsia="zh-CN"/>
        </w:rPr>
        <w:t xml:space="preserve">. </w:t>
      </w:r>
      <w:r w:rsidR="00AD479B" w:rsidRPr="008C705C">
        <w:rPr>
          <w:rFonts w:ascii="Book Antiqua" w:hAnsi="Book Antiqua"/>
        </w:rPr>
        <w:t>GP</w:t>
      </w:r>
      <w:r w:rsidR="00AD479B" w:rsidRPr="008C705C">
        <w:rPr>
          <w:rFonts w:ascii="Book Antiqua" w:hAnsi="Book Antiqua" w:hint="eastAsia"/>
          <w:lang w:eastAsia="zh-CN"/>
        </w:rPr>
        <w:t xml:space="preserve">: </w:t>
      </w:r>
      <w:r w:rsidR="00AD479B" w:rsidRPr="008C705C">
        <w:rPr>
          <w:rFonts w:ascii="Book Antiqua" w:hAnsi="Book Antiqua"/>
        </w:rPr>
        <w:t>General practitioner</w:t>
      </w:r>
      <w:r w:rsidR="00AD479B" w:rsidRPr="008C705C">
        <w:rPr>
          <w:rFonts w:ascii="Book Antiqua" w:hAnsi="Book Antiqua" w:hint="eastAsia"/>
          <w:lang w:eastAsia="zh-CN"/>
        </w:rPr>
        <w:t xml:space="preserve">; </w:t>
      </w:r>
      <w:r w:rsidR="00AD479B" w:rsidRPr="008C705C">
        <w:rPr>
          <w:rFonts w:ascii="Book Antiqua" w:hAnsi="Book Antiqua"/>
          <w:lang w:eastAsia="zh-CN"/>
        </w:rPr>
        <w:t>FY</w:t>
      </w:r>
      <w:r w:rsidR="00AD479B" w:rsidRPr="008C705C">
        <w:rPr>
          <w:rFonts w:ascii="Book Antiqua" w:hAnsi="Book Antiqua" w:hint="eastAsia"/>
          <w:lang w:eastAsia="zh-CN"/>
        </w:rPr>
        <w:t>1:</w:t>
      </w:r>
      <w:r w:rsidR="00AD479B" w:rsidRPr="008C705C">
        <w:rPr>
          <w:rFonts w:ascii="Book Antiqua" w:hAnsi="Book Antiqua"/>
          <w:lang w:eastAsia="zh-CN"/>
        </w:rPr>
        <w:t xml:space="preserve"> </w:t>
      </w:r>
      <w:r w:rsidR="00AD479B" w:rsidRPr="008C705C">
        <w:rPr>
          <w:rFonts w:ascii="Book Antiqua" w:hAnsi="Book Antiqua"/>
        </w:rPr>
        <w:t>Foundation year-1</w:t>
      </w:r>
      <w:r w:rsidR="00AD479B" w:rsidRPr="008C705C">
        <w:rPr>
          <w:rFonts w:ascii="Book Antiqua" w:hAnsi="Book Antiqua" w:hint="eastAsia"/>
          <w:lang w:eastAsia="zh-CN"/>
        </w:rPr>
        <w:t xml:space="preserve">; SHO: </w:t>
      </w:r>
      <w:r w:rsidR="00AD479B" w:rsidRPr="008C705C">
        <w:rPr>
          <w:rFonts w:ascii="Book Antiqua" w:hAnsi="Book Antiqua"/>
        </w:rPr>
        <w:t>Senior house officer</w:t>
      </w:r>
      <w:r w:rsidR="00AD479B" w:rsidRPr="008C705C">
        <w:rPr>
          <w:rFonts w:ascii="Book Antiqua" w:hAnsi="Book Antiqua" w:hint="eastAsia"/>
          <w:lang w:eastAsia="zh-CN"/>
        </w:rPr>
        <w:t>;</w:t>
      </w:r>
      <w:r w:rsidR="00AD479B" w:rsidRPr="008C705C">
        <w:rPr>
          <w:rFonts w:ascii="Book Antiqua" w:hAnsi="Book Antiqua"/>
        </w:rPr>
        <w:t xml:space="preserve"> SROC</w:t>
      </w:r>
      <w:r w:rsidR="00AD479B" w:rsidRPr="008C705C">
        <w:rPr>
          <w:rFonts w:ascii="Book Antiqua" w:hAnsi="Book Antiqua" w:hint="eastAsia"/>
          <w:lang w:eastAsia="zh-CN"/>
        </w:rPr>
        <w:t xml:space="preserve">: </w:t>
      </w:r>
      <w:r w:rsidR="00AD479B" w:rsidRPr="008C705C">
        <w:rPr>
          <w:rFonts w:ascii="Book Antiqua" w:hAnsi="Book Antiqua"/>
        </w:rPr>
        <w:t>Surgical registrar on-call</w:t>
      </w:r>
      <w:r w:rsidR="00AD479B" w:rsidRPr="008C705C">
        <w:rPr>
          <w:rFonts w:ascii="Book Antiqua" w:hAnsi="Book Antiqua" w:hint="eastAsia"/>
          <w:lang w:eastAsia="zh-CN"/>
        </w:rPr>
        <w:t>.</w:t>
      </w:r>
    </w:p>
    <w:p w:rsidR="0082496E" w:rsidRPr="008C705C" w:rsidRDefault="0082496E" w:rsidP="0082496E">
      <w:pPr>
        <w:spacing w:line="360" w:lineRule="auto"/>
        <w:jc w:val="both"/>
        <w:rPr>
          <w:rFonts w:ascii="Book Antiqua" w:hAnsi="Book Antiqua"/>
          <w:b/>
          <w:lang w:eastAsia="zh-CN"/>
        </w:rPr>
      </w:pPr>
    </w:p>
    <w:p w:rsidR="00826614" w:rsidRPr="008C705C" w:rsidRDefault="00826614" w:rsidP="00370380">
      <w:pPr>
        <w:spacing w:line="360" w:lineRule="auto"/>
        <w:jc w:val="both"/>
        <w:rPr>
          <w:rFonts w:ascii="Book Antiqua" w:hAnsi="Book Antiqua"/>
          <w:lang w:eastAsia="zh-CN"/>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r w:rsidRPr="008C705C">
        <w:rPr>
          <w:rFonts w:ascii="Book Antiqua" w:hAnsi="Book Antiqua"/>
        </w:rPr>
        <w:br w:type="page"/>
      </w:r>
    </w:p>
    <w:p w:rsidR="00826614" w:rsidRPr="008C705C" w:rsidRDefault="00826614" w:rsidP="00370380">
      <w:pPr>
        <w:spacing w:line="360" w:lineRule="auto"/>
        <w:jc w:val="both"/>
        <w:rPr>
          <w:rFonts w:ascii="Book Antiqua" w:hAnsi="Book Antiqua"/>
        </w:rPr>
      </w:pPr>
      <w:r w:rsidRPr="008C705C">
        <w:rPr>
          <w:rFonts w:ascii="Book Antiqua" w:hAnsi="Book Antiqua"/>
          <w:noProof/>
        </w:rPr>
        <w:lastRenderedPageBreak/>
        <w:drawing>
          <wp:inline distT="0" distB="0" distL="0" distR="0" wp14:anchorId="6DE63915" wp14:editId="3428DDFB">
            <wp:extent cx="5918200" cy="2739834"/>
            <wp:effectExtent l="25400" t="25400" r="0" b="3366"/>
            <wp:docPr id="5"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6614" w:rsidRPr="008C705C" w:rsidRDefault="00826614" w:rsidP="00370380">
      <w:pPr>
        <w:spacing w:line="360" w:lineRule="auto"/>
        <w:jc w:val="both"/>
        <w:rPr>
          <w:rFonts w:ascii="Book Antiqua" w:hAnsi="Book Antiqua"/>
        </w:rPr>
      </w:pPr>
    </w:p>
    <w:p w:rsidR="00AD479B" w:rsidRPr="008C705C" w:rsidRDefault="00AD479B" w:rsidP="00AD479B">
      <w:pPr>
        <w:spacing w:line="360" w:lineRule="auto"/>
        <w:jc w:val="both"/>
        <w:rPr>
          <w:rFonts w:ascii="Book Antiqua" w:hAnsi="Book Antiqua"/>
          <w:b/>
          <w:lang w:eastAsia="zh-CN"/>
        </w:rPr>
      </w:pPr>
      <w:r w:rsidRPr="008C705C">
        <w:rPr>
          <w:rFonts w:ascii="Book Antiqua" w:hAnsi="Book Antiqua"/>
          <w:b/>
        </w:rPr>
        <w:t>Figure 5 Potential contributions and contributed diagnoses made by each doctor grade</w:t>
      </w:r>
      <w:r w:rsidRPr="008C705C">
        <w:rPr>
          <w:rFonts w:ascii="Book Antiqua" w:hAnsi="Book Antiqua" w:hint="eastAsia"/>
          <w:b/>
          <w:lang w:eastAsia="zh-CN"/>
        </w:rPr>
        <w:t xml:space="preserve">. </w:t>
      </w:r>
      <w:r w:rsidR="00826614" w:rsidRPr="008C705C">
        <w:rPr>
          <w:rFonts w:ascii="Book Antiqua" w:hAnsi="Book Antiqua"/>
        </w:rPr>
        <w:t xml:space="preserve">Potential contributions are encounters with patients that had not received a correct diagnosis from a previous physician. SHO contributed the most correct diagnoses and had the highest percent contribution (57.1%) of any group. </w:t>
      </w:r>
      <w:r w:rsidRPr="008C705C">
        <w:rPr>
          <w:rFonts w:ascii="Book Antiqua" w:hAnsi="Book Antiqua"/>
        </w:rPr>
        <w:t>GP</w:t>
      </w:r>
      <w:r w:rsidRPr="008C705C">
        <w:rPr>
          <w:rFonts w:ascii="Book Antiqua" w:hAnsi="Book Antiqua" w:hint="eastAsia"/>
          <w:lang w:eastAsia="zh-CN"/>
        </w:rPr>
        <w:t xml:space="preserve">: </w:t>
      </w:r>
      <w:r w:rsidRPr="008C705C">
        <w:rPr>
          <w:rFonts w:ascii="Book Antiqua" w:hAnsi="Book Antiqua"/>
        </w:rPr>
        <w:t>General practitioner</w:t>
      </w:r>
      <w:r w:rsidRPr="008C705C">
        <w:rPr>
          <w:rFonts w:ascii="Book Antiqua" w:hAnsi="Book Antiqua" w:hint="eastAsia"/>
          <w:lang w:eastAsia="zh-CN"/>
        </w:rPr>
        <w:t xml:space="preserve">; </w:t>
      </w:r>
      <w:r w:rsidRPr="008C705C">
        <w:rPr>
          <w:rFonts w:ascii="Book Antiqua" w:hAnsi="Book Antiqua"/>
        </w:rPr>
        <w:t>IP</w:t>
      </w:r>
      <w:r w:rsidRPr="008C705C">
        <w:rPr>
          <w:rFonts w:ascii="Book Antiqua" w:hAnsi="Book Antiqua" w:hint="eastAsia"/>
          <w:lang w:eastAsia="zh-CN"/>
        </w:rPr>
        <w:t xml:space="preserve">: </w:t>
      </w:r>
      <w:r w:rsidRPr="008C705C">
        <w:rPr>
          <w:rFonts w:ascii="Book Antiqua" w:hAnsi="Book Antiqua"/>
        </w:rPr>
        <w:t>In-patient referrer</w:t>
      </w:r>
      <w:r w:rsidRPr="008C705C">
        <w:rPr>
          <w:rFonts w:ascii="Book Antiqua" w:hAnsi="Book Antiqua" w:hint="eastAsia"/>
          <w:lang w:eastAsia="zh-CN"/>
        </w:rPr>
        <w:t xml:space="preserve">; </w:t>
      </w:r>
      <w:r w:rsidRPr="008C705C">
        <w:rPr>
          <w:rFonts w:ascii="Book Antiqua" w:hAnsi="Book Antiqua"/>
          <w:lang w:eastAsia="zh-CN"/>
        </w:rPr>
        <w:t>FY</w:t>
      </w:r>
      <w:r w:rsidRPr="008C705C">
        <w:rPr>
          <w:rFonts w:ascii="Book Antiqua" w:hAnsi="Book Antiqua" w:hint="eastAsia"/>
          <w:lang w:eastAsia="zh-CN"/>
        </w:rPr>
        <w:t>1:</w:t>
      </w:r>
      <w:r w:rsidRPr="008C705C">
        <w:rPr>
          <w:rFonts w:ascii="Book Antiqua" w:hAnsi="Book Antiqua"/>
          <w:lang w:eastAsia="zh-CN"/>
        </w:rPr>
        <w:t xml:space="preserve"> </w:t>
      </w:r>
      <w:r w:rsidRPr="008C705C">
        <w:rPr>
          <w:rFonts w:ascii="Book Antiqua" w:hAnsi="Book Antiqua"/>
        </w:rPr>
        <w:t>Foundation year-1</w:t>
      </w:r>
      <w:r w:rsidRPr="008C705C">
        <w:rPr>
          <w:rFonts w:ascii="Book Antiqua" w:hAnsi="Book Antiqua" w:hint="eastAsia"/>
          <w:lang w:eastAsia="zh-CN"/>
        </w:rPr>
        <w:t xml:space="preserve">; SHO: </w:t>
      </w:r>
      <w:r w:rsidRPr="008C705C">
        <w:rPr>
          <w:rFonts w:ascii="Book Antiqua" w:hAnsi="Book Antiqua"/>
        </w:rPr>
        <w:t>Senior house officer</w:t>
      </w:r>
      <w:r w:rsidRPr="008C705C">
        <w:rPr>
          <w:rFonts w:ascii="Book Antiqua" w:hAnsi="Book Antiqua" w:hint="eastAsia"/>
          <w:lang w:eastAsia="zh-CN"/>
        </w:rPr>
        <w:t>;</w:t>
      </w:r>
      <w:r w:rsidRPr="008C705C">
        <w:rPr>
          <w:rFonts w:ascii="Book Antiqua" w:hAnsi="Book Antiqua"/>
        </w:rPr>
        <w:t xml:space="preserve"> SROC</w:t>
      </w:r>
      <w:r w:rsidRPr="008C705C">
        <w:rPr>
          <w:rFonts w:ascii="Book Antiqua" w:hAnsi="Book Antiqua" w:hint="eastAsia"/>
          <w:lang w:eastAsia="zh-CN"/>
        </w:rPr>
        <w:t xml:space="preserve">: </w:t>
      </w:r>
      <w:r w:rsidRPr="008C705C">
        <w:rPr>
          <w:rFonts w:ascii="Book Antiqua" w:hAnsi="Book Antiqua"/>
        </w:rPr>
        <w:t>Surgical registrar on-call</w:t>
      </w:r>
      <w:r w:rsidRPr="008C705C">
        <w:rPr>
          <w:rFonts w:ascii="Book Antiqua" w:hAnsi="Book Antiqua" w:hint="eastAsia"/>
          <w:lang w:eastAsia="zh-CN"/>
        </w:rPr>
        <w:t>.</w:t>
      </w:r>
    </w:p>
    <w:p w:rsidR="0082496E" w:rsidRPr="008C705C" w:rsidRDefault="0082496E" w:rsidP="0082496E">
      <w:pPr>
        <w:spacing w:line="360" w:lineRule="auto"/>
        <w:jc w:val="both"/>
        <w:rPr>
          <w:rFonts w:ascii="Book Antiqua" w:hAnsi="Book Antiqua"/>
          <w:lang w:eastAsia="zh-CN"/>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rPr>
      </w:pPr>
    </w:p>
    <w:p w:rsidR="00826614" w:rsidRPr="008C705C" w:rsidRDefault="00826614" w:rsidP="00370380">
      <w:pPr>
        <w:spacing w:line="360" w:lineRule="auto"/>
        <w:jc w:val="both"/>
        <w:rPr>
          <w:rFonts w:ascii="Book Antiqua" w:hAnsi="Book Antiqua"/>
          <w:lang w:eastAsia="zh-CN"/>
        </w:rPr>
      </w:pPr>
      <w:r w:rsidRPr="008C705C">
        <w:rPr>
          <w:rFonts w:ascii="Book Antiqua" w:hAnsi="Book Antiqua"/>
        </w:rPr>
        <w:br w:type="page"/>
      </w:r>
    </w:p>
    <w:p w:rsidR="00826614" w:rsidRPr="008C705C" w:rsidRDefault="00826614" w:rsidP="00370380">
      <w:pPr>
        <w:spacing w:line="360" w:lineRule="auto"/>
        <w:jc w:val="both"/>
        <w:rPr>
          <w:rFonts w:ascii="Book Antiqua" w:hAnsi="Book Antiqua"/>
        </w:rPr>
      </w:pPr>
      <w:r w:rsidRPr="008C705C">
        <w:rPr>
          <w:rFonts w:ascii="Book Antiqua" w:hAnsi="Book Antiqua"/>
          <w:noProof/>
        </w:rPr>
        <w:lastRenderedPageBreak/>
        <w:drawing>
          <wp:inline distT="0" distB="0" distL="0" distR="0" wp14:anchorId="5CA32B38" wp14:editId="7ABDE832">
            <wp:extent cx="5486400" cy="2305439"/>
            <wp:effectExtent l="25400" t="25400" r="0" b="5961"/>
            <wp:docPr id="6"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6614" w:rsidRPr="008C705C" w:rsidRDefault="00826614" w:rsidP="00370380">
      <w:pPr>
        <w:spacing w:line="360" w:lineRule="auto"/>
        <w:jc w:val="both"/>
        <w:rPr>
          <w:rFonts w:ascii="Book Antiqua" w:hAnsi="Book Antiqua"/>
        </w:rPr>
      </w:pPr>
    </w:p>
    <w:p w:rsidR="00826614" w:rsidRPr="008C705C" w:rsidRDefault="00AD479B" w:rsidP="00370380">
      <w:pPr>
        <w:spacing w:line="360" w:lineRule="auto"/>
        <w:jc w:val="both"/>
        <w:rPr>
          <w:rFonts w:ascii="Book Antiqua" w:hAnsi="Book Antiqua"/>
          <w:b/>
          <w:lang w:eastAsia="zh-CN"/>
        </w:rPr>
      </w:pPr>
      <w:r w:rsidRPr="008C705C">
        <w:rPr>
          <w:rFonts w:ascii="Book Antiqua" w:hAnsi="Book Antiqua"/>
          <w:b/>
        </w:rPr>
        <w:t>Figure 6 Percentage of patients receiving surgery or other invasive diagnostic procedure by source of referral.</w:t>
      </w:r>
      <w:r w:rsidRPr="008C705C">
        <w:rPr>
          <w:rFonts w:ascii="Book Antiqua" w:hAnsi="Book Antiqua" w:hint="eastAsia"/>
          <w:b/>
          <w:lang w:eastAsia="zh-CN"/>
        </w:rPr>
        <w:t xml:space="preserve"> </w:t>
      </w:r>
      <w:r w:rsidR="00826614" w:rsidRPr="008C705C">
        <w:rPr>
          <w:rFonts w:ascii="Book Antiqua" w:hAnsi="Book Antiqua"/>
        </w:rPr>
        <w:t>GP referrals were more than twice as likely to undergo surgery than patients referred from A</w:t>
      </w:r>
      <w:r w:rsidRPr="008C705C">
        <w:rPr>
          <w:rFonts w:ascii="Book Antiqua" w:hAnsi="Book Antiqua" w:hint="eastAsia"/>
          <w:lang w:eastAsia="zh-CN"/>
        </w:rPr>
        <w:t xml:space="preserve"> </w:t>
      </w:r>
      <w:r w:rsidRPr="008C705C">
        <w:rPr>
          <w:rFonts w:ascii="Book Antiqua" w:hAnsi="Book Antiqua"/>
          <w:lang w:eastAsia="zh-CN"/>
        </w:rPr>
        <w:t>and</w:t>
      </w:r>
      <w:r w:rsidRPr="008C705C">
        <w:rPr>
          <w:rFonts w:ascii="Book Antiqua" w:hAnsi="Book Antiqua" w:hint="eastAsia"/>
          <w:lang w:eastAsia="zh-CN"/>
        </w:rPr>
        <w:t xml:space="preserve"> </w:t>
      </w:r>
      <w:r w:rsidRPr="008C705C">
        <w:rPr>
          <w:rFonts w:ascii="Book Antiqua" w:hAnsi="Book Antiqua"/>
        </w:rPr>
        <w:t>E</w:t>
      </w:r>
      <w:r w:rsidRPr="008C705C">
        <w:rPr>
          <w:rFonts w:ascii="Book Antiqua" w:hAnsi="Book Antiqua" w:hint="eastAsia"/>
          <w:lang w:eastAsia="zh-CN"/>
        </w:rPr>
        <w:t xml:space="preserve"> </w:t>
      </w:r>
      <w:r w:rsidR="00826614" w:rsidRPr="008C705C">
        <w:rPr>
          <w:rFonts w:ascii="Book Antiqua" w:hAnsi="Book Antiqua"/>
        </w:rPr>
        <w:t>(OR 4.40, CI</w:t>
      </w:r>
      <w:r w:rsidRPr="008C705C">
        <w:rPr>
          <w:rFonts w:ascii="Book Antiqua" w:hAnsi="Book Antiqua" w:hint="eastAsia"/>
          <w:lang w:eastAsia="zh-CN"/>
        </w:rPr>
        <w:t>:</w:t>
      </w:r>
      <w:r w:rsidR="00826614" w:rsidRPr="008C705C">
        <w:rPr>
          <w:rFonts w:ascii="Book Antiqua" w:hAnsi="Book Antiqua"/>
        </w:rPr>
        <w:t xml:space="preserve"> 1.09-17.72, </w:t>
      </w:r>
      <w:r w:rsidRPr="008C705C">
        <w:rPr>
          <w:rFonts w:ascii="Book Antiqua" w:hAnsi="Book Antiqua"/>
          <w:i/>
        </w:rPr>
        <w:t>P</w:t>
      </w:r>
      <w:r w:rsidR="00826614" w:rsidRPr="008C705C">
        <w:rPr>
          <w:rFonts w:ascii="Book Antiqua" w:hAnsi="Book Antiqua"/>
        </w:rPr>
        <w:t xml:space="preserve"> = 0.04)</w:t>
      </w:r>
      <w:r w:rsidRPr="008C705C">
        <w:rPr>
          <w:rFonts w:ascii="Book Antiqua" w:hAnsi="Book Antiqua" w:hint="eastAsia"/>
          <w:lang w:eastAsia="zh-CN"/>
        </w:rPr>
        <w:t>.</w:t>
      </w:r>
      <w:r w:rsidR="00826614" w:rsidRPr="008C705C">
        <w:rPr>
          <w:rFonts w:ascii="Book Antiqua" w:hAnsi="Book Antiqua"/>
        </w:rPr>
        <w:t xml:space="preserve"> However, due to the small number of in-patient referrals, signifi</w:t>
      </w:r>
      <w:r w:rsidRPr="008C705C">
        <w:rPr>
          <w:rFonts w:ascii="Book Antiqua" w:hAnsi="Book Antiqua"/>
        </w:rPr>
        <w:t xml:space="preserve">cance was not reached for GP </w:t>
      </w:r>
      <w:r w:rsidRPr="008C705C">
        <w:rPr>
          <w:rFonts w:ascii="Book Antiqua" w:hAnsi="Book Antiqua"/>
          <w:i/>
        </w:rPr>
        <w:t>vs</w:t>
      </w:r>
      <w:r w:rsidRPr="008C705C">
        <w:rPr>
          <w:rFonts w:ascii="Book Antiqua" w:hAnsi="Book Antiqua"/>
        </w:rPr>
        <w:t xml:space="preserve"> In-Patient referrals</w:t>
      </w:r>
      <w:r w:rsidR="00826614" w:rsidRPr="008C705C">
        <w:rPr>
          <w:rFonts w:ascii="Book Antiqua" w:hAnsi="Book Antiqua"/>
        </w:rPr>
        <w:t xml:space="preserve"> (</w:t>
      </w:r>
      <w:r w:rsidRPr="008C705C">
        <w:rPr>
          <w:rFonts w:ascii="Book Antiqua" w:hAnsi="Book Antiqua"/>
          <w:i/>
        </w:rPr>
        <w:t>P</w:t>
      </w:r>
      <w:r w:rsidR="00826614" w:rsidRPr="008C705C">
        <w:rPr>
          <w:rFonts w:ascii="Book Antiqua" w:hAnsi="Book Antiqua"/>
        </w:rPr>
        <w:t xml:space="preserve"> = 0.15)</w:t>
      </w:r>
      <w:r w:rsidRPr="008C705C">
        <w:rPr>
          <w:rFonts w:ascii="Book Antiqua" w:hAnsi="Book Antiqua" w:hint="eastAsia"/>
          <w:lang w:eastAsia="zh-CN"/>
        </w:rPr>
        <w:t>.</w:t>
      </w:r>
      <w:r w:rsidRPr="008C705C">
        <w:rPr>
          <w:rFonts w:ascii="Book Antiqua" w:hAnsi="Book Antiqua"/>
        </w:rPr>
        <w:t xml:space="preserve"> IP</w:t>
      </w:r>
      <w:r w:rsidRPr="008C705C">
        <w:rPr>
          <w:rFonts w:ascii="Book Antiqua" w:hAnsi="Book Antiqua" w:hint="eastAsia"/>
          <w:lang w:eastAsia="zh-CN"/>
        </w:rPr>
        <w:t xml:space="preserve">: </w:t>
      </w:r>
      <w:r w:rsidRPr="008C705C">
        <w:rPr>
          <w:rFonts w:ascii="Book Antiqua" w:hAnsi="Book Antiqua"/>
        </w:rPr>
        <w:t>In-patient referrer</w:t>
      </w:r>
      <w:r w:rsidRPr="008C705C">
        <w:rPr>
          <w:rFonts w:ascii="Book Antiqua" w:hAnsi="Book Antiqua" w:hint="eastAsia"/>
          <w:lang w:eastAsia="zh-CN"/>
        </w:rPr>
        <w:t xml:space="preserve">; </w:t>
      </w:r>
      <w:r w:rsidRPr="008C705C">
        <w:rPr>
          <w:rFonts w:ascii="Book Antiqua" w:hAnsi="Book Antiqua"/>
        </w:rPr>
        <w:t>GP</w:t>
      </w:r>
      <w:r w:rsidRPr="008C705C">
        <w:rPr>
          <w:rFonts w:ascii="Book Antiqua" w:hAnsi="Book Antiqua" w:hint="eastAsia"/>
          <w:lang w:eastAsia="zh-CN"/>
        </w:rPr>
        <w:t xml:space="preserve">: </w:t>
      </w:r>
      <w:r w:rsidRPr="008C705C">
        <w:rPr>
          <w:rFonts w:ascii="Book Antiqua" w:hAnsi="Book Antiqua"/>
        </w:rPr>
        <w:t>General practitioner</w:t>
      </w:r>
      <w:r w:rsidRPr="008C705C">
        <w:rPr>
          <w:rFonts w:ascii="Book Antiqua" w:hAnsi="Book Antiqua" w:hint="eastAsia"/>
          <w:lang w:eastAsia="zh-CN"/>
        </w:rPr>
        <w:t>.</w:t>
      </w:r>
    </w:p>
    <w:p w:rsidR="00826614" w:rsidRPr="008C705C" w:rsidRDefault="00826614" w:rsidP="00AD479B">
      <w:pPr>
        <w:spacing w:line="360" w:lineRule="auto"/>
        <w:jc w:val="both"/>
        <w:rPr>
          <w:rFonts w:ascii="Book Antiqua" w:hAnsi="Book Antiqua"/>
          <w:lang w:eastAsia="zh-CN"/>
        </w:rPr>
      </w:pPr>
    </w:p>
    <w:sectPr w:rsidR="00826614" w:rsidRPr="008C705C" w:rsidSect="002D487F">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02" w:rsidRDefault="00B31002" w:rsidP="00A445E8">
      <w:r>
        <w:separator/>
      </w:r>
    </w:p>
  </w:endnote>
  <w:endnote w:type="continuationSeparator" w:id="0">
    <w:p w:rsidR="00B31002" w:rsidRDefault="00B31002" w:rsidP="00A4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60" w:rsidRDefault="00D06560" w:rsidP="0031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560" w:rsidRDefault="00D06560" w:rsidP="002D48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60" w:rsidRDefault="00D06560" w:rsidP="002D48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02" w:rsidRDefault="00B31002" w:rsidP="00A445E8">
      <w:r>
        <w:separator/>
      </w:r>
    </w:p>
  </w:footnote>
  <w:footnote w:type="continuationSeparator" w:id="0">
    <w:p w:rsidR="00B31002" w:rsidRDefault="00B31002" w:rsidP="00A44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60" w:rsidRDefault="00D06560" w:rsidP="00313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560" w:rsidRDefault="00D06560" w:rsidP="002D48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60" w:rsidRDefault="00D06560" w:rsidP="002D487F">
    <w:pPr>
      <w:pStyle w:val="Header"/>
      <w:ind w:right="360"/>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A6D46">
      <w:rPr>
        <w:rFonts w:ascii="Times New Roman" w:hAnsi="Times New Roman"/>
        <w:noProof/>
      </w:rPr>
      <w:t>19</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A6D46">
      <w:rPr>
        <w:rFonts w:ascii="Times New Roman" w:hAnsi="Times New Roman"/>
        <w:noProof/>
      </w:rPr>
      <w:t>19</w:t>
    </w:r>
    <w:r>
      <w:rPr>
        <w:rFonts w:ascii="Times New Roman" w:hAnsi="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342590"/>
      <w:docPartObj>
        <w:docPartGallery w:val="Page Numbers (Top of Page)"/>
        <w:docPartUnique/>
      </w:docPartObj>
    </w:sdtPr>
    <w:sdtEndPr>
      <w:rPr>
        <w:noProof/>
      </w:rPr>
    </w:sdtEndPr>
    <w:sdtContent>
      <w:p w:rsidR="00D030D2" w:rsidRDefault="00D030D2">
        <w:pPr>
          <w:pStyle w:val="Header"/>
          <w:jc w:val="right"/>
        </w:pPr>
        <w:r>
          <w:fldChar w:fldCharType="begin"/>
        </w:r>
        <w:r>
          <w:instrText xml:space="preserve"> PAGE   \* MERGEFORMAT </w:instrText>
        </w:r>
        <w:r>
          <w:fldChar w:fldCharType="separate"/>
        </w:r>
        <w:r w:rsidR="00AA6D46">
          <w:rPr>
            <w:noProof/>
          </w:rPr>
          <w:t>1</w:t>
        </w:r>
        <w:r>
          <w:rPr>
            <w:noProof/>
          </w:rPr>
          <w:fldChar w:fldCharType="end"/>
        </w:r>
      </w:p>
    </w:sdtContent>
  </w:sdt>
  <w:p w:rsidR="00D030D2" w:rsidRDefault="00D030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6901"/>
    <w:multiLevelType w:val="hybridMultilevel"/>
    <w:tmpl w:val="6F06C7CA"/>
    <w:lvl w:ilvl="0" w:tplc="63B0D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7B7F32"/>
    <w:multiLevelType w:val="multilevel"/>
    <w:tmpl w:val="2056DB30"/>
    <w:lvl w:ilvl="0">
      <w:start w:val="7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26602E7"/>
    <w:multiLevelType w:val="hybridMultilevel"/>
    <w:tmpl w:val="DD66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CC"/>
    <w:rsid w:val="0000284A"/>
    <w:rsid w:val="0000356E"/>
    <w:rsid w:val="00024CAF"/>
    <w:rsid w:val="0002517F"/>
    <w:rsid w:val="0006352D"/>
    <w:rsid w:val="00064A63"/>
    <w:rsid w:val="000807EE"/>
    <w:rsid w:val="000924AB"/>
    <w:rsid w:val="00094CC6"/>
    <w:rsid w:val="000A13D4"/>
    <w:rsid w:val="000F61C8"/>
    <w:rsid w:val="001110BF"/>
    <w:rsid w:val="00154586"/>
    <w:rsid w:val="001556F2"/>
    <w:rsid w:val="0016647F"/>
    <w:rsid w:val="00191E13"/>
    <w:rsid w:val="001A0F6C"/>
    <w:rsid w:val="001B7DAE"/>
    <w:rsid w:val="001C2C60"/>
    <w:rsid w:val="001D5E68"/>
    <w:rsid w:val="001F217D"/>
    <w:rsid w:val="002055E3"/>
    <w:rsid w:val="002131D9"/>
    <w:rsid w:val="002207F7"/>
    <w:rsid w:val="00240B5F"/>
    <w:rsid w:val="00252072"/>
    <w:rsid w:val="002534A0"/>
    <w:rsid w:val="00264C9E"/>
    <w:rsid w:val="002741DF"/>
    <w:rsid w:val="00285E08"/>
    <w:rsid w:val="00297874"/>
    <w:rsid w:val="002B1FF8"/>
    <w:rsid w:val="002D1D24"/>
    <w:rsid w:val="002D3F74"/>
    <w:rsid w:val="002D45A2"/>
    <w:rsid w:val="002D487F"/>
    <w:rsid w:val="002D53DD"/>
    <w:rsid w:val="002D7594"/>
    <w:rsid w:val="002E3A46"/>
    <w:rsid w:val="002E454E"/>
    <w:rsid w:val="002F25DB"/>
    <w:rsid w:val="002F47FB"/>
    <w:rsid w:val="0030214A"/>
    <w:rsid w:val="00303831"/>
    <w:rsid w:val="00311075"/>
    <w:rsid w:val="00311B46"/>
    <w:rsid w:val="003134D6"/>
    <w:rsid w:val="00314E74"/>
    <w:rsid w:val="00357B2D"/>
    <w:rsid w:val="00361D91"/>
    <w:rsid w:val="00370380"/>
    <w:rsid w:val="00372BF8"/>
    <w:rsid w:val="003732AB"/>
    <w:rsid w:val="003828B7"/>
    <w:rsid w:val="00390BA5"/>
    <w:rsid w:val="003A4067"/>
    <w:rsid w:val="003B7ABB"/>
    <w:rsid w:val="003C10E2"/>
    <w:rsid w:val="003C334D"/>
    <w:rsid w:val="003C4F3E"/>
    <w:rsid w:val="003C530A"/>
    <w:rsid w:val="003D226B"/>
    <w:rsid w:val="0040386C"/>
    <w:rsid w:val="00413060"/>
    <w:rsid w:val="004215A9"/>
    <w:rsid w:val="00461682"/>
    <w:rsid w:val="0048592B"/>
    <w:rsid w:val="00497404"/>
    <w:rsid w:val="004A0EB8"/>
    <w:rsid w:val="004A2FC0"/>
    <w:rsid w:val="004A6E8D"/>
    <w:rsid w:val="004B2980"/>
    <w:rsid w:val="004D025D"/>
    <w:rsid w:val="004D4D24"/>
    <w:rsid w:val="004D5D56"/>
    <w:rsid w:val="004D78DE"/>
    <w:rsid w:val="004E68EE"/>
    <w:rsid w:val="00505E48"/>
    <w:rsid w:val="005157B0"/>
    <w:rsid w:val="00522DB6"/>
    <w:rsid w:val="00553B83"/>
    <w:rsid w:val="00562974"/>
    <w:rsid w:val="00565F31"/>
    <w:rsid w:val="0057416F"/>
    <w:rsid w:val="005801D5"/>
    <w:rsid w:val="0058516B"/>
    <w:rsid w:val="005950FC"/>
    <w:rsid w:val="005A46A3"/>
    <w:rsid w:val="005B3D45"/>
    <w:rsid w:val="005C4A04"/>
    <w:rsid w:val="005C6712"/>
    <w:rsid w:val="005F6296"/>
    <w:rsid w:val="006022E6"/>
    <w:rsid w:val="006034E7"/>
    <w:rsid w:val="00604BC2"/>
    <w:rsid w:val="00654446"/>
    <w:rsid w:val="00655A9C"/>
    <w:rsid w:val="00664F88"/>
    <w:rsid w:val="00665E7B"/>
    <w:rsid w:val="006B2498"/>
    <w:rsid w:val="006B350A"/>
    <w:rsid w:val="0071364F"/>
    <w:rsid w:val="0072778D"/>
    <w:rsid w:val="0073668B"/>
    <w:rsid w:val="00744AD2"/>
    <w:rsid w:val="0075753D"/>
    <w:rsid w:val="0077366C"/>
    <w:rsid w:val="00784900"/>
    <w:rsid w:val="007B2033"/>
    <w:rsid w:val="007C07AA"/>
    <w:rsid w:val="007C67DC"/>
    <w:rsid w:val="007C723A"/>
    <w:rsid w:val="007D57EF"/>
    <w:rsid w:val="00803132"/>
    <w:rsid w:val="00812269"/>
    <w:rsid w:val="00820870"/>
    <w:rsid w:val="0082496E"/>
    <w:rsid w:val="00826614"/>
    <w:rsid w:val="0082716D"/>
    <w:rsid w:val="00833269"/>
    <w:rsid w:val="008412CC"/>
    <w:rsid w:val="0086112F"/>
    <w:rsid w:val="0086198F"/>
    <w:rsid w:val="00862F92"/>
    <w:rsid w:val="00883D65"/>
    <w:rsid w:val="00892FEC"/>
    <w:rsid w:val="008941F3"/>
    <w:rsid w:val="008A182E"/>
    <w:rsid w:val="008A2CEB"/>
    <w:rsid w:val="008B4142"/>
    <w:rsid w:val="008C175F"/>
    <w:rsid w:val="008C705C"/>
    <w:rsid w:val="008D2652"/>
    <w:rsid w:val="008D27D0"/>
    <w:rsid w:val="008D5B0F"/>
    <w:rsid w:val="009025BE"/>
    <w:rsid w:val="00902F9B"/>
    <w:rsid w:val="00906F12"/>
    <w:rsid w:val="0093472B"/>
    <w:rsid w:val="0094587F"/>
    <w:rsid w:val="009543EA"/>
    <w:rsid w:val="00977FF0"/>
    <w:rsid w:val="00982B12"/>
    <w:rsid w:val="00983F2D"/>
    <w:rsid w:val="00994AEE"/>
    <w:rsid w:val="009A1A2F"/>
    <w:rsid w:val="009A50BE"/>
    <w:rsid w:val="009A6B04"/>
    <w:rsid w:val="009C5B64"/>
    <w:rsid w:val="009D07F9"/>
    <w:rsid w:val="009D14EF"/>
    <w:rsid w:val="009E6E82"/>
    <w:rsid w:val="009F2907"/>
    <w:rsid w:val="009F4075"/>
    <w:rsid w:val="00A12C5E"/>
    <w:rsid w:val="00A1781C"/>
    <w:rsid w:val="00A25A06"/>
    <w:rsid w:val="00A316CD"/>
    <w:rsid w:val="00A37127"/>
    <w:rsid w:val="00A445E8"/>
    <w:rsid w:val="00A522F3"/>
    <w:rsid w:val="00A52B8F"/>
    <w:rsid w:val="00A56EC5"/>
    <w:rsid w:val="00A60C59"/>
    <w:rsid w:val="00A75385"/>
    <w:rsid w:val="00A85310"/>
    <w:rsid w:val="00A917E8"/>
    <w:rsid w:val="00A94164"/>
    <w:rsid w:val="00AA5652"/>
    <w:rsid w:val="00AA6D46"/>
    <w:rsid w:val="00AC20CB"/>
    <w:rsid w:val="00AC2C23"/>
    <w:rsid w:val="00AC2E27"/>
    <w:rsid w:val="00AD479B"/>
    <w:rsid w:val="00AF078A"/>
    <w:rsid w:val="00AF62C2"/>
    <w:rsid w:val="00B31002"/>
    <w:rsid w:val="00B437A1"/>
    <w:rsid w:val="00B56043"/>
    <w:rsid w:val="00B71176"/>
    <w:rsid w:val="00B80633"/>
    <w:rsid w:val="00B85977"/>
    <w:rsid w:val="00BA311A"/>
    <w:rsid w:val="00BB7BFE"/>
    <w:rsid w:val="00BD05B2"/>
    <w:rsid w:val="00BF35E4"/>
    <w:rsid w:val="00C0136D"/>
    <w:rsid w:val="00C2328C"/>
    <w:rsid w:val="00C30E20"/>
    <w:rsid w:val="00C31609"/>
    <w:rsid w:val="00C6019D"/>
    <w:rsid w:val="00C75D30"/>
    <w:rsid w:val="00C75EBA"/>
    <w:rsid w:val="00C82BE1"/>
    <w:rsid w:val="00CB6A4A"/>
    <w:rsid w:val="00CC770C"/>
    <w:rsid w:val="00CD75F1"/>
    <w:rsid w:val="00CF5236"/>
    <w:rsid w:val="00D030D2"/>
    <w:rsid w:val="00D042FA"/>
    <w:rsid w:val="00D06560"/>
    <w:rsid w:val="00D1632C"/>
    <w:rsid w:val="00D204BE"/>
    <w:rsid w:val="00D24403"/>
    <w:rsid w:val="00D53DEC"/>
    <w:rsid w:val="00D55295"/>
    <w:rsid w:val="00D55A0D"/>
    <w:rsid w:val="00D6668C"/>
    <w:rsid w:val="00D74485"/>
    <w:rsid w:val="00D86E00"/>
    <w:rsid w:val="00DA126B"/>
    <w:rsid w:val="00DC339D"/>
    <w:rsid w:val="00DC4030"/>
    <w:rsid w:val="00DE2604"/>
    <w:rsid w:val="00DE4BA9"/>
    <w:rsid w:val="00E009C0"/>
    <w:rsid w:val="00E537BF"/>
    <w:rsid w:val="00E5419B"/>
    <w:rsid w:val="00E56AEC"/>
    <w:rsid w:val="00E65DE8"/>
    <w:rsid w:val="00E7617F"/>
    <w:rsid w:val="00E862D6"/>
    <w:rsid w:val="00E94E98"/>
    <w:rsid w:val="00E950D1"/>
    <w:rsid w:val="00EC02E3"/>
    <w:rsid w:val="00ED1421"/>
    <w:rsid w:val="00F121DE"/>
    <w:rsid w:val="00F21BCD"/>
    <w:rsid w:val="00F2340A"/>
    <w:rsid w:val="00F257FF"/>
    <w:rsid w:val="00F27243"/>
    <w:rsid w:val="00F3047A"/>
    <w:rsid w:val="00F319A6"/>
    <w:rsid w:val="00F35593"/>
    <w:rsid w:val="00F54518"/>
    <w:rsid w:val="00F67992"/>
    <w:rsid w:val="00F73DB0"/>
    <w:rsid w:val="00F8140D"/>
    <w:rsid w:val="00F84976"/>
    <w:rsid w:val="00F8625A"/>
    <w:rsid w:val="00F86C46"/>
    <w:rsid w:val="00F93BE6"/>
    <w:rsid w:val="00FB2B73"/>
    <w:rsid w:val="00FB4E87"/>
    <w:rsid w:val="00FC14D4"/>
    <w:rsid w:val="00FF0E3B"/>
    <w:rsid w:val="00FF4470"/>
    <w:rsid w:val="00FF6C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CCC"/>
    <w:pPr>
      <w:tabs>
        <w:tab w:val="center" w:pos="4320"/>
        <w:tab w:val="right" w:pos="8640"/>
      </w:tabs>
    </w:pPr>
  </w:style>
  <w:style w:type="character" w:customStyle="1" w:styleId="HeaderChar">
    <w:name w:val="Header Char"/>
    <w:basedOn w:val="DefaultParagraphFont"/>
    <w:link w:val="Header"/>
    <w:uiPriority w:val="99"/>
    <w:locked/>
    <w:rsid w:val="00FF6CCC"/>
    <w:rPr>
      <w:rFonts w:cs="Times New Roman"/>
    </w:rPr>
  </w:style>
  <w:style w:type="paragraph" w:styleId="Footer">
    <w:name w:val="footer"/>
    <w:basedOn w:val="Normal"/>
    <w:link w:val="FooterChar"/>
    <w:uiPriority w:val="99"/>
    <w:semiHidden/>
    <w:rsid w:val="00FF6CCC"/>
    <w:pPr>
      <w:tabs>
        <w:tab w:val="center" w:pos="4320"/>
        <w:tab w:val="right" w:pos="8640"/>
      </w:tabs>
    </w:pPr>
  </w:style>
  <w:style w:type="character" w:customStyle="1" w:styleId="FooterChar">
    <w:name w:val="Footer Char"/>
    <w:basedOn w:val="DefaultParagraphFont"/>
    <w:link w:val="Footer"/>
    <w:uiPriority w:val="99"/>
    <w:semiHidden/>
    <w:locked/>
    <w:rsid w:val="00FF6CCC"/>
    <w:rPr>
      <w:rFonts w:cs="Times New Roman"/>
    </w:rPr>
  </w:style>
  <w:style w:type="character" w:styleId="PageNumber">
    <w:name w:val="page number"/>
    <w:basedOn w:val="DefaultParagraphFont"/>
    <w:uiPriority w:val="99"/>
    <w:semiHidden/>
    <w:rsid w:val="002D487F"/>
    <w:rPr>
      <w:rFonts w:cs="Times New Roman"/>
    </w:rPr>
  </w:style>
  <w:style w:type="paragraph" w:styleId="NormalWeb">
    <w:name w:val="Normal (Web)"/>
    <w:basedOn w:val="Normal"/>
    <w:uiPriority w:val="99"/>
    <w:rsid w:val="008A2CEB"/>
    <w:pPr>
      <w:spacing w:beforeLines="1" w:afterLines="1"/>
    </w:pPr>
    <w:rPr>
      <w:rFonts w:ascii="Times" w:hAnsi="Times"/>
      <w:sz w:val="20"/>
      <w:szCs w:val="20"/>
    </w:rPr>
  </w:style>
  <w:style w:type="paragraph" w:styleId="HTMLPreformatted">
    <w:name w:val="HTML Preformatted"/>
    <w:basedOn w:val="Normal"/>
    <w:link w:val="HTMLPreformattedChar"/>
    <w:uiPriority w:val="99"/>
    <w:rsid w:val="002F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2F47FB"/>
    <w:rPr>
      <w:rFonts w:ascii="Courier New" w:hAnsi="Courier New" w:cs="Courier New"/>
      <w:sz w:val="20"/>
      <w:szCs w:val="20"/>
    </w:rPr>
  </w:style>
  <w:style w:type="paragraph" w:styleId="BalloonText">
    <w:name w:val="Balloon Text"/>
    <w:basedOn w:val="Normal"/>
    <w:link w:val="BalloonTextChar"/>
    <w:uiPriority w:val="99"/>
    <w:semiHidden/>
    <w:unhideWhenUsed/>
    <w:rsid w:val="00826614"/>
    <w:rPr>
      <w:rFonts w:ascii="Tahoma" w:hAnsi="Tahoma" w:cs="Tahoma"/>
      <w:sz w:val="16"/>
      <w:szCs w:val="16"/>
    </w:rPr>
  </w:style>
  <w:style w:type="character" w:customStyle="1" w:styleId="BalloonTextChar">
    <w:name w:val="Balloon Text Char"/>
    <w:basedOn w:val="DefaultParagraphFont"/>
    <w:link w:val="BalloonText"/>
    <w:uiPriority w:val="99"/>
    <w:semiHidden/>
    <w:rsid w:val="00826614"/>
    <w:rPr>
      <w:rFonts w:ascii="Tahoma" w:hAnsi="Tahoma" w:cs="Tahoma"/>
      <w:sz w:val="16"/>
      <w:szCs w:val="16"/>
      <w:lang w:val="en-US" w:eastAsia="en-US"/>
    </w:rPr>
  </w:style>
  <w:style w:type="paragraph" w:styleId="ListParagraph">
    <w:name w:val="List Paragraph"/>
    <w:basedOn w:val="Normal"/>
    <w:uiPriority w:val="34"/>
    <w:qFormat/>
    <w:rsid w:val="0048592B"/>
    <w:pPr>
      <w:ind w:left="720"/>
      <w:contextualSpacing/>
    </w:pPr>
  </w:style>
  <w:style w:type="character" w:styleId="CommentReference">
    <w:name w:val="annotation reference"/>
    <w:basedOn w:val="DefaultParagraphFont"/>
    <w:uiPriority w:val="99"/>
    <w:semiHidden/>
    <w:unhideWhenUsed/>
    <w:rsid w:val="005C4A04"/>
    <w:rPr>
      <w:sz w:val="21"/>
      <w:szCs w:val="21"/>
    </w:rPr>
  </w:style>
  <w:style w:type="paragraph" w:styleId="CommentText">
    <w:name w:val="annotation text"/>
    <w:basedOn w:val="Normal"/>
    <w:link w:val="CommentTextChar"/>
    <w:uiPriority w:val="99"/>
    <w:semiHidden/>
    <w:unhideWhenUsed/>
    <w:rsid w:val="005C4A04"/>
  </w:style>
  <w:style w:type="character" w:customStyle="1" w:styleId="CommentTextChar">
    <w:name w:val="Comment Text Char"/>
    <w:basedOn w:val="DefaultParagraphFont"/>
    <w:link w:val="CommentText"/>
    <w:uiPriority w:val="99"/>
    <w:semiHidden/>
    <w:rsid w:val="005C4A0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C4A04"/>
    <w:rPr>
      <w:b/>
      <w:bCs/>
    </w:rPr>
  </w:style>
  <w:style w:type="character" w:customStyle="1" w:styleId="CommentSubjectChar">
    <w:name w:val="Comment Subject Char"/>
    <w:basedOn w:val="CommentTextChar"/>
    <w:link w:val="CommentSubject"/>
    <w:uiPriority w:val="99"/>
    <w:semiHidden/>
    <w:rsid w:val="005C4A04"/>
    <w:rPr>
      <w:b/>
      <w:bCs/>
      <w:sz w:val="24"/>
      <w:szCs w:val="24"/>
      <w:lang w:val="en-US" w:eastAsia="en-US"/>
    </w:rPr>
  </w:style>
  <w:style w:type="paragraph" w:styleId="PlainText">
    <w:name w:val="Plain Text"/>
    <w:basedOn w:val="Normal"/>
    <w:link w:val="PlainTextChar"/>
    <w:rsid w:val="0082496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2496E"/>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FC14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CCC"/>
    <w:pPr>
      <w:tabs>
        <w:tab w:val="center" w:pos="4320"/>
        <w:tab w:val="right" w:pos="8640"/>
      </w:tabs>
    </w:pPr>
  </w:style>
  <w:style w:type="character" w:customStyle="1" w:styleId="HeaderChar">
    <w:name w:val="Header Char"/>
    <w:basedOn w:val="DefaultParagraphFont"/>
    <w:link w:val="Header"/>
    <w:uiPriority w:val="99"/>
    <w:locked/>
    <w:rsid w:val="00FF6CCC"/>
    <w:rPr>
      <w:rFonts w:cs="Times New Roman"/>
    </w:rPr>
  </w:style>
  <w:style w:type="paragraph" w:styleId="Footer">
    <w:name w:val="footer"/>
    <w:basedOn w:val="Normal"/>
    <w:link w:val="FooterChar"/>
    <w:uiPriority w:val="99"/>
    <w:semiHidden/>
    <w:rsid w:val="00FF6CCC"/>
    <w:pPr>
      <w:tabs>
        <w:tab w:val="center" w:pos="4320"/>
        <w:tab w:val="right" w:pos="8640"/>
      </w:tabs>
    </w:pPr>
  </w:style>
  <w:style w:type="character" w:customStyle="1" w:styleId="FooterChar">
    <w:name w:val="Footer Char"/>
    <w:basedOn w:val="DefaultParagraphFont"/>
    <w:link w:val="Footer"/>
    <w:uiPriority w:val="99"/>
    <w:semiHidden/>
    <w:locked/>
    <w:rsid w:val="00FF6CCC"/>
    <w:rPr>
      <w:rFonts w:cs="Times New Roman"/>
    </w:rPr>
  </w:style>
  <w:style w:type="character" w:styleId="PageNumber">
    <w:name w:val="page number"/>
    <w:basedOn w:val="DefaultParagraphFont"/>
    <w:uiPriority w:val="99"/>
    <w:semiHidden/>
    <w:rsid w:val="002D487F"/>
    <w:rPr>
      <w:rFonts w:cs="Times New Roman"/>
    </w:rPr>
  </w:style>
  <w:style w:type="paragraph" w:styleId="NormalWeb">
    <w:name w:val="Normal (Web)"/>
    <w:basedOn w:val="Normal"/>
    <w:uiPriority w:val="99"/>
    <w:rsid w:val="008A2CEB"/>
    <w:pPr>
      <w:spacing w:beforeLines="1" w:afterLines="1"/>
    </w:pPr>
    <w:rPr>
      <w:rFonts w:ascii="Times" w:hAnsi="Times"/>
      <w:sz w:val="20"/>
      <w:szCs w:val="20"/>
    </w:rPr>
  </w:style>
  <w:style w:type="paragraph" w:styleId="HTMLPreformatted">
    <w:name w:val="HTML Preformatted"/>
    <w:basedOn w:val="Normal"/>
    <w:link w:val="HTMLPreformattedChar"/>
    <w:uiPriority w:val="99"/>
    <w:rsid w:val="002F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2F47FB"/>
    <w:rPr>
      <w:rFonts w:ascii="Courier New" w:hAnsi="Courier New" w:cs="Courier New"/>
      <w:sz w:val="20"/>
      <w:szCs w:val="20"/>
    </w:rPr>
  </w:style>
  <w:style w:type="paragraph" w:styleId="BalloonText">
    <w:name w:val="Balloon Text"/>
    <w:basedOn w:val="Normal"/>
    <w:link w:val="BalloonTextChar"/>
    <w:uiPriority w:val="99"/>
    <w:semiHidden/>
    <w:unhideWhenUsed/>
    <w:rsid w:val="00826614"/>
    <w:rPr>
      <w:rFonts w:ascii="Tahoma" w:hAnsi="Tahoma" w:cs="Tahoma"/>
      <w:sz w:val="16"/>
      <w:szCs w:val="16"/>
    </w:rPr>
  </w:style>
  <w:style w:type="character" w:customStyle="1" w:styleId="BalloonTextChar">
    <w:name w:val="Balloon Text Char"/>
    <w:basedOn w:val="DefaultParagraphFont"/>
    <w:link w:val="BalloonText"/>
    <w:uiPriority w:val="99"/>
    <w:semiHidden/>
    <w:rsid w:val="00826614"/>
    <w:rPr>
      <w:rFonts w:ascii="Tahoma" w:hAnsi="Tahoma" w:cs="Tahoma"/>
      <w:sz w:val="16"/>
      <w:szCs w:val="16"/>
      <w:lang w:val="en-US" w:eastAsia="en-US"/>
    </w:rPr>
  </w:style>
  <w:style w:type="paragraph" w:styleId="ListParagraph">
    <w:name w:val="List Paragraph"/>
    <w:basedOn w:val="Normal"/>
    <w:uiPriority w:val="34"/>
    <w:qFormat/>
    <w:rsid w:val="0048592B"/>
    <w:pPr>
      <w:ind w:left="720"/>
      <w:contextualSpacing/>
    </w:pPr>
  </w:style>
  <w:style w:type="character" w:styleId="CommentReference">
    <w:name w:val="annotation reference"/>
    <w:basedOn w:val="DefaultParagraphFont"/>
    <w:uiPriority w:val="99"/>
    <w:semiHidden/>
    <w:unhideWhenUsed/>
    <w:rsid w:val="005C4A04"/>
    <w:rPr>
      <w:sz w:val="21"/>
      <w:szCs w:val="21"/>
    </w:rPr>
  </w:style>
  <w:style w:type="paragraph" w:styleId="CommentText">
    <w:name w:val="annotation text"/>
    <w:basedOn w:val="Normal"/>
    <w:link w:val="CommentTextChar"/>
    <w:uiPriority w:val="99"/>
    <w:semiHidden/>
    <w:unhideWhenUsed/>
    <w:rsid w:val="005C4A04"/>
  </w:style>
  <w:style w:type="character" w:customStyle="1" w:styleId="CommentTextChar">
    <w:name w:val="Comment Text Char"/>
    <w:basedOn w:val="DefaultParagraphFont"/>
    <w:link w:val="CommentText"/>
    <w:uiPriority w:val="99"/>
    <w:semiHidden/>
    <w:rsid w:val="005C4A0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C4A04"/>
    <w:rPr>
      <w:b/>
      <w:bCs/>
    </w:rPr>
  </w:style>
  <w:style w:type="character" w:customStyle="1" w:styleId="CommentSubjectChar">
    <w:name w:val="Comment Subject Char"/>
    <w:basedOn w:val="CommentTextChar"/>
    <w:link w:val="CommentSubject"/>
    <w:uiPriority w:val="99"/>
    <w:semiHidden/>
    <w:rsid w:val="005C4A04"/>
    <w:rPr>
      <w:b/>
      <w:bCs/>
      <w:sz w:val="24"/>
      <w:szCs w:val="24"/>
      <w:lang w:val="en-US" w:eastAsia="en-US"/>
    </w:rPr>
  </w:style>
  <w:style w:type="paragraph" w:styleId="PlainText">
    <w:name w:val="Plain Text"/>
    <w:basedOn w:val="Normal"/>
    <w:link w:val="PlainTextChar"/>
    <w:rsid w:val="0082496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2496E"/>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FC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211">
      <w:marLeft w:val="0"/>
      <w:marRight w:val="0"/>
      <w:marTop w:val="0"/>
      <w:marBottom w:val="0"/>
      <w:divBdr>
        <w:top w:val="none" w:sz="0" w:space="0" w:color="auto"/>
        <w:left w:val="none" w:sz="0" w:space="0" w:color="auto"/>
        <w:bottom w:val="none" w:sz="0" w:space="0" w:color="auto"/>
        <w:right w:val="none" w:sz="0" w:space="0" w:color="auto"/>
      </w:divBdr>
    </w:div>
    <w:div w:id="276374217">
      <w:marLeft w:val="0"/>
      <w:marRight w:val="0"/>
      <w:marTop w:val="0"/>
      <w:marBottom w:val="0"/>
      <w:divBdr>
        <w:top w:val="none" w:sz="0" w:space="0" w:color="auto"/>
        <w:left w:val="none" w:sz="0" w:space="0" w:color="auto"/>
        <w:bottom w:val="none" w:sz="0" w:space="0" w:color="auto"/>
        <w:right w:val="none" w:sz="0" w:space="0" w:color="auto"/>
      </w:divBdr>
    </w:div>
    <w:div w:id="276374218">
      <w:marLeft w:val="0"/>
      <w:marRight w:val="0"/>
      <w:marTop w:val="0"/>
      <w:marBottom w:val="0"/>
      <w:divBdr>
        <w:top w:val="none" w:sz="0" w:space="0" w:color="auto"/>
        <w:left w:val="none" w:sz="0" w:space="0" w:color="auto"/>
        <w:bottom w:val="none" w:sz="0" w:space="0" w:color="auto"/>
        <w:right w:val="none" w:sz="0" w:space="0" w:color="auto"/>
      </w:divBdr>
    </w:div>
    <w:div w:id="276374219">
      <w:marLeft w:val="0"/>
      <w:marRight w:val="0"/>
      <w:marTop w:val="0"/>
      <w:marBottom w:val="0"/>
      <w:divBdr>
        <w:top w:val="none" w:sz="0" w:space="0" w:color="auto"/>
        <w:left w:val="none" w:sz="0" w:space="0" w:color="auto"/>
        <w:bottom w:val="none" w:sz="0" w:space="0" w:color="auto"/>
        <w:right w:val="none" w:sz="0" w:space="0" w:color="auto"/>
      </w:divBdr>
    </w:div>
    <w:div w:id="276374220">
      <w:marLeft w:val="0"/>
      <w:marRight w:val="0"/>
      <w:marTop w:val="0"/>
      <w:marBottom w:val="0"/>
      <w:divBdr>
        <w:top w:val="none" w:sz="0" w:space="0" w:color="auto"/>
        <w:left w:val="none" w:sz="0" w:space="0" w:color="auto"/>
        <w:bottom w:val="none" w:sz="0" w:space="0" w:color="auto"/>
        <w:right w:val="none" w:sz="0" w:space="0" w:color="auto"/>
      </w:divBdr>
    </w:div>
    <w:div w:id="276374221">
      <w:marLeft w:val="0"/>
      <w:marRight w:val="0"/>
      <w:marTop w:val="0"/>
      <w:marBottom w:val="0"/>
      <w:divBdr>
        <w:top w:val="none" w:sz="0" w:space="0" w:color="auto"/>
        <w:left w:val="none" w:sz="0" w:space="0" w:color="auto"/>
        <w:bottom w:val="none" w:sz="0" w:space="0" w:color="auto"/>
        <w:right w:val="none" w:sz="0" w:space="0" w:color="auto"/>
      </w:divBdr>
    </w:div>
    <w:div w:id="276374223">
      <w:marLeft w:val="0"/>
      <w:marRight w:val="0"/>
      <w:marTop w:val="0"/>
      <w:marBottom w:val="0"/>
      <w:divBdr>
        <w:top w:val="none" w:sz="0" w:space="0" w:color="auto"/>
        <w:left w:val="none" w:sz="0" w:space="0" w:color="auto"/>
        <w:bottom w:val="none" w:sz="0" w:space="0" w:color="auto"/>
        <w:right w:val="none" w:sz="0" w:space="0" w:color="auto"/>
      </w:divBdr>
      <w:divsChild>
        <w:div w:id="276374212">
          <w:marLeft w:val="806"/>
          <w:marRight w:val="0"/>
          <w:marTop w:val="0"/>
          <w:marBottom w:val="0"/>
          <w:divBdr>
            <w:top w:val="none" w:sz="0" w:space="0" w:color="auto"/>
            <w:left w:val="none" w:sz="0" w:space="0" w:color="auto"/>
            <w:bottom w:val="none" w:sz="0" w:space="0" w:color="auto"/>
            <w:right w:val="none" w:sz="0" w:space="0" w:color="auto"/>
          </w:divBdr>
        </w:div>
        <w:div w:id="276374213">
          <w:marLeft w:val="806"/>
          <w:marRight w:val="0"/>
          <w:marTop w:val="0"/>
          <w:marBottom w:val="0"/>
          <w:divBdr>
            <w:top w:val="none" w:sz="0" w:space="0" w:color="auto"/>
            <w:left w:val="none" w:sz="0" w:space="0" w:color="auto"/>
            <w:bottom w:val="none" w:sz="0" w:space="0" w:color="auto"/>
            <w:right w:val="none" w:sz="0" w:space="0" w:color="auto"/>
          </w:divBdr>
        </w:div>
        <w:div w:id="276374215">
          <w:marLeft w:val="806"/>
          <w:marRight w:val="0"/>
          <w:marTop w:val="0"/>
          <w:marBottom w:val="0"/>
          <w:divBdr>
            <w:top w:val="none" w:sz="0" w:space="0" w:color="auto"/>
            <w:left w:val="none" w:sz="0" w:space="0" w:color="auto"/>
            <w:bottom w:val="none" w:sz="0" w:space="0" w:color="auto"/>
            <w:right w:val="none" w:sz="0" w:space="0" w:color="auto"/>
          </w:divBdr>
        </w:div>
        <w:div w:id="276374226">
          <w:marLeft w:val="806"/>
          <w:marRight w:val="0"/>
          <w:marTop w:val="0"/>
          <w:marBottom w:val="0"/>
          <w:divBdr>
            <w:top w:val="none" w:sz="0" w:space="0" w:color="auto"/>
            <w:left w:val="none" w:sz="0" w:space="0" w:color="auto"/>
            <w:bottom w:val="none" w:sz="0" w:space="0" w:color="auto"/>
            <w:right w:val="none" w:sz="0" w:space="0" w:color="auto"/>
          </w:divBdr>
        </w:div>
        <w:div w:id="276374228">
          <w:marLeft w:val="806"/>
          <w:marRight w:val="0"/>
          <w:marTop w:val="0"/>
          <w:marBottom w:val="0"/>
          <w:divBdr>
            <w:top w:val="none" w:sz="0" w:space="0" w:color="auto"/>
            <w:left w:val="none" w:sz="0" w:space="0" w:color="auto"/>
            <w:bottom w:val="none" w:sz="0" w:space="0" w:color="auto"/>
            <w:right w:val="none" w:sz="0" w:space="0" w:color="auto"/>
          </w:divBdr>
        </w:div>
        <w:div w:id="276374232">
          <w:marLeft w:val="806"/>
          <w:marRight w:val="0"/>
          <w:marTop w:val="0"/>
          <w:marBottom w:val="0"/>
          <w:divBdr>
            <w:top w:val="none" w:sz="0" w:space="0" w:color="auto"/>
            <w:left w:val="none" w:sz="0" w:space="0" w:color="auto"/>
            <w:bottom w:val="none" w:sz="0" w:space="0" w:color="auto"/>
            <w:right w:val="none" w:sz="0" w:space="0" w:color="auto"/>
          </w:divBdr>
        </w:div>
        <w:div w:id="276374235">
          <w:marLeft w:val="806"/>
          <w:marRight w:val="0"/>
          <w:marTop w:val="0"/>
          <w:marBottom w:val="0"/>
          <w:divBdr>
            <w:top w:val="none" w:sz="0" w:space="0" w:color="auto"/>
            <w:left w:val="none" w:sz="0" w:space="0" w:color="auto"/>
            <w:bottom w:val="none" w:sz="0" w:space="0" w:color="auto"/>
            <w:right w:val="none" w:sz="0" w:space="0" w:color="auto"/>
          </w:divBdr>
        </w:div>
        <w:div w:id="276374236">
          <w:marLeft w:val="806"/>
          <w:marRight w:val="0"/>
          <w:marTop w:val="0"/>
          <w:marBottom w:val="0"/>
          <w:divBdr>
            <w:top w:val="none" w:sz="0" w:space="0" w:color="auto"/>
            <w:left w:val="none" w:sz="0" w:space="0" w:color="auto"/>
            <w:bottom w:val="none" w:sz="0" w:space="0" w:color="auto"/>
            <w:right w:val="none" w:sz="0" w:space="0" w:color="auto"/>
          </w:divBdr>
        </w:div>
      </w:divsChild>
    </w:div>
    <w:div w:id="276374229">
      <w:marLeft w:val="0"/>
      <w:marRight w:val="0"/>
      <w:marTop w:val="0"/>
      <w:marBottom w:val="0"/>
      <w:divBdr>
        <w:top w:val="none" w:sz="0" w:space="0" w:color="auto"/>
        <w:left w:val="none" w:sz="0" w:space="0" w:color="auto"/>
        <w:bottom w:val="none" w:sz="0" w:space="0" w:color="auto"/>
        <w:right w:val="none" w:sz="0" w:space="0" w:color="auto"/>
      </w:divBdr>
    </w:div>
    <w:div w:id="276374230">
      <w:marLeft w:val="0"/>
      <w:marRight w:val="0"/>
      <w:marTop w:val="0"/>
      <w:marBottom w:val="0"/>
      <w:divBdr>
        <w:top w:val="none" w:sz="0" w:space="0" w:color="auto"/>
        <w:left w:val="none" w:sz="0" w:space="0" w:color="auto"/>
        <w:bottom w:val="none" w:sz="0" w:space="0" w:color="auto"/>
        <w:right w:val="none" w:sz="0" w:space="0" w:color="auto"/>
      </w:divBdr>
      <w:divsChild>
        <w:div w:id="276374231">
          <w:marLeft w:val="0"/>
          <w:marRight w:val="0"/>
          <w:marTop w:val="0"/>
          <w:marBottom w:val="0"/>
          <w:divBdr>
            <w:top w:val="none" w:sz="0" w:space="0" w:color="auto"/>
            <w:left w:val="none" w:sz="0" w:space="0" w:color="auto"/>
            <w:bottom w:val="none" w:sz="0" w:space="0" w:color="auto"/>
            <w:right w:val="none" w:sz="0" w:space="0" w:color="auto"/>
          </w:divBdr>
          <w:divsChild>
            <w:div w:id="276374216">
              <w:marLeft w:val="0"/>
              <w:marRight w:val="0"/>
              <w:marTop w:val="0"/>
              <w:marBottom w:val="0"/>
              <w:divBdr>
                <w:top w:val="none" w:sz="0" w:space="0" w:color="auto"/>
                <w:left w:val="none" w:sz="0" w:space="0" w:color="auto"/>
                <w:bottom w:val="none" w:sz="0" w:space="0" w:color="auto"/>
                <w:right w:val="none" w:sz="0" w:space="0" w:color="auto"/>
              </w:divBdr>
              <w:divsChild>
                <w:div w:id="276374224">
                  <w:marLeft w:val="0"/>
                  <w:marRight w:val="0"/>
                  <w:marTop w:val="0"/>
                  <w:marBottom w:val="0"/>
                  <w:divBdr>
                    <w:top w:val="none" w:sz="0" w:space="0" w:color="auto"/>
                    <w:left w:val="none" w:sz="0" w:space="0" w:color="auto"/>
                    <w:bottom w:val="none" w:sz="0" w:space="0" w:color="auto"/>
                    <w:right w:val="none" w:sz="0" w:space="0" w:color="auto"/>
                  </w:divBdr>
                </w:div>
              </w:divsChild>
            </w:div>
            <w:div w:id="276374225">
              <w:marLeft w:val="0"/>
              <w:marRight w:val="0"/>
              <w:marTop w:val="0"/>
              <w:marBottom w:val="0"/>
              <w:divBdr>
                <w:top w:val="none" w:sz="0" w:space="0" w:color="auto"/>
                <w:left w:val="none" w:sz="0" w:space="0" w:color="auto"/>
                <w:bottom w:val="none" w:sz="0" w:space="0" w:color="auto"/>
                <w:right w:val="none" w:sz="0" w:space="0" w:color="auto"/>
              </w:divBdr>
              <w:divsChild>
                <w:div w:id="276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4233">
      <w:marLeft w:val="0"/>
      <w:marRight w:val="0"/>
      <w:marTop w:val="0"/>
      <w:marBottom w:val="0"/>
      <w:divBdr>
        <w:top w:val="none" w:sz="0" w:space="0" w:color="auto"/>
        <w:left w:val="none" w:sz="0" w:space="0" w:color="auto"/>
        <w:bottom w:val="none" w:sz="0" w:space="0" w:color="auto"/>
        <w:right w:val="none" w:sz="0" w:space="0" w:color="auto"/>
      </w:divBdr>
    </w:div>
    <w:div w:id="276374234">
      <w:marLeft w:val="0"/>
      <w:marRight w:val="0"/>
      <w:marTop w:val="0"/>
      <w:marBottom w:val="0"/>
      <w:divBdr>
        <w:top w:val="none" w:sz="0" w:space="0" w:color="auto"/>
        <w:left w:val="none" w:sz="0" w:space="0" w:color="auto"/>
        <w:bottom w:val="none" w:sz="0" w:space="0" w:color="auto"/>
        <w:right w:val="none" w:sz="0" w:space="0" w:color="auto"/>
      </w:divBdr>
      <w:divsChild>
        <w:div w:id="276374227">
          <w:marLeft w:val="0"/>
          <w:marRight w:val="0"/>
          <w:marTop w:val="0"/>
          <w:marBottom w:val="0"/>
          <w:divBdr>
            <w:top w:val="none" w:sz="0" w:space="0" w:color="auto"/>
            <w:left w:val="none" w:sz="0" w:space="0" w:color="auto"/>
            <w:bottom w:val="none" w:sz="0" w:space="0" w:color="auto"/>
            <w:right w:val="none" w:sz="0" w:space="0" w:color="auto"/>
          </w:divBdr>
          <w:divsChild>
            <w:div w:id="276374237">
              <w:marLeft w:val="0"/>
              <w:marRight w:val="0"/>
              <w:marTop w:val="0"/>
              <w:marBottom w:val="0"/>
              <w:divBdr>
                <w:top w:val="none" w:sz="0" w:space="0" w:color="auto"/>
                <w:left w:val="none" w:sz="0" w:space="0" w:color="auto"/>
                <w:bottom w:val="none" w:sz="0" w:space="0" w:color="auto"/>
                <w:right w:val="none" w:sz="0" w:space="0" w:color="auto"/>
              </w:divBdr>
              <w:divsChild>
                <w:div w:id="276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4238">
      <w:marLeft w:val="0"/>
      <w:marRight w:val="0"/>
      <w:marTop w:val="0"/>
      <w:marBottom w:val="0"/>
      <w:divBdr>
        <w:top w:val="none" w:sz="0" w:space="0" w:color="auto"/>
        <w:left w:val="none" w:sz="0" w:space="0" w:color="auto"/>
        <w:bottom w:val="none" w:sz="0" w:space="0" w:color="auto"/>
        <w:right w:val="none" w:sz="0" w:space="0" w:color="auto"/>
      </w:divBdr>
    </w:div>
    <w:div w:id="302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1495615">
          <w:marLeft w:val="0"/>
          <w:marRight w:val="0"/>
          <w:marTop w:val="0"/>
          <w:marBottom w:val="0"/>
          <w:divBdr>
            <w:top w:val="none" w:sz="0" w:space="0" w:color="auto"/>
            <w:left w:val="none" w:sz="0" w:space="0" w:color="auto"/>
            <w:bottom w:val="none" w:sz="0" w:space="0" w:color="auto"/>
            <w:right w:val="none" w:sz="0" w:space="0" w:color="auto"/>
          </w:divBdr>
        </w:div>
        <w:div w:id="1196773384">
          <w:marLeft w:val="0"/>
          <w:marRight w:val="0"/>
          <w:marTop w:val="0"/>
          <w:marBottom w:val="0"/>
          <w:divBdr>
            <w:top w:val="none" w:sz="0" w:space="0" w:color="auto"/>
            <w:left w:val="none" w:sz="0" w:space="0" w:color="auto"/>
            <w:bottom w:val="none" w:sz="0" w:space="0" w:color="auto"/>
            <w:right w:val="none" w:sz="0" w:space="0" w:color="auto"/>
          </w:divBdr>
        </w:div>
        <w:div w:id="1601910288">
          <w:marLeft w:val="0"/>
          <w:marRight w:val="0"/>
          <w:marTop w:val="0"/>
          <w:marBottom w:val="0"/>
          <w:divBdr>
            <w:top w:val="none" w:sz="0" w:space="0" w:color="auto"/>
            <w:left w:val="none" w:sz="0" w:space="0" w:color="auto"/>
            <w:bottom w:val="none" w:sz="0" w:space="0" w:color="auto"/>
            <w:right w:val="none" w:sz="0" w:space="0" w:color="auto"/>
          </w:divBdr>
        </w:div>
        <w:div w:id="270211145">
          <w:marLeft w:val="0"/>
          <w:marRight w:val="0"/>
          <w:marTop w:val="0"/>
          <w:marBottom w:val="0"/>
          <w:divBdr>
            <w:top w:val="none" w:sz="0" w:space="0" w:color="auto"/>
            <w:left w:val="none" w:sz="0" w:space="0" w:color="auto"/>
            <w:bottom w:val="none" w:sz="0" w:space="0" w:color="auto"/>
            <w:right w:val="none" w:sz="0" w:space="0" w:color="auto"/>
          </w:divBdr>
        </w:div>
        <w:div w:id="920798675">
          <w:marLeft w:val="0"/>
          <w:marRight w:val="0"/>
          <w:marTop w:val="0"/>
          <w:marBottom w:val="0"/>
          <w:divBdr>
            <w:top w:val="none" w:sz="0" w:space="0" w:color="auto"/>
            <w:left w:val="none" w:sz="0" w:space="0" w:color="auto"/>
            <w:bottom w:val="none" w:sz="0" w:space="0" w:color="auto"/>
            <w:right w:val="none" w:sz="0" w:space="0" w:color="auto"/>
          </w:divBdr>
        </w:div>
        <w:div w:id="1282766802">
          <w:marLeft w:val="0"/>
          <w:marRight w:val="0"/>
          <w:marTop w:val="0"/>
          <w:marBottom w:val="0"/>
          <w:divBdr>
            <w:top w:val="none" w:sz="0" w:space="0" w:color="auto"/>
            <w:left w:val="none" w:sz="0" w:space="0" w:color="auto"/>
            <w:bottom w:val="none" w:sz="0" w:space="0" w:color="auto"/>
            <w:right w:val="none" w:sz="0" w:space="0" w:color="auto"/>
          </w:divBdr>
        </w:div>
        <w:div w:id="1545605438">
          <w:marLeft w:val="0"/>
          <w:marRight w:val="0"/>
          <w:marTop w:val="0"/>
          <w:marBottom w:val="0"/>
          <w:divBdr>
            <w:top w:val="none" w:sz="0" w:space="0" w:color="auto"/>
            <w:left w:val="none" w:sz="0" w:space="0" w:color="auto"/>
            <w:bottom w:val="none" w:sz="0" w:space="0" w:color="auto"/>
            <w:right w:val="none" w:sz="0" w:space="0" w:color="auto"/>
          </w:divBdr>
        </w:div>
        <w:div w:id="157692680">
          <w:marLeft w:val="0"/>
          <w:marRight w:val="0"/>
          <w:marTop w:val="0"/>
          <w:marBottom w:val="0"/>
          <w:divBdr>
            <w:top w:val="none" w:sz="0" w:space="0" w:color="auto"/>
            <w:left w:val="none" w:sz="0" w:space="0" w:color="auto"/>
            <w:bottom w:val="none" w:sz="0" w:space="0" w:color="auto"/>
            <w:right w:val="none" w:sz="0" w:space="0" w:color="auto"/>
          </w:divBdr>
        </w:div>
        <w:div w:id="1202859462">
          <w:marLeft w:val="0"/>
          <w:marRight w:val="0"/>
          <w:marTop w:val="0"/>
          <w:marBottom w:val="0"/>
          <w:divBdr>
            <w:top w:val="none" w:sz="0" w:space="0" w:color="auto"/>
            <w:left w:val="none" w:sz="0" w:space="0" w:color="auto"/>
            <w:bottom w:val="none" w:sz="0" w:space="0" w:color="auto"/>
            <w:right w:val="none" w:sz="0" w:space="0" w:color="auto"/>
          </w:divBdr>
        </w:div>
        <w:div w:id="552349654">
          <w:marLeft w:val="0"/>
          <w:marRight w:val="0"/>
          <w:marTop w:val="0"/>
          <w:marBottom w:val="0"/>
          <w:divBdr>
            <w:top w:val="none" w:sz="0" w:space="0" w:color="auto"/>
            <w:left w:val="none" w:sz="0" w:space="0" w:color="auto"/>
            <w:bottom w:val="none" w:sz="0" w:space="0" w:color="auto"/>
            <w:right w:val="none" w:sz="0" w:space="0" w:color="auto"/>
          </w:divBdr>
        </w:div>
        <w:div w:id="1222056972">
          <w:marLeft w:val="0"/>
          <w:marRight w:val="0"/>
          <w:marTop w:val="0"/>
          <w:marBottom w:val="0"/>
          <w:divBdr>
            <w:top w:val="none" w:sz="0" w:space="0" w:color="auto"/>
            <w:left w:val="none" w:sz="0" w:space="0" w:color="auto"/>
            <w:bottom w:val="none" w:sz="0" w:space="0" w:color="auto"/>
            <w:right w:val="none" w:sz="0" w:space="0" w:color="auto"/>
          </w:divBdr>
        </w:div>
        <w:div w:id="391856530">
          <w:marLeft w:val="0"/>
          <w:marRight w:val="0"/>
          <w:marTop w:val="0"/>
          <w:marBottom w:val="0"/>
          <w:divBdr>
            <w:top w:val="none" w:sz="0" w:space="0" w:color="auto"/>
            <w:left w:val="none" w:sz="0" w:space="0" w:color="auto"/>
            <w:bottom w:val="none" w:sz="0" w:space="0" w:color="auto"/>
            <w:right w:val="none" w:sz="0" w:space="0" w:color="auto"/>
          </w:divBdr>
        </w:div>
        <w:div w:id="203564517">
          <w:marLeft w:val="0"/>
          <w:marRight w:val="0"/>
          <w:marTop w:val="0"/>
          <w:marBottom w:val="0"/>
          <w:divBdr>
            <w:top w:val="none" w:sz="0" w:space="0" w:color="auto"/>
            <w:left w:val="none" w:sz="0" w:space="0" w:color="auto"/>
            <w:bottom w:val="none" w:sz="0" w:space="0" w:color="auto"/>
            <w:right w:val="none" w:sz="0" w:space="0" w:color="auto"/>
          </w:divBdr>
        </w:div>
        <w:div w:id="1308435716">
          <w:marLeft w:val="0"/>
          <w:marRight w:val="0"/>
          <w:marTop w:val="0"/>
          <w:marBottom w:val="0"/>
          <w:divBdr>
            <w:top w:val="none" w:sz="0" w:space="0" w:color="auto"/>
            <w:left w:val="none" w:sz="0" w:space="0" w:color="auto"/>
            <w:bottom w:val="none" w:sz="0" w:space="0" w:color="auto"/>
            <w:right w:val="none" w:sz="0" w:space="0" w:color="auto"/>
          </w:divBdr>
        </w:div>
      </w:divsChild>
    </w:div>
    <w:div w:id="601769447">
      <w:bodyDiv w:val="1"/>
      <w:marLeft w:val="0"/>
      <w:marRight w:val="0"/>
      <w:marTop w:val="0"/>
      <w:marBottom w:val="0"/>
      <w:divBdr>
        <w:top w:val="none" w:sz="0" w:space="0" w:color="auto"/>
        <w:left w:val="none" w:sz="0" w:space="0" w:color="auto"/>
        <w:bottom w:val="none" w:sz="0" w:space="0" w:color="auto"/>
        <w:right w:val="none" w:sz="0" w:space="0" w:color="auto"/>
      </w:divBdr>
      <w:divsChild>
        <w:div w:id="924652906">
          <w:marLeft w:val="0"/>
          <w:marRight w:val="1"/>
          <w:marTop w:val="0"/>
          <w:marBottom w:val="0"/>
          <w:divBdr>
            <w:top w:val="none" w:sz="0" w:space="0" w:color="auto"/>
            <w:left w:val="none" w:sz="0" w:space="0" w:color="auto"/>
            <w:bottom w:val="none" w:sz="0" w:space="0" w:color="auto"/>
            <w:right w:val="none" w:sz="0" w:space="0" w:color="auto"/>
          </w:divBdr>
          <w:divsChild>
            <w:div w:id="419986015">
              <w:marLeft w:val="0"/>
              <w:marRight w:val="0"/>
              <w:marTop w:val="0"/>
              <w:marBottom w:val="0"/>
              <w:divBdr>
                <w:top w:val="none" w:sz="0" w:space="0" w:color="auto"/>
                <w:left w:val="none" w:sz="0" w:space="0" w:color="auto"/>
                <w:bottom w:val="none" w:sz="0" w:space="0" w:color="auto"/>
                <w:right w:val="none" w:sz="0" w:space="0" w:color="auto"/>
              </w:divBdr>
              <w:divsChild>
                <w:div w:id="1011567128">
                  <w:marLeft w:val="0"/>
                  <w:marRight w:val="1"/>
                  <w:marTop w:val="0"/>
                  <w:marBottom w:val="0"/>
                  <w:divBdr>
                    <w:top w:val="none" w:sz="0" w:space="0" w:color="auto"/>
                    <w:left w:val="none" w:sz="0" w:space="0" w:color="auto"/>
                    <w:bottom w:val="none" w:sz="0" w:space="0" w:color="auto"/>
                    <w:right w:val="none" w:sz="0" w:space="0" w:color="auto"/>
                  </w:divBdr>
                  <w:divsChild>
                    <w:div w:id="615452037">
                      <w:marLeft w:val="0"/>
                      <w:marRight w:val="0"/>
                      <w:marTop w:val="0"/>
                      <w:marBottom w:val="0"/>
                      <w:divBdr>
                        <w:top w:val="none" w:sz="0" w:space="0" w:color="auto"/>
                        <w:left w:val="none" w:sz="0" w:space="0" w:color="auto"/>
                        <w:bottom w:val="none" w:sz="0" w:space="0" w:color="auto"/>
                        <w:right w:val="none" w:sz="0" w:space="0" w:color="auto"/>
                      </w:divBdr>
                      <w:divsChild>
                        <w:div w:id="1429886119">
                          <w:marLeft w:val="0"/>
                          <w:marRight w:val="0"/>
                          <w:marTop w:val="0"/>
                          <w:marBottom w:val="0"/>
                          <w:divBdr>
                            <w:top w:val="none" w:sz="0" w:space="0" w:color="auto"/>
                            <w:left w:val="none" w:sz="0" w:space="0" w:color="auto"/>
                            <w:bottom w:val="none" w:sz="0" w:space="0" w:color="auto"/>
                            <w:right w:val="none" w:sz="0" w:space="0" w:color="auto"/>
                          </w:divBdr>
                          <w:divsChild>
                            <w:div w:id="675763151">
                              <w:marLeft w:val="0"/>
                              <w:marRight w:val="0"/>
                              <w:marTop w:val="120"/>
                              <w:marBottom w:val="360"/>
                              <w:divBdr>
                                <w:top w:val="none" w:sz="0" w:space="0" w:color="auto"/>
                                <w:left w:val="none" w:sz="0" w:space="0" w:color="auto"/>
                                <w:bottom w:val="none" w:sz="0" w:space="0" w:color="auto"/>
                                <w:right w:val="none" w:sz="0" w:space="0" w:color="auto"/>
                              </w:divBdr>
                              <w:divsChild>
                                <w:div w:id="410082798">
                                  <w:marLeft w:val="420"/>
                                  <w:marRight w:val="0"/>
                                  <w:marTop w:val="0"/>
                                  <w:marBottom w:val="0"/>
                                  <w:divBdr>
                                    <w:top w:val="none" w:sz="0" w:space="0" w:color="auto"/>
                                    <w:left w:val="none" w:sz="0" w:space="0" w:color="auto"/>
                                    <w:bottom w:val="none" w:sz="0" w:space="0" w:color="auto"/>
                                    <w:right w:val="none" w:sz="0" w:space="0" w:color="auto"/>
                                  </w:divBdr>
                                  <w:divsChild>
                                    <w:div w:id="689838302">
                                      <w:marLeft w:val="0"/>
                                      <w:marRight w:val="0"/>
                                      <w:marTop w:val="0"/>
                                      <w:marBottom w:val="0"/>
                                      <w:divBdr>
                                        <w:top w:val="none" w:sz="0" w:space="0" w:color="auto"/>
                                        <w:left w:val="none" w:sz="0" w:space="0" w:color="auto"/>
                                        <w:bottom w:val="none" w:sz="0" w:space="0" w:color="auto"/>
                                        <w:right w:val="none" w:sz="0" w:space="0" w:color="auto"/>
                                      </w:divBdr>
                                      <w:divsChild>
                                        <w:div w:id="204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8691">
      <w:bodyDiv w:val="1"/>
      <w:marLeft w:val="0"/>
      <w:marRight w:val="0"/>
      <w:marTop w:val="0"/>
      <w:marBottom w:val="0"/>
      <w:divBdr>
        <w:top w:val="none" w:sz="0" w:space="0" w:color="auto"/>
        <w:left w:val="none" w:sz="0" w:space="0" w:color="auto"/>
        <w:bottom w:val="none" w:sz="0" w:space="0" w:color="auto"/>
        <w:right w:val="none" w:sz="0" w:space="0" w:color="auto"/>
      </w:divBdr>
      <w:divsChild>
        <w:div w:id="511653604">
          <w:marLeft w:val="0"/>
          <w:marRight w:val="1"/>
          <w:marTop w:val="0"/>
          <w:marBottom w:val="0"/>
          <w:divBdr>
            <w:top w:val="none" w:sz="0" w:space="0" w:color="auto"/>
            <w:left w:val="none" w:sz="0" w:space="0" w:color="auto"/>
            <w:bottom w:val="none" w:sz="0" w:space="0" w:color="auto"/>
            <w:right w:val="none" w:sz="0" w:space="0" w:color="auto"/>
          </w:divBdr>
          <w:divsChild>
            <w:div w:id="1838686414">
              <w:marLeft w:val="0"/>
              <w:marRight w:val="0"/>
              <w:marTop w:val="0"/>
              <w:marBottom w:val="0"/>
              <w:divBdr>
                <w:top w:val="none" w:sz="0" w:space="0" w:color="auto"/>
                <w:left w:val="none" w:sz="0" w:space="0" w:color="auto"/>
                <w:bottom w:val="none" w:sz="0" w:space="0" w:color="auto"/>
                <w:right w:val="none" w:sz="0" w:space="0" w:color="auto"/>
              </w:divBdr>
              <w:divsChild>
                <w:div w:id="571548063">
                  <w:marLeft w:val="0"/>
                  <w:marRight w:val="1"/>
                  <w:marTop w:val="0"/>
                  <w:marBottom w:val="0"/>
                  <w:divBdr>
                    <w:top w:val="none" w:sz="0" w:space="0" w:color="auto"/>
                    <w:left w:val="none" w:sz="0" w:space="0" w:color="auto"/>
                    <w:bottom w:val="none" w:sz="0" w:space="0" w:color="auto"/>
                    <w:right w:val="none" w:sz="0" w:space="0" w:color="auto"/>
                  </w:divBdr>
                  <w:divsChild>
                    <w:div w:id="1632638835">
                      <w:marLeft w:val="0"/>
                      <w:marRight w:val="0"/>
                      <w:marTop w:val="0"/>
                      <w:marBottom w:val="0"/>
                      <w:divBdr>
                        <w:top w:val="none" w:sz="0" w:space="0" w:color="auto"/>
                        <w:left w:val="none" w:sz="0" w:space="0" w:color="auto"/>
                        <w:bottom w:val="none" w:sz="0" w:space="0" w:color="auto"/>
                        <w:right w:val="none" w:sz="0" w:space="0" w:color="auto"/>
                      </w:divBdr>
                      <w:divsChild>
                        <w:div w:id="611669024">
                          <w:marLeft w:val="0"/>
                          <w:marRight w:val="0"/>
                          <w:marTop w:val="0"/>
                          <w:marBottom w:val="0"/>
                          <w:divBdr>
                            <w:top w:val="none" w:sz="0" w:space="0" w:color="auto"/>
                            <w:left w:val="none" w:sz="0" w:space="0" w:color="auto"/>
                            <w:bottom w:val="none" w:sz="0" w:space="0" w:color="auto"/>
                            <w:right w:val="none" w:sz="0" w:space="0" w:color="auto"/>
                          </w:divBdr>
                          <w:divsChild>
                            <w:div w:id="1339579089">
                              <w:marLeft w:val="0"/>
                              <w:marRight w:val="0"/>
                              <w:marTop w:val="120"/>
                              <w:marBottom w:val="360"/>
                              <w:divBdr>
                                <w:top w:val="none" w:sz="0" w:space="0" w:color="auto"/>
                                <w:left w:val="none" w:sz="0" w:space="0" w:color="auto"/>
                                <w:bottom w:val="none" w:sz="0" w:space="0" w:color="auto"/>
                                <w:right w:val="none" w:sz="0" w:space="0" w:color="auto"/>
                              </w:divBdr>
                              <w:divsChild>
                                <w:div w:id="403840511">
                                  <w:marLeft w:val="420"/>
                                  <w:marRight w:val="0"/>
                                  <w:marTop w:val="0"/>
                                  <w:marBottom w:val="0"/>
                                  <w:divBdr>
                                    <w:top w:val="none" w:sz="0" w:space="0" w:color="auto"/>
                                    <w:left w:val="none" w:sz="0" w:space="0" w:color="auto"/>
                                    <w:bottom w:val="none" w:sz="0" w:space="0" w:color="auto"/>
                                    <w:right w:val="none" w:sz="0" w:space="0" w:color="auto"/>
                                  </w:divBdr>
                                  <w:divsChild>
                                    <w:div w:id="1915044192">
                                      <w:marLeft w:val="0"/>
                                      <w:marRight w:val="0"/>
                                      <w:marTop w:val="0"/>
                                      <w:marBottom w:val="0"/>
                                      <w:divBdr>
                                        <w:top w:val="none" w:sz="0" w:space="0" w:color="auto"/>
                                        <w:left w:val="none" w:sz="0" w:space="0" w:color="auto"/>
                                        <w:bottom w:val="none" w:sz="0" w:space="0" w:color="auto"/>
                                        <w:right w:val="none" w:sz="0" w:space="0" w:color="auto"/>
                                      </w:divBdr>
                                      <w:divsChild>
                                        <w:div w:id="4074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79279">
      <w:bodyDiv w:val="1"/>
      <w:marLeft w:val="0"/>
      <w:marRight w:val="0"/>
      <w:marTop w:val="0"/>
      <w:marBottom w:val="0"/>
      <w:divBdr>
        <w:top w:val="none" w:sz="0" w:space="0" w:color="auto"/>
        <w:left w:val="none" w:sz="0" w:space="0" w:color="auto"/>
        <w:bottom w:val="none" w:sz="0" w:space="0" w:color="auto"/>
        <w:right w:val="none" w:sz="0" w:space="0" w:color="auto"/>
      </w:divBdr>
      <w:divsChild>
        <w:div w:id="1327707623">
          <w:marLeft w:val="0"/>
          <w:marRight w:val="1"/>
          <w:marTop w:val="0"/>
          <w:marBottom w:val="0"/>
          <w:divBdr>
            <w:top w:val="none" w:sz="0" w:space="0" w:color="auto"/>
            <w:left w:val="none" w:sz="0" w:space="0" w:color="auto"/>
            <w:bottom w:val="none" w:sz="0" w:space="0" w:color="auto"/>
            <w:right w:val="none" w:sz="0" w:space="0" w:color="auto"/>
          </w:divBdr>
          <w:divsChild>
            <w:div w:id="820541087">
              <w:marLeft w:val="0"/>
              <w:marRight w:val="0"/>
              <w:marTop w:val="0"/>
              <w:marBottom w:val="0"/>
              <w:divBdr>
                <w:top w:val="none" w:sz="0" w:space="0" w:color="auto"/>
                <w:left w:val="none" w:sz="0" w:space="0" w:color="auto"/>
                <w:bottom w:val="none" w:sz="0" w:space="0" w:color="auto"/>
                <w:right w:val="none" w:sz="0" w:space="0" w:color="auto"/>
              </w:divBdr>
              <w:divsChild>
                <w:div w:id="575556051">
                  <w:marLeft w:val="0"/>
                  <w:marRight w:val="1"/>
                  <w:marTop w:val="0"/>
                  <w:marBottom w:val="0"/>
                  <w:divBdr>
                    <w:top w:val="none" w:sz="0" w:space="0" w:color="auto"/>
                    <w:left w:val="none" w:sz="0" w:space="0" w:color="auto"/>
                    <w:bottom w:val="none" w:sz="0" w:space="0" w:color="auto"/>
                    <w:right w:val="none" w:sz="0" w:space="0" w:color="auto"/>
                  </w:divBdr>
                  <w:divsChild>
                    <w:div w:id="859784021">
                      <w:marLeft w:val="0"/>
                      <w:marRight w:val="0"/>
                      <w:marTop w:val="0"/>
                      <w:marBottom w:val="0"/>
                      <w:divBdr>
                        <w:top w:val="none" w:sz="0" w:space="0" w:color="auto"/>
                        <w:left w:val="none" w:sz="0" w:space="0" w:color="auto"/>
                        <w:bottom w:val="none" w:sz="0" w:space="0" w:color="auto"/>
                        <w:right w:val="none" w:sz="0" w:space="0" w:color="auto"/>
                      </w:divBdr>
                      <w:divsChild>
                        <w:div w:id="1803302513">
                          <w:marLeft w:val="0"/>
                          <w:marRight w:val="0"/>
                          <w:marTop w:val="0"/>
                          <w:marBottom w:val="0"/>
                          <w:divBdr>
                            <w:top w:val="none" w:sz="0" w:space="0" w:color="auto"/>
                            <w:left w:val="none" w:sz="0" w:space="0" w:color="auto"/>
                            <w:bottom w:val="none" w:sz="0" w:space="0" w:color="auto"/>
                            <w:right w:val="none" w:sz="0" w:space="0" w:color="auto"/>
                          </w:divBdr>
                          <w:divsChild>
                            <w:div w:id="213006509">
                              <w:marLeft w:val="0"/>
                              <w:marRight w:val="0"/>
                              <w:marTop w:val="120"/>
                              <w:marBottom w:val="360"/>
                              <w:divBdr>
                                <w:top w:val="none" w:sz="0" w:space="0" w:color="auto"/>
                                <w:left w:val="none" w:sz="0" w:space="0" w:color="auto"/>
                                <w:bottom w:val="none" w:sz="0" w:space="0" w:color="auto"/>
                                <w:right w:val="none" w:sz="0" w:space="0" w:color="auto"/>
                              </w:divBdr>
                              <w:divsChild>
                                <w:div w:id="1254319562">
                                  <w:marLeft w:val="420"/>
                                  <w:marRight w:val="0"/>
                                  <w:marTop w:val="0"/>
                                  <w:marBottom w:val="0"/>
                                  <w:divBdr>
                                    <w:top w:val="none" w:sz="0" w:space="0" w:color="auto"/>
                                    <w:left w:val="none" w:sz="0" w:space="0" w:color="auto"/>
                                    <w:bottom w:val="none" w:sz="0" w:space="0" w:color="auto"/>
                                    <w:right w:val="none" w:sz="0" w:space="0" w:color="auto"/>
                                  </w:divBdr>
                                  <w:divsChild>
                                    <w:div w:id="417795201">
                                      <w:marLeft w:val="0"/>
                                      <w:marRight w:val="0"/>
                                      <w:marTop w:val="0"/>
                                      <w:marBottom w:val="0"/>
                                      <w:divBdr>
                                        <w:top w:val="none" w:sz="0" w:space="0" w:color="auto"/>
                                        <w:left w:val="none" w:sz="0" w:space="0" w:color="auto"/>
                                        <w:bottom w:val="none" w:sz="0" w:space="0" w:color="auto"/>
                                        <w:right w:val="none" w:sz="0" w:space="0" w:color="auto"/>
                                      </w:divBdr>
                                      <w:divsChild>
                                        <w:div w:id="19080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5956">
      <w:bodyDiv w:val="1"/>
      <w:marLeft w:val="0"/>
      <w:marRight w:val="0"/>
      <w:marTop w:val="0"/>
      <w:marBottom w:val="0"/>
      <w:divBdr>
        <w:top w:val="none" w:sz="0" w:space="0" w:color="auto"/>
        <w:left w:val="none" w:sz="0" w:space="0" w:color="auto"/>
        <w:bottom w:val="none" w:sz="0" w:space="0" w:color="auto"/>
        <w:right w:val="none" w:sz="0" w:space="0" w:color="auto"/>
      </w:divBdr>
      <w:divsChild>
        <w:div w:id="1721663377">
          <w:marLeft w:val="0"/>
          <w:marRight w:val="1"/>
          <w:marTop w:val="0"/>
          <w:marBottom w:val="0"/>
          <w:divBdr>
            <w:top w:val="none" w:sz="0" w:space="0" w:color="auto"/>
            <w:left w:val="none" w:sz="0" w:space="0" w:color="auto"/>
            <w:bottom w:val="none" w:sz="0" w:space="0" w:color="auto"/>
            <w:right w:val="none" w:sz="0" w:space="0" w:color="auto"/>
          </w:divBdr>
          <w:divsChild>
            <w:div w:id="1276911551">
              <w:marLeft w:val="0"/>
              <w:marRight w:val="0"/>
              <w:marTop w:val="0"/>
              <w:marBottom w:val="0"/>
              <w:divBdr>
                <w:top w:val="none" w:sz="0" w:space="0" w:color="auto"/>
                <w:left w:val="none" w:sz="0" w:space="0" w:color="auto"/>
                <w:bottom w:val="none" w:sz="0" w:space="0" w:color="auto"/>
                <w:right w:val="none" w:sz="0" w:space="0" w:color="auto"/>
              </w:divBdr>
              <w:divsChild>
                <w:div w:id="273681607">
                  <w:marLeft w:val="0"/>
                  <w:marRight w:val="1"/>
                  <w:marTop w:val="0"/>
                  <w:marBottom w:val="0"/>
                  <w:divBdr>
                    <w:top w:val="none" w:sz="0" w:space="0" w:color="auto"/>
                    <w:left w:val="none" w:sz="0" w:space="0" w:color="auto"/>
                    <w:bottom w:val="none" w:sz="0" w:space="0" w:color="auto"/>
                    <w:right w:val="none" w:sz="0" w:space="0" w:color="auto"/>
                  </w:divBdr>
                  <w:divsChild>
                    <w:div w:id="1558202997">
                      <w:marLeft w:val="0"/>
                      <w:marRight w:val="0"/>
                      <w:marTop w:val="0"/>
                      <w:marBottom w:val="0"/>
                      <w:divBdr>
                        <w:top w:val="none" w:sz="0" w:space="0" w:color="auto"/>
                        <w:left w:val="none" w:sz="0" w:space="0" w:color="auto"/>
                        <w:bottom w:val="none" w:sz="0" w:space="0" w:color="auto"/>
                        <w:right w:val="none" w:sz="0" w:space="0" w:color="auto"/>
                      </w:divBdr>
                      <w:divsChild>
                        <w:div w:id="1507211564">
                          <w:marLeft w:val="0"/>
                          <w:marRight w:val="0"/>
                          <w:marTop w:val="0"/>
                          <w:marBottom w:val="0"/>
                          <w:divBdr>
                            <w:top w:val="none" w:sz="0" w:space="0" w:color="auto"/>
                            <w:left w:val="none" w:sz="0" w:space="0" w:color="auto"/>
                            <w:bottom w:val="none" w:sz="0" w:space="0" w:color="auto"/>
                            <w:right w:val="none" w:sz="0" w:space="0" w:color="auto"/>
                          </w:divBdr>
                          <w:divsChild>
                            <w:div w:id="618533708">
                              <w:marLeft w:val="0"/>
                              <w:marRight w:val="0"/>
                              <w:marTop w:val="120"/>
                              <w:marBottom w:val="360"/>
                              <w:divBdr>
                                <w:top w:val="none" w:sz="0" w:space="0" w:color="auto"/>
                                <w:left w:val="none" w:sz="0" w:space="0" w:color="auto"/>
                                <w:bottom w:val="none" w:sz="0" w:space="0" w:color="auto"/>
                                <w:right w:val="none" w:sz="0" w:space="0" w:color="auto"/>
                              </w:divBdr>
                              <w:divsChild>
                                <w:div w:id="115222795">
                                  <w:marLeft w:val="420"/>
                                  <w:marRight w:val="0"/>
                                  <w:marTop w:val="0"/>
                                  <w:marBottom w:val="0"/>
                                  <w:divBdr>
                                    <w:top w:val="none" w:sz="0" w:space="0" w:color="auto"/>
                                    <w:left w:val="none" w:sz="0" w:space="0" w:color="auto"/>
                                    <w:bottom w:val="none" w:sz="0" w:space="0" w:color="auto"/>
                                    <w:right w:val="none" w:sz="0" w:space="0" w:color="auto"/>
                                  </w:divBdr>
                                  <w:divsChild>
                                    <w:div w:id="844830718">
                                      <w:marLeft w:val="0"/>
                                      <w:marRight w:val="0"/>
                                      <w:marTop w:val="0"/>
                                      <w:marBottom w:val="0"/>
                                      <w:divBdr>
                                        <w:top w:val="none" w:sz="0" w:space="0" w:color="auto"/>
                                        <w:left w:val="none" w:sz="0" w:space="0" w:color="auto"/>
                                        <w:bottom w:val="none" w:sz="0" w:space="0" w:color="auto"/>
                                        <w:right w:val="none" w:sz="0" w:space="0" w:color="auto"/>
                                      </w:divBdr>
                                      <w:divsChild>
                                        <w:div w:id="691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thaddeushollingsworth:Desktop:Diagnostic%20Accuracy:Diagnostic%20study7.xlsx" TargetMode="External"/><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thaddeushollingsworth:Desktop:Diagnostic%20Accuracy:Diagnostic%20study7.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thaddeushollingsworth:Desktop:Diagnostic%20Accuracy:Diagnostic%20study7.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thaddeushollingsworth:Desktop:Diagnostic%20study5.xlsx" TargetMode="External"/><Relationship Id="rId3"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thaddeushollingsworth:Desktop:Diagnostic%20Accuracy:Diagnostic%20study7.xlsx" TargetMode="External"/><Relationship Id="rId3"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thaddeushollingsworth:Desktop:Diagnostic%20Accuracy:Diagnostic%20study7.xlsx" TargetMode="External"/><Relationship Id="rId3"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28028105431"/>
          <c:y val="0.0734826392836275"/>
          <c:w val="0.862616399118009"/>
          <c:h val="0.732152818720439"/>
        </c:manualLayout>
      </c:layout>
      <c:barChart>
        <c:barDir val="col"/>
        <c:grouping val="clustered"/>
        <c:varyColors val="0"/>
        <c:ser>
          <c:idx val="0"/>
          <c:order val="0"/>
          <c:tx>
            <c:strRef>
              <c:f>'123 dd TM only GP adjusted'!$FS$68</c:f>
              <c:strCache>
                <c:ptCount val="1"/>
                <c:pt idx="0">
                  <c:v>3 differential diagnoses</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adjusted'!$FT$68:$FZ$68</c:f>
              <c:numCache>
                <c:formatCode>0</c:formatCode>
                <c:ptCount val="7"/>
                <c:pt idx="0">
                  <c:v>0.0</c:v>
                </c:pt>
                <c:pt idx="1">
                  <c:v>2.0</c:v>
                </c:pt>
                <c:pt idx="2">
                  <c:v>0.0</c:v>
                </c:pt>
                <c:pt idx="3">
                  <c:v>2.0</c:v>
                </c:pt>
                <c:pt idx="4">
                  <c:v>12.0</c:v>
                </c:pt>
                <c:pt idx="5">
                  <c:v>4.0</c:v>
                </c:pt>
                <c:pt idx="6">
                  <c:v>12.0</c:v>
                </c:pt>
              </c:numCache>
            </c:numRef>
          </c:val>
        </c:ser>
        <c:ser>
          <c:idx val="3"/>
          <c:order val="1"/>
          <c:tx>
            <c:strRef>
              <c:f>'123 dd TM only GP adjusted'!$FS$71</c:f>
              <c:strCache>
                <c:ptCount val="1"/>
                <c:pt idx="0">
                  <c:v>2 dd</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adjusted'!$FT$71:$FZ$71</c:f>
              <c:numCache>
                <c:formatCode>0</c:formatCode>
                <c:ptCount val="7"/>
                <c:pt idx="0">
                  <c:v>2.0</c:v>
                </c:pt>
                <c:pt idx="1">
                  <c:v>1.0</c:v>
                </c:pt>
                <c:pt idx="2">
                  <c:v>1.0</c:v>
                </c:pt>
                <c:pt idx="3">
                  <c:v>1.0</c:v>
                </c:pt>
                <c:pt idx="4">
                  <c:v>7.0</c:v>
                </c:pt>
                <c:pt idx="5">
                  <c:v>4.0</c:v>
                </c:pt>
                <c:pt idx="6">
                  <c:v>8.0</c:v>
                </c:pt>
              </c:numCache>
            </c:numRef>
          </c:val>
        </c:ser>
        <c:ser>
          <c:idx val="6"/>
          <c:order val="2"/>
          <c:tx>
            <c:strRef>
              <c:f>'123 dd TM only GP adjusted'!$FS$74</c:f>
              <c:strCache>
                <c:ptCount val="1"/>
                <c:pt idx="0">
                  <c:v>1 dd</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adjusted'!$FT$74:$FZ$74</c:f>
              <c:numCache>
                <c:formatCode>0</c:formatCode>
                <c:ptCount val="7"/>
                <c:pt idx="0">
                  <c:v>7.0</c:v>
                </c:pt>
                <c:pt idx="1">
                  <c:v>10.0</c:v>
                </c:pt>
                <c:pt idx="2">
                  <c:v>3.0</c:v>
                </c:pt>
                <c:pt idx="3">
                  <c:v>0.0</c:v>
                </c:pt>
                <c:pt idx="4">
                  <c:v>11.0</c:v>
                </c:pt>
                <c:pt idx="5">
                  <c:v>9.0</c:v>
                </c:pt>
                <c:pt idx="6">
                  <c:v>6.0</c:v>
                </c:pt>
              </c:numCache>
            </c:numRef>
          </c:val>
        </c:ser>
        <c:ser>
          <c:idx val="14"/>
          <c:order val="3"/>
          <c:tx>
            <c:strRef>
              <c:f>'123 dd TM only GP adjusted'!$FS$90</c:f>
              <c:strCache>
                <c:ptCount val="1"/>
                <c:pt idx="0">
                  <c:v>No dd recorded</c:v>
                </c:pt>
              </c:strCache>
            </c:strRef>
          </c:tx>
          <c:spPr>
            <a:solidFill>
              <a:schemeClr val="accent4">
                <a:lumMod val="75000"/>
              </a:schemeClr>
            </a:solidFill>
          </c:spPr>
          <c:invertIfNegative val="0"/>
          <c:dLbls>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adjusted'!$FT$90:$FZ$90</c:f>
              <c:numCache>
                <c:formatCode>0</c:formatCode>
                <c:ptCount val="7"/>
                <c:pt idx="0">
                  <c:v>4.0</c:v>
                </c:pt>
                <c:pt idx="1">
                  <c:v>3.0</c:v>
                </c:pt>
                <c:pt idx="2">
                  <c:v>0.0</c:v>
                </c:pt>
                <c:pt idx="3">
                  <c:v>0.0</c:v>
                </c:pt>
                <c:pt idx="4">
                  <c:v>1.0</c:v>
                </c:pt>
                <c:pt idx="5">
                  <c:v>1.0</c:v>
                </c:pt>
                <c:pt idx="6">
                  <c:v>2.0</c:v>
                </c:pt>
              </c:numCache>
            </c:numRef>
          </c:val>
        </c:ser>
        <c:dLbls>
          <c:showLegendKey val="0"/>
          <c:showVal val="0"/>
          <c:showCatName val="0"/>
          <c:showSerName val="0"/>
          <c:showPercent val="0"/>
          <c:showBubbleSize val="0"/>
        </c:dLbls>
        <c:gapWidth val="150"/>
        <c:axId val="-2145938440"/>
        <c:axId val="-2145892072"/>
      </c:barChart>
      <c:catAx>
        <c:axId val="-2145938440"/>
        <c:scaling>
          <c:orientation val="minMax"/>
        </c:scaling>
        <c:delete val="0"/>
        <c:axPos val="b"/>
        <c:majorTickMark val="out"/>
        <c:minorTickMark val="none"/>
        <c:tickLblPos val="nextTo"/>
        <c:crossAx val="-2145892072"/>
        <c:crosses val="autoZero"/>
        <c:auto val="1"/>
        <c:lblAlgn val="ctr"/>
        <c:lblOffset val="100"/>
        <c:noMultiLvlLbl val="0"/>
      </c:catAx>
      <c:valAx>
        <c:axId val="-2145892072"/>
        <c:scaling>
          <c:orientation val="minMax"/>
        </c:scaling>
        <c:delete val="0"/>
        <c:axPos val="l"/>
        <c:majorGridlines/>
        <c:numFmt formatCode="0" sourceLinked="1"/>
        <c:majorTickMark val="out"/>
        <c:minorTickMark val="none"/>
        <c:tickLblPos val="nextTo"/>
        <c:crossAx val="-2145938440"/>
        <c:crosses val="autoZero"/>
        <c:crossBetween val="between"/>
      </c:valAx>
    </c:plotArea>
    <c:legend>
      <c:legendPos val="b"/>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'123 dd TM only GP adjusted'!$FS$65</c:f>
              <c:strCache>
                <c:ptCount val="1"/>
                <c:pt idx="0">
                  <c:v>% Correct</c:v>
                </c:pt>
              </c:strCache>
            </c:strRef>
          </c:tx>
          <c:invertIfNegative val="0"/>
          <c:dLbls>
            <c:showLegendKey val="0"/>
            <c:showVal val="1"/>
            <c:showCatName val="0"/>
            <c:showSerName val="0"/>
            <c:showPercent val="0"/>
            <c:showBubbleSize val="0"/>
            <c:showLeaderLines val="0"/>
          </c:dLbls>
          <c:cat>
            <c:strRef>
              <c:f>'123 dd TM only GP adjusted'!$FT$62:$GB$62</c:f>
              <c:strCache>
                <c:ptCount val="8"/>
                <c:pt idx="0">
                  <c:v>GP</c:v>
                </c:pt>
                <c:pt idx="1">
                  <c:v>A&amp;E</c:v>
                </c:pt>
                <c:pt idx="2">
                  <c:v>IP</c:v>
                </c:pt>
                <c:pt idx="3">
                  <c:v>FY1</c:v>
                </c:pt>
                <c:pt idx="4">
                  <c:v>SHO</c:v>
                </c:pt>
                <c:pt idx="5">
                  <c:v>SROC</c:v>
                </c:pt>
                <c:pt idx="6">
                  <c:v>Consultant</c:v>
                </c:pt>
                <c:pt idx="7">
                  <c:v>Overall</c:v>
                </c:pt>
              </c:strCache>
            </c:strRef>
          </c:cat>
          <c:val>
            <c:numRef>
              <c:f>'123 dd TM only GP adjusted'!$FT$65:$GB$65</c:f>
              <c:numCache>
                <c:formatCode>0.0%</c:formatCode>
                <c:ptCount val="8"/>
                <c:pt idx="0">
                  <c:v>0.454545454545454</c:v>
                </c:pt>
                <c:pt idx="1">
                  <c:v>0.4375</c:v>
                </c:pt>
                <c:pt idx="2">
                  <c:v>0.5</c:v>
                </c:pt>
                <c:pt idx="3">
                  <c:v>0.333333333333333</c:v>
                </c:pt>
                <c:pt idx="4">
                  <c:v>0.612903225806452</c:v>
                </c:pt>
                <c:pt idx="5">
                  <c:v>0.611111111111111</c:v>
                </c:pt>
                <c:pt idx="6">
                  <c:v>0.75</c:v>
                </c:pt>
                <c:pt idx="7">
                  <c:v>0.853658536585366</c:v>
                </c:pt>
              </c:numCache>
            </c:numRef>
          </c:val>
        </c:ser>
        <c:dLbls>
          <c:showLegendKey val="0"/>
          <c:showVal val="0"/>
          <c:showCatName val="0"/>
          <c:showSerName val="0"/>
          <c:showPercent val="0"/>
          <c:showBubbleSize val="0"/>
        </c:dLbls>
        <c:gapWidth val="150"/>
        <c:axId val="-2147059944"/>
        <c:axId val="-2147056968"/>
      </c:barChart>
      <c:catAx>
        <c:axId val="-2147059944"/>
        <c:scaling>
          <c:orientation val="minMax"/>
        </c:scaling>
        <c:delete val="0"/>
        <c:axPos val="b"/>
        <c:majorTickMark val="out"/>
        <c:minorTickMark val="none"/>
        <c:tickLblPos val="nextTo"/>
        <c:crossAx val="-2147056968"/>
        <c:crosses val="autoZero"/>
        <c:auto val="1"/>
        <c:lblAlgn val="ctr"/>
        <c:lblOffset val="100"/>
        <c:noMultiLvlLbl val="0"/>
      </c:catAx>
      <c:valAx>
        <c:axId val="-2147056968"/>
        <c:scaling>
          <c:orientation val="minMax"/>
        </c:scaling>
        <c:delete val="0"/>
        <c:axPos val="l"/>
        <c:majorGridlines/>
        <c:numFmt formatCode="0%" sourceLinked="0"/>
        <c:majorTickMark val="out"/>
        <c:minorTickMark val="none"/>
        <c:tickLblPos val="nextTo"/>
        <c:crossAx val="-21470599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'123 dd TM only GP adjusted'!$FS$70</c:f>
              <c:strCache>
                <c:ptCount val="1"/>
                <c:pt idx="0">
                  <c:v>3 differential diagnoses</c:v>
                </c:pt>
              </c:strCache>
            </c:strRef>
          </c:tx>
          <c:invertIfNegative val="0"/>
          <c:dLbls>
            <c:numFmt formatCode="0%" sourceLinked="0"/>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adjusted'!$FT$70:$FZ$70</c:f>
              <c:numCache>
                <c:formatCode>0.0%</c:formatCode>
                <c:ptCount val="7"/>
                <c:pt idx="0">
                  <c:v>0.0</c:v>
                </c:pt>
                <c:pt idx="1">
                  <c:v>0.5</c:v>
                </c:pt>
                <c:pt idx="2">
                  <c:v>0.0</c:v>
                </c:pt>
                <c:pt idx="3">
                  <c:v>0.5</c:v>
                </c:pt>
                <c:pt idx="4">
                  <c:v>0.666666666666667</c:v>
                </c:pt>
                <c:pt idx="5">
                  <c:v>0.75</c:v>
                </c:pt>
                <c:pt idx="6">
                  <c:v>0.833333333333333</c:v>
                </c:pt>
              </c:numCache>
            </c:numRef>
          </c:val>
        </c:ser>
        <c:ser>
          <c:idx val="9"/>
          <c:order val="1"/>
          <c:tx>
            <c:strRef>
              <c:f>'123 dd TM only GP adjusted'!$FS$79</c:f>
              <c:strCache>
                <c:ptCount val="1"/>
                <c:pt idx="0">
                  <c:v>1-2 differential diagnoses</c:v>
                </c:pt>
              </c:strCache>
            </c:strRef>
          </c:tx>
          <c:invertIfNegative val="0"/>
          <c:dLbls>
            <c:numFmt formatCode="0%" sourceLinked="0"/>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adjusted'!$FT$79:$FZ$79</c:f>
              <c:numCache>
                <c:formatCode>0.0%</c:formatCode>
                <c:ptCount val="7"/>
                <c:pt idx="0">
                  <c:v>0.555555555555556</c:v>
                </c:pt>
                <c:pt idx="1">
                  <c:v>0.545454545454545</c:v>
                </c:pt>
                <c:pt idx="2">
                  <c:v>0.5</c:v>
                </c:pt>
                <c:pt idx="3">
                  <c:v>0.0</c:v>
                </c:pt>
                <c:pt idx="4">
                  <c:v>0.611111111111111</c:v>
                </c:pt>
                <c:pt idx="5">
                  <c:v>0.615384615384615</c:v>
                </c:pt>
                <c:pt idx="6">
                  <c:v>0.785714285714286</c:v>
                </c:pt>
              </c:numCache>
            </c:numRef>
          </c:val>
        </c:ser>
        <c:dLbls>
          <c:showLegendKey val="0"/>
          <c:showVal val="0"/>
          <c:showCatName val="0"/>
          <c:showSerName val="0"/>
          <c:showPercent val="0"/>
          <c:showBubbleSize val="0"/>
        </c:dLbls>
        <c:gapWidth val="150"/>
        <c:axId val="-2147356872"/>
        <c:axId val="-2147246984"/>
      </c:barChart>
      <c:catAx>
        <c:axId val="-2147356872"/>
        <c:scaling>
          <c:orientation val="minMax"/>
        </c:scaling>
        <c:delete val="0"/>
        <c:axPos val="b"/>
        <c:majorTickMark val="out"/>
        <c:minorTickMark val="none"/>
        <c:tickLblPos val="nextTo"/>
        <c:crossAx val="-2147246984"/>
        <c:crosses val="autoZero"/>
        <c:auto val="1"/>
        <c:lblAlgn val="ctr"/>
        <c:lblOffset val="100"/>
        <c:noMultiLvlLbl val="0"/>
      </c:catAx>
      <c:valAx>
        <c:axId val="-2147246984"/>
        <c:scaling>
          <c:orientation val="minMax"/>
        </c:scaling>
        <c:delete val="0"/>
        <c:axPos val="l"/>
        <c:majorGridlines/>
        <c:numFmt formatCode="0%" sourceLinked="0"/>
        <c:majorTickMark val="out"/>
        <c:minorTickMark val="none"/>
        <c:tickLblPos val="nextTo"/>
        <c:crossAx val="-21473568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748188277626"/>
          <c:y val="0.0687756150430863"/>
          <c:w val="0.857321177695348"/>
          <c:h val="0.695060676328648"/>
        </c:manualLayout>
      </c:layout>
      <c:barChart>
        <c:barDir val="col"/>
        <c:grouping val="clustered"/>
        <c:varyColors val="0"/>
        <c:ser>
          <c:idx val="0"/>
          <c:order val="0"/>
          <c:tx>
            <c:strRef>
              <c:f>'123 dd TM only'!$AD$77</c:f>
              <c:strCache>
                <c:ptCount val="1"/>
                <c:pt idx="0">
                  <c:v>First dd correct</c:v>
                </c:pt>
              </c:strCache>
            </c:strRef>
          </c:tx>
          <c:invertIfNegative val="0"/>
          <c:dLbls>
            <c:showLegendKey val="0"/>
            <c:showVal val="1"/>
            <c:showCatName val="0"/>
            <c:showSerName val="0"/>
            <c:showPercent val="0"/>
            <c:showBubbleSize val="0"/>
            <c:showLeaderLines val="0"/>
          </c:dLbls>
          <c:cat>
            <c:strRef>
              <c:f>'123 dd TM only'!$AC$78:$AC$84</c:f>
              <c:strCache>
                <c:ptCount val="7"/>
                <c:pt idx="0">
                  <c:v>GP</c:v>
                </c:pt>
                <c:pt idx="1">
                  <c:v>A&amp;E</c:v>
                </c:pt>
                <c:pt idx="2">
                  <c:v>In-Patient</c:v>
                </c:pt>
                <c:pt idx="3">
                  <c:v>FY1</c:v>
                </c:pt>
                <c:pt idx="4">
                  <c:v>SHO</c:v>
                </c:pt>
                <c:pt idx="5">
                  <c:v>SROC</c:v>
                </c:pt>
                <c:pt idx="6">
                  <c:v>Consultant</c:v>
                </c:pt>
              </c:strCache>
            </c:strRef>
          </c:cat>
          <c:val>
            <c:numRef>
              <c:f>'123 dd TM only'!$AD$78:$AD$84</c:f>
              <c:numCache>
                <c:formatCode>@</c:formatCode>
                <c:ptCount val="7"/>
                <c:pt idx="0" formatCode="0">
                  <c:v>5.0</c:v>
                </c:pt>
                <c:pt idx="1">
                  <c:v>7.0</c:v>
                </c:pt>
                <c:pt idx="2">
                  <c:v>2.0</c:v>
                </c:pt>
                <c:pt idx="3">
                  <c:v>1.0</c:v>
                </c:pt>
                <c:pt idx="4">
                  <c:v>14.0</c:v>
                </c:pt>
                <c:pt idx="5">
                  <c:v>10.0</c:v>
                </c:pt>
                <c:pt idx="6">
                  <c:v>12.0</c:v>
                </c:pt>
              </c:numCache>
            </c:numRef>
          </c:val>
        </c:ser>
        <c:ser>
          <c:idx val="1"/>
          <c:order val="1"/>
          <c:tx>
            <c:strRef>
              <c:f>'123 dd TM only'!$AE$77</c:f>
              <c:strCache>
                <c:ptCount val="1"/>
                <c:pt idx="0">
                  <c:v>Second dd correct</c:v>
                </c:pt>
              </c:strCache>
            </c:strRef>
          </c:tx>
          <c:invertIfNegative val="0"/>
          <c:dLbls>
            <c:showLegendKey val="0"/>
            <c:showVal val="1"/>
            <c:showCatName val="0"/>
            <c:showSerName val="0"/>
            <c:showPercent val="0"/>
            <c:showBubbleSize val="0"/>
            <c:showLeaderLines val="0"/>
          </c:dLbls>
          <c:cat>
            <c:strRef>
              <c:f>'123 dd TM only'!$AC$78:$AC$84</c:f>
              <c:strCache>
                <c:ptCount val="7"/>
                <c:pt idx="0">
                  <c:v>GP</c:v>
                </c:pt>
                <c:pt idx="1">
                  <c:v>A&amp;E</c:v>
                </c:pt>
                <c:pt idx="2">
                  <c:v>In-Patient</c:v>
                </c:pt>
                <c:pt idx="3">
                  <c:v>FY1</c:v>
                </c:pt>
                <c:pt idx="4">
                  <c:v>SHO</c:v>
                </c:pt>
                <c:pt idx="5">
                  <c:v>SROC</c:v>
                </c:pt>
                <c:pt idx="6">
                  <c:v>Consultant</c:v>
                </c:pt>
              </c:strCache>
            </c:strRef>
          </c:cat>
          <c:val>
            <c:numRef>
              <c:f>'123 dd TM only'!$AE$78:$AE$84</c:f>
              <c:numCache>
                <c:formatCode>@</c:formatCode>
                <c:ptCount val="7"/>
                <c:pt idx="0" formatCode="0">
                  <c:v>0.0</c:v>
                </c:pt>
                <c:pt idx="1">
                  <c:v>0.0</c:v>
                </c:pt>
                <c:pt idx="2">
                  <c:v>0.0</c:v>
                </c:pt>
                <c:pt idx="3">
                  <c:v>0.0</c:v>
                </c:pt>
                <c:pt idx="4">
                  <c:v>4.0</c:v>
                </c:pt>
                <c:pt idx="5">
                  <c:v>1.0</c:v>
                </c:pt>
                <c:pt idx="6">
                  <c:v>9.0</c:v>
                </c:pt>
              </c:numCache>
            </c:numRef>
          </c:val>
        </c:ser>
        <c:ser>
          <c:idx val="2"/>
          <c:order val="2"/>
          <c:tx>
            <c:strRef>
              <c:f>'123 dd TM only'!$AF$77</c:f>
              <c:strCache>
                <c:ptCount val="1"/>
                <c:pt idx="0">
                  <c:v>Third dd correct</c:v>
                </c:pt>
              </c:strCache>
            </c:strRef>
          </c:tx>
          <c:invertIfNegative val="0"/>
          <c:dLbls>
            <c:dLbl>
              <c:idx val="0"/>
              <c:delete val="1"/>
            </c:dLbl>
            <c:dLbl>
              <c:idx val="2"/>
              <c:delete val="1"/>
            </c:dLbl>
            <c:showLegendKey val="0"/>
            <c:showVal val="1"/>
            <c:showCatName val="0"/>
            <c:showSerName val="0"/>
            <c:showPercent val="0"/>
            <c:showBubbleSize val="0"/>
            <c:showLeaderLines val="0"/>
          </c:dLbls>
          <c:cat>
            <c:strRef>
              <c:f>'123 dd TM only'!$AC$78:$AC$84</c:f>
              <c:strCache>
                <c:ptCount val="7"/>
                <c:pt idx="0">
                  <c:v>GP</c:v>
                </c:pt>
                <c:pt idx="1">
                  <c:v>A&amp;E</c:v>
                </c:pt>
                <c:pt idx="2">
                  <c:v>In-Patient</c:v>
                </c:pt>
                <c:pt idx="3">
                  <c:v>FY1</c:v>
                </c:pt>
                <c:pt idx="4">
                  <c:v>SHO</c:v>
                </c:pt>
                <c:pt idx="5">
                  <c:v>SROC</c:v>
                </c:pt>
                <c:pt idx="6">
                  <c:v>Consultant</c:v>
                </c:pt>
              </c:strCache>
            </c:strRef>
          </c:cat>
          <c:val>
            <c:numRef>
              <c:f>'123 dd TM only'!$AF$78:$AF$84</c:f>
              <c:numCache>
                <c:formatCode>@</c:formatCode>
                <c:ptCount val="7"/>
                <c:pt idx="0" formatCode="0">
                  <c:v>0.0</c:v>
                </c:pt>
                <c:pt idx="1">
                  <c:v>0.0</c:v>
                </c:pt>
                <c:pt idx="2">
                  <c:v>0.0</c:v>
                </c:pt>
                <c:pt idx="3">
                  <c:v>0.0</c:v>
                </c:pt>
                <c:pt idx="4">
                  <c:v>1.0</c:v>
                </c:pt>
                <c:pt idx="5">
                  <c:v>0.0</c:v>
                </c:pt>
                <c:pt idx="6">
                  <c:v>0.0</c:v>
                </c:pt>
              </c:numCache>
            </c:numRef>
          </c:val>
        </c:ser>
        <c:dLbls>
          <c:showLegendKey val="0"/>
          <c:showVal val="0"/>
          <c:showCatName val="0"/>
          <c:showSerName val="0"/>
          <c:showPercent val="0"/>
          <c:showBubbleSize val="0"/>
        </c:dLbls>
        <c:gapWidth val="150"/>
        <c:axId val="-2146206776"/>
        <c:axId val="-2144425288"/>
      </c:barChart>
      <c:catAx>
        <c:axId val="-2146206776"/>
        <c:scaling>
          <c:orientation val="minMax"/>
        </c:scaling>
        <c:delete val="0"/>
        <c:axPos val="b"/>
        <c:majorTickMark val="out"/>
        <c:minorTickMark val="none"/>
        <c:tickLblPos val="nextTo"/>
        <c:crossAx val="-2144425288"/>
        <c:crosses val="autoZero"/>
        <c:auto val="1"/>
        <c:lblAlgn val="ctr"/>
        <c:lblOffset val="100"/>
        <c:noMultiLvlLbl val="0"/>
      </c:catAx>
      <c:valAx>
        <c:axId val="-2144425288"/>
        <c:scaling>
          <c:orientation val="minMax"/>
        </c:scaling>
        <c:delete val="0"/>
        <c:axPos val="l"/>
        <c:majorGridlines/>
        <c:numFmt formatCode="0" sourceLinked="1"/>
        <c:majorTickMark val="out"/>
        <c:minorTickMark val="none"/>
        <c:tickLblPos val="nextTo"/>
        <c:crossAx val="-2146206776"/>
        <c:crosses val="autoZero"/>
        <c:crossBetween val="between"/>
      </c:valAx>
    </c:plotArea>
    <c:legend>
      <c:legendPos val="b"/>
      <c:layout/>
      <c:overlay val="0"/>
    </c:legend>
    <c:plotVisOnly val="1"/>
    <c:dispBlanksAs val="gap"/>
    <c:showDLblsOverMax val="0"/>
  </c:chart>
  <c:spPr>
    <a:ln>
      <a:solidFill>
        <a:schemeClr val="tx1"/>
      </a:solidFill>
    </a:ln>
  </c:spPr>
  <c:txPr>
    <a:bodyPr/>
    <a:lstStyle/>
    <a:p>
      <a:pPr>
        <a:defRPr sz="1200"/>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812554680665"/>
          <c:y val="0.0601851851851852"/>
          <c:w val="0.826631889763779"/>
          <c:h val="0.74378922226675"/>
        </c:manualLayout>
      </c:layout>
      <c:barChart>
        <c:barDir val="col"/>
        <c:grouping val="clustered"/>
        <c:varyColors val="0"/>
        <c:ser>
          <c:idx val="0"/>
          <c:order val="0"/>
          <c:tx>
            <c:strRef>
              <c:f>'123 dd TM only GP adjusted'!$FS$84</c:f>
              <c:strCache>
                <c:ptCount val="1"/>
                <c:pt idx="0">
                  <c:v>Potential Contributions</c:v>
                </c:pt>
              </c:strCache>
            </c:strRef>
          </c:tx>
          <c:invertIfNegative val="0"/>
          <c:dLbls>
            <c:dLbl>
              <c:idx val="0"/>
              <c:layout/>
              <c:dLblPos val="inEnd"/>
              <c:showLegendKey val="0"/>
              <c:showVal val="1"/>
              <c:showCatName val="0"/>
              <c:showSerName val="0"/>
              <c:showPercent val="0"/>
              <c:showBubbleSize val="0"/>
            </c:dLbl>
            <c:dLbl>
              <c:idx val="1"/>
              <c:layout/>
              <c:dLblPos val="inEnd"/>
              <c:showLegendKey val="0"/>
              <c:showVal val="1"/>
              <c:showCatName val="0"/>
              <c:showSerName val="0"/>
              <c:showPercent val="0"/>
              <c:showBubbleSize val="0"/>
            </c:dLbl>
            <c:dLbl>
              <c:idx val="2"/>
              <c:layout/>
              <c:dLblPos val="inEnd"/>
              <c:showLegendKey val="0"/>
              <c:showVal val="1"/>
              <c:showCatName val="0"/>
              <c:showSerName val="0"/>
              <c:showPercent val="0"/>
              <c:showBubbleSize val="0"/>
            </c:dLbl>
            <c:dLbl>
              <c:idx val="3"/>
              <c:layout/>
              <c:dLblPos val="inEnd"/>
              <c:showLegendKey val="0"/>
              <c:showVal val="1"/>
              <c:showCatName val="0"/>
              <c:showSerName val="0"/>
              <c:showPercent val="0"/>
              <c:showBubbleSize val="0"/>
            </c:dLbl>
            <c:dLbl>
              <c:idx val="4"/>
              <c:layout/>
              <c:dLblPos val="inEnd"/>
              <c:showLegendKey val="0"/>
              <c:showVal val="1"/>
              <c:showCatName val="0"/>
              <c:showSerName val="0"/>
              <c:showPercent val="0"/>
              <c:showBubbleSize val="0"/>
            </c:dLbl>
            <c:dLbl>
              <c:idx val="5"/>
              <c:layout/>
              <c:dLblPos val="inEnd"/>
              <c:showLegendKey val="0"/>
              <c:showVal val="1"/>
              <c:showCatName val="0"/>
              <c:showSerName val="0"/>
              <c:showPercent val="0"/>
              <c:showBubbleSize val="0"/>
            </c:dLbl>
            <c:dLbl>
              <c:idx val="6"/>
              <c:layout/>
              <c:dLblPos val="inEnd"/>
              <c:showLegendKey val="0"/>
              <c:showVal val="1"/>
              <c:showCatName val="0"/>
              <c:showSerName val="0"/>
              <c:showPercent val="0"/>
              <c:showBubbleSize val="0"/>
            </c:dLbl>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adjusted'!$FT$84:$FZ$84</c:f>
              <c:numCache>
                <c:formatCode>0</c:formatCode>
                <c:ptCount val="7"/>
                <c:pt idx="0">
                  <c:v>11.0</c:v>
                </c:pt>
                <c:pt idx="1">
                  <c:v>16.0</c:v>
                </c:pt>
                <c:pt idx="2">
                  <c:v>4.0</c:v>
                </c:pt>
                <c:pt idx="3" formatCode="General">
                  <c:v>2.0</c:v>
                </c:pt>
                <c:pt idx="4" formatCode="General">
                  <c:v>21.0</c:v>
                </c:pt>
                <c:pt idx="5" formatCode="General">
                  <c:v>9.0</c:v>
                </c:pt>
                <c:pt idx="6" formatCode="General">
                  <c:v>10.0</c:v>
                </c:pt>
              </c:numCache>
            </c:numRef>
          </c:val>
        </c:ser>
        <c:ser>
          <c:idx val="1"/>
          <c:order val="1"/>
          <c:tx>
            <c:strRef>
              <c:f>'123 dd TM only GP adjusted'!$FS$85</c:f>
              <c:strCache>
                <c:ptCount val="1"/>
                <c:pt idx="0">
                  <c:v>Contributed Diagnoses</c:v>
                </c:pt>
              </c:strCache>
            </c:strRef>
          </c:tx>
          <c:invertIfNegative val="0"/>
          <c:dLbls>
            <c:dLbl>
              <c:idx val="0"/>
              <c:layout/>
              <c:dLblPos val="inEnd"/>
              <c:showLegendKey val="0"/>
              <c:showVal val="1"/>
              <c:showCatName val="0"/>
              <c:showSerName val="0"/>
              <c:showPercent val="0"/>
              <c:showBubbleSize val="0"/>
            </c:dLbl>
            <c:dLbl>
              <c:idx val="1"/>
              <c:layout/>
              <c:dLblPos val="inEnd"/>
              <c:showLegendKey val="0"/>
              <c:showVal val="1"/>
              <c:showCatName val="0"/>
              <c:showSerName val="0"/>
              <c:showPercent val="0"/>
              <c:showBubbleSize val="0"/>
            </c:dLbl>
            <c:dLbl>
              <c:idx val="2"/>
              <c:layout/>
              <c:dLblPos val="inEnd"/>
              <c:showLegendKey val="0"/>
              <c:showVal val="1"/>
              <c:showCatName val="0"/>
              <c:showSerName val="0"/>
              <c:showPercent val="0"/>
              <c:showBubbleSize val="0"/>
            </c:dLbl>
            <c:dLbl>
              <c:idx val="3"/>
              <c:layout/>
              <c:dLblPos val="inEnd"/>
              <c:showLegendKey val="0"/>
              <c:showVal val="1"/>
              <c:showCatName val="0"/>
              <c:showSerName val="0"/>
              <c:showPercent val="0"/>
              <c:showBubbleSize val="0"/>
            </c:dLbl>
            <c:dLbl>
              <c:idx val="4"/>
              <c:layout/>
              <c:dLblPos val="inEnd"/>
              <c:showLegendKey val="0"/>
              <c:showVal val="1"/>
              <c:showCatName val="0"/>
              <c:showSerName val="0"/>
              <c:showPercent val="0"/>
              <c:showBubbleSize val="0"/>
            </c:dLbl>
            <c:dLbl>
              <c:idx val="5"/>
              <c:layout/>
              <c:dLblPos val="inEnd"/>
              <c:showLegendKey val="0"/>
              <c:showVal val="1"/>
              <c:showCatName val="0"/>
              <c:showSerName val="0"/>
              <c:showPercent val="0"/>
              <c:showBubbleSize val="0"/>
            </c:dLbl>
            <c:dLbl>
              <c:idx val="6"/>
              <c:layout/>
              <c:dLblPos val="inEnd"/>
              <c:showLegendKey val="0"/>
              <c:showVal val="1"/>
              <c:showCatName val="0"/>
              <c:showSerName val="0"/>
              <c:showPercent val="0"/>
              <c:showBubbleSize val="0"/>
            </c:dLbl>
            <c:showLegendKey val="0"/>
            <c:showVal val="1"/>
            <c:showCatName val="0"/>
            <c:showSerName val="0"/>
            <c:showPercent val="0"/>
            <c:showBubbleSize val="0"/>
            <c:showLeaderLines val="0"/>
          </c:dLbls>
          <c:cat>
            <c:strRef>
              <c:f>'123 dd TM only GP adjusted'!$FT$62:$FZ$62</c:f>
              <c:strCache>
                <c:ptCount val="7"/>
                <c:pt idx="0">
                  <c:v>GP</c:v>
                </c:pt>
                <c:pt idx="1">
                  <c:v>A&amp;E</c:v>
                </c:pt>
                <c:pt idx="2">
                  <c:v>IP</c:v>
                </c:pt>
                <c:pt idx="3">
                  <c:v>FY1</c:v>
                </c:pt>
                <c:pt idx="4">
                  <c:v>SHO</c:v>
                </c:pt>
                <c:pt idx="5">
                  <c:v>SROC</c:v>
                </c:pt>
                <c:pt idx="6">
                  <c:v>Consultant</c:v>
                </c:pt>
              </c:strCache>
            </c:strRef>
          </c:cat>
          <c:val>
            <c:numRef>
              <c:f>'123 dd TM only GP adjusted'!$FT$85:$FZ$85</c:f>
              <c:numCache>
                <c:formatCode>0</c:formatCode>
                <c:ptCount val="7"/>
                <c:pt idx="0">
                  <c:v>5.0</c:v>
                </c:pt>
                <c:pt idx="1">
                  <c:v>7.0</c:v>
                </c:pt>
                <c:pt idx="2">
                  <c:v>2.0</c:v>
                </c:pt>
                <c:pt idx="3" formatCode="General">
                  <c:v>0.0</c:v>
                </c:pt>
                <c:pt idx="4" formatCode="General">
                  <c:v>12.0</c:v>
                </c:pt>
                <c:pt idx="5" formatCode="General">
                  <c:v>4.0</c:v>
                </c:pt>
                <c:pt idx="6" formatCode="General">
                  <c:v>5.0</c:v>
                </c:pt>
              </c:numCache>
            </c:numRef>
          </c:val>
        </c:ser>
        <c:dLbls>
          <c:showLegendKey val="0"/>
          <c:showVal val="0"/>
          <c:showCatName val="0"/>
          <c:showSerName val="0"/>
          <c:showPercent val="0"/>
          <c:showBubbleSize val="0"/>
        </c:dLbls>
        <c:gapWidth val="150"/>
        <c:axId val="2121610184"/>
        <c:axId val="-2144434184"/>
      </c:barChart>
      <c:catAx>
        <c:axId val="2121610184"/>
        <c:scaling>
          <c:orientation val="minMax"/>
        </c:scaling>
        <c:delete val="0"/>
        <c:axPos val="b"/>
        <c:majorTickMark val="out"/>
        <c:minorTickMark val="none"/>
        <c:tickLblPos val="nextTo"/>
        <c:crossAx val="-2144434184"/>
        <c:crosses val="autoZero"/>
        <c:auto val="1"/>
        <c:lblAlgn val="ctr"/>
        <c:lblOffset val="100"/>
        <c:noMultiLvlLbl val="0"/>
      </c:catAx>
      <c:valAx>
        <c:axId val="-2144434184"/>
        <c:scaling>
          <c:orientation val="minMax"/>
        </c:scaling>
        <c:delete val="0"/>
        <c:axPos val="l"/>
        <c:majorGridlines/>
        <c:numFmt formatCode="0" sourceLinked="1"/>
        <c:majorTickMark val="out"/>
        <c:minorTickMark val="none"/>
        <c:tickLblPos val="nextTo"/>
        <c:crossAx val="2121610184"/>
        <c:crosses val="autoZero"/>
        <c:crossBetween val="between"/>
      </c:valAx>
    </c:plotArea>
    <c:legend>
      <c:legendPos val="b"/>
      <c:layout/>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688247302421"/>
          <c:y val="0.0605958344592939"/>
          <c:w val="0.853848789734616"/>
          <c:h val="0.712629134841564"/>
        </c:manualLayout>
      </c:layout>
      <c:barChart>
        <c:barDir val="col"/>
        <c:grouping val="clustered"/>
        <c:varyColors val="0"/>
        <c:ser>
          <c:idx val="2"/>
          <c:order val="0"/>
          <c:tx>
            <c:strRef>
              <c:f>'123 dd TM only GP adjusted'!$EZ$69</c:f>
              <c:strCache>
                <c:ptCount val="1"/>
                <c:pt idx="0">
                  <c:v>% surgery</c:v>
                </c:pt>
              </c:strCache>
            </c:strRef>
          </c:tx>
          <c:invertIfNegative val="0"/>
          <c:dLbls>
            <c:showLegendKey val="0"/>
            <c:showVal val="1"/>
            <c:showCatName val="0"/>
            <c:showSerName val="0"/>
            <c:showPercent val="0"/>
            <c:showBubbleSize val="0"/>
            <c:showLeaderLines val="0"/>
          </c:dLbls>
          <c:cat>
            <c:strRef>
              <c:f>'123 dd TM only GP adjusted'!$EW$70:$EW$73</c:f>
              <c:strCache>
                <c:ptCount val="4"/>
                <c:pt idx="0">
                  <c:v>GP </c:v>
                </c:pt>
                <c:pt idx="1">
                  <c:v>A&amp;E</c:v>
                </c:pt>
                <c:pt idx="2">
                  <c:v>IP</c:v>
                </c:pt>
                <c:pt idx="3">
                  <c:v>Overall</c:v>
                </c:pt>
              </c:strCache>
            </c:strRef>
          </c:cat>
          <c:val>
            <c:numRef>
              <c:f>'123 dd TM only GP adjusted'!$EZ$70:$EZ$73</c:f>
              <c:numCache>
                <c:formatCode>0.0%</c:formatCode>
                <c:ptCount val="4"/>
                <c:pt idx="0">
                  <c:v>0.666666666666667</c:v>
                </c:pt>
                <c:pt idx="1">
                  <c:v>0.3125</c:v>
                </c:pt>
                <c:pt idx="2">
                  <c:v>0.25</c:v>
                </c:pt>
                <c:pt idx="3">
                  <c:v>0.48780487804878</c:v>
                </c:pt>
              </c:numCache>
            </c:numRef>
          </c:val>
        </c:ser>
        <c:dLbls>
          <c:showLegendKey val="0"/>
          <c:showVal val="0"/>
          <c:showCatName val="0"/>
          <c:showSerName val="0"/>
          <c:showPercent val="0"/>
          <c:showBubbleSize val="0"/>
        </c:dLbls>
        <c:gapWidth val="150"/>
        <c:axId val="-2145425832"/>
        <c:axId val="-2146387960"/>
      </c:barChart>
      <c:catAx>
        <c:axId val="-2145425832"/>
        <c:scaling>
          <c:orientation val="minMax"/>
        </c:scaling>
        <c:delete val="0"/>
        <c:axPos val="b"/>
        <c:majorTickMark val="out"/>
        <c:minorTickMark val="none"/>
        <c:tickLblPos val="nextTo"/>
        <c:crossAx val="-2146387960"/>
        <c:crosses val="autoZero"/>
        <c:auto val="1"/>
        <c:lblAlgn val="ctr"/>
        <c:lblOffset val="100"/>
        <c:noMultiLvlLbl val="0"/>
      </c:catAx>
      <c:valAx>
        <c:axId val="-2146387960"/>
        <c:scaling>
          <c:orientation val="minMax"/>
        </c:scaling>
        <c:delete val="0"/>
        <c:axPos val="l"/>
        <c:majorGridlines/>
        <c:numFmt formatCode="0%" sourceLinked="0"/>
        <c:majorTickMark val="out"/>
        <c:minorTickMark val="none"/>
        <c:tickLblPos val="nextTo"/>
        <c:crossAx val="-214542583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0.10133</cdr:y>
    </cdr:from>
    <cdr:to>
      <cdr:x>0.03863</cdr:x>
      <cdr:y>0.78118</cdr:y>
    </cdr:to>
    <cdr:sp macro="" textlink="">
      <cdr:nvSpPr>
        <cdr:cNvPr id="2" name="TextBox 1"/>
        <cdr:cNvSpPr txBox="1"/>
      </cdr:nvSpPr>
      <cdr:spPr>
        <a:xfrm xmlns:a="http://schemas.openxmlformats.org/drawingml/2006/main">
          <a:off x="-23731" y="306654"/>
          <a:ext cx="228600" cy="2057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0.10133</cdr:y>
    </cdr:from>
    <cdr:to>
      <cdr:x>0.03863</cdr:x>
      <cdr:y>0.32795</cdr:y>
    </cdr:to>
    <cdr:sp macro="" textlink="">
      <cdr:nvSpPr>
        <cdr:cNvPr id="3" name="TextBox 2"/>
        <cdr:cNvSpPr txBox="1"/>
      </cdr:nvSpPr>
      <cdr:spPr>
        <a:xfrm xmlns:a="http://schemas.openxmlformats.org/drawingml/2006/main">
          <a:off x="-23731" y="306654"/>
          <a:ext cx="228600" cy="685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0.16813</cdr:y>
    </cdr:from>
    <cdr:to>
      <cdr:x>0.07519</cdr:x>
      <cdr:y>0.62999</cdr:y>
    </cdr:to>
    <cdr:sp macro="" textlink="">
      <cdr:nvSpPr>
        <cdr:cNvPr id="4" name="TextBox 3"/>
        <cdr:cNvSpPr txBox="1"/>
      </cdr:nvSpPr>
      <cdr:spPr>
        <a:xfrm xmlns:a="http://schemas.openxmlformats.org/drawingml/2006/main">
          <a:off x="-12051" y="508556"/>
          <a:ext cx="445149" cy="1397058"/>
        </a:xfrm>
        <a:prstGeom xmlns:a="http://schemas.openxmlformats.org/drawingml/2006/main" prst="rect">
          <a:avLst/>
        </a:prstGeom>
      </cdr:spPr>
      <cdr:txBody>
        <a:bodyPr xmlns:a="http://schemas.openxmlformats.org/drawingml/2006/main" vert="vert270" wrap="square" rtlCol="0" anchor="ctr" anchorCtr="0"/>
        <a:lstStyle xmlns:a="http://schemas.openxmlformats.org/drawingml/2006/main"/>
        <a:p xmlns:a="http://schemas.openxmlformats.org/drawingml/2006/main">
          <a:r>
            <a:rPr lang="en-US" sz="1200">
              <a:latin typeface="Times New Roman"/>
            </a:rPr>
            <a:t>Patient encounters</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0.11412</cdr:y>
    </cdr:from>
    <cdr:to>
      <cdr:x>0.07025</cdr:x>
      <cdr:y>0.71722</cdr:y>
    </cdr:to>
    <cdr:sp macro="" textlink="">
      <cdr:nvSpPr>
        <cdr:cNvPr id="2" name="TextBox 1"/>
        <cdr:cNvSpPr txBox="1"/>
      </cdr:nvSpPr>
      <cdr:spPr>
        <a:xfrm xmlns:a="http://schemas.openxmlformats.org/drawingml/2006/main">
          <a:off x="0" y="336243"/>
          <a:ext cx="431800" cy="1776974"/>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pPr algn="ctr"/>
          <a:r>
            <a:rPr lang="en-US" sz="1200" b="1" dirty="0" smtClean="0"/>
            <a:t>Correct diagnoses</a:t>
          </a:r>
        </a:p>
      </cdr:txBody>
    </cdr:sp>
  </cdr:relSizeAnchor>
  <cdr:relSizeAnchor xmlns:cdr="http://schemas.openxmlformats.org/drawingml/2006/chartDrawing">
    <cdr:from>
      <cdr:x>0</cdr:x>
      <cdr:y>0</cdr:y>
    </cdr:from>
    <cdr:to>
      <cdr:x>1</cdr:x>
      <cdr:y>0.14984</cdr:y>
    </cdr:to>
    <cdr:sp macro="" textlink="">
      <cdr:nvSpPr>
        <cdr:cNvPr id="3" name="TextBox 2"/>
        <cdr:cNvSpPr txBox="1"/>
      </cdr:nvSpPr>
      <cdr:spPr>
        <a:xfrm xmlns:a="http://schemas.openxmlformats.org/drawingml/2006/main">
          <a:off x="0" y="0"/>
          <a:ext cx="8251280" cy="5976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0.04753</cdr:x>
      <cdr:y>0.04121</cdr:y>
    </cdr:from>
    <cdr:to>
      <cdr:x>0.97103</cdr:x>
      <cdr:y>0.14235</cdr:y>
    </cdr:to>
    <cdr:sp macro="" textlink="">
      <cdr:nvSpPr>
        <cdr:cNvPr id="4" name="TextBox 3"/>
        <cdr:cNvSpPr txBox="1"/>
      </cdr:nvSpPr>
      <cdr:spPr>
        <a:xfrm xmlns:a="http://schemas.openxmlformats.org/drawingml/2006/main">
          <a:off x="392221" y="164353"/>
          <a:ext cx="7620000" cy="4034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0.03433</cdr:x>
      <cdr:y>0.05104</cdr:y>
    </cdr:from>
    <cdr:to>
      <cdr:x>0.101</cdr:x>
      <cdr:y>0.80197</cdr:y>
    </cdr:to>
    <cdr:sp macro="" textlink="">
      <cdr:nvSpPr>
        <cdr:cNvPr id="3" name="TextBox 2"/>
        <cdr:cNvSpPr txBox="1"/>
      </cdr:nvSpPr>
      <cdr:spPr>
        <a:xfrm xmlns:a="http://schemas.openxmlformats.org/drawingml/2006/main">
          <a:off x="203200" y="139853"/>
          <a:ext cx="394566" cy="20574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900" b="1">
              <a:latin typeface="+mn-lt"/>
              <a:ea typeface="+mn-ea"/>
              <a:cs typeface="+mn-cs"/>
            </a:rPr>
            <a:t>Previously Undiagnosed Patients</a:t>
          </a:r>
          <a:endParaRPr lang="en-US" sz="900"/>
        </a:p>
        <a:p xmlns:a="http://schemas.openxmlformats.org/drawingml/2006/main">
          <a:endParaRPr lang="en-US" sz="1100" b="1">
            <a:latin typeface="+mn-lt"/>
            <a:ea typeface="+mn-ea"/>
            <a:cs typeface="+mn-cs"/>
          </a:endParaRPr>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0.07802</cdr:x>
      <cdr:y>0.87327</cdr:y>
    </cdr:from>
    <cdr:to>
      <cdr:x>0.99469</cdr:x>
      <cdr:y>0.97242</cdr:y>
    </cdr:to>
    <cdr:sp macro="" textlink="">
      <cdr:nvSpPr>
        <cdr:cNvPr id="2" name="TextBox 1"/>
        <cdr:cNvSpPr txBox="1"/>
      </cdr:nvSpPr>
      <cdr:spPr>
        <a:xfrm xmlns:a="http://schemas.openxmlformats.org/drawingml/2006/main">
          <a:off x="428052" y="2013262"/>
          <a:ext cx="50292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a:t>Source of referral</a:t>
          </a:r>
        </a:p>
      </cdr:txBody>
    </cdr:sp>
  </cdr:relSizeAnchor>
  <cdr:relSizeAnchor xmlns:cdr="http://schemas.openxmlformats.org/drawingml/2006/chartDrawing">
    <cdr:from>
      <cdr:x>0</cdr:x>
      <cdr:y>0</cdr:y>
    </cdr:from>
    <cdr:to>
      <cdr:x>0.06451</cdr:x>
      <cdr:y>0.79325</cdr:y>
    </cdr:to>
    <cdr:sp macro="" textlink="">
      <cdr:nvSpPr>
        <cdr:cNvPr id="3" name="TextBox 2"/>
        <cdr:cNvSpPr txBox="1"/>
      </cdr:nvSpPr>
      <cdr:spPr>
        <a:xfrm xmlns:a="http://schemas.openxmlformats.org/drawingml/2006/main">
          <a:off x="0" y="0"/>
          <a:ext cx="353943" cy="1828800"/>
        </a:xfrm>
        <a:prstGeom xmlns:a="http://schemas.openxmlformats.org/drawingml/2006/main" prst="rect">
          <a:avLst/>
        </a:prstGeom>
      </cdr:spPr>
      <cdr:txBody>
        <a:bodyPr xmlns:a="http://schemas.openxmlformats.org/drawingml/2006/main" vert="vert270" wrap="square" rtlCol="0">
          <a:spAutoFit/>
        </a:bodyPr>
        <a:lstStyle xmlns:a="http://schemas.openxmlformats.org/drawingml/2006/main"/>
        <a:p xmlns:a="http://schemas.openxmlformats.org/drawingml/2006/main">
          <a:pPr algn="ctr"/>
          <a:r>
            <a:rPr lang="en-US" sz="1100"/>
            <a:t>Surgery performed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19</Pages>
  <Words>3957</Words>
  <Characters>22559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Thaddeus</dc:creator>
  <cp:lastModifiedBy>Na Ma</cp:lastModifiedBy>
  <cp:revision>2</cp:revision>
  <cp:lastPrinted>2014-01-20T12:39:00Z</cp:lastPrinted>
  <dcterms:created xsi:type="dcterms:W3CDTF">2014-10-15T03:30:00Z</dcterms:created>
  <dcterms:modified xsi:type="dcterms:W3CDTF">2014-10-15T03:30:00Z</dcterms:modified>
</cp:coreProperties>
</file>