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0E" w:rsidRPr="00561555" w:rsidRDefault="003E410E" w:rsidP="00561555">
      <w:pPr>
        <w:snapToGrid w:val="0"/>
        <w:spacing w:line="360" w:lineRule="auto"/>
        <w:jc w:val="both"/>
        <w:rPr>
          <w:rFonts w:ascii="Book Antiqua" w:hAnsi="Book Antiqua"/>
        </w:rPr>
      </w:pPr>
      <w:r w:rsidRPr="00561555">
        <w:rPr>
          <w:rFonts w:ascii="Book Antiqua" w:hAnsi="Book Antiqua"/>
          <w:b/>
          <w:color w:val="0000FF"/>
        </w:rPr>
        <w:t xml:space="preserve">Name of Journal: </w:t>
      </w:r>
      <w:r w:rsidRPr="00561555">
        <w:rPr>
          <w:rFonts w:ascii="Book Antiqua" w:hAnsi="Book Antiqua"/>
          <w:i/>
        </w:rPr>
        <w:t>World Journal of Gastroenterology</w:t>
      </w:r>
    </w:p>
    <w:p w:rsidR="003E410E" w:rsidRPr="00561555" w:rsidRDefault="003E410E" w:rsidP="00561555">
      <w:pPr>
        <w:snapToGrid w:val="0"/>
        <w:spacing w:line="360" w:lineRule="auto"/>
        <w:jc w:val="both"/>
        <w:rPr>
          <w:rFonts w:ascii="Book Antiqua" w:hAnsi="Book Antiqua"/>
        </w:rPr>
      </w:pPr>
      <w:r w:rsidRPr="00561555">
        <w:rPr>
          <w:rFonts w:ascii="Book Antiqua" w:hAnsi="Book Antiqua"/>
          <w:b/>
          <w:color w:val="0000FF"/>
        </w:rPr>
        <w:t xml:space="preserve">ESPS Manuscript NO: </w:t>
      </w:r>
      <w:r w:rsidRPr="00561555">
        <w:rPr>
          <w:rFonts w:ascii="Book Antiqua" w:hAnsi="Book Antiqua"/>
          <w:b/>
          <w:lang w:eastAsia="zh-CN"/>
        </w:rPr>
        <w:t>1318</w:t>
      </w:r>
    </w:p>
    <w:p w:rsidR="003E410E" w:rsidRPr="00561555" w:rsidRDefault="003E410E" w:rsidP="00561555">
      <w:pPr>
        <w:pStyle w:val="a4"/>
        <w:snapToGrid w:val="0"/>
        <w:spacing w:before="0" w:after="0" w:line="360" w:lineRule="auto"/>
        <w:ind w:right="964"/>
        <w:jc w:val="both"/>
        <w:rPr>
          <w:rFonts w:ascii="Book Antiqua" w:hAnsi="Book Antiqua"/>
          <w:b/>
          <w:color w:val="auto"/>
          <w:sz w:val="24"/>
          <w:szCs w:val="24"/>
        </w:rPr>
      </w:pPr>
      <w:r w:rsidRPr="00561555">
        <w:rPr>
          <w:rFonts w:ascii="Book Antiqua" w:hAnsi="Book Antiqua"/>
          <w:b/>
          <w:color w:val="0000FF"/>
          <w:sz w:val="24"/>
          <w:szCs w:val="24"/>
        </w:rPr>
        <w:t>Columns:</w:t>
      </w:r>
      <w:r w:rsidRPr="00561555">
        <w:rPr>
          <w:rFonts w:ascii="Book Antiqua" w:hAnsi="Book Antiqua"/>
          <w:b/>
          <w:color w:val="0000FF"/>
          <w:sz w:val="24"/>
          <w:szCs w:val="24"/>
          <w:lang w:eastAsia="zh-CN"/>
        </w:rPr>
        <w:t xml:space="preserve"> </w:t>
      </w:r>
      <w:r w:rsidR="00AB455D" w:rsidRPr="00561555">
        <w:rPr>
          <w:rFonts w:ascii="Book Antiqua" w:eastAsiaTheme="minorEastAsia" w:hAnsi="Book Antiqua"/>
          <w:b/>
          <w:color w:val="auto"/>
          <w:sz w:val="24"/>
          <w:szCs w:val="24"/>
          <w:lang w:eastAsia="zh-CN"/>
        </w:rPr>
        <w:t>META-ANALYSIS</w:t>
      </w:r>
    </w:p>
    <w:p w:rsidR="003E410E" w:rsidRPr="00561555" w:rsidRDefault="003E410E" w:rsidP="00561555">
      <w:pPr>
        <w:pStyle w:val="a4"/>
        <w:snapToGrid w:val="0"/>
        <w:spacing w:before="0" w:after="0" w:line="360" w:lineRule="auto"/>
        <w:jc w:val="both"/>
        <w:rPr>
          <w:rFonts w:ascii="Book Antiqua" w:eastAsiaTheme="minorEastAsia" w:hAnsi="Book Antiqua"/>
          <w:b/>
          <w:color w:val="auto"/>
          <w:sz w:val="24"/>
          <w:szCs w:val="24"/>
          <w:lang w:eastAsia="zh-CN"/>
        </w:rPr>
      </w:pPr>
    </w:p>
    <w:p w:rsidR="003E410E" w:rsidRPr="00561555" w:rsidRDefault="003E410E" w:rsidP="00561555">
      <w:pPr>
        <w:pStyle w:val="a4"/>
        <w:snapToGrid w:val="0"/>
        <w:spacing w:before="0" w:after="0" w:line="360" w:lineRule="auto"/>
        <w:jc w:val="both"/>
        <w:rPr>
          <w:rFonts w:ascii="Book Antiqua" w:hAnsi="Book Antiqua"/>
          <w:sz w:val="24"/>
          <w:szCs w:val="24"/>
        </w:rPr>
      </w:pPr>
      <w:r w:rsidRPr="00561555">
        <w:rPr>
          <w:rFonts w:ascii="Book Antiqua" w:hAnsi="Book Antiqua"/>
          <w:b/>
          <w:color w:val="auto"/>
          <w:sz w:val="24"/>
          <w:szCs w:val="24"/>
        </w:rPr>
        <w:t>Clinical prognostic factors for disabling Crohn’s disease: A systematic review and meta-analysis</w:t>
      </w:r>
    </w:p>
    <w:p w:rsidR="003E410E" w:rsidRPr="00561555" w:rsidRDefault="003E410E" w:rsidP="00561555">
      <w:pPr>
        <w:pStyle w:val="author"/>
        <w:snapToGrid w:val="0"/>
        <w:spacing w:after="0" w:line="360" w:lineRule="auto"/>
        <w:jc w:val="both"/>
        <w:rPr>
          <w:rFonts w:ascii="Book Antiqua" w:hAnsi="Book Antiqua"/>
          <w:color w:val="auto"/>
        </w:rPr>
      </w:pPr>
    </w:p>
    <w:p w:rsidR="003E410E" w:rsidRPr="00561555" w:rsidRDefault="003E410E" w:rsidP="00561555">
      <w:pPr>
        <w:pStyle w:val="author"/>
        <w:snapToGrid w:val="0"/>
        <w:spacing w:after="0" w:line="360" w:lineRule="auto"/>
        <w:jc w:val="both"/>
        <w:rPr>
          <w:rFonts w:ascii="Book Antiqua" w:hAnsi="Book Antiqua"/>
          <w:color w:val="auto"/>
          <w:lang w:eastAsia="zh-CN"/>
        </w:rPr>
      </w:pPr>
      <w:r w:rsidRPr="008D4615">
        <w:rPr>
          <w:rFonts w:ascii="Book Antiqua" w:hAnsi="Book Antiqua"/>
          <w:color w:val="auto"/>
        </w:rPr>
        <w:t>Dias C</w:t>
      </w:r>
      <w:r w:rsidRPr="008D4615">
        <w:rPr>
          <w:rFonts w:ascii="Book Antiqua" w:hAnsi="Book Antiqua"/>
          <w:color w:val="auto"/>
          <w:lang w:eastAsia="zh-CN"/>
        </w:rPr>
        <w:t>C</w:t>
      </w:r>
      <w:r w:rsidR="00356413" w:rsidRPr="008D4615">
        <w:rPr>
          <w:rFonts w:ascii="Book Antiqua" w:hAnsi="Book Antiqua"/>
          <w:color w:val="auto"/>
          <w:lang w:eastAsia="zh-CN"/>
        </w:rPr>
        <w:t xml:space="preserve"> </w:t>
      </w:r>
      <w:r w:rsidRPr="008D4615">
        <w:rPr>
          <w:rFonts w:ascii="Book Antiqua" w:hAnsi="Book Antiqua"/>
          <w:i/>
          <w:color w:val="auto"/>
        </w:rPr>
        <w:t>et al</w:t>
      </w:r>
      <w:r w:rsidRPr="008D4615">
        <w:rPr>
          <w:rFonts w:ascii="Book Antiqua" w:hAnsi="Book Antiqua"/>
          <w:color w:val="auto"/>
        </w:rPr>
        <w:t xml:space="preserve">. </w:t>
      </w:r>
      <w:r w:rsidRPr="00561555">
        <w:rPr>
          <w:rFonts w:ascii="Book Antiqua" w:hAnsi="Book Antiqua"/>
          <w:color w:val="auto"/>
        </w:rPr>
        <w:t>Disabling Crohn’s disease</w:t>
      </w:r>
    </w:p>
    <w:p w:rsidR="003E410E" w:rsidRPr="00561555" w:rsidRDefault="003E410E" w:rsidP="00561555">
      <w:pPr>
        <w:pStyle w:val="1"/>
        <w:snapToGrid w:val="0"/>
        <w:spacing w:after="0" w:line="360" w:lineRule="auto"/>
        <w:jc w:val="both"/>
        <w:rPr>
          <w:rFonts w:ascii="Book Antiqua" w:hAnsi="Book Antiqua"/>
          <w:color w:val="auto"/>
        </w:rPr>
      </w:pPr>
    </w:p>
    <w:p w:rsidR="003E410E" w:rsidRPr="00561555" w:rsidRDefault="003E410E" w:rsidP="00561555">
      <w:pPr>
        <w:pStyle w:val="author"/>
        <w:snapToGrid w:val="0"/>
        <w:spacing w:after="0" w:line="360" w:lineRule="auto"/>
        <w:jc w:val="both"/>
        <w:rPr>
          <w:rFonts w:ascii="Book Antiqua" w:hAnsi="Book Antiqua"/>
          <w:color w:val="auto"/>
          <w:lang w:val="it-IT"/>
        </w:rPr>
      </w:pPr>
      <w:r w:rsidRPr="00561555">
        <w:rPr>
          <w:rFonts w:ascii="Book Antiqua" w:hAnsi="Book Antiqua"/>
          <w:color w:val="auto"/>
          <w:lang w:val="it-IT"/>
        </w:rPr>
        <w:t>Cláudia Camila Dias, Pedro Pereira Rodrigues, Altamiro da Costa-Pereira, Fernando Magro</w:t>
      </w:r>
    </w:p>
    <w:p w:rsidR="003E410E" w:rsidRPr="00561555" w:rsidRDefault="0006712C" w:rsidP="00561555">
      <w:pPr>
        <w:pStyle w:val="1"/>
        <w:snapToGrid w:val="0"/>
        <w:spacing w:after="0" w:line="360" w:lineRule="auto"/>
        <w:jc w:val="both"/>
        <w:rPr>
          <w:rFonts w:ascii="Book Antiqua" w:hAnsi="Book Antiqua"/>
          <w:color w:val="auto"/>
          <w:lang w:val="it-IT"/>
        </w:rPr>
      </w:pPr>
      <w:r>
        <w:rPr>
          <w:rFonts w:ascii="Book Antiqua" w:hAnsi="Book Antiqua"/>
          <w:noProof/>
          <w:lang w:eastAsia="zh-CN" w:bidi="ar-SA"/>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85090</wp:posOffset>
                </wp:positionV>
                <wp:extent cx="5803265" cy="27305"/>
                <wp:effectExtent l="20320" t="13970" r="15240" b="349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3265" cy="27305"/>
                        </a:xfrm>
                        <a:prstGeom prst="line">
                          <a:avLst/>
                        </a:prstGeom>
                        <a:noFill/>
                        <a:ln w="25400">
                          <a:solidFill>
                            <a:schemeClr val="tx1">
                              <a:lumMod val="50000"/>
                              <a:lumOff val="50000"/>
                            </a:schemeClr>
                          </a:solidFill>
                          <a:round/>
                          <a:headEnd/>
                          <a:tailEnd/>
                        </a:ln>
                        <a:effectLst>
                          <a:outerShdw dist="20000" dir="5400000" rotWithShape="0">
                            <a:srgbClr val="74D2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7pt" to="456.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" strokecolor="gray [1629]" strokeweight="2pt">
                <v:shadow on="t" color="#74d280" opacity="24903f" origin=",.5" offset="0,.55556mm"/>
              </v:line>
            </w:pict>
          </mc:Fallback>
        </mc:AlternateContent>
      </w:r>
    </w:p>
    <w:p w:rsidR="00356413" w:rsidRPr="00561555" w:rsidRDefault="003E410E" w:rsidP="00561555">
      <w:pPr>
        <w:pStyle w:val="First-line-indent"/>
        <w:snapToGrid w:val="0"/>
        <w:spacing w:line="360" w:lineRule="auto"/>
        <w:ind w:firstLine="0"/>
        <w:rPr>
          <w:rFonts w:ascii="Book Antiqua" w:hAnsi="Book Antiqua"/>
          <w:color w:val="auto"/>
          <w:lang w:eastAsia="zh-CN"/>
        </w:rPr>
      </w:pPr>
      <w:bookmarkStart w:id="0" w:name="OLE_LINK825"/>
      <w:bookmarkStart w:id="1" w:name="OLE_LINK826"/>
      <w:r w:rsidRPr="00561555">
        <w:rPr>
          <w:rStyle w:val="textbf"/>
          <w:rFonts w:ascii="Book Antiqua" w:hAnsi="Book Antiqua"/>
          <w:color w:val="auto"/>
        </w:rPr>
        <w:t>Cláudia Camila Dias, Altamiro da Costa Pereira,</w:t>
      </w:r>
      <w:r w:rsidR="005B3C12" w:rsidRPr="00561555">
        <w:rPr>
          <w:rStyle w:val="textbf"/>
          <w:rFonts w:ascii="Book Antiqua" w:hAnsi="Book Antiqua"/>
          <w:color w:val="auto"/>
        </w:rPr>
        <w:t xml:space="preserve"> Pedro Pereira Rodrigues,</w:t>
      </w:r>
      <w:bookmarkEnd w:id="0"/>
      <w:bookmarkEnd w:id="1"/>
      <w:r w:rsidRPr="00561555">
        <w:rPr>
          <w:rStyle w:val="textbf"/>
          <w:rFonts w:ascii="Book Antiqua" w:hAnsi="Book Antiqua"/>
          <w:color w:val="auto"/>
        </w:rPr>
        <w:t xml:space="preserve"> </w:t>
      </w:r>
      <w:r w:rsidRPr="00561555">
        <w:rPr>
          <w:rFonts w:ascii="Book Antiqua" w:hAnsi="Book Antiqua"/>
          <w:color w:val="auto"/>
        </w:rPr>
        <w:t>Health Information and Decision Sciences Department, Faculty of Medicine</w:t>
      </w:r>
      <w:r w:rsidR="00611036" w:rsidRPr="00561555">
        <w:rPr>
          <w:rFonts w:ascii="Book Antiqua" w:hAnsi="Book Antiqua"/>
          <w:color w:val="auto"/>
          <w:lang w:eastAsia="zh-CN"/>
        </w:rPr>
        <w:t>,</w:t>
      </w:r>
      <w:r w:rsidRPr="00561555">
        <w:rPr>
          <w:rFonts w:ascii="Book Antiqua" w:hAnsi="Book Antiqua"/>
          <w:color w:val="auto"/>
        </w:rPr>
        <w:t xml:space="preserve"> </w:t>
      </w:r>
      <w:bookmarkStart w:id="2" w:name="OLE_LINK769"/>
      <w:bookmarkStart w:id="3" w:name="OLE_LINK770"/>
      <w:r w:rsidRPr="00561555">
        <w:rPr>
          <w:rFonts w:ascii="Book Antiqua" w:hAnsi="Book Antiqua"/>
          <w:color w:val="auto"/>
        </w:rPr>
        <w:t xml:space="preserve">University of </w:t>
      </w:r>
      <w:bookmarkStart w:id="4" w:name="OLE_LINK771"/>
      <w:bookmarkStart w:id="5" w:name="OLE_LINK772"/>
      <w:r w:rsidRPr="00561555">
        <w:rPr>
          <w:rFonts w:ascii="Book Antiqua" w:hAnsi="Book Antiqua"/>
          <w:color w:val="auto"/>
        </w:rPr>
        <w:t>Porto</w:t>
      </w:r>
      <w:bookmarkEnd w:id="4"/>
      <w:bookmarkEnd w:id="5"/>
      <w:r w:rsidRPr="00561555">
        <w:rPr>
          <w:rFonts w:ascii="Book Antiqua" w:hAnsi="Book Antiqua"/>
          <w:color w:val="auto"/>
        </w:rPr>
        <w:t xml:space="preserve">, </w:t>
      </w:r>
      <w:bookmarkStart w:id="6" w:name="OLE_LINK773"/>
      <w:bookmarkStart w:id="7" w:name="OLE_LINK774"/>
      <w:bookmarkStart w:id="8" w:name="OLE_LINK775"/>
      <w:r w:rsidR="00611036" w:rsidRPr="00561555">
        <w:rPr>
          <w:rFonts w:ascii="Book Antiqua" w:hAnsi="Book Antiqua"/>
          <w:color w:val="auto"/>
        </w:rPr>
        <w:t>4099 Porto</w:t>
      </w:r>
      <w:r w:rsidR="00611036" w:rsidRPr="00561555">
        <w:rPr>
          <w:rFonts w:ascii="Book Antiqua" w:hAnsi="Book Antiqua"/>
          <w:color w:val="auto"/>
          <w:lang w:eastAsia="zh-CN"/>
        </w:rPr>
        <w:t>,</w:t>
      </w:r>
      <w:bookmarkEnd w:id="6"/>
      <w:bookmarkEnd w:id="7"/>
      <w:bookmarkEnd w:id="8"/>
      <w:r w:rsidR="00611036" w:rsidRPr="00561555">
        <w:rPr>
          <w:rFonts w:ascii="Book Antiqua" w:hAnsi="Book Antiqua"/>
          <w:color w:val="auto"/>
        </w:rPr>
        <w:t xml:space="preserve"> </w:t>
      </w:r>
      <w:r w:rsidRPr="00561555">
        <w:rPr>
          <w:rFonts w:ascii="Book Antiqua" w:hAnsi="Book Antiqua"/>
          <w:color w:val="auto"/>
        </w:rPr>
        <w:t xml:space="preserve">Portugal </w:t>
      </w:r>
    </w:p>
    <w:bookmarkEnd w:id="2"/>
    <w:bookmarkEnd w:id="3"/>
    <w:p w:rsidR="00356413" w:rsidRPr="00561555" w:rsidRDefault="00356413" w:rsidP="00561555">
      <w:pPr>
        <w:pStyle w:val="First-line-indent"/>
        <w:snapToGrid w:val="0"/>
        <w:spacing w:line="360" w:lineRule="auto"/>
        <w:ind w:firstLine="0"/>
        <w:rPr>
          <w:rFonts w:ascii="Book Antiqua" w:hAnsi="Book Antiqua"/>
          <w:color w:val="auto"/>
          <w:lang w:eastAsia="zh-CN"/>
        </w:rPr>
      </w:pPr>
    </w:p>
    <w:p w:rsidR="003E410E" w:rsidRPr="00561555" w:rsidRDefault="005B3C12" w:rsidP="00561555">
      <w:pPr>
        <w:pStyle w:val="First-line-indent"/>
        <w:snapToGrid w:val="0"/>
        <w:spacing w:line="360" w:lineRule="auto"/>
        <w:ind w:firstLine="0"/>
        <w:rPr>
          <w:rFonts w:ascii="Book Antiqua" w:hAnsi="Book Antiqua"/>
          <w:color w:val="auto"/>
        </w:rPr>
      </w:pPr>
      <w:r w:rsidRPr="00561555">
        <w:rPr>
          <w:rStyle w:val="textbf"/>
          <w:rFonts w:ascii="Book Antiqua" w:hAnsi="Book Antiqua"/>
          <w:color w:val="auto"/>
        </w:rPr>
        <w:t>Cláudia Camila Dias, Altamiro da Costa Pereira, Pedro Pereira Rodrigues,</w:t>
      </w:r>
      <w:r w:rsidRPr="00561555">
        <w:rPr>
          <w:rStyle w:val="textbf"/>
          <w:rFonts w:ascii="Book Antiqua" w:hAnsi="Book Antiqua"/>
          <w:color w:val="auto"/>
          <w:lang w:eastAsia="zh-CN"/>
        </w:rPr>
        <w:t xml:space="preserve"> </w:t>
      </w:r>
      <w:r w:rsidR="003E410E" w:rsidRPr="00561555">
        <w:rPr>
          <w:rFonts w:ascii="Book Antiqua" w:hAnsi="Book Antiqua"/>
          <w:color w:val="auto"/>
        </w:rPr>
        <w:t>Centre for Research in Health Informatics Systems and Technologies</w:t>
      </w:r>
      <w:r w:rsidRPr="00561555">
        <w:rPr>
          <w:rFonts w:ascii="Book Antiqua" w:hAnsi="Book Antiqua"/>
          <w:color w:val="auto"/>
          <w:lang w:eastAsia="zh-CN"/>
        </w:rPr>
        <w:t xml:space="preserve"> (</w:t>
      </w:r>
      <w:r w:rsidRPr="00561555">
        <w:rPr>
          <w:rFonts w:ascii="Book Antiqua" w:hAnsi="Book Antiqua"/>
          <w:color w:val="auto"/>
        </w:rPr>
        <w:t>CINTESIS</w:t>
      </w:r>
      <w:r w:rsidRPr="00561555">
        <w:rPr>
          <w:rFonts w:ascii="Book Antiqua" w:hAnsi="Book Antiqua"/>
          <w:color w:val="auto"/>
          <w:lang w:eastAsia="zh-CN"/>
        </w:rPr>
        <w:t>)</w:t>
      </w:r>
      <w:r w:rsidR="003E410E" w:rsidRPr="00561555">
        <w:rPr>
          <w:rFonts w:ascii="Book Antiqua" w:hAnsi="Book Antiqua"/>
          <w:color w:val="auto"/>
        </w:rPr>
        <w:t xml:space="preserve">, </w:t>
      </w:r>
      <w:r w:rsidR="003E410E" w:rsidRPr="00561555">
        <w:rPr>
          <w:rFonts w:ascii="Book Antiqua" w:hAnsi="Book Antiqua"/>
        </w:rPr>
        <w:t xml:space="preserve">4200-319 </w:t>
      </w:r>
      <w:r w:rsidR="003E410E" w:rsidRPr="00561555">
        <w:rPr>
          <w:rFonts w:ascii="Book Antiqua" w:hAnsi="Book Antiqua"/>
          <w:color w:val="auto"/>
        </w:rPr>
        <w:t>Porto, Portugal</w:t>
      </w:r>
    </w:p>
    <w:p w:rsidR="007B56D1" w:rsidRPr="00561555" w:rsidRDefault="007B56D1" w:rsidP="00561555">
      <w:pPr>
        <w:pStyle w:val="First-line-indent"/>
        <w:snapToGrid w:val="0"/>
        <w:spacing w:line="360" w:lineRule="auto"/>
        <w:ind w:firstLine="0"/>
        <w:rPr>
          <w:rFonts w:ascii="Book Antiqua" w:hAnsi="Book Antiqua"/>
          <w:color w:val="auto"/>
          <w:lang w:eastAsia="zh-CN"/>
        </w:rPr>
      </w:pPr>
    </w:p>
    <w:p w:rsidR="003E410E" w:rsidRPr="00561555" w:rsidRDefault="003E410E" w:rsidP="00561555">
      <w:pPr>
        <w:pStyle w:val="First-line-indent"/>
        <w:snapToGrid w:val="0"/>
        <w:spacing w:line="360" w:lineRule="auto"/>
        <w:ind w:firstLine="0"/>
        <w:rPr>
          <w:rFonts w:ascii="Book Antiqua" w:hAnsi="Book Antiqua"/>
          <w:color w:val="auto"/>
          <w:lang w:eastAsia="zh-CN"/>
        </w:rPr>
      </w:pPr>
      <w:r w:rsidRPr="00561555">
        <w:rPr>
          <w:rStyle w:val="textbf"/>
          <w:rFonts w:ascii="Book Antiqua" w:hAnsi="Book Antiqua"/>
          <w:color w:val="auto"/>
        </w:rPr>
        <w:t>Pedro Pereira Rodrigues,</w:t>
      </w:r>
      <w:r w:rsidR="005B3C12" w:rsidRPr="00561555">
        <w:rPr>
          <w:rStyle w:val="textbf"/>
          <w:rFonts w:ascii="Book Antiqua" w:hAnsi="Book Antiqua"/>
          <w:color w:val="auto"/>
        </w:rPr>
        <w:t xml:space="preserve"> </w:t>
      </w:r>
      <w:r w:rsidRPr="00561555">
        <w:rPr>
          <w:rFonts w:ascii="Book Antiqua" w:hAnsi="Book Antiqua"/>
          <w:color w:val="auto"/>
        </w:rPr>
        <w:t>Laboratory of Artificial Intelligence and Decision Support</w:t>
      </w:r>
      <w:r w:rsidRPr="00561555">
        <w:rPr>
          <w:rFonts w:ascii="Book Antiqua" w:hAnsi="Book Antiqua"/>
          <w:color w:val="auto"/>
          <w:lang w:eastAsia="zh-CN"/>
        </w:rPr>
        <w:t xml:space="preserve">, </w:t>
      </w:r>
      <w:r w:rsidRPr="00561555">
        <w:rPr>
          <w:rFonts w:ascii="Book Antiqua" w:hAnsi="Book Antiqua"/>
          <w:color w:val="auto"/>
        </w:rPr>
        <w:t>INESC TEC</w:t>
      </w:r>
      <w:r w:rsidRPr="00561555">
        <w:rPr>
          <w:rFonts w:ascii="Book Antiqua" w:hAnsi="Book Antiqua"/>
          <w:color w:val="auto"/>
          <w:lang w:eastAsia="zh-CN"/>
        </w:rPr>
        <w:t xml:space="preserve">, </w:t>
      </w:r>
      <w:r w:rsidRPr="00561555">
        <w:rPr>
          <w:rFonts w:ascii="Book Antiqua" w:hAnsi="Book Antiqua"/>
          <w:color w:val="auto"/>
        </w:rPr>
        <w:t xml:space="preserve">Artificial Intelligence and Decision Support Laboratory, </w:t>
      </w:r>
      <w:r w:rsidRPr="00561555">
        <w:rPr>
          <w:rFonts w:ascii="Book Antiqua" w:hAnsi="Book Antiqua"/>
        </w:rPr>
        <w:t xml:space="preserve">4200-319 </w:t>
      </w:r>
      <w:r w:rsidRPr="00561555">
        <w:rPr>
          <w:rFonts w:ascii="Book Antiqua" w:hAnsi="Book Antiqua"/>
          <w:color w:val="auto"/>
        </w:rPr>
        <w:t>Porto, Portugal</w:t>
      </w:r>
    </w:p>
    <w:p w:rsidR="003E410E" w:rsidRPr="00561555" w:rsidRDefault="003E410E" w:rsidP="00561555">
      <w:pPr>
        <w:pStyle w:val="First-line-indent"/>
        <w:snapToGrid w:val="0"/>
        <w:spacing w:line="360" w:lineRule="auto"/>
        <w:ind w:firstLine="0"/>
        <w:rPr>
          <w:rFonts w:ascii="Book Antiqua" w:hAnsi="Book Antiqua"/>
          <w:color w:val="auto"/>
        </w:rPr>
      </w:pPr>
    </w:p>
    <w:p w:rsidR="007B56D1" w:rsidRPr="00561555" w:rsidRDefault="003E410E" w:rsidP="00561555">
      <w:pPr>
        <w:pStyle w:val="First-line-indent"/>
        <w:snapToGrid w:val="0"/>
        <w:spacing w:line="360" w:lineRule="auto"/>
        <w:ind w:firstLine="0"/>
        <w:rPr>
          <w:rFonts w:ascii="Book Antiqua" w:hAnsi="Book Antiqua"/>
          <w:color w:val="auto"/>
          <w:lang w:eastAsia="zh-CN"/>
        </w:rPr>
      </w:pPr>
      <w:r w:rsidRPr="00561555">
        <w:rPr>
          <w:rStyle w:val="textbf"/>
          <w:rFonts w:ascii="Book Antiqua" w:hAnsi="Book Antiqua"/>
          <w:color w:val="auto"/>
        </w:rPr>
        <w:t>Fernando Magro,</w:t>
      </w:r>
      <w:bookmarkStart w:id="9" w:name="OLE_LINK776"/>
      <w:bookmarkStart w:id="10" w:name="OLE_LINK777"/>
      <w:r w:rsidRPr="00561555">
        <w:rPr>
          <w:rStyle w:val="textbf"/>
          <w:rFonts w:ascii="Book Antiqua" w:hAnsi="Book Antiqua"/>
          <w:color w:val="auto"/>
        </w:rPr>
        <w:t xml:space="preserve"> </w:t>
      </w:r>
      <w:r w:rsidRPr="00561555">
        <w:rPr>
          <w:rFonts w:ascii="Book Antiqua" w:hAnsi="Book Antiqua"/>
          <w:color w:val="auto"/>
        </w:rPr>
        <w:t>Centro Hospital de São João</w:t>
      </w:r>
      <w:r w:rsidR="005D6044" w:rsidRPr="00561555">
        <w:rPr>
          <w:rFonts w:ascii="Book Antiqua" w:hAnsi="Book Antiqua"/>
          <w:color w:val="auto"/>
          <w:lang w:eastAsia="zh-CN"/>
        </w:rPr>
        <w:t>,</w:t>
      </w:r>
      <w:bookmarkEnd w:id="9"/>
      <w:bookmarkEnd w:id="10"/>
      <w:r w:rsidRPr="00561555">
        <w:rPr>
          <w:rFonts w:ascii="Book Antiqua" w:hAnsi="Book Antiqua"/>
          <w:color w:val="auto"/>
        </w:rPr>
        <w:t xml:space="preserve"> Institute of Pharmacology and Therapeutics</w:t>
      </w:r>
      <w:r w:rsidR="005D6044" w:rsidRPr="00561555">
        <w:rPr>
          <w:rFonts w:ascii="Book Antiqua" w:hAnsi="Book Antiqua"/>
          <w:color w:val="auto"/>
          <w:lang w:eastAsia="zh-CN"/>
        </w:rPr>
        <w:t>,</w:t>
      </w:r>
      <w:r w:rsidRPr="00561555">
        <w:rPr>
          <w:rFonts w:ascii="Book Antiqua" w:hAnsi="Book Antiqua"/>
          <w:color w:val="auto"/>
        </w:rPr>
        <w:t xml:space="preserve"> </w:t>
      </w:r>
      <w:bookmarkStart w:id="11" w:name="OLE_LINK778"/>
      <w:bookmarkStart w:id="12" w:name="OLE_LINK779"/>
      <w:r w:rsidRPr="00561555">
        <w:rPr>
          <w:rFonts w:ascii="Book Antiqua" w:hAnsi="Book Antiqua"/>
          <w:color w:val="auto"/>
        </w:rPr>
        <w:t>Faculty of Medicine</w:t>
      </w:r>
      <w:r w:rsidR="00611036" w:rsidRPr="00561555">
        <w:rPr>
          <w:rFonts w:ascii="Book Antiqua" w:hAnsi="Book Antiqua"/>
          <w:color w:val="auto"/>
          <w:lang w:eastAsia="zh-CN"/>
        </w:rPr>
        <w:t>,</w:t>
      </w:r>
      <w:r w:rsidRPr="00561555">
        <w:rPr>
          <w:rFonts w:ascii="Book Antiqua" w:hAnsi="Book Antiqua"/>
          <w:color w:val="auto"/>
        </w:rPr>
        <w:t xml:space="preserve"> University of Porto, </w:t>
      </w:r>
      <w:bookmarkEnd w:id="11"/>
      <w:bookmarkEnd w:id="12"/>
      <w:r w:rsidR="00611036" w:rsidRPr="00561555">
        <w:rPr>
          <w:rFonts w:ascii="Book Antiqua" w:hAnsi="Book Antiqua"/>
          <w:color w:val="auto"/>
        </w:rPr>
        <w:t>4099 Porto</w:t>
      </w:r>
      <w:r w:rsidR="00611036" w:rsidRPr="00561555">
        <w:rPr>
          <w:rFonts w:ascii="Book Antiqua" w:hAnsi="Book Antiqua"/>
          <w:color w:val="auto"/>
          <w:lang w:eastAsia="zh-CN"/>
        </w:rPr>
        <w:t xml:space="preserve">, </w:t>
      </w:r>
      <w:r w:rsidRPr="00561555">
        <w:rPr>
          <w:rFonts w:ascii="Book Antiqua" w:hAnsi="Book Antiqua"/>
          <w:color w:val="auto"/>
        </w:rPr>
        <w:t xml:space="preserve">Portugal </w:t>
      </w:r>
    </w:p>
    <w:p w:rsidR="007B56D1" w:rsidRPr="00561555" w:rsidRDefault="007B56D1" w:rsidP="00561555">
      <w:pPr>
        <w:pStyle w:val="First-line-indent"/>
        <w:snapToGrid w:val="0"/>
        <w:spacing w:line="360" w:lineRule="auto"/>
        <w:ind w:firstLine="0"/>
        <w:rPr>
          <w:rFonts w:ascii="Book Antiqua" w:hAnsi="Book Antiqua"/>
          <w:color w:val="auto"/>
          <w:lang w:eastAsia="zh-CN"/>
        </w:rPr>
      </w:pPr>
    </w:p>
    <w:p w:rsidR="003E410E" w:rsidRPr="00561555" w:rsidRDefault="007B56D1" w:rsidP="00561555">
      <w:pPr>
        <w:pStyle w:val="First-line-indent"/>
        <w:snapToGrid w:val="0"/>
        <w:spacing w:line="360" w:lineRule="auto"/>
        <w:ind w:firstLine="0"/>
        <w:rPr>
          <w:rFonts w:ascii="Book Antiqua" w:hAnsi="Book Antiqua"/>
          <w:color w:val="auto"/>
        </w:rPr>
      </w:pPr>
      <w:r w:rsidRPr="00561555">
        <w:rPr>
          <w:rStyle w:val="textbf"/>
          <w:rFonts w:ascii="Book Antiqua" w:hAnsi="Book Antiqua"/>
          <w:color w:val="auto"/>
        </w:rPr>
        <w:t xml:space="preserve">Fernando Magro, </w:t>
      </w:r>
      <w:r w:rsidR="003E410E" w:rsidRPr="00561555">
        <w:rPr>
          <w:rFonts w:ascii="Book Antiqua" w:hAnsi="Book Antiqua"/>
          <w:color w:val="auto"/>
        </w:rPr>
        <w:t>Institute for Molecular and Cell Biology</w:t>
      </w:r>
      <w:r w:rsidR="00C85569" w:rsidRPr="00561555">
        <w:rPr>
          <w:rFonts w:ascii="Book Antiqua" w:hAnsi="Book Antiqua"/>
          <w:color w:val="auto"/>
          <w:lang w:eastAsia="zh-CN"/>
        </w:rPr>
        <w:t xml:space="preserve"> (</w:t>
      </w:r>
      <w:r w:rsidR="00C85569" w:rsidRPr="00561555">
        <w:rPr>
          <w:rFonts w:ascii="Book Antiqua" w:hAnsi="Book Antiqua"/>
          <w:color w:val="auto"/>
        </w:rPr>
        <w:t>IBMC</w:t>
      </w:r>
      <w:r w:rsidR="00C85569" w:rsidRPr="00561555">
        <w:rPr>
          <w:rFonts w:ascii="Book Antiqua" w:hAnsi="Book Antiqua"/>
          <w:color w:val="auto"/>
          <w:lang w:eastAsia="zh-CN"/>
        </w:rPr>
        <w:t>)</w:t>
      </w:r>
      <w:r w:rsidR="005D6044" w:rsidRPr="00561555">
        <w:rPr>
          <w:rFonts w:ascii="Book Antiqua" w:hAnsi="Book Antiqua"/>
          <w:lang w:eastAsia="zh-CN"/>
        </w:rPr>
        <w:t xml:space="preserve">, </w:t>
      </w:r>
      <w:r w:rsidR="003E410E" w:rsidRPr="00561555">
        <w:rPr>
          <w:rFonts w:ascii="Book Antiqua" w:hAnsi="Book Antiqua"/>
        </w:rPr>
        <w:t xml:space="preserve">4200-319 </w:t>
      </w:r>
      <w:r w:rsidR="003E410E" w:rsidRPr="00561555">
        <w:rPr>
          <w:rFonts w:ascii="Book Antiqua" w:hAnsi="Book Antiqua"/>
          <w:color w:val="auto"/>
        </w:rPr>
        <w:t>Porto, Portugal</w:t>
      </w:r>
    </w:p>
    <w:p w:rsidR="003E410E" w:rsidRPr="00561555" w:rsidRDefault="003E410E" w:rsidP="00561555">
      <w:pPr>
        <w:pStyle w:val="First-line-indent"/>
        <w:snapToGrid w:val="0"/>
        <w:spacing w:line="360" w:lineRule="auto"/>
        <w:ind w:firstLine="0"/>
        <w:rPr>
          <w:rFonts w:ascii="Book Antiqua" w:hAnsi="Book Antiqua"/>
          <w:color w:val="auto"/>
        </w:rPr>
      </w:pPr>
    </w:p>
    <w:p w:rsidR="003E410E" w:rsidRPr="00561555" w:rsidRDefault="003E410E" w:rsidP="00561555">
      <w:pPr>
        <w:pStyle w:val="Heading-2"/>
        <w:numPr>
          <w:ilvl w:val="1"/>
          <w:numId w:val="1"/>
        </w:numPr>
        <w:tabs>
          <w:tab w:val="clear" w:pos="576"/>
          <w:tab w:val="left" w:pos="0"/>
        </w:tabs>
        <w:snapToGrid w:val="0"/>
        <w:spacing w:before="0" w:after="0" w:line="360" w:lineRule="auto"/>
        <w:ind w:left="0" w:firstLine="0"/>
        <w:jc w:val="both"/>
        <w:rPr>
          <w:rFonts w:ascii="Book Antiqua" w:hAnsi="Book Antiqua"/>
          <w:color w:val="auto"/>
          <w:sz w:val="24"/>
          <w:szCs w:val="24"/>
        </w:rPr>
      </w:pPr>
      <w:r w:rsidRPr="00561555">
        <w:rPr>
          <w:rFonts w:ascii="Book Antiqua" w:hAnsi="Book Antiqua"/>
          <w:b/>
          <w:color w:val="auto"/>
          <w:sz w:val="24"/>
          <w:szCs w:val="24"/>
        </w:rPr>
        <w:t xml:space="preserve">Author contributions: </w:t>
      </w:r>
      <w:r w:rsidRPr="00561555">
        <w:rPr>
          <w:rStyle w:val="textbf"/>
          <w:rFonts w:ascii="Book Antiqua" w:hAnsi="Book Antiqua"/>
          <w:b w:val="0"/>
          <w:color w:val="auto"/>
          <w:sz w:val="24"/>
          <w:szCs w:val="24"/>
        </w:rPr>
        <w:t xml:space="preserve">Dias CC </w:t>
      </w:r>
      <w:r w:rsidRPr="00561555">
        <w:rPr>
          <w:rFonts w:ascii="Book Antiqua" w:hAnsi="Book Antiqua"/>
          <w:color w:val="auto"/>
          <w:sz w:val="24"/>
          <w:szCs w:val="24"/>
        </w:rPr>
        <w:t xml:space="preserve">was involved in the conception and design of the study, acquisition, analysis and interpretation of data, and was responsible for drafting the manuscript; Rodrigues PP was involved in the analysis and </w:t>
      </w:r>
      <w:r w:rsidRPr="00561555">
        <w:rPr>
          <w:rFonts w:ascii="Book Antiqua" w:hAnsi="Book Antiqua"/>
          <w:color w:val="auto"/>
          <w:sz w:val="24"/>
          <w:szCs w:val="24"/>
        </w:rPr>
        <w:lastRenderedPageBreak/>
        <w:t xml:space="preserve">interpretation of data and drafting the manuscript; </w:t>
      </w:r>
      <w:r w:rsidRPr="00561555">
        <w:rPr>
          <w:rStyle w:val="textbf"/>
          <w:rFonts w:ascii="Book Antiqua" w:hAnsi="Book Antiqua"/>
          <w:b w:val="0"/>
          <w:color w:val="auto"/>
          <w:sz w:val="24"/>
          <w:szCs w:val="24"/>
        </w:rPr>
        <w:t>Pereira</w:t>
      </w:r>
      <w:r w:rsidRPr="00561555">
        <w:rPr>
          <w:rFonts w:ascii="Book Antiqua" w:hAnsi="Book Antiqua"/>
          <w:color w:val="auto"/>
          <w:sz w:val="24"/>
          <w:szCs w:val="24"/>
        </w:rPr>
        <w:t xml:space="preserve"> AC was involved in interpretation of data and critically revising the manuscript; Magro F was involved in the conception and design of the study, interpretation of data, and drafting and revised the manuscript</w:t>
      </w:r>
      <w:r w:rsidR="005D6044" w:rsidRPr="00561555">
        <w:rPr>
          <w:rFonts w:ascii="Book Antiqua" w:eastAsiaTheme="minorEastAsia" w:hAnsi="Book Antiqua"/>
          <w:color w:val="auto"/>
          <w:sz w:val="24"/>
          <w:szCs w:val="24"/>
          <w:lang w:eastAsia="zh-CN"/>
        </w:rPr>
        <w:t>;</w:t>
      </w:r>
      <w:r w:rsidRPr="00561555">
        <w:rPr>
          <w:rFonts w:ascii="Book Antiqua" w:hAnsi="Book Antiqua"/>
          <w:color w:val="auto"/>
          <w:sz w:val="24"/>
          <w:szCs w:val="24"/>
        </w:rPr>
        <w:t xml:space="preserve"> All authors read and approved the final manuscript. </w:t>
      </w:r>
    </w:p>
    <w:p w:rsidR="003E410E" w:rsidRPr="00561555" w:rsidDel="00B06699" w:rsidRDefault="003E410E" w:rsidP="00561555">
      <w:pPr>
        <w:pStyle w:val="First-line-indent"/>
        <w:snapToGrid w:val="0"/>
        <w:spacing w:line="360" w:lineRule="auto"/>
        <w:ind w:firstLine="0"/>
        <w:rPr>
          <w:rFonts w:ascii="Book Antiqua" w:hAnsi="Book Antiqua"/>
          <w:color w:val="auto"/>
        </w:rPr>
      </w:pPr>
    </w:p>
    <w:p w:rsidR="003E410E" w:rsidRPr="00561555" w:rsidRDefault="003E410E" w:rsidP="00561555">
      <w:pPr>
        <w:pStyle w:val="First-line-indent"/>
        <w:snapToGrid w:val="0"/>
        <w:spacing w:line="360" w:lineRule="auto"/>
        <w:ind w:firstLine="0"/>
        <w:rPr>
          <w:rStyle w:val="textbf"/>
          <w:rFonts w:ascii="Book Antiqua" w:hAnsi="Book Antiqua"/>
          <w:color w:val="auto"/>
          <w:lang w:eastAsia="zh-CN"/>
        </w:rPr>
      </w:pPr>
      <w:r w:rsidRPr="00561555">
        <w:rPr>
          <w:rStyle w:val="textbf"/>
          <w:rFonts w:ascii="Book Antiqua" w:hAnsi="Book Antiqua"/>
          <w:color w:val="auto"/>
        </w:rPr>
        <w:t xml:space="preserve">Supported by </w:t>
      </w:r>
      <w:r w:rsidRPr="00561555">
        <w:rPr>
          <w:rFonts w:ascii="Book Antiqua" w:hAnsi="Book Antiqua"/>
          <w:color w:val="auto"/>
        </w:rPr>
        <w:t>Centre for Research in Health Informatics Systems and Technologies</w:t>
      </w:r>
      <w:r w:rsidR="005D6044" w:rsidRPr="00561555">
        <w:rPr>
          <w:rFonts w:ascii="Book Antiqua" w:hAnsi="Book Antiqua"/>
          <w:color w:val="auto"/>
        </w:rPr>
        <w:t xml:space="preserve"> </w:t>
      </w:r>
      <w:r w:rsidR="005D6044" w:rsidRPr="00561555">
        <w:rPr>
          <w:rFonts w:ascii="Book Antiqua" w:hAnsi="Book Antiqua"/>
          <w:color w:val="auto"/>
          <w:lang w:eastAsia="zh-CN"/>
        </w:rPr>
        <w:t>(</w:t>
      </w:r>
      <w:r w:rsidR="005D6044" w:rsidRPr="00561555">
        <w:rPr>
          <w:rFonts w:ascii="Book Antiqua" w:hAnsi="Book Antiqua"/>
          <w:color w:val="auto"/>
        </w:rPr>
        <w:t>CINTESIS</w:t>
      </w:r>
      <w:r w:rsidR="005D6044" w:rsidRPr="00561555">
        <w:rPr>
          <w:rFonts w:ascii="Book Antiqua" w:hAnsi="Book Antiqua"/>
          <w:color w:val="auto"/>
          <w:lang w:eastAsia="zh-CN"/>
        </w:rPr>
        <w:t>)</w:t>
      </w:r>
    </w:p>
    <w:p w:rsidR="003E410E" w:rsidRPr="00561555" w:rsidRDefault="003E410E" w:rsidP="00561555">
      <w:pPr>
        <w:pStyle w:val="First-line-indent"/>
        <w:snapToGrid w:val="0"/>
        <w:spacing w:line="360" w:lineRule="auto"/>
        <w:ind w:firstLine="0"/>
        <w:rPr>
          <w:rStyle w:val="textbf"/>
          <w:rFonts w:ascii="Book Antiqua" w:hAnsi="Book Antiqua"/>
          <w:color w:val="auto"/>
        </w:rPr>
      </w:pPr>
    </w:p>
    <w:p w:rsidR="003E410E" w:rsidRPr="00561555" w:rsidRDefault="003E410E" w:rsidP="00561555">
      <w:pPr>
        <w:pStyle w:val="First-line-indent"/>
        <w:snapToGrid w:val="0"/>
        <w:spacing w:line="360" w:lineRule="auto"/>
        <w:ind w:firstLine="0"/>
        <w:rPr>
          <w:rFonts w:ascii="Book Antiqua" w:hAnsi="Book Antiqua"/>
        </w:rPr>
      </w:pPr>
      <w:r w:rsidRPr="00561555">
        <w:rPr>
          <w:rStyle w:val="textbf"/>
          <w:rFonts w:ascii="Book Antiqua" w:hAnsi="Book Antiqua"/>
          <w:color w:val="auto"/>
        </w:rPr>
        <w:t xml:space="preserve">Correspondence to: </w:t>
      </w:r>
      <w:r w:rsidRPr="00561555">
        <w:rPr>
          <w:rFonts w:ascii="Book Antiqua" w:hAnsi="Book Antiqua"/>
          <w:b/>
        </w:rPr>
        <w:t>Fernando Magro,</w:t>
      </w:r>
      <w:r w:rsidRPr="00561555">
        <w:rPr>
          <w:rFonts w:ascii="Book Antiqua" w:hAnsi="Book Antiqua"/>
        </w:rPr>
        <w:t xml:space="preserve"> </w:t>
      </w:r>
      <w:r w:rsidR="007B56D1" w:rsidRPr="00561555">
        <w:rPr>
          <w:rFonts w:ascii="Book Antiqua" w:hAnsi="Book Antiqua"/>
          <w:b/>
        </w:rPr>
        <w:t>MD, PhD</w:t>
      </w:r>
      <w:r w:rsidR="007B56D1" w:rsidRPr="00561555">
        <w:rPr>
          <w:rFonts w:ascii="Book Antiqua" w:hAnsi="Book Antiqua"/>
          <w:b/>
          <w:lang w:eastAsia="zh-CN"/>
        </w:rPr>
        <w:t>,</w:t>
      </w:r>
      <w:r w:rsidR="00C26535" w:rsidRPr="00561555">
        <w:rPr>
          <w:rStyle w:val="textbf"/>
          <w:rFonts w:ascii="Book Antiqua" w:hAnsi="Book Antiqua"/>
          <w:color w:val="auto"/>
        </w:rPr>
        <w:t xml:space="preserve"> </w:t>
      </w:r>
      <w:r w:rsidR="00C26535" w:rsidRPr="00561555">
        <w:rPr>
          <w:rFonts w:ascii="Book Antiqua" w:hAnsi="Book Antiqua"/>
          <w:color w:val="auto"/>
        </w:rPr>
        <w:t>Centro Hospital de São João</w:t>
      </w:r>
      <w:r w:rsidR="00C26535" w:rsidRPr="00561555">
        <w:rPr>
          <w:rFonts w:ascii="Book Antiqua" w:hAnsi="Book Antiqua"/>
          <w:color w:val="auto"/>
          <w:lang w:eastAsia="zh-CN"/>
        </w:rPr>
        <w:t>,</w:t>
      </w:r>
      <w:r w:rsidR="007B56D1" w:rsidRPr="00561555">
        <w:rPr>
          <w:rFonts w:ascii="Book Antiqua" w:hAnsi="Book Antiqua"/>
        </w:rPr>
        <w:t xml:space="preserve"> </w:t>
      </w:r>
      <w:r w:rsidRPr="00561555">
        <w:rPr>
          <w:rFonts w:ascii="Book Antiqua" w:hAnsi="Book Antiqua"/>
        </w:rPr>
        <w:t xml:space="preserve">Institute of Pharmacology and Therapeutics, </w:t>
      </w:r>
      <w:r w:rsidR="00C26535" w:rsidRPr="00561555">
        <w:rPr>
          <w:rFonts w:ascii="Book Antiqua" w:hAnsi="Book Antiqua"/>
          <w:color w:val="auto"/>
        </w:rPr>
        <w:t>Faculty of Medicine</w:t>
      </w:r>
      <w:r w:rsidR="00C26535" w:rsidRPr="00561555">
        <w:rPr>
          <w:rFonts w:ascii="Book Antiqua" w:hAnsi="Book Antiqua"/>
          <w:color w:val="auto"/>
          <w:lang w:eastAsia="zh-CN"/>
        </w:rPr>
        <w:t>,</w:t>
      </w:r>
      <w:r w:rsidR="00C26535" w:rsidRPr="00561555">
        <w:rPr>
          <w:rFonts w:ascii="Book Antiqua" w:hAnsi="Book Antiqua"/>
          <w:color w:val="auto"/>
        </w:rPr>
        <w:t xml:space="preserve"> University of Porto, </w:t>
      </w:r>
      <w:r w:rsidRPr="00561555">
        <w:rPr>
          <w:rFonts w:ascii="Book Antiqua" w:hAnsi="Book Antiqua"/>
        </w:rPr>
        <w:t>Alameda Prof Hernâni Monteiro</w:t>
      </w:r>
      <w:r w:rsidR="00B5051F" w:rsidRPr="00561555">
        <w:rPr>
          <w:rFonts w:ascii="Book Antiqua" w:hAnsi="Book Antiqua"/>
          <w:lang w:eastAsia="zh-CN"/>
        </w:rPr>
        <w:t xml:space="preserve"> Road</w:t>
      </w:r>
      <w:r w:rsidRPr="00561555">
        <w:rPr>
          <w:rFonts w:ascii="Book Antiqua" w:hAnsi="Book Antiqua"/>
        </w:rPr>
        <w:t>,</w:t>
      </w:r>
      <w:r w:rsidR="005D6044" w:rsidRPr="00561555">
        <w:rPr>
          <w:rFonts w:ascii="Book Antiqua" w:hAnsi="Book Antiqua"/>
        </w:rPr>
        <w:t xml:space="preserve"> 4200-319</w:t>
      </w:r>
      <w:r w:rsidRPr="00561555">
        <w:rPr>
          <w:rFonts w:ascii="Book Antiqua" w:hAnsi="Book Antiqua"/>
        </w:rPr>
        <w:t xml:space="preserve"> Porto, Portugal. </w:t>
      </w:r>
      <w:hyperlink r:id="rId8" w:history="1">
        <w:r w:rsidRPr="00561555">
          <w:rPr>
            <w:rStyle w:val="a6"/>
            <w:rFonts w:ascii="Book Antiqua" w:hAnsi="Book Antiqua"/>
            <w:color w:val="auto"/>
            <w:u w:val="none"/>
          </w:rPr>
          <w:t>fm@med.up.pt</w:t>
        </w:r>
      </w:hyperlink>
      <w:r w:rsidRPr="00561555">
        <w:rPr>
          <w:rFonts w:ascii="Book Antiqua" w:hAnsi="Book Antiqua"/>
          <w:color w:val="auto"/>
        </w:rPr>
        <w:t xml:space="preserve"> </w:t>
      </w:r>
    </w:p>
    <w:p w:rsidR="003E410E" w:rsidRPr="00561555" w:rsidRDefault="003E410E" w:rsidP="00561555">
      <w:pPr>
        <w:pStyle w:val="First-line-indent"/>
        <w:snapToGrid w:val="0"/>
        <w:spacing w:line="360" w:lineRule="auto"/>
        <w:ind w:firstLine="0"/>
        <w:rPr>
          <w:rFonts w:ascii="Book Antiqua" w:hAnsi="Book Antiqua"/>
          <w:b/>
        </w:rPr>
      </w:pPr>
    </w:p>
    <w:p w:rsidR="003E410E" w:rsidRPr="00561555" w:rsidRDefault="003E410E" w:rsidP="00561555">
      <w:pPr>
        <w:pStyle w:val="First-line-indent"/>
        <w:snapToGrid w:val="0"/>
        <w:spacing w:line="360" w:lineRule="auto"/>
        <w:ind w:firstLine="0"/>
        <w:rPr>
          <w:rFonts w:ascii="Book Antiqua" w:hAnsi="Book Antiqua"/>
        </w:rPr>
      </w:pPr>
      <w:r w:rsidRPr="00561555">
        <w:rPr>
          <w:rFonts w:ascii="Book Antiqua" w:hAnsi="Book Antiqua"/>
          <w:b/>
        </w:rPr>
        <w:t>Telephone:</w:t>
      </w:r>
      <w:r w:rsidRPr="00561555">
        <w:rPr>
          <w:rFonts w:ascii="Book Antiqua" w:hAnsi="Book Antiqua"/>
        </w:rPr>
        <w:t xml:space="preserve"> +351</w:t>
      </w:r>
      <w:r w:rsidR="00C26535" w:rsidRPr="00561555">
        <w:rPr>
          <w:rFonts w:ascii="Book Antiqua" w:hAnsi="Book Antiqua"/>
          <w:lang w:eastAsia="zh-CN"/>
        </w:rPr>
        <w:t>-</w:t>
      </w:r>
      <w:r w:rsidRPr="00561555">
        <w:rPr>
          <w:rFonts w:ascii="Book Antiqua" w:hAnsi="Book Antiqua"/>
        </w:rPr>
        <w:t>225</w:t>
      </w:r>
      <w:r w:rsidR="00C26535" w:rsidRPr="00561555">
        <w:rPr>
          <w:rFonts w:ascii="Book Antiqua" w:hAnsi="Book Antiqua"/>
          <w:lang w:eastAsia="zh-CN"/>
        </w:rPr>
        <w:t>-</w:t>
      </w:r>
      <w:r w:rsidRPr="00561555">
        <w:rPr>
          <w:rFonts w:ascii="Book Antiqua" w:hAnsi="Book Antiqua"/>
        </w:rPr>
        <w:t>513642</w:t>
      </w:r>
      <w:r w:rsidR="005B3C12" w:rsidRPr="00561555">
        <w:rPr>
          <w:rFonts w:ascii="Book Antiqua" w:hAnsi="Book Antiqua"/>
        </w:rPr>
        <w:t xml:space="preserve"> </w:t>
      </w:r>
      <w:r w:rsidR="00C85569" w:rsidRPr="00561555">
        <w:rPr>
          <w:rFonts w:ascii="Book Antiqua" w:hAnsi="Book Antiqua"/>
          <w:lang w:eastAsia="zh-CN"/>
        </w:rPr>
        <w:t xml:space="preserve">       </w:t>
      </w:r>
      <w:r w:rsidR="005B3C12" w:rsidRPr="00561555">
        <w:rPr>
          <w:rFonts w:ascii="Book Antiqua" w:hAnsi="Book Antiqua"/>
        </w:rPr>
        <w:t xml:space="preserve"> </w:t>
      </w:r>
      <w:r w:rsidRPr="00561555">
        <w:rPr>
          <w:rFonts w:ascii="Book Antiqua" w:hAnsi="Book Antiqua"/>
          <w:b/>
        </w:rPr>
        <w:t>Fax:</w:t>
      </w:r>
      <w:r w:rsidRPr="00561555">
        <w:rPr>
          <w:rFonts w:ascii="Book Antiqua" w:hAnsi="Book Antiqua"/>
        </w:rPr>
        <w:t xml:space="preserve"> +351</w:t>
      </w:r>
      <w:r w:rsidR="00C26535" w:rsidRPr="00561555">
        <w:rPr>
          <w:rFonts w:ascii="Book Antiqua" w:hAnsi="Book Antiqua"/>
          <w:lang w:eastAsia="zh-CN"/>
        </w:rPr>
        <w:t>-</w:t>
      </w:r>
      <w:r w:rsidRPr="00561555">
        <w:rPr>
          <w:rFonts w:ascii="Book Antiqua" w:hAnsi="Book Antiqua"/>
        </w:rPr>
        <w:t>225</w:t>
      </w:r>
      <w:r w:rsidR="00C26535" w:rsidRPr="00561555">
        <w:rPr>
          <w:rFonts w:ascii="Book Antiqua" w:hAnsi="Book Antiqua"/>
          <w:lang w:eastAsia="zh-CN"/>
        </w:rPr>
        <w:t>-</w:t>
      </w:r>
      <w:r w:rsidRPr="00561555">
        <w:rPr>
          <w:rFonts w:ascii="Book Antiqua" w:hAnsi="Book Antiqua"/>
        </w:rPr>
        <w:t xml:space="preserve">513643 </w:t>
      </w:r>
    </w:p>
    <w:p w:rsidR="00C85569" w:rsidRPr="00561555" w:rsidRDefault="00C26535" w:rsidP="00561555">
      <w:pPr>
        <w:pStyle w:val="First-line-indent"/>
        <w:snapToGrid w:val="0"/>
        <w:spacing w:line="360" w:lineRule="auto"/>
        <w:ind w:firstLine="0"/>
        <w:rPr>
          <w:rFonts w:ascii="Book Antiqua" w:hAnsi="Book Antiqua"/>
          <w:color w:val="auto"/>
          <w:lang w:eastAsia="zh-CN"/>
        </w:rPr>
      </w:pPr>
      <w:r w:rsidRPr="00561555">
        <w:rPr>
          <w:rFonts w:ascii="Book Antiqua" w:hAnsi="Book Antiqua"/>
          <w:b/>
          <w:color w:val="auto"/>
        </w:rPr>
        <w:t xml:space="preserve">Received: </w:t>
      </w:r>
      <w:r w:rsidRPr="00561555">
        <w:rPr>
          <w:rFonts w:ascii="Book Antiqua" w:hAnsi="Book Antiqua"/>
          <w:color w:val="auto"/>
        </w:rPr>
        <w:t>December 1, 2012</w:t>
      </w:r>
      <w:r w:rsidRPr="00561555">
        <w:rPr>
          <w:rFonts w:ascii="Book Antiqua" w:hAnsi="Book Antiqua"/>
          <w:b/>
          <w:color w:val="auto"/>
        </w:rPr>
        <w:tab/>
      </w:r>
      <w:r w:rsidRPr="00561555">
        <w:rPr>
          <w:rFonts w:ascii="Book Antiqua" w:hAnsi="Book Antiqua"/>
          <w:b/>
          <w:color w:val="auto"/>
        </w:rPr>
        <w:tab/>
        <w:t>Revised:</w:t>
      </w:r>
      <w:r w:rsidRPr="00561555">
        <w:rPr>
          <w:rFonts w:ascii="Book Antiqua" w:hAnsi="Book Antiqua"/>
          <w:b/>
          <w:color w:val="auto"/>
          <w:lang w:eastAsia="zh-CN"/>
        </w:rPr>
        <w:t xml:space="preserve"> </w:t>
      </w:r>
      <w:r w:rsidRPr="00561555">
        <w:rPr>
          <w:rFonts w:ascii="Book Antiqua" w:hAnsi="Book Antiqua"/>
          <w:color w:val="auto"/>
          <w:lang w:eastAsia="zh-CN"/>
        </w:rPr>
        <w:t>December 20, 2012</w:t>
      </w:r>
      <w:r w:rsidR="003E410E" w:rsidRPr="00561555">
        <w:rPr>
          <w:rFonts w:ascii="Book Antiqua" w:hAnsi="Book Antiqua"/>
          <w:color w:val="auto"/>
        </w:rPr>
        <w:tab/>
      </w:r>
      <w:r w:rsidR="003E410E" w:rsidRPr="00561555">
        <w:rPr>
          <w:rFonts w:ascii="Book Antiqua" w:hAnsi="Book Antiqua"/>
          <w:color w:val="auto"/>
        </w:rPr>
        <w:tab/>
      </w:r>
    </w:p>
    <w:p w:rsidR="00A33C66" w:rsidRDefault="003E410E" w:rsidP="00A33C66">
      <w:r w:rsidRPr="00561555">
        <w:rPr>
          <w:rFonts w:ascii="Book Antiqua" w:hAnsi="Book Antiqua"/>
          <w:b/>
          <w:color w:val="auto"/>
        </w:rPr>
        <w:t>Accepted:</w:t>
      </w:r>
      <w:bookmarkStart w:id="13" w:name="OLE_LINK1"/>
      <w:bookmarkStart w:id="14" w:name="OLE_LINK2"/>
      <w:r w:rsidR="00A33C66" w:rsidRPr="00A33C66">
        <w:t xml:space="preserve"> </w:t>
      </w:r>
      <w:r w:rsidR="00A33C66">
        <w:t>February 7, 2013</w:t>
      </w:r>
      <w:bookmarkEnd w:id="13"/>
      <w:bookmarkEnd w:id="14"/>
    </w:p>
    <w:p w:rsidR="003E410E" w:rsidRPr="00561555" w:rsidRDefault="003E410E" w:rsidP="00561555">
      <w:pPr>
        <w:pStyle w:val="First-line-indent"/>
        <w:snapToGrid w:val="0"/>
        <w:spacing w:line="360" w:lineRule="auto"/>
        <w:ind w:firstLine="0"/>
        <w:rPr>
          <w:rFonts w:ascii="Book Antiqua" w:hAnsi="Book Antiqua"/>
          <w:b/>
          <w:color w:val="auto"/>
        </w:rPr>
      </w:pPr>
      <w:bookmarkStart w:id="15" w:name="_GoBack"/>
      <w:bookmarkEnd w:id="15"/>
    </w:p>
    <w:p w:rsidR="003E410E" w:rsidRPr="00561555" w:rsidRDefault="003E410E" w:rsidP="00561555">
      <w:pPr>
        <w:pStyle w:val="First-line-indent"/>
        <w:snapToGrid w:val="0"/>
        <w:spacing w:line="360" w:lineRule="auto"/>
        <w:ind w:firstLine="0"/>
        <w:rPr>
          <w:rFonts w:ascii="Book Antiqua" w:hAnsi="Book Antiqua"/>
          <w:b/>
          <w:color w:val="auto"/>
        </w:rPr>
      </w:pPr>
      <w:r w:rsidRPr="00561555">
        <w:rPr>
          <w:rFonts w:ascii="Book Antiqua" w:hAnsi="Book Antiqua"/>
          <w:b/>
          <w:color w:val="auto"/>
        </w:rPr>
        <w:t>Published online:</w:t>
      </w:r>
    </w:p>
    <w:p w:rsidR="003E410E" w:rsidRPr="00561555" w:rsidRDefault="003E410E" w:rsidP="00561555">
      <w:pPr>
        <w:pStyle w:val="Heading-2"/>
        <w:numPr>
          <w:ilvl w:val="1"/>
          <w:numId w:val="1"/>
        </w:numPr>
        <w:tabs>
          <w:tab w:val="clear" w:pos="576"/>
          <w:tab w:val="left" w:pos="0"/>
        </w:tabs>
        <w:snapToGrid w:val="0"/>
        <w:spacing w:before="0" w:after="0" w:line="360" w:lineRule="auto"/>
        <w:ind w:left="0" w:firstLine="0"/>
        <w:jc w:val="both"/>
        <w:rPr>
          <w:rFonts w:ascii="Book Antiqua" w:hAnsi="Book Antiqua"/>
          <w:color w:val="auto"/>
          <w:sz w:val="24"/>
          <w:szCs w:val="24"/>
        </w:rPr>
        <w:sectPr w:rsidR="003E410E" w:rsidRPr="00561555">
          <w:pgSz w:w="11950" w:h="16901"/>
          <w:pgMar w:top="1134" w:right="1440" w:bottom="1134" w:left="1440" w:header="720" w:footer="720" w:gutter="0"/>
          <w:cols w:space="720"/>
        </w:sectPr>
      </w:pPr>
    </w:p>
    <w:p w:rsidR="003E410E" w:rsidRPr="00561555" w:rsidRDefault="003E410E" w:rsidP="00561555">
      <w:pPr>
        <w:pStyle w:val="abstract-title"/>
        <w:snapToGrid w:val="0"/>
        <w:spacing w:before="0" w:line="360" w:lineRule="auto"/>
        <w:ind w:left="0"/>
        <w:jc w:val="both"/>
        <w:rPr>
          <w:rFonts w:ascii="Book Antiqua" w:hAnsi="Book Antiqua"/>
          <w:b/>
          <w:caps/>
          <w:color w:val="auto"/>
        </w:rPr>
      </w:pPr>
      <w:r w:rsidRPr="00561555">
        <w:rPr>
          <w:rFonts w:ascii="Book Antiqua" w:hAnsi="Book Antiqua"/>
          <w:color w:val="auto"/>
        </w:rPr>
        <w:lastRenderedPageBreak/>
        <w:br w:type="page"/>
      </w:r>
      <w:r w:rsidR="00C85569" w:rsidRPr="00561555">
        <w:rPr>
          <w:rFonts w:ascii="Book Antiqua" w:hAnsi="Book Antiqua"/>
          <w:b/>
          <w:color w:val="auto"/>
        </w:rPr>
        <w:lastRenderedPageBreak/>
        <w:t>Abstract</w:t>
      </w:r>
    </w:p>
    <w:p w:rsidR="003E410E" w:rsidRPr="00561555" w:rsidRDefault="003E410E" w:rsidP="00561555">
      <w:pPr>
        <w:snapToGrid w:val="0"/>
        <w:spacing w:line="360" w:lineRule="auto"/>
        <w:jc w:val="both"/>
        <w:rPr>
          <w:rFonts w:ascii="Book Antiqua" w:hAnsi="Book Antiqua"/>
          <w:color w:val="auto"/>
          <w:lang w:eastAsia="zh-CN"/>
        </w:rPr>
        <w:sectPr w:rsidR="003E410E" w:rsidRPr="00561555">
          <w:type w:val="continuous"/>
          <w:pgSz w:w="11950" w:h="16901"/>
          <w:pgMar w:top="1134" w:right="1440" w:bottom="1134" w:left="1440" w:header="720" w:footer="720" w:gutter="0"/>
          <w:cols w:space="720"/>
        </w:sectPr>
      </w:pPr>
    </w:p>
    <w:p w:rsidR="003E410E" w:rsidRPr="00561555" w:rsidRDefault="003E410E" w:rsidP="00561555">
      <w:pPr>
        <w:pStyle w:val="abstract"/>
        <w:snapToGrid w:val="0"/>
        <w:spacing w:after="0" w:line="360" w:lineRule="auto"/>
        <w:ind w:left="0" w:right="0"/>
        <w:rPr>
          <w:rFonts w:ascii="Book Antiqua" w:hAnsi="Book Antiqua"/>
          <w:color w:val="auto"/>
        </w:rPr>
      </w:pPr>
      <w:r w:rsidRPr="00561555">
        <w:rPr>
          <w:rStyle w:val="textbf"/>
          <w:rFonts w:ascii="Book Antiqua" w:hAnsi="Book Antiqua"/>
          <w:color w:val="auto"/>
        </w:rPr>
        <w:lastRenderedPageBreak/>
        <w:t>AIM</w:t>
      </w:r>
      <w:r w:rsidRPr="00561555">
        <w:rPr>
          <w:rFonts w:ascii="Book Antiqua" w:hAnsi="Book Antiqua"/>
          <w:b/>
          <w:color w:val="auto"/>
        </w:rPr>
        <w:t xml:space="preserve">: </w:t>
      </w:r>
      <w:r w:rsidR="00C85569" w:rsidRPr="00561555">
        <w:rPr>
          <w:rFonts w:ascii="Book Antiqua" w:hAnsi="Book Antiqua"/>
          <w:color w:val="auto"/>
          <w:lang w:eastAsia="zh-CN"/>
        </w:rPr>
        <w:t>T</w:t>
      </w:r>
      <w:r w:rsidRPr="00561555">
        <w:rPr>
          <w:rFonts w:ascii="Book Antiqua" w:hAnsi="Book Antiqua"/>
          <w:color w:val="auto"/>
        </w:rPr>
        <w:t>o identify demographic and clinical factors associated with disabling Crohn’s disease</w:t>
      </w:r>
      <w:r w:rsidR="008D4615">
        <w:rPr>
          <w:rFonts w:ascii="Book Antiqua" w:hAnsi="Book Antiqua" w:hint="eastAsia"/>
          <w:color w:val="auto"/>
          <w:lang w:eastAsia="zh-CN"/>
        </w:rPr>
        <w:t xml:space="preserve"> (CD)</w:t>
      </w:r>
      <w:r w:rsidRPr="00561555">
        <w:rPr>
          <w:rFonts w:ascii="Book Antiqua" w:hAnsi="Book Antiqua"/>
          <w:color w:val="auto"/>
        </w:rPr>
        <w:t xml:space="preserve">. </w:t>
      </w:r>
    </w:p>
    <w:p w:rsidR="003E410E" w:rsidRPr="00561555" w:rsidRDefault="003E410E" w:rsidP="00561555">
      <w:pPr>
        <w:pStyle w:val="abstract"/>
        <w:snapToGrid w:val="0"/>
        <w:spacing w:after="0" w:line="360" w:lineRule="auto"/>
        <w:ind w:left="0" w:right="0"/>
        <w:rPr>
          <w:rStyle w:val="textbf"/>
          <w:rFonts w:ascii="Book Antiqua" w:hAnsi="Book Antiqua"/>
          <w:caps/>
          <w:color w:val="auto"/>
        </w:rPr>
      </w:pPr>
    </w:p>
    <w:p w:rsidR="003E410E" w:rsidRPr="00561555" w:rsidRDefault="003E410E" w:rsidP="00561555">
      <w:pPr>
        <w:pStyle w:val="abstract"/>
        <w:snapToGrid w:val="0"/>
        <w:spacing w:after="0" w:line="360" w:lineRule="auto"/>
        <w:ind w:left="0" w:right="0"/>
        <w:rPr>
          <w:rFonts w:ascii="Book Antiqua" w:hAnsi="Book Antiqua"/>
          <w:color w:val="auto"/>
        </w:rPr>
      </w:pPr>
      <w:r w:rsidRPr="00561555">
        <w:rPr>
          <w:rStyle w:val="textbf"/>
          <w:rFonts w:ascii="Book Antiqua" w:hAnsi="Book Antiqua"/>
          <w:caps/>
          <w:color w:val="auto"/>
        </w:rPr>
        <w:t>Methods</w:t>
      </w:r>
      <w:r w:rsidRPr="00561555">
        <w:rPr>
          <w:rFonts w:ascii="Book Antiqua" w:hAnsi="Book Antiqua"/>
          <w:b/>
          <w:color w:val="auto"/>
        </w:rPr>
        <w:t>:</w:t>
      </w:r>
      <w:r w:rsidRPr="00561555">
        <w:rPr>
          <w:rFonts w:ascii="Book Antiqua" w:hAnsi="Book Antiqua"/>
          <w:color w:val="auto"/>
        </w:rPr>
        <w:t xml:space="preserve"> A systematic review and meta-analysis of observational studies, focusing on the factors that can predict the prognosis of different outcomes of </w:t>
      </w:r>
      <w:r w:rsidR="008D4615">
        <w:rPr>
          <w:rFonts w:ascii="Book Antiqua" w:hAnsi="Book Antiqua" w:hint="eastAsia"/>
          <w:color w:val="auto"/>
          <w:lang w:eastAsia="zh-CN"/>
        </w:rPr>
        <w:t>CD</w:t>
      </w:r>
      <w:r w:rsidRPr="00561555">
        <w:rPr>
          <w:rFonts w:ascii="Book Antiqua" w:hAnsi="Book Antiqua"/>
          <w:color w:val="auto"/>
        </w:rPr>
        <w:t xml:space="preserve"> was undertaken. PubMed, ISI Web of Knowledge and Scopus were searched to identify studies investigating the above mentioned factors in adult patients with </w:t>
      </w:r>
      <w:r w:rsidR="008D4615">
        <w:rPr>
          <w:rFonts w:ascii="Book Antiqua" w:hAnsi="Book Antiqua" w:hint="eastAsia"/>
          <w:color w:val="auto"/>
          <w:lang w:eastAsia="zh-CN"/>
        </w:rPr>
        <w:t>CD</w:t>
      </w:r>
      <w:r w:rsidRPr="00561555">
        <w:rPr>
          <w:rFonts w:ascii="Book Antiqua" w:hAnsi="Book Antiqua"/>
          <w:color w:val="auto"/>
        </w:rPr>
        <w:t xml:space="preserve">. Studies were eligible for inclusion if they describe prognostic factors in </w:t>
      </w:r>
      <w:r w:rsidR="008D4615">
        <w:rPr>
          <w:rFonts w:ascii="Book Antiqua" w:hAnsi="Book Antiqua" w:hint="eastAsia"/>
          <w:color w:val="auto"/>
          <w:lang w:eastAsia="zh-CN"/>
        </w:rPr>
        <w:t>CD</w:t>
      </w:r>
      <w:r w:rsidRPr="00561555">
        <w:rPr>
          <w:rFonts w:ascii="Book Antiqua" w:hAnsi="Book Antiqua"/>
          <w:color w:val="auto"/>
        </w:rPr>
        <w:t xml:space="preserve">, with inclusion and exclusion criteria defined as follows. Studies with adult patients and </w:t>
      </w:r>
      <w:r w:rsidR="008D4615">
        <w:rPr>
          <w:rFonts w:ascii="Book Antiqua" w:hAnsi="Book Antiqua" w:hint="eastAsia"/>
          <w:color w:val="auto"/>
          <w:lang w:eastAsia="zh-CN"/>
        </w:rPr>
        <w:t>CD</w:t>
      </w:r>
      <w:r w:rsidRPr="00561555">
        <w:rPr>
          <w:rFonts w:ascii="Book Antiqua" w:hAnsi="Book Antiqua"/>
          <w:color w:val="auto"/>
        </w:rPr>
        <w:t xml:space="preserve">, written in English and studying association between clinical factors and at least one prognosis outcome were included. Meta-analysis of effects was undertaken for the disabling disease outcome, using odds ratio (OR) to assess the effect of the different factors in the outcome. The statistical method used was Mantel-Haenszel for fixed effects. The </w:t>
      </w:r>
      <w:bookmarkStart w:id="16" w:name="OLE_LINK767"/>
      <w:bookmarkStart w:id="17" w:name="OLE_LINK768"/>
      <w:r w:rsidR="000A483E" w:rsidRPr="00561555">
        <w:rPr>
          <w:rFonts w:ascii="Book Antiqua" w:hAnsi="Book Antiqua"/>
          <w:color w:val="auto"/>
        </w:rPr>
        <w:t xml:space="preserve">16-item quality assessment </w:t>
      </w:r>
      <w:r w:rsidRPr="00561555">
        <w:rPr>
          <w:rFonts w:ascii="Book Antiqua" w:hAnsi="Book Antiqua"/>
          <w:color w:val="auto"/>
        </w:rPr>
        <w:t>tool</w:t>
      </w:r>
      <w:bookmarkEnd w:id="16"/>
      <w:bookmarkEnd w:id="17"/>
      <w:r w:rsidR="0066505B" w:rsidRPr="00561555">
        <w:rPr>
          <w:rFonts w:ascii="Book Antiqua" w:hAnsi="Book Antiqua"/>
          <w:color w:val="auto"/>
        </w:rPr>
        <w:t xml:space="preserve"> </w:t>
      </w:r>
      <w:r w:rsidR="0066505B" w:rsidRPr="00561555">
        <w:rPr>
          <w:rFonts w:ascii="Book Antiqua" w:hAnsi="Book Antiqua"/>
          <w:color w:val="auto"/>
          <w:lang w:eastAsia="zh-CN"/>
        </w:rPr>
        <w:t>(</w:t>
      </w:r>
      <w:r w:rsidR="0066505B" w:rsidRPr="00561555">
        <w:rPr>
          <w:rFonts w:ascii="Book Antiqua" w:hAnsi="Book Antiqua"/>
          <w:color w:val="auto"/>
        </w:rPr>
        <w:t>QATSDD</w:t>
      </w:r>
      <w:r w:rsidR="0066505B" w:rsidRPr="00561555">
        <w:rPr>
          <w:rFonts w:ascii="Book Antiqua" w:hAnsi="Book Antiqua"/>
          <w:color w:val="auto"/>
          <w:lang w:eastAsia="zh-CN"/>
        </w:rPr>
        <w:t>)</w:t>
      </w:r>
      <w:r w:rsidRPr="00561555">
        <w:rPr>
          <w:rFonts w:ascii="Book Antiqua" w:hAnsi="Book Antiqua"/>
          <w:color w:val="auto"/>
        </w:rPr>
        <w:t xml:space="preserve"> was used to assess the quality of the studies (range 0-42). </w:t>
      </w:r>
    </w:p>
    <w:p w:rsidR="003E410E" w:rsidRPr="00561555" w:rsidRDefault="003E410E" w:rsidP="00561555">
      <w:pPr>
        <w:pStyle w:val="abstract"/>
        <w:snapToGrid w:val="0"/>
        <w:spacing w:after="0" w:line="360" w:lineRule="auto"/>
        <w:ind w:left="0" w:right="0"/>
        <w:rPr>
          <w:rStyle w:val="textbf"/>
          <w:rFonts w:ascii="Book Antiqua" w:hAnsi="Book Antiqua"/>
          <w:caps/>
          <w:color w:val="auto"/>
        </w:rPr>
      </w:pPr>
    </w:p>
    <w:p w:rsidR="003E410E" w:rsidRPr="00561555" w:rsidRDefault="003E410E" w:rsidP="00561555">
      <w:pPr>
        <w:pStyle w:val="abstract"/>
        <w:snapToGrid w:val="0"/>
        <w:spacing w:after="0" w:line="360" w:lineRule="auto"/>
        <w:ind w:left="0" w:right="0"/>
        <w:rPr>
          <w:rFonts w:ascii="Book Antiqua" w:hAnsi="Book Antiqua"/>
          <w:color w:val="auto"/>
        </w:rPr>
      </w:pPr>
      <w:r w:rsidRPr="00561555">
        <w:rPr>
          <w:rStyle w:val="textbf"/>
          <w:rFonts w:ascii="Book Antiqua" w:hAnsi="Book Antiqua"/>
          <w:caps/>
          <w:color w:val="auto"/>
        </w:rPr>
        <w:t>Results</w:t>
      </w:r>
      <w:r w:rsidRPr="00561555">
        <w:rPr>
          <w:rFonts w:ascii="Book Antiqua" w:hAnsi="Book Antiqua"/>
          <w:b/>
          <w:color w:val="auto"/>
        </w:rPr>
        <w:t>:</w:t>
      </w:r>
      <w:r w:rsidRPr="00561555">
        <w:rPr>
          <w:rFonts w:ascii="Book Antiqua" w:hAnsi="Book Antiqua"/>
          <w:color w:val="auto"/>
        </w:rPr>
        <w:t xml:space="preserve"> Of the 913 papers initially selected, sixty studies were reviewed and three were included in the systematic review and meta-analysis. The global QATSDD scores of papers were 18, 21, and 22. Of a total of 1</w:t>
      </w:r>
      <w:r w:rsidR="0066505B" w:rsidRPr="00561555">
        <w:rPr>
          <w:rFonts w:ascii="Book Antiqua" w:hAnsi="Book Antiqua"/>
          <w:color w:val="auto"/>
          <w:lang w:eastAsia="zh-CN"/>
        </w:rPr>
        <w:t xml:space="preserve"> </w:t>
      </w:r>
      <w:r w:rsidRPr="00561555">
        <w:rPr>
          <w:rFonts w:ascii="Book Antiqua" w:hAnsi="Book Antiqua"/>
          <w:color w:val="auto"/>
        </w:rPr>
        <w:t xml:space="preserve">961 patients enrolled, 1332 (78%) were classified with disabling disease five years after diagnosis. In two studies, age at diagnosis was a factor associated with disabling disease five years after diagnosis. Individuals under 40 years old had a higher risk of developing disabling disease. In two studies, patients who were treated with corticosteroids on the first flare developed disabling disease five years after diagnosis. Further, perianal disease was found to be relevant in all of the studies at two and five years after diagnosis. Finally, one study showed localization as a factor associated with disabling disease five years after diagnosis, with L3 being a higher risk factor. This meta-analysis showed a significantly higher risk of developing disabling disease at five years after initial diagnosis among patients younger than 40 years of age </w:t>
      </w:r>
      <w:r w:rsidR="003B1BEF" w:rsidRPr="00561555">
        <w:rPr>
          <w:rFonts w:ascii="Book Antiqua" w:hAnsi="Book Antiqua"/>
          <w:color w:val="auto"/>
          <w:lang w:eastAsia="zh-CN"/>
        </w:rPr>
        <w:t>[</w:t>
      </w:r>
      <w:r w:rsidRPr="00561555">
        <w:rPr>
          <w:rFonts w:ascii="Book Antiqua" w:hAnsi="Book Antiqua"/>
          <w:color w:val="auto"/>
        </w:rPr>
        <w:t>OR</w:t>
      </w:r>
      <w:r w:rsidR="003B1BEF" w:rsidRPr="00561555">
        <w:rPr>
          <w:rFonts w:ascii="Book Antiqua" w:hAnsi="Book Antiqua"/>
          <w:color w:val="auto"/>
          <w:lang w:eastAsia="zh-CN"/>
        </w:rPr>
        <w:t xml:space="preserve"> </w:t>
      </w:r>
      <w:r w:rsidRPr="00561555">
        <w:rPr>
          <w:rFonts w:ascii="Book Antiqua" w:hAnsi="Book Antiqua"/>
          <w:color w:val="auto"/>
        </w:rPr>
        <w:t>=</w:t>
      </w:r>
      <w:r w:rsidR="003B1BEF" w:rsidRPr="00561555">
        <w:rPr>
          <w:rFonts w:ascii="Book Antiqua" w:hAnsi="Book Antiqua"/>
          <w:color w:val="auto"/>
          <w:lang w:eastAsia="zh-CN"/>
        </w:rPr>
        <w:t xml:space="preserve"> </w:t>
      </w:r>
      <w:r w:rsidRPr="00561555">
        <w:rPr>
          <w:rFonts w:ascii="Book Antiqua" w:hAnsi="Book Antiqua"/>
          <w:color w:val="auto"/>
        </w:rPr>
        <w:t xml:space="preserve">2.47 </w:t>
      </w:r>
      <w:r w:rsidR="003B1BEF" w:rsidRPr="00561555">
        <w:rPr>
          <w:rFonts w:ascii="Book Antiqua" w:hAnsi="Book Antiqua"/>
          <w:color w:val="auto"/>
          <w:lang w:eastAsia="zh-CN"/>
        </w:rPr>
        <w:t xml:space="preserve">(range, </w:t>
      </w:r>
      <w:r w:rsidRPr="00561555">
        <w:rPr>
          <w:rFonts w:ascii="Book Antiqua" w:hAnsi="Book Antiqua"/>
          <w:color w:val="auto"/>
        </w:rPr>
        <w:t>1.74-3.51</w:t>
      </w:r>
      <w:r w:rsidR="003B1BEF" w:rsidRPr="00561555">
        <w:rPr>
          <w:rFonts w:ascii="Book Antiqua" w:hAnsi="Book Antiqua"/>
          <w:color w:val="auto"/>
          <w:lang w:eastAsia="zh-CN"/>
        </w:rPr>
        <w:t>)]</w:t>
      </w:r>
      <w:r w:rsidRPr="00561555">
        <w:rPr>
          <w:rFonts w:ascii="Book Antiqua" w:hAnsi="Book Antiqua"/>
          <w:color w:val="auto"/>
        </w:rPr>
        <w:t xml:space="preserve">, with initial steroid treatment for first flare </w:t>
      </w:r>
      <w:r w:rsidR="003B1BEF" w:rsidRPr="00561555">
        <w:rPr>
          <w:rFonts w:ascii="Book Antiqua" w:hAnsi="Book Antiqua"/>
          <w:color w:val="auto"/>
          <w:lang w:eastAsia="zh-CN"/>
        </w:rPr>
        <w:t>[</w:t>
      </w:r>
      <w:r w:rsidRPr="00561555">
        <w:rPr>
          <w:rFonts w:ascii="Book Antiqua" w:hAnsi="Book Antiqua"/>
          <w:color w:val="auto"/>
        </w:rPr>
        <w:t>OR</w:t>
      </w:r>
      <w:r w:rsidR="003B1BEF" w:rsidRPr="00561555">
        <w:rPr>
          <w:rFonts w:ascii="Book Antiqua" w:hAnsi="Book Antiqua"/>
          <w:color w:val="auto"/>
          <w:lang w:eastAsia="zh-CN"/>
        </w:rPr>
        <w:t xml:space="preserve"> </w:t>
      </w:r>
      <w:r w:rsidRPr="00561555">
        <w:rPr>
          <w:rFonts w:ascii="Book Antiqua" w:hAnsi="Book Antiqua"/>
          <w:color w:val="auto"/>
        </w:rPr>
        <w:t>=</w:t>
      </w:r>
      <w:r w:rsidR="003B1BEF" w:rsidRPr="00561555">
        <w:rPr>
          <w:rFonts w:ascii="Book Antiqua" w:hAnsi="Book Antiqua"/>
          <w:color w:val="auto"/>
          <w:lang w:eastAsia="zh-CN"/>
        </w:rPr>
        <w:t xml:space="preserve"> </w:t>
      </w:r>
      <w:r w:rsidRPr="00561555">
        <w:rPr>
          <w:rFonts w:ascii="Book Antiqua" w:hAnsi="Book Antiqua"/>
          <w:color w:val="auto"/>
        </w:rPr>
        <w:t xml:space="preserve">2.42 </w:t>
      </w:r>
      <w:r w:rsidR="003B1BEF" w:rsidRPr="00561555">
        <w:rPr>
          <w:rFonts w:ascii="Book Antiqua" w:hAnsi="Book Antiqua"/>
          <w:color w:val="auto"/>
          <w:lang w:eastAsia="zh-CN"/>
        </w:rPr>
        <w:t>(</w:t>
      </w:r>
      <w:bookmarkStart w:id="18" w:name="OLE_LINK827"/>
      <w:bookmarkStart w:id="19" w:name="OLE_LINK828"/>
      <w:r w:rsidR="003B1BEF" w:rsidRPr="00561555">
        <w:rPr>
          <w:rFonts w:ascii="Book Antiqua" w:hAnsi="Book Antiqua"/>
          <w:color w:val="auto"/>
          <w:lang w:eastAsia="zh-CN"/>
        </w:rPr>
        <w:t>range,</w:t>
      </w:r>
      <w:bookmarkEnd w:id="18"/>
      <w:bookmarkEnd w:id="19"/>
      <w:r w:rsidR="003B1BEF" w:rsidRPr="00561555">
        <w:rPr>
          <w:rFonts w:ascii="Book Antiqua" w:hAnsi="Book Antiqua"/>
          <w:color w:val="auto"/>
          <w:lang w:eastAsia="zh-CN"/>
        </w:rPr>
        <w:t xml:space="preserve"> </w:t>
      </w:r>
      <w:r w:rsidRPr="00561555">
        <w:rPr>
          <w:rFonts w:ascii="Book Antiqua" w:hAnsi="Book Antiqua"/>
          <w:color w:val="auto"/>
        </w:rPr>
        <w:t>1.87-3.11</w:t>
      </w:r>
      <w:r w:rsidR="003B1BEF" w:rsidRPr="00561555">
        <w:rPr>
          <w:rFonts w:ascii="Book Antiqua" w:hAnsi="Book Antiqua"/>
          <w:color w:val="auto"/>
          <w:lang w:eastAsia="zh-CN"/>
        </w:rPr>
        <w:t>)]</w:t>
      </w:r>
      <w:r w:rsidRPr="00561555">
        <w:rPr>
          <w:rFonts w:ascii="Book Antiqua" w:hAnsi="Book Antiqua"/>
          <w:color w:val="auto"/>
        </w:rPr>
        <w:t xml:space="preserve"> and with perianal disease </w:t>
      </w:r>
      <w:r w:rsidR="003B1BEF" w:rsidRPr="00561555">
        <w:rPr>
          <w:rFonts w:ascii="Book Antiqua" w:hAnsi="Book Antiqua"/>
          <w:color w:val="auto"/>
          <w:lang w:eastAsia="zh-CN"/>
        </w:rPr>
        <w:t>[</w:t>
      </w:r>
      <w:r w:rsidRPr="00561555">
        <w:rPr>
          <w:rFonts w:ascii="Book Antiqua" w:hAnsi="Book Antiqua"/>
          <w:color w:val="auto"/>
        </w:rPr>
        <w:t>OR</w:t>
      </w:r>
      <w:r w:rsidR="003B1BEF" w:rsidRPr="00561555">
        <w:rPr>
          <w:rFonts w:ascii="Book Antiqua" w:hAnsi="Book Antiqua"/>
          <w:color w:val="auto"/>
          <w:lang w:eastAsia="zh-CN"/>
        </w:rPr>
        <w:t xml:space="preserve"> </w:t>
      </w:r>
      <w:r w:rsidRPr="00561555">
        <w:rPr>
          <w:rFonts w:ascii="Book Antiqua" w:hAnsi="Book Antiqua"/>
          <w:color w:val="auto"/>
        </w:rPr>
        <w:t>=</w:t>
      </w:r>
      <w:r w:rsidR="003B1BEF" w:rsidRPr="00561555">
        <w:rPr>
          <w:rFonts w:ascii="Book Antiqua" w:hAnsi="Book Antiqua"/>
          <w:color w:val="auto"/>
          <w:lang w:eastAsia="zh-CN"/>
        </w:rPr>
        <w:t xml:space="preserve"> </w:t>
      </w:r>
      <w:r w:rsidRPr="00561555">
        <w:rPr>
          <w:rFonts w:ascii="Book Antiqua" w:hAnsi="Book Antiqua"/>
          <w:color w:val="auto"/>
        </w:rPr>
        <w:t>2.00</w:t>
      </w:r>
      <w:r w:rsidR="003B1BEF" w:rsidRPr="00561555">
        <w:rPr>
          <w:rFonts w:ascii="Book Antiqua" w:hAnsi="Book Antiqua"/>
          <w:color w:val="auto"/>
          <w:lang w:eastAsia="zh-CN"/>
        </w:rPr>
        <w:t xml:space="preserve"> (</w:t>
      </w:r>
      <w:r w:rsidR="00840F6A" w:rsidRPr="00561555">
        <w:rPr>
          <w:rFonts w:ascii="Book Antiqua" w:hAnsi="Book Antiqua"/>
          <w:color w:val="auto"/>
          <w:lang w:eastAsia="zh-CN"/>
        </w:rPr>
        <w:t xml:space="preserve">range, </w:t>
      </w:r>
      <w:r w:rsidRPr="00561555">
        <w:rPr>
          <w:rFonts w:ascii="Book Antiqua" w:hAnsi="Book Antiqua"/>
          <w:color w:val="auto"/>
        </w:rPr>
        <w:t>1.41-2.85</w:t>
      </w:r>
      <w:r w:rsidR="003B1BEF" w:rsidRPr="00561555">
        <w:rPr>
          <w:rFonts w:ascii="Book Antiqua" w:hAnsi="Book Antiqua"/>
          <w:color w:val="auto"/>
          <w:lang w:eastAsia="zh-CN"/>
        </w:rPr>
        <w:t>)]</w:t>
      </w:r>
      <w:r w:rsidRPr="00561555">
        <w:rPr>
          <w:rFonts w:ascii="Book Antiqua" w:hAnsi="Book Antiqua"/>
          <w:color w:val="auto"/>
        </w:rPr>
        <w:t xml:space="preserve">. </w:t>
      </w:r>
    </w:p>
    <w:p w:rsidR="003E410E" w:rsidRPr="00561555" w:rsidRDefault="003E410E" w:rsidP="00561555">
      <w:pPr>
        <w:pStyle w:val="abstract"/>
        <w:snapToGrid w:val="0"/>
        <w:spacing w:after="0" w:line="360" w:lineRule="auto"/>
        <w:ind w:left="0" w:right="0"/>
        <w:rPr>
          <w:rStyle w:val="textbf"/>
          <w:rFonts w:ascii="Book Antiqua" w:hAnsi="Book Antiqua"/>
          <w:caps/>
          <w:color w:val="auto"/>
        </w:rPr>
      </w:pPr>
    </w:p>
    <w:p w:rsidR="003E410E" w:rsidRPr="00561555" w:rsidRDefault="003E410E" w:rsidP="00561555">
      <w:pPr>
        <w:pStyle w:val="abstract"/>
        <w:snapToGrid w:val="0"/>
        <w:spacing w:after="0" w:line="360" w:lineRule="auto"/>
        <w:ind w:left="0" w:right="0"/>
        <w:rPr>
          <w:rFonts w:ascii="Book Antiqua" w:hAnsi="Book Antiqua"/>
          <w:color w:val="auto"/>
        </w:rPr>
      </w:pPr>
      <w:r w:rsidRPr="00561555">
        <w:rPr>
          <w:rStyle w:val="textbf"/>
          <w:rFonts w:ascii="Book Antiqua" w:hAnsi="Book Antiqua"/>
          <w:caps/>
          <w:color w:val="auto"/>
        </w:rPr>
        <w:lastRenderedPageBreak/>
        <w:t>Conclusion</w:t>
      </w:r>
      <w:r w:rsidRPr="00561555">
        <w:rPr>
          <w:rFonts w:ascii="Book Antiqua" w:hAnsi="Book Antiqua"/>
          <w:b/>
          <w:color w:val="auto"/>
        </w:rPr>
        <w:t>:</w:t>
      </w:r>
      <w:r w:rsidRPr="00561555">
        <w:rPr>
          <w:rFonts w:ascii="Book Antiqua" w:hAnsi="Book Antiqua"/>
          <w:color w:val="auto"/>
        </w:rPr>
        <w:t xml:space="preserve"> Age at diagnosis, perianal disease, initial use of steroids and localization seem to be independent prognostic factors of disabling disease. </w:t>
      </w:r>
    </w:p>
    <w:p w:rsidR="003E410E" w:rsidRPr="00561555" w:rsidRDefault="003E410E" w:rsidP="00561555">
      <w:pPr>
        <w:pStyle w:val="Text-body"/>
        <w:snapToGrid w:val="0"/>
        <w:spacing w:line="360" w:lineRule="auto"/>
        <w:rPr>
          <w:rFonts w:ascii="Book Antiqua" w:hAnsi="Book Antiqua"/>
          <w:color w:val="auto"/>
          <w:lang w:eastAsia="zh-CN"/>
        </w:rPr>
      </w:pPr>
    </w:p>
    <w:p w:rsidR="00840F6A" w:rsidRPr="00561555" w:rsidRDefault="00840F6A" w:rsidP="00561555">
      <w:pPr>
        <w:snapToGrid w:val="0"/>
        <w:spacing w:line="360" w:lineRule="auto"/>
        <w:jc w:val="both"/>
        <w:rPr>
          <w:rFonts w:ascii="Book Antiqua" w:hAnsi="Book Antiqua"/>
        </w:rPr>
      </w:pPr>
      <w:bookmarkStart w:id="20" w:name="OLE_LINK98"/>
      <w:bookmarkStart w:id="21" w:name="OLE_LINK156"/>
      <w:bookmarkStart w:id="22" w:name="OLE_LINK196"/>
      <w:bookmarkStart w:id="23" w:name="OLE_LINK217"/>
      <w:bookmarkStart w:id="24" w:name="OLE_LINK242"/>
      <w:bookmarkStart w:id="25" w:name="OLE_LINK247"/>
      <w:bookmarkStart w:id="26" w:name="OLE_LINK311"/>
      <w:bookmarkStart w:id="27" w:name="OLE_LINK312"/>
      <w:bookmarkStart w:id="28" w:name="OLE_LINK325"/>
      <w:bookmarkStart w:id="29" w:name="OLE_LINK330"/>
      <w:bookmarkStart w:id="30" w:name="OLE_LINK513"/>
      <w:bookmarkStart w:id="31" w:name="OLE_LINK514"/>
      <w:bookmarkStart w:id="32" w:name="OLE_LINK475"/>
      <w:bookmarkStart w:id="33" w:name="OLE_LINK484"/>
      <w:bookmarkStart w:id="34" w:name="OLE_LINK680"/>
      <w:bookmarkStart w:id="35" w:name="OLE_LINK742"/>
      <w:r w:rsidRPr="00561555">
        <w:rPr>
          <w:rFonts w:ascii="Book Antiqua" w:hAnsi="Book Antiqua"/>
        </w:rPr>
        <w:t xml:space="preserve">© 2013 Baishideng. All rights reserved.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840F6A" w:rsidRPr="00561555" w:rsidRDefault="00840F6A" w:rsidP="00561555">
      <w:pPr>
        <w:pStyle w:val="First-line-indent"/>
        <w:snapToGrid w:val="0"/>
        <w:spacing w:line="360" w:lineRule="auto"/>
        <w:rPr>
          <w:rFonts w:ascii="Book Antiqua" w:hAnsi="Book Antiqua"/>
          <w:lang w:eastAsia="zh-CN"/>
        </w:rPr>
      </w:pPr>
    </w:p>
    <w:p w:rsidR="003E410E" w:rsidRPr="00561555" w:rsidRDefault="003E410E" w:rsidP="00561555">
      <w:pPr>
        <w:pStyle w:val="abstract"/>
        <w:snapToGrid w:val="0"/>
        <w:spacing w:after="0" w:line="360" w:lineRule="auto"/>
        <w:ind w:left="0" w:right="0"/>
        <w:rPr>
          <w:rStyle w:val="textcolor6"/>
          <w:rFonts w:ascii="Book Antiqua" w:hAnsi="Book Antiqua"/>
          <w:color w:val="auto"/>
          <w:lang w:eastAsia="zh-CN"/>
        </w:rPr>
      </w:pPr>
      <w:r w:rsidRPr="00561555">
        <w:rPr>
          <w:rStyle w:val="textcolor2"/>
          <w:rFonts w:ascii="Book Antiqua" w:hAnsi="Book Antiqua"/>
          <w:b/>
          <w:color w:val="auto"/>
        </w:rPr>
        <w:t>Key words:</w:t>
      </w:r>
      <w:r w:rsidRPr="00561555">
        <w:rPr>
          <w:rStyle w:val="textcolor2"/>
          <w:rFonts w:ascii="Book Antiqua" w:hAnsi="Book Antiqua"/>
          <w:color w:val="auto"/>
        </w:rPr>
        <w:t xml:space="preserve"> Crohn’s disease</w:t>
      </w:r>
      <w:r w:rsidR="00840F6A" w:rsidRPr="00561555">
        <w:rPr>
          <w:rStyle w:val="textcolor2"/>
          <w:rFonts w:ascii="Book Antiqua" w:hAnsi="Book Antiqua"/>
          <w:color w:val="auto"/>
          <w:lang w:eastAsia="zh-CN"/>
        </w:rPr>
        <w:t>;</w:t>
      </w:r>
      <w:r w:rsidRPr="00561555">
        <w:rPr>
          <w:rStyle w:val="textcolor2"/>
          <w:rFonts w:ascii="Book Antiqua" w:hAnsi="Book Antiqua"/>
          <w:color w:val="auto"/>
        </w:rPr>
        <w:t xml:space="preserve"> </w:t>
      </w:r>
      <w:r w:rsidR="00840F6A" w:rsidRPr="00561555">
        <w:rPr>
          <w:rStyle w:val="textcolor2"/>
          <w:rFonts w:ascii="Book Antiqua" w:hAnsi="Book Antiqua"/>
          <w:color w:val="auto"/>
        </w:rPr>
        <w:t>D</w:t>
      </w:r>
      <w:r w:rsidRPr="00561555">
        <w:rPr>
          <w:rStyle w:val="textcolor2"/>
          <w:rFonts w:ascii="Book Antiqua" w:hAnsi="Book Antiqua"/>
          <w:color w:val="auto"/>
        </w:rPr>
        <w:t>isabling</w:t>
      </w:r>
      <w:r w:rsidRPr="00561555">
        <w:rPr>
          <w:rStyle w:val="textcolor3"/>
          <w:rFonts w:ascii="Book Antiqua" w:hAnsi="Book Antiqua"/>
          <w:color w:val="auto"/>
        </w:rPr>
        <w:t xml:space="preserve"> disease</w:t>
      </w:r>
      <w:r w:rsidR="00840F6A" w:rsidRPr="00561555">
        <w:rPr>
          <w:rStyle w:val="textcolor4"/>
          <w:rFonts w:ascii="Book Antiqua" w:hAnsi="Book Antiqua"/>
          <w:color w:val="auto"/>
          <w:lang w:eastAsia="zh-CN"/>
        </w:rPr>
        <w:t>;</w:t>
      </w:r>
      <w:r w:rsidRPr="00561555">
        <w:rPr>
          <w:rStyle w:val="textcolor4"/>
          <w:rFonts w:ascii="Book Antiqua" w:hAnsi="Book Antiqua"/>
          <w:color w:val="auto"/>
        </w:rPr>
        <w:t xml:space="preserve"> </w:t>
      </w:r>
      <w:r w:rsidR="00840F6A" w:rsidRPr="00561555">
        <w:rPr>
          <w:rStyle w:val="textcolor4"/>
          <w:rFonts w:ascii="Book Antiqua" w:hAnsi="Book Antiqua"/>
          <w:color w:val="auto"/>
        </w:rPr>
        <w:t>P</w:t>
      </w:r>
      <w:r w:rsidRPr="00561555">
        <w:rPr>
          <w:rStyle w:val="textcolor4"/>
          <w:rFonts w:ascii="Book Antiqua" w:hAnsi="Book Antiqua"/>
          <w:color w:val="auto"/>
        </w:rPr>
        <w:t>rognostic factors</w:t>
      </w:r>
      <w:r w:rsidR="00840F6A" w:rsidRPr="00561555">
        <w:rPr>
          <w:rStyle w:val="textcolor4"/>
          <w:rFonts w:ascii="Book Antiqua" w:hAnsi="Book Antiqua"/>
          <w:color w:val="auto"/>
          <w:lang w:eastAsia="zh-CN"/>
        </w:rPr>
        <w:t>;</w:t>
      </w:r>
      <w:r w:rsidRPr="00561555">
        <w:rPr>
          <w:rStyle w:val="textcolor4"/>
          <w:rFonts w:ascii="Book Antiqua" w:hAnsi="Book Antiqua"/>
          <w:color w:val="auto"/>
        </w:rPr>
        <w:t xml:space="preserve"> </w:t>
      </w:r>
      <w:r w:rsidR="00840F6A" w:rsidRPr="00561555">
        <w:rPr>
          <w:rStyle w:val="textcolor4"/>
          <w:rFonts w:ascii="Book Antiqua" w:hAnsi="Book Antiqua"/>
          <w:color w:val="auto"/>
        </w:rPr>
        <w:t>O</w:t>
      </w:r>
      <w:r w:rsidRPr="00561555">
        <w:rPr>
          <w:rStyle w:val="textcolor4"/>
          <w:rFonts w:ascii="Book Antiqua" w:hAnsi="Book Antiqua"/>
          <w:color w:val="auto"/>
        </w:rPr>
        <w:t>utcome</w:t>
      </w:r>
      <w:r w:rsidR="00840F6A" w:rsidRPr="00561555">
        <w:rPr>
          <w:rStyle w:val="textcolor5"/>
          <w:rFonts w:ascii="Book Antiqua" w:hAnsi="Book Antiqua"/>
          <w:color w:val="auto"/>
          <w:lang w:eastAsia="zh-CN"/>
        </w:rPr>
        <w:t>;</w:t>
      </w:r>
      <w:r w:rsidRPr="00561555">
        <w:rPr>
          <w:rStyle w:val="textcolor5"/>
          <w:rFonts w:ascii="Book Antiqua" w:hAnsi="Book Antiqua"/>
          <w:color w:val="auto"/>
        </w:rPr>
        <w:t xml:space="preserve"> </w:t>
      </w:r>
      <w:r w:rsidR="00840F6A" w:rsidRPr="00561555">
        <w:rPr>
          <w:rStyle w:val="textcolor5"/>
          <w:rFonts w:ascii="Book Antiqua" w:hAnsi="Book Antiqua"/>
          <w:color w:val="auto"/>
        </w:rPr>
        <w:t>S</w:t>
      </w:r>
      <w:r w:rsidRPr="00561555">
        <w:rPr>
          <w:rStyle w:val="textcolor5"/>
          <w:rFonts w:ascii="Book Antiqua" w:hAnsi="Book Antiqua"/>
          <w:color w:val="auto"/>
        </w:rPr>
        <w:t>ystematic review</w:t>
      </w:r>
      <w:r w:rsidR="00840F6A" w:rsidRPr="00561555">
        <w:rPr>
          <w:rStyle w:val="textcolor5"/>
          <w:rFonts w:ascii="Book Antiqua" w:hAnsi="Book Antiqua"/>
          <w:color w:val="auto"/>
          <w:lang w:eastAsia="zh-CN"/>
        </w:rPr>
        <w:t>;</w:t>
      </w:r>
      <w:r w:rsidRPr="00561555">
        <w:rPr>
          <w:rStyle w:val="textcolor5"/>
          <w:rFonts w:ascii="Book Antiqua" w:hAnsi="Book Antiqua"/>
          <w:color w:val="auto"/>
        </w:rPr>
        <w:t xml:space="preserve"> </w:t>
      </w:r>
      <w:r w:rsidR="00840F6A" w:rsidRPr="00561555">
        <w:rPr>
          <w:rStyle w:val="textcolor5"/>
          <w:rFonts w:ascii="Book Antiqua" w:hAnsi="Book Antiqua"/>
          <w:color w:val="auto"/>
        </w:rPr>
        <w:t>M</w:t>
      </w:r>
      <w:r w:rsidRPr="00561555">
        <w:rPr>
          <w:rStyle w:val="textcolor5"/>
          <w:rFonts w:ascii="Book Antiqua" w:hAnsi="Book Antiqua"/>
          <w:color w:val="auto"/>
        </w:rPr>
        <w:t>eta-analysis</w:t>
      </w:r>
      <w:r w:rsidRPr="00561555">
        <w:rPr>
          <w:rStyle w:val="textcolor6"/>
          <w:rFonts w:ascii="Book Antiqua" w:hAnsi="Book Antiqua"/>
          <w:color w:val="auto"/>
        </w:rPr>
        <w:t xml:space="preserve"> </w:t>
      </w:r>
    </w:p>
    <w:p w:rsidR="00840F6A" w:rsidRPr="00561555" w:rsidRDefault="00840F6A" w:rsidP="00561555">
      <w:pPr>
        <w:pStyle w:val="First-line-indent"/>
        <w:snapToGrid w:val="0"/>
        <w:spacing w:line="360" w:lineRule="auto"/>
        <w:rPr>
          <w:rFonts w:ascii="Book Antiqua" w:hAnsi="Book Antiqua"/>
          <w:lang w:eastAsia="zh-CN"/>
        </w:rPr>
      </w:pPr>
    </w:p>
    <w:p w:rsidR="00840F6A" w:rsidRPr="00561555" w:rsidRDefault="00840F6A" w:rsidP="00561555">
      <w:pPr>
        <w:pStyle w:val="author"/>
        <w:snapToGrid w:val="0"/>
        <w:spacing w:after="0" w:line="360" w:lineRule="auto"/>
        <w:jc w:val="both"/>
        <w:rPr>
          <w:rFonts w:ascii="Book Antiqua" w:hAnsi="Book Antiqua"/>
          <w:color w:val="auto"/>
          <w:lang w:val="it-IT" w:eastAsia="zh-CN"/>
        </w:rPr>
      </w:pPr>
      <w:r w:rsidRPr="00561555">
        <w:rPr>
          <w:rFonts w:ascii="Book Antiqua" w:hAnsi="Book Antiqua"/>
          <w:color w:val="auto"/>
          <w:lang w:val="it-IT"/>
        </w:rPr>
        <w:t>Dias CC, Rodrigues PP, da Costa-Pereira A, Magro F</w:t>
      </w:r>
      <w:r w:rsidRPr="00561555">
        <w:rPr>
          <w:rFonts w:ascii="Book Antiqua" w:hAnsi="Book Antiqua"/>
          <w:color w:val="auto"/>
          <w:lang w:val="it-IT" w:eastAsia="zh-CN"/>
        </w:rPr>
        <w:t xml:space="preserve">. </w:t>
      </w:r>
      <w:r w:rsidRPr="00561555">
        <w:rPr>
          <w:rFonts w:ascii="Book Antiqua" w:hAnsi="Book Antiqua"/>
          <w:color w:val="auto"/>
        </w:rPr>
        <w:t>Clinical prognostic factors for disabling Crohn’s disease: A systematic review and meta-analysis</w:t>
      </w:r>
      <w:r w:rsidRPr="00561555">
        <w:rPr>
          <w:rFonts w:ascii="Book Antiqua" w:hAnsi="Book Antiqua"/>
          <w:color w:val="auto"/>
          <w:lang w:eastAsia="zh-CN"/>
        </w:rPr>
        <w:t>.</w:t>
      </w:r>
    </w:p>
    <w:p w:rsidR="00066E20" w:rsidRDefault="00066E20" w:rsidP="00561555">
      <w:pPr>
        <w:pStyle w:val="p0"/>
        <w:snapToGrid w:val="0"/>
        <w:spacing w:line="360" w:lineRule="auto"/>
        <w:jc w:val="both"/>
        <w:rPr>
          <w:rFonts w:ascii="Book Antiqua" w:hAnsi="Book Antiqua"/>
          <w:b/>
          <w:bCs/>
          <w:sz w:val="24"/>
          <w:szCs w:val="24"/>
        </w:rPr>
      </w:pPr>
      <w:bookmarkStart w:id="36" w:name="OLE_LINK404"/>
      <w:bookmarkStart w:id="37" w:name="OLE_LINK405"/>
      <w:bookmarkStart w:id="38" w:name="OLE_LINK406"/>
      <w:bookmarkStart w:id="39" w:name="OLE_LINK407"/>
      <w:bookmarkStart w:id="40" w:name="OLE_LINK629"/>
      <w:bookmarkStart w:id="41" w:name="OLE_LINK630"/>
      <w:bookmarkStart w:id="42" w:name="OLE_LINK401"/>
      <w:bookmarkStart w:id="43" w:name="OLE_LINK402"/>
      <w:bookmarkStart w:id="44" w:name="OLE_LINK99"/>
      <w:bookmarkStart w:id="45" w:name="OLE_LINK100"/>
      <w:bookmarkStart w:id="46" w:name="OLE_LINK271"/>
      <w:bookmarkStart w:id="47" w:name="OLE_LINK272"/>
      <w:bookmarkStart w:id="48" w:name="OLE_LINK300"/>
      <w:bookmarkStart w:id="49" w:name="OLE_LINK302"/>
      <w:bookmarkStart w:id="50" w:name="OLE_LINK449"/>
      <w:bookmarkStart w:id="51" w:name="OLE_LINK450"/>
      <w:bookmarkStart w:id="52" w:name="OLE_LINK456"/>
      <w:bookmarkStart w:id="53" w:name="OLE_LINK705"/>
    </w:p>
    <w:p w:rsidR="00066E20" w:rsidRDefault="00775E15" w:rsidP="00561555">
      <w:pPr>
        <w:pStyle w:val="p0"/>
        <w:snapToGrid w:val="0"/>
        <w:spacing w:line="360" w:lineRule="auto"/>
        <w:jc w:val="both"/>
        <w:rPr>
          <w:rFonts w:ascii="Book Antiqua" w:hAnsi="Book Antiqua"/>
          <w:color w:val="000000"/>
          <w:sz w:val="24"/>
          <w:szCs w:val="24"/>
        </w:rPr>
      </w:pPr>
      <w:r w:rsidRPr="00561555">
        <w:rPr>
          <w:rFonts w:ascii="Book Antiqua" w:hAnsi="Book Antiqua"/>
          <w:b/>
          <w:bCs/>
          <w:sz w:val="24"/>
          <w:szCs w:val="24"/>
        </w:rPr>
        <w:t>Available from:</w:t>
      </w:r>
      <w:bookmarkStart w:id="54" w:name="OLE_LINK399"/>
      <w:bookmarkStart w:id="55" w:name="OLE_LINK400"/>
      <w:bookmarkStart w:id="56" w:name="OLE_LINK494"/>
      <w:bookmarkStart w:id="57" w:name="OLE_LINK495"/>
      <w:bookmarkStart w:id="58" w:name="OLE_LINK607"/>
      <w:bookmarkStart w:id="59" w:name="OLE_LINK608"/>
      <w:bookmarkStart w:id="60" w:name="OLE_LINK609"/>
      <w:bookmarkStart w:id="61" w:name="OLE_LINK727"/>
      <w:bookmarkStart w:id="62" w:name="OLE_LINK853"/>
      <w:bookmarkStart w:id="63" w:name="OLE_LINK585"/>
      <w:bookmarkStart w:id="64" w:name="OLE_LINK689"/>
      <w:bookmarkStart w:id="65" w:name="OLE_LINK539"/>
      <w:bookmarkStart w:id="66" w:name="OLE_LINK544"/>
      <w:bookmarkStart w:id="67" w:name="OLE_LINK54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775E15" w:rsidRPr="00561555" w:rsidRDefault="00775E15" w:rsidP="00561555">
      <w:pPr>
        <w:pStyle w:val="p0"/>
        <w:snapToGrid w:val="0"/>
        <w:spacing w:line="360" w:lineRule="auto"/>
        <w:jc w:val="both"/>
        <w:rPr>
          <w:rFonts w:ascii="Book Antiqua" w:hAnsi="Book Antiqua"/>
          <w:bCs/>
          <w:sz w:val="24"/>
          <w:szCs w:val="24"/>
        </w:rPr>
      </w:pPr>
      <w:r w:rsidRPr="00561555">
        <w:rPr>
          <w:rFonts w:ascii="Book Antiqua" w:hAnsi="Book Antiqua" w:cs="Times New Roman"/>
          <w:b/>
          <w:bCs/>
          <w:kern w:val="2"/>
          <w:sz w:val="24"/>
          <w:szCs w:val="24"/>
        </w:rPr>
        <w:t>DOI:</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rsidR="00775E15" w:rsidRPr="00561555" w:rsidRDefault="00775E15" w:rsidP="00561555">
      <w:pPr>
        <w:pStyle w:val="Heading-2"/>
        <w:snapToGrid w:val="0"/>
        <w:spacing w:before="0" w:after="0" w:line="360" w:lineRule="auto"/>
        <w:jc w:val="both"/>
        <w:rPr>
          <w:rFonts w:ascii="Book Antiqua" w:eastAsiaTheme="minorEastAsia" w:hAnsi="Book Antiqua"/>
          <w:b/>
          <w:caps/>
          <w:color w:val="auto"/>
          <w:sz w:val="24"/>
          <w:szCs w:val="24"/>
          <w:lang w:eastAsia="zh-CN"/>
        </w:rPr>
      </w:pPr>
    </w:p>
    <w:p w:rsidR="00775E15" w:rsidRDefault="00775E15" w:rsidP="00561555">
      <w:pPr>
        <w:pStyle w:val="Heading-2"/>
        <w:snapToGrid w:val="0"/>
        <w:spacing w:before="0" w:after="0" w:line="360" w:lineRule="auto"/>
        <w:jc w:val="both"/>
        <w:rPr>
          <w:rFonts w:ascii="Book Antiqua" w:eastAsiaTheme="minorEastAsia" w:hAnsi="Book Antiqua"/>
          <w:b/>
          <w:caps/>
          <w:color w:val="auto"/>
          <w:sz w:val="24"/>
          <w:szCs w:val="24"/>
          <w:lang w:eastAsia="zh-CN"/>
        </w:rPr>
      </w:pPr>
    </w:p>
    <w:p w:rsidR="00066E20" w:rsidRDefault="00066E20" w:rsidP="00066E20">
      <w:pPr>
        <w:pStyle w:val="Text-body"/>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Default="00066E20" w:rsidP="00066E20">
      <w:pPr>
        <w:pStyle w:val="First-line-indent"/>
        <w:rPr>
          <w:lang w:eastAsia="zh-CN"/>
        </w:rPr>
      </w:pPr>
    </w:p>
    <w:p w:rsidR="00066E20" w:rsidRPr="00066E20" w:rsidRDefault="00066E20" w:rsidP="00066E20">
      <w:pPr>
        <w:pStyle w:val="First-line-indent"/>
        <w:rPr>
          <w:lang w:eastAsia="zh-CN"/>
        </w:rPr>
      </w:pPr>
    </w:p>
    <w:p w:rsidR="003E410E" w:rsidRPr="00561555" w:rsidRDefault="003E410E" w:rsidP="00561555">
      <w:pPr>
        <w:pStyle w:val="Heading-2"/>
        <w:snapToGrid w:val="0"/>
        <w:spacing w:before="0" w:after="0" w:line="360" w:lineRule="auto"/>
        <w:jc w:val="both"/>
        <w:rPr>
          <w:rFonts w:ascii="Book Antiqua" w:hAnsi="Book Antiqua"/>
          <w:b/>
          <w:caps/>
          <w:color w:val="auto"/>
          <w:sz w:val="24"/>
          <w:szCs w:val="24"/>
        </w:rPr>
      </w:pPr>
      <w:r w:rsidRPr="00561555">
        <w:rPr>
          <w:rFonts w:ascii="Book Antiqua" w:hAnsi="Book Antiqua"/>
          <w:b/>
          <w:caps/>
          <w:color w:val="auto"/>
          <w:sz w:val="24"/>
          <w:szCs w:val="24"/>
        </w:rPr>
        <w:lastRenderedPageBreak/>
        <w:t>Introduction</w:t>
      </w:r>
    </w:p>
    <w:p w:rsidR="003E410E" w:rsidRPr="00561555" w:rsidRDefault="003E410E" w:rsidP="00561555">
      <w:pPr>
        <w:pStyle w:val="Text-body"/>
        <w:snapToGrid w:val="0"/>
        <w:spacing w:line="360" w:lineRule="auto"/>
        <w:rPr>
          <w:rFonts w:ascii="Book Antiqua" w:hAnsi="Book Antiqua"/>
          <w:color w:val="auto"/>
        </w:rPr>
      </w:pPr>
      <w:bookmarkStart w:id="68" w:name="OLE_LINK845"/>
      <w:bookmarkStart w:id="69" w:name="OLE_LINK846"/>
      <w:r w:rsidRPr="00561555">
        <w:rPr>
          <w:rFonts w:ascii="Book Antiqua" w:hAnsi="Book Antiqua"/>
          <w:color w:val="auto"/>
        </w:rPr>
        <w:t>Crohn’s disease (CD) occurs in equal proportion in both genders and its incidence has been growing worldwide in the last decades</w:t>
      </w:r>
      <w:bookmarkStart w:id="70" w:name="OLE_LINK829"/>
      <w:bookmarkStart w:id="71" w:name="OLE_LINK830"/>
      <w:bookmarkStart w:id="72" w:name="OLE_LINK831"/>
      <w:r w:rsidR="00775E15" w:rsidRPr="00561555">
        <w:rPr>
          <w:rFonts w:ascii="Book Antiqua" w:hAnsi="Book Antiqua"/>
          <w:color w:val="auto"/>
          <w:vertAlign w:val="superscript"/>
          <w:lang w:eastAsia="zh-CN"/>
        </w:rPr>
        <w:t>[</w:t>
      </w:r>
      <w:r w:rsidRPr="00561555">
        <w:rPr>
          <w:rFonts w:ascii="Book Antiqua" w:hAnsi="Book Antiqua"/>
          <w:color w:val="auto"/>
          <w:vertAlign w:val="superscript"/>
        </w:rPr>
        <w:t>1</w:t>
      </w:r>
      <w:r w:rsidR="00775E15" w:rsidRPr="00561555">
        <w:rPr>
          <w:rFonts w:ascii="Book Antiqua" w:hAnsi="Book Antiqua"/>
          <w:color w:val="auto"/>
          <w:vertAlign w:val="superscript"/>
          <w:lang w:eastAsia="zh-CN"/>
        </w:rPr>
        <w:t>]</w:t>
      </w:r>
      <w:bookmarkEnd w:id="70"/>
      <w:bookmarkEnd w:id="71"/>
      <w:bookmarkEnd w:id="72"/>
      <w:r w:rsidRPr="00561555">
        <w:rPr>
          <w:rFonts w:ascii="Book Antiqua" w:hAnsi="Book Antiqua"/>
          <w:color w:val="auto"/>
        </w:rPr>
        <w:t>. CD is a disabling disease affecting psychological, familial, and social dimensions of life</w:t>
      </w:r>
      <w:r w:rsidR="00775E15" w:rsidRPr="00561555">
        <w:rPr>
          <w:rFonts w:ascii="Book Antiqua" w:hAnsi="Book Antiqua"/>
          <w:color w:val="auto"/>
          <w:vertAlign w:val="superscript"/>
          <w:lang w:eastAsia="zh-CN"/>
        </w:rPr>
        <w:t>[2]</w:t>
      </w:r>
      <w:r w:rsidRPr="00561555">
        <w:rPr>
          <w:rStyle w:val="textcolor7"/>
          <w:rFonts w:ascii="Book Antiqua" w:hAnsi="Book Antiqua"/>
          <w:color w:val="auto"/>
        </w:rPr>
        <w:t>.</w:t>
      </w:r>
      <w:r w:rsidRPr="00561555">
        <w:rPr>
          <w:rFonts w:ascii="Book Antiqua" w:hAnsi="Book Antiqua"/>
          <w:color w:val="auto"/>
        </w:rPr>
        <w:t xml:space="preserve"> Therefore, the need to develop a specific instrument able to evaluate disabilities and identify specific factors as predictors is paramount.</w:t>
      </w:r>
      <w:bookmarkEnd w:id="68"/>
      <w:bookmarkEnd w:id="69"/>
      <w:r w:rsidRPr="00561555">
        <w:rPr>
          <w:rFonts w:ascii="Book Antiqua" w:hAnsi="Book Antiqua"/>
          <w:color w:val="auto"/>
        </w:rPr>
        <w:t xml:space="preserve"> This is particularly true since in the last decades the medical treatment options have been dramatically changed. Other strategies are now approaching, namely accelerate step-up and top-down treatment</w:t>
      </w:r>
      <w:r w:rsidR="00775E15" w:rsidRPr="00561555">
        <w:rPr>
          <w:rFonts w:ascii="Book Antiqua" w:hAnsi="Book Antiqua"/>
          <w:color w:val="auto"/>
          <w:vertAlign w:val="superscript"/>
          <w:lang w:eastAsia="zh-CN"/>
        </w:rPr>
        <w:t>[3]</w:t>
      </w:r>
      <w:r w:rsidRPr="00561555">
        <w:rPr>
          <w:rFonts w:ascii="Book Antiqua" w:hAnsi="Book Antiqua"/>
          <w:color w:val="auto"/>
        </w:rPr>
        <w:t>.</w:t>
      </w:r>
      <w:bookmarkStart w:id="73" w:name="OLE_LINK847"/>
      <w:bookmarkStart w:id="74" w:name="OLE_LINK848"/>
      <w:r w:rsidRPr="00561555">
        <w:rPr>
          <w:rFonts w:ascii="Book Antiqua" w:hAnsi="Book Antiqua"/>
          <w:color w:val="auto"/>
        </w:rPr>
        <w:t xml:space="preserve"> The top-down strategy is based on the very early use of intensive therapy (immunosuppressants and/or biologics) to maintain a good quality of life from the first flare-up of the disease and prevent any irreversible consequences</w:t>
      </w:r>
      <w:r w:rsidR="00775E15" w:rsidRPr="00561555">
        <w:rPr>
          <w:rFonts w:ascii="Book Antiqua" w:hAnsi="Book Antiqua"/>
          <w:color w:val="auto"/>
          <w:vertAlign w:val="superscript"/>
          <w:lang w:eastAsia="zh-CN"/>
        </w:rPr>
        <w:t>[3]</w:t>
      </w:r>
      <w:r w:rsidRPr="00561555">
        <w:rPr>
          <w:rFonts w:ascii="Book Antiqua" w:hAnsi="Book Antiqua"/>
          <w:color w:val="auto"/>
        </w:rPr>
        <w:t xml:space="preserve">. Therefore, it is now crucial to identify simple clinical criteria at diagnosis to predict CD outcome. </w:t>
      </w:r>
      <w:bookmarkStart w:id="75" w:name="OLE_LINK849"/>
      <w:bookmarkStart w:id="76" w:name="OLE_LINK850"/>
      <w:bookmarkEnd w:id="73"/>
      <w:bookmarkEnd w:id="74"/>
      <w:r w:rsidRPr="00561555">
        <w:rPr>
          <w:rFonts w:ascii="Book Antiqua" w:hAnsi="Book Antiqua"/>
          <w:color w:val="auto"/>
        </w:rPr>
        <w:t xml:space="preserve">This work aims to systematically review the evidence with respect to predictive clinical prognostic factors for CD. </w:t>
      </w:r>
    </w:p>
    <w:bookmarkEnd w:id="75"/>
    <w:bookmarkEnd w:id="76"/>
    <w:p w:rsidR="003E410E" w:rsidRPr="00561555" w:rsidRDefault="003E410E" w:rsidP="00561555">
      <w:pPr>
        <w:pStyle w:val="Heading-2"/>
        <w:numPr>
          <w:ilvl w:val="1"/>
          <w:numId w:val="1"/>
        </w:numPr>
        <w:snapToGrid w:val="0"/>
        <w:spacing w:before="0" w:after="0" w:line="360" w:lineRule="auto"/>
        <w:jc w:val="both"/>
        <w:rPr>
          <w:rFonts w:ascii="Book Antiqua" w:hAnsi="Book Antiqua"/>
          <w:b/>
          <w:caps/>
          <w:color w:val="auto"/>
          <w:sz w:val="24"/>
          <w:szCs w:val="24"/>
        </w:rPr>
      </w:pPr>
    </w:p>
    <w:p w:rsidR="003E410E" w:rsidRPr="00561555" w:rsidRDefault="003E410E" w:rsidP="00561555">
      <w:pPr>
        <w:pStyle w:val="Heading-2"/>
        <w:numPr>
          <w:ilvl w:val="1"/>
          <w:numId w:val="1"/>
        </w:numPr>
        <w:snapToGrid w:val="0"/>
        <w:spacing w:before="0" w:after="0" w:line="360" w:lineRule="auto"/>
        <w:jc w:val="both"/>
        <w:rPr>
          <w:rFonts w:ascii="Book Antiqua" w:hAnsi="Book Antiqua"/>
          <w:b/>
          <w:caps/>
          <w:color w:val="auto"/>
          <w:sz w:val="24"/>
          <w:szCs w:val="24"/>
        </w:rPr>
      </w:pPr>
      <w:r w:rsidRPr="00561555">
        <w:rPr>
          <w:rFonts w:ascii="Book Antiqua" w:hAnsi="Book Antiqua"/>
          <w:b/>
          <w:caps/>
          <w:color w:val="auto"/>
          <w:sz w:val="24"/>
          <w:szCs w:val="24"/>
        </w:rPr>
        <w:t>Material and Methods</w:t>
      </w:r>
    </w:p>
    <w:p w:rsidR="003E410E" w:rsidRPr="00561555" w:rsidRDefault="003E410E" w:rsidP="00561555">
      <w:pPr>
        <w:pStyle w:val="Text-body"/>
        <w:snapToGrid w:val="0"/>
        <w:spacing w:line="360" w:lineRule="auto"/>
        <w:rPr>
          <w:rFonts w:ascii="Book Antiqua" w:hAnsi="Book Antiqua"/>
          <w:color w:val="auto"/>
        </w:rPr>
      </w:pPr>
      <w:r w:rsidRPr="00561555">
        <w:rPr>
          <w:rFonts w:ascii="Book Antiqua" w:hAnsi="Book Antiqua"/>
          <w:color w:val="auto"/>
        </w:rPr>
        <w:t>A systematic review and meta-analysis of observational studies focusing on the factors that can predict the prognosis of different outcomes of</w:t>
      </w:r>
      <w:r w:rsidR="00066E20" w:rsidRPr="00066E20">
        <w:rPr>
          <w:rFonts w:ascii="Book Antiqua" w:hAnsi="Book Antiqua" w:hint="eastAsia"/>
          <w:color w:val="auto"/>
          <w:lang w:eastAsia="zh-CN"/>
        </w:rPr>
        <w:t xml:space="preserve"> </w:t>
      </w:r>
      <w:r w:rsidR="00066E20">
        <w:rPr>
          <w:rFonts w:ascii="Book Antiqua" w:hAnsi="Book Antiqua" w:hint="eastAsia"/>
          <w:color w:val="auto"/>
          <w:lang w:eastAsia="zh-CN"/>
        </w:rPr>
        <w:t>CD</w:t>
      </w:r>
      <w:r w:rsidRPr="00561555">
        <w:rPr>
          <w:rFonts w:ascii="Book Antiqua" w:hAnsi="Book Antiqua"/>
          <w:color w:val="auto"/>
        </w:rPr>
        <w:t xml:space="preserve"> was undertaken. The methodology included the definition of eligibility criteria, search strategies, study selection and characteristics, outcome measures, quantitative data synthesis and sensitivity analysis, methodological quality of studies, and statistical data analysis. </w:t>
      </w:r>
    </w:p>
    <w:p w:rsidR="003E410E" w:rsidRPr="00561555" w:rsidRDefault="003E410E" w:rsidP="00561555">
      <w:pPr>
        <w:pStyle w:val="Text-body"/>
        <w:snapToGrid w:val="0"/>
        <w:spacing w:line="360" w:lineRule="auto"/>
        <w:rPr>
          <w:rFonts w:ascii="Book Antiqua" w:hAnsi="Book Antiqua"/>
          <w:color w:val="auto"/>
        </w:rPr>
      </w:pPr>
    </w:p>
    <w:p w:rsidR="003E410E" w:rsidRPr="00561555" w:rsidRDefault="003E410E" w:rsidP="00561555">
      <w:pPr>
        <w:pStyle w:val="First-line-indent"/>
        <w:snapToGrid w:val="0"/>
        <w:spacing w:line="360" w:lineRule="auto"/>
        <w:ind w:firstLine="0"/>
        <w:rPr>
          <w:rFonts w:ascii="Book Antiqua" w:hAnsi="Book Antiqua"/>
          <w:b/>
          <w:i/>
          <w:color w:val="auto"/>
        </w:rPr>
      </w:pPr>
      <w:r w:rsidRPr="00561555">
        <w:rPr>
          <w:rFonts w:ascii="Book Antiqua" w:hAnsi="Book Antiqua"/>
          <w:b/>
          <w:i/>
          <w:color w:val="auto"/>
        </w:rPr>
        <w:t xml:space="preserve">Eligibility criteria </w:t>
      </w:r>
    </w:p>
    <w:p w:rsidR="003E410E" w:rsidRPr="00561555" w:rsidRDefault="003E410E" w:rsidP="00561555">
      <w:pPr>
        <w:pStyle w:val="First-line-indent"/>
        <w:snapToGrid w:val="0"/>
        <w:spacing w:line="360" w:lineRule="auto"/>
        <w:ind w:firstLine="0"/>
        <w:rPr>
          <w:rFonts w:ascii="Book Antiqua" w:hAnsi="Book Antiqua"/>
          <w:color w:val="auto"/>
        </w:rPr>
      </w:pPr>
      <w:r w:rsidRPr="00561555">
        <w:rPr>
          <w:rFonts w:ascii="Book Antiqua" w:hAnsi="Book Antiqua"/>
          <w:color w:val="auto"/>
        </w:rPr>
        <w:t xml:space="preserve">Studies that described prognostic factors in </w:t>
      </w:r>
      <w:r w:rsidR="00066E20">
        <w:rPr>
          <w:rFonts w:ascii="Book Antiqua" w:hAnsi="Book Antiqua" w:hint="eastAsia"/>
          <w:color w:val="auto"/>
          <w:lang w:eastAsia="zh-CN"/>
        </w:rPr>
        <w:t>CD</w:t>
      </w:r>
      <w:r w:rsidRPr="00561555">
        <w:rPr>
          <w:rFonts w:ascii="Book Antiqua" w:hAnsi="Book Antiqua"/>
          <w:color w:val="auto"/>
        </w:rPr>
        <w:t xml:space="preserve"> were eligible for inclusion. The criteria for inclusion were studies with adult patients and </w:t>
      </w:r>
      <w:r w:rsidR="00066E20">
        <w:rPr>
          <w:rFonts w:ascii="Book Antiqua" w:hAnsi="Book Antiqua" w:hint="eastAsia"/>
          <w:color w:val="auto"/>
          <w:lang w:eastAsia="zh-CN"/>
        </w:rPr>
        <w:t>CD</w:t>
      </w:r>
      <w:r w:rsidRPr="00561555">
        <w:rPr>
          <w:rFonts w:ascii="Book Antiqua" w:hAnsi="Book Antiqua"/>
          <w:color w:val="auto"/>
        </w:rPr>
        <w:t xml:space="preserve"> written in English and studying association between clinical factors and disabling disease. Studies not in English, without available abstract, with genetic or serologic factors, biomarker studies, or those addressing diagnosis or quality of life were excluded. </w:t>
      </w:r>
    </w:p>
    <w:p w:rsidR="003E410E" w:rsidRPr="00561555" w:rsidRDefault="003E410E" w:rsidP="00561555">
      <w:pPr>
        <w:pStyle w:val="First-line-indent"/>
        <w:snapToGrid w:val="0"/>
        <w:spacing w:line="360" w:lineRule="auto"/>
        <w:ind w:firstLine="0"/>
        <w:rPr>
          <w:rFonts w:ascii="Book Antiqua" w:hAnsi="Book Antiqua"/>
        </w:rPr>
      </w:pPr>
    </w:p>
    <w:p w:rsidR="003E410E" w:rsidRPr="00561555" w:rsidRDefault="003E410E" w:rsidP="00561555">
      <w:pPr>
        <w:pStyle w:val="First-line-indent"/>
        <w:snapToGrid w:val="0"/>
        <w:spacing w:line="360" w:lineRule="auto"/>
        <w:ind w:firstLine="0"/>
        <w:rPr>
          <w:rFonts w:ascii="Book Antiqua" w:hAnsi="Book Antiqua"/>
          <w:b/>
          <w:i/>
          <w:color w:val="auto"/>
        </w:rPr>
      </w:pPr>
      <w:r w:rsidRPr="00561555">
        <w:rPr>
          <w:rFonts w:ascii="Book Antiqua" w:hAnsi="Book Antiqua"/>
          <w:b/>
          <w:i/>
          <w:color w:val="auto"/>
        </w:rPr>
        <w:t xml:space="preserve">Search strategy </w:t>
      </w:r>
    </w:p>
    <w:p w:rsidR="003E410E" w:rsidRPr="00561555" w:rsidRDefault="003E410E" w:rsidP="00561555">
      <w:pPr>
        <w:pStyle w:val="First-line-indent"/>
        <w:snapToGrid w:val="0"/>
        <w:spacing w:line="360" w:lineRule="auto"/>
        <w:ind w:firstLine="0"/>
        <w:rPr>
          <w:rFonts w:ascii="Book Antiqua" w:hAnsi="Book Antiqua"/>
          <w:color w:val="auto"/>
        </w:rPr>
      </w:pPr>
      <w:r w:rsidRPr="00561555">
        <w:rPr>
          <w:rFonts w:ascii="Book Antiqua" w:hAnsi="Book Antiqua"/>
          <w:color w:val="auto"/>
        </w:rPr>
        <w:t>The main method to search for the eligible articles was a broad literature search using PubMed with the following keywords and MeSH terms: "</w:t>
      </w:r>
      <w:r w:rsidRPr="00561555">
        <w:rPr>
          <w:rStyle w:val="a3"/>
          <w:rFonts w:ascii="Book Antiqua" w:hAnsi="Book Antiqua"/>
          <w:color w:val="auto"/>
        </w:rPr>
        <w:t xml:space="preserve">crohn disease"[MeSH </w:t>
      </w:r>
      <w:r w:rsidRPr="00561555">
        <w:rPr>
          <w:rStyle w:val="a3"/>
          <w:rFonts w:ascii="Book Antiqua" w:hAnsi="Book Antiqua"/>
          <w:color w:val="auto"/>
        </w:rPr>
        <w:lastRenderedPageBreak/>
        <w:t>Terms] OR "crohn"[All Fields] AND predictor[All Fields] OR predictors[All Fields] OR predict[All Fields] OR "prognostic factor"[All Fields] OR "prognostic factors"[All Fields]</w:t>
      </w:r>
      <w:r w:rsidRPr="00561555">
        <w:rPr>
          <w:rFonts w:ascii="Book Antiqua" w:hAnsi="Book Antiqua"/>
          <w:color w:val="auto"/>
        </w:rPr>
        <w:t xml:space="preserve">. Literature searches were also undertaken in Scopus database and ISI Web of Knowledge using the same search keywords: </w:t>
      </w:r>
      <w:r w:rsidRPr="00561555">
        <w:rPr>
          <w:rStyle w:val="a3"/>
          <w:rFonts w:ascii="Book Antiqua" w:hAnsi="Book Antiqua"/>
          <w:color w:val="auto"/>
        </w:rPr>
        <w:t>crohn disease AND (predictors OR predict OR prognostic factors).</w:t>
      </w:r>
      <w:r w:rsidRPr="00561555">
        <w:rPr>
          <w:rFonts w:ascii="Book Antiqua" w:hAnsi="Book Antiqua"/>
          <w:color w:val="auto"/>
        </w:rPr>
        <w:t xml:space="preserve"> </w:t>
      </w:r>
    </w:p>
    <w:p w:rsidR="003E410E" w:rsidRPr="00561555" w:rsidRDefault="003E410E" w:rsidP="00561555">
      <w:pPr>
        <w:pStyle w:val="Text-body"/>
        <w:snapToGrid w:val="0"/>
        <w:spacing w:line="360" w:lineRule="auto"/>
        <w:rPr>
          <w:rFonts w:ascii="Book Antiqua" w:hAnsi="Book Antiqua"/>
          <w:color w:val="auto"/>
        </w:rPr>
      </w:pPr>
    </w:p>
    <w:p w:rsidR="003E410E" w:rsidRPr="00561555" w:rsidRDefault="003E410E" w:rsidP="00561555">
      <w:pPr>
        <w:pStyle w:val="First-line-indent"/>
        <w:snapToGrid w:val="0"/>
        <w:spacing w:line="360" w:lineRule="auto"/>
        <w:ind w:firstLine="0"/>
        <w:rPr>
          <w:rFonts w:ascii="Book Antiqua" w:hAnsi="Book Antiqua"/>
          <w:b/>
          <w:i/>
          <w:color w:val="auto"/>
        </w:rPr>
      </w:pPr>
      <w:r w:rsidRPr="00561555">
        <w:rPr>
          <w:rFonts w:ascii="Book Antiqua" w:hAnsi="Book Antiqua"/>
          <w:b/>
          <w:i/>
          <w:color w:val="auto"/>
        </w:rPr>
        <w:t xml:space="preserve">Study selection </w:t>
      </w:r>
    </w:p>
    <w:p w:rsidR="003E410E" w:rsidRPr="00561555" w:rsidRDefault="003E410E" w:rsidP="00561555">
      <w:pPr>
        <w:pStyle w:val="First-line-indent"/>
        <w:snapToGrid w:val="0"/>
        <w:spacing w:line="360" w:lineRule="auto"/>
        <w:ind w:firstLine="0"/>
        <w:rPr>
          <w:rFonts w:ascii="Book Antiqua" w:hAnsi="Book Antiqua"/>
          <w:color w:val="auto"/>
        </w:rPr>
      </w:pPr>
      <w:r w:rsidRPr="00561555">
        <w:rPr>
          <w:rFonts w:ascii="Book Antiqua" w:hAnsi="Book Antiqua"/>
          <w:color w:val="auto"/>
        </w:rPr>
        <w:t xml:space="preserve">The studies were screened and selected by two reviewers. First, all titles and abstracts were read and the inclusion and exclusion criteria were applied. Second, the reviewers read the full text of all papers considered for inclusion after abstract selection, again applying the inclusion and exclusion criteria. </w:t>
      </w:r>
    </w:p>
    <w:p w:rsidR="003E410E" w:rsidRPr="00561555" w:rsidRDefault="003E410E" w:rsidP="00561555">
      <w:pPr>
        <w:pStyle w:val="Text-body"/>
        <w:snapToGrid w:val="0"/>
        <w:spacing w:line="360" w:lineRule="auto"/>
        <w:rPr>
          <w:rFonts w:ascii="Book Antiqua" w:hAnsi="Book Antiqua"/>
          <w:color w:val="auto"/>
        </w:rPr>
      </w:pPr>
    </w:p>
    <w:p w:rsidR="003E410E" w:rsidRPr="00561555" w:rsidRDefault="003E410E" w:rsidP="00561555">
      <w:pPr>
        <w:pStyle w:val="First-line-indent"/>
        <w:snapToGrid w:val="0"/>
        <w:spacing w:line="360" w:lineRule="auto"/>
        <w:ind w:firstLine="0"/>
        <w:rPr>
          <w:rFonts w:ascii="Book Antiqua" w:hAnsi="Book Antiqua"/>
          <w:b/>
          <w:i/>
          <w:color w:val="auto"/>
        </w:rPr>
      </w:pPr>
      <w:r w:rsidRPr="00561555">
        <w:rPr>
          <w:rFonts w:ascii="Book Antiqua" w:hAnsi="Book Antiqua"/>
          <w:b/>
          <w:i/>
          <w:color w:val="auto"/>
        </w:rPr>
        <w:t xml:space="preserve">Study characteristics </w:t>
      </w:r>
    </w:p>
    <w:p w:rsidR="003E410E" w:rsidRPr="00561555" w:rsidRDefault="003E410E" w:rsidP="00561555">
      <w:pPr>
        <w:pStyle w:val="First-line-indent"/>
        <w:snapToGrid w:val="0"/>
        <w:spacing w:line="360" w:lineRule="auto"/>
        <w:ind w:firstLine="0"/>
        <w:rPr>
          <w:rFonts w:ascii="Book Antiqua" w:hAnsi="Book Antiqua"/>
          <w:color w:val="auto"/>
        </w:rPr>
      </w:pPr>
      <w:r w:rsidRPr="00561555">
        <w:rPr>
          <w:rFonts w:ascii="Book Antiqua" w:hAnsi="Book Antiqua"/>
          <w:color w:val="auto"/>
        </w:rPr>
        <w:t xml:space="preserve">The following properties of each study were recorded: total number of patients, prognostic variables, and percentage of patients with disabling disease. </w:t>
      </w:r>
    </w:p>
    <w:p w:rsidR="003E410E" w:rsidRPr="00561555" w:rsidRDefault="003E410E" w:rsidP="00561555">
      <w:pPr>
        <w:pStyle w:val="Text-body"/>
        <w:snapToGrid w:val="0"/>
        <w:spacing w:line="360" w:lineRule="auto"/>
        <w:rPr>
          <w:rFonts w:ascii="Book Antiqua" w:hAnsi="Book Antiqua"/>
          <w:color w:val="auto"/>
        </w:rPr>
      </w:pPr>
    </w:p>
    <w:p w:rsidR="003E410E" w:rsidRPr="00561555" w:rsidRDefault="003E410E" w:rsidP="00561555">
      <w:pPr>
        <w:pStyle w:val="First-line-indent"/>
        <w:snapToGrid w:val="0"/>
        <w:spacing w:line="360" w:lineRule="auto"/>
        <w:ind w:firstLine="0"/>
        <w:rPr>
          <w:rFonts w:ascii="Book Antiqua" w:hAnsi="Book Antiqua"/>
          <w:b/>
          <w:i/>
          <w:color w:val="auto"/>
        </w:rPr>
      </w:pPr>
      <w:r w:rsidRPr="00561555">
        <w:rPr>
          <w:rFonts w:ascii="Book Antiqua" w:hAnsi="Book Antiqua"/>
          <w:b/>
          <w:i/>
          <w:color w:val="auto"/>
        </w:rPr>
        <w:t>Outco</w:t>
      </w:r>
      <w:r w:rsidR="0046071F" w:rsidRPr="00561555">
        <w:rPr>
          <w:rFonts w:ascii="Book Antiqua" w:hAnsi="Book Antiqua"/>
          <w:b/>
          <w:i/>
          <w:color w:val="auto"/>
        </w:rPr>
        <w:t>me m</w:t>
      </w:r>
      <w:r w:rsidRPr="00561555">
        <w:rPr>
          <w:rFonts w:ascii="Book Antiqua" w:hAnsi="Book Antiqua"/>
          <w:b/>
          <w:i/>
          <w:color w:val="auto"/>
        </w:rPr>
        <w:t xml:space="preserve">easures </w:t>
      </w:r>
    </w:p>
    <w:p w:rsidR="003E410E" w:rsidRPr="00561555" w:rsidRDefault="003E410E" w:rsidP="00561555">
      <w:pPr>
        <w:pStyle w:val="First-line-indent"/>
        <w:snapToGrid w:val="0"/>
        <w:spacing w:line="360" w:lineRule="auto"/>
        <w:ind w:firstLine="0"/>
        <w:rPr>
          <w:rFonts w:ascii="Book Antiqua" w:hAnsi="Book Antiqua"/>
          <w:color w:val="auto"/>
        </w:rPr>
      </w:pPr>
      <w:r w:rsidRPr="00561555">
        <w:rPr>
          <w:rFonts w:ascii="Book Antiqua" w:hAnsi="Book Antiqua"/>
          <w:color w:val="auto"/>
        </w:rPr>
        <w:t xml:space="preserve">The aim of the study is to assess prognostic factors to predict disabling </w:t>
      </w:r>
      <w:r w:rsidR="006B78F2">
        <w:rPr>
          <w:rFonts w:ascii="Book Antiqua" w:hAnsi="Book Antiqua" w:hint="eastAsia"/>
          <w:color w:val="auto"/>
          <w:lang w:eastAsia="zh-CN"/>
        </w:rPr>
        <w:t>CD</w:t>
      </w:r>
      <w:r w:rsidRPr="00561555">
        <w:rPr>
          <w:rFonts w:ascii="Book Antiqua" w:hAnsi="Book Antiqua"/>
          <w:color w:val="auto"/>
        </w:rPr>
        <w:t xml:space="preserve">. </w:t>
      </w:r>
    </w:p>
    <w:p w:rsidR="003E410E" w:rsidRPr="00561555" w:rsidRDefault="003E410E" w:rsidP="00561555">
      <w:pPr>
        <w:pStyle w:val="Text-body"/>
        <w:snapToGrid w:val="0"/>
        <w:spacing w:line="360" w:lineRule="auto"/>
        <w:rPr>
          <w:rFonts w:ascii="Book Antiqua" w:hAnsi="Book Antiqua"/>
          <w:color w:val="auto"/>
          <w:lang w:eastAsia="zh-CN"/>
        </w:rPr>
      </w:pPr>
    </w:p>
    <w:p w:rsidR="003E410E" w:rsidRPr="00561555" w:rsidRDefault="003E410E" w:rsidP="00561555">
      <w:pPr>
        <w:pStyle w:val="First-line-indent"/>
        <w:snapToGrid w:val="0"/>
        <w:spacing w:line="360" w:lineRule="auto"/>
        <w:ind w:firstLine="0"/>
        <w:rPr>
          <w:rFonts w:ascii="Book Antiqua" w:hAnsi="Book Antiqua"/>
          <w:b/>
          <w:i/>
          <w:color w:val="auto"/>
        </w:rPr>
      </w:pPr>
      <w:r w:rsidRPr="00561555">
        <w:rPr>
          <w:rFonts w:ascii="Book Antiqua" w:hAnsi="Book Antiqua"/>
          <w:b/>
          <w:i/>
          <w:color w:val="auto"/>
        </w:rPr>
        <w:t xml:space="preserve">Methodological quality of included studies </w:t>
      </w:r>
    </w:p>
    <w:p w:rsidR="003E410E" w:rsidRPr="00561555" w:rsidRDefault="003E410E" w:rsidP="00561555">
      <w:pPr>
        <w:pStyle w:val="First-line-indent"/>
        <w:snapToGrid w:val="0"/>
        <w:spacing w:line="360" w:lineRule="auto"/>
        <w:ind w:firstLine="0"/>
        <w:rPr>
          <w:rFonts w:ascii="Book Antiqua" w:hAnsi="Book Antiqua"/>
          <w:color w:val="auto"/>
        </w:rPr>
      </w:pPr>
      <w:r w:rsidRPr="00561555">
        <w:rPr>
          <w:rFonts w:ascii="Book Antiqua" w:hAnsi="Book Antiqua"/>
          <w:color w:val="auto"/>
        </w:rPr>
        <w:t xml:space="preserve">The </w:t>
      </w:r>
      <w:r w:rsidR="00B80D18" w:rsidRPr="00561555">
        <w:rPr>
          <w:rFonts w:ascii="Book Antiqua" w:hAnsi="Book Antiqua"/>
          <w:color w:val="auto"/>
        </w:rPr>
        <w:t xml:space="preserve">16-item quality assessment tool </w:t>
      </w:r>
      <w:r w:rsidR="00B80D18" w:rsidRPr="00561555">
        <w:rPr>
          <w:rFonts w:ascii="Book Antiqua" w:hAnsi="Book Antiqua"/>
          <w:color w:val="auto"/>
          <w:lang w:eastAsia="zh-CN"/>
        </w:rPr>
        <w:t>(</w:t>
      </w:r>
      <w:r w:rsidR="00B80D18" w:rsidRPr="00561555">
        <w:rPr>
          <w:rFonts w:ascii="Book Antiqua" w:hAnsi="Book Antiqua"/>
          <w:color w:val="auto"/>
        </w:rPr>
        <w:t>QATSDD</w:t>
      </w:r>
      <w:r w:rsidR="00B80D18" w:rsidRPr="00561555">
        <w:rPr>
          <w:rFonts w:ascii="Book Antiqua" w:hAnsi="Book Antiqua"/>
          <w:color w:val="auto"/>
          <w:lang w:eastAsia="zh-CN"/>
        </w:rPr>
        <w:t>)</w:t>
      </w:r>
      <w:r w:rsidRPr="00561555">
        <w:rPr>
          <w:rFonts w:ascii="Book Antiqua" w:hAnsi="Book Antiqua"/>
          <w:color w:val="auto"/>
        </w:rPr>
        <w:t xml:space="preserve">, developed by </w:t>
      </w:r>
      <w:bookmarkStart w:id="77" w:name="OLE_LINK1074"/>
      <w:bookmarkStart w:id="78" w:name="OLE_LINK1075"/>
      <w:r w:rsidR="00CD62D5" w:rsidRPr="00CD62D5">
        <w:rPr>
          <w:rFonts w:ascii="Book Antiqua" w:eastAsia="宋体" w:hAnsi="Book Antiqua" w:cs="宋体"/>
          <w:bCs/>
          <w:color w:val="auto"/>
          <w:lang w:eastAsia="zh-CN" w:bidi="ar-SA"/>
        </w:rPr>
        <w:t>Higgins</w:t>
      </w:r>
      <w:r w:rsidRPr="00561555">
        <w:rPr>
          <w:rFonts w:ascii="Book Antiqua" w:hAnsi="Book Antiqua"/>
          <w:color w:val="auto"/>
        </w:rPr>
        <w:t xml:space="preserve"> </w:t>
      </w:r>
      <w:bookmarkEnd w:id="77"/>
      <w:bookmarkEnd w:id="78"/>
      <w:r w:rsidRPr="00561555">
        <w:rPr>
          <w:rFonts w:ascii="Book Antiqua" w:hAnsi="Book Antiqua"/>
          <w:i/>
          <w:color w:val="auto"/>
        </w:rPr>
        <w:t>et al</w:t>
      </w:r>
      <w:bookmarkStart w:id="79" w:name="OLE_LINK832"/>
      <w:bookmarkStart w:id="80" w:name="OLE_LINK833"/>
      <w:bookmarkStart w:id="81" w:name="OLE_LINK834"/>
      <w:r w:rsidR="00A3265A" w:rsidRPr="00561555">
        <w:rPr>
          <w:rFonts w:ascii="Book Antiqua" w:hAnsi="Book Antiqua"/>
          <w:color w:val="auto"/>
          <w:vertAlign w:val="superscript"/>
          <w:lang w:eastAsia="zh-CN"/>
        </w:rPr>
        <w:t>[4]</w:t>
      </w:r>
      <w:bookmarkEnd w:id="79"/>
      <w:bookmarkEnd w:id="80"/>
      <w:bookmarkEnd w:id="81"/>
      <w:r w:rsidRPr="00561555">
        <w:rPr>
          <w:rFonts w:ascii="Book Antiqua" w:hAnsi="Book Antiqua"/>
          <w:color w:val="auto"/>
        </w:rPr>
        <w:t xml:space="preserve">, was used to assess the quality of the included studies. This tool includes 16 items, scored between 0 and 3, and can be applied to different types of studies using different approaches. However, two of the items were not evaluated as they only address qualitative studies, hence we only considered a maximum score of 42. </w:t>
      </w:r>
    </w:p>
    <w:p w:rsidR="003E410E" w:rsidRPr="00561555" w:rsidRDefault="003E410E" w:rsidP="00561555">
      <w:pPr>
        <w:pStyle w:val="First-line-indent"/>
        <w:snapToGrid w:val="0"/>
        <w:spacing w:line="360" w:lineRule="auto"/>
        <w:ind w:firstLine="0"/>
        <w:rPr>
          <w:rFonts w:ascii="Book Antiqua" w:hAnsi="Book Antiqua"/>
          <w:color w:val="auto"/>
          <w:lang w:eastAsia="zh-CN"/>
        </w:rPr>
      </w:pPr>
    </w:p>
    <w:p w:rsidR="008C56BC" w:rsidRPr="00561555" w:rsidRDefault="008C56BC" w:rsidP="00561555">
      <w:pPr>
        <w:adjustRightInd w:val="0"/>
        <w:snapToGrid w:val="0"/>
        <w:spacing w:line="360" w:lineRule="auto"/>
        <w:jc w:val="both"/>
        <w:rPr>
          <w:rFonts w:ascii="Book Antiqua" w:hAnsi="Book Antiqua"/>
          <w:b/>
          <w:i/>
        </w:rPr>
      </w:pPr>
      <w:bookmarkStart w:id="82" w:name="OLE_LINK107"/>
      <w:bookmarkStart w:id="83" w:name="OLE_LINK130"/>
      <w:bookmarkStart w:id="84" w:name="OLE_LINK284"/>
      <w:r w:rsidRPr="00561555">
        <w:rPr>
          <w:rFonts w:ascii="Book Antiqua" w:hAnsi="Book Antiqua"/>
          <w:b/>
          <w:i/>
        </w:rPr>
        <w:t>Statistical analysis</w:t>
      </w:r>
    </w:p>
    <w:bookmarkEnd w:id="82"/>
    <w:bookmarkEnd w:id="83"/>
    <w:bookmarkEnd w:id="84"/>
    <w:p w:rsidR="0046071F" w:rsidRPr="00561555" w:rsidRDefault="0046071F" w:rsidP="00561555">
      <w:pPr>
        <w:pStyle w:val="First-line-indent"/>
        <w:snapToGrid w:val="0"/>
        <w:spacing w:line="360" w:lineRule="auto"/>
        <w:ind w:firstLine="0"/>
        <w:rPr>
          <w:rFonts w:ascii="Book Antiqua" w:hAnsi="Book Antiqua"/>
          <w:color w:val="auto"/>
        </w:rPr>
      </w:pPr>
      <w:r w:rsidRPr="00561555">
        <w:rPr>
          <w:rFonts w:ascii="Book Antiqua" w:hAnsi="Book Antiqua"/>
          <w:color w:val="auto"/>
        </w:rPr>
        <w:t>Statistical evidence of effects is presented as described in the original studies. Meta-analysis of effects was undertaken for the disabling disease outcome using odds ratio (OR) to assess the effect of the different factors in the outcome. The statistical method used was Mantel-Haenszel for fixed effects</w:t>
      </w:r>
      <w:r w:rsidRPr="00561555">
        <w:rPr>
          <w:rStyle w:val="textcolor8"/>
          <w:rFonts w:ascii="Book Antiqua" w:hAnsi="Book Antiqua"/>
          <w:color w:val="auto"/>
        </w:rPr>
        <w:t xml:space="preserve">. All included estimates are recomputed from original articles descriptions, potentially resulting in slightly different values. All reported </w:t>
      </w:r>
      <w:r w:rsidR="00A3265A" w:rsidRPr="00561555">
        <w:rPr>
          <w:rStyle w:val="textcolor8"/>
          <w:rFonts w:ascii="Book Antiqua" w:hAnsi="Book Antiqua"/>
          <w:i/>
          <w:color w:val="auto"/>
          <w:lang w:eastAsia="zh-CN"/>
        </w:rPr>
        <w:t>P</w:t>
      </w:r>
      <w:r w:rsidRPr="00561555">
        <w:rPr>
          <w:rStyle w:val="textcolor8"/>
          <w:rFonts w:ascii="Book Antiqua" w:hAnsi="Book Antiqua"/>
          <w:color w:val="auto"/>
        </w:rPr>
        <w:t xml:space="preserve">-values are 2-sided with a significance level of 5%. </w:t>
      </w:r>
      <w:r w:rsidRPr="00561555">
        <w:rPr>
          <w:rStyle w:val="textcolor8"/>
          <w:rFonts w:ascii="Book Antiqua" w:hAnsi="Book Antiqua"/>
          <w:color w:val="auto"/>
        </w:rPr>
        <w:lastRenderedPageBreak/>
        <w:t xml:space="preserve">Statistical heterogeneity was assessed with the </w:t>
      </w:r>
      <w:r w:rsidRPr="00561555">
        <w:rPr>
          <w:rStyle w:val="textcolor8"/>
          <w:rFonts w:ascii="Book Antiqua" w:hAnsi="Book Antiqua"/>
          <w:i/>
          <w:color w:val="auto"/>
        </w:rPr>
        <w:t>I</w:t>
      </w:r>
      <w:r w:rsidRPr="00561555">
        <w:rPr>
          <w:rStyle w:val="textcolor8"/>
          <w:rFonts w:ascii="Book Antiqua" w:hAnsi="Book Antiqua"/>
          <w:color w:val="auto"/>
          <w:vertAlign w:val="superscript"/>
        </w:rPr>
        <w:t xml:space="preserve">2 </w:t>
      </w:r>
      <w:r w:rsidRPr="00561555">
        <w:rPr>
          <w:rStyle w:val="textcolor8"/>
          <w:rFonts w:ascii="Book Antiqua" w:hAnsi="Book Antiqua"/>
          <w:color w:val="auto"/>
        </w:rPr>
        <w:t>statistic; values higher than 50% indicate a substantial level of heterogeneity</w:t>
      </w:r>
      <w:r w:rsidR="00A3265A" w:rsidRPr="00561555">
        <w:rPr>
          <w:rFonts w:ascii="Book Antiqua" w:hAnsi="Book Antiqua"/>
          <w:color w:val="auto"/>
          <w:vertAlign w:val="superscript"/>
          <w:lang w:eastAsia="zh-CN"/>
        </w:rPr>
        <w:t>[5]</w:t>
      </w:r>
      <w:r w:rsidR="002E6CB4" w:rsidRPr="00561555">
        <w:rPr>
          <w:rStyle w:val="reference-ref"/>
          <w:rFonts w:ascii="Book Antiqua" w:hAnsi="Book Antiqua"/>
          <w:color w:val="auto"/>
        </w:rPr>
        <w:fldChar w:fldCharType="begin"/>
      </w:r>
      <w:r w:rsidRPr="00561555">
        <w:rPr>
          <w:rStyle w:val="reference-ref"/>
          <w:rFonts w:ascii="Book Antiqua" w:hAnsi="Book Antiqua"/>
          <w:color w:val="auto"/>
        </w:rPr>
        <w:instrText xml:space="preserve"> REF Ref_XHiggins2003 \h  \* MERGEFORMAT </w:instrText>
      </w:r>
      <w:r w:rsidR="002E6CB4" w:rsidRPr="00561555">
        <w:rPr>
          <w:rStyle w:val="reference-ref"/>
          <w:rFonts w:ascii="Book Antiqua" w:hAnsi="Book Antiqua"/>
          <w:color w:val="auto"/>
        </w:rPr>
      </w:r>
      <w:r w:rsidR="002E6CB4" w:rsidRPr="00561555">
        <w:rPr>
          <w:rStyle w:val="reference-ref"/>
          <w:rFonts w:ascii="Book Antiqua" w:hAnsi="Book Antiqua"/>
          <w:color w:val="auto"/>
        </w:rPr>
        <w:fldChar w:fldCharType="end"/>
      </w:r>
      <w:r w:rsidRPr="00561555">
        <w:rPr>
          <w:rStyle w:val="textcolor8"/>
          <w:rFonts w:ascii="Book Antiqua" w:hAnsi="Book Antiqua"/>
          <w:color w:val="auto"/>
        </w:rPr>
        <w:t>. RevMan v5.1 (The Nordic Cochrane Center, The Cochrane Collaboration, 2011) was used to calculate OR and 95% confidence inte</w:t>
      </w:r>
      <w:r w:rsidRPr="00561555">
        <w:rPr>
          <w:rFonts w:ascii="Book Antiqua" w:hAnsi="Book Antiqua"/>
          <w:color w:val="auto"/>
        </w:rPr>
        <w:t>rvals for disabling disease and to derived forest plots showing the results of individual studies and pooled analysis.</w:t>
      </w:r>
    </w:p>
    <w:p w:rsidR="0046071F" w:rsidRPr="00561555" w:rsidRDefault="0046071F" w:rsidP="00561555">
      <w:pPr>
        <w:pStyle w:val="First-line-indent"/>
        <w:snapToGrid w:val="0"/>
        <w:spacing w:line="360" w:lineRule="auto"/>
        <w:ind w:firstLine="0"/>
        <w:rPr>
          <w:rFonts w:ascii="Book Antiqua" w:hAnsi="Book Antiqua"/>
          <w:color w:val="auto"/>
          <w:lang w:eastAsia="zh-CN"/>
        </w:rPr>
      </w:pPr>
    </w:p>
    <w:p w:rsidR="003E410E" w:rsidRPr="00561555" w:rsidDel="00D133E0" w:rsidRDefault="003E410E" w:rsidP="00561555">
      <w:pPr>
        <w:pStyle w:val="Heading-2"/>
        <w:numPr>
          <w:ilvl w:val="1"/>
          <w:numId w:val="1"/>
        </w:numPr>
        <w:snapToGrid w:val="0"/>
        <w:spacing w:before="0" w:after="0" w:line="360" w:lineRule="auto"/>
        <w:jc w:val="both"/>
        <w:rPr>
          <w:rFonts w:ascii="Book Antiqua" w:hAnsi="Book Antiqua"/>
          <w:b/>
          <w:caps/>
          <w:color w:val="auto"/>
          <w:sz w:val="24"/>
          <w:szCs w:val="24"/>
        </w:rPr>
      </w:pPr>
      <w:r w:rsidRPr="00561555">
        <w:rPr>
          <w:rFonts w:ascii="Book Antiqua" w:hAnsi="Book Antiqua"/>
          <w:b/>
          <w:caps/>
          <w:color w:val="auto"/>
          <w:sz w:val="24"/>
          <w:szCs w:val="24"/>
        </w:rPr>
        <w:t>Results</w:t>
      </w:r>
    </w:p>
    <w:p w:rsidR="003E410E" w:rsidRPr="00561555" w:rsidRDefault="003E410E" w:rsidP="00561555">
      <w:pPr>
        <w:pStyle w:val="First-line-indent"/>
        <w:snapToGrid w:val="0"/>
        <w:spacing w:line="360" w:lineRule="auto"/>
        <w:ind w:firstLine="0"/>
        <w:rPr>
          <w:rFonts w:ascii="Book Antiqua" w:hAnsi="Book Antiqua"/>
          <w:b/>
          <w:i/>
          <w:color w:val="auto"/>
        </w:rPr>
      </w:pPr>
      <w:r w:rsidRPr="00561555">
        <w:rPr>
          <w:rFonts w:ascii="Book Antiqua" w:hAnsi="Book Antiqua"/>
          <w:b/>
          <w:i/>
          <w:color w:val="auto"/>
        </w:rPr>
        <w:t xml:space="preserve">Search and study selection </w:t>
      </w:r>
    </w:p>
    <w:p w:rsidR="003E410E" w:rsidRPr="00561555" w:rsidRDefault="003E410E" w:rsidP="00561555">
      <w:pPr>
        <w:pStyle w:val="First-line-indent"/>
        <w:snapToGrid w:val="0"/>
        <w:spacing w:line="360" w:lineRule="auto"/>
        <w:ind w:firstLine="0"/>
        <w:rPr>
          <w:rFonts w:ascii="Book Antiqua" w:hAnsi="Book Antiqua"/>
        </w:rPr>
      </w:pPr>
      <w:r w:rsidRPr="00561555">
        <w:rPr>
          <w:rFonts w:ascii="Book Antiqua" w:hAnsi="Book Antiqua"/>
          <w:color w:val="auto"/>
        </w:rPr>
        <w:t>A total of 913 articles were identified using the search strategy. After reading all titles and abstracts, 853 articles were excluded (Fig</w:t>
      </w:r>
      <w:r w:rsidR="00A3265A" w:rsidRPr="00561555">
        <w:rPr>
          <w:rFonts w:ascii="Book Antiqua" w:hAnsi="Book Antiqua"/>
          <w:color w:val="auto"/>
          <w:lang w:eastAsia="zh-CN"/>
        </w:rPr>
        <w:t>ure</w:t>
      </w:r>
      <w:r w:rsidRPr="00561555">
        <w:rPr>
          <w:rFonts w:ascii="Book Antiqua" w:hAnsi="Book Antiqua"/>
          <w:color w:val="auto"/>
        </w:rPr>
        <w:t xml:space="preserve"> 1). Sixty studies were reviewed in detail and three articles were included in the study. A new search of the literature focused on the outcome was made in order to find other papers that could have been missed by the generic search. The global QATSDD scores ranged between 18 and 22.</w:t>
      </w:r>
      <w:r w:rsidR="005B3C12" w:rsidRPr="00561555">
        <w:rPr>
          <w:rFonts w:ascii="Book Antiqua" w:hAnsi="Book Antiqua"/>
          <w:color w:val="auto"/>
        </w:rPr>
        <w:t xml:space="preserve">  </w:t>
      </w:r>
      <w:r w:rsidRPr="00561555">
        <w:rPr>
          <w:rFonts w:ascii="Book Antiqua" w:hAnsi="Book Antiqua"/>
          <w:color w:val="auto"/>
        </w:rPr>
        <w:t>The main characteristics of the studies are summarized in Table 1.</w:t>
      </w:r>
    </w:p>
    <w:p w:rsidR="003E410E" w:rsidRPr="00561555" w:rsidRDefault="003E410E" w:rsidP="00561555">
      <w:pPr>
        <w:pStyle w:val="First-line-indent"/>
        <w:snapToGrid w:val="0"/>
        <w:spacing w:line="360" w:lineRule="auto"/>
        <w:rPr>
          <w:rFonts w:ascii="Book Antiqua" w:hAnsi="Book Antiqua"/>
          <w:color w:val="auto"/>
        </w:rPr>
      </w:pPr>
    </w:p>
    <w:p w:rsidR="003E410E" w:rsidRPr="00561555" w:rsidRDefault="003E410E" w:rsidP="00561555">
      <w:pPr>
        <w:pStyle w:val="First-line-indent"/>
        <w:snapToGrid w:val="0"/>
        <w:spacing w:line="360" w:lineRule="auto"/>
        <w:ind w:firstLine="0"/>
        <w:rPr>
          <w:rFonts w:ascii="Book Antiqua" w:hAnsi="Book Antiqua"/>
          <w:b/>
          <w:i/>
          <w:color w:val="auto"/>
        </w:rPr>
      </w:pPr>
      <w:r w:rsidRPr="00561555">
        <w:rPr>
          <w:rFonts w:ascii="Book Antiqua" w:hAnsi="Book Antiqua"/>
          <w:b/>
          <w:i/>
          <w:color w:val="auto"/>
        </w:rPr>
        <w:t xml:space="preserve">Predicting factors of disabling disease </w:t>
      </w:r>
    </w:p>
    <w:p w:rsidR="003E410E" w:rsidRPr="00561555" w:rsidRDefault="003E410E" w:rsidP="00561555">
      <w:pPr>
        <w:pStyle w:val="First-line-indent"/>
        <w:snapToGrid w:val="0"/>
        <w:spacing w:line="360" w:lineRule="auto"/>
        <w:ind w:firstLine="0"/>
        <w:rPr>
          <w:rFonts w:ascii="Book Antiqua" w:hAnsi="Book Antiqua"/>
          <w:color w:val="auto"/>
        </w:rPr>
      </w:pPr>
      <w:r w:rsidRPr="00561555">
        <w:rPr>
          <w:rFonts w:ascii="Book Antiqua" w:hAnsi="Book Antiqua"/>
          <w:color w:val="auto"/>
        </w:rPr>
        <w:t xml:space="preserve">Beaugerie </w:t>
      </w:r>
      <w:r w:rsidRPr="00561555">
        <w:rPr>
          <w:rFonts w:ascii="Book Antiqua" w:hAnsi="Book Antiqua"/>
          <w:i/>
          <w:color w:val="auto"/>
        </w:rPr>
        <w:t>et al</w:t>
      </w:r>
      <w:r w:rsidR="00A3265A" w:rsidRPr="00561555">
        <w:rPr>
          <w:rFonts w:ascii="Book Antiqua" w:hAnsi="Book Antiqua"/>
          <w:color w:val="auto"/>
          <w:vertAlign w:val="superscript"/>
          <w:lang w:eastAsia="zh-CN"/>
        </w:rPr>
        <w:t>[</w:t>
      </w:r>
      <w:r w:rsidR="00A3265A" w:rsidRPr="00561555">
        <w:rPr>
          <w:rFonts w:ascii="Book Antiqua" w:hAnsi="Book Antiqua"/>
          <w:color w:val="auto"/>
          <w:vertAlign w:val="superscript"/>
        </w:rPr>
        <w:t>6</w:t>
      </w:r>
      <w:r w:rsidR="00A3265A" w:rsidRPr="00561555">
        <w:rPr>
          <w:rFonts w:ascii="Book Antiqua" w:hAnsi="Book Antiqua"/>
          <w:color w:val="auto"/>
          <w:vertAlign w:val="superscript"/>
          <w:lang w:eastAsia="zh-CN"/>
        </w:rPr>
        <w:t>]</w:t>
      </w:r>
      <w:r w:rsidRPr="00561555">
        <w:rPr>
          <w:rFonts w:ascii="Book Antiqua" w:hAnsi="Book Antiqua"/>
          <w:color w:val="auto"/>
        </w:rPr>
        <w:t xml:space="preserve"> and Loly </w:t>
      </w:r>
      <w:r w:rsidRPr="00561555">
        <w:rPr>
          <w:rFonts w:ascii="Book Antiqua" w:hAnsi="Book Antiqua"/>
          <w:i/>
          <w:color w:val="auto"/>
        </w:rPr>
        <w:t>et al</w:t>
      </w:r>
      <w:r w:rsidR="00A3265A" w:rsidRPr="00561555">
        <w:rPr>
          <w:rFonts w:ascii="Book Antiqua" w:hAnsi="Book Antiqua"/>
          <w:color w:val="auto"/>
          <w:vertAlign w:val="superscript"/>
          <w:lang w:eastAsia="zh-CN"/>
        </w:rPr>
        <w:t>[</w:t>
      </w:r>
      <w:r w:rsidR="00A3265A" w:rsidRPr="00561555">
        <w:rPr>
          <w:rFonts w:ascii="Book Antiqua" w:hAnsi="Book Antiqua"/>
          <w:color w:val="auto"/>
          <w:vertAlign w:val="superscript"/>
        </w:rPr>
        <w:t>7</w:t>
      </w:r>
      <w:r w:rsidR="00A3265A" w:rsidRPr="00561555">
        <w:rPr>
          <w:rFonts w:ascii="Book Antiqua" w:hAnsi="Book Antiqua"/>
          <w:color w:val="auto"/>
          <w:vertAlign w:val="superscript"/>
          <w:lang w:eastAsia="zh-CN"/>
        </w:rPr>
        <w:t>]</w:t>
      </w:r>
      <w:r w:rsidRPr="00561555">
        <w:rPr>
          <w:rFonts w:ascii="Book Antiqua" w:hAnsi="Book Antiqua"/>
          <w:color w:val="auto"/>
        </w:rPr>
        <w:t xml:space="preserve"> define disabling disease by the presence of at least one of the following criteria: two steroid courses required and/or steroid dependency; further hospitalization after diagnosis for flare up or complications of the disease; chronic symptoms (diarrhea with nocturnal and/or urgent stools, intensive abdominal pain due to intestinal obstruction, fever, fatigue attributable to the disease); joint pain; painful uveitis or pyoderma gangrenous for 12 mo within the five year study; immunosuppressive therapy and intestinal resection or surgical operation for perianal disease. Yang </w:t>
      </w:r>
      <w:r w:rsidRPr="00561555">
        <w:rPr>
          <w:rFonts w:ascii="Book Antiqua" w:hAnsi="Book Antiqua"/>
          <w:i/>
          <w:color w:val="auto"/>
        </w:rPr>
        <w:t>et al</w:t>
      </w:r>
      <w:r w:rsidR="00A3265A" w:rsidRPr="00561555">
        <w:rPr>
          <w:rFonts w:ascii="Book Antiqua" w:hAnsi="Book Antiqua"/>
          <w:color w:val="auto"/>
          <w:vertAlign w:val="superscript"/>
          <w:lang w:eastAsia="zh-CN"/>
        </w:rPr>
        <w:t>[</w:t>
      </w:r>
      <w:r w:rsidR="00A3265A" w:rsidRPr="00561555">
        <w:rPr>
          <w:rFonts w:ascii="Book Antiqua" w:hAnsi="Book Antiqua"/>
          <w:color w:val="auto"/>
          <w:vertAlign w:val="superscript"/>
        </w:rPr>
        <w:t>8</w:t>
      </w:r>
      <w:r w:rsidR="00A3265A" w:rsidRPr="00561555">
        <w:rPr>
          <w:rFonts w:ascii="Book Antiqua" w:hAnsi="Book Antiqua"/>
          <w:color w:val="auto"/>
          <w:vertAlign w:val="superscript"/>
          <w:lang w:eastAsia="zh-CN"/>
        </w:rPr>
        <w:t>]</w:t>
      </w:r>
      <w:r w:rsidRPr="00561555">
        <w:rPr>
          <w:rFonts w:ascii="Book Antiqua" w:hAnsi="Book Antiqua"/>
          <w:color w:val="auto"/>
        </w:rPr>
        <w:t xml:space="preserve"> defined CD as disabling if patients satisfy at least one of the following criteria: require two or more steroids courses and/or steroid dependency; need immunosuppressive therapy; intestinal resection or surgical operation for perianal disease and hospitalization after diagnosis for the treatment of acute exacerbation, or complication of the disease.</w:t>
      </w:r>
      <w:r w:rsidR="005B3C12" w:rsidRPr="00561555">
        <w:rPr>
          <w:rFonts w:ascii="Book Antiqua" w:hAnsi="Book Antiqua"/>
          <w:color w:val="auto"/>
        </w:rPr>
        <w:t xml:space="preserve">  </w:t>
      </w:r>
    </w:p>
    <w:p w:rsidR="003E410E" w:rsidRPr="00561555" w:rsidRDefault="003E410E" w:rsidP="00561555">
      <w:pPr>
        <w:pStyle w:val="First-line-indent"/>
        <w:snapToGrid w:val="0"/>
        <w:spacing w:line="360" w:lineRule="auto"/>
        <w:rPr>
          <w:rFonts w:ascii="Book Antiqua" w:hAnsi="Book Antiqua"/>
          <w:color w:val="auto"/>
        </w:rPr>
      </w:pPr>
      <w:r w:rsidRPr="00561555">
        <w:rPr>
          <w:rFonts w:ascii="Book Antiqua" w:hAnsi="Book Antiqua"/>
          <w:color w:val="auto"/>
        </w:rPr>
        <w:t xml:space="preserve">According to Beaugerie </w:t>
      </w:r>
      <w:r w:rsidRPr="00561555">
        <w:rPr>
          <w:rFonts w:ascii="Book Antiqua" w:hAnsi="Book Antiqua"/>
          <w:i/>
          <w:color w:val="auto"/>
        </w:rPr>
        <w:t>et al</w:t>
      </w:r>
      <w:r w:rsidR="00A3265A" w:rsidRPr="00561555">
        <w:rPr>
          <w:rFonts w:ascii="Book Antiqua" w:hAnsi="Book Antiqua"/>
          <w:color w:val="auto"/>
          <w:vertAlign w:val="superscript"/>
          <w:lang w:eastAsia="zh-CN"/>
        </w:rPr>
        <w:t>[</w:t>
      </w:r>
      <w:r w:rsidR="00A3265A" w:rsidRPr="00561555">
        <w:rPr>
          <w:rFonts w:ascii="Book Antiqua" w:hAnsi="Book Antiqua"/>
          <w:color w:val="auto"/>
          <w:vertAlign w:val="superscript"/>
        </w:rPr>
        <w:t>6</w:t>
      </w:r>
      <w:r w:rsidR="00A3265A" w:rsidRPr="00561555">
        <w:rPr>
          <w:rFonts w:ascii="Book Antiqua" w:hAnsi="Book Antiqua"/>
          <w:color w:val="auto"/>
          <w:vertAlign w:val="superscript"/>
          <w:lang w:eastAsia="zh-CN"/>
        </w:rPr>
        <w:t>]</w:t>
      </w:r>
      <w:r w:rsidRPr="00561555">
        <w:rPr>
          <w:rFonts w:ascii="Book Antiqua" w:hAnsi="Book Antiqua"/>
          <w:color w:val="auto"/>
        </w:rPr>
        <w:t xml:space="preserve">, 957 of 1123 patients (85.2%) were classified with disabling disease. With a sample of 361 patients, Loly </w:t>
      </w:r>
      <w:r w:rsidRPr="00561555">
        <w:rPr>
          <w:rFonts w:ascii="Book Antiqua" w:hAnsi="Book Antiqua"/>
          <w:i/>
          <w:color w:val="auto"/>
        </w:rPr>
        <w:t>et al</w:t>
      </w:r>
      <w:r w:rsidR="00A3265A" w:rsidRPr="00561555">
        <w:rPr>
          <w:rFonts w:ascii="Book Antiqua" w:hAnsi="Book Antiqua"/>
          <w:color w:val="auto"/>
          <w:vertAlign w:val="superscript"/>
          <w:lang w:eastAsia="zh-CN"/>
        </w:rPr>
        <w:t>[</w:t>
      </w:r>
      <w:r w:rsidR="00A3265A" w:rsidRPr="00561555">
        <w:rPr>
          <w:rFonts w:ascii="Book Antiqua" w:hAnsi="Book Antiqua"/>
          <w:color w:val="auto"/>
          <w:vertAlign w:val="superscript"/>
        </w:rPr>
        <w:t>7</w:t>
      </w:r>
      <w:r w:rsidR="00A3265A" w:rsidRPr="00561555">
        <w:rPr>
          <w:rFonts w:ascii="Book Antiqua" w:hAnsi="Book Antiqua"/>
          <w:color w:val="auto"/>
          <w:vertAlign w:val="superscript"/>
          <w:lang w:eastAsia="zh-CN"/>
        </w:rPr>
        <w:t>]</w:t>
      </w:r>
      <w:r w:rsidRPr="00561555">
        <w:rPr>
          <w:rFonts w:ascii="Book Antiqua" w:hAnsi="Book Antiqua"/>
          <w:color w:val="auto"/>
        </w:rPr>
        <w:t xml:space="preserve"> found 209 patients (57.9%) with disabling disease, while Yang </w:t>
      </w:r>
      <w:r w:rsidRPr="00561555">
        <w:rPr>
          <w:rFonts w:ascii="Book Antiqua" w:hAnsi="Book Antiqua"/>
          <w:i/>
          <w:color w:val="auto"/>
        </w:rPr>
        <w:t>et al</w:t>
      </w:r>
      <w:r w:rsidR="00A3265A" w:rsidRPr="00561555">
        <w:rPr>
          <w:rFonts w:ascii="Book Antiqua" w:hAnsi="Book Antiqua"/>
          <w:color w:val="auto"/>
          <w:vertAlign w:val="superscript"/>
          <w:lang w:eastAsia="zh-CN"/>
        </w:rPr>
        <w:t>[</w:t>
      </w:r>
      <w:r w:rsidR="00A3265A" w:rsidRPr="00561555">
        <w:rPr>
          <w:rFonts w:ascii="Book Antiqua" w:hAnsi="Book Antiqua"/>
          <w:color w:val="auto"/>
          <w:vertAlign w:val="superscript"/>
        </w:rPr>
        <w:t>8</w:t>
      </w:r>
      <w:r w:rsidR="00A3265A" w:rsidRPr="00561555">
        <w:rPr>
          <w:rFonts w:ascii="Book Antiqua" w:hAnsi="Book Antiqua"/>
          <w:color w:val="auto"/>
          <w:vertAlign w:val="superscript"/>
          <w:lang w:eastAsia="zh-CN"/>
        </w:rPr>
        <w:t>]</w:t>
      </w:r>
      <w:r w:rsidRPr="00561555">
        <w:rPr>
          <w:rFonts w:ascii="Book Antiqua" w:hAnsi="Book Antiqua"/>
          <w:color w:val="auto"/>
        </w:rPr>
        <w:t xml:space="preserve"> found 81.2% of 207 patients with disabling disease five years after diagnosis, and 71% of patients already had disabling disease two years after diagnosis. </w:t>
      </w:r>
    </w:p>
    <w:p w:rsidR="003E410E" w:rsidRPr="00561555" w:rsidRDefault="003E410E" w:rsidP="00561555">
      <w:pPr>
        <w:pStyle w:val="First-line-indent"/>
        <w:snapToGrid w:val="0"/>
        <w:spacing w:line="360" w:lineRule="auto"/>
        <w:rPr>
          <w:rFonts w:ascii="Book Antiqua" w:hAnsi="Book Antiqua"/>
          <w:color w:val="auto"/>
        </w:rPr>
      </w:pPr>
      <w:r w:rsidRPr="00561555">
        <w:rPr>
          <w:rFonts w:ascii="Book Antiqua" w:hAnsi="Book Antiqua"/>
          <w:color w:val="auto"/>
        </w:rPr>
        <w:lastRenderedPageBreak/>
        <w:t>Different factors were found that could predict disabling disease, namely age at diagnosis, use of steroids, perianal disease, and localization.</w:t>
      </w:r>
    </w:p>
    <w:p w:rsidR="003E410E" w:rsidRPr="00561555" w:rsidRDefault="003E410E" w:rsidP="00561555">
      <w:pPr>
        <w:pStyle w:val="First-line-indent"/>
        <w:snapToGrid w:val="0"/>
        <w:spacing w:line="360" w:lineRule="auto"/>
        <w:rPr>
          <w:rFonts w:ascii="Book Antiqua" w:hAnsi="Book Antiqua"/>
          <w:color w:val="auto"/>
        </w:rPr>
      </w:pPr>
    </w:p>
    <w:p w:rsidR="003E410E" w:rsidRPr="00561555" w:rsidRDefault="003E410E" w:rsidP="00561555">
      <w:pPr>
        <w:pStyle w:val="First-line-indent"/>
        <w:snapToGrid w:val="0"/>
        <w:spacing w:line="360" w:lineRule="auto"/>
        <w:ind w:firstLine="0"/>
        <w:rPr>
          <w:rFonts w:ascii="Book Antiqua" w:hAnsi="Book Antiqua"/>
          <w:b/>
          <w:i/>
          <w:color w:val="auto"/>
        </w:rPr>
      </w:pPr>
      <w:r w:rsidRPr="00561555">
        <w:rPr>
          <w:rFonts w:ascii="Book Antiqua" w:hAnsi="Book Antiqua"/>
          <w:b/>
          <w:i/>
          <w:color w:val="auto"/>
        </w:rPr>
        <w:t xml:space="preserve">Age at diagnosis </w:t>
      </w:r>
    </w:p>
    <w:p w:rsidR="003E410E" w:rsidRPr="00561555" w:rsidRDefault="003E410E" w:rsidP="00561555">
      <w:pPr>
        <w:pStyle w:val="First-line-indent"/>
        <w:snapToGrid w:val="0"/>
        <w:spacing w:line="360" w:lineRule="auto"/>
        <w:ind w:firstLine="0"/>
        <w:rPr>
          <w:rFonts w:ascii="Book Antiqua" w:hAnsi="Book Antiqua"/>
          <w:color w:val="auto"/>
        </w:rPr>
      </w:pPr>
      <w:r w:rsidRPr="00561555">
        <w:rPr>
          <w:rFonts w:ascii="Book Antiqua" w:hAnsi="Book Antiqua"/>
          <w:color w:val="auto"/>
        </w:rPr>
        <w:t xml:space="preserve">Beaugerie </w:t>
      </w:r>
      <w:r w:rsidRPr="00561555">
        <w:rPr>
          <w:rFonts w:ascii="Book Antiqua" w:hAnsi="Book Antiqua"/>
          <w:i/>
          <w:color w:val="auto"/>
        </w:rPr>
        <w:t>et al</w:t>
      </w:r>
      <w:r w:rsidR="00896065" w:rsidRPr="00561555">
        <w:rPr>
          <w:rFonts w:ascii="Book Antiqua" w:hAnsi="Book Antiqua"/>
          <w:color w:val="auto"/>
          <w:vertAlign w:val="superscript"/>
          <w:lang w:eastAsia="zh-CN"/>
        </w:rPr>
        <w:t>[</w:t>
      </w:r>
      <w:r w:rsidR="00896065" w:rsidRPr="00561555">
        <w:rPr>
          <w:rFonts w:ascii="Book Antiqua" w:hAnsi="Book Antiqua"/>
          <w:color w:val="auto"/>
          <w:vertAlign w:val="superscript"/>
        </w:rPr>
        <w:t>6</w:t>
      </w:r>
      <w:r w:rsidR="00896065" w:rsidRPr="00561555">
        <w:rPr>
          <w:rFonts w:ascii="Book Antiqua" w:hAnsi="Book Antiqua"/>
          <w:color w:val="auto"/>
          <w:vertAlign w:val="superscript"/>
          <w:lang w:eastAsia="zh-CN"/>
        </w:rPr>
        <w:t>]</w:t>
      </w:r>
      <w:r w:rsidRPr="00561555">
        <w:rPr>
          <w:rFonts w:ascii="Book Antiqua" w:hAnsi="Book Antiqua"/>
          <w:color w:val="auto"/>
        </w:rPr>
        <w:t xml:space="preserve"> found age at diagnosis as a factor associated with disabling disease. Patients less than 40 years old had a higher risk of developing disabling disease than older patients </w:t>
      </w:r>
      <w:r w:rsidR="00896065" w:rsidRPr="00561555">
        <w:rPr>
          <w:rFonts w:ascii="Book Antiqua" w:hAnsi="Book Antiqua"/>
          <w:color w:val="auto"/>
          <w:lang w:eastAsia="zh-CN"/>
        </w:rPr>
        <w:t>[</w:t>
      </w:r>
      <w:r w:rsidRPr="00561555">
        <w:rPr>
          <w:rFonts w:ascii="Book Antiqua" w:hAnsi="Book Antiqua"/>
          <w:color w:val="auto"/>
        </w:rPr>
        <w:t>OR</w:t>
      </w:r>
      <w:r w:rsidR="00896065" w:rsidRPr="00561555">
        <w:rPr>
          <w:rFonts w:ascii="Book Antiqua" w:hAnsi="Book Antiqua"/>
          <w:color w:val="auto"/>
          <w:lang w:eastAsia="zh-CN"/>
        </w:rPr>
        <w:t xml:space="preserve"> </w:t>
      </w:r>
      <w:r w:rsidRPr="00561555">
        <w:rPr>
          <w:rFonts w:ascii="Book Antiqua" w:hAnsi="Book Antiqua"/>
          <w:color w:val="auto"/>
        </w:rPr>
        <w:t>=</w:t>
      </w:r>
      <w:r w:rsidR="00896065" w:rsidRPr="00561555">
        <w:rPr>
          <w:rFonts w:ascii="Book Antiqua" w:hAnsi="Book Antiqua"/>
          <w:color w:val="auto"/>
          <w:lang w:eastAsia="zh-CN"/>
        </w:rPr>
        <w:t xml:space="preserve"> </w:t>
      </w:r>
      <w:r w:rsidRPr="00561555">
        <w:rPr>
          <w:rFonts w:ascii="Book Antiqua" w:hAnsi="Book Antiqua"/>
          <w:color w:val="auto"/>
        </w:rPr>
        <w:t xml:space="preserve">2.1 </w:t>
      </w:r>
      <w:r w:rsidR="00896065" w:rsidRPr="00561555">
        <w:rPr>
          <w:rFonts w:ascii="Book Antiqua" w:hAnsi="Book Antiqua"/>
          <w:color w:val="auto"/>
          <w:lang w:eastAsia="zh-CN"/>
        </w:rPr>
        <w:t xml:space="preserve">(range, </w:t>
      </w:r>
      <w:r w:rsidRPr="00561555">
        <w:rPr>
          <w:rFonts w:ascii="Book Antiqua" w:hAnsi="Book Antiqua"/>
          <w:color w:val="auto"/>
        </w:rPr>
        <w:t>1.3-3.6</w:t>
      </w:r>
      <w:r w:rsidR="00896065" w:rsidRPr="00561555">
        <w:rPr>
          <w:rFonts w:ascii="Book Antiqua" w:hAnsi="Book Antiqua"/>
          <w:color w:val="auto"/>
          <w:lang w:eastAsia="zh-CN"/>
        </w:rPr>
        <w:t>)]</w:t>
      </w:r>
      <w:r w:rsidRPr="00561555">
        <w:rPr>
          <w:rFonts w:ascii="Book Antiqua" w:hAnsi="Book Antiqua"/>
          <w:color w:val="auto"/>
        </w:rPr>
        <w:t xml:space="preserve"> five years after the diagnosis. Yang </w:t>
      </w:r>
      <w:r w:rsidRPr="00561555">
        <w:rPr>
          <w:rFonts w:ascii="Book Antiqua" w:hAnsi="Book Antiqua"/>
          <w:i/>
          <w:color w:val="auto"/>
        </w:rPr>
        <w:t>et al</w:t>
      </w:r>
      <w:r w:rsidR="00896065" w:rsidRPr="00561555">
        <w:rPr>
          <w:rFonts w:ascii="Book Antiqua" w:hAnsi="Book Antiqua"/>
          <w:color w:val="auto"/>
          <w:vertAlign w:val="superscript"/>
          <w:lang w:eastAsia="zh-CN"/>
        </w:rPr>
        <w:t>[</w:t>
      </w:r>
      <w:r w:rsidR="00896065" w:rsidRPr="00561555">
        <w:rPr>
          <w:rFonts w:ascii="Book Antiqua" w:hAnsi="Book Antiqua"/>
          <w:color w:val="auto"/>
          <w:vertAlign w:val="superscript"/>
        </w:rPr>
        <w:t>8</w:t>
      </w:r>
      <w:r w:rsidR="00896065" w:rsidRPr="00561555">
        <w:rPr>
          <w:rFonts w:ascii="Book Antiqua" w:hAnsi="Book Antiqua"/>
          <w:color w:val="auto"/>
          <w:vertAlign w:val="superscript"/>
          <w:lang w:eastAsia="zh-CN"/>
        </w:rPr>
        <w:t>]</w:t>
      </w:r>
      <w:r w:rsidRPr="00561555">
        <w:rPr>
          <w:rFonts w:ascii="Book Antiqua" w:hAnsi="Book Antiqua"/>
          <w:color w:val="auto"/>
        </w:rPr>
        <w:t xml:space="preserve"> also showed that patients under 40 had a higher risk of developing disabling disease </w:t>
      </w:r>
      <w:r w:rsidR="00896065" w:rsidRPr="00561555">
        <w:rPr>
          <w:rFonts w:ascii="Book Antiqua" w:hAnsi="Book Antiqua"/>
          <w:color w:val="auto"/>
          <w:lang w:eastAsia="zh-CN"/>
        </w:rPr>
        <w:t>[</w:t>
      </w:r>
      <w:r w:rsidRPr="00561555">
        <w:rPr>
          <w:rFonts w:ascii="Book Antiqua" w:hAnsi="Book Antiqua"/>
          <w:color w:val="auto"/>
        </w:rPr>
        <w:t>OR</w:t>
      </w:r>
      <w:r w:rsidR="00896065" w:rsidRPr="00561555">
        <w:rPr>
          <w:rFonts w:ascii="Book Antiqua" w:hAnsi="Book Antiqua"/>
          <w:color w:val="auto"/>
          <w:lang w:eastAsia="zh-CN"/>
        </w:rPr>
        <w:t xml:space="preserve"> </w:t>
      </w:r>
      <w:r w:rsidRPr="00561555">
        <w:rPr>
          <w:rFonts w:ascii="Book Antiqua" w:hAnsi="Book Antiqua"/>
          <w:color w:val="auto"/>
        </w:rPr>
        <w:t>=</w:t>
      </w:r>
      <w:r w:rsidR="00896065" w:rsidRPr="00561555">
        <w:rPr>
          <w:rFonts w:ascii="Book Antiqua" w:hAnsi="Book Antiqua"/>
          <w:color w:val="auto"/>
          <w:lang w:eastAsia="zh-CN"/>
        </w:rPr>
        <w:t xml:space="preserve"> </w:t>
      </w:r>
      <w:r w:rsidRPr="00561555">
        <w:rPr>
          <w:rFonts w:ascii="Book Antiqua" w:hAnsi="Book Antiqua"/>
          <w:color w:val="auto"/>
        </w:rPr>
        <w:t xml:space="preserve">3.56 </w:t>
      </w:r>
      <w:r w:rsidR="00896065" w:rsidRPr="00561555">
        <w:rPr>
          <w:rFonts w:ascii="Book Antiqua" w:hAnsi="Book Antiqua"/>
          <w:color w:val="auto"/>
          <w:lang w:eastAsia="zh-CN"/>
        </w:rPr>
        <w:t xml:space="preserve">(range, </w:t>
      </w:r>
      <w:r w:rsidRPr="00561555">
        <w:rPr>
          <w:rFonts w:ascii="Book Antiqua" w:hAnsi="Book Antiqua"/>
          <w:color w:val="auto"/>
        </w:rPr>
        <w:t>1.74-7.30</w:t>
      </w:r>
      <w:r w:rsidR="00896065" w:rsidRPr="00561555">
        <w:rPr>
          <w:rFonts w:ascii="Book Antiqua" w:hAnsi="Book Antiqua"/>
          <w:color w:val="auto"/>
          <w:lang w:eastAsia="zh-CN"/>
        </w:rPr>
        <w:t>)]</w:t>
      </w:r>
      <w:r w:rsidRPr="00561555">
        <w:rPr>
          <w:rFonts w:ascii="Book Antiqua" w:hAnsi="Book Antiqua"/>
          <w:color w:val="auto"/>
        </w:rPr>
        <w:t xml:space="preserve">. </w:t>
      </w:r>
    </w:p>
    <w:p w:rsidR="003E410E" w:rsidRPr="00561555" w:rsidRDefault="003E410E" w:rsidP="00561555">
      <w:pPr>
        <w:pStyle w:val="First-line-indent"/>
        <w:snapToGrid w:val="0"/>
        <w:spacing w:line="360" w:lineRule="auto"/>
        <w:rPr>
          <w:rFonts w:ascii="Book Antiqua" w:hAnsi="Book Antiqua"/>
          <w:color w:val="auto"/>
        </w:rPr>
      </w:pPr>
      <w:r w:rsidRPr="00561555">
        <w:rPr>
          <w:rFonts w:ascii="Book Antiqua" w:hAnsi="Book Antiqua"/>
          <w:color w:val="auto"/>
        </w:rPr>
        <w:t>Results of studies comparing younger patients (under 40) with older patients (over 40) are shown in Figure 2</w:t>
      </w:r>
      <w:r w:rsidR="003510C5" w:rsidRPr="00561555">
        <w:rPr>
          <w:rFonts w:ascii="Book Antiqua" w:hAnsi="Book Antiqua"/>
          <w:color w:val="auto"/>
          <w:lang w:eastAsia="zh-CN"/>
        </w:rPr>
        <w:t>A</w:t>
      </w:r>
      <w:r w:rsidRPr="00561555">
        <w:rPr>
          <w:rFonts w:ascii="Book Antiqua" w:hAnsi="Book Antiqua"/>
          <w:color w:val="auto"/>
        </w:rPr>
        <w:t xml:space="preserve">. A fixed effects model shows that younger patients had a higher risk of disabling disease five years after diagnosis </w:t>
      </w:r>
      <w:r w:rsidR="00896065" w:rsidRPr="00561555">
        <w:rPr>
          <w:rFonts w:ascii="Book Antiqua" w:hAnsi="Book Antiqua"/>
          <w:color w:val="auto"/>
          <w:lang w:eastAsia="zh-CN"/>
        </w:rPr>
        <w:t>[</w:t>
      </w:r>
      <w:r w:rsidRPr="00561555">
        <w:rPr>
          <w:rFonts w:ascii="Book Antiqua" w:hAnsi="Book Antiqua"/>
          <w:color w:val="auto"/>
        </w:rPr>
        <w:t>OR</w:t>
      </w:r>
      <w:r w:rsidR="00896065" w:rsidRPr="00561555">
        <w:rPr>
          <w:rFonts w:ascii="Book Antiqua" w:hAnsi="Book Antiqua"/>
          <w:color w:val="auto"/>
          <w:lang w:eastAsia="zh-CN"/>
        </w:rPr>
        <w:t xml:space="preserve"> </w:t>
      </w:r>
      <w:r w:rsidRPr="00561555">
        <w:rPr>
          <w:rFonts w:ascii="Book Antiqua" w:hAnsi="Book Antiqua"/>
          <w:color w:val="auto"/>
        </w:rPr>
        <w:t>=</w:t>
      </w:r>
      <w:r w:rsidR="00896065" w:rsidRPr="00561555">
        <w:rPr>
          <w:rFonts w:ascii="Book Antiqua" w:hAnsi="Book Antiqua"/>
          <w:color w:val="auto"/>
          <w:lang w:eastAsia="zh-CN"/>
        </w:rPr>
        <w:t xml:space="preserve"> </w:t>
      </w:r>
      <w:r w:rsidRPr="00561555">
        <w:rPr>
          <w:rFonts w:ascii="Book Antiqua" w:hAnsi="Book Antiqua"/>
          <w:color w:val="auto"/>
        </w:rPr>
        <w:t xml:space="preserve">2.47 </w:t>
      </w:r>
      <w:r w:rsidR="00896065" w:rsidRPr="00561555">
        <w:rPr>
          <w:rFonts w:ascii="Book Antiqua" w:hAnsi="Book Antiqua"/>
          <w:color w:val="auto"/>
          <w:lang w:eastAsia="zh-CN"/>
        </w:rPr>
        <w:t xml:space="preserve">(range, </w:t>
      </w:r>
      <w:r w:rsidRPr="00561555">
        <w:rPr>
          <w:rFonts w:ascii="Book Antiqua" w:hAnsi="Book Antiqua"/>
          <w:color w:val="auto"/>
        </w:rPr>
        <w:t>1.74-3.51</w:t>
      </w:r>
      <w:r w:rsidR="00896065" w:rsidRPr="00561555">
        <w:rPr>
          <w:rFonts w:ascii="Book Antiqua" w:hAnsi="Book Antiqua"/>
          <w:color w:val="auto"/>
          <w:lang w:eastAsia="zh-CN"/>
        </w:rPr>
        <w:t>)]</w:t>
      </w:r>
      <w:r w:rsidRPr="00561555">
        <w:rPr>
          <w:rFonts w:ascii="Book Antiqua" w:hAnsi="Book Antiqua"/>
          <w:color w:val="auto"/>
        </w:rPr>
        <w:t>. There was no evidence of statistical heterogeneity among the studies (</w:t>
      </w:r>
      <w:r w:rsidRPr="00561555">
        <w:rPr>
          <w:rFonts w:ascii="Book Antiqua" w:hAnsi="Book Antiqua"/>
          <w:i/>
          <w:color w:val="auto"/>
        </w:rPr>
        <w:t>I</w:t>
      </w:r>
      <w:r w:rsidRPr="00561555">
        <w:rPr>
          <w:rFonts w:ascii="Book Antiqua" w:hAnsi="Book Antiqua"/>
          <w:color w:val="auto"/>
          <w:vertAlign w:val="superscript"/>
        </w:rPr>
        <w:t>2</w:t>
      </w:r>
      <w:r w:rsidR="00896065" w:rsidRPr="00561555">
        <w:rPr>
          <w:rFonts w:ascii="Book Antiqua" w:hAnsi="Book Antiqua"/>
          <w:color w:val="auto"/>
          <w:vertAlign w:val="superscript"/>
          <w:lang w:eastAsia="zh-CN"/>
        </w:rPr>
        <w:t xml:space="preserve"> </w:t>
      </w:r>
      <w:r w:rsidRPr="00561555">
        <w:rPr>
          <w:rFonts w:ascii="Book Antiqua" w:hAnsi="Book Antiqua"/>
          <w:color w:val="auto"/>
        </w:rPr>
        <w:t>=</w:t>
      </w:r>
      <w:r w:rsidR="00896065" w:rsidRPr="00561555">
        <w:rPr>
          <w:rFonts w:ascii="Book Antiqua" w:hAnsi="Book Antiqua"/>
          <w:color w:val="auto"/>
          <w:lang w:eastAsia="zh-CN"/>
        </w:rPr>
        <w:t xml:space="preserve"> </w:t>
      </w:r>
      <w:r w:rsidRPr="00561555">
        <w:rPr>
          <w:rFonts w:ascii="Book Antiqua" w:hAnsi="Book Antiqua"/>
          <w:color w:val="auto"/>
        </w:rPr>
        <w:t>26%).</w:t>
      </w:r>
    </w:p>
    <w:p w:rsidR="003E410E" w:rsidRPr="00561555" w:rsidDel="00DE7324" w:rsidRDefault="003E410E" w:rsidP="00561555">
      <w:pPr>
        <w:pStyle w:val="First-line-indent"/>
        <w:snapToGrid w:val="0"/>
        <w:spacing w:line="360" w:lineRule="auto"/>
        <w:ind w:firstLine="0"/>
        <w:rPr>
          <w:rFonts w:ascii="Book Antiqua" w:hAnsi="Book Antiqua"/>
          <w:color w:val="auto"/>
        </w:rPr>
      </w:pPr>
    </w:p>
    <w:p w:rsidR="003E410E" w:rsidRPr="00561555" w:rsidRDefault="003E410E" w:rsidP="00561555">
      <w:pPr>
        <w:pStyle w:val="First-line-indent"/>
        <w:snapToGrid w:val="0"/>
        <w:spacing w:line="360" w:lineRule="auto"/>
        <w:ind w:firstLine="0"/>
        <w:rPr>
          <w:rFonts w:ascii="Book Antiqua" w:hAnsi="Book Antiqua"/>
          <w:b/>
          <w:i/>
          <w:color w:val="auto"/>
        </w:rPr>
      </w:pPr>
      <w:r w:rsidRPr="00561555">
        <w:rPr>
          <w:rFonts w:ascii="Book Antiqua" w:hAnsi="Book Antiqua"/>
          <w:b/>
          <w:i/>
          <w:color w:val="auto"/>
        </w:rPr>
        <w:t xml:space="preserve">Steroids for treatment of first flare </w:t>
      </w:r>
    </w:p>
    <w:p w:rsidR="003E410E" w:rsidRPr="00561555" w:rsidRDefault="003E410E" w:rsidP="00561555">
      <w:pPr>
        <w:pStyle w:val="First-line-indent"/>
        <w:snapToGrid w:val="0"/>
        <w:spacing w:line="360" w:lineRule="auto"/>
        <w:ind w:firstLine="0"/>
        <w:rPr>
          <w:rFonts w:ascii="Book Antiqua" w:hAnsi="Book Antiqua"/>
          <w:color w:val="auto"/>
        </w:rPr>
      </w:pPr>
      <w:r w:rsidRPr="00561555">
        <w:rPr>
          <w:rFonts w:ascii="Book Antiqua" w:hAnsi="Book Antiqua"/>
          <w:color w:val="auto"/>
        </w:rPr>
        <w:t xml:space="preserve">Both Beaugerie </w:t>
      </w:r>
      <w:r w:rsidRPr="00561555">
        <w:rPr>
          <w:rFonts w:ascii="Book Antiqua" w:hAnsi="Book Antiqua"/>
          <w:i/>
          <w:color w:val="auto"/>
        </w:rPr>
        <w:t>et al</w:t>
      </w:r>
      <w:r w:rsidR="00F243AF" w:rsidRPr="00561555">
        <w:rPr>
          <w:rFonts w:ascii="Book Antiqua" w:hAnsi="Book Antiqua"/>
          <w:color w:val="auto"/>
          <w:vertAlign w:val="superscript"/>
          <w:lang w:eastAsia="zh-CN"/>
        </w:rPr>
        <w:t>[</w:t>
      </w:r>
      <w:r w:rsidR="00F243AF" w:rsidRPr="00561555">
        <w:rPr>
          <w:rFonts w:ascii="Book Antiqua" w:hAnsi="Book Antiqua"/>
          <w:color w:val="auto"/>
          <w:vertAlign w:val="superscript"/>
        </w:rPr>
        <w:t>6</w:t>
      </w:r>
      <w:r w:rsidR="00F243AF" w:rsidRPr="00561555">
        <w:rPr>
          <w:rFonts w:ascii="Book Antiqua" w:hAnsi="Book Antiqua"/>
          <w:color w:val="auto"/>
          <w:vertAlign w:val="superscript"/>
          <w:lang w:eastAsia="zh-CN"/>
        </w:rPr>
        <w:t>]</w:t>
      </w:r>
      <w:r w:rsidRPr="00561555">
        <w:rPr>
          <w:rFonts w:ascii="Book Antiqua" w:hAnsi="Book Antiqua"/>
          <w:color w:val="auto"/>
        </w:rPr>
        <w:t xml:space="preserve"> and Loly </w:t>
      </w:r>
      <w:r w:rsidRPr="00561555">
        <w:rPr>
          <w:rFonts w:ascii="Book Antiqua" w:hAnsi="Book Antiqua"/>
          <w:i/>
          <w:color w:val="auto"/>
        </w:rPr>
        <w:t>et al</w:t>
      </w:r>
      <w:r w:rsidR="00F243AF" w:rsidRPr="00561555">
        <w:rPr>
          <w:rFonts w:ascii="Book Antiqua" w:hAnsi="Book Antiqua"/>
          <w:color w:val="auto"/>
          <w:vertAlign w:val="superscript"/>
          <w:lang w:eastAsia="zh-CN"/>
        </w:rPr>
        <w:t>[</w:t>
      </w:r>
      <w:r w:rsidR="00F243AF" w:rsidRPr="00561555">
        <w:rPr>
          <w:rFonts w:ascii="Book Antiqua" w:hAnsi="Book Antiqua"/>
          <w:color w:val="auto"/>
          <w:vertAlign w:val="superscript"/>
        </w:rPr>
        <w:t>7</w:t>
      </w:r>
      <w:r w:rsidR="00F243AF" w:rsidRPr="00561555">
        <w:rPr>
          <w:rFonts w:ascii="Book Antiqua" w:hAnsi="Book Antiqua"/>
          <w:color w:val="auto"/>
          <w:vertAlign w:val="superscript"/>
          <w:lang w:eastAsia="zh-CN"/>
        </w:rPr>
        <w:t>]</w:t>
      </w:r>
      <w:r w:rsidRPr="00561555">
        <w:rPr>
          <w:rFonts w:ascii="Book Antiqua" w:hAnsi="Book Antiqua"/>
          <w:color w:val="auto"/>
        </w:rPr>
        <w:t xml:space="preserve"> show patients who had initial requirement of steroids for treating the first flare had a higher risk of developing disabling disease five years after diagnosis when compared to those who did not require treatment </w:t>
      </w:r>
      <w:r w:rsidR="00F243AF" w:rsidRPr="00561555">
        <w:rPr>
          <w:rFonts w:ascii="Book Antiqua" w:hAnsi="Book Antiqua"/>
          <w:color w:val="auto"/>
          <w:lang w:eastAsia="zh-CN"/>
        </w:rPr>
        <w:t>[</w:t>
      </w:r>
      <w:r w:rsidRPr="00561555">
        <w:rPr>
          <w:rFonts w:ascii="Book Antiqua" w:hAnsi="Book Antiqua"/>
          <w:color w:val="auto"/>
        </w:rPr>
        <w:t>OR</w:t>
      </w:r>
      <w:r w:rsidR="00985A17" w:rsidRPr="00561555">
        <w:rPr>
          <w:rFonts w:ascii="Book Antiqua" w:hAnsi="Book Antiqua"/>
          <w:color w:val="auto"/>
          <w:lang w:eastAsia="zh-CN"/>
        </w:rPr>
        <w:t xml:space="preserve"> </w:t>
      </w:r>
      <w:r w:rsidRPr="00561555">
        <w:rPr>
          <w:rFonts w:ascii="Book Antiqua" w:hAnsi="Book Antiqua"/>
          <w:color w:val="auto"/>
        </w:rPr>
        <w:t>=</w:t>
      </w:r>
      <w:r w:rsidR="00985A17" w:rsidRPr="00561555">
        <w:rPr>
          <w:rFonts w:ascii="Book Antiqua" w:hAnsi="Book Antiqua"/>
          <w:color w:val="auto"/>
          <w:lang w:eastAsia="zh-CN"/>
        </w:rPr>
        <w:t xml:space="preserve"> </w:t>
      </w:r>
      <w:r w:rsidRPr="00561555">
        <w:rPr>
          <w:rFonts w:ascii="Book Antiqua" w:hAnsi="Book Antiqua"/>
          <w:color w:val="auto"/>
        </w:rPr>
        <w:t xml:space="preserve">3.1 </w:t>
      </w:r>
      <w:r w:rsidR="00F243AF" w:rsidRPr="00561555">
        <w:rPr>
          <w:rFonts w:ascii="Book Antiqua" w:hAnsi="Book Antiqua"/>
          <w:color w:val="auto"/>
          <w:lang w:eastAsia="zh-CN"/>
        </w:rPr>
        <w:t xml:space="preserve">(range, </w:t>
      </w:r>
      <w:r w:rsidRPr="00561555">
        <w:rPr>
          <w:rFonts w:ascii="Book Antiqua" w:hAnsi="Book Antiqua"/>
          <w:color w:val="auto"/>
        </w:rPr>
        <w:t>2.2-4.4</w:t>
      </w:r>
      <w:r w:rsidR="00F243AF" w:rsidRPr="00561555">
        <w:rPr>
          <w:rFonts w:ascii="Book Antiqua" w:hAnsi="Book Antiqua"/>
          <w:color w:val="auto"/>
          <w:lang w:eastAsia="zh-CN"/>
        </w:rPr>
        <w:t>)</w:t>
      </w:r>
      <w:r w:rsidRPr="00561555">
        <w:rPr>
          <w:rFonts w:ascii="Book Antiqua" w:hAnsi="Book Antiqua"/>
          <w:color w:val="auto"/>
        </w:rPr>
        <w:t xml:space="preserve"> and OR</w:t>
      </w:r>
      <w:r w:rsidR="00985A17" w:rsidRPr="00561555">
        <w:rPr>
          <w:rFonts w:ascii="Book Antiqua" w:hAnsi="Book Antiqua"/>
          <w:color w:val="auto"/>
          <w:lang w:eastAsia="zh-CN"/>
        </w:rPr>
        <w:t xml:space="preserve"> </w:t>
      </w:r>
      <w:r w:rsidRPr="00561555">
        <w:rPr>
          <w:rFonts w:ascii="Book Antiqua" w:hAnsi="Book Antiqua"/>
          <w:color w:val="auto"/>
        </w:rPr>
        <w:t>=</w:t>
      </w:r>
      <w:r w:rsidR="00985A17" w:rsidRPr="00561555">
        <w:rPr>
          <w:rFonts w:ascii="Book Antiqua" w:hAnsi="Book Antiqua"/>
          <w:color w:val="auto"/>
          <w:lang w:eastAsia="zh-CN"/>
        </w:rPr>
        <w:t xml:space="preserve"> </w:t>
      </w:r>
      <w:r w:rsidRPr="00561555">
        <w:rPr>
          <w:rFonts w:ascii="Book Antiqua" w:hAnsi="Book Antiqua"/>
          <w:color w:val="auto"/>
        </w:rPr>
        <w:t xml:space="preserve">1.7 </w:t>
      </w:r>
      <w:r w:rsidR="00F243AF" w:rsidRPr="00561555">
        <w:rPr>
          <w:rFonts w:ascii="Book Antiqua" w:hAnsi="Book Antiqua"/>
          <w:color w:val="auto"/>
          <w:lang w:eastAsia="zh-CN"/>
        </w:rPr>
        <w:t xml:space="preserve">(range, </w:t>
      </w:r>
      <w:r w:rsidRPr="00561555">
        <w:rPr>
          <w:rFonts w:ascii="Book Antiqua" w:hAnsi="Book Antiqua"/>
          <w:color w:val="auto"/>
        </w:rPr>
        <w:t>1.02-2.7</w:t>
      </w:r>
      <w:r w:rsidR="00F243AF" w:rsidRPr="00561555">
        <w:rPr>
          <w:rFonts w:ascii="Book Antiqua" w:hAnsi="Book Antiqua"/>
          <w:color w:val="auto"/>
          <w:lang w:eastAsia="zh-CN"/>
        </w:rPr>
        <w:t>)</w:t>
      </w:r>
      <w:r w:rsidRPr="00561555">
        <w:rPr>
          <w:rFonts w:ascii="Book Antiqua" w:hAnsi="Book Antiqua"/>
          <w:color w:val="auto"/>
        </w:rPr>
        <w:t xml:space="preserve"> respectively</w:t>
      </w:r>
      <w:r w:rsidR="00F243AF" w:rsidRPr="00561555">
        <w:rPr>
          <w:rFonts w:ascii="Book Antiqua" w:hAnsi="Book Antiqua"/>
          <w:color w:val="auto"/>
          <w:lang w:eastAsia="zh-CN"/>
        </w:rPr>
        <w:t>]</w:t>
      </w:r>
      <w:r w:rsidRPr="00561555">
        <w:rPr>
          <w:rFonts w:ascii="Book Antiqua" w:hAnsi="Book Antiqua"/>
          <w:color w:val="auto"/>
        </w:rPr>
        <w:t xml:space="preserve">. Yang </w:t>
      </w:r>
      <w:r w:rsidRPr="00561555">
        <w:rPr>
          <w:rFonts w:ascii="Book Antiqua" w:hAnsi="Book Antiqua"/>
          <w:i/>
          <w:color w:val="auto"/>
        </w:rPr>
        <w:t>et al</w:t>
      </w:r>
      <w:r w:rsidR="00F243AF" w:rsidRPr="00561555">
        <w:rPr>
          <w:rFonts w:ascii="Book Antiqua" w:hAnsi="Book Antiqua"/>
          <w:color w:val="auto"/>
          <w:vertAlign w:val="superscript"/>
          <w:lang w:eastAsia="zh-CN"/>
        </w:rPr>
        <w:t xml:space="preserve">[8] </w:t>
      </w:r>
      <w:r w:rsidRPr="00561555">
        <w:rPr>
          <w:rFonts w:ascii="Book Antiqua" w:hAnsi="Book Antiqua"/>
          <w:color w:val="auto"/>
        </w:rPr>
        <w:t xml:space="preserve">found similar results two years after diagnosis </w:t>
      </w:r>
      <w:r w:rsidR="00F243AF" w:rsidRPr="00561555">
        <w:rPr>
          <w:rFonts w:ascii="Book Antiqua" w:hAnsi="Book Antiqua"/>
          <w:color w:val="auto"/>
          <w:lang w:eastAsia="zh-CN"/>
        </w:rPr>
        <w:t>[</w:t>
      </w:r>
      <w:r w:rsidRPr="00561555">
        <w:rPr>
          <w:rFonts w:ascii="Book Antiqua" w:hAnsi="Book Antiqua"/>
          <w:color w:val="auto"/>
        </w:rPr>
        <w:t>OR</w:t>
      </w:r>
      <w:r w:rsidR="00985A17" w:rsidRPr="00561555">
        <w:rPr>
          <w:rFonts w:ascii="Book Antiqua" w:hAnsi="Book Antiqua"/>
          <w:color w:val="auto"/>
          <w:lang w:eastAsia="zh-CN"/>
        </w:rPr>
        <w:t xml:space="preserve"> </w:t>
      </w:r>
      <w:r w:rsidRPr="00561555">
        <w:rPr>
          <w:rFonts w:ascii="Book Antiqua" w:hAnsi="Book Antiqua"/>
          <w:color w:val="auto"/>
        </w:rPr>
        <w:t>=</w:t>
      </w:r>
      <w:r w:rsidR="00985A17" w:rsidRPr="00561555">
        <w:rPr>
          <w:rFonts w:ascii="Book Antiqua" w:hAnsi="Book Antiqua"/>
          <w:color w:val="auto"/>
          <w:lang w:eastAsia="zh-CN"/>
        </w:rPr>
        <w:t xml:space="preserve"> </w:t>
      </w:r>
      <w:r w:rsidRPr="00561555">
        <w:rPr>
          <w:rFonts w:ascii="Book Antiqua" w:hAnsi="Book Antiqua"/>
          <w:color w:val="auto"/>
        </w:rPr>
        <w:t xml:space="preserve">2.142 </w:t>
      </w:r>
      <w:r w:rsidR="00F243AF" w:rsidRPr="00561555">
        <w:rPr>
          <w:rFonts w:ascii="Book Antiqua" w:hAnsi="Book Antiqua"/>
          <w:color w:val="auto"/>
          <w:lang w:eastAsia="zh-CN"/>
        </w:rPr>
        <w:t xml:space="preserve">(range, </w:t>
      </w:r>
      <w:r w:rsidRPr="00561555">
        <w:rPr>
          <w:rFonts w:ascii="Book Antiqua" w:hAnsi="Book Antiqua"/>
          <w:color w:val="auto"/>
        </w:rPr>
        <w:t>1.068-4.298</w:t>
      </w:r>
      <w:r w:rsidR="00F243AF" w:rsidRPr="00561555">
        <w:rPr>
          <w:rFonts w:ascii="Book Antiqua" w:hAnsi="Book Antiqua"/>
          <w:color w:val="auto"/>
          <w:lang w:eastAsia="zh-CN"/>
        </w:rPr>
        <w:t>)]</w:t>
      </w:r>
      <w:r w:rsidRPr="00561555">
        <w:rPr>
          <w:rFonts w:ascii="Book Antiqua" w:hAnsi="Book Antiqua"/>
          <w:color w:val="auto"/>
        </w:rPr>
        <w:t xml:space="preserve">. </w:t>
      </w:r>
    </w:p>
    <w:p w:rsidR="003E410E" w:rsidRPr="00561555" w:rsidRDefault="003E410E" w:rsidP="00561555">
      <w:pPr>
        <w:pStyle w:val="First-line-indent"/>
        <w:snapToGrid w:val="0"/>
        <w:spacing w:line="360" w:lineRule="auto"/>
        <w:rPr>
          <w:rFonts w:ascii="Book Antiqua" w:hAnsi="Book Antiqua"/>
          <w:color w:val="auto"/>
        </w:rPr>
      </w:pPr>
      <w:r w:rsidRPr="00561555">
        <w:rPr>
          <w:rFonts w:ascii="Book Antiqua" w:hAnsi="Book Antiqua"/>
          <w:color w:val="auto"/>
        </w:rPr>
        <w:t xml:space="preserve">Results of these different studies comparing patients with and without steroid requirement treatment are presented in Figure </w:t>
      </w:r>
      <w:r w:rsidR="003510C5" w:rsidRPr="00561555">
        <w:rPr>
          <w:rFonts w:ascii="Book Antiqua" w:hAnsi="Book Antiqua"/>
          <w:color w:val="auto"/>
          <w:lang w:eastAsia="zh-CN"/>
        </w:rPr>
        <w:t>2B</w:t>
      </w:r>
      <w:r w:rsidRPr="00561555">
        <w:rPr>
          <w:rFonts w:ascii="Book Antiqua" w:hAnsi="Book Antiqua"/>
          <w:color w:val="auto"/>
        </w:rPr>
        <w:t xml:space="preserve">. A fixed effects model shows that patients with steroid treatment had a higher risk of disabling disease five years after diagnosis </w:t>
      </w:r>
      <w:r w:rsidR="00F243AF" w:rsidRPr="00561555">
        <w:rPr>
          <w:rFonts w:ascii="Book Antiqua" w:hAnsi="Book Antiqua"/>
          <w:color w:val="auto"/>
          <w:lang w:eastAsia="zh-CN"/>
        </w:rPr>
        <w:t>[</w:t>
      </w:r>
      <w:r w:rsidRPr="00561555">
        <w:rPr>
          <w:rFonts w:ascii="Book Antiqua" w:hAnsi="Book Antiqua"/>
          <w:color w:val="auto"/>
        </w:rPr>
        <w:t>OR</w:t>
      </w:r>
      <w:r w:rsidR="00985A17" w:rsidRPr="00561555">
        <w:rPr>
          <w:rFonts w:ascii="Book Antiqua" w:hAnsi="Book Antiqua"/>
          <w:color w:val="auto"/>
          <w:lang w:eastAsia="zh-CN"/>
        </w:rPr>
        <w:t xml:space="preserve"> </w:t>
      </w:r>
      <w:r w:rsidRPr="00561555">
        <w:rPr>
          <w:rFonts w:ascii="Book Antiqua" w:hAnsi="Book Antiqua"/>
          <w:color w:val="auto"/>
        </w:rPr>
        <w:t>=</w:t>
      </w:r>
      <w:r w:rsidR="00985A17" w:rsidRPr="00561555">
        <w:rPr>
          <w:rFonts w:ascii="Book Antiqua" w:hAnsi="Book Antiqua"/>
          <w:color w:val="auto"/>
          <w:lang w:eastAsia="zh-CN"/>
        </w:rPr>
        <w:t xml:space="preserve"> </w:t>
      </w:r>
      <w:r w:rsidRPr="00561555">
        <w:rPr>
          <w:rFonts w:ascii="Book Antiqua" w:hAnsi="Book Antiqua"/>
          <w:color w:val="auto"/>
        </w:rPr>
        <w:t xml:space="preserve">2.41 </w:t>
      </w:r>
      <w:r w:rsidR="00F243AF" w:rsidRPr="00561555">
        <w:rPr>
          <w:rFonts w:ascii="Book Antiqua" w:hAnsi="Book Antiqua"/>
          <w:color w:val="auto"/>
          <w:lang w:eastAsia="zh-CN"/>
        </w:rPr>
        <w:t xml:space="preserve">(range, </w:t>
      </w:r>
      <w:r w:rsidRPr="00561555">
        <w:rPr>
          <w:rFonts w:ascii="Book Antiqua" w:hAnsi="Book Antiqua"/>
          <w:color w:val="auto"/>
        </w:rPr>
        <w:t>1.87-3.10</w:t>
      </w:r>
      <w:r w:rsidR="00F243AF" w:rsidRPr="00561555">
        <w:rPr>
          <w:rFonts w:ascii="Book Antiqua" w:hAnsi="Book Antiqua"/>
          <w:color w:val="auto"/>
          <w:lang w:eastAsia="zh-CN"/>
        </w:rPr>
        <w:t>)]</w:t>
      </w:r>
      <w:r w:rsidRPr="00561555">
        <w:rPr>
          <w:rFonts w:ascii="Book Antiqua" w:hAnsi="Book Antiqua"/>
          <w:color w:val="auto"/>
        </w:rPr>
        <w:t>. Significant heterogeneity was found among the studies (</w:t>
      </w:r>
      <w:r w:rsidRPr="00561555">
        <w:rPr>
          <w:rFonts w:ascii="Book Antiqua" w:hAnsi="Book Antiqua"/>
          <w:i/>
          <w:color w:val="auto"/>
        </w:rPr>
        <w:t>I</w:t>
      </w:r>
      <w:r w:rsidRPr="00561555">
        <w:rPr>
          <w:rFonts w:ascii="Book Antiqua" w:hAnsi="Book Antiqua"/>
          <w:color w:val="auto"/>
          <w:vertAlign w:val="superscript"/>
        </w:rPr>
        <w:t>2</w:t>
      </w:r>
      <w:r w:rsidR="00F243AF" w:rsidRPr="00561555">
        <w:rPr>
          <w:rFonts w:ascii="Book Antiqua" w:hAnsi="Book Antiqua"/>
          <w:color w:val="auto"/>
          <w:vertAlign w:val="superscript"/>
          <w:lang w:eastAsia="zh-CN"/>
        </w:rPr>
        <w:t xml:space="preserve"> </w:t>
      </w:r>
      <w:r w:rsidRPr="00561555">
        <w:rPr>
          <w:rFonts w:ascii="Book Antiqua" w:hAnsi="Book Antiqua"/>
          <w:color w:val="auto"/>
        </w:rPr>
        <w:t xml:space="preserve">= 66%). Nevertheless, all studies found a higher risk of disabling disease for patients on steroids. </w:t>
      </w:r>
    </w:p>
    <w:p w:rsidR="003E410E" w:rsidRPr="00561555" w:rsidRDefault="003E410E" w:rsidP="00561555">
      <w:pPr>
        <w:pStyle w:val="First-line-indent"/>
        <w:snapToGrid w:val="0"/>
        <w:spacing w:line="360" w:lineRule="auto"/>
        <w:rPr>
          <w:rFonts w:ascii="Book Antiqua" w:hAnsi="Book Antiqua"/>
          <w:color w:val="auto"/>
        </w:rPr>
      </w:pPr>
    </w:p>
    <w:p w:rsidR="003E410E" w:rsidRPr="00561555" w:rsidRDefault="003E410E" w:rsidP="00561555">
      <w:pPr>
        <w:pStyle w:val="First-line-indent"/>
        <w:snapToGrid w:val="0"/>
        <w:spacing w:line="360" w:lineRule="auto"/>
        <w:ind w:firstLine="0"/>
        <w:rPr>
          <w:rFonts w:ascii="Book Antiqua" w:hAnsi="Book Antiqua"/>
          <w:b/>
          <w:i/>
          <w:color w:val="auto"/>
        </w:rPr>
      </w:pPr>
      <w:r w:rsidRPr="00561555">
        <w:rPr>
          <w:rFonts w:ascii="Book Antiqua" w:hAnsi="Book Antiqua"/>
          <w:b/>
          <w:i/>
          <w:color w:val="auto"/>
        </w:rPr>
        <w:t>Periana</w:t>
      </w:r>
      <w:r w:rsidR="004A6862" w:rsidRPr="00561555">
        <w:rPr>
          <w:rFonts w:ascii="Book Antiqua" w:hAnsi="Book Antiqua"/>
          <w:b/>
          <w:i/>
          <w:color w:val="auto"/>
        </w:rPr>
        <w:t>l dise</w:t>
      </w:r>
      <w:r w:rsidRPr="00561555">
        <w:rPr>
          <w:rFonts w:ascii="Book Antiqua" w:hAnsi="Book Antiqua"/>
          <w:b/>
          <w:i/>
          <w:color w:val="auto"/>
        </w:rPr>
        <w:t xml:space="preserve">ase </w:t>
      </w:r>
    </w:p>
    <w:p w:rsidR="003E410E" w:rsidRPr="00561555" w:rsidRDefault="003E410E" w:rsidP="00561555">
      <w:pPr>
        <w:pStyle w:val="First-line-indent"/>
        <w:snapToGrid w:val="0"/>
        <w:spacing w:line="360" w:lineRule="auto"/>
        <w:ind w:firstLine="0"/>
        <w:rPr>
          <w:rFonts w:ascii="Book Antiqua" w:hAnsi="Book Antiqua"/>
          <w:color w:val="auto"/>
        </w:rPr>
      </w:pPr>
      <w:r w:rsidRPr="00561555">
        <w:rPr>
          <w:rFonts w:ascii="Book Antiqua" w:hAnsi="Book Antiqua"/>
          <w:color w:val="auto"/>
        </w:rPr>
        <w:t xml:space="preserve">In all three studies, patients with perianal disease had a higher risk of developing disabling disease five years after diagnosis when compared to patients without perianal disease: Beaugerie </w:t>
      </w:r>
      <w:r w:rsidRPr="00561555">
        <w:rPr>
          <w:rFonts w:ascii="Book Antiqua" w:hAnsi="Book Antiqua"/>
          <w:i/>
          <w:color w:val="auto"/>
        </w:rPr>
        <w:t>et al</w:t>
      </w:r>
      <w:r w:rsidR="00FB4A0E" w:rsidRPr="00561555">
        <w:rPr>
          <w:rFonts w:ascii="Book Antiqua" w:hAnsi="Book Antiqua"/>
          <w:color w:val="auto"/>
          <w:vertAlign w:val="superscript"/>
          <w:lang w:eastAsia="zh-CN"/>
        </w:rPr>
        <w:t>[</w:t>
      </w:r>
      <w:r w:rsidR="00FB4A0E" w:rsidRPr="00561555">
        <w:rPr>
          <w:rFonts w:ascii="Book Antiqua" w:hAnsi="Book Antiqua"/>
          <w:color w:val="auto"/>
          <w:vertAlign w:val="superscript"/>
        </w:rPr>
        <w:t>6</w:t>
      </w:r>
      <w:r w:rsidR="00FB4A0E" w:rsidRPr="00561555">
        <w:rPr>
          <w:rFonts w:ascii="Book Antiqua" w:hAnsi="Book Antiqua"/>
          <w:color w:val="auto"/>
          <w:vertAlign w:val="superscript"/>
          <w:lang w:eastAsia="zh-CN"/>
        </w:rPr>
        <w:t>]</w:t>
      </w:r>
      <w:r w:rsidR="00FB4A0E" w:rsidRPr="00561555">
        <w:rPr>
          <w:rFonts w:ascii="Book Antiqua" w:hAnsi="Book Antiqua"/>
          <w:color w:val="auto"/>
          <w:lang w:eastAsia="zh-CN"/>
        </w:rPr>
        <w:t xml:space="preserve"> [</w:t>
      </w:r>
      <w:r w:rsidRPr="00561555">
        <w:rPr>
          <w:rFonts w:ascii="Book Antiqua" w:hAnsi="Book Antiqua"/>
          <w:color w:val="auto"/>
        </w:rPr>
        <w:t>OR</w:t>
      </w:r>
      <w:r w:rsidR="00FB4A0E" w:rsidRPr="00561555">
        <w:rPr>
          <w:rFonts w:ascii="Book Antiqua" w:hAnsi="Book Antiqua"/>
          <w:color w:val="auto"/>
          <w:lang w:eastAsia="zh-CN"/>
        </w:rPr>
        <w:t xml:space="preserve"> </w:t>
      </w:r>
      <w:r w:rsidRPr="00561555">
        <w:rPr>
          <w:rFonts w:ascii="Book Antiqua" w:hAnsi="Book Antiqua"/>
          <w:color w:val="auto"/>
        </w:rPr>
        <w:t>=</w:t>
      </w:r>
      <w:r w:rsidR="00FB4A0E" w:rsidRPr="00561555">
        <w:rPr>
          <w:rFonts w:ascii="Book Antiqua" w:hAnsi="Book Antiqua"/>
          <w:color w:val="auto"/>
          <w:lang w:eastAsia="zh-CN"/>
        </w:rPr>
        <w:t xml:space="preserve"> </w:t>
      </w:r>
      <w:r w:rsidRPr="00561555">
        <w:rPr>
          <w:rFonts w:ascii="Book Antiqua" w:hAnsi="Book Antiqua"/>
          <w:color w:val="auto"/>
        </w:rPr>
        <w:t xml:space="preserve">1.8 </w:t>
      </w:r>
      <w:r w:rsidR="00FB4A0E" w:rsidRPr="00561555">
        <w:rPr>
          <w:rFonts w:ascii="Book Antiqua" w:hAnsi="Book Antiqua"/>
          <w:color w:val="auto"/>
          <w:lang w:eastAsia="zh-CN"/>
        </w:rPr>
        <w:t>(</w:t>
      </w:r>
      <w:r w:rsidRPr="00561555">
        <w:rPr>
          <w:rFonts w:ascii="Book Antiqua" w:hAnsi="Book Antiqua"/>
          <w:color w:val="auto"/>
        </w:rPr>
        <w:t>1.2-2.8</w:t>
      </w:r>
      <w:r w:rsidR="00FB4A0E" w:rsidRPr="00561555">
        <w:rPr>
          <w:rFonts w:ascii="Book Antiqua" w:hAnsi="Book Antiqua"/>
          <w:color w:val="auto"/>
          <w:lang w:eastAsia="zh-CN"/>
        </w:rPr>
        <w:t>)]</w:t>
      </w:r>
      <w:r w:rsidRPr="00561555">
        <w:rPr>
          <w:rFonts w:ascii="Book Antiqua" w:hAnsi="Book Antiqua"/>
          <w:color w:val="auto"/>
        </w:rPr>
        <w:t xml:space="preserve">, Loly </w:t>
      </w:r>
      <w:r w:rsidRPr="00561555">
        <w:rPr>
          <w:rFonts w:ascii="Book Antiqua" w:hAnsi="Book Antiqua"/>
          <w:i/>
          <w:color w:val="auto"/>
        </w:rPr>
        <w:t>et al</w:t>
      </w:r>
      <w:r w:rsidR="00FB4A0E" w:rsidRPr="00561555">
        <w:rPr>
          <w:rFonts w:ascii="Book Antiqua" w:hAnsi="Book Antiqua"/>
          <w:color w:val="auto"/>
          <w:vertAlign w:val="superscript"/>
          <w:lang w:eastAsia="zh-CN"/>
        </w:rPr>
        <w:t>[</w:t>
      </w:r>
      <w:r w:rsidR="00FB4A0E" w:rsidRPr="00561555">
        <w:rPr>
          <w:rFonts w:ascii="Book Antiqua" w:hAnsi="Book Antiqua"/>
          <w:color w:val="auto"/>
          <w:vertAlign w:val="superscript"/>
        </w:rPr>
        <w:t>7</w:t>
      </w:r>
      <w:r w:rsidR="00FB4A0E" w:rsidRPr="00561555">
        <w:rPr>
          <w:rFonts w:ascii="Book Antiqua" w:hAnsi="Book Antiqua"/>
          <w:color w:val="auto"/>
          <w:vertAlign w:val="superscript"/>
          <w:lang w:eastAsia="zh-CN"/>
        </w:rPr>
        <w:t>]</w:t>
      </w:r>
      <w:r w:rsidR="00FB4A0E" w:rsidRPr="00561555">
        <w:rPr>
          <w:rFonts w:ascii="Book Antiqua" w:hAnsi="Book Antiqua"/>
          <w:color w:val="auto"/>
          <w:lang w:eastAsia="zh-CN"/>
        </w:rPr>
        <w:t xml:space="preserve"> [</w:t>
      </w:r>
      <w:r w:rsidRPr="00561555">
        <w:rPr>
          <w:rFonts w:ascii="Book Antiqua" w:hAnsi="Book Antiqua"/>
          <w:color w:val="auto"/>
        </w:rPr>
        <w:t>OR</w:t>
      </w:r>
      <w:r w:rsidR="00FB4A0E" w:rsidRPr="00561555">
        <w:rPr>
          <w:rFonts w:ascii="Book Antiqua" w:hAnsi="Book Antiqua"/>
          <w:color w:val="auto"/>
          <w:lang w:eastAsia="zh-CN"/>
        </w:rPr>
        <w:t xml:space="preserve"> </w:t>
      </w:r>
      <w:r w:rsidRPr="00561555">
        <w:rPr>
          <w:rFonts w:ascii="Book Antiqua" w:hAnsi="Book Antiqua"/>
          <w:color w:val="auto"/>
        </w:rPr>
        <w:t>=</w:t>
      </w:r>
      <w:r w:rsidR="00FB4A0E" w:rsidRPr="00561555">
        <w:rPr>
          <w:rFonts w:ascii="Book Antiqua" w:hAnsi="Book Antiqua"/>
          <w:color w:val="auto"/>
          <w:lang w:eastAsia="zh-CN"/>
        </w:rPr>
        <w:t xml:space="preserve"> </w:t>
      </w:r>
      <w:r w:rsidRPr="00561555">
        <w:rPr>
          <w:rFonts w:ascii="Book Antiqua" w:hAnsi="Book Antiqua"/>
          <w:color w:val="auto"/>
        </w:rPr>
        <w:t xml:space="preserve">2.6 </w:t>
      </w:r>
      <w:r w:rsidR="00FB4A0E" w:rsidRPr="00561555">
        <w:rPr>
          <w:rFonts w:ascii="Book Antiqua" w:hAnsi="Book Antiqua"/>
          <w:color w:val="auto"/>
          <w:lang w:eastAsia="zh-CN"/>
        </w:rPr>
        <w:t>(</w:t>
      </w:r>
      <w:r w:rsidRPr="00561555">
        <w:rPr>
          <w:rFonts w:ascii="Book Antiqua" w:hAnsi="Book Antiqua"/>
          <w:color w:val="auto"/>
        </w:rPr>
        <w:t>1.4-5.1</w:t>
      </w:r>
      <w:r w:rsidR="00FB4A0E" w:rsidRPr="00561555">
        <w:rPr>
          <w:rFonts w:ascii="Book Antiqua" w:hAnsi="Book Antiqua"/>
          <w:color w:val="auto"/>
          <w:lang w:eastAsia="zh-CN"/>
        </w:rPr>
        <w:t>)]</w:t>
      </w:r>
      <w:r w:rsidRPr="00561555">
        <w:rPr>
          <w:rFonts w:ascii="Book Antiqua" w:hAnsi="Book Antiqua"/>
          <w:color w:val="auto"/>
        </w:rPr>
        <w:t xml:space="preserve">, Yang </w:t>
      </w:r>
      <w:r w:rsidRPr="00561555">
        <w:rPr>
          <w:rFonts w:ascii="Book Antiqua" w:hAnsi="Book Antiqua"/>
          <w:i/>
          <w:color w:val="auto"/>
        </w:rPr>
        <w:t>et al</w:t>
      </w:r>
      <w:r w:rsidR="00FB4A0E" w:rsidRPr="00561555">
        <w:rPr>
          <w:rFonts w:ascii="Book Antiqua" w:hAnsi="Book Antiqua"/>
          <w:color w:val="auto"/>
          <w:vertAlign w:val="superscript"/>
          <w:lang w:eastAsia="zh-CN"/>
        </w:rPr>
        <w:t>[</w:t>
      </w:r>
      <w:r w:rsidR="00FB4A0E" w:rsidRPr="00561555">
        <w:rPr>
          <w:rFonts w:ascii="Book Antiqua" w:hAnsi="Book Antiqua"/>
          <w:color w:val="auto"/>
          <w:vertAlign w:val="superscript"/>
        </w:rPr>
        <w:t>8</w:t>
      </w:r>
      <w:r w:rsidR="00FB4A0E" w:rsidRPr="00561555">
        <w:rPr>
          <w:rFonts w:ascii="Book Antiqua" w:hAnsi="Book Antiqua"/>
          <w:color w:val="auto"/>
          <w:vertAlign w:val="superscript"/>
          <w:lang w:eastAsia="zh-CN"/>
        </w:rPr>
        <w:t>]</w:t>
      </w:r>
      <w:r w:rsidRPr="00561555">
        <w:rPr>
          <w:rFonts w:ascii="Book Antiqua" w:hAnsi="Book Antiqua"/>
          <w:color w:val="auto"/>
        </w:rPr>
        <w:t xml:space="preserve"> (two years after diagnosis) </w:t>
      </w:r>
      <w:r w:rsidR="00FB4A0E" w:rsidRPr="00561555">
        <w:rPr>
          <w:rFonts w:ascii="Book Antiqua" w:hAnsi="Book Antiqua"/>
          <w:color w:val="auto"/>
          <w:lang w:eastAsia="zh-CN"/>
        </w:rPr>
        <w:t>[</w:t>
      </w:r>
      <w:r w:rsidRPr="00561555">
        <w:rPr>
          <w:rFonts w:ascii="Book Antiqua" w:hAnsi="Book Antiqua"/>
          <w:color w:val="auto"/>
        </w:rPr>
        <w:t>OR</w:t>
      </w:r>
      <w:r w:rsidR="00FB4A0E" w:rsidRPr="00561555">
        <w:rPr>
          <w:rFonts w:ascii="Book Antiqua" w:hAnsi="Book Antiqua"/>
          <w:color w:val="auto"/>
          <w:lang w:eastAsia="zh-CN"/>
        </w:rPr>
        <w:t xml:space="preserve"> </w:t>
      </w:r>
      <w:r w:rsidRPr="00561555">
        <w:rPr>
          <w:rFonts w:ascii="Book Antiqua" w:hAnsi="Book Antiqua"/>
          <w:color w:val="auto"/>
        </w:rPr>
        <w:t>=</w:t>
      </w:r>
      <w:r w:rsidR="00FB4A0E" w:rsidRPr="00561555">
        <w:rPr>
          <w:rFonts w:ascii="Book Antiqua" w:hAnsi="Book Antiqua"/>
          <w:color w:val="auto"/>
          <w:lang w:eastAsia="zh-CN"/>
        </w:rPr>
        <w:t xml:space="preserve"> </w:t>
      </w:r>
      <w:r w:rsidRPr="00561555">
        <w:rPr>
          <w:rFonts w:ascii="Book Antiqua" w:hAnsi="Book Antiqua"/>
          <w:color w:val="auto"/>
        </w:rPr>
        <w:t xml:space="preserve">5.433 </w:t>
      </w:r>
      <w:r w:rsidR="00FB4A0E" w:rsidRPr="00561555">
        <w:rPr>
          <w:rFonts w:ascii="Book Antiqua" w:hAnsi="Book Antiqua"/>
          <w:color w:val="auto"/>
          <w:lang w:eastAsia="zh-CN"/>
        </w:rPr>
        <w:t>(</w:t>
      </w:r>
      <w:r w:rsidRPr="00561555">
        <w:rPr>
          <w:rFonts w:ascii="Book Antiqua" w:hAnsi="Book Antiqua"/>
          <w:color w:val="auto"/>
        </w:rPr>
        <w:t>1.585-18.620</w:t>
      </w:r>
      <w:r w:rsidR="00FB4A0E" w:rsidRPr="00561555">
        <w:rPr>
          <w:rFonts w:ascii="Book Antiqua" w:hAnsi="Book Antiqua"/>
          <w:color w:val="auto"/>
          <w:lang w:eastAsia="zh-CN"/>
        </w:rPr>
        <w:t>)]</w:t>
      </w:r>
      <w:r w:rsidRPr="00561555">
        <w:rPr>
          <w:rFonts w:ascii="Book Antiqua" w:hAnsi="Book Antiqua"/>
          <w:color w:val="auto"/>
        </w:rPr>
        <w:t xml:space="preserve">. </w:t>
      </w:r>
    </w:p>
    <w:p w:rsidR="003E410E" w:rsidRPr="00561555" w:rsidRDefault="003E410E" w:rsidP="00561555">
      <w:pPr>
        <w:pStyle w:val="First-line-indent"/>
        <w:snapToGrid w:val="0"/>
        <w:spacing w:line="360" w:lineRule="auto"/>
        <w:rPr>
          <w:rFonts w:ascii="Book Antiqua" w:hAnsi="Book Antiqua"/>
          <w:color w:val="auto"/>
        </w:rPr>
      </w:pPr>
      <w:r w:rsidRPr="00561555">
        <w:rPr>
          <w:rFonts w:ascii="Book Antiqua" w:hAnsi="Book Antiqua"/>
          <w:color w:val="auto"/>
        </w:rPr>
        <w:lastRenderedPageBreak/>
        <w:t xml:space="preserve">The comparison between patients with and without perianal disease is shown in Figure </w:t>
      </w:r>
      <w:r w:rsidR="003510C5" w:rsidRPr="00561555">
        <w:rPr>
          <w:rFonts w:ascii="Book Antiqua" w:hAnsi="Book Antiqua"/>
          <w:color w:val="auto"/>
          <w:lang w:eastAsia="zh-CN"/>
        </w:rPr>
        <w:t>2C</w:t>
      </w:r>
      <w:r w:rsidRPr="00561555">
        <w:rPr>
          <w:rFonts w:ascii="Book Antiqua" w:hAnsi="Book Antiqua"/>
          <w:color w:val="auto"/>
        </w:rPr>
        <w:t xml:space="preserve">. A fixed effects model shows the presence of perianal disease as a high risk of disabling disease five years after diagnosis </w:t>
      </w:r>
      <w:r w:rsidR="00FB4A0E" w:rsidRPr="00561555">
        <w:rPr>
          <w:rFonts w:ascii="Book Antiqua" w:hAnsi="Book Antiqua"/>
          <w:color w:val="auto"/>
          <w:lang w:eastAsia="zh-CN"/>
        </w:rPr>
        <w:t>[</w:t>
      </w:r>
      <w:r w:rsidRPr="00561555">
        <w:rPr>
          <w:rFonts w:ascii="Book Antiqua" w:hAnsi="Book Antiqua"/>
          <w:color w:val="auto"/>
        </w:rPr>
        <w:t>OR</w:t>
      </w:r>
      <w:r w:rsidR="00FB4A0E" w:rsidRPr="00561555">
        <w:rPr>
          <w:rFonts w:ascii="Book Antiqua" w:hAnsi="Book Antiqua"/>
          <w:color w:val="auto"/>
          <w:lang w:eastAsia="zh-CN"/>
        </w:rPr>
        <w:t xml:space="preserve"> </w:t>
      </w:r>
      <w:r w:rsidRPr="00561555">
        <w:rPr>
          <w:rFonts w:ascii="Book Antiqua" w:hAnsi="Book Antiqua"/>
          <w:color w:val="auto"/>
        </w:rPr>
        <w:t>=</w:t>
      </w:r>
      <w:r w:rsidR="00FB4A0E" w:rsidRPr="00561555">
        <w:rPr>
          <w:rFonts w:ascii="Book Antiqua" w:hAnsi="Book Antiqua"/>
          <w:color w:val="auto"/>
          <w:lang w:eastAsia="zh-CN"/>
        </w:rPr>
        <w:t xml:space="preserve"> </w:t>
      </w:r>
      <w:r w:rsidRPr="00561555">
        <w:rPr>
          <w:rFonts w:ascii="Book Antiqua" w:hAnsi="Book Antiqua"/>
          <w:color w:val="auto"/>
        </w:rPr>
        <w:t xml:space="preserve">2.00 </w:t>
      </w:r>
      <w:r w:rsidR="00FB4A0E" w:rsidRPr="00561555">
        <w:rPr>
          <w:rFonts w:ascii="Book Antiqua" w:hAnsi="Book Antiqua"/>
          <w:color w:val="auto"/>
          <w:lang w:eastAsia="zh-CN"/>
        </w:rPr>
        <w:t>(</w:t>
      </w:r>
      <w:r w:rsidRPr="00561555">
        <w:rPr>
          <w:rFonts w:ascii="Book Antiqua" w:hAnsi="Book Antiqua"/>
          <w:color w:val="auto"/>
        </w:rPr>
        <w:t>1.41-3.85</w:t>
      </w:r>
      <w:r w:rsidR="00FB4A0E" w:rsidRPr="00561555">
        <w:rPr>
          <w:rFonts w:ascii="Book Antiqua" w:hAnsi="Book Antiqua"/>
          <w:color w:val="auto"/>
          <w:lang w:eastAsia="zh-CN"/>
        </w:rPr>
        <w:t>)]</w:t>
      </w:r>
      <w:r w:rsidRPr="00561555">
        <w:rPr>
          <w:rFonts w:ascii="Book Antiqua" w:hAnsi="Book Antiqua"/>
          <w:color w:val="auto"/>
        </w:rPr>
        <w:t>. There was no evidence of statistical heterogeneity among the studies (</w:t>
      </w:r>
      <w:r w:rsidRPr="00561555">
        <w:rPr>
          <w:rFonts w:ascii="Book Antiqua" w:hAnsi="Book Antiqua"/>
          <w:i/>
          <w:color w:val="auto"/>
        </w:rPr>
        <w:t>I</w:t>
      </w:r>
      <w:r w:rsidRPr="00561555">
        <w:rPr>
          <w:rFonts w:ascii="Book Antiqua" w:hAnsi="Book Antiqua"/>
          <w:color w:val="auto"/>
          <w:vertAlign w:val="superscript"/>
        </w:rPr>
        <w:t>2</w:t>
      </w:r>
      <w:r w:rsidR="00FB4A0E" w:rsidRPr="00561555">
        <w:rPr>
          <w:rFonts w:ascii="Book Antiqua" w:hAnsi="Book Antiqua"/>
          <w:color w:val="auto"/>
          <w:vertAlign w:val="superscript"/>
          <w:lang w:eastAsia="zh-CN"/>
        </w:rPr>
        <w:t xml:space="preserve"> </w:t>
      </w:r>
      <w:r w:rsidRPr="00561555">
        <w:rPr>
          <w:rFonts w:ascii="Book Antiqua" w:hAnsi="Book Antiqua"/>
          <w:color w:val="auto"/>
        </w:rPr>
        <w:t>=</w:t>
      </w:r>
      <w:r w:rsidR="00FB4A0E" w:rsidRPr="00561555">
        <w:rPr>
          <w:rFonts w:ascii="Book Antiqua" w:hAnsi="Book Antiqua"/>
          <w:color w:val="auto"/>
          <w:lang w:eastAsia="zh-CN"/>
        </w:rPr>
        <w:t xml:space="preserve"> </w:t>
      </w:r>
      <w:r w:rsidRPr="00561555">
        <w:rPr>
          <w:rFonts w:ascii="Book Antiqua" w:hAnsi="Book Antiqua"/>
          <w:color w:val="auto"/>
        </w:rPr>
        <w:t xml:space="preserve">48%). </w:t>
      </w:r>
    </w:p>
    <w:p w:rsidR="003E410E" w:rsidRPr="00561555" w:rsidRDefault="003E410E" w:rsidP="00561555">
      <w:pPr>
        <w:pStyle w:val="First-line-indent"/>
        <w:snapToGrid w:val="0"/>
        <w:spacing w:line="360" w:lineRule="auto"/>
        <w:ind w:firstLine="0"/>
        <w:rPr>
          <w:rFonts w:ascii="Book Antiqua" w:hAnsi="Book Antiqua"/>
          <w:color w:val="auto"/>
        </w:rPr>
      </w:pPr>
    </w:p>
    <w:p w:rsidR="003E410E" w:rsidRPr="00561555" w:rsidRDefault="003E410E" w:rsidP="00561555">
      <w:pPr>
        <w:pStyle w:val="First-line-indent"/>
        <w:snapToGrid w:val="0"/>
        <w:spacing w:line="360" w:lineRule="auto"/>
        <w:ind w:firstLine="0"/>
        <w:rPr>
          <w:rFonts w:ascii="Book Antiqua" w:hAnsi="Book Antiqua"/>
          <w:b/>
          <w:i/>
          <w:color w:val="auto"/>
        </w:rPr>
      </w:pPr>
      <w:r w:rsidRPr="00561555">
        <w:rPr>
          <w:rFonts w:ascii="Book Antiqua" w:hAnsi="Book Antiqua"/>
          <w:b/>
          <w:i/>
          <w:color w:val="auto"/>
        </w:rPr>
        <w:t xml:space="preserve">Localization </w:t>
      </w:r>
    </w:p>
    <w:p w:rsidR="003E410E" w:rsidRPr="00561555" w:rsidRDefault="003E410E" w:rsidP="00561555">
      <w:pPr>
        <w:pStyle w:val="First-line-indent"/>
        <w:snapToGrid w:val="0"/>
        <w:spacing w:line="360" w:lineRule="auto"/>
        <w:ind w:firstLine="0"/>
        <w:rPr>
          <w:rFonts w:ascii="Book Antiqua" w:hAnsi="Book Antiqua"/>
          <w:color w:val="auto"/>
        </w:rPr>
      </w:pPr>
      <w:r w:rsidRPr="00561555">
        <w:rPr>
          <w:rFonts w:ascii="Book Antiqua" w:hAnsi="Book Antiqua"/>
          <w:color w:val="auto"/>
        </w:rPr>
        <w:t xml:space="preserve">One study associated disabling disease to the localization of the disease. In this study, patients with L3 localization had a higher risk of developing disabling disease five years after the diagnosis </w:t>
      </w:r>
      <w:r w:rsidR="00920B07" w:rsidRPr="00561555">
        <w:rPr>
          <w:rFonts w:ascii="Book Antiqua" w:hAnsi="Book Antiqua"/>
          <w:color w:val="auto"/>
          <w:lang w:eastAsia="zh-CN"/>
        </w:rPr>
        <w:t>[</w:t>
      </w:r>
      <w:r w:rsidRPr="00561555">
        <w:rPr>
          <w:rFonts w:ascii="Book Antiqua" w:hAnsi="Book Antiqua"/>
          <w:color w:val="auto"/>
        </w:rPr>
        <w:t>OR</w:t>
      </w:r>
      <w:r w:rsidR="00920B07" w:rsidRPr="00561555">
        <w:rPr>
          <w:rFonts w:ascii="Book Antiqua" w:hAnsi="Book Antiqua"/>
          <w:color w:val="auto"/>
          <w:lang w:eastAsia="zh-CN"/>
        </w:rPr>
        <w:t xml:space="preserve"> </w:t>
      </w:r>
      <w:r w:rsidRPr="00561555">
        <w:rPr>
          <w:rFonts w:ascii="Book Antiqua" w:hAnsi="Book Antiqua"/>
          <w:color w:val="auto"/>
        </w:rPr>
        <w:t>=</w:t>
      </w:r>
      <w:r w:rsidR="00920B07" w:rsidRPr="00561555">
        <w:rPr>
          <w:rFonts w:ascii="Book Antiqua" w:hAnsi="Book Antiqua"/>
          <w:color w:val="auto"/>
          <w:lang w:eastAsia="zh-CN"/>
        </w:rPr>
        <w:t xml:space="preserve"> </w:t>
      </w:r>
      <w:r w:rsidRPr="00561555">
        <w:rPr>
          <w:rFonts w:ascii="Book Antiqua" w:hAnsi="Book Antiqua"/>
          <w:color w:val="auto"/>
        </w:rPr>
        <w:t xml:space="preserve">1.74 </w:t>
      </w:r>
      <w:r w:rsidR="00920B07" w:rsidRPr="00561555">
        <w:rPr>
          <w:rFonts w:ascii="Book Antiqua" w:hAnsi="Book Antiqua"/>
          <w:color w:val="auto"/>
          <w:lang w:eastAsia="zh-CN"/>
        </w:rPr>
        <w:t>(</w:t>
      </w:r>
      <w:r w:rsidRPr="00561555">
        <w:rPr>
          <w:rFonts w:ascii="Book Antiqua" w:hAnsi="Book Antiqua"/>
          <w:color w:val="auto"/>
        </w:rPr>
        <w:t>1.06-2.8</w:t>
      </w:r>
      <w:r w:rsidR="00920B07" w:rsidRPr="00561555">
        <w:rPr>
          <w:rFonts w:ascii="Book Antiqua" w:hAnsi="Book Antiqua"/>
          <w:color w:val="auto"/>
          <w:lang w:eastAsia="zh-CN"/>
        </w:rPr>
        <w:t>)]</w:t>
      </w:r>
      <w:r w:rsidR="00920B07" w:rsidRPr="00561555">
        <w:rPr>
          <w:rFonts w:ascii="Book Antiqua" w:hAnsi="Book Antiqua"/>
          <w:color w:val="auto"/>
          <w:vertAlign w:val="superscript"/>
          <w:lang w:eastAsia="zh-CN"/>
        </w:rPr>
        <w:t>[</w:t>
      </w:r>
      <w:r w:rsidRPr="00561555">
        <w:rPr>
          <w:rFonts w:ascii="Book Antiqua" w:hAnsi="Book Antiqua"/>
          <w:color w:val="auto"/>
          <w:vertAlign w:val="superscript"/>
        </w:rPr>
        <w:t>7</w:t>
      </w:r>
      <w:r w:rsidR="00920B07" w:rsidRPr="00561555">
        <w:rPr>
          <w:rFonts w:ascii="Book Antiqua" w:hAnsi="Book Antiqua"/>
          <w:color w:val="auto"/>
          <w:vertAlign w:val="superscript"/>
          <w:lang w:eastAsia="zh-CN"/>
        </w:rPr>
        <w:t>]</w:t>
      </w:r>
      <w:r w:rsidRPr="00561555">
        <w:rPr>
          <w:rFonts w:ascii="Book Antiqua" w:hAnsi="Book Antiqua"/>
          <w:color w:val="auto"/>
        </w:rPr>
        <w:t xml:space="preserve">. </w:t>
      </w:r>
    </w:p>
    <w:p w:rsidR="003E410E" w:rsidRPr="00561555" w:rsidRDefault="003E410E" w:rsidP="00561555">
      <w:pPr>
        <w:pStyle w:val="First-line-indent"/>
        <w:snapToGrid w:val="0"/>
        <w:spacing w:line="360" w:lineRule="auto"/>
        <w:rPr>
          <w:rFonts w:ascii="Book Antiqua" w:hAnsi="Book Antiqua"/>
          <w:color w:val="auto"/>
        </w:rPr>
      </w:pPr>
    </w:p>
    <w:p w:rsidR="003E410E" w:rsidRPr="00561555" w:rsidRDefault="003E410E" w:rsidP="00561555">
      <w:pPr>
        <w:pStyle w:val="Heading-2"/>
        <w:numPr>
          <w:ilvl w:val="1"/>
          <w:numId w:val="1"/>
        </w:numPr>
        <w:snapToGrid w:val="0"/>
        <w:spacing w:before="0" w:after="0" w:line="360" w:lineRule="auto"/>
        <w:jc w:val="both"/>
        <w:rPr>
          <w:rFonts w:ascii="Book Antiqua" w:hAnsi="Book Antiqua"/>
          <w:b/>
          <w:caps/>
          <w:color w:val="auto"/>
          <w:sz w:val="24"/>
          <w:szCs w:val="24"/>
        </w:rPr>
      </w:pPr>
      <w:r w:rsidRPr="00561555">
        <w:rPr>
          <w:rFonts w:ascii="Book Antiqua" w:hAnsi="Book Antiqua"/>
          <w:b/>
          <w:caps/>
          <w:color w:val="auto"/>
          <w:sz w:val="24"/>
          <w:szCs w:val="24"/>
        </w:rPr>
        <w:t>Discussion</w:t>
      </w:r>
    </w:p>
    <w:p w:rsidR="003E410E" w:rsidRPr="00561555" w:rsidRDefault="006B78F2" w:rsidP="00561555">
      <w:pPr>
        <w:pStyle w:val="Text-body"/>
        <w:snapToGrid w:val="0"/>
        <w:spacing w:line="360" w:lineRule="auto"/>
        <w:rPr>
          <w:rFonts w:ascii="Book Antiqua" w:hAnsi="Book Antiqua"/>
          <w:color w:val="auto"/>
        </w:rPr>
      </w:pPr>
      <w:r>
        <w:rPr>
          <w:rFonts w:ascii="Book Antiqua" w:hAnsi="Book Antiqua" w:hint="eastAsia"/>
          <w:color w:val="auto"/>
          <w:lang w:eastAsia="zh-CN"/>
        </w:rPr>
        <w:t>CD</w:t>
      </w:r>
      <w:r w:rsidR="003E410E" w:rsidRPr="00561555">
        <w:rPr>
          <w:rFonts w:ascii="Book Antiqua" w:hAnsi="Book Antiqua"/>
          <w:color w:val="auto"/>
        </w:rPr>
        <w:t xml:space="preserve"> is a chronic disease with no known medical or surgical cure, requiring several appointments and hospitalizations for those afflicted. There are several reasons stressing the importance of prognostic factors: </w:t>
      </w:r>
      <w:r w:rsidR="00920B07" w:rsidRPr="00561555">
        <w:rPr>
          <w:rFonts w:ascii="Book Antiqua" w:hAnsi="Book Antiqua"/>
          <w:color w:val="auto"/>
          <w:lang w:eastAsia="zh-CN"/>
        </w:rPr>
        <w:t>(</w:t>
      </w:r>
      <w:r w:rsidR="003E410E" w:rsidRPr="00561555">
        <w:rPr>
          <w:rFonts w:ascii="Book Antiqua" w:hAnsi="Book Antiqua"/>
          <w:color w:val="auto"/>
        </w:rPr>
        <w:t xml:space="preserve">1) </w:t>
      </w:r>
      <w:r w:rsidR="00663C14" w:rsidRPr="00561555">
        <w:rPr>
          <w:rFonts w:ascii="Book Antiqua" w:hAnsi="Book Antiqua"/>
          <w:color w:val="auto"/>
        </w:rPr>
        <w:t>R</w:t>
      </w:r>
      <w:r w:rsidR="003E410E" w:rsidRPr="00561555">
        <w:rPr>
          <w:rFonts w:ascii="Book Antiqua" w:hAnsi="Book Antiqua"/>
          <w:color w:val="auto"/>
        </w:rPr>
        <w:t>ecent available drugs, namely anti-</w:t>
      </w:r>
      <w:r w:rsidR="00920B07" w:rsidRPr="00561555">
        <w:rPr>
          <w:rFonts w:ascii="Book Antiqua" w:hAnsi="Book Antiqua"/>
          <w:color w:val="auto"/>
        </w:rPr>
        <w:t xml:space="preserve">tumour necrosis factor </w:t>
      </w:r>
      <w:r w:rsidR="00920B07" w:rsidRPr="00561555">
        <w:rPr>
          <w:rFonts w:ascii="Book Antiqua" w:hAnsi="Book Antiqua"/>
          <w:color w:val="auto"/>
          <w:lang w:eastAsia="zh-CN"/>
        </w:rPr>
        <w:t>(</w:t>
      </w:r>
      <w:r w:rsidR="003E410E" w:rsidRPr="00561555">
        <w:rPr>
          <w:rFonts w:ascii="Book Antiqua" w:hAnsi="Book Antiqua"/>
          <w:color w:val="auto"/>
        </w:rPr>
        <w:t>TNF</w:t>
      </w:r>
      <w:r w:rsidR="00920B07" w:rsidRPr="00561555">
        <w:rPr>
          <w:rFonts w:ascii="Book Antiqua" w:hAnsi="Book Antiqua"/>
          <w:color w:val="auto"/>
          <w:lang w:eastAsia="zh-CN"/>
        </w:rPr>
        <w:t>)</w:t>
      </w:r>
      <w:r w:rsidR="003E410E" w:rsidRPr="00561555">
        <w:rPr>
          <w:rFonts w:ascii="Book Antiqua" w:hAnsi="Book Antiqua"/>
          <w:color w:val="auto"/>
        </w:rPr>
        <w:t>, having the potential of inducting mucosal healing and prolonged clinical remission</w:t>
      </w:r>
      <w:r w:rsidR="00920B07" w:rsidRPr="00561555">
        <w:rPr>
          <w:rFonts w:ascii="Book Antiqua" w:hAnsi="Book Antiqua"/>
          <w:color w:val="auto"/>
          <w:lang w:eastAsia="zh-CN"/>
        </w:rPr>
        <w:t>;</w:t>
      </w:r>
      <w:r w:rsidR="003E410E" w:rsidRPr="00561555">
        <w:rPr>
          <w:rFonts w:ascii="Book Antiqua" w:hAnsi="Book Antiqua"/>
          <w:color w:val="auto"/>
        </w:rPr>
        <w:t xml:space="preserve"> </w:t>
      </w:r>
      <w:r w:rsidR="00920B07" w:rsidRPr="00561555">
        <w:rPr>
          <w:rFonts w:ascii="Book Antiqua" w:hAnsi="Book Antiqua"/>
          <w:color w:val="auto"/>
          <w:lang w:eastAsia="zh-CN"/>
        </w:rPr>
        <w:t>(</w:t>
      </w:r>
      <w:r w:rsidR="003E410E" w:rsidRPr="00561555">
        <w:rPr>
          <w:rFonts w:ascii="Book Antiqua" w:hAnsi="Book Antiqua"/>
          <w:color w:val="auto"/>
        </w:rPr>
        <w:t xml:space="preserve">2) </w:t>
      </w:r>
      <w:r w:rsidR="00663C14" w:rsidRPr="00561555">
        <w:rPr>
          <w:rFonts w:ascii="Book Antiqua" w:hAnsi="Book Antiqua"/>
          <w:color w:val="auto"/>
        </w:rPr>
        <w:t>M</w:t>
      </w:r>
      <w:r w:rsidR="003E410E" w:rsidRPr="00561555">
        <w:rPr>
          <w:rFonts w:ascii="Book Antiqua" w:hAnsi="Book Antiqua"/>
          <w:color w:val="auto"/>
        </w:rPr>
        <w:t>ucosal healing has been considered a therapeutic goal</w:t>
      </w:r>
      <w:r w:rsidR="00920B07" w:rsidRPr="00561555">
        <w:rPr>
          <w:rFonts w:ascii="Book Antiqua" w:hAnsi="Book Antiqua"/>
          <w:color w:val="auto"/>
          <w:lang w:eastAsia="zh-CN"/>
        </w:rPr>
        <w:t>;</w:t>
      </w:r>
      <w:r w:rsidR="003E410E" w:rsidRPr="00561555">
        <w:rPr>
          <w:rFonts w:ascii="Book Antiqua" w:hAnsi="Book Antiqua"/>
          <w:color w:val="auto"/>
        </w:rPr>
        <w:t xml:space="preserve"> </w:t>
      </w:r>
      <w:r w:rsidR="00920B07" w:rsidRPr="00561555">
        <w:rPr>
          <w:rFonts w:ascii="Book Antiqua" w:hAnsi="Book Antiqua"/>
          <w:color w:val="auto"/>
          <w:lang w:eastAsia="zh-CN"/>
        </w:rPr>
        <w:t>(</w:t>
      </w:r>
      <w:r w:rsidR="003E410E" w:rsidRPr="00561555">
        <w:rPr>
          <w:rFonts w:ascii="Book Antiqua" w:hAnsi="Book Antiqua"/>
          <w:color w:val="auto"/>
        </w:rPr>
        <w:t xml:space="preserve">3) </w:t>
      </w:r>
      <w:r w:rsidR="00663C14" w:rsidRPr="00561555">
        <w:rPr>
          <w:rFonts w:ascii="Book Antiqua" w:hAnsi="Book Antiqua"/>
          <w:color w:val="auto"/>
        </w:rPr>
        <w:t>E</w:t>
      </w:r>
      <w:r w:rsidR="003E410E" w:rsidRPr="00561555">
        <w:rPr>
          <w:rFonts w:ascii="Book Antiqua" w:hAnsi="Book Antiqua"/>
          <w:color w:val="auto"/>
        </w:rPr>
        <w:t xml:space="preserve">arly therapeutic interventions are followed by a better outcome. Therefore, it is imperative that therapeutic options are optimized. </w:t>
      </w:r>
    </w:p>
    <w:p w:rsidR="003E410E" w:rsidRPr="00561555" w:rsidRDefault="003E410E" w:rsidP="00561555">
      <w:pPr>
        <w:pStyle w:val="First-line-indent"/>
        <w:snapToGrid w:val="0"/>
        <w:spacing w:line="360" w:lineRule="auto"/>
        <w:rPr>
          <w:rFonts w:ascii="Book Antiqua" w:hAnsi="Book Antiqua"/>
          <w:color w:val="auto"/>
        </w:rPr>
      </w:pPr>
      <w:r w:rsidRPr="00561555">
        <w:rPr>
          <w:rFonts w:ascii="Book Antiqua" w:hAnsi="Book Antiqua"/>
          <w:color w:val="auto"/>
        </w:rPr>
        <w:t xml:space="preserve">The present systematic review and meta-analysis presented some of the factors that could help clinicians identify risk groups for disabling CD. Age, perianal disease, the use of steroids and localization were all associated with disabling disease. Although other markers can help clinicians to predict disease course of CD, namely genetic, serologic and endoscopic findings, we limited this meta-analysis to demographic and clinical characteristics due to feasibility to apply at diagnosis at the bedside. </w:t>
      </w:r>
    </w:p>
    <w:p w:rsidR="003E410E" w:rsidRPr="00561555" w:rsidRDefault="003E410E" w:rsidP="00561555">
      <w:pPr>
        <w:pStyle w:val="First-line-indent"/>
        <w:snapToGrid w:val="0"/>
        <w:spacing w:line="360" w:lineRule="auto"/>
        <w:rPr>
          <w:rFonts w:ascii="Book Antiqua" w:hAnsi="Book Antiqua"/>
          <w:color w:val="auto"/>
        </w:rPr>
      </w:pPr>
      <w:r w:rsidRPr="00561555">
        <w:rPr>
          <w:rFonts w:ascii="Book Antiqua" w:hAnsi="Book Antiqua"/>
          <w:color w:val="auto"/>
        </w:rPr>
        <w:t xml:space="preserve">Three studies address disabling disease and used similar definitions, although in Yang </w:t>
      </w:r>
      <w:r w:rsidRPr="00561555">
        <w:rPr>
          <w:rFonts w:ascii="Book Antiqua" w:hAnsi="Book Antiqua"/>
          <w:i/>
          <w:color w:val="auto"/>
        </w:rPr>
        <w:t>et al</w:t>
      </w:r>
      <w:r w:rsidR="00663C14" w:rsidRPr="00561555">
        <w:rPr>
          <w:rFonts w:ascii="Book Antiqua" w:hAnsi="Book Antiqua"/>
          <w:color w:val="auto"/>
          <w:vertAlign w:val="superscript"/>
          <w:lang w:eastAsia="zh-CN"/>
        </w:rPr>
        <w:t>[8]</w:t>
      </w:r>
      <w:r w:rsidRPr="00561555">
        <w:rPr>
          <w:rFonts w:ascii="Book Antiqua" w:hAnsi="Book Antiqua"/>
          <w:color w:val="auto"/>
        </w:rPr>
        <w:t xml:space="preserve"> the presence of chronic symptoms like diarrhea, fever, fatigue, was not considered. All studies were retrospective and the number of patients in each study ranged from 207 to 1</w:t>
      </w:r>
      <w:r w:rsidR="00F77E45" w:rsidRPr="00561555">
        <w:rPr>
          <w:rFonts w:ascii="Book Antiqua" w:hAnsi="Book Antiqua"/>
          <w:color w:val="auto"/>
          <w:lang w:eastAsia="zh-CN"/>
        </w:rPr>
        <w:t xml:space="preserve"> </w:t>
      </w:r>
      <w:r w:rsidRPr="00561555">
        <w:rPr>
          <w:rFonts w:ascii="Book Antiqua" w:hAnsi="Book Antiqua"/>
          <w:color w:val="auto"/>
        </w:rPr>
        <w:t>123</w:t>
      </w:r>
      <w:r w:rsidR="00F77E45" w:rsidRPr="00561555">
        <w:rPr>
          <w:rFonts w:ascii="Book Antiqua" w:hAnsi="Book Antiqua"/>
          <w:color w:val="auto"/>
          <w:vertAlign w:val="superscript"/>
          <w:lang w:eastAsia="zh-CN"/>
        </w:rPr>
        <w:t>[</w:t>
      </w:r>
      <w:r w:rsidRPr="00561555">
        <w:rPr>
          <w:rFonts w:ascii="Book Antiqua" w:hAnsi="Book Antiqua"/>
          <w:color w:val="auto"/>
          <w:vertAlign w:val="superscript"/>
        </w:rPr>
        <w:t>6,8</w:t>
      </w:r>
      <w:r w:rsidR="00F77E45" w:rsidRPr="00561555">
        <w:rPr>
          <w:rFonts w:ascii="Book Antiqua" w:hAnsi="Book Antiqua"/>
          <w:color w:val="auto"/>
          <w:vertAlign w:val="superscript"/>
          <w:lang w:eastAsia="zh-CN"/>
        </w:rPr>
        <w:t>]</w:t>
      </w:r>
      <w:r w:rsidRPr="00561555">
        <w:rPr>
          <w:rFonts w:ascii="Book Antiqua" w:hAnsi="Book Antiqua"/>
          <w:color w:val="auto"/>
        </w:rPr>
        <w:t>. It was clear that a large number of patients had disabling disease (range</w:t>
      </w:r>
      <w:r w:rsidR="004F4514" w:rsidRPr="00561555">
        <w:rPr>
          <w:rFonts w:ascii="Book Antiqua" w:hAnsi="Book Antiqua"/>
          <w:color w:val="auto"/>
          <w:lang w:eastAsia="zh-CN"/>
        </w:rPr>
        <w:t>,</w:t>
      </w:r>
      <w:r w:rsidRPr="00561555">
        <w:rPr>
          <w:rFonts w:ascii="Book Antiqua" w:hAnsi="Book Antiqua"/>
          <w:color w:val="auto"/>
        </w:rPr>
        <w:t xml:space="preserve"> 59%-81%), which gives an indication of the severity of the disease. Moreover, the study with the highest percentage of disabling disease included the least amount of defining characteristics</w:t>
      </w:r>
      <w:r w:rsidR="004F4514" w:rsidRPr="00561555">
        <w:rPr>
          <w:rFonts w:ascii="Book Antiqua" w:hAnsi="Book Antiqua"/>
          <w:color w:val="auto"/>
          <w:vertAlign w:val="superscript"/>
          <w:lang w:eastAsia="zh-CN"/>
        </w:rPr>
        <w:t>[</w:t>
      </w:r>
      <w:r w:rsidRPr="00561555">
        <w:rPr>
          <w:rFonts w:ascii="Book Antiqua" w:hAnsi="Book Antiqua"/>
          <w:color w:val="auto"/>
          <w:vertAlign w:val="superscript"/>
        </w:rPr>
        <w:t>8</w:t>
      </w:r>
      <w:r w:rsidR="004F4514" w:rsidRPr="00561555">
        <w:rPr>
          <w:rFonts w:ascii="Book Antiqua" w:hAnsi="Book Antiqua"/>
          <w:color w:val="auto"/>
          <w:vertAlign w:val="superscript"/>
          <w:lang w:eastAsia="zh-CN"/>
        </w:rPr>
        <w:t>]</w:t>
      </w:r>
      <w:r w:rsidRPr="00561555">
        <w:rPr>
          <w:rFonts w:ascii="Book Antiqua" w:hAnsi="Book Antiqua"/>
          <w:color w:val="auto"/>
        </w:rPr>
        <w:t xml:space="preserve">. Our meta-analysis showed that patients under 40 years old and patients with an initial requirement of steroids, </w:t>
      </w:r>
      <w:r w:rsidRPr="00561555">
        <w:rPr>
          <w:rFonts w:ascii="Book Antiqua" w:hAnsi="Book Antiqua"/>
          <w:color w:val="auto"/>
        </w:rPr>
        <w:lastRenderedPageBreak/>
        <w:t>or patients with perianal disease had a higher risk of having disabling disease five years following initial diagnosis. These results are in line with the three studies used in the meta-analysis</w:t>
      </w:r>
      <w:r w:rsidR="004F4514" w:rsidRPr="00561555">
        <w:rPr>
          <w:rFonts w:ascii="Book Antiqua" w:hAnsi="Book Antiqua"/>
          <w:color w:val="auto"/>
          <w:vertAlign w:val="superscript"/>
          <w:lang w:eastAsia="zh-CN"/>
        </w:rPr>
        <w:t>[</w:t>
      </w:r>
      <w:r w:rsidRPr="00561555">
        <w:rPr>
          <w:rFonts w:ascii="Book Antiqua" w:hAnsi="Book Antiqua"/>
          <w:color w:val="auto"/>
          <w:vertAlign w:val="superscript"/>
        </w:rPr>
        <w:t>6</w:t>
      </w:r>
      <w:r w:rsidR="004F4514" w:rsidRPr="00561555">
        <w:rPr>
          <w:rFonts w:ascii="Book Antiqua" w:hAnsi="Book Antiqua"/>
          <w:color w:val="auto"/>
          <w:vertAlign w:val="superscript"/>
          <w:lang w:eastAsia="zh-CN"/>
        </w:rPr>
        <w:t>-</w:t>
      </w:r>
      <w:r w:rsidRPr="00561555">
        <w:rPr>
          <w:rFonts w:ascii="Book Antiqua" w:hAnsi="Book Antiqua"/>
          <w:color w:val="auto"/>
          <w:vertAlign w:val="superscript"/>
        </w:rPr>
        <w:t>8</w:t>
      </w:r>
      <w:r w:rsidR="004F4514" w:rsidRPr="00561555">
        <w:rPr>
          <w:rFonts w:ascii="Book Antiqua" w:hAnsi="Book Antiqua"/>
          <w:color w:val="auto"/>
          <w:vertAlign w:val="superscript"/>
          <w:lang w:eastAsia="zh-CN"/>
        </w:rPr>
        <w:t>]</w:t>
      </w:r>
      <w:r w:rsidRPr="00561555">
        <w:rPr>
          <w:rFonts w:ascii="Book Antiqua" w:hAnsi="Book Antiqua"/>
          <w:color w:val="auto"/>
        </w:rPr>
        <w:t>.</w:t>
      </w:r>
      <w:r w:rsidRPr="00561555">
        <w:rPr>
          <w:rStyle w:val="textcolor9"/>
          <w:rFonts w:ascii="Book Antiqua" w:hAnsi="Book Antiqua"/>
          <w:color w:val="auto"/>
        </w:rPr>
        <w:t xml:space="preserve"> Although the definition of disabling disease in Yang </w:t>
      </w:r>
      <w:r w:rsidRPr="00561555">
        <w:rPr>
          <w:rStyle w:val="textcolor9"/>
          <w:rFonts w:ascii="Book Antiqua" w:hAnsi="Book Antiqua"/>
          <w:i/>
          <w:color w:val="auto"/>
        </w:rPr>
        <w:t>et al</w:t>
      </w:r>
      <w:r w:rsidR="004F4514" w:rsidRPr="00561555">
        <w:rPr>
          <w:rStyle w:val="textcolor9"/>
          <w:rFonts w:ascii="Book Antiqua" w:hAnsi="Book Antiqua"/>
          <w:color w:val="auto"/>
          <w:vertAlign w:val="superscript"/>
          <w:lang w:eastAsia="zh-CN"/>
        </w:rPr>
        <w:t>[</w:t>
      </w:r>
      <w:r w:rsidR="004F4514" w:rsidRPr="00561555">
        <w:rPr>
          <w:rStyle w:val="textcolor9"/>
          <w:rFonts w:ascii="Book Antiqua" w:hAnsi="Book Antiqua"/>
          <w:color w:val="auto"/>
          <w:vertAlign w:val="superscript"/>
        </w:rPr>
        <w:t>8</w:t>
      </w:r>
      <w:r w:rsidR="004F4514" w:rsidRPr="00561555">
        <w:rPr>
          <w:rStyle w:val="textcolor9"/>
          <w:rFonts w:ascii="Book Antiqua" w:hAnsi="Book Antiqua"/>
          <w:color w:val="auto"/>
          <w:vertAlign w:val="superscript"/>
          <w:lang w:eastAsia="zh-CN"/>
        </w:rPr>
        <w:t>]</w:t>
      </w:r>
      <w:r w:rsidRPr="00561555">
        <w:rPr>
          <w:rStyle w:val="textcolor9"/>
          <w:rFonts w:ascii="Book Antiqua" w:hAnsi="Book Antiqua"/>
          <w:color w:val="auto"/>
        </w:rPr>
        <w:t xml:space="preserve"> is slightly different, this study had a lower weight in the final result of the meta-analysis, hence limiting the possible bias. Even though the effect of age at diagnosis was clear in the meta-analysis; further studies are necessary to better assess relative CD risk, including an evaluation of more patients diagnosed after the age threshold. We call into question some of the recent </w:t>
      </w:r>
      <w:r w:rsidRPr="00561555">
        <w:rPr>
          <w:rFonts w:ascii="Book Antiqua" w:hAnsi="Book Antiqua"/>
          <w:color w:val="auto"/>
        </w:rPr>
        <w:t xml:space="preserve">points included in disability definition, namely steroids following the first flare, the need for immunosuppressants, and surgery. The percentage of patients treated with steroids in the first flare (65%) in </w:t>
      </w:r>
      <w:bookmarkStart w:id="85" w:name="OLE_LINK730"/>
      <w:bookmarkStart w:id="86" w:name="OLE_LINK731"/>
      <w:r w:rsidRPr="00561555">
        <w:rPr>
          <w:rFonts w:ascii="Book Antiqua" w:hAnsi="Book Antiqua"/>
          <w:color w:val="auto"/>
        </w:rPr>
        <w:t>Beaugerie</w:t>
      </w:r>
      <w:bookmarkEnd w:id="85"/>
      <w:bookmarkEnd w:id="86"/>
      <w:r w:rsidRPr="00561555">
        <w:rPr>
          <w:rFonts w:ascii="Book Antiqua" w:hAnsi="Book Antiqua"/>
          <w:color w:val="auto"/>
        </w:rPr>
        <w:t xml:space="preserve"> </w:t>
      </w:r>
      <w:r w:rsidRPr="00561555">
        <w:rPr>
          <w:rFonts w:ascii="Book Antiqua" w:hAnsi="Book Antiqua"/>
          <w:i/>
          <w:color w:val="auto"/>
        </w:rPr>
        <w:t>et al</w:t>
      </w:r>
      <w:bookmarkStart w:id="87" w:name="OLE_LINK732"/>
      <w:bookmarkStart w:id="88" w:name="OLE_LINK733"/>
      <w:r w:rsidR="005C618D" w:rsidRPr="00561555">
        <w:rPr>
          <w:rFonts w:ascii="Book Antiqua" w:hAnsi="Book Antiqua"/>
          <w:color w:val="auto"/>
          <w:vertAlign w:val="superscript"/>
          <w:lang w:eastAsia="zh-CN"/>
        </w:rPr>
        <w:t>[</w:t>
      </w:r>
      <w:r w:rsidR="005C618D" w:rsidRPr="00561555">
        <w:rPr>
          <w:rFonts w:ascii="Book Antiqua" w:hAnsi="Book Antiqua"/>
          <w:color w:val="auto"/>
          <w:vertAlign w:val="superscript"/>
        </w:rPr>
        <w:t>6</w:t>
      </w:r>
      <w:r w:rsidR="005C618D" w:rsidRPr="00561555">
        <w:rPr>
          <w:rFonts w:ascii="Book Antiqua" w:hAnsi="Book Antiqua"/>
          <w:color w:val="auto"/>
          <w:vertAlign w:val="superscript"/>
          <w:lang w:eastAsia="zh-CN"/>
        </w:rPr>
        <w:t>]</w:t>
      </w:r>
      <w:bookmarkEnd w:id="87"/>
      <w:bookmarkEnd w:id="88"/>
      <w:r w:rsidRPr="00561555">
        <w:rPr>
          <w:rFonts w:ascii="Book Antiqua" w:hAnsi="Book Antiqua"/>
          <w:color w:val="auto"/>
        </w:rPr>
        <w:t xml:space="preserve"> was very similar to the percentage of patients who received steroids within in the first year of disease in the North-European population-based study, however this only reflects the step-up strategy, and the population on immunosuppressants was very low</w:t>
      </w:r>
      <w:r w:rsidR="005C618D" w:rsidRPr="00561555">
        <w:rPr>
          <w:rFonts w:ascii="Book Antiqua" w:hAnsi="Book Antiqua"/>
          <w:color w:val="auto"/>
          <w:vertAlign w:val="superscript"/>
          <w:lang w:eastAsia="zh-CN"/>
        </w:rPr>
        <w:t>[</w:t>
      </w:r>
      <w:r w:rsidR="005C618D" w:rsidRPr="00561555">
        <w:rPr>
          <w:rFonts w:ascii="Book Antiqua" w:hAnsi="Book Antiqua"/>
          <w:color w:val="auto"/>
          <w:vertAlign w:val="superscript"/>
        </w:rPr>
        <w:t>9</w:t>
      </w:r>
      <w:r w:rsidR="005C618D" w:rsidRPr="00561555">
        <w:rPr>
          <w:rFonts w:ascii="Book Antiqua" w:hAnsi="Book Antiqua"/>
          <w:color w:val="auto"/>
          <w:vertAlign w:val="superscript"/>
          <w:lang w:eastAsia="zh-CN"/>
        </w:rPr>
        <w:t>]</w:t>
      </w:r>
      <w:r w:rsidRPr="00561555">
        <w:rPr>
          <w:rFonts w:ascii="Book Antiqua" w:hAnsi="Book Antiqua"/>
          <w:color w:val="auto"/>
        </w:rPr>
        <w:t xml:space="preserve">. Markowitz </w:t>
      </w:r>
      <w:r w:rsidRPr="00561555">
        <w:rPr>
          <w:rFonts w:ascii="Book Antiqua" w:hAnsi="Book Antiqua"/>
          <w:i/>
          <w:color w:val="auto"/>
        </w:rPr>
        <w:t>et al</w:t>
      </w:r>
      <w:r w:rsidR="005C618D" w:rsidRPr="00561555">
        <w:rPr>
          <w:rFonts w:ascii="Book Antiqua" w:hAnsi="Book Antiqua"/>
          <w:color w:val="auto"/>
          <w:vertAlign w:val="superscript"/>
          <w:lang w:eastAsia="zh-CN"/>
        </w:rPr>
        <w:t>[</w:t>
      </w:r>
      <w:r w:rsidR="005C618D" w:rsidRPr="00561555">
        <w:rPr>
          <w:rFonts w:ascii="Book Antiqua" w:hAnsi="Book Antiqua"/>
          <w:color w:val="auto"/>
          <w:vertAlign w:val="superscript"/>
        </w:rPr>
        <w:t>10</w:t>
      </w:r>
      <w:r w:rsidR="005C618D" w:rsidRPr="00561555">
        <w:rPr>
          <w:rFonts w:ascii="Book Antiqua" w:hAnsi="Book Antiqua"/>
          <w:color w:val="auto"/>
          <w:vertAlign w:val="superscript"/>
          <w:lang w:eastAsia="zh-CN"/>
        </w:rPr>
        <w:t>]</w:t>
      </w:r>
      <w:r w:rsidRPr="00561555">
        <w:rPr>
          <w:rFonts w:ascii="Book Antiqua" w:hAnsi="Book Antiqua"/>
          <w:color w:val="auto"/>
          <w:vertAlign w:val="superscript"/>
        </w:rPr>
        <w:t xml:space="preserve"> </w:t>
      </w:r>
      <w:r w:rsidRPr="00561555">
        <w:rPr>
          <w:rFonts w:ascii="Book Antiqua" w:hAnsi="Book Antiqua"/>
          <w:color w:val="auto"/>
        </w:rPr>
        <w:t>showed children requiring steroids for the treatment of the first flare-up that a very early use of 6-Mercaptopurine was associated with steroid sparing and a more favorable clinical outcome in the 18-mo period following diagnosis. Similar results were observed in those treated with anti-TNF in the first two years of disease</w:t>
      </w:r>
      <w:r w:rsidR="00B2559E" w:rsidRPr="00561555">
        <w:rPr>
          <w:rFonts w:ascii="Book Antiqua" w:hAnsi="Book Antiqua"/>
          <w:color w:val="auto"/>
          <w:vertAlign w:val="superscript"/>
          <w:lang w:eastAsia="zh-CN"/>
        </w:rPr>
        <w:t>[</w:t>
      </w:r>
      <w:r w:rsidRPr="00561555">
        <w:rPr>
          <w:rFonts w:ascii="Book Antiqua" w:hAnsi="Book Antiqua"/>
          <w:color w:val="auto"/>
          <w:vertAlign w:val="superscript"/>
        </w:rPr>
        <w:t>11</w:t>
      </w:r>
      <w:r w:rsidR="00B2559E" w:rsidRPr="00561555">
        <w:rPr>
          <w:rFonts w:ascii="Book Antiqua" w:hAnsi="Book Antiqua"/>
          <w:color w:val="auto"/>
          <w:vertAlign w:val="superscript"/>
          <w:lang w:eastAsia="zh-CN"/>
        </w:rPr>
        <w:t>]</w:t>
      </w:r>
      <w:r w:rsidRPr="00561555">
        <w:rPr>
          <w:rFonts w:ascii="Book Antiqua" w:hAnsi="Book Antiqua"/>
          <w:color w:val="auto"/>
        </w:rPr>
        <w:t xml:space="preserve">. Finally, the role of early surgery in limiting ileal disease with regard to CD prognosis is also debatable. In conclusion, the risk factors analyzed in this meta-analysis should be considered when new scores or approaches are taken concerning risk factors in CD outcome, particularly when more early therapeutic approaches are imminent. </w:t>
      </w:r>
    </w:p>
    <w:p w:rsidR="003E410E" w:rsidRPr="00561555" w:rsidRDefault="003E410E" w:rsidP="00561555">
      <w:pPr>
        <w:pStyle w:val="First-line-indent"/>
        <w:snapToGrid w:val="0"/>
        <w:spacing w:line="360" w:lineRule="auto"/>
        <w:rPr>
          <w:rFonts w:ascii="Book Antiqua" w:hAnsi="Book Antiqua"/>
          <w:color w:val="auto"/>
        </w:rPr>
      </w:pPr>
      <w:r w:rsidRPr="00561555">
        <w:rPr>
          <w:rStyle w:val="textcolor10"/>
          <w:rFonts w:ascii="Book Antiqua" w:hAnsi="Book Antiqua"/>
          <w:color w:val="auto"/>
        </w:rPr>
        <w:t xml:space="preserve">The QATSDD scale, developed by Sirriyet </w:t>
      </w:r>
      <w:r w:rsidRPr="00561555">
        <w:rPr>
          <w:rStyle w:val="textcolor10"/>
          <w:rFonts w:ascii="Book Antiqua" w:hAnsi="Book Antiqua"/>
          <w:i/>
          <w:color w:val="auto"/>
        </w:rPr>
        <w:t>et al</w:t>
      </w:r>
      <w:r w:rsidR="00B2559E" w:rsidRPr="00561555">
        <w:rPr>
          <w:rStyle w:val="textcolor10"/>
          <w:rFonts w:ascii="Book Antiqua" w:hAnsi="Book Antiqua"/>
          <w:color w:val="auto"/>
          <w:vertAlign w:val="superscript"/>
          <w:lang w:eastAsia="zh-CN"/>
        </w:rPr>
        <w:t>[</w:t>
      </w:r>
      <w:r w:rsidR="00B2559E" w:rsidRPr="00561555">
        <w:rPr>
          <w:rStyle w:val="textcolor10"/>
          <w:rFonts w:ascii="Book Antiqua" w:hAnsi="Book Antiqua"/>
          <w:color w:val="auto"/>
          <w:vertAlign w:val="superscript"/>
        </w:rPr>
        <w:t>5</w:t>
      </w:r>
      <w:r w:rsidR="00B2559E" w:rsidRPr="00561555">
        <w:rPr>
          <w:rStyle w:val="textcolor10"/>
          <w:rFonts w:ascii="Book Antiqua" w:hAnsi="Book Antiqua"/>
          <w:color w:val="auto"/>
          <w:vertAlign w:val="superscript"/>
          <w:lang w:eastAsia="zh-CN"/>
        </w:rPr>
        <w:t>]</w:t>
      </w:r>
      <w:r w:rsidRPr="00561555">
        <w:rPr>
          <w:rStyle w:val="textcolor10"/>
          <w:rFonts w:ascii="Book Antiqua" w:hAnsi="Book Antiqua"/>
          <w:color w:val="auto"/>
        </w:rPr>
        <w:t>, allows the comparison of the quality of the included papers even when their designs are different. The included papers consistently presented low quality scores, especially considering the representativeness of the sample and the absence of a critical discussion of strengths and limitations.</w:t>
      </w:r>
      <w:r w:rsidRPr="00561555">
        <w:rPr>
          <w:rFonts w:ascii="Book Antiqua" w:hAnsi="Book Antiqua"/>
          <w:color w:val="auto"/>
        </w:rPr>
        <w:t xml:space="preserve"> </w:t>
      </w:r>
    </w:p>
    <w:p w:rsidR="003E410E" w:rsidRPr="00561555" w:rsidRDefault="003E410E" w:rsidP="00561555">
      <w:pPr>
        <w:pStyle w:val="First-line-indent"/>
        <w:snapToGrid w:val="0"/>
        <w:spacing w:line="360" w:lineRule="auto"/>
        <w:rPr>
          <w:rFonts w:ascii="Book Antiqua" w:hAnsi="Book Antiqua"/>
          <w:color w:val="auto"/>
        </w:rPr>
      </w:pPr>
      <w:bookmarkStart w:id="89" w:name="OLE_LINK851"/>
      <w:r w:rsidRPr="00561555">
        <w:rPr>
          <w:rFonts w:ascii="Book Antiqua" w:hAnsi="Book Antiqua"/>
          <w:color w:val="auto"/>
        </w:rPr>
        <w:t>The results of this study may need further confirmation due to the small number of reviewed studies and their</w:t>
      </w:r>
      <w:r w:rsidRPr="00561555">
        <w:rPr>
          <w:rStyle w:val="sout"/>
          <w:rFonts w:ascii="Book Antiqua" w:hAnsi="Book Antiqua"/>
          <w:color w:val="auto"/>
        </w:rPr>
        <w:t xml:space="preserve"> </w:t>
      </w:r>
      <w:r w:rsidRPr="00561555">
        <w:rPr>
          <w:rFonts w:ascii="Book Antiqua" w:hAnsi="Book Antiqua"/>
          <w:color w:val="auto"/>
        </w:rPr>
        <w:t xml:space="preserve">low quality (maximum QATSDD score of 22 out of 42). Nevertheless, this work presents a step-forward in the definition of clinical predictors for disabling </w:t>
      </w:r>
      <w:r w:rsidR="006B78F2">
        <w:rPr>
          <w:rFonts w:ascii="Book Antiqua" w:hAnsi="Book Antiqua" w:hint="eastAsia"/>
          <w:color w:val="auto"/>
          <w:lang w:eastAsia="zh-CN"/>
        </w:rPr>
        <w:t>CD</w:t>
      </w:r>
      <w:r w:rsidRPr="00561555">
        <w:rPr>
          <w:rFonts w:ascii="Book Antiqua" w:hAnsi="Book Antiqua"/>
          <w:color w:val="auto"/>
        </w:rPr>
        <w:t xml:space="preserve">, exposing their relevance and impact in disease prognosis. </w:t>
      </w:r>
    </w:p>
    <w:bookmarkEnd w:id="89"/>
    <w:p w:rsidR="003E410E" w:rsidRPr="00561555" w:rsidRDefault="003E410E" w:rsidP="00561555">
      <w:pPr>
        <w:pStyle w:val="Text-body"/>
        <w:snapToGrid w:val="0"/>
        <w:spacing w:line="360" w:lineRule="auto"/>
        <w:ind w:firstLineChars="100" w:firstLine="240"/>
        <w:rPr>
          <w:rStyle w:val="textcolor15"/>
          <w:rFonts w:ascii="Book Antiqua" w:hAnsi="Book Antiqua"/>
          <w:color w:val="auto"/>
          <w:lang w:eastAsia="zh-CN"/>
        </w:rPr>
      </w:pPr>
      <w:r w:rsidRPr="00561555">
        <w:rPr>
          <w:rStyle w:val="textcolor11"/>
          <w:rFonts w:ascii="Book Antiqua" w:hAnsi="Book Antiqua"/>
          <w:color w:val="auto"/>
        </w:rPr>
        <w:t xml:space="preserve">In summary, </w:t>
      </w:r>
      <w:bookmarkStart w:id="90" w:name="OLE_LINK852"/>
      <w:bookmarkStart w:id="91" w:name="OLE_LINK854"/>
      <w:r w:rsidRPr="00561555">
        <w:rPr>
          <w:rStyle w:val="textcolor11"/>
          <w:rFonts w:ascii="Book Antiqua" w:hAnsi="Book Antiqua"/>
          <w:color w:val="auto"/>
        </w:rPr>
        <w:t xml:space="preserve">this review and meta-analysis showed that age, perianal disease and </w:t>
      </w:r>
      <w:r w:rsidRPr="00561555">
        <w:rPr>
          <w:rStyle w:val="textcolor11"/>
          <w:rFonts w:ascii="Book Antiqua" w:hAnsi="Book Antiqua"/>
          <w:color w:val="auto"/>
        </w:rPr>
        <w:lastRenderedPageBreak/>
        <w:t>the use of steroids are associated with disabling disease. The use of these factors in building predictive models for CD prognosis could enhance the initial clinical approach, and therefore improve the clinical outcome of patients with severe disease.</w:t>
      </w:r>
      <w:r w:rsidRPr="00561555">
        <w:rPr>
          <w:rFonts w:ascii="Book Antiqua" w:hAnsi="Book Antiqua"/>
          <w:color w:val="auto"/>
        </w:rPr>
        <w:t xml:space="preserve"> </w:t>
      </w:r>
      <w:r w:rsidRPr="00561555">
        <w:rPr>
          <w:rStyle w:val="textcolor13"/>
          <w:rFonts w:ascii="Book Antiqua" w:hAnsi="Book Antiqua"/>
          <w:color w:val="auto"/>
        </w:rPr>
        <w:t>However, more elaborate and precise definitions of disabling</w:t>
      </w:r>
      <w:r w:rsidRPr="00561555">
        <w:rPr>
          <w:rStyle w:val="textcolor14"/>
          <w:rFonts w:ascii="Book Antiqua" w:hAnsi="Book Antiqua"/>
          <w:color w:val="auto"/>
        </w:rPr>
        <w:t xml:space="preserve"> </w:t>
      </w:r>
      <w:r w:rsidRPr="00561555">
        <w:rPr>
          <w:rStyle w:val="textcolor15"/>
          <w:rFonts w:ascii="Book Antiqua" w:hAnsi="Book Antiqua"/>
          <w:color w:val="auto"/>
        </w:rPr>
        <w:t xml:space="preserve">and severe disease are needed. </w:t>
      </w:r>
    </w:p>
    <w:bookmarkEnd w:id="90"/>
    <w:bookmarkEnd w:id="91"/>
    <w:p w:rsidR="00B5051F" w:rsidRPr="00561555" w:rsidRDefault="00B5051F" w:rsidP="00561555">
      <w:pPr>
        <w:pStyle w:val="First-line-indent"/>
        <w:snapToGrid w:val="0"/>
        <w:spacing w:line="360" w:lineRule="auto"/>
        <w:rPr>
          <w:rFonts w:ascii="Book Antiqua" w:hAnsi="Book Antiqua"/>
          <w:lang w:eastAsia="zh-CN"/>
        </w:rPr>
      </w:pPr>
    </w:p>
    <w:p w:rsidR="00B5051F" w:rsidRPr="00561555" w:rsidRDefault="00B5051F" w:rsidP="00561555">
      <w:pPr>
        <w:pStyle w:val="First-line-indent"/>
        <w:snapToGrid w:val="0"/>
        <w:spacing w:line="360" w:lineRule="auto"/>
        <w:ind w:firstLine="0"/>
        <w:rPr>
          <w:rStyle w:val="textcolor13"/>
          <w:rFonts w:ascii="Book Antiqua" w:hAnsi="Book Antiqua"/>
          <w:b/>
          <w:color w:val="auto"/>
          <w:lang w:eastAsia="zh-CN"/>
        </w:rPr>
      </w:pPr>
      <w:r w:rsidRPr="00561555">
        <w:rPr>
          <w:rStyle w:val="textcolor13"/>
          <w:rFonts w:ascii="Book Antiqua" w:hAnsi="Book Antiqua"/>
          <w:b/>
          <w:color w:val="auto"/>
        </w:rPr>
        <w:t>COMMENTS</w:t>
      </w:r>
    </w:p>
    <w:p w:rsidR="00B5051F" w:rsidRPr="00561555" w:rsidRDefault="00B5051F" w:rsidP="00561555">
      <w:pPr>
        <w:snapToGrid w:val="0"/>
        <w:spacing w:line="360" w:lineRule="auto"/>
        <w:jc w:val="both"/>
        <w:rPr>
          <w:rFonts w:ascii="Book Antiqua" w:hAnsi="Book Antiqua"/>
          <w:b/>
          <w:bCs/>
          <w:i/>
          <w:lang w:eastAsia="zh-CN"/>
        </w:rPr>
      </w:pPr>
      <w:bookmarkStart w:id="92" w:name="OLE_LINK614"/>
      <w:bookmarkStart w:id="93" w:name="OLE_LINK615"/>
      <w:r w:rsidRPr="00561555">
        <w:rPr>
          <w:rFonts w:ascii="Book Antiqua" w:hAnsi="Book Antiqua"/>
          <w:b/>
          <w:bCs/>
          <w:i/>
        </w:rPr>
        <w:t>Background</w:t>
      </w:r>
    </w:p>
    <w:p w:rsidR="00B5051F" w:rsidRPr="00561555" w:rsidRDefault="00B5051F" w:rsidP="00561555">
      <w:pPr>
        <w:snapToGrid w:val="0"/>
        <w:spacing w:line="360" w:lineRule="auto"/>
        <w:jc w:val="both"/>
        <w:rPr>
          <w:rFonts w:ascii="Book Antiqua" w:hAnsi="Book Antiqua"/>
          <w:color w:val="auto"/>
          <w:lang w:eastAsia="zh-CN"/>
        </w:rPr>
      </w:pPr>
      <w:r w:rsidRPr="00561555">
        <w:rPr>
          <w:rFonts w:ascii="Book Antiqua" w:hAnsi="Book Antiqua"/>
          <w:color w:val="auto"/>
        </w:rPr>
        <w:t>Crohn’s disease (CD) occurs in equal proportion in both genders and its incidence has been growing worldwide in the last decades. CD is a disabling disease affecting psychological, familial, and social dimensions of life</w:t>
      </w:r>
      <w:r w:rsidRPr="00561555">
        <w:rPr>
          <w:rStyle w:val="textcolor7"/>
          <w:rFonts w:ascii="Book Antiqua" w:hAnsi="Book Antiqua"/>
          <w:color w:val="auto"/>
        </w:rPr>
        <w:t>.</w:t>
      </w:r>
      <w:r w:rsidRPr="00561555">
        <w:rPr>
          <w:rFonts w:ascii="Book Antiqua" w:hAnsi="Book Antiqua"/>
          <w:color w:val="auto"/>
        </w:rPr>
        <w:t xml:space="preserve"> Therefore, the need to develop a specific instrument able to evaluate disabilities and identify specific factors as predictors is paramount.</w:t>
      </w:r>
    </w:p>
    <w:p w:rsidR="00B5051F" w:rsidRPr="00561555" w:rsidRDefault="00B5051F" w:rsidP="00561555">
      <w:pPr>
        <w:snapToGrid w:val="0"/>
        <w:spacing w:line="360" w:lineRule="auto"/>
        <w:jc w:val="both"/>
        <w:rPr>
          <w:rFonts w:ascii="Book Antiqua" w:hAnsi="Book Antiqua"/>
          <w:b/>
          <w:bCs/>
          <w:i/>
          <w:lang w:eastAsia="zh-CN"/>
        </w:rPr>
      </w:pPr>
    </w:p>
    <w:bookmarkEnd w:id="92"/>
    <w:bookmarkEnd w:id="93"/>
    <w:p w:rsidR="00B5051F" w:rsidRPr="00561555" w:rsidRDefault="00B5051F" w:rsidP="00561555">
      <w:pPr>
        <w:snapToGrid w:val="0"/>
        <w:spacing w:line="360" w:lineRule="auto"/>
        <w:jc w:val="both"/>
        <w:rPr>
          <w:rFonts w:ascii="Book Antiqua" w:hAnsi="Book Antiqua"/>
          <w:b/>
          <w:bCs/>
          <w:i/>
          <w:lang w:eastAsia="zh-CN"/>
        </w:rPr>
      </w:pPr>
      <w:r w:rsidRPr="00561555">
        <w:rPr>
          <w:rFonts w:ascii="Book Antiqua" w:hAnsi="Book Antiqua"/>
          <w:b/>
          <w:bCs/>
          <w:i/>
        </w:rPr>
        <w:t>Research frontiers</w:t>
      </w:r>
    </w:p>
    <w:p w:rsidR="001A74EA" w:rsidRPr="00561555" w:rsidRDefault="001A74EA" w:rsidP="00561555">
      <w:pPr>
        <w:snapToGrid w:val="0"/>
        <w:spacing w:line="360" w:lineRule="auto"/>
        <w:jc w:val="both"/>
        <w:rPr>
          <w:rFonts w:ascii="Book Antiqua" w:hAnsi="Book Antiqua"/>
          <w:color w:val="auto"/>
          <w:lang w:eastAsia="zh-CN"/>
        </w:rPr>
      </w:pPr>
      <w:r w:rsidRPr="00561555">
        <w:rPr>
          <w:rFonts w:ascii="Book Antiqua" w:hAnsi="Book Antiqua"/>
          <w:color w:val="auto"/>
        </w:rPr>
        <w:t>The top-down strategy is based on the very early use of intensive therapy (immunosuppressants and/or biologics) to maintain a good quality of life from the first flare-up of the disease and prevent any irreversible consequences. Therefore, it is now crucial to identify simple clinical criteria at diagnosis to predict CD outcome.</w:t>
      </w:r>
    </w:p>
    <w:p w:rsidR="001A74EA" w:rsidRPr="00561555" w:rsidRDefault="001A74EA" w:rsidP="00561555">
      <w:pPr>
        <w:snapToGrid w:val="0"/>
        <w:spacing w:line="360" w:lineRule="auto"/>
        <w:jc w:val="both"/>
        <w:rPr>
          <w:rFonts w:ascii="Book Antiqua" w:hAnsi="Book Antiqua"/>
          <w:b/>
          <w:bCs/>
          <w:i/>
          <w:lang w:eastAsia="zh-CN"/>
        </w:rPr>
      </w:pPr>
    </w:p>
    <w:p w:rsidR="00B5051F" w:rsidRPr="00561555" w:rsidRDefault="00B5051F" w:rsidP="00561555">
      <w:pPr>
        <w:snapToGrid w:val="0"/>
        <w:spacing w:line="360" w:lineRule="auto"/>
        <w:jc w:val="both"/>
        <w:rPr>
          <w:rFonts w:ascii="Book Antiqua" w:hAnsi="Book Antiqua"/>
          <w:b/>
          <w:bCs/>
          <w:i/>
          <w:lang w:eastAsia="zh-CN"/>
        </w:rPr>
      </w:pPr>
      <w:r w:rsidRPr="00561555">
        <w:rPr>
          <w:rFonts w:ascii="Book Antiqua" w:hAnsi="Book Antiqua"/>
          <w:b/>
          <w:bCs/>
          <w:i/>
        </w:rPr>
        <w:t>Innovations and breakthroughs</w:t>
      </w:r>
    </w:p>
    <w:p w:rsidR="001A74EA" w:rsidRPr="00561555" w:rsidRDefault="001A74EA" w:rsidP="00561555">
      <w:pPr>
        <w:pStyle w:val="Text-body"/>
        <w:snapToGrid w:val="0"/>
        <w:spacing w:line="360" w:lineRule="auto"/>
        <w:rPr>
          <w:rFonts w:ascii="Book Antiqua" w:hAnsi="Book Antiqua"/>
          <w:color w:val="auto"/>
        </w:rPr>
      </w:pPr>
      <w:r w:rsidRPr="00561555">
        <w:rPr>
          <w:rFonts w:ascii="Book Antiqua" w:hAnsi="Book Antiqua"/>
          <w:color w:val="auto"/>
        </w:rPr>
        <w:t xml:space="preserve">This work aims to systematically review the evidence with respect to predictive clinical prognostic factors for CD. </w:t>
      </w:r>
    </w:p>
    <w:p w:rsidR="001A74EA" w:rsidRPr="00561555" w:rsidRDefault="001A74EA" w:rsidP="00561555">
      <w:pPr>
        <w:snapToGrid w:val="0"/>
        <w:spacing w:line="360" w:lineRule="auto"/>
        <w:jc w:val="both"/>
        <w:rPr>
          <w:rFonts w:ascii="Book Antiqua" w:hAnsi="Book Antiqua"/>
          <w:i/>
          <w:lang w:eastAsia="zh-CN"/>
        </w:rPr>
      </w:pPr>
    </w:p>
    <w:p w:rsidR="00B5051F" w:rsidRPr="00561555" w:rsidRDefault="00B5051F" w:rsidP="00561555">
      <w:pPr>
        <w:snapToGrid w:val="0"/>
        <w:spacing w:line="360" w:lineRule="auto"/>
        <w:jc w:val="both"/>
        <w:rPr>
          <w:rFonts w:ascii="Book Antiqua" w:hAnsi="Book Antiqua"/>
          <w:b/>
          <w:bCs/>
          <w:i/>
        </w:rPr>
      </w:pPr>
      <w:r w:rsidRPr="00561555">
        <w:rPr>
          <w:rFonts w:ascii="Book Antiqua" w:hAnsi="Book Antiqua"/>
          <w:b/>
          <w:bCs/>
          <w:i/>
        </w:rPr>
        <w:t xml:space="preserve">Applications </w:t>
      </w:r>
    </w:p>
    <w:p w:rsidR="001A74EA" w:rsidRPr="00561555" w:rsidRDefault="00561555" w:rsidP="00561555">
      <w:pPr>
        <w:pStyle w:val="Text-body"/>
        <w:snapToGrid w:val="0"/>
        <w:spacing w:line="360" w:lineRule="auto"/>
        <w:rPr>
          <w:rStyle w:val="textcolor15"/>
          <w:rFonts w:ascii="Book Antiqua" w:hAnsi="Book Antiqua"/>
          <w:color w:val="auto"/>
          <w:lang w:eastAsia="zh-CN"/>
        </w:rPr>
      </w:pPr>
      <w:r>
        <w:rPr>
          <w:rStyle w:val="textcolor11"/>
          <w:rFonts w:ascii="Book Antiqua" w:hAnsi="Book Antiqua" w:hint="eastAsia"/>
          <w:color w:val="auto"/>
          <w:lang w:eastAsia="zh-CN"/>
        </w:rPr>
        <w:t>T</w:t>
      </w:r>
      <w:r w:rsidR="001A74EA" w:rsidRPr="00561555">
        <w:rPr>
          <w:rStyle w:val="textcolor11"/>
          <w:rFonts w:ascii="Book Antiqua" w:hAnsi="Book Antiqua"/>
          <w:color w:val="auto"/>
        </w:rPr>
        <w:t>his review and meta-analysis showed that age, perianal disease and the use of steroids are associated with disabling disease. The use of these factors in building predictive models for CD prognosis could enhance the initial clinical approach, and therefore improve the clinical outcome of patients with severe disease.</w:t>
      </w:r>
      <w:r w:rsidR="001A74EA" w:rsidRPr="00561555">
        <w:rPr>
          <w:rFonts w:ascii="Book Antiqua" w:hAnsi="Book Antiqua"/>
          <w:color w:val="auto"/>
        </w:rPr>
        <w:t xml:space="preserve"> </w:t>
      </w:r>
      <w:r w:rsidR="001A74EA" w:rsidRPr="00561555">
        <w:rPr>
          <w:rStyle w:val="textcolor13"/>
          <w:rFonts w:ascii="Book Antiqua" w:hAnsi="Book Antiqua"/>
          <w:color w:val="auto"/>
        </w:rPr>
        <w:t>However, more elaborate and precise definitions of disabling</w:t>
      </w:r>
      <w:r w:rsidR="001A74EA" w:rsidRPr="00561555">
        <w:rPr>
          <w:rStyle w:val="textcolor14"/>
          <w:rFonts w:ascii="Book Antiqua" w:hAnsi="Book Antiqua"/>
          <w:color w:val="auto"/>
        </w:rPr>
        <w:t xml:space="preserve"> </w:t>
      </w:r>
      <w:r w:rsidR="001A74EA" w:rsidRPr="00561555">
        <w:rPr>
          <w:rStyle w:val="textcolor15"/>
          <w:rFonts w:ascii="Book Antiqua" w:hAnsi="Book Antiqua"/>
          <w:color w:val="auto"/>
        </w:rPr>
        <w:t xml:space="preserve">and severe disease are needed. </w:t>
      </w:r>
    </w:p>
    <w:p w:rsidR="001A74EA" w:rsidRPr="00561555" w:rsidRDefault="001A74EA" w:rsidP="00561555">
      <w:pPr>
        <w:snapToGrid w:val="0"/>
        <w:spacing w:line="360" w:lineRule="auto"/>
        <w:jc w:val="both"/>
        <w:rPr>
          <w:rFonts w:ascii="Book Antiqua" w:hAnsi="Book Antiqua"/>
          <w:b/>
          <w:bCs/>
          <w:i/>
          <w:lang w:eastAsia="zh-CN"/>
        </w:rPr>
      </w:pPr>
    </w:p>
    <w:p w:rsidR="00B5051F" w:rsidRPr="00561555" w:rsidRDefault="00B5051F" w:rsidP="00561555">
      <w:pPr>
        <w:snapToGrid w:val="0"/>
        <w:spacing w:line="360" w:lineRule="auto"/>
        <w:jc w:val="both"/>
        <w:rPr>
          <w:rFonts w:ascii="Book Antiqua" w:hAnsi="Book Antiqua"/>
          <w:b/>
          <w:bCs/>
          <w:i/>
        </w:rPr>
      </w:pPr>
      <w:r w:rsidRPr="00561555">
        <w:rPr>
          <w:rFonts w:ascii="Book Antiqua" w:hAnsi="Book Antiqua"/>
          <w:b/>
          <w:bCs/>
          <w:i/>
        </w:rPr>
        <w:t>Peer review</w:t>
      </w:r>
    </w:p>
    <w:p w:rsidR="00561555" w:rsidRPr="00561555" w:rsidRDefault="00561555" w:rsidP="00561555">
      <w:pPr>
        <w:snapToGrid w:val="0"/>
        <w:spacing w:line="360" w:lineRule="auto"/>
        <w:jc w:val="both"/>
        <w:rPr>
          <w:rFonts w:ascii="Book Antiqua" w:hAnsi="Book Antiqua"/>
          <w:bCs/>
        </w:rPr>
      </w:pPr>
      <w:r w:rsidRPr="00561555">
        <w:rPr>
          <w:rFonts w:ascii="Book Antiqua" w:hAnsi="Book Antiqua"/>
          <w:bCs/>
        </w:rPr>
        <w:t xml:space="preserve">It is one of the first work searching </w:t>
      </w:r>
      <w:r>
        <w:rPr>
          <w:rFonts w:ascii="Book Antiqua" w:hAnsi="Book Antiqua"/>
          <w:bCs/>
        </w:rPr>
        <w:t>the role of C</w:t>
      </w:r>
      <w:r>
        <w:rPr>
          <w:rFonts w:ascii="Book Antiqua" w:hAnsi="Book Antiqua" w:hint="eastAsia"/>
          <w:bCs/>
          <w:lang w:eastAsia="zh-CN"/>
        </w:rPr>
        <w:t>D</w:t>
      </w:r>
      <w:r w:rsidRPr="00561555">
        <w:rPr>
          <w:rFonts w:ascii="Book Antiqua" w:hAnsi="Book Antiqua"/>
          <w:bCs/>
        </w:rPr>
        <w:t xml:space="preserve"> in disability of the patient. The </w:t>
      </w:r>
      <w:r w:rsidRPr="00561555">
        <w:rPr>
          <w:rFonts w:ascii="Book Antiqua" w:hAnsi="Book Antiqua"/>
          <w:bCs/>
        </w:rPr>
        <w:lastRenderedPageBreak/>
        <w:t>authors performed an extensive review of multiple manuscript related with the topic</w:t>
      </w:r>
      <w:r>
        <w:rPr>
          <w:rFonts w:ascii="Book Antiqua" w:hAnsi="Book Antiqua" w:hint="eastAsia"/>
          <w:bCs/>
          <w:lang w:eastAsia="zh-CN"/>
        </w:rPr>
        <w:t>.</w:t>
      </w:r>
      <w:r w:rsidRPr="00561555">
        <w:rPr>
          <w:rFonts w:ascii="Book Antiqua" w:hAnsi="Book Antiqua"/>
          <w:bCs/>
        </w:rPr>
        <w:t xml:space="preserve"> The manuscript is very well prepared and written and can be accepted for publication.</w:t>
      </w:r>
    </w:p>
    <w:p w:rsidR="00AB455D" w:rsidRPr="00561555" w:rsidRDefault="00AB455D" w:rsidP="00561555">
      <w:pPr>
        <w:pStyle w:val="Heading-2"/>
        <w:snapToGrid w:val="0"/>
        <w:spacing w:before="0" w:after="0" w:line="360" w:lineRule="auto"/>
        <w:jc w:val="both"/>
        <w:rPr>
          <w:rFonts w:ascii="Book Antiqua" w:eastAsiaTheme="minorEastAsia" w:hAnsi="Book Antiqua"/>
          <w:b/>
          <w:caps/>
          <w:color w:val="auto"/>
          <w:sz w:val="24"/>
          <w:szCs w:val="24"/>
          <w:lang w:eastAsia="zh-CN"/>
        </w:rPr>
      </w:pPr>
    </w:p>
    <w:p w:rsidR="003E410E" w:rsidRPr="00561555" w:rsidRDefault="003E410E" w:rsidP="00561555">
      <w:pPr>
        <w:pStyle w:val="Heading-2"/>
        <w:snapToGrid w:val="0"/>
        <w:spacing w:before="0" w:after="0" w:line="360" w:lineRule="auto"/>
        <w:jc w:val="both"/>
        <w:rPr>
          <w:rFonts w:ascii="Book Antiqua" w:hAnsi="Book Antiqua"/>
          <w:b/>
          <w:caps/>
          <w:color w:val="auto"/>
          <w:sz w:val="24"/>
          <w:szCs w:val="24"/>
        </w:rPr>
      </w:pPr>
      <w:r w:rsidRPr="00561555">
        <w:rPr>
          <w:rFonts w:ascii="Book Antiqua" w:hAnsi="Book Antiqua"/>
          <w:b/>
          <w:caps/>
          <w:color w:val="auto"/>
          <w:sz w:val="24"/>
          <w:szCs w:val="24"/>
        </w:rPr>
        <w:t>References</w:t>
      </w:r>
    </w:p>
    <w:p w:rsidR="0016213F" w:rsidRPr="00561555" w:rsidRDefault="0016213F" w:rsidP="00561555">
      <w:pPr>
        <w:widowControl/>
        <w:suppressAutoHyphens w:val="0"/>
        <w:snapToGrid w:val="0"/>
        <w:spacing w:line="360" w:lineRule="auto"/>
        <w:jc w:val="both"/>
        <w:rPr>
          <w:rFonts w:ascii="Book Antiqua" w:eastAsia="宋体" w:hAnsi="Book Antiqua" w:cs="宋体"/>
          <w:color w:val="auto"/>
          <w:lang w:eastAsia="zh-CN" w:bidi="ar-SA"/>
        </w:rPr>
      </w:pPr>
      <w:r w:rsidRPr="00561555">
        <w:rPr>
          <w:rFonts w:ascii="Book Antiqua" w:eastAsia="宋体" w:hAnsi="Book Antiqua" w:cs="宋体"/>
          <w:color w:val="auto"/>
          <w:lang w:eastAsia="zh-CN" w:bidi="ar-SA"/>
        </w:rPr>
        <w:t xml:space="preserve">1 </w:t>
      </w:r>
      <w:r w:rsidRPr="00561555">
        <w:rPr>
          <w:rFonts w:ascii="Book Antiqua" w:eastAsia="宋体" w:hAnsi="Book Antiqua" w:cs="宋体"/>
          <w:b/>
          <w:bCs/>
          <w:color w:val="auto"/>
          <w:lang w:eastAsia="zh-CN" w:bidi="ar-SA"/>
        </w:rPr>
        <w:t>Peyrin-Biroulet L</w:t>
      </w:r>
      <w:r w:rsidRPr="00561555">
        <w:rPr>
          <w:rFonts w:ascii="Book Antiqua" w:eastAsia="宋体" w:hAnsi="Book Antiqua" w:cs="宋体"/>
          <w:color w:val="auto"/>
          <w:lang w:eastAsia="zh-CN" w:bidi="ar-SA"/>
        </w:rPr>
        <w:t xml:space="preserve">, Loftus EV, Colombel JF, Sandborn WJ. The natural history of adult Crohn's disease in population-based cohorts. </w:t>
      </w:r>
      <w:r w:rsidRPr="00561555">
        <w:rPr>
          <w:rFonts w:ascii="Book Antiqua" w:eastAsia="宋体" w:hAnsi="Book Antiqua" w:cs="宋体"/>
          <w:i/>
          <w:iCs/>
          <w:color w:val="auto"/>
          <w:lang w:eastAsia="zh-CN" w:bidi="ar-SA"/>
        </w:rPr>
        <w:t>Am J Gastroenterol</w:t>
      </w:r>
      <w:r w:rsidRPr="00561555">
        <w:rPr>
          <w:rFonts w:ascii="Book Antiqua" w:eastAsia="宋体" w:hAnsi="Book Antiqua" w:cs="宋体"/>
          <w:color w:val="auto"/>
          <w:lang w:eastAsia="zh-CN" w:bidi="ar-SA"/>
        </w:rPr>
        <w:t xml:space="preserve"> 2010; </w:t>
      </w:r>
      <w:r w:rsidRPr="00561555">
        <w:rPr>
          <w:rFonts w:ascii="Book Antiqua" w:eastAsia="宋体" w:hAnsi="Book Antiqua" w:cs="宋体"/>
          <w:b/>
          <w:bCs/>
          <w:color w:val="auto"/>
          <w:lang w:eastAsia="zh-CN" w:bidi="ar-SA"/>
        </w:rPr>
        <w:t>105</w:t>
      </w:r>
      <w:r w:rsidRPr="00561555">
        <w:rPr>
          <w:rFonts w:ascii="Book Antiqua" w:eastAsia="宋体" w:hAnsi="Book Antiqua" w:cs="宋体"/>
          <w:color w:val="auto"/>
          <w:lang w:eastAsia="zh-CN" w:bidi="ar-SA"/>
        </w:rPr>
        <w:t>: 289-297 [PMID: 19861953 DOI: 10.1038/ajg.2009.579]</w:t>
      </w:r>
    </w:p>
    <w:p w:rsidR="0016213F" w:rsidRPr="00561555" w:rsidRDefault="0016213F" w:rsidP="00561555">
      <w:pPr>
        <w:widowControl/>
        <w:suppressAutoHyphens w:val="0"/>
        <w:snapToGrid w:val="0"/>
        <w:spacing w:line="360" w:lineRule="auto"/>
        <w:jc w:val="both"/>
        <w:rPr>
          <w:rFonts w:ascii="Book Antiqua" w:eastAsia="宋体" w:hAnsi="Book Antiqua" w:cs="宋体"/>
          <w:color w:val="auto"/>
          <w:lang w:eastAsia="zh-CN" w:bidi="ar-SA"/>
        </w:rPr>
      </w:pPr>
      <w:r w:rsidRPr="00561555">
        <w:rPr>
          <w:rFonts w:ascii="Book Antiqua" w:eastAsia="宋体" w:hAnsi="Book Antiqua" w:cs="宋体"/>
          <w:color w:val="auto"/>
          <w:lang w:eastAsia="zh-CN" w:bidi="ar-SA"/>
        </w:rPr>
        <w:t xml:space="preserve">2 </w:t>
      </w:r>
      <w:r w:rsidRPr="00561555">
        <w:rPr>
          <w:rFonts w:ascii="Book Antiqua" w:eastAsia="宋体" w:hAnsi="Book Antiqua" w:cs="宋体"/>
          <w:b/>
          <w:bCs/>
          <w:color w:val="auto"/>
          <w:lang w:eastAsia="zh-CN" w:bidi="ar-SA"/>
        </w:rPr>
        <w:t>Casellas F</w:t>
      </w:r>
      <w:r w:rsidRPr="00561555">
        <w:rPr>
          <w:rFonts w:ascii="Book Antiqua" w:eastAsia="宋体" w:hAnsi="Book Antiqua" w:cs="宋体"/>
          <w:color w:val="auto"/>
          <w:lang w:eastAsia="zh-CN" w:bidi="ar-SA"/>
        </w:rPr>
        <w:t xml:space="preserve">, López-Vivancos J, Vergara M, Malagelada J. Impact of inflammatory bowel disease on health-related quality of life. </w:t>
      </w:r>
      <w:r w:rsidRPr="00561555">
        <w:rPr>
          <w:rFonts w:ascii="Book Antiqua" w:eastAsia="宋体" w:hAnsi="Book Antiqua" w:cs="宋体"/>
          <w:i/>
          <w:iCs/>
          <w:color w:val="auto"/>
          <w:lang w:eastAsia="zh-CN" w:bidi="ar-SA"/>
        </w:rPr>
        <w:t>Dig Dis</w:t>
      </w:r>
      <w:r w:rsidRPr="00561555">
        <w:rPr>
          <w:rFonts w:ascii="Book Antiqua" w:eastAsia="宋体" w:hAnsi="Book Antiqua" w:cs="宋体"/>
          <w:color w:val="auto"/>
          <w:lang w:eastAsia="zh-CN" w:bidi="ar-SA"/>
        </w:rPr>
        <w:t xml:space="preserve"> 1999; </w:t>
      </w:r>
      <w:r w:rsidRPr="00561555">
        <w:rPr>
          <w:rFonts w:ascii="Book Antiqua" w:eastAsia="宋体" w:hAnsi="Book Antiqua" w:cs="宋体"/>
          <w:b/>
          <w:bCs/>
          <w:color w:val="auto"/>
          <w:lang w:eastAsia="zh-CN" w:bidi="ar-SA"/>
        </w:rPr>
        <w:t>17</w:t>
      </w:r>
      <w:r w:rsidRPr="00561555">
        <w:rPr>
          <w:rFonts w:ascii="Book Antiqua" w:eastAsia="宋体" w:hAnsi="Book Antiqua" w:cs="宋体"/>
          <w:color w:val="auto"/>
          <w:lang w:eastAsia="zh-CN" w:bidi="ar-SA"/>
        </w:rPr>
        <w:t>: 208-218 [PMID: 10754360 DOI: 10.1159/000016938]</w:t>
      </w:r>
    </w:p>
    <w:p w:rsidR="0016213F" w:rsidRPr="00561555" w:rsidRDefault="0016213F" w:rsidP="00561555">
      <w:pPr>
        <w:widowControl/>
        <w:suppressAutoHyphens w:val="0"/>
        <w:snapToGrid w:val="0"/>
        <w:spacing w:line="360" w:lineRule="auto"/>
        <w:jc w:val="both"/>
        <w:rPr>
          <w:rFonts w:ascii="Book Antiqua" w:eastAsia="宋体" w:hAnsi="Book Antiqua" w:cs="宋体"/>
          <w:color w:val="auto"/>
          <w:lang w:eastAsia="zh-CN" w:bidi="ar-SA"/>
        </w:rPr>
      </w:pPr>
      <w:r w:rsidRPr="00561555">
        <w:rPr>
          <w:rFonts w:ascii="Book Antiqua" w:eastAsia="宋体" w:hAnsi="Book Antiqua" w:cs="宋体"/>
          <w:color w:val="auto"/>
          <w:lang w:eastAsia="zh-CN" w:bidi="ar-SA"/>
        </w:rPr>
        <w:t xml:space="preserve">3 </w:t>
      </w:r>
      <w:r w:rsidRPr="00561555">
        <w:rPr>
          <w:rFonts w:ascii="Book Antiqua" w:eastAsia="宋体" w:hAnsi="Book Antiqua" w:cs="宋体"/>
          <w:b/>
          <w:bCs/>
          <w:color w:val="auto"/>
          <w:lang w:eastAsia="zh-CN" w:bidi="ar-SA"/>
        </w:rPr>
        <w:t>Devlin SM</w:t>
      </w:r>
      <w:r w:rsidRPr="00561555">
        <w:rPr>
          <w:rFonts w:ascii="Book Antiqua" w:eastAsia="宋体" w:hAnsi="Book Antiqua" w:cs="宋体"/>
          <w:color w:val="auto"/>
          <w:lang w:eastAsia="zh-CN" w:bidi="ar-SA"/>
        </w:rPr>
        <w:t xml:space="preserve">, Panaccione R. Evolving inflammatory bowel disease treatment paradigms: top-down versus step-up. </w:t>
      </w:r>
      <w:r w:rsidRPr="00561555">
        <w:rPr>
          <w:rFonts w:ascii="Book Antiqua" w:eastAsia="宋体" w:hAnsi="Book Antiqua" w:cs="宋体"/>
          <w:i/>
          <w:iCs/>
          <w:color w:val="auto"/>
          <w:lang w:eastAsia="zh-CN" w:bidi="ar-SA"/>
        </w:rPr>
        <w:t>Med Clin North Am</w:t>
      </w:r>
      <w:r w:rsidRPr="00561555">
        <w:rPr>
          <w:rFonts w:ascii="Book Antiqua" w:eastAsia="宋体" w:hAnsi="Book Antiqua" w:cs="宋体"/>
          <w:color w:val="auto"/>
          <w:lang w:eastAsia="zh-CN" w:bidi="ar-SA"/>
        </w:rPr>
        <w:t xml:space="preserve"> 2010; </w:t>
      </w:r>
      <w:r w:rsidRPr="00561555">
        <w:rPr>
          <w:rFonts w:ascii="Book Antiqua" w:eastAsia="宋体" w:hAnsi="Book Antiqua" w:cs="宋体"/>
          <w:b/>
          <w:bCs/>
          <w:color w:val="auto"/>
          <w:lang w:eastAsia="zh-CN" w:bidi="ar-SA"/>
        </w:rPr>
        <w:t>94</w:t>
      </w:r>
      <w:r w:rsidRPr="00561555">
        <w:rPr>
          <w:rFonts w:ascii="Book Antiqua" w:eastAsia="宋体" w:hAnsi="Book Antiqua" w:cs="宋体"/>
          <w:color w:val="auto"/>
          <w:lang w:eastAsia="zh-CN" w:bidi="ar-SA"/>
        </w:rPr>
        <w:t>: 1-18 [PMID: 19944795 DOI: 10.1016/j.mcna.2009.08.017]</w:t>
      </w:r>
    </w:p>
    <w:p w:rsidR="0016213F" w:rsidRPr="00561555" w:rsidRDefault="0016213F" w:rsidP="00561555">
      <w:pPr>
        <w:widowControl/>
        <w:suppressAutoHyphens w:val="0"/>
        <w:snapToGrid w:val="0"/>
        <w:spacing w:line="360" w:lineRule="auto"/>
        <w:jc w:val="both"/>
        <w:rPr>
          <w:rFonts w:ascii="Book Antiqua" w:eastAsia="宋体" w:hAnsi="Book Antiqua" w:cs="宋体"/>
          <w:color w:val="auto"/>
          <w:lang w:eastAsia="zh-CN" w:bidi="ar-SA"/>
        </w:rPr>
      </w:pPr>
      <w:r w:rsidRPr="00561555">
        <w:rPr>
          <w:rFonts w:ascii="Book Antiqua" w:eastAsia="宋体" w:hAnsi="Book Antiqua" w:cs="宋体"/>
          <w:color w:val="auto"/>
          <w:lang w:eastAsia="zh-CN" w:bidi="ar-SA"/>
        </w:rPr>
        <w:t xml:space="preserve">4 </w:t>
      </w:r>
      <w:bookmarkStart w:id="94" w:name="OLE_LINK1072"/>
      <w:bookmarkStart w:id="95" w:name="OLE_LINK1073"/>
      <w:r w:rsidRPr="00561555">
        <w:rPr>
          <w:rFonts w:ascii="Book Antiqua" w:eastAsia="宋体" w:hAnsi="Book Antiqua" w:cs="宋体"/>
          <w:b/>
          <w:bCs/>
          <w:color w:val="auto"/>
          <w:lang w:eastAsia="zh-CN" w:bidi="ar-SA"/>
        </w:rPr>
        <w:t>Higgins</w:t>
      </w:r>
      <w:bookmarkEnd w:id="94"/>
      <w:bookmarkEnd w:id="95"/>
      <w:r w:rsidRPr="00561555">
        <w:rPr>
          <w:rFonts w:ascii="Book Antiqua" w:eastAsia="宋体" w:hAnsi="Book Antiqua" w:cs="宋体"/>
          <w:b/>
          <w:bCs/>
          <w:color w:val="auto"/>
          <w:lang w:eastAsia="zh-CN" w:bidi="ar-SA"/>
        </w:rPr>
        <w:t xml:space="preserve"> JP</w:t>
      </w:r>
      <w:r w:rsidRPr="00561555">
        <w:rPr>
          <w:rFonts w:ascii="Book Antiqua" w:eastAsia="宋体" w:hAnsi="Book Antiqua" w:cs="宋体"/>
          <w:color w:val="auto"/>
          <w:lang w:eastAsia="zh-CN" w:bidi="ar-SA"/>
        </w:rPr>
        <w:t xml:space="preserve">, Thompson SG, Deeks JJ, Altman DG. Measuring inconsistency in meta-analyses. </w:t>
      </w:r>
      <w:r w:rsidRPr="00561555">
        <w:rPr>
          <w:rFonts w:ascii="Book Antiqua" w:eastAsia="宋体" w:hAnsi="Book Antiqua" w:cs="宋体"/>
          <w:i/>
          <w:iCs/>
          <w:color w:val="auto"/>
          <w:lang w:eastAsia="zh-CN" w:bidi="ar-SA"/>
        </w:rPr>
        <w:t>BMJ</w:t>
      </w:r>
      <w:r w:rsidRPr="00561555">
        <w:rPr>
          <w:rFonts w:ascii="Book Antiqua" w:eastAsia="宋体" w:hAnsi="Book Antiqua" w:cs="宋体"/>
          <w:color w:val="auto"/>
          <w:lang w:eastAsia="zh-CN" w:bidi="ar-SA"/>
        </w:rPr>
        <w:t xml:space="preserve"> 2003; </w:t>
      </w:r>
      <w:r w:rsidRPr="00561555">
        <w:rPr>
          <w:rFonts w:ascii="Book Antiqua" w:eastAsia="宋体" w:hAnsi="Book Antiqua" w:cs="宋体"/>
          <w:b/>
          <w:bCs/>
          <w:color w:val="auto"/>
          <w:lang w:eastAsia="zh-CN" w:bidi="ar-SA"/>
        </w:rPr>
        <w:t>327</w:t>
      </w:r>
      <w:r w:rsidRPr="00561555">
        <w:rPr>
          <w:rFonts w:ascii="Book Antiqua" w:eastAsia="宋体" w:hAnsi="Book Antiqua" w:cs="宋体"/>
          <w:color w:val="auto"/>
          <w:lang w:eastAsia="zh-CN" w:bidi="ar-SA"/>
        </w:rPr>
        <w:t>: 557-560 [PMID: 12958120]</w:t>
      </w:r>
    </w:p>
    <w:p w:rsidR="0016213F" w:rsidRPr="00561555" w:rsidRDefault="0016213F" w:rsidP="00561555">
      <w:pPr>
        <w:widowControl/>
        <w:suppressAutoHyphens w:val="0"/>
        <w:snapToGrid w:val="0"/>
        <w:spacing w:line="360" w:lineRule="auto"/>
        <w:jc w:val="both"/>
        <w:rPr>
          <w:rFonts w:ascii="Book Antiqua" w:eastAsia="宋体" w:hAnsi="Book Antiqua" w:cs="宋体"/>
          <w:color w:val="auto"/>
          <w:lang w:eastAsia="zh-CN" w:bidi="ar-SA"/>
        </w:rPr>
      </w:pPr>
      <w:r w:rsidRPr="00561555">
        <w:rPr>
          <w:rFonts w:ascii="Book Antiqua" w:eastAsia="宋体" w:hAnsi="Book Antiqua" w:cs="宋体"/>
          <w:color w:val="auto"/>
          <w:lang w:eastAsia="zh-CN" w:bidi="ar-SA"/>
        </w:rPr>
        <w:t xml:space="preserve">5 </w:t>
      </w:r>
      <w:r w:rsidRPr="00561555">
        <w:rPr>
          <w:rFonts w:ascii="Book Antiqua" w:eastAsia="宋体" w:hAnsi="Book Antiqua" w:cs="宋体"/>
          <w:b/>
          <w:bCs/>
          <w:color w:val="auto"/>
          <w:lang w:eastAsia="zh-CN" w:bidi="ar-SA"/>
        </w:rPr>
        <w:t>Sirriyeh R</w:t>
      </w:r>
      <w:r w:rsidRPr="00561555">
        <w:rPr>
          <w:rFonts w:ascii="Book Antiqua" w:eastAsia="宋体" w:hAnsi="Book Antiqua" w:cs="宋体"/>
          <w:color w:val="auto"/>
          <w:lang w:eastAsia="zh-CN" w:bidi="ar-SA"/>
        </w:rPr>
        <w:t xml:space="preserve">, Lawton R, Gardner P, Armitage G. Reviewing studies with diverse designs: the development and evaluation of a new tool. </w:t>
      </w:r>
      <w:r w:rsidRPr="00561555">
        <w:rPr>
          <w:rFonts w:ascii="Book Antiqua" w:eastAsia="宋体" w:hAnsi="Book Antiqua" w:cs="宋体"/>
          <w:i/>
          <w:iCs/>
          <w:color w:val="auto"/>
          <w:lang w:eastAsia="zh-CN" w:bidi="ar-SA"/>
        </w:rPr>
        <w:t>J Eval Clin Pract</w:t>
      </w:r>
      <w:r w:rsidRPr="00561555">
        <w:rPr>
          <w:rFonts w:ascii="Book Antiqua" w:eastAsia="宋体" w:hAnsi="Book Antiqua" w:cs="宋体"/>
          <w:color w:val="auto"/>
          <w:lang w:eastAsia="zh-CN" w:bidi="ar-SA"/>
        </w:rPr>
        <w:t xml:space="preserve"> 2012; </w:t>
      </w:r>
      <w:r w:rsidRPr="00561555">
        <w:rPr>
          <w:rFonts w:ascii="Book Antiqua" w:eastAsia="宋体" w:hAnsi="Book Antiqua" w:cs="宋体"/>
          <w:b/>
          <w:bCs/>
          <w:color w:val="auto"/>
          <w:lang w:eastAsia="zh-CN" w:bidi="ar-SA"/>
        </w:rPr>
        <w:t>18</w:t>
      </w:r>
      <w:r w:rsidRPr="00561555">
        <w:rPr>
          <w:rFonts w:ascii="Book Antiqua" w:eastAsia="宋体" w:hAnsi="Book Antiqua" w:cs="宋体"/>
          <w:color w:val="auto"/>
          <w:lang w:eastAsia="zh-CN" w:bidi="ar-SA"/>
        </w:rPr>
        <w:t>: 746-752 [PMID: 21410846]</w:t>
      </w:r>
    </w:p>
    <w:p w:rsidR="0016213F" w:rsidRPr="00561555" w:rsidRDefault="0016213F" w:rsidP="00561555">
      <w:pPr>
        <w:widowControl/>
        <w:suppressAutoHyphens w:val="0"/>
        <w:snapToGrid w:val="0"/>
        <w:spacing w:line="360" w:lineRule="auto"/>
        <w:jc w:val="both"/>
        <w:rPr>
          <w:rFonts w:ascii="Book Antiqua" w:eastAsia="宋体" w:hAnsi="Book Antiqua" w:cs="宋体"/>
          <w:color w:val="auto"/>
          <w:lang w:eastAsia="zh-CN" w:bidi="ar-SA"/>
        </w:rPr>
      </w:pPr>
      <w:r w:rsidRPr="00561555">
        <w:rPr>
          <w:rFonts w:ascii="Book Antiqua" w:eastAsia="宋体" w:hAnsi="Book Antiqua" w:cs="宋体"/>
          <w:color w:val="auto"/>
          <w:lang w:eastAsia="zh-CN" w:bidi="ar-SA"/>
        </w:rPr>
        <w:t xml:space="preserve">6 </w:t>
      </w:r>
      <w:r w:rsidRPr="00561555">
        <w:rPr>
          <w:rFonts w:ascii="Book Antiqua" w:eastAsia="宋体" w:hAnsi="Book Antiqua" w:cs="宋体"/>
          <w:b/>
          <w:bCs/>
          <w:color w:val="auto"/>
          <w:lang w:eastAsia="zh-CN" w:bidi="ar-SA"/>
        </w:rPr>
        <w:t>Beaugerie L</w:t>
      </w:r>
      <w:r w:rsidRPr="00561555">
        <w:rPr>
          <w:rFonts w:ascii="Book Antiqua" w:eastAsia="宋体" w:hAnsi="Book Antiqua" w:cs="宋体"/>
          <w:color w:val="auto"/>
          <w:lang w:eastAsia="zh-CN" w:bidi="ar-SA"/>
        </w:rPr>
        <w:t xml:space="preserve">, Seksik P, Nion-Larmurier I, Gendre JP, Cosnes J. Predictors of Crohn's disease. </w:t>
      </w:r>
      <w:r w:rsidRPr="00561555">
        <w:rPr>
          <w:rFonts w:ascii="Book Antiqua" w:eastAsia="宋体" w:hAnsi="Book Antiqua" w:cs="宋体"/>
          <w:i/>
          <w:iCs/>
          <w:color w:val="auto"/>
          <w:lang w:eastAsia="zh-CN" w:bidi="ar-SA"/>
        </w:rPr>
        <w:t>Gastroenterology</w:t>
      </w:r>
      <w:r w:rsidRPr="00561555">
        <w:rPr>
          <w:rFonts w:ascii="Book Antiqua" w:eastAsia="宋体" w:hAnsi="Book Antiqua" w:cs="宋体"/>
          <w:color w:val="auto"/>
          <w:lang w:eastAsia="zh-CN" w:bidi="ar-SA"/>
        </w:rPr>
        <w:t xml:space="preserve"> 2006; </w:t>
      </w:r>
      <w:r w:rsidRPr="00561555">
        <w:rPr>
          <w:rFonts w:ascii="Book Antiqua" w:eastAsia="宋体" w:hAnsi="Book Antiqua" w:cs="宋体"/>
          <w:b/>
          <w:bCs/>
          <w:color w:val="auto"/>
          <w:lang w:eastAsia="zh-CN" w:bidi="ar-SA"/>
        </w:rPr>
        <w:t>130</w:t>
      </w:r>
      <w:r w:rsidRPr="00561555">
        <w:rPr>
          <w:rFonts w:ascii="Book Antiqua" w:eastAsia="宋体" w:hAnsi="Book Antiqua" w:cs="宋体"/>
          <w:color w:val="auto"/>
          <w:lang w:eastAsia="zh-CN" w:bidi="ar-SA"/>
        </w:rPr>
        <w:t>: 650-656 [PMID: 16530505 DOI: 10.1053/j.gastro.2005.12.019]</w:t>
      </w:r>
    </w:p>
    <w:p w:rsidR="0016213F" w:rsidRPr="00561555" w:rsidRDefault="0016213F" w:rsidP="00561555">
      <w:pPr>
        <w:widowControl/>
        <w:suppressAutoHyphens w:val="0"/>
        <w:snapToGrid w:val="0"/>
        <w:spacing w:line="360" w:lineRule="auto"/>
        <w:jc w:val="both"/>
        <w:rPr>
          <w:rFonts w:ascii="Book Antiqua" w:eastAsia="宋体" w:hAnsi="Book Antiqua" w:cs="宋体"/>
          <w:color w:val="auto"/>
          <w:lang w:eastAsia="zh-CN" w:bidi="ar-SA"/>
        </w:rPr>
      </w:pPr>
      <w:r w:rsidRPr="00561555">
        <w:rPr>
          <w:rFonts w:ascii="Book Antiqua" w:eastAsia="宋体" w:hAnsi="Book Antiqua" w:cs="宋体"/>
          <w:color w:val="auto"/>
          <w:lang w:eastAsia="zh-CN" w:bidi="ar-SA"/>
        </w:rPr>
        <w:t xml:space="preserve">7 </w:t>
      </w:r>
      <w:r w:rsidRPr="00561555">
        <w:rPr>
          <w:rFonts w:ascii="Book Antiqua" w:eastAsia="宋体" w:hAnsi="Book Antiqua" w:cs="宋体"/>
          <w:b/>
          <w:bCs/>
          <w:color w:val="auto"/>
          <w:lang w:eastAsia="zh-CN" w:bidi="ar-SA"/>
        </w:rPr>
        <w:t>Loly C</w:t>
      </w:r>
      <w:r w:rsidRPr="00561555">
        <w:rPr>
          <w:rFonts w:ascii="Book Antiqua" w:eastAsia="宋体" w:hAnsi="Book Antiqua" w:cs="宋体"/>
          <w:color w:val="auto"/>
          <w:lang w:eastAsia="zh-CN" w:bidi="ar-SA"/>
        </w:rPr>
        <w:t xml:space="preserve">, Belaiche J, Louis E. Predictors of severe Crohn's disease. </w:t>
      </w:r>
      <w:r w:rsidRPr="00561555">
        <w:rPr>
          <w:rFonts w:ascii="Book Antiqua" w:eastAsia="宋体" w:hAnsi="Book Antiqua" w:cs="宋体"/>
          <w:i/>
          <w:iCs/>
          <w:color w:val="auto"/>
          <w:lang w:eastAsia="zh-CN" w:bidi="ar-SA"/>
        </w:rPr>
        <w:t>Scand J Gastroenterol</w:t>
      </w:r>
      <w:r w:rsidRPr="00561555">
        <w:rPr>
          <w:rFonts w:ascii="Book Antiqua" w:eastAsia="宋体" w:hAnsi="Book Antiqua" w:cs="宋体"/>
          <w:color w:val="auto"/>
          <w:lang w:eastAsia="zh-CN" w:bidi="ar-SA"/>
        </w:rPr>
        <w:t xml:space="preserve"> 2008; </w:t>
      </w:r>
      <w:r w:rsidRPr="00561555">
        <w:rPr>
          <w:rFonts w:ascii="Book Antiqua" w:eastAsia="宋体" w:hAnsi="Book Antiqua" w:cs="宋体"/>
          <w:b/>
          <w:bCs/>
          <w:color w:val="auto"/>
          <w:lang w:eastAsia="zh-CN" w:bidi="ar-SA"/>
        </w:rPr>
        <w:t>43</w:t>
      </w:r>
      <w:r w:rsidRPr="00561555">
        <w:rPr>
          <w:rFonts w:ascii="Book Antiqua" w:eastAsia="宋体" w:hAnsi="Book Antiqua" w:cs="宋体"/>
          <w:color w:val="auto"/>
          <w:lang w:eastAsia="zh-CN" w:bidi="ar-SA"/>
        </w:rPr>
        <w:t>: 948-954 [PMID: 19086165 DOI: 10.1080/00365520801957149]</w:t>
      </w:r>
    </w:p>
    <w:p w:rsidR="0016213F" w:rsidRPr="00561555" w:rsidRDefault="0016213F" w:rsidP="00561555">
      <w:pPr>
        <w:widowControl/>
        <w:suppressAutoHyphens w:val="0"/>
        <w:snapToGrid w:val="0"/>
        <w:spacing w:line="360" w:lineRule="auto"/>
        <w:jc w:val="both"/>
        <w:rPr>
          <w:rFonts w:ascii="Book Antiqua" w:eastAsia="宋体" w:hAnsi="Book Antiqua" w:cs="宋体"/>
          <w:color w:val="auto"/>
          <w:lang w:eastAsia="zh-CN" w:bidi="ar-SA"/>
        </w:rPr>
      </w:pPr>
      <w:r w:rsidRPr="00561555">
        <w:rPr>
          <w:rFonts w:ascii="Book Antiqua" w:eastAsia="宋体" w:hAnsi="Book Antiqua" w:cs="宋体"/>
          <w:color w:val="auto"/>
          <w:lang w:eastAsia="zh-CN" w:bidi="ar-SA"/>
        </w:rPr>
        <w:t xml:space="preserve">8 </w:t>
      </w:r>
      <w:r w:rsidRPr="00561555">
        <w:rPr>
          <w:rFonts w:ascii="Book Antiqua" w:eastAsia="宋体" w:hAnsi="Book Antiqua" w:cs="宋体"/>
          <w:b/>
          <w:bCs/>
          <w:color w:val="auto"/>
          <w:lang w:eastAsia="zh-CN" w:bidi="ar-SA"/>
        </w:rPr>
        <w:t>Yang CH</w:t>
      </w:r>
      <w:r w:rsidRPr="00561555">
        <w:rPr>
          <w:rFonts w:ascii="Book Antiqua" w:eastAsia="宋体" w:hAnsi="Book Antiqua" w:cs="宋体"/>
          <w:color w:val="auto"/>
          <w:lang w:eastAsia="zh-CN" w:bidi="ar-SA"/>
        </w:rPr>
        <w:t xml:space="preserve">, Ding J, Gao Y, Chen X, Yang ZB, Xiao SD. Risk factors that predict the requirement of aggressive therapy among Chinese patients with Crohn's disease. </w:t>
      </w:r>
      <w:r w:rsidRPr="00561555">
        <w:rPr>
          <w:rFonts w:ascii="Book Antiqua" w:eastAsia="宋体" w:hAnsi="Book Antiqua" w:cs="宋体"/>
          <w:i/>
          <w:iCs/>
          <w:color w:val="auto"/>
          <w:lang w:eastAsia="zh-CN" w:bidi="ar-SA"/>
        </w:rPr>
        <w:t>J Dig Dis</w:t>
      </w:r>
      <w:r w:rsidRPr="00561555">
        <w:rPr>
          <w:rFonts w:ascii="Book Antiqua" w:eastAsia="宋体" w:hAnsi="Book Antiqua" w:cs="宋体"/>
          <w:color w:val="auto"/>
          <w:lang w:eastAsia="zh-CN" w:bidi="ar-SA"/>
        </w:rPr>
        <w:t xml:space="preserve"> 2011; </w:t>
      </w:r>
      <w:r w:rsidRPr="00561555">
        <w:rPr>
          <w:rFonts w:ascii="Book Antiqua" w:eastAsia="宋体" w:hAnsi="Book Antiqua" w:cs="宋体"/>
          <w:b/>
          <w:bCs/>
          <w:color w:val="auto"/>
          <w:lang w:eastAsia="zh-CN" w:bidi="ar-SA"/>
        </w:rPr>
        <w:t>12</w:t>
      </w:r>
      <w:r w:rsidRPr="00561555">
        <w:rPr>
          <w:rFonts w:ascii="Book Antiqua" w:eastAsia="宋体" w:hAnsi="Book Antiqua" w:cs="宋体"/>
          <w:color w:val="auto"/>
          <w:lang w:eastAsia="zh-CN" w:bidi="ar-SA"/>
        </w:rPr>
        <w:t>: 99-104 [PMID: 21401894 DOI: 10.1111/j.1751-2980.2011.00484.x]</w:t>
      </w:r>
    </w:p>
    <w:p w:rsidR="0016213F" w:rsidRPr="00561555" w:rsidRDefault="0016213F" w:rsidP="00561555">
      <w:pPr>
        <w:widowControl/>
        <w:suppressAutoHyphens w:val="0"/>
        <w:snapToGrid w:val="0"/>
        <w:spacing w:line="360" w:lineRule="auto"/>
        <w:jc w:val="both"/>
        <w:rPr>
          <w:rFonts w:ascii="Book Antiqua" w:eastAsia="宋体" w:hAnsi="Book Antiqua" w:cs="宋体"/>
          <w:color w:val="auto"/>
          <w:lang w:eastAsia="zh-CN" w:bidi="ar-SA"/>
        </w:rPr>
      </w:pPr>
      <w:r w:rsidRPr="00561555">
        <w:rPr>
          <w:rFonts w:ascii="Book Antiqua" w:eastAsia="宋体" w:hAnsi="Book Antiqua" w:cs="宋体"/>
          <w:color w:val="auto"/>
          <w:lang w:eastAsia="zh-CN" w:bidi="ar-SA"/>
        </w:rPr>
        <w:t xml:space="preserve">9 </w:t>
      </w:r>
      <w:r w:rsidRPr="00561555">
        <w:rPr>
          <w:rFonts w:ascii="Book Antiqua" w:eastAsia="宋体" w:hAnsi="Book Antiqua" w:cs="宋体"/>
          <w:b/>
          <w:bCs/>
          <w:color w:val="auto"/>
          <w:lang w:eastAsia="zh-CN" w:bidi="ar-SA"/>
        </w:rPr>
        <w:t>Munkholm P</w:t>
      </w:r>
      <w:r w:rsidRPr="00561555">
        <w:rPr>
          <w:rFonts w:ascii="Book Antiqua" w:eastAsia="宋体" w:hAnsi="Book Antiqua" w:cs="宋体"/>
          <w:color w:val="auto"/>
          <w:lang w:eastAsia="zh-CN" w:bidi="ar-SA"/>
        </w:rPr>
        <w:t xml:space="preserve">, Langholz E, Davidsen M, Binder V. Frequency of glucocorticoid resistance and dependency in Crohn's disease. </w:t>
      </w:r>
      <w:r w:rsidRPr="00561555">
        <w:rPr>
          <w:rFonts w:ascii="Book Antiqua" w:eastAsia="宋体" w:hAnsi="Book Antiqua" w:cs="宋体"/>
          <w:i/>
          <w:iCs/>
          <w:color w:val="auto"/>
          <w:lang w:eastAsia="zh-CN" w:bidi="ar-SA"/>
        </w:rPr>
        <w:t>Gut</w:t>
      </w:r>
      <w:r w:rsidRPr="00561555">
        <w:rPr>
          <w:rFonts w:ascii="Book Antiqua" w:eastAsia="宋体" w:hAnsi="Book Antiqua" w:cs="宋体"/>
          <w:color w:val="auto"/>
          <w:lang w:eastAsia="zh-CN" w:bidi="ar-SA"/>
        </w:rPr>
        <w:t xml:space="preserve"> 1994; </w:t>
      </w:r>
      <w:r w:rsidRPr="00561555">
        <w:rPr>
          <w:rFonts w:ascii="Book Antiqua" w:eastAsia="宋体" w:hAnsi="Book Antiqua" w:cs="宋体"/>
          <w:b/>
          <w:bCs/>
          <w:color w:val="auto"/>
          <w:lang w:eastAsia="zh-CN" w:bidi="ar-SA"/>
        </w:rPr>
        <w:t>35</w:t>
      </w:r>
      <w:r w:rsidRPr="00561555">
        <w:rPr>
          <w:rFonts w:ascii="Book Antiqua" w:eastAsia="宋体" w:hAnsi="Book Antiqua" w:cs="宋体"/>
          <w:color w:val="auto"/>
          <w:lang w:eastAsia="zh-CN" w:bidi="ar-SA"/>
        </w:rPr>
        <w:t>: 360-362 [PMID: 8150347 DOI: 10.1136/gut.35.3.360]</w:t>
      </w:r>
    </w:p>
    <w:p w:rsidR="0016213F" w:rsidRPr="00561555" w:rsidRDefault="0016213F" w:rsidP="00561555">
      <w:pPr>
        <w:widowControl/>
        <w:suppressAutoHyphens w:val="0"/>
        <w:snapToGrid w:val="0"/>
        <w:spacing w:line="360" w:lineRule="auto"/>
        <w:jc w:val="both"/>
        <w:rPr>
          <w:rFonts w:ascii="Book Antiqua" w:eastAsia="宋体" w:hAnsi="Book Antiqua" w:cs="宋体"/>
          <w:color w:val="auto"/>
          <w:lang w:eastAsia="zh-CN" w:bidi="ar-SA"/>
        </w:rPr>
      </w:pPr>
      <w:r w:rsidRPr="00561555">
        <w:rPr>
          <w:rFonts w:ascii="Book Antiqua" w:eastAsia="宋体" w:hAnsi="Book Antiqua" w:cs="宋体"/>
          <w:color w:val="auto"/>
          <w:lang w:eastAsia="zh-CN" w:bidi="ar-SA"/>
        </w:rPr>
        <w:t xml:space="preserve">10 </w:t>
      </w:r>
      <w:r w:rsidRPr="00561555">
        <w:rPr>
          <w:rFonts w:ascii="Book Antiqua" w:eastAsia="宋体" w:hAnsi="Book Antiqua" w:cs="宋体"/>
          <w:b/>
          <w:bCs/>
          <w:color w:val="auto"/>
          <w:lang w:eastAsia="zh-CN" w:bidi="ar-SA"/>
        </w:rPr>
        <w:t>Markowitz J</w:t>
      </w:r>
      <w:r w:rsidRPr="00561555">
        <w:rPr>
          <w:rFonts w:ascii="Book Antiqua" w:eastAsia="宋体" w:hAnsi="Book Antiqua" w:cs="宋体"/>
          <w:color w:val="auto"/>
          <w:lang w:eastAsia="zh-CN" w:bidi="ar-SA"/>
        </w:rPr>
        <w:t xml:space="preserve">, Grancher K, Kohn N, Lesser M, Daum F. A multicenter trial of 6-mercaptopurine and prednisone in children with newly diagnosed Crohn's disease. </w:t>
      </w:r>
      <w:r w:rsidRPr="00561555">
        <w:rPr>
          <w:rFonts w:ascii="Book Antiqua" w:eastAsia="宋体" w:hAnsi="Book Antiqua" w:cs="宋体"/>
          <w:i/>
          <w:iCs/>
          <w:color w:val="auto"/>
          <w:lang w:eastAsia="zh-CN" w:bidi="ar-SA"/>
        </w:rPr>
        <w:t>Gastroenterology</w:t>
      </w:r>
      <w:r w:rsidRPr="00561555">
        <w:rPr>
          <w:rFonts w:ascii="Book Antiqua" w:eastAsia="宋体" w:hAnsi="Book Antiqua" w:cs="宋体"/>
          <w:color w:val="auto"/>
          <w:lang w:eastAsia="zh-CN" w:bidi="ar-SA"/>
        </w:rPr>
        <w:t xml:space="preserve"> 2000; </w:t>
      </w:r>
      <w:r w:rsidRPr="00561555">
        <w:rPr>
          <w:rFonts w:ascii="Book Antiqua" w:eastAsia="宋体" w:hAnsi="Book Antiqua" w:cs="宋体"/>
          <w:b/>
          <w:bCs/>
          <w:color w:val="auto"/>
          <w:lang w:eastAsia="zh-CN" w:bidi="ar-SA"/>
        </w:rPr>
        <w:t>119</w:t>
      </w:r>
      <w:r w:rsidRPr="00561555">
        <w:rPr>
          <w:rFonts w:ascii="Book Antiqua" w:eastAsia="宋体" w:hAnsi="Book Antiqua" w:cs="宋体"/>
          <w:color w:val="auto"/>
          <w:lang w:eastAsia="zh-CN" w:bidi="ar-SA"/>
        </w:rPr>
        <w:t>: 895-902 [PMID: 11040176 DOI: 10.1053/gast.2000.18144]</w:t>
      </w:r>
    </w:p>
    <w:p w:rsidR="0016213F" w:rsidRPr="00561555" w:rsidRDefault="0016213F" w:rsidP="00561555">
      <w:pPr>
        <w:widowControl/>
        <w:suppressAutoHyphens w:val="0"/>
        <w:snapToGrid w:val="0"/>
        <w:spacing w:line="360" w:lineRule="auto"/>
        <w:jc w:val="both"/>
        <w:rPr>
          <w:rFonts w:ascii="Book Antiqua" w:eastAsia="宋体" w:hAnsi="Book Antiqua" w:cs="宋体"/>
          <w:color w:val="auto"/>
          <w:lang w:eastAsia="zh-CN" w:bidi="ar-SA"/>
        </w:rPr>
      </w:pPr>
      <w:r w:rsidRPr="00561555">
        <w:rPr>
          <w:rFonts w:ascii="Book Antiqua" w:eastAsia="宋体" w:hAnsi="Book Antiqua" w:cs="宋体"/>
          <w:color w:val="auto"/>
          <w:lang w:eastAsia="zh-CN" w:bidi="ar-SA"/>
        </w:rPr>
        <w:lastRenderedPageBreak/>
        <w:t xml:space="preserve">11 </w:t>
      </w:r>
      <w:r w:rsidRPr="00561555">
        <w:rPr>
          <w:rFonts w:ascii="Book Antiqua" w:eastAsia="宋体" w:hAnsi="Book Antiqua" w:cs="宋体"/>
          <w:b/>
          <w:bCs/>
          <w:color w:val="auto"/>
          <w:lang w:eastAsia="zh-CN" w:bidi="ar-SA"/>
        </w:rPr>
        <w:t>Feagan BG</w:t>
      </w:r>
      <w:r w:rsidRPr="00561555">
        <w:rPr>
          <w:rFonts w:ascii="Book Antiqua" w:eastAsia="宋体" w:hAnsi="Book Antiqua" w:cs="宋体"/>
          <w:color w:val="auto"/>
          <w:lang w:eastAsia="zh-CN" w:bidi="ar-SA"/>
        </w:rPr>
        <w:t xml:space="preserve">, Panaccione R, Sandborn WJ, D'Haens GR, Schreiber S, Rutgeerts PJ, Loftus EV, Lomax KG, Yu AP, Wu EQ, Chao J, Mulani P. Effects of adalimumab therapy on incidence of hospitalization and surgery in Crohn's disease: results from the CHARM study. </w:t>
      </w:r>
      <w:r w:rsidRPr="00561555">
        <w:rPr>
          <w:rFonts w:ascii="Book Antiqua" w:eastAsia="宋体" w:hAnsi="Book Antiqua" w:cs="宋体"/>
          <w:i/>
          <w:iCs/>
          <w:color w:val="auto"/>
          <w:lang w:eastAsia="zh-CN" w:bidi="ar-SA"/>
        </w:rPr>
        <w:t>Gastroenterology</w:t>
      </w:r>
      <w:r w:rsidRPr="00561555">
        <w:rPr>
          <w:rFonts w:ascii="Book Antiqua" w:eastAsia="宋体" w:hAnsi="Book Antiqua" w:cs="宋体"/>
          <w:color w:val="auto"/>
          <w:lang w:eastAsia="zh-CN" w:bidi="ar-SA"/>
        </w:rPr>
        <w:t xml:space="preserve"> 2008; </w:t>
      </w:r>
      <w:r w:rsidRPr="00561555">
        <w:rPr>
          <w:rFonts w:ascii="Book Antiqua" w:eastAsia="宋体" w:hAnsi="Book Antiqua" w:cs="宋体"/>
          <w:b/>
          <w:bCs/>
          <w:color w:val="auto"/>
          <w:lang w:eastAsia="zh-CN" w:bidi="ar-SA"/>
        </w:rPr>
        <w:t>135</w:t>
      </w:r>
      <w:r w:rsidRPr="00561555">
        <w:rPr>
          <w:rFonts w:ascii="Book Antiqua" w:eastAsia="宋体" w:hAnsi="Book Antiqua" w:cs="宋体"/>
          <w:color w:val="auto"/>
          <w:lang w:eastAsia="zh-CN" w:bidi="ar-SA"/>
        </w:rPr>
        <w:t>: 1493-1499 [PMID: 18848553 DOI: 10.1053/j.gastro.2008.07.069]</w:t>
      </w:r>
    </w:p>
    <w:p w:rsidR="003E410E" w:rsidRPr="00561555" w:rsidRDefault="003E410E" w:rsidP="00561555">
      <w:pPr>
        <w:pStyle w:val="p-bibitem"/>
        <w:snapToGrid w:val="0"/>
        <w:spacing w:line="360" w:lineRule="auto"/>
        <w:jc w:val="right"/>
        <w:rPr>
          <w:rStyle w:val="caption-title"/>
          <w:rFonts w:ascii="Book Antiqua" w:hAnsi="Book Antiqua"/>
          <w:color w:val="auto"/>
          <w:lang w:eastAsia="zh-CN"/>
        </w:rPr>
      </w:pPr>
    </w:p>
    <w:p w:rsidR="00670F40" w:rsidRPr="00561555" w:rsidRDefault="00670F40" w:rsidP="00561555">
      <w:pPr>
        <w:pStyle w:val="p-bibitem"/>
        <w:snapToGrid w:val="0"/>
        <w:spacing w:line="360" w:lineRule="auto"/>
        <w:jc w:val="right"/>
        <w:rPr>
          <w:rStyle w:val="caption-title"/>
          <w:rFonts w:ascii="Book Antiqua" w:hAnsi="Book Antiqua"/>
          <w:color w:val="auto"/>
          <w:lang w:eastAsia="zh-CN"/>
        </w:rPr>
        <w:sectPr w:rsidR="00670F40" w:rsidRPr="00561555">
          <w:type w:val="continuous"/>
          <w:pgSz w:w="11950" w:h="16901"/>
          <w:pgMar w:top="1134" w:right="1440" w:bottom="1134" w:left="1440" w:header="720" w:footer="720" w:gutter="0"/>
          <w:cols w:space="720"/>
        </w:sectPr>
      </w:pPr>
    </w:p>
    <w:p w:rsidR="005151FA" w:rsidRPr="00561555" w:rsidRDefault="00E21EB4" w:rsidP="00561555">
      <w:pPr>
        <w:tabs>
          <w:tab w:val="left" w:pos="180"/>
          <w:tab w:val="left" w:pos="360"/>
        </w:tabs>
        <w:snapToGrid w:val="0"/>
        <w:spacing w:line="360" w:lineRule="auto"/>
        <w:jc w:val="right"/>
        <w:rPr>
          <w:rFonts w:ascii="Book Antiqua" w:hAnsi="Book Antiqua"/>
          <w:b/>
          <w:lang w:eastAsia="zh-CN"/>
        </w:rPr>
      </w:pPr>
      <w:bookmarkStart w:id="96" w:name="OLE_LINK875"/>
      <w:bookmarkStart w:id="97" w:name="OLE_LINK874"/>
      <w:bookmarkStart w:id="98" w:name="OLE_LINK658"/>
      <w:bookmarkStart w:id="99" w:name="OLE_LINK602"/>
      <w:bookmarkStart w:id="100" w:name="OLE_LINK489"/>
      <w:bookmarkStart w:id="101" w:name="OLE_LINK725"/>
      <w:bookmarkStart w:id="102" w:name="OLE_LINK669"/>
      <w:bookmarkStart w:id="103" w:name="OLE_LINK668"/>
      <w:bookmarkStart w:id="104" w:name="OLE_LINK551"/>
      <w:bookmarkStart w:id="105" w:name="OLE_LINK442"/>
      <w:bookmarkStart w:id="106" w:name="OLE_LINK493"/>
      <w:bookmarkStart w:id="107" w:name="OLE_LINK564"/>
      <w:bookmarkStart w:id="108" w:name="OLE_LINK431"/>
      <w:bookmarkStart w:id="109" w:name="OLE_LINK386"/>
      <w:bookmarkStart w:id="110" w:name="OLE_LINK632"/>
      <w:bookmarkStart w:id="111" w:name="OLE_LINK631"/>
      <w:bookmarkStart w:id="112" w:name="OLE_LINK558"/>
      <w:bookmarkStart w:id="113" w:name="OLE_LINK557"/>
      <w:bookmarkStart w:id="114" w:name="OLE_LINK384"/>
      <w:bookmarkStart w:id="115" w:name="OLE_LINK347"/>
      <w:r w:rsidRPr="00561555">
        <w:rPr>
          <w:rFonts w:ascii="Book Antiqua" w:hAnsi="Book Antiqua"/>
          <w:b/>
        </w:rPr>
        <w:lastRenderedPageBreak/>
        <w:t>P-Reviewer</w:t>
      </w:r>
      <w:r w:rsidRPr="00561555">
        <w:rPr>
          <w:rFonts w:ascii="Book Antiqua" w:hAnsi="Book Antiqua"/>
          <w:b/>
          <w:lang w:eastAsia="zh-CN"/>
        </w:rPr>
        <w:t xml:space="preserve">s </w:t>
      </w:r>
      <w:r w:rsidRPr="00561555">
        <w:rPr>
          <w:rFonts w:ascii="Book Antiqua" w:hAnsi="Book Antiqua"/>
          <w:lang w:eastAsia="zh-CN"/>
        </w:rPr>
        <w:t>Rodriguez DC, Perakath</w:t>
      </w:r>
      <w:r w:rsidR="005151FA" w:rsidRPr="00561555">
        <w:rPr>
          <w:rFonts w:ascii="Book Antiqua" w:hAnsi="Book Antiqua"/>
          <w:lang w:eastAsia="zh-CN"/>
        </w:rPr>
        <w:t xml:space="preserve"> B</w:t>
      </w:r>
      <w:r w:rsidRPr="00561555">
        <w:rPr>
          <w:rFonts w:ascii="Book Antiqua" w:hAnsi="Book Antiqua"/>
          <w:b/>
        </w:rPr>
        <w:t xml:space="preserve"> S-Editor </w:t>
      </w:r>
      <w:r w:rsidRPr="00561555">
        <w:rPr>
          <w:rFonts w:ascii="Book Antiqua" w:hAnsi="Book Antiqua"/>
        </w:rPr>
        <w:t xml:space="preserve">Gou SX </w:t>
      </w:r>
      <w:r w:rsidRPr="00561555">
        <w:rPr>
          <w:rFonts w:ascii="Book Antiqua" w:hAnsi="Book Antiqua"/>
          <w:b/>
        </w:rPr>
        <w:t xml:space="preserve">  </w:t>
      </w:r>
    </w:p>
    <w:p w:rsidR="00E21EB4" w:rsidRPr="00561555" w:rsidRDefault="00E21EB4" w:rsidP="00561555">
      <w:pPr>
        <w:tabs>
          <w:tab w:val="left" w:pos="180"/>
          <w:tab w:val="left" w:pos="360"/>
        </w:tabs>
        <w:snapToGrid w:val="0"/>
        <w:spacing w:line="360" w:lineRule="auto"/>
        <w:jc w:val="right"/>
        <w:rPr>
          <w:rFonts w:ascii="Book Antiqua" w:hAnsi="Book Antiqua"/>
          <w:b/>
        </w:rPr>
      </w:pPr>
      <w:r w:rsidRPr="00561555">
        <w:rPr>
          <w:rFonts w:ascii="Book Antiqua" w:hAnsi="Book Antiqua"/>
          <w:b/>
        </w:rPr>
        <w:t>L-Editor    E-Edito</w:t>
      </w:r>
      <w:bookmarkEnd w:id="96"/>
      <w:bookmarkEnd w:id="97"/>
      <w:r w:rsidRPr="00561555">
        <w:rPr>
          <w:rFonts w:ascii="Book Antiqua" w:hAnsi="Book Antiqua"/>
          <w:b/>
        </w:rPr>
        <w:t>r</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3E410E" w:rsidRPr="00561555" w:rsidRDefault="003E410E" w:rsidP="00561555">
      <w:pPr>
        <w:snapToGrid w:val="0"/>
        <w:spacing w:line="360" w:lineRule="auto"/>
        <w:jc w:val="both"/>
        <w:rPr>
          <w:rFonts w:ascii="Book Antiqua" w:hAnsi="Book Antiqua"/>
          <w:b/>
          <w:color w:val="auto"/>
        </w:rPr>
        <w:sectPr w:rsidR="003E410E" w:rsidRPr="00561555">
          <w:type w:val="continuous"/>
          <w:pgSz w:w="11950" w:h="16901"/>
          <w:pgMar w:top="1134" w:right="1800" w:bottom="1134" w:left="1800" w:header="720" w:footer="720" w:gutter="0"/>
          <w:cols w:space="720"/>
        </w:sectPr>
      </w:pPr>
      <w:r w:rsidRPr="00561555">
        <w:rPr>
          <w:rFonts w:ascii="Book Antiqua" w:hAnsi="Book Antiqua"/>
          <w:color w:val="auto"/>
        </w:rPr>
        <w:br w:type="page"/>
      </w:r>
    </w:p>
    <w:p w:rsidR="003E410E" w:rsidRPr="00561555" w:rsidRDefault="003E410E" w:rsidP="00561555">
      <w:pPr>
        <w:pStyle w:val="Text-body"/>
        <w:snapToGrid w:val="0"/>
        <w:spacing w:line="360" w:lineRule="auto"/>
        <w:rPr>
          <w:rFonts w:ascii="Book Antiqua" w:hAnsi="Book Antiqua"/>
          <w:b/>
          <w:color w:val="auto"/>
          <w:lang w:eastAsia="zh-CN"/>
        </w:rPr>
      </w:pPr>
      <w:r w:rsidRPr="00561555">
        <w:rPr>
          <w:rFonts w:ascii="Book Antiqua" w:hAnsi="Book Antiqua"/>
          <w:b/>
          <w:color w:val="auto"/>
        </w:rPr>
        <w:lastRenderedPageBreak/>
        <w:t>Figure 1</w:t>
      </w:r>
      <w:r w:rsidR="00964B8B" w:rsidRPr="00561555">
        <w:rPr>
          <w:rFonts w:ascii="Book Antiqua" w:hAnsi="Book Antiqua"/>
          <w:b/>
          <w:color w:val="auto"/>
          <w:lang w:eastAsia="zh-CN"/>
        </w:rPr>
        <w:t xml:space="preserve"> </w:t>
      </w:r>
      <w:r w:rsidRPr="00561555">
        <w:rPr>
          <w:rFonts w:ascii="Book Antiqua" w:hAnsi="Book Antiqua"/>
          <w:b/>
          <w:color w:val="auto"/>
        </w:rPr>
        <w:t>Flowchart of the selection process for this meta-analysis.</w:t>
      </w:r>
    </w:p>
    <w:p w:rsidR="006B1C89" w:rsidRPr="00561555" w:rsidRDefault="006B1C89" w:rsidP="00561555">
      <w:pPr>
        <w:pStyle w:val="First-line-indent"/>
        <w:snapToGrid w:val="0"/>
        <w:spacing w:line="360" w:lineRule="auto"/>
        <w:rPr>
          <w:rFonts w:ascii="Book Antiqua" w:hAnsi="Book Antiqua"/>
          <w:lang w:eastAsia="zh-CN"/>
        </w:rPr>
      </w:pPr>
    </w:p>
    <w:p w:rsidR="00D76377" w:rsidRPr="00561555" w:rsidRDefault="003E410E" w:rsidP="00561555">
      <w:pPr>
        <w:tabs>
          <w:tab w:val="left" w:pos="1800"/>
        </w:tabs>
        <w:snapToGrid w:val="0"/>
        <w:spacing w:line="360" w:lineRule="auto"/>
        <w:jc w:val="both"/>
        <w:rPr>
          <w:rFonts w:ascii="Book Antiqua" w:hAnsi="Book Antiqua"/>
          <w:lang w:eastAsia="zh-CN"/>
        </w:rPr>
      </w:pPr>
      <w:r w:rsidRPr="00561555">
        <w:rPr>
          <w:rFonts w:ascii="Book Antiqua" w:hAnsi="Book Antiqua"/>
          <w:b/>
          <w:color w:val="auto"/>
        </w:rPr>
        <w:t>Figure 2</w:t>
      </w:r>
      <w:r w:rsidR="00D76377" w:rsidRPr="00561555">
        <w:rPr>
          <w:rFonts w:ascii="Book Antiqua" w:hAnsi="Book Antiqua"/>
          <w:b/>
          <w:color w:val="auto"/>
          <w:lang w:eastAsia="zh-CN"/>
        </w:rPr>
        <w:t xml:space="preserve"> </w:t>
      </w:r>
      <w:r w:rsidR="00D76377" w:rsidRPr="00561555">
        <w:rPr>
          <w:rFonts w:ascii="Book Antiqua" w:hAnsi="Book Antiqua"/>
          <w:b/>
          <w:color w:val="auto"/>
        </w:rPr>
        <w:t>Predictor of disabling disease</w:t>
      </w:r>
      <w:r w:rsidR="00D76377" w:rsidRPr="00561555">
        <w:rPr>
          <w:rFonts w:ascii="Book Antiqua" w:hAnsi="Book Antiqua"/>
          <w:b/>
          <w:color w:val="auto"/>
          <w:lang w:eastAsia="zh-CN"/>
        </w:rPr>
        <w:t xml:space="preserve">. </w:t>
      </w:r>
      <w:r w:rsidR="00D76377" w:rsidRPr="00561555">
        <w:rPr>
          <w:rFonts w:ascii="Book Antiqua" w:hAnsi="Book Antiqua"/>
          <w:color w:val="auto"/>
          <w:lang w:eastAsia="zh-CN"/>
        </w:rPr>
        <w:t>A:</w:t>
      </w:r>
      <w:r w:rsidRPr="00561555">
        <w:rPr>
          <w:rFonts w:ascii="Book Antiqua" w:hAnsi="Book Antiqua"/>
          <w:color w:val="auto"/>
        </w:rPr>
        <w:t xml:space="preserve"> Age at diagnosis as a </w:t>
      </w:r>
      <w:bookmarkStart w:id="116" w:name="OLE_LINK748"/>
      <w:bookmarkStart w:id="117" w:name="OLE_LINK749"/>
      <w:r w:rsidRPr="00561555">
        <w:rPr>
          <w:rFonts w:ascii="Book Antiqua" w:hAnsi="Book Antiqua"/>
          <w:color w:val="auto"/>
        </w:rPr>
        <w:t>predictor of disabling disease</w:t>
      </w:r>
      <w:bookmarkEnd w:id="116"/>
      <w:bookmarkEnd w:id="117"/>
      <w:r w:rsidR="00D76377" w:rsidRPr="00561555">
        <w:rPr>
          <w:rFonts w:ascii="Book Antiqua" w:hAnsi="Book Antiqua"/>
          <w:color w:val="auto"/>
          <w:lang w:eastAsia="zh-CN"/>
        </w:rPr>
        <w:t xml:space="preserve">; B: </w:t>
      </w:r>
      <w:r w:rsidR="00D76377" w:rsidRPr="00561555">
        <w:rPr>
          <w:rFonts w:ascii="Book Antiqua" w:hAnsi="Book Antiqua"/>
        </w:rPr>
        <w:t>The use of steroids for treatment of the first flare as a predictor of disabling disease</w:t>
      </w:r>
      <w:r w:rsidR="00D76377" w:rsidRPr="00561555">
        <w:rPr>
          <w:rFonts w:ascii="Book Antiqua" w:hAnsi="Book Antiqua"/>
          <w:lang w:eastAsia="zh-CN"/>
        </w:rPr>
        <w:t>; C:</w:t>
      </w:r>
      <w:r w:rsidR="006B1C89" w:rsidRPr="00561555">
        <w:rPr>
          <w:rFonts w:ascii="Book Antiqua" w:hAnsi="Book Antiqua"/>
          <w:b/>
          <w:color w:val="auto"/>
        </w:rPr>
        <w:t xml:space="preserve"> </w:t>
      </w:r>
      <w:r w:rsidR="006B1C89" w:rsidRPr="00561555">
        <w:rPr>
          <w:rFonts w:ascii="Book Antiqua" w:hAnsi="Book Antiqua"/>
          <w:color w:val="auto"/>
        </w:rPr>
        <w:t>Perianal disease as a predictor of disabling disease.</w:t>
      </w:r>
    </w:p>
    <w:p w:rsidR="003E410E" w:rsidRPr="00561555" w:rsidRDefault="003E410E" w:rsidP="00561555">
      <w:pPr>
        <w:pStyle w:val="First-line-indent"/>
        <w:snapToGrid w:val="0"/>
        <w:spacing w:line="360" w:lineRule="auto"/>
        <w:ind w:firstLine="0"/>
        <w:rPr>
          <w:rFonts w:ascii="Book Antiqua" w:hAnsi="Book Antiqua"/>
          <w:b/>
          <w:color w:val="auto"/>
          <w:lang w:eastAsia="zh-CN"/>
        </w:rPr>
      </w:pPr>
    </w:p>
    <w:p w:rsidR="00EE6B99" w:rsidRPr="00561555" w:rsidRDefault="00EE6B99" w:rsidP="00561555">
      <w:pPr>
        <w:tabs>
          <w:tab w:val="left" w:pos="1800"/>
        </w:tabs>
        <w:snapToGrid w:val="0"/>
        <w:spacing w:line="360" w:lineRule="auto"/>
        <w:jc w:val="both"/>
        <w:rPr>
          <w:rFonts w:ascii="Book Antiqua" w:hAnsi="Book Antiqua"/>
          <w:lang w:eastAsia="zh-CN"/>
        </w:rPr>
      </w:pPr>
    </w:p>
    <w:p w:rsidR="003E410E" w:rsidRPr="00561555" w:rsidRDefault="003510C5" w:rsidP="00561555">
      <w:pPr>
        <w:tabs>
          <w:tab w:val="left" w:pos="1800"/>
        </w:tabs>
        <w:snapToGrid w:val="0"/>
        <w:spacing w:line="360" w:lineRule="auto"/>
        <w:jc w:val="both"/>
        <w:rPr>
          <w:rFonts w:ascii="Book Antiqua" w:hAnsi="Book Antiqua"/>
          <w:b/>
          <w:color w:val="auto"/>
          <w:lang w:eastAsia="zh-CN"/>
        </w:rPr>
      </w:pPr>
      <w:r w:rsidRPr="00561555">
        <w:rPr>
          <w:rStyle w:val="caption-title"/>
          <w:rFonts w:ascii="Book Antiqua" w:hAnsi="Book Antiqua"/>
          <w:color w:val="auto"/>
        </w:rPr>
        <w:t>Table 1</w:t>
      </w:r>
      <w:r w:rsidR="003E410E" w:rsidRPr="00561555">
        <w:rPr>
          <w:rStyle w:val="caption-title"/>
          <w:rFonts w:ascii="Book Antiqua" w:hAnsi="Book Antiqua"/>
          <w:color w:val="auto"/>
        </w:rPr>
        <w:t xml:space="preserve"> </w:t>
      </w:r>
      <w:r w:rsidRPr="00561555">
        <w:rPr>
          <w:rFonts w:ascii="Book Antiqua" w:hAnsi="Book Antiqua"/>
          <w:b/>
          <w:color w:val="auto"/>
        </w:rPr>
        <w:t>Characteristics of the studies</w:t>
      </w:r>
    </w:p>
    <w:tbl>
      <w:tblPr>
        <w:tblW w:w="0" w:type="auto"/>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708"/>
        <w:gridCol w:w="907"/>
        <w:gridCol w:w="1667"/>
        <w:gridCol w:w="1521"/>
        <w:gridCol w:w="1093"/>
        <w:gridCol w:w="1581"/>
        <w:gridCol w:w="2069"/>
        <w:gridCol w:w="1094"/>
      </w:tblGrid>
      <w:tr w:rsidR="003E410E" w:rsidRPr="00561555" w:rsidTr="00196D99">
        <w:tc>
          <w:tcPr>
            <w:tcW w:w="0" w:type="auto"/>
            <w:tcBorders>
              <w:top w:val="nil"/>
              <w:bottom w:val="single" w:sz="4" w:space="0" w:color="auto"/>
            </w:tcBorders>
            <w:shd w:val="clear" w:color="auto" w:fill="auto"/>
            <w:vAlign w:val="center"/>
          </w:tcPr>
          <w:p w:rsidR="003E410E" w:rsidRPr="00561555" w:rsidRDefault="003E410E" w:rsidP="003805ED">
            <w:pPr>
              <w:pStyle w:val="sty-11C"/>
              <w:snapToGrid w:val="0"/>
              <w:spacing w:line="360" w:lineRule="auto"/>
              <w:rPr>
                <w:rFonts w:ascii="Book Antiqua" w:hAnsi="Book Antiqua"/>
                <w:color w:val="auto"/>
                <w:lang w:eastAsia="zh-CN"/>
              </w:rPr>
            </w:pPr>
            <w:r w:rsidRPr="00561555">
              <w:rPr>
                <w:rStyle w:val="textbf"/>
                <w:rFonts w:ascii="Book Antiqua" w:hAnsi="Book Antiqua"/>
                <w:color w:val="auto"/>
              </w:rPr>
              <w:t>Ref</w:t>
            </w:r>
            <w:r w:rsidR="003551DF">
              <w:rPr>
                <w:rStyle w:val="textbf"/>
                <w:rFonts w:ascii="Book Antiqua" w:hAnsi="Book Antiqua" w:hint="eastAsia"/>
                <w:color w:val="auto"/>
                <w:lang w:eastAsia="zh-CN"/>
              </w:rPr>
              <w:t>.</w:t>
            </w:r>
          </w:p>
        </w:tc>
        <w:tc>
          <w:tcPr>
            <w:tcW w:w="0" w:type="auto"/>
            <w:tcBorders>
              <w:top w:val="nil"/>
              <w:bottom w:val="single" w:sz="4" w:space="0" w:color="auto"/>
            </w:tcBorders>
            <w:shd w:val="clear" w:color="auto" w:fill="auto"/>
            <w:vAlign w:val="center"/>
          </w:tcPr>
          <w:p w:rsidR="003E410E" w:rsidRPr="00561555" w:rsidRDefault="003E410E" w:rsidP="003805ED">
            <w:pPr>
              <w:pStyle w:val="sty-11C"/>
              <w:snapToGrid w:val="0"/>
              <w:spacing w:line="360" w:lineRule="auto"/>
              <w:rPr>
                <w:rStyle w:val="textbf"/>
                <w:rFonts w:ascii="Book Antiqua" w:hAnsi="Book Antiqua"/>
                <w:color w:val="auto"/>
              </w:rPr>
            </w:pPr>
            <w:r w:rsidRPr="00561555">
              <w:rPr>
                <w:rStyle w:val="textbf"/>
                <w:rFonts w:ascii="Book Antiqua" w:hAnsi="Book Antiqua"/>
                <w:color w:val="auto"/>
              </w:rPr>
              <w:t>Country</w:t>
            </w:r>
          </w:p>
        </w:tc>
        <w:tc>
          <w:tcPr>
            <w:tcW w:w="0" w:type="auto"/>
            <w:tcBorders>
              <w:top w:val="nil"/>
              <w:bottom w:val="single" w:sz="4" w:space="0" w:color="auto"/>
            </w:tcBorders>
            <w:shd w:val="clear" w:color="auto" w:fill="auto"/>
            <w:vAlign w:val="center"/>
          </w:tcPr>
          <w:p w:rsidR="003E410E" w:rsidRPr="00561555" w:rsidRDefault="003E410E" w:rsidP="003805ED">
            <w:pPr>
              <w:pStyle w:val="sty-11C"/>
              <w:snapToGrid w:val="0"/>
              <w:spacing w:line="360" w:lineRule="auto"/>
              <w:rPr>
                <w:rFonts w:ascii="Book Antiqua" w:hAnsi="Book Antiqua"/>
                <w:color w:val="auto"/>
                <w:lang w:eastAsia="zh-CN"/>
              </w:rPr>
            </w:pPr>
            <w:r w:rsidRPr="00561555">
              <w:rPr>
                <w:rStyle w:val="textbf"/>
                <w:rFonts w:ascii="Book Antiqua" w:hAnsi="Book Antiqua"/>
                <w:color w:val="auto"/>
              </w:rPr>
              <w:t>Sample</w:t>
            </w:r>
            <w:r w:rsidRPr="00561555">
              <w:rPr>
                <w:rFonts w:ascii="Book Antiqua" w:hAnsi="Book Antiqua"/>
                <w:color w:val="auto"/>
              </w:rPr>
              <w:t xml:space="preserve"> </w:t>
            </w:r>
            <w:r w:rsidR="005479C3" w:rsidRPr="00561555">
              <w:rPr>
                <w:rFonts w:ascii="Book Antiqua" w:hAnsi="Book Antiqua"/>
                <w:b/>
                <w:color w:val="auto"/>
              </w:rPr>
              <w:t>size</w:t>
            </w:r>
            <w:r w:rsidRPr="00561555">
              <w:rPr>
                <w:rFonts w:ascii="Book Antiqua" w:hAnsi="Book Antiqua"/>
                <w:b/>
                <w:color w:val="auto"/>
              </w:rPr>
              <w:t xml:space="preserve"> </w:t>
            </w:r>
            <w:r w:rsidR="005479C3" w:rsidRPr="00561555">
              <w:rPr>
                <w:rFonts w:ascii="Book Antiqua" w:hAnsi="Book Antiqua"/>
                <w:b/>
                <w:color w:val="auto"/>
                <w:lang w:eastAsia="zh-CN"/>
              </w:rPr>
              <w:t>(</w:t>
            </w:r>
            <w:r w:rsidRPr="00561555">
              <w:rPr>
                <w:rFonts w:ascii="Book Antiqua" w:hAnsi="Book Antiqua"/>
                <w:b/>
                <w:i/>
                <w:color w:val="auto"/>
              </w:rPr>
              <w:t>n</w:t>
            </w:r>
            <w:r w:rsidR="005479C3" w:rsidRPr="00561555">
              <w:rPr>
                <w:rFonts w:ascii="Book Antiqua" w:hAnsi="Book Antiqua"/>
                <w:b/>
                <w:color w:val="auto"/>
                <w:lang w:eastAsia="zh-CN"/>
              </w:rPr>
              <w:t>)</w:t>
            </w:r>
          </w:p>
        </w:tc>
        <w:tc>
          <w:tcPr>
            <w:tcW w:w="0" w:type="auto"/>
            <w:tcBorders>
              <w:top w:val="nil"/>
              <w:bottom w:val="single" w:sz="4" w:space="0" w:color="auto"/>
            </w:tcBorders>
            <w:shd w:val="clear" w:color="auto" w:fill="auto"/>
            <w:vAlign w:val="center"/>
          </w:tcPr>
          <w:p w:rsidR="003E410E" w:rsidRPr="00561555" w:rsidRDefault="003E410E" w:rsidP="003805ED">
            <w:pPr>
              <w:pStyle w:val="sty-11C"/>
              <w:snapToGrid w:val="0"/>
              <w:spacing w:line="360" w:lineRule="auto"/>
              <w:rPr>
                <w:rFonts w:ascii="Book Antiqua" w:hAnsi="Book Antiqua"/>
                <w:color w:val="auto"/>
              </w:rPr>
            </w:pPr>
            <w:r w:rsidRPr="00561555">
              <w:rPr>
                <w:rStyle w:val="textbf"/>
                <w:rFonts w:ascii="Book Antiqua" w:hAnsi="Book Antiqua"/>
                <w:color w:val="auto"/>
              </w:rPr>
              <w:t>Type of</w:t>
            </w:r>
            <w:r w:rsidRPr="00561555">
              <w:rPr>
                <w:rFonts w:ascii="Book Antiqua" w:hAnsi="Book Antiqua"/>
                <w:color w:val="auto"/>
              </w:rPr>
              <w:t xml:space="preserve"> </w:t>
            </w:r>
            <w:r w:rsidRPr="00561555">
              <w:rPr>
                <w:rFonts w:ascii="Book Antiqua" w:hAnsi="Book Antiqua"/>
                <w:b/>
                <w:color w:val="auto"/>
              </w:rPr>
              <w:t>study</w:t>
            </w:r>
          </w:p>
        </w:tc>
        <w:tc>
          <w:tcPr>
            <w:tcW w:w="0" w:type="auto"/>
            <w:tcBorders>
              <w:top w:val="nil"/>
              <w:bottom w:val="single" w:sz="4" w:space="0" w:color="auto"/>
            </w:tcBorders>
            <w:shd w:val="clear" w:color="auto" w:fill="auto"/>
            <w:vAlign w:val="center"/>
          </w:tcPr>
          <w:p w:rsidR="003E410E" w:rsidRPr="00561555" w:rsidRDefault="00196D99" w:rsidP="003805ED">
            <w:pPr>
              <w:pStyle w:val="sty-11C"/>
              <w:snapToGrid w:val="0"/>
              <w:spacing w:line="360" w:lineRule="auto"/>
              <w:rPr>
                <w:rFonts w:ascii="Book Antiqua" w:hAnsi="Book Antiqua"/>
                <w:color w:val="auto"/>
                <w:lang w:eastAsia="zh-CN"/>
              </w:rPr>
            </w:pPr>
            <w:r w:rsidRPr="00561555">
              <w:rPr>
                <w:rStyle w:val="textbf"/>
                <w:rFonts w:ascii="Book Antiqua" w:hAnsi="Book Antiqua"/>
                <w:color w:val="auto"/>
              </w:rPr>
              <w:t>Disabling</w:t>
            </w:r>
          </w:p>
        </w:tc>
        <w:tc>
          <w:tcPr>
            <w:tcW w:w="0" w:type="auto"/>
            <w:tcBorders>
              <w:top w:val="nil"/>
              <w:bottom w:val="single" w:sz="4" w:space="0" w:color="auto"/>
            </w:tcBorders>
            <w:shd w:val="clear" w:color="auto" w:fill="auto"/>
            <w:vAlign w:val="center"/>
          </w:tcPr>
          <w:p w:rsidR="003E410E" w:rsidRPr="00561555" w:rsidRDefault="003E410E" w:rsidP="003805ED">
            <w:pPr>
              <w:pStyle w:val="sty-11C"/>
              <w:snapToGrid w:val="0"/>
              <w:spacing w:line="360" w:lineRule="auto"/>
              <w:rPr>
                <w:rFonts w:ascii="Book Antiqua" w:hAnsi="Book Antiqua"/>
                <w:color w:val="auto"/>
                <w:lang w:eastAsia="zh-CN"/>
              </w:rPr>
            </w:pPr>
            <w:r w:rsidRPr="00561555">
              <w:rPr>
                <w:rStyle w:val="textbf"/>
                <w:rFonts w:ascii="Book Antiqua" w:hAnsi="Book Antiqua"/>
                <w:color w:val="auto"/>
              </w:rPr>
              <w:t>Follow</w:t>
            </w:r>
            <w:r w:rsidRPr="00561555">
              <w:rPr>
                <w:rFonts w:ascii="Book Antiqua" w:hAnsi="Book Antiqua"/>
                <w:b/>
              </w:rPr>
              <w:t>-</w:t>
            </w:r>
            <w:r w:rsidRPr="00561555">
              <w:rPr>
                <w:rFonts w:ascii="Book Antiqua" w:hAnsi="Book Antiqua"/>
                <w:b/>
                <w:color w:val="auto"/>
              </w:rPr>
              <w:t>up</w:t>
            </w:r>
            <w:r w:rsidRPr="00561555">
              <w:rPr>
                <w:rFonts w:ascii="Book Antiqua" w:hAnsi="Book Antiqua"/>
                <w:color w:val="auto"/>
              </w:rPr>
              <w:t xml:space="preserve"> </w:t>
            </w:r>
            <w:r w:rsidR="005479C3" w:rsidRPr="00561555">
              <w:rPr>
                <w:rFonts w:ascii="Book Antiqua" w:hAnsi="Book Antiqua"/>
                <w:b/>
                <w:color w:val="auto"/>
                <w:lang w:eastAsia="zh-CN"/>
              </w:rPr>
              <w:t>(</w:t>
            </w:r>
            <w:r w:rsidR="005479C3" w:rsidRPr="00561555">
              <w:rPr>
                <w:rFonts w:ascii="Book Antiqua" w:hAnsi="Book Antiqua"/>
                <w:b/>
                <w:color w:val="auto"/>
              </w:rPr>
              <w:t>y</w:t>
            </w:r>
            <w:r w:rsidRPr="00561555">
              <w:rPr>
                <w:rFonts w:ascii="Book Antiqua" w:hAnsi="Book Antiqua"/>
                <w:b/>
                <w:color w:val="auto"/>
              </w:rPr>
              <w:t>r</w:t>
            </w:r>
            <w:r w:rsidR="005479C3" w:rsidRPr="00561555">
              <w:rPr>
                <w:rFonts w:ascii="Book Antiqua" w:hAnsi="Book Antiqua"/>
                <w:b/>
                <w:color w:val="auto"/>
                <w:lang w:eastAsia="zh-CN"/>
              </w:rPr>
              <w:t>)</w:t>
            </w:r>
          </w:p>
        </w:tc>
        <w:tc>
          <w:tcPr>
            <w:tcW w:w="0" w:type="auto"/>
            <w:tcBorders>
              <w:top w:val="nil"/>
              <w:bottom w:val="single" w:sz="4" w:space="0" w:color="auto"/>
            </w:tcBorders>
            <w:shd w:val="clear" w:color="auto" w:fill="auto"/>
            <w:vAlign w:val="center"/>
          </w:tcPr>
          <w:p w:rsidR="003E410E" w:rsidRPr="00561555" w:rsidRDefault="003E410E" w:rsidP="003805ED">
            <w:pPr>
              <w:pStyle w:val="sty-11C"/>
              <w:snapToGrid w:val="0"/>
              <w:spacing w:line="360" w:lineRule="auto"/>
              <w:rPr>
                <w:rFonts w:ascii="Book Antiqua" w:hAnsi="Book Antiqua"/>
                <w:color w:val="auto"/>
              </w:rPr>
            </w:pPr>
            <w:r w:rsidRPr="00561555">
              <w:rPr>
                <w:rStyle w:val="textbf"/>
                <w:rFonts w:ascii="Book Antiqua" w:hAnsi="Book Antiqua"/>
                <w:color w:val="auto"/>
              </w:rPr>
              <w:t>Factor</w:t>
            </w:r>
          </w:p>
        </w:tc>
        <w:tc>
          <w:tcPr>
            <w:tcW w:w="0" w:type="auto"/>
            <w:tcBorders>
              <w:top w:val="nil"/>
              <w:bottom w:val="single" w:sz="4" w:space="0" w:color="auto"/>
            </w:tcBorders>
            <w:shd w:val="clear" w:color="auto" w:fill="auto"/>
            <w:vAlign w:val="center"/>
          </w:tcPr>
          <w:p w:rsidR="003E410E" w:rsidRPr="00561555" w:rsidRDefault="003E410E" w:rsidP="003805ED">
            <w:pPr>
              <w:pStyle w:val="sty-11C"/>
              <w:snapToGrid w:val="0"/>
              <w:spacing w:line="360" w:lineRule="auto"/>
              <w:rPr>
                <w:rFonts w:ascii="Book Antiqua" w:hAnsi="Book Antiqua"/>
                <w:color w:val="auto"/>
              </w:rPr>
            </w:pPr>
            <w:bookmarkStart w:id="118" w:name="OLE_LINK765"/>
            <w:bookmarkStart w:id="119" w:name="OLE_LINK766"/>
            <w:r w:rsidRPr="00561555">
              <w:rPr>
                <w:rStyle w:val="textbf"/>
                <w:rFonts w:ascii="Book Antiqua" w:hAnsi="Book Antiqua"/>
                <w:color w:val="auto"/>
              </w:rPr>
              <w:t>QATSDD</w:t>
            </w:r>
            <w:bookmarkEnd w:id="118"/>
            <w:bookmarkEnd w:id="119"/>
          </w:p>
        </w:tc>
      </w:tr>
      <w:tr w:rsidR="003E410E" w:rsidRPr="00561555" w:rsidTr="00196D99">
        <w:tc>
          <w:tcPr>
            <w:tcW w:w="0" w:type="auto"/>
            <w:vMerge w:val="restart"/>
            <w:shd w:val="clear" w:color="auto" w:fill="auto"/>
            <w:vAlign w:val="center"/>
          </w:tcPr>
          <w:p w:rsidR="003E410E" w:rsidRPr="00561555" w:rsidRDefault="003E410E" w:rsidP="00561555">
            <w:pPr>
              <w:pStyle w:val="sty-11C"/>
              <w:snapToGrid w:val="0"/>
              <w:spacing w:line="360" w:lineRule="auto"/>
              <w:rPr>
                <w:rFonts w:ascii="Book Antiqua" w:hAnsi="Book Antiqua"/>
                <w:color w:val="auto"/>
                <w:lang w:eastAsia="zh-CN"/>
              </w:rPr>
            </w:pPr>
            <w:bookmarkStart w:id="120" w:name="OLE_LINK756"/>
            <w:bookmarkStart w:id="121" w:name="OLE_LINK757"/>
            <w:r w:rsidRPr="00561555">
              <w:rPr>
                <w:rFonts w:ascii="Book Antiqua" w:hAnsi="Book Antiqua"/>
                <w:color w:val="auto"/>
              </w:rPr>
              <w:t>Beaugerie</w:t>
            </w:r>
            <w:bookmarkEnd w:id="120"/>
            <w:bookmarkEnd w:id="121"/>
            <w:r w:rsidRPr="00561555">
              <w:rPr>
                <w:rFonts w:ascii="Book Antiqua" w:hAnsi="Book Antiqua"/>
                <w:color w:val="auto"/>
              </w:rPr>
              <w:t xml:space="preserve"> </w:t>
            </w:r>
            <w:r w:rsidRPr="00561555">
              <w:rPr>
                <w:rFonts w:ascii="Book Antiqua" w:hAnsi="Book Antiqua"/>
                <w:i/>
                <w:color w:val="auto"/>
              </w:rPr>
              <w:t>et al</w:t>
            </w:r>
            <w:bookmarkStart w:id="122" w:name="OLE_LINK760"/>
            <w:bookmarkStart w:id="123" w:name="OLE_LINK761"/>
            <w:r w:rsidR="00196D99" w:rsidRPr="00561555">
              <w:rPr>
                <w:rFonts w:ascii="Book Antiqua" w:hAnsi="Book Antiqua"/>
                <w:color w:val="auto"/>
                <w:vertAlign w:val="superscript"/>
                <w:lang w:eastAsia="zh-CN"/>
              </w:rPr>
              <w:t>[6]</w:t>
            </w:r>
            <w:bookmarkEnd w:id="122"/>
            <w:bookmarkEnd w:id="123"/>
          </w:p>
          <w:p w:rsidR="003E410E" w:rsidRPr="00561555" w:rsidRDefault="003E410E" w:rsidP="00561555">
            <w:pPr>
              <w:pStyle w:val="sty-11C"/>
              <w:snapToGrid w:val="0"/>
              <w:spacing w:line="360" w:lineRule="auto"/>
              <w:rPr>
                <w:rFonts w:ascii="Book Antiqua" w:hAnsi="Book Antiqua"/>
                <w:color w:val="auto"/>
              </w:rPr>
            </w:pPr>
          </w:p>
        </w:tc>
        <w:tc>
          <w:tcPr>
            <w:tcW w:w="0" w:type="auto"/>
            <w:vMerge w:val="restart"/>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France</w:t>
            </w:r>
          </w:p>
        </w:tc>
        <w:tc>
          <w:tcPr>
            <w:tcW w:w="0" w:type="auto"/>
            <w:vMerge w:val="restart"/>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1123</w:t>
            </w:r>
          </w:p>
        </w:tc>
        <w:tc>
          <w:tcPr>
            <w:tcW w:w="0" w:type="auto"/>
            <w:vMerge w:val="restart"/>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Retrospective</w:t>
            </w:r>
          </w:p>
        </w:tc>
        <w:tc>
          <w:tcPr>
            <w:tcW w:w="0" w:type="auto"/>
            <w:vMerge w:val="restart"/>
            <w:shd w:val="clear" w:color="auto" w:fill="auto"/>
            <w:vAlign w:val="center"/>
          </w:tcPr>
          <w:p w:rsidR="003E410E" w:rsidRPr="007A038A" w:rsidRDefault="003E410E" w:rsidP="00561555">
            <w:pPr>
              <w:pStyle w:val="sty-11C"/>
              <w:snapToGrid w:val="0"/>
              <w:spacing w:line="360" w:lineRule="auto"/>
              <w:rPr>
                <w:rFonts w:ascii="Book Antiqua" w:hAnsi="Book Antiqua"/>
                <w:color w:val="auto"/>
              </w:rPr>
            </w:pPr>
            <w:r w:rsidRPr="007A038A">
              <w:rPr>
                <w:rFonts w:ascii="Book Antiqua" w:hAnsi="Book Antiqua"/>
                <w:color w:val="auto"/>
              </w:rPr>
              <w:t>85.2</w:t>
            </w:r>
            <w:r w:rsidR="007A038A" w:rsidRPr="007A038A">
              <w:rPr>
                <w:rStyle w:val="textbf"/>
                <w:rFonts w:ascii="Book Antiqua" w:hAnsi="Book Antiqua"/>
                <w:b w:val="0"/>
                <w:color w:val="auto"/>
              </w:rPr>
              <w:t>%</w:t>
            </w:r>
          </w:p>
        </w:tc>
        <w:tc>
          <w:tcPr>
            <w:tcW w:w="0" w:type="auto"/>
            <w:vMerge w:val="restart"/>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5</w:t>
            </w:r>
          </w:p>
        </w:tc>
        <w:tc>
          <w:tcPr>
            <w:tcW w:w="0" w:type="auto"/>
            <w:shd w:val="clear" w:color="auto" w:fill="auto"/>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Age (under 40)</w:t>
            </w:r>
          </w:p>
        </w:tc>
        <w:tc>
          <w:tcPr>
            <w:tcW w:w="0" w:type="auto"/>
            <w:vMerge w:val="restart"/>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22</w:t>
            </w:r>
          </w:p>
        </w:tc>
      </w:tr>
      <w:tr w:rsidR="003E410E" w:rsidRPr="00561555" w:rsidTr="00196D99">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7A038A"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shd w:val="clear" w:color="auto" w:fill="auto"/>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Steroids for 1</w:t>
            </w:r>
            <w:r w:rsidRPr="00561555">
              <w:rPr>
                <w:rFonts w:ascii="Book Antiqua" w:hAnsi="Book Antiqua"/>
                <w:color w:val="auto"/>
                <w:vertAlign w:val="superscript"/>
              </w:rPr>
              <w:t>st</w:t>
            </w:r>
            <w:r w:rsidRPr="00561555">
              <w:rPr>
                <w:rFonts w:ascii="Book Antiqua" w:hAnsi="Book Antiqua"/>
                <w:color w:val="auto"/>
              </w:rPr>
              <w:t xml:space="preserve"> flare</w:t>
            </w: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r>
      <w:tr w:rsidR="003E410E" w:rsidRPr="00561555" w:rsidTr="00196D99">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7A038A"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shd w:val="clear" w:color="auto" w:fill="auto"/>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Perianal disease</w:t>
            </w: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r>
      <w:tr w:rsidR="003E410E" w:rsidRPr="00561555" w:rsidTr="00196D99">
        <w:tc>
          <w:tcPr>
            <w:tcW w:w="0" w:type="auto"/>
            <w:vMerge w:val="restart"/>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bookmarkStart w:id="124" w:name="OLE_LINK758"/>
            <w:bookmarkStart w:id="125" w:name="OLE_LINK759"/>
            <w:r w:rsidRPr="00561555">
              <w:rPr>
                <w:rFonts w:ascii="Book Antiqua" w:hAnsi="Book Antiqua"/>
                <w:color w:val="auto"/>
              </w:rPr>
              <w:t>Loly</w:t>
            </w:r>
            <w:bookmarkEnd w:id="124"/>
            <w:bookmarkEnd w:id="125"/>
            <w:r w:rsidRPr="00561555">
              <w:rPr>
                <w:rFonts w:ascii="Book Antiqua" w:hAnsi="Book Antiqua"/>
                <w:color w:val="auto"/>
              </w:rPr>
              <w:t xml:space="preserve"> </w:t>
            </w:r>
            <w:r w:rsidRPr="00561555">
              <w:rPr>
                <w:rFonts w:ascii="Book Antiqua" w:hAnsi="Book Antiqua"/>
                <w:i/>
                <w:color w:val="auto"/>
              </w:rPr>
              <w:t>et al</w:t>
            </w:r>
            <w:bookmarkStart w:id="126" w:name="OLE_LINK764"/>
            <w:r w:rsidR="00196D99" w:rsidRPr="00561555">
              <w:rPr>
                <w:rFonts w:ascii="Book Antiqua" w:hAnsi="Book Antiqua"/>
                <w:color w:val="auto"/>
                <w:vertAlign w:val="superscript"/>
                <w:lang w:eastAsia="zh-CN"/>
              </w:rPr>
              <w:t>[7]</w:t>
            </w:r>
            <w:bookmarkEnd w:id="126"/>
          </w:p>
          <w:p w:rsidR="003E410E" w:rsidRPr="00561555" w:rsidRDefault="003E410E" w:rsidP="00561555">
            <w:pPr>
              <w:pStyle w:val="sty-11C"/>
              <w:snapToGrid w:val="0"/>
              <w:spacing w:line="360" w:lineRule="auto"/>
              <w:rPr>
                <w:rFonts w:ascii="Book Antiqua" w:hAnsi="Book Antiqua"/>
                <w:color w:val="auto"/>
              </w:rPr>
            </w:pPr>
          </w:p>
        </w:tc>
        <w:tc>
          <w:tcPr>
            <w:tcW w:w="0" w:type="auto"/>
            <w:vMerge w:val="restart"/>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Belgium</w:t>
            </w:r>
          </w:p>
        </w:tc>
        <w:tc>
          <w:tcPr>
            <w:tcW w:w="0" w:type="auto"/>
            <w:vMerge w:val="restart"/>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361</w:t>
            </w:r>
          </w:p>
        </w:tc>
        <w:tc>
          <w:tcPr>
            <w:tcW w:w="0" w:type="auto"/>
            <w:vMerge w:val="restart"/>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Retrospective</w:t>
            </w:r>
          </w:p>
        </w:tc>
        <w:tc>
          <w:tcPr>
            <w:tcW w:w="0" w:type="auto"/>
            <w:vMerge w:val="restart"/>
            <w:shd w:val="clear" w:color="auto" w:fill="auto"/>
            <w:vAlign w:val="center"/>
          </w:tcPr>
          <w:p w:rsidR="003E410E" w:rsidRPr="007A038A" w:rsidRDefault="003E410E" w:rsidP="00561555">
            <w:pPr>
              <w:pStyle w:val="sty-11C"/>
              <w:snapToGrid w:val="0"/>
              <w:spacing w:line="360" w:lineRule="auto"/>
              <w:rPr>
                <w:rFonts w:ascii="Book Antiqua" w:hAnsi="Book Antiqua"/>
                <w:color w:val="auto"/>
              </w:rPr>
            </w:pPr>
            <w:r w:rsidRPr="007A038A">
              <w:rPr>
                <w:rFonts w:ascii="Book Antiqua" w:hAnsi="Book Antiqua"/>
                <w:color w:val="auto"/>
              </w:rPr>
              <w:t>57.9</w:t>
            </w:r>
            <w:r w:rsidR="007A038A" w:rsidRPr="007A038A">
              <w:rPr>
                <w:rStyle w:val="textbf"/>
                <w:rFonts w:ascii="Book Antiqua" w:hAnsi="Book Antiqua"/>
                <w:b w:val="0"/>
                <w:color w:val="auto"/>
              </w:rPr>
              <w:t>%</w:t>
            </w:r>
          </w:p>
        </w:tc>
        <w:tc>
          <w:tcPr>
            <w:tcW w:w="0" w:type="auto"/>
            <w:vMerge w:val="restart"/>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5</w:t>
            </w:r>
          </w:p>
        </w:tc>
        <w:tc>
          <w:tcPr>
            <w:tcW w:w="0" w:type="auto"/>
            <w:shd w:val="clear" w:color="auto" w:fill="auto"/>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Steroids for 1</w:t>
            </w:r>
            <w:r w:rsidRPr="003551DF">
              <w:rPr>
                <w:rFonts w:ascii="Book Antiqua" w:hAnsi="Book Antiqua"/>
                <w:color w:val="auto"/>
                <w:vertAlign w:val="superscript"/>
              </w:rPr>
              <w:t>st</w:t>
            </w:r>
            <w:r w:rsidRPr="00561555">
              <w:rPr>
                <w:rFonts w:ascii="Book Antiqua" w:hAnsi="Book Antiqua"/>
                <w:color w:val="auto"/>
              </w:rPr>
              <w:t xml:space="preserve"> flare</w:t>
            </w:r>
          </w:p>
        </w:tc>
        <w:tc>
          <w:tcPr>
            <w:tcW w:w="0" w:type="auto"/>
            <w:vMerge w:val="restart"/>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18</w:t>
            </w:r>
          </w:p>
        </w:tc>
      </w:tr>
      <w:tr w:rsidR="003E410E" w:rsidRPr="00561555" w:rsidTr="00196D99">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7A038A"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Perianal disease</w:t>
            </w: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r>
      <w:tr w:rsidR="003E410E" w:rsidRPr="00561555" w:rsidTr="00196D99">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7A038A"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shd w:val="clear" w:color="auto" w:fill="auto"/>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L3</w:t>
            </w: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r>
      <w:tr w:rsidR="003E410E" w:rsidRPr="00561555" w:rsidTr="00196D99">
        <w:tc>
          <w:tcPr>
            <w:tcW w:w="0" w:type="auto"/>
            <w:vMerge w:val="restart"/>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bookmarkStart w:id="127" w:name="OLE_LINK762"/>
            <w:bookmarkStart w:id="128" w:name="OLE_LINK763"/>
            <w:r w:rsidRPr="00561555">
              <w:rPr>
                <w:rFonts w:ascii="Book Antiqua" w:hAnsi="Book Antiqua"/>
                <w:color w:val="auto"/>
              </w:rPr>
              <w:t xml:space="preserve">Yang </w:t>
            </w:r>
            <w:bookmarkEnd w:id="127"/>
            <w:bookmarkEnd w:id="128"/>
            <w:r w:rsidRPr="00561555">
              <w:rPr>
                <w:rFonts w:ascii="Book Antiqua" w:hAnsi="Book Antiqua"/>
                <w:i/>
                <w:color w:val="auto"/>
              </w:rPr>
              <w:t>et al</w:t>
            </w:r>
            <w:r w:rsidR="00196D99" w:rsidRPr="00561555">
              <w:rPr>
                <w:rFonts w:ascii="Book Antiqua" w:hAnsi="Book Antiqua"/>
                <w:color w:val="auto"/>
                <w:vertAlign w:val="superscript"/>
                <w:lang w:eastAsia="zh-CN"/>
              </w:rPr>
              <w:t>[8]</w:t>
            </w:r>
          </w:p>
          <w:p w:rsidR="003E410E" w:rsidRPr="00561555" w:rsidRDefault="003E410E" w:rsidP="00561555">
            <w:pPr>
              <w:pStyle w:val="sty-11C"/>
              <w:snapToGrid w:val="0"/>
              <w:spacing w:line="360" w:lineRule="auto"/>
              <w:rPr>
                <w:rFonts w:ascii="Book Antiqua" w:hAnsi="Book Antiqua"/>
                <w:color w:val="auto"/>
              </w:rPr>
            </w:pPr>
          </w:p>
        </w:tc>
        <w:tc>
          <w:tcPr>
            <w:tcW w:w="0" w:type="auto"/>
            <w:vMerge w:val="restart"/>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China</w:t>
            </w:r>
          </w:p>
        </w:tc>
        <w:tc>
          <w:tcPr>
            <w:tcW w:w="0" w:type="auto"/>
            <w:vMerge w:val="restart"/>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207</w:t>
            </w:r>
          </w:p>
        </w:tc>
        <w:tc>
          <w:tcPr>
            <w:tcW w:w="0" w:type="auto"/>
            <w:vMerge w:val="restart"/>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Retrospective</w:t>
            </w:r>
          </w:p>
        </w:tc>
        <w:tc>
          <w:tcPr>
            <w:tcW w:w="0" w:type="auto"/>
            <w:vMerge w:val="restart"/>
            <w:shd w:val="clear" w:color="auto" w:fill="auto"/>
            <w:vAlign w:val="center"/>
          </w:tcPr>
          <w:p w:rsidR="003E410E" w:rsidRPr="007A038A" w:rsidRDefault="003E410E" w:rsidP="00561555">
            <w:pPr>
              <w:pStyle w:val="sty-11C"/>
              <w:snapToGrid w:val="0"/>
              <w:spacing w:line="360" w:lineRule="auto"/>
              <w:rPr>
                <w:rFonts w:ascii="Book Antiqua" w:hAnsi="Book Antiqua"/>
                <w:color w:val="auto"/>
              </w:rPr>
            </w:pPr>
            <w:r w:rsidRPr="007A038A">
              <w:rPr>
                <w:rFonts w:ascii="Book Antiqua" w:hAnsi="Book Antiqua"/>
                <w:color w:val="auto"/>
              </w:rPr>
              <w:t>71.0</w:t>
            </w:r>
            <w:r w:rsidR="007A038A" w:rsidRPr="007A038A">
              <w:rPr>
                <w:rStyle w:val="textbf"/>
                <w:rFonts w:ascii="Book Antiqua" w:hAnsi="Book Antiqua"/>
                <w:b w:val="0"/>
                <w:color w:val="auto"/>
              </w:rPr>
              <w:t>%</w:t>
            </w:r>
          </w:p>
        </w:tc>
        <w:tc>
          <w:tcPr>
            <w:tcW w:w="0" w:type="auto"/>
            <w:vMerge w:val="restart"/>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2</w:t>
            </w:r>
          </w:p>
        </w:tc>
        <w:tc>
          <w:tcPr>
            <w:tcW w:w="0" w:type="auto"/>
            <w:shd w:val="clear" w:color="auto" w:fill="auto"/>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Steroids for 1</w:t>
            </w:r>
            <w:r w:rsidRPr="00561555">
              <w:rPr>
                <w:rFonts w:ascii="Book Antiqua" w:hAnsi="Book Antiqua"/>
                <w:color w:val="auto"/>
                <w:vertAlign w:val="superscript"/>
              </w:rPr>
              <w:t>st</w:t>
            </w:r>
            <w:r w:rsidRPr="00561555">
              <w:rPr>
                <w:rFonts w:ascii="Book Antiqua" w:hAnsi="Book Antiqua"/>
                <w:color w:val="auto"/>
              </w:rPr>
              <w:t xml:space="preserve"> flare</w:t>
            </w:r>
          </w:p>
        </w:tc>
        <w:tc>
          <w:tcPr>
            <w:tcW w:w="0" w:type="auto"/>
            <w:vMerge w:val="restart"/>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21</w:t>
            </w:r>
          </w:p>
        </w:tc>
      </w:tr>
      <w:tr w:rsidR="003E410E" w:rsidRPr="00561555" w:rsidTr="00196D99">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7A038A"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Perianal disease</w:t>
            </w:r>
          </w:p>
        </w:tc>
        <w:tc>
          <w:tcPr>
            <w:tcW w:w="0" w:type="auto"/>
            <w:vMerge/>
            <w:shd w:val="clear" w:color="auto" w:fill="auto"/>
            <w:vAlign w:val="center"/>
          </w:tcPr>
          <w:p w:rsidR="003E410E" w:rsidRPr="00561555" w:rsidRDefault="003E410E" w:rsidP="00561555">
            <w:pPr>
              <w:pStyle w:val="sty-11C"/>
              <w:snapToGrid w:val="0"/>
              <w:spacing w:line="360" w:lineRule="auto"/>
              <w:jc w:val="both"/>
              <w:rPr>
                <w:rFonts w:ascii="Book Antiqua" w:hAnsi="Book Antiqua"/>
                <w:color w:val="auto"/>
              </w:rPr>
            </w:pPr>
          </w:p>
        </w:tc>
      </w:tr>
      <w:tr w:rsidR="003E410E" w:rsidRPr="00561555" w:rsidTr="00196D99">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vMerge/>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p>
        </w:tc>
        <w:tc>
          <w:tcPr>
            <w:tcW w:w="0" w:type="auto"/>
            <w:shd w:val="clear" w:color="auto" w:fill="auto"/>
            <w:vAlign w:val="center"/>
          </w:tcPr>
          <w:p w:rsidR="003E410E" w:rsidRPr="007A038A" w:rsidRDefault="003E410E" w:rsidP="00561555">
            <w:pPr>
              <w:pStyle w:val="sty-11C"/>
              <w:snapToGrid w:val="0"/>
              <w:spacing w:line="360" w:lineRule="auto"/>
              <w:rPr>
                <w:rFonts w:ascii="Book Antiqua" w:hAnsi="Book Antiqua"/>
                <w:color w:val="auto"/>
              </w:rPr>
            </w:pPr>
            <w:r w:rsidRPr="007A038A">
              <w:rPr>
                <w:rFonts w:ascii="Book Antiqua" w:hAnsi="Book Antiqua"/>
                <w:color w:val="auto"/>
              </w:rPr>
              <w:t>80.2</w:t>
            </w:r>
            <w:r w:rsidR="007A038A" w:rsidRPr="007A038A">
              <w:rPr>
                <w:rStyle w:val="textbf"/>
                <w:rFonts w:ascii="Book Antiqua" w:hAnsi="Book Antiqua"/>
                <w:b w:val="0"/>
                <w:color w:val="auto"/>
              </w:rPr>
              <w:t>%</w:t>
            </w:r>
          </w:p>
        </w:tc>
        <w:tc>
          <w:tcPr>
            <w:tcW w:w="0" w:type="auto"/>
            <w:shd w:val="clear" w:color="auto" w:fill="auto"/>
            <w:vAlign w:val="center"/>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5</w:t>
            </w:r>
          </w:p>
        </w:tc>
        <w:tc>
          <w:tcPr>
            <w:tcW w:w="0" w:type="auto"/>
            <w:shd w:val="clear" w:color="auto" w:fill="auto"/>
          </w:tcPr>
          <w:p w:rsidR="003E410E" w:rsidRPr="00561555" w:rsidRDefault="003E410E" w:rsidP="00561555">
            <w:pPr>
              <w:pStyle w:val="sty-11C"/>
              <w:snapToGrid w:val="0"/>
              <w:spacing w:line="360" w:lineRule="auto"/>
              <w:rPr>
                <w:rFonts w:ascii="Book Antiqua" w:hAnsi="Book Antiqua"/>
                <w:color w:val="auto"/>
              </w:rPr>
            </w:pPr>
            <w:r w:rsidRPr="00561555">
              <w:rPr>
                <w:rFonts w:ascii="Book Antiqua" w:hAnsi="Book Antiqua"/>
                <w:color w:val="auto"/>
              </w:rPr>
              <w:t>Age (under 40)</w:t>
            </w:r>
          </w:p>
        </w:tc>
        <w:tc>
          <w:tcPr>
            <w:tcW w:w="0" w:type="auto"/>
            <w:vMerge/>
            <w:shd w:val="clear" w:color="auto" w:fill="auto"/>
          </w:tcPr>
          <w:p w:rsidR="003E410E" w:rsidRPr="00561555" w:rsidRDefault="003E410E" w:rsidP="00561555">
            <w:pPr>
              <w:snapToGrid w:val="0"/>
              <w:spacing w:line="360" w:lineRule="auto"/>
              <w:jc w:val="both"/>
              <w:rPr>
                <w:rFonts w:ascii="Book Antiqua" w:hAnsi="Book Antiqua"/>
                <w:color w:val="auto"/>
              </w:rPr>
            </w:pPr>
          </w:p>
        </w:tc>
      </w:tr>
    </w:tbl>
    <w:p w:rsidR="006118AE" w:rsidRPr="00561555" w:rsidRDefault="00EE6B99" w:rsidP="00561555">
      <w:pPr>
        <w:snapToGrid w:val="0"/>
        <w:spacing w:line="360" w:lineRule="auto"/>
        <w:jc w:val="both"/>
        <w:rPr>
          <w:rFonts w:ascii="Book Antiqua" w:hAnsi="Book Antiqua"/>
          <w:lang w:eastAsia="zh-CN"/>
        </w:rPr>
      </w:pPr>
      <w:r w:rsidRPr="00561555">
        <w:rPr>
          <w:rStyle w:val="textbf"/>
          <w:rFonts w:ascii="Book Antiqua" w:hAnsi="Book Antiqua"/>
          <w:b w:val="0"/>
          <w:color w:val="auto"/>
        </w:rPr>
        <w:t>QATSDD</w:t>
      </w:r>
      <w:r w:rsidRPr="00561555">
        <w:rPr>
          <w:rStyle w:val="textbf"/>
          <w:rFonts w:ascii="Book Antiqua" w:hAnsi="Book Antiqua"/>
          <w:b w:val="0"/>
          <w:color w:val="auto"/>
          <w:lang w:eastAsia="zh-CN"/>
        </w:rPr>
        <w:t>:</w:t>
      </w:r>
      <w:r w:rsidRPr="00561555">
        <w:rPr>
          <w:rFonts w:ascii="Book Antiqua" w:hAnsi="Book Antiqua"/>
          <w:color w:val="auto"/>
        </w:rPr>
        <w:t xml:space="preserve"> 16-item quality assessment tool</w:t>
      </w:r>
      <w:r w:rsidRPr="00561555">
        <w:rPr>
          <w:rFonts w:ascii="Book Antiqua" w:hAnsi="Book Antiqua"/>
          <w:color w:val="auto"/>
          <w:lang w:eastAsia="zh-CN"/>
        </w:rPr>
        <w:t>.</w:t>
      </w:r>
    </w:p>
    <w:sectPr w:rsidR="006118AE" w:rsidRPr="00561555" w:rsidSect="00561555">
      <w:pgSz w:w="17010" w:h="16902"/>
      <w:pgMar w:top="1134"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CC" w:rsidRDefault="00B545CC" w:rsidP="00356413">
      <w:r>
        <w:separator/>
      </w:r>
    </w:p>
  </w:endnote>
  <w:endnote w:type="continuationSeparator" w:id="0">
    <w:p w:rsidR="00B545CC" w:rsidRDefault="00B545CC" w:rsidP="0035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CC" w:rsidRDefault="00B545CC" w:rsidP="00356413">
      <w:r>
        <w:separator/>
      </w:r>
    </w:p>
  </w:footnote>
  <w:footnote w:type="continuationSeparator" w:id="0">
    <w:p w:rsidR="00B545CC" w:rsidRDefault="00B545CC" w:rsidP="00356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0E"/>
    <w:rsid w:val="00064FF0"/>
    <w:rsid w:val="00066E20"/>
    <w:rsid w:val="0006712C"/>
    <w:rsid w:val="00092F72"/>
    <w:rsid w:val="000A483E"/>
    <w:rsid w:val="0016213F"/>
    <w:rsid w:val="00196D99"/>
    <w:rsid w:val="001A74EA"/>
    <w:rsid w:val="00261109"/>
    <w:rsid w:val="002D0E39"/>
    <w:rsid w:val="002E6CB4"/>
    <w:rsid w:val="003510C5"/>
    <w:rsid w:val="003551DF"/>
    <w:rsid w:val="00356413"/>
    <w:rsid w:val="003805ED"/>
    <w:rsid w:val="003B1BEF"/>
    <w:rsid w:val="003E410E"/>
    <w:rsid w:val="0046071F"/>
    <w:rsid w:val="004A6862"/>
    <w:rsid w:val="004F4514"/>
    <w:rsid w:val="005151FA"/>
    <w:rsid w:val="005479C3"/>
    <w:rsid w:val="00561555"/>
    <w:rsid w:val="00594490"/>
    <w:rsid w:val="005B3C12"/>
    <w:rsid w:val="005C618D"/>
    <w:rsid w:val="005D6044"/>
    <w:rsid w:val="00611036"/>
    <w:rsid w:val="006118AE"/>
    <w:rsid w:val="00663C14"/>
    <w:rsid w:val="0066505B"/>
    <w:rsid w:val="00670F40"/>
    <w:rsid w:val="006B1C89"/>
    <w:rsid w:val="006B78F2"/>
    <w:rsid w:val="006C422B"/>
    <w:rsid w:val="006C7A34"/>
    <w:rsid w:val="00775E15"/>
    <w:rsid w:val="007A038A"/>
    <w:rsid w:val="007B06F0"/>
    <w:rsid w:val="007B56D1"/>
    <w:rsid w:val="00840F6A"/>
    <w:rsid w:val="00896065"/>
    <w:rsid w:val="008C56BC"/>
    <w:rsid w:val="008D4615"/>
    <w:rsid w:val="00920B07"/>
    <w:rsid w:val="009328E2"/>
    <w:rsid w:val="00964B8B"/>
    <w:rsid w:val="00985A17"/>
    <w:rsid w:val="009A4260"/>
    <w:rsid w:val="009E22F3"/>
    <w:rsid w:val="00A3265A"/>
    <w:rsid w:val="00A33C66"/>
    <w:rsid w:val="00AB455D"/>
    <w:rsid w:val="00B2559E"/>
    <w:rsid w:val="00B5051F"/>
    <w:rsid w:val="00B545CC"/>
    <w:rsid w:val="00B80D18"/>
    <w:rsid w:val="00C26535"/>
    <w:rsid w:val="00C85569"/>
    <w:rsid w:val="00C97764"/>
    <w:rsid w:val="00CD62D5"/>
    <w:rsid w:val="00D511DA"/>
    <w:rsid w:val="00D76377"/>
    <w:rsid w:val="00E21EB4"/>
    <w:rsid w:val="00EE0171"/>
    <w:rsid w:val="00EE6B99"/>
    <w:rsid w:val="00F243AF"/>
    <w:rsid w:val="00F77E45"/>
    <w:rsid w:val="00FB4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10E"/>
    <w:pPr>
      <w:widowControl w:val="0"/>
      <w:suppressAutoHyphens/>
    </w:pPr>
    <w:rPr>
      <w:rFonts w:ascii="Times New Roman" w:eastAsia="Arial Unicode MS" w:hAnsi="Times New Roman" w:cs="Tahoma"/>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erence-ref">
    <w:name w:val="reference-ref"/>
    <w:rsid w:val="003E410E"/>
    <w:rPr>
      <w:u w:val="thick"/>
    </w:rPr>
  </w:style>
  <w:style w:type="character" w:customStyle="1" w:styleId="caption-title">
    <w:name w:val="caption-title"/>
    <w:rsid w:val="003E410E"/>
    <w:rPr>
      <w:b/>
      <w:i w:val="0"/>
    </w:rPr>
  </w:style>
  <w:style w:type="character" w:customStyle="1" w:styleId="textcolor2">
    <w:name w:val="textcolor2"/>
    <w:rsid w:val="003E410E"/>
    <w:rPr>
      <w:shd w:val="clear" w:color="auto" w:fill="auto"/>
    </w:rPr>
  </w:style>
  <w:style w:type="character" w:customStyle="1" w:styleId="textcolor3">
    <w:name w:val="textcolor3"/>
    <w:rsid w:val="003E410E"/>
    <w:rPr>
      <w:shd w:val="clear" w:color="auto" w:fill="auto"/>
    </w:rPr>
  </w:style>
  <w:style w:type="character" w:customStyle="1" w:styleId="textcolor4">
    <w:name w:val="textcolor4"/>
    <w:rsid w:val="003E410E"/>
    <w:rPr>
      <w:shd w:val="clear" w:color="auto" w:fill="auto"/>
    </w:rPr>
  </w:style>
  <w:style w:type="character" w:customStyle="1" w:styleId="textcolor5">
    <w:name w:val="textcolor5"/>
    <w:rsid w:val="003E410E"/>
    <w:rPr>
      <w:shd w:val="clear" w:color="auto" w:fill="auto"/>
    </w:rPr>
  </w:style>
  <w:style w:type="character" w:customStyle="1" w:styleId="textcolor6">
    <w:name w:val="textcolor6"/>
    <w:rsid w:val="003E410E"/>
    <w:rPr>
      <w:shd w:val="clear" w:color="auto" w:fill="auto"/>
    </w:rPr>
  </w:style>
  <w:style w:type="character" w:customStyle="1" w:styleId="textcolor7">
    <w:name w:val="textcolor7"/>
    <w:rsid w:val="003E410E"/>
    <w:rPr>
      <w:shd w:val="clear" w:color="auto" w:fill="auto"/>
    </w:rPr>
  </w:style>
  <w:style w:type="character" w:customStyle="1" w:styleId="textcolor8">
    <w:name w:val="textcolor8"/>
    <w:rsid w:val="003E410E"/>
    <w:rPr>
      <w:shd w:val="clear" w:color="auto" w:fill="auto"/>
    </w:rPr>
  </w:style>
  <w:style w:type="character" w:customStyle="1" w:styleId="textcolor9">
    <w:name w:val="textcolor9"/>
    <w:rsid w:val="003E410E"/>
    <w:rPr>
      <w:shd w:val="clear" w:color="auto" w:fill="auto"/>
    </w:rPr>
  </w:style>
  <w:style w:type="character" w:customStyle="1" w:styleId="textcolor10">
    <w:name w:val="textcolor10"/>
    <w:rsid w:val="003E410E"/>
    <w:rPr>
      <w:shd w:val="clear" w:color="auto" w:fill="auto"/>
    </w:rPr>
  </w:style>
  <w:style w:type="character" w:customStyle="1" w:styleId="textcolor11">
    <w:name w:val="textcolor11"/>
    <w:rsid w:val="003E410E"/>
    <w:rPr>
      <w:shd w:val="clear" w:color="auto" w:fill="auto"/>
    </w:rPr>
  </w:style>
  <w:style w:type="character" w:customStyle="1" w:styleId="textcolor13">
    <w:name w:val="textcolor13"/>
    <w:rsid w:val="003E410E"/>
    <w:rPr>
      <w:shd w:val="clear" w:color="auto" w:fill="auto"/>
    </w:rPr>
  </w:style>
  <w:style w:type="character" w:customStyle="1" w:styleId="textcolor14">
    <w:name w:val="textcolor14"/>
    <w:rsid w:val="003E410E"/>
    <w:rPr>
      <w:shd w:val="clear" w:color="auto" w:fill="auto"/>
    </w:rPr>
  </w:style>
  <w:style w:type="character" w:customStyle="1" w:styleId="textcolor15">
    <w:name w:val="textcolor15"/>
    <w:rsid w:val="003E410E"/>
    <w:rPr>
      <w:shd w:val="clear" w:color="auto" w:fill="auto"/>
    </w:rPr>
  </w:style>
  <w:style w:type="character" w:styleId="a3">
    <w:name w:val="Emphasis"/>
    <w:uiPriority w:val="20"/>
    <w:qFormat/>
    <w:rsid w:val="003E410E"/>
    <w:rPr>
      <w:i/>
    </w:rPr>
  </w:style>
  <w:style w:type="character" w:customStyle="1" w:styleId="textbf">
    <w:name w:val="textbf"/>
    <w:rsid w:val="003E410E"/>
    <w:rPr>
      <w:b/>
      <w:i w:val="0"/>
    </w:rPr>
  </w:style>
  <w:style w:type="character" w:customStyle="1" w:styleId="sout">
    <w:name w:val="sout"/>
    <w:rsid w:val="003E410E"/>
    <w:rPr>
      <w:strike/>
      <w:u w:val="none"/>
    </w:rPr>
  </w:style>
  <w:style w:type="paragraph" w:customStyle="1" w:styleId="hline-p-hr">
    <w:name w:val="hline-p-hr"/>
    <w:rsid w:val="003E410E"/>
    <w:pPr>
      <w:widowControl w:val="0"/>
      <w:pBdr>
        <w:bottom w:val="single" w:sz="2" w:space="0" w:color="000000"/>
      </w:pBdr>
      <w:suppressAutoHyphens/>
      <w:spacing w:line="6" w:lineRule="exact"/>
    </w:pPr>
    <w:rPr>
      <w:rFonts w:ascii="Times New Roman" w:eastAsia="Arial Unicode MS" w:hAnsi="Times New Roman" w:cs="Tahoma"/>
      <w:color w:val="000000"/>
      <w:kern w:val="0"/>
      <w:sz w:val="24"/>
      <w:szCs w:val="24"/>
      <w:lang w:eastAsia="en-US" w:bidi="en-US"/>
    </w:rPr>
  </w:style>
  <w:style w:type="paragraph" w:customStyle="1" w:styleId="sty-11C">
    <w:name w:val="sty-11C"/>
    <w:basedOn w:val="a"/>
    <w:rsid w:val="003E410E"/>
    <w:pPr>
      <w:jc w:val="center"/>
    </w:pPr>
  </w:style>
  <w:style w:type="paragraph" w:customStyle="1" w:styleId="First-line-indent">
    <w:name w:val="First-line-indent"/>
    <w:basedOn w:val="Text-body"/>
    <w:rsid w:val="003E410E"/>
    <w:pPr>
      <w:ind w:firstLine="283"/>
    </w:pPr>
  </w:style>
  <w:style w:type="paragraph" w:customStyle="1" w:styleId="Text-body">
    <w:name w:val="Text-body"/>
    <w:basedOn w:val="a"/>
    <w:next w:val="First-line-indent"/>
    <w:rsid w:val="003E410E"/>
    <w:pPr>
      <w:spacing w:line="288" w:lineRule="auto"/>
      <w:jc w:val="both"/>
    </w:pPr>
  </w:style>
  <w:style w:type="paragraph" w:customStyle="1" w:styleId="end-env-p">
    <w:name w:val="end-env-p"/>
    <w:rsid w:val="003E410E"/>
    <w:pPr>
      <w:widowControl w:val="0"/>
      <w:suppressAutoHyphens/>
      <w:spacing w:after="113" w:line="6" w:lineRule="exact"/>
    </w:pPr>
    <w:rPr>
      <w:rFonts w:ascii="Times New Roman" w:eastAsia="Arial Unicode MS" w:hAnsi="Times New Roman" w:cs="Tahoma"/>
      <w:color w:val="000000"/>
      <w:kern w:val="0"/>
      <w:sz w:val="24"/>
      <w:szCs w:val="24"/>
      <w:lang w:eastAsia="en-US" w:bidi="en-US"/>
    </w:rPr>
  </w:style>
  <w:style w:type="paragraph" w:styleId="a4">
    <w:name w:val="Title"/>
    <w:basedOn w:val="a5"/>
    <w:next w:val="author"/>
    <w:link w:val="Char"/>
    <w:qFormat/>
    <w:rsid w:val="003E410E"/>
    <w:pPr>
      <w:keepNext/>
      <w:pBdr>
        <w:bottom w:val="none" w:sz="0" w:space="0" w:color="auto"/>
      </w:pBdr>
      <w:tabs>
        <w:tab w:val="clear" w:pos="4153"/>
        <w:tab w:val="clear" w:pos="8306"/>
      </w:tabs>
      <w:snapToGrid/>
      <w:spacing w:before="238" w:after="289"/>
    </w:pPr>
    <w:rPr>
      <w:rFonts w:ascii="Arial" w:eastAsia="MS Mincho" w:hAnsi="Arial"/>
      <w:sz w:val="28"/>
      <w:szCs w:val="28"/>
    </w:rPr>
  </w:style>
  <w:style w:type="character" w:customStyle="1" w:styleId="Char">
    <w:name w:val="标题 Char"/>
    <w:basedOn w:val="a0"/>
    <w:link w:val="a4"/>
    <w:rsid w:val="003E410E"/>
    <w:rPr>
      <w:rFonts w:ascii="Arial" w:eastAsia="MS Mincho" w:hAnsi="Arial" w:cs="Tahoma"/>
      <w:color w:val="000000"/>
      <w:kern w:val="0"/>
      <w:sz w:val="28"/>
      <w:szCs w:val="28"/>
      <w:lang w:eastAsia="en-US" w:bidi="en-US"/>
    </w:rPr>
  </w:style>
  <w:style w:type="paragraph" w:customStyle="1" w:styleId="author">
    <w:name w:val="author"/>
    <w:basedOn w:val="Text-body"/>
    <w:next w:val="1"/>
    <w:rsid w:val="003E410E"/>
    <w:pPr>
      <w:spacing w:after="113"/>
      <w:jc w:val="center"/>
    </w:pPr>
  </w:style>
  <w:style w:type="paragraph" w:customStyle="1" w:styleId="1">
    <w:name w:val="日期1"/>
    <w:basedOn w:val="Text-body"/>
    <w:next w:val="Text-body"/>
    <w:rsid w:val="003E410E"/>
    <w:pPr>
      <w:spacing w:after="113"/>
      <w:jc w:val="center"/>
    </w:pPr>
  </w:style>
  <w:style w:type="paragraph" w:customStyle="1" w:styleId="abstract">
    <w:name w:val="abstract"/>
    <w:basedOn w:val="Text-body"/>
    <w:next w:val="Text-body"/>
    <w:rsid w:val="003E410E"/>
    <w:pPr>
      <w:spacing w:after="113"/>
      <w:ind w:left="1701" w:right="1701"/>
    </w:pPr>
  </w:style>
  <w:style w:type="paragraph" w:customStyle="1" w:styleId="abstract-title">
    <w:name w:val="abstract-title"/>
    <w:basedOn w:val="abstract"/>
    <w:next w:val="abstract"/>
    <w:rsid w:val="003E410E"/>
    <w:pPr>
      <w:spacing w:before="283" w:after="0"/>
      <w:jc w:val="center"/>
    </w:pPr>
  </w:style>
  <w:style w:type="paragraph" w:customStyle="1" w:styleId="p-bibitem">
    <w:name w:val="p-bibitem"/>
    <w:basedOn w:val="a"/>
    <w:rsid w:val="003E410E"/>
    <w:pPr>
      <w:ind w:left="567" w:hanging="567"/>
    </w:pPr>
  </w:style>
  <w:style w:type="paragraph" w:customStyle="1" w:styleId="Heading-2">
    <w:name w:val="Heading-2"/>
    <w:basedOn w:val="a5"/>
    <w:next w:val="Text-body"/>
    <w:rsid w:val="003E410E"/>
    <w:pPr>
      <w:keepNext/>
      <w:pBdr>
        <w:bottom w:val="none" w:sz="0" w:space="0" w:color="auto"/>
      </w:pBdr>
      <w:tabs>
        <w:tab w:val="clear" w:pos="4153"/>
        <w:tab w:val="clear" w:pos="8306"/>
      </w:tabs>
      <w:snapToGrid/>
      <w:spacing w:before="240" w:after="180"/>
      <w:jc w:val="left"/>
    </w:pPr>
    <w:rPr>
      <w:rFonts w:ascii="Arial" w:eastAsia="MS Mincho" w:hAnsi="Arial"/>
      <w:sz w:val="28"/>
      <w:szCs w:val="28"/>
    </w:rPr>
  </w:style>
  <w:style w:type="character" w:styleId="a6">
    <w:name w:val="Hyperlink"/>
    <w:uiPriority w:val="99"/>
    <w:unhideWhenUsed/>
    <w:rsid w:val="003E410E"/>
    <w:rPr>
      <w:color w:val="0000FF"/>
      <w:u w:val="single"/>
    </w:rPr>
  </w:style>
  <w:style w:type="paragraph" w:styleId="a5">
    <w:name w:val="header"/>
    <w:basedOn w:val="a"/>
    <w:link w:val="Char0"/>
    <w:uiPriority w:val="99"/>
    <w:unhideWhenUsed/>
    <w:rsid w:val="003E41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E410E"/>
    <w:rPr>
      <w:rFonts w:ascii="Times New Roman" w:eastAsia="Arial Unicode MS" w:hAnsi="Times New Roman" w:cs="Tahoma"/>
      <w:color w:val="000000"/>
      <w:kern w:val="0"/>
      <w:sz w:val="18"/>
      <w:szCs w:val="18"/>
      <w:lang w:eastAsia="en-US" w:bidi="en-US"/>
    </w:rPr>
  </w:style>
  <w:style w:type="paragraph" w:styleId="a7">
    <w:name w:val="Balloon Text"/>
    <w:basedOn w:val="a"/>
    <w:link w:val="Char1"/>
    <w:uiPriority w:val="99"/>
    <w:semiHidden/>
    <w:unhideWhenUsed/>
    <w:rsid w:val="003E410E"/>
    <w:rPr>
      <w:sz w:val="18"/>
      <w:szCs w:val="18"/>
    </w:rPr>
  </w:style>
  <w:style w:type="character" w:customStyle="1" w:styleId="Char1">
    <w:name w:val="批注框文本 Char"/>
    <w:basedOn w:val="a0"/>
    <w:link w:val="a7"/>
    <w:uiPriority w:val="99"/>
    <w:semiHidden/>
    <w:rsid w:val="003E410E"/>
    <w:rPr>
      <w:rFonts w:ascii="Times New Roman" w:eastAsia="Arial Unicode MS" w:hAnsi="Times New Roman" w:cs="Tahoma"/>
      <w:color w:val="000000"/>
      <w:kern w:val="0"/>
      <w:sz w:val="18"/>
      <w:szCs w:val="18"/>
      <w:lang w:eastAsia="en-US" w:bidi="en-US"/>
    </w:rPr>
  </w:style>
  <w:style w:type="character" w:customStyle="1" w:styleId="st1">
    <w:name w:val="st1"/>
    <w:basedOn w:val="a0"/>
    <w:rsid w:val="003E410E"/>
  </w:style>
  <w:style w:type="paragraph" w:styleId="a8">
    <w:name w:val="footer"/>
    <w:basedOn w:val="a"/>
    <w:link w:val="Char2"/>
    <w:uiPriority w:val="99"/>
    <w:unhideWhenUsed/>
    <w:rsid w:val="00356413"/>
    <w:pPr>
      <w:tabs>
        <w:tab w:val="center" w:pos="4153"/>
        <w:tab w:val="right" w:pos="8306"/>
      </w:tabs>
      <w:snapToGrid w:val="0"/>
    </w:pPr>
    <w:rPr>
      <w:sz w:val="18"/>
      <w:szCs w:val="18"/>
    </w:rPr>
  </w:style>
  <w:style w:type="character" w:customStyle="1" w:styleId="Char2">
    <w:name w:val="页脚 Char"/>
    <w:basedOn w:val="a0"/>
    <w:link w:val="a8"/>
    <w:uiPriority w:val="99"/>
    <w:rsid w:val="00356413"/>
    <w:rPr>
      <w:rFonts w:ascii="Times New Roman" w:eastAsia="Arial Unicode MS" w:hAnsi="Times New Roman" w:cs="Tahoma"/>
      <w:color w:val="000000"/>
      <w:kern w:val="0"/>
      <w:sz w:val="18"/>
      <w:szCs w:val="18"/>
      <w:lang w:eastAsia="en-US" w:bidi="en-US"/>
    </w:rPr>
  </w:style>
  <w:style w:type="paragraph" w:customStyle="1" w:styleId="p0">
    <w:name w:val="p0"/>
    <w:basedOn w:val="a"/>
    <w:rsid w:val="00775E15"/>
    <w:pPr>
      <w:widowControl/>
      <w:suppressAutoHyphens w:val="0"/>
      <w:spacing w:line="240" w:lineRule="atLeast"/>
    </w:pPr>
    <w:rPr>
      <w:rFonts w:ascii="Century" w:eastAsia="宋体" w:hAnsi="Century" w:cs="宋体"/>
      <w:color w:val="auto"/>
      <w:sz w:val="21"/>
      <w:szCs w:val="21"/>
      <w:lang w:eastAsia="zh-CN" w:bidi="ar-SA"/>
    </w:rPr>
  </w:style>
  <w:style w:type="paragraph" w:styleId="a9">
    <w:name w:val="Normal (Web)"/>
    <w:basedOn w:val="a"/>
    <w:uiPriority w:val="99"/>
    <w:unhideWhenUsed/>
    <w:rsid w:val="00670F40"/>
    <w:pPr>
      <w:widowControl/>
      <w:suppressAutoHyphens w:val="0"/>
      <w:spacing w:before="100" w:beforeAutospacing="1" w:after="100" w:afterAutospacing="1"/>
    </w:pPr>
    <w:rPr>
      <w:rFonts w:ascii="宋体" w:eastAsia="宋体" w:hAnsi="宋体" w:cs="宋体"/>
      <w:color w:val="auto"/>
      <w:lang w:eastAsia="zh-CN" w:bidi="ar-SA"/>
    </w:rPr>
  </w:style>
  <w:style w:type="character" w:styleId="aa">
    <w:name w:val="annotation reference"/>
    <w:basedOn w:val="a0"/>
    <w:uiPriority w:val="99"/>
    <w:semiHidden/>
    <w:unhideWhenUsed/>
    <w:rsid w:val="00066E20"/>
    <w:rPr>
      <w:sz w:val="21"/>
      <w:szCs w:val="21"/>
    </w:rPr>
  </w:style>
  <w:style w:type="paragraph" w:styleId="ab">
    <w:name w:val="annotation text"/>
    <w:basedOn w:val="a"/>
    <w:link w:val="Char3"/>
    <w:uiPriority w:val="99"/>
    <w:semiHidden/>
    <w:unhideWhenUsed/>
    <w:rsid w:val="00066E20"/>
  </w:style>
  <w:style w:type="character" w:customStyle="1" w:styleId="Char3">
    <w:name w:val="批注文字 Char"/>
    <w:basedOn w:val="a0"/>
    <w:link w:val="ab"/>
    <w:uiPriority w:val="99"/>
    <w:semiHidden/>
    <w:rsid w:val="00066E20"/>
    <w:rPr>
      <w:rFonts w:ascii="Times New Roman" w:eastAsia="Arial Unicode MS" w:hAnsi="Times New Roman" w:cs="Tahoma"/>
      <w:color w:val="000000"/>
      <w:kern w:val="0"/>
      <w:sz w:val="24"/>
      <w:szCs w:val="24"/>
      <w:lang w:eastAsia="en-US" w:bidi="en-US"/>
    </w:rPr>
  </w:style>
  <w:style w:type="paragraph" w:styleId="ac">
    <w:name w:val="annotation subject"/>
    <w:basedOn w:val="ab"/>
    <w:next w:val="ab"/>
    <w:link w:val="Char4"/>
    <w:uiPriority w:val="99"/>
    <w:semiHidden/>
    <w:unhideWhenUsed/>
    <w:rsid w:val="00066E20"/>
    <w:rPr>
      <w:b/>
      <w:bCs/>
    </w:rPr>
  </w:style>
  <w:style w:type="character" w:customStyle="1" w:styleId="Char4">
    <w:name w:val="批注主题 Char"/>
    <w:basedOn w:val="Char3"/>
    <w:link w:val="ac"/>
    <w:uiPriority w:val="99"/>
    <w:semiHidden/>
    <w:rsid w:val="00066E20"/>
    <w:rPr>
      <w:rFonts w:ascii="Times New Roman" w:eastAsia="Arial Unicode MS" w:hAnsi="Times New Roman" w:cs="Tahoma"/>
      <w:b/>
      <w:bCs/>
      <w:color w:val="000000"/>
      <w:kern w:val="0"/>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10E"/>
    <w:pPr>
      <w:widowControl w:val="0"/>
      <w:suppressAutoHyphens/>
    </w:pPr>
    <w:rPr>
      <w:rFonts w:ascii="Times New Roman" w:eastAsia="Arial Unicode MS" w:hAnsi="Times New Roman" w:cs="Tahoma"/>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erence-ref">
    <w:name w:val="reference-ref"/>
    <w:rsid w:val="003E410E"/>
    <w:rPr>
      <w:u w:val="thick"/>
    </w:rPr>
  </w:style>
  <w:style w:type="character" w:customStyle="1" w:styleId="caption-title">
    <w:name w:val="caption-title"/>
    <w:rsid w:val="003E410E"/>
    <w:rPr>
      <w:b/>
      <w:i w:val="0"/>
    </w:rPr>
  </w:style>
  <w:style w:type="character" w:customStyle="1" w:styleId="textcolor2">
    <w:name w:val="textcolor2"/>
    <w:rsid w:val="003E410E"/>
    <w:rPr>
      <w:shd w:val="clear" w:color="auto" w:fill="auto"/>
    </w:rPr>
  </w:style>
  <w:style w:type="character" w:customStyle="1" w:styleId="textcolor3">
    <w:name w:val="textcolor3"/>
    <w:rsid w:val="003E410E"/>
    <w:rPr>
      <w:shd w:val="clear" w:color="auto" w:fill="auto"/>
    </w:rPr>
  </w:style>
  <w:style w:type="character" w:customStyle="1" w:styleId="textcolor4">
    <w:name w:val="textcolor4"/>
    <w:rsid w:val="003E410E"/>
    <w:rPr>
      <w:shd w:val="clear" w:color="auto" w:fill="auto"/>
    </w:rPr>
  </w:style>
  <w:style w:type="character" w:customStyle="1" w:styleId="textcolor5">
    <w:name w:val="textcolor5"/>
    <w:rsid w:val="003E410E"/>
    <w:rPr>
      <w:shd w:val="clear" w:color="auto" w:fill="auto"/>
    </w:rPr>
  </w:style>
  <w:style w:type="character" w:customStyle="1" w:styleId="textcolor6">
    <w:name w:val="textcolor6"/>
    <w:rsid w:val="003E410E"/>
    <w:rPr>
      <w:shd w:val="clear" w:color="auto" w:fill="auto"/>
    </w:rPr>
  </w:style>
  <w:style w:type="character" w:customStyle="1" w:styleId="textcolor7">
    <w:name w:val="textcolor7"/>
    <w:rsid w:val="003E410E"/>
    <w:rPr>
      <w:shd w:val="clear" w:color="auto" w:fill="auto"/>
    </w:rPr>
  </w:style>
  <w:style w:type="character" w:customStyle="1" w:styleId="textcolor8">
    <w:name w:val="textcolor8"/>
    <w:rsid w:val="003E410E"/>
    <w:rPr>
      <w:shd w:val="clear" w:color="auto" w:fill="auto"/>
    </w:rPr>
  </w:style>
  <w:style w:type="character" w:customStyle="1" w:styleId="textcolor9">
    <w:name w:val="textcolor9"/>
    <w:rsid w:val="003E410E"/>
    <w:rPr>
      <w:shd w:val="clear" w:color="auto" w:fill="auto"/>
    </w:rPr>
  </w:style>
  <w:style w:type="character" w:customStyle="1" w:styleId="textcolor10">
    <w:name w:val="textcolor10"/>
    <w:rsid w:val="003E410E"/>
    <w:rPr>
      <w:shd w:val="clear" w:color="auto" w:fill="auto"/>
    </w:rPr>
  </w:style>
  <w:style w:type="character" w:customStyle="1" w:styleId="textcolor11">
    <w:name w:val="textcolor11"/>
    <w:rsid w:val="003E410E"/>
    <w:rPr>
      <w:shd w:val="clear" w:color="auto" w:fill="auto"/>
    </w:rPr>
  </w:style>
  <w:style w:type="character" w:customStyle="1" w:styleId="textcolor13">
    <w:name w:val="textcolor13"/>
    <w:rsid w:val="003E410E"/>
    <w:rPr>
      <w:shd w:val="clear" w:color="auto" w:fill="auto"/>
    </w:rPr>
  </w:style>
  <w:style w:type="character" w:customStyle="1" w:styleId="textcolor14">
    <w:name w:val="textcolor14"/>
    <w:rsid w:val="003E410E"/>
    <w:rPr>
      <w:shd w:val="clear" w:color="auto" w:fill="auto"/>
    </w:rPr>
  </w:style>
  <w:style w:type="character" w:customStyle="1" w:styleId="textcolor15">
    <w:name w:val="textcolor15"/>
    <w:rsid w:val="003E410E"/>
    <w:rPr>
      <w:shd w:val="clear" w:color="auto" w:fill="auto"/>
    </w:rPr>
  </w:style>
  <w:style w:type="character" w:styleId="a3">
    <w:name w:val="Emphasis"/>
    <w:uiPriority w:val="20"/>
    <w:qFormat/>
    <w:rsid w:val="003E410E"/>
    <w:rPr>
      <w:i/>
    </w:rPr>
  </w:style>
  <w:style w:type="character" w:customStyle="1" w:styleId="textbf">
    <w:name w:val="textbf"/>
    <w:rsid w:val="003E410E"/>
    <w:rPr>
      <w:b/>
      <w:i w:val="0"/>
    </w:rPr>
  </w:style>
  <w:style w:type="character" w:customStyle="1" w:styleId="sout">
    <w:name w:val="sout"/>
    <w:rsid w:val="003E410E"/>
    <w:rPr>
      <w:strike/>
      <w:u w:val="none"/>
    </w:rPr>
  </w:style>
  <w:style w:type="paragraph" w:customStyle="1" w:styleId="hline-p-hr">
    <w:name w:val="hline-p-hr"/>
    <w:rsid w:val="003E410E"/>
    <w:pPr>
      <w:widowControl w:val="0"/>
      <w:pBdr>
        <w:bottom w:val="single" w:sz="2" w:space="0" w:color="000000"/>
      </w:pBdr>
      <w:suppressAutoHyphens/>
      <w:spacing w:line="6" w:lineRule="exact"/>
    </w:pPr>
    <w:rPr>
      <w:rFonts w:ascii="Times New Roman" w:eastAsia="Arial Unicode MS" w:hAnsi="Times New Roman" w:cs="Tahoma"/>
      <w:color w:val="000000"/>
      <w:kern w:val="0"/>
      <w:sz w:val="24"/>
      <w:szCs w:val="24"/>
      <w:lang w:eastAsia="en-US" w:bidi="en-US"/>
    </w:rPr>
  </w:style>
  <w:style w:type="paragraph" w:customStyle="1" w:styleId="sty-11C">
    <w:name w:val="sty-11C"/>
    <w:basedOn w:val="a"/>
    <w:rsid w:val="003E410E"/>
    <w:pPr>
      <w:jc w:val="center"/>
    </w:pPr>
  </w:style>
  <w:style w:type="paragraph" w:customStyle="1" w:styleId="First-line-indent">
    <w:name w:val="First-line-indent"/>
    <w:basedOn w:val="Text-body"/>
    <w:rsid w:val="003E410E"/>
    <w:pPr>
      <w:ind w:firstLine="283"/>
    </w:pPr>
  </w:style>
  <w:style w:type="paragraph" w:customStyle="1" w:styleId="Text-body">
    <w:name w:val="Text-body"/>
    <w:basedOn w:val="a"/>
    <w:next w:val="First-line-indent"/>
    <w:rsid w:val="003E410E"/>
    <w:pPr>
      <w:spacing w:line="288" w:lineRule="auto"/>
      <w:jc w:val="both"/>
    </w:pPr>
  </w:style>
  <w:style w:type="paragraph" w:customStyle="1" w:styleId="end-env-p">
    <w:name w:val="end-env-p"/>
    <w:rsid w:val="003E410E"/>
    <w:pPr>
      <w:widowControl w:val="0"/>
      <w:suppressAutoHyphens/>
      <w:spacing w:after="113" w:line="6" w:lineRule="exact"/>
    </w:pPr>
    <w:rPr>
      <w:rFonts w:ascii="Times New Roman" w:eastAsia="Arial Unicode MS" w:hAnsi="Times New Roman" w:cs="Tahoma"/>
      <w:color w:val="000000"/>
      <w:kern w:val="0"/>
      <w:sz w:val="24"/>
      <w:szCs w:val="24"/>
      <w:lang w:eastAsia="en-US" w:bidi="en-US"/>
    </w:rPr>
  </w:style>
  <w:style w:type="paragraph" w:styleId="a4">
    <w:name w:val="Title"/>
    <w:basedOn w:val="a5"/>
    <w:next w:val="author"/>
    <w:link w:val="Char"/>
    <w:qFormat/>
    <w:rsid w:val="003E410E"/>
    <w:pPr>
      <w:keepNext/>
      <w:pBdr>
        <w:bottom w:val="none" w:sz="0" w:space="0" w:color="auto"/>
      </w:pBdr>
      <w:tabs>
        <w:tab w:val="clear" w:pos="4153"/>
        <w:tab w:val="clear" w:pos="8306"/>
      </w:tabs>
      <w:snapToGrid/>
      <w:spacing w:before="238" w:after="289"/>
    </w:pPr>
    <w:rPr>
      <w:rFonts w:ascii="Arial" w:eastAsia="MS Mincho" w:hAnsi="Arial"/>
      <w:sz w:val="28"/>
      <w:szCs w:val="28"/>
    </w:rPr>
  </w:style>
  <w:style w:type="character" w:customStyle="1" w:styleId="Char">
    <w:name w:val="标题 Char"/>
    <w:basedOn w:val="a0"/>
    <w:link w:val="a4"/>
    <w:rsid w:val="003E410E"/>
    <w:rPr>
      <w:rFonts w:ascii="Arial" w:eastAsia="MS Mincho" w:hAnsi="Arial" w:cs="Tahoma"/>
      <w:color w:val="000000"/>
      <w:kern w:val="0"/>
      <w:sz w:val="28"/>
      <w:szCs w:val="28"/>
      <w:lang w:eastAsia="en-US" w:bidi="en-US"/>
    </w:rPr>
  </w:style>
  <w:style w:type="paragraph" w:customStyle="1" w:styleId="author">
    <w:name w:val="author"/>
    <w:basedOn w:val="Text-body"/>
    <w:next w:val="1"/>
    <w:rsid w:val="003E410E"/>
    <w:pPr>
      <w:spacing w:after="113"/>
      <w:jc w:val="center"/>
    </w:pPr>
  </w:style>
  <w:style w:type="paragraph" w:customStyle="1" w:styleId="1">
    <w:name w:val="日期1"/>
    <w:basedOn w:val="Text-body"/>
    <w:next w:val="Text-body"/>
    <w:rsid w:val="003E410E"/>
    <w:pPr>
      <w:spacing w:after="113"/>
      <w:jc w:val="center"/>
    </w:pPr>
  </w:style>
  <w:style w:type="paragraph" w:customStyle="1" w:styleId="abstract">
    <w:name w:val="abstract"/>
    <w:basedOn w:val="Text-body"/>
    <w:next w:val="Text-body"/>
    <w:rsid w:val="003E410E"/>
    <w:pPr>
      <w:spacing w:after="113"/>
      <w:ind w:left="1701" w:right="1701"/>
    </w:pPr>
  </w:style>
  <w:style w:type="paragraph" w:customStyle="1" w:styleId="abstract-title">
    <w:name w:val="abstract-title"/>
    <w:basedOn w:val="abstract"/>
    <w:next w:val="abstract"/>
    <w:rsid w:val="003E410E"/>
    <w:pPr>
      <w:spacing w:before="283" w:after="0"/>
      <w:jc w:val="center"/>
    </w:pPr>
  </w:style>
  <w:style w:type="paragraph" w:customStyle="1" w:styleId="p-bibitem">
    <w:name w:val="p-bibitem"/>
    <w:basedOn w:val="a"/>
    <w:rsid w:val="003E410E"/>
    <w:pPr>
      <w:ind w:left="567" w:hanging="567"/>
    </w:pPr>
  </w:style>
  <w:style w:type="paragraph" w:customStyle="1" w:styleId="Heading-2">
    <w:name w:val="Heading-2"/>
    <w:basedOn w:val="a5"/>
    <w:next w:val="Text-body"/>
    <w:rsid w:val="003E410E"/>
    <w:pPr>
      <w:keepNext/>
      <w:pBdr>
        <w:bottom w:val="none" w:sz="0" w:space="0" w:color="auto"/>
      </w:pBdr>
      <w:tabs>
        <w:tab w:val="clear" w:pos="4153"/>
        <w:tab w:val="clear" w:pos="8306"/>
      </w:tabs>
      <w:snapToGrid/>
      <w:spacing w:before="240" w:after="180"/>
      <w:jc w:val="left"/>
    </w:pPr>
    <w:rPr>
      <w:rFonts w:ascii="Arial" w:eastAsia="MS Mincho" w:hAnsi="Arial"/>
      <w:sz w:val="28"/>
      <w:szCs w:val="28"/>
    </w:rPr>
  </w:style>
  <w:style w:type="character" w:styleId="a6">
    <w:name w:val="Hyperlink"/>
    <w:uiPriority w:val="99"/>
    <w:unhideWhenUsed/>
    <w:rsid w:val="003E410E"/>
    <w:rPr>
      <w:color w:val="0000FF"/>
      <w:u w:val="single"/>
    </w:rPr>
  </w:style>
  <w:style w:type="paragraph" w:styleId="a5">
    <w:name w:val="header"/>
    <w:basedOn w:val="a"/>
    <w:link w:val="Char0"/>
    <w:uiPriority w:val="99"/>
    <w:unhideWhenUsed/>
    <w:rsid w:val="003E41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E410E"/>
    <w:rPr>
      <w:rFonts w:ascii="Times New Roman" w:eastAsia="Arial Unicode MS" w:hAnsi="Times New Roman" w:cs="Tahoma"/>
      <w:color w:val="000000"/>
      <w:kern w:val="0"/>
      <w:sz w:val="18"/>
      <w:szCs w:val="18"/>
      <w:lang w:eastAsia="en-US" w:bidi="en-US"/>
    </w:rPr>
  </w:style>
  <w:style w:type="paragraph" w:styleId="a7">
    <w:name w:val="Balloon Text"/>
    <w:basedOn w:val="a"/>
    <w:link w:val="Char1"/>
    <w:uiPriority w:val="99"/>
    <w:semiHidden/>
    <w:unhideWhenUsed/>
    <w:rsid w:val="003E410E"/>
    <w:rPr>
      <w:sz w:val="18"/>
      <w:szCs w:val="18"/>
    </w:rPr>
  </w:style>
  <w:style w:type="character" w:customStyle="1" w:styleId="Char1">
    <w:name w:val="批注框文本 Char"/>
    <w:basedOn w:val="a0"/>
    <w:link w:val="a7"/>
    <w:uiPriority w:val="99"/>
    <w:semiHidden/>
    <w:rsid w:val="003E410E"/>
    <w:rPr>
      <w:rFonts w:ascii="Times New Roman" w:eastAsia="Arial Unicode MS" w:hAnsi="Times New Roman" w:cs="Tahoma"/>
      <w:color w:val="000000"/>
      <w:kern w:val="0"/>
      <w:sz w:val="18"/>
      <w:szCs w:val="18"/>
      <w:lang w:eastAsia="en-US" w:bidi="en-US"/>
    </w:rPr>
  </w:style>
  <w:style w:type="character" w:customStyle="1" w:styleId="st1">
    <w:name w:val="st1"/>
    <w:basedOn w:val="a0"/>
    <w:rsid w:val="003E410E"/>
  </w:style>
  <w:style w:type="paragraph" w:styleId="a8">
    <w:name w:val="footer"/>
    <w:basedOn w:val="a"/>
    <w:link w:val="Char2"/>
    <w:uiPriority w:val="99"/>
    <w:unhideWhenUsed/>
    <w:rsid w:val="00356413"/>
    <w:pPr>
      <w:tabs>
        <w:tab w:val="center" w:pos="4153"/>
        <w:tab w:val="right" w:pos="8306"/>
      </w:tabs>
      <w:snapToGrid w:val="0"/>
    </w:pPr>
    <w:rPr>
      <w:sz w:val="18"/>
      <w:szCs w:val="18"/>
    </w:rPr>
  </w:style>
  <w:style w:type="character" w:customStyle="1" w:styleId="Char2">
    <w:name w:val="页脚 Char"/>
    <w:basedOn w:val="a0"/>
    <w:link w:val="a8"/>
    <w:uiPriority w:val="99"/>
    <w:rsid w:val="00356413"/>
    <w:rPr>
      <w:rFonts w:ascii="Times New Roman" w:eastAsia="Arial Unicode MS" w:hAnsi="Times New Roman" w:cs="Tahoma"/>
      <w:color w:val="000000"/>
      <w:kern w:val="0"/>
      <w:sz w:val="18"/>
      <w:szCs w:val="18"/>
      <w:lang w:eastAsia="en-US" w:bidi="en-US"/>
    </w:rPr>
  </w:style>
  <w:style w:type="paragraph" w:customStyle="1" w:styleId="p0">
    <w:name w:val="p0"/>
    <w:basedOn w:val="a"/>
    <w:rsid w:val="00775E15"/>
    <w:pPr>
      <w:widowControl/>
      <w:suppressAutoHyphens w:val="0"/>
      <w:spacing w:line="240" w:lineRule="atLeast"/>
    </w:pPr>
    <w:rPr>
      <w:rFonts w:ascii="Century" w:eastAsia="宋体" w:hAnsi="Century" w:cs="宋体"/>
      <w:color w:val="auto"/>
      <w:sz w:val="21"/>
      <w:szCs w:val="21"/>
      <w:lang w:eastAsia="zh-CN" w:bidi="ar-SA"/>
    </w:rPr>
  </w:style>
  <w:style w:type="paragraph" w:styleId="a9">
    <w:name w:val="Normal (Web)"/>
    <w:basedOn w:val="a"/>
    <w:uiPriority w:val="99"/>
    <w:unhideWhenUsed/>
    <w:rsid w:val="00670F40"/>
    <w:pPr>
      <w:widowControl/>
      <w:suppressAutoHyphens w:val="0"/>
      <w:spacing w:before="100" w:beforeAutospacing="1" w:after="100" w:afterAutospacing="1"/>
    </w:pPr>
    <w:rPr>
      <w:rFonts w:ascii="宋体" w:eastAsia="宋体" w:hAnsi="宋体" w:cs="宋体"/>
      <w:color w:val="auto"/>
      <w:lang w:eastAsia="zh-CN" w:bidi="ar-SA"/>
    </w:rPr>
  </w:style>
  <w:style w:type="character" w:styleId="aa">
    <w:name w:val="annotation reference"/>
    <w:basedOn w:val="a0"/>
    <w:uiPriority w:val="99"/>
    <w:semiHidden/>
    <w:unhideWhenUsed/>
    <w:rsid w:val="00066E20"/>
    <w:rPr>
      <w:sz w:val="21"/>
      <w:szCs w:val="21"/>
    </w:rPr>
  </w:style>
  <w:style w:type="paragraph" w:styleId="ab">
    <w:name w:val="annotation text"/>
    <w:basedOn w:val="a"/>
    <w:link w:val="Char3"/>
    <w:uiPriority w:val="99"/>
    <w:semiHidden/>
    <w:unhideWhenUsed/>
    <w:rsid w:val="00066E20"/>
  </w:style>
  <w:style w:type="character" w:customStyle="1" w:styleId="Char3">
    <w:name w:val="批注文字 Char"/>
    <w:basedOn w:val="a0"/>
    <w:link w:val="ab"/>
    <w:uiPriority w:val="99"/>
    <w:semiHidden/>
    <w:rsid w:val="00066E20"/>
    <w:rPr>
      <w:rFonts w:ascii="Times New Roman" w:eastAsia="Arial Unicode MS" w:hAnsi="Times New Roman" w:cs="Tahoma"/>
      <w:color w:val="000000"/>
      <w:kern w:val="0"/>
      <w:sz w:val="24"/>
      <w:szCs w:val="24"/>
      <w:lang w:eastAsia="en-US" w:bidi="en-US"/>
    </w:rPr>
  </w:style>
  <w:style w:type="paragraph" w:styleId="ac">
    <w:name w:val="annotation subject"/>
    <w:basedOn w:val="ab"/>
    <w:next w:val="ab"/>
    <w:link w:val="Char4"/>
    <w:uiPriority w:val="99"/>
    <w:semiHidden/>
    <w:unhideWhenUsed/>
    <w:rsid w:val="00066E20"/>
    <w:rPr>
      <w:b/>
      <w:bCs/>
    </w:rPr>
  </w:style>
  <w:style w:type="character" w:customStyle="1" w:styleId="Char4">
    <w:name w:val="批注主题 Char"/>
    <w:basedOn w:val="Char3"/>
    <w:link w:val="ac"/>
    <w:uiPriority w:val="99"/>
    <w:semiHidden/>
    <w:rsid w:val="00066E20"/>
    <w:rPr>
      <w:rFonts w:ascii="Times New Roman" w:eastAsia="Arial Unicode MS" w:hAnsi="Times New Roman" w:cs="Tahoma"/>
      <w:b/>
      <w:bCs/>
      <w:color w:val="000000"/>
      <w:kern w:val="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04820">
      <w:bodyDiv w:val="1"/>
      <w:marLeft w:val="0"/>
      <w:marRight w:val="0"/>
      <w:marTop w:val="0"/>
      <w:marBottom w:val="0"/>
      <w:divBdr>
        <w:top w:val="none" w:sz="0" w:space="0" w:color="auto"/>
        <w:left w:val="none" w:sz="0" w:space="0" w:color="auto"/>
        <w:bottom w:val="none" w:sz="0" w:space="0" w:color="auto"/>
        <w:right w:val="none" w:sz="0" w:space="0" w:color="auto"/>
      </w:divBdr>
    </w:div>
    <w:div w:id="991837572">
      <w:bodyDiv w:val="1"/>
      <w:marLeft w:val="0"/>
      <w:marRight w:val="0"/>
      <w:marTop w:val="0"/>
      <w:marBottom w:val="0"/>
      <w:divBdr>
        <w:top w:val="none" w:sz="0" w:space="0" w:color="auto"/>
        <w:left w:val="none" w:sz="0" w:space="0" w:color="auto"/>
        <w:bottom w:val="none" w:sz="0" w:space="0" w:color="auto"/>
        <w:right w:val="none" w:sz="0" w:space="0" w:color="auto"/>
      </w:divBdr>
    </w:div>
    <w:div w:id="1238057501">
      <w:bodyDiv w:val="1"/>
      <w:marLeft w:val="0"/>
      <w:marRight w:val="0"/>
      <w:marTop w:val="0"/>
      <w:marBottom w:val="0"/>
      <w:divBdr>
        <w:top w:val="none" w:sz="0" w:space="0" w:color="auto"/>
        <w:left w:val="none" w:sz="0" w:space="0" w:color="auto"/>
        <w:bottom w:val="none" w:sz="0" w:space="0" w:color="auto"/>
        <w:right w:val="none" w:sz="0" w:space="0" w:color="auto"/>
      </w:divBdr>
    </w:div>
    <w:div w:id="1304313750">
      <w:bodyDiv w:val="1"/>
      <w:marLeft w:val="0"/>
      <w:marRight w:val="0"/>
      <w:marTop w:val="0"/>
      <w:marBottom w:val="0"/>
      <w:divBdr>
        <w:top w:val="none" w:sz="0" w:space="0" w:color="auto"/>
        <w:left w:val="none" w:sz="0" w:space="0" w:color="auto"/>
        <w:bottom w:val="none" w:sz="0" w:space="0" w:color="auto"/>
        <w:right w:val="none" w:sz="0" w:space="0" w:color="auto"/>
      </w:divBdr>
      <w:divsChild>
        <w:div w:id="1481264073">
          <w:marLeft w:val="0"/>
          <w:marRight w:val="0"/>
          <w:marTop w:val="0"/>
          <w:marBottom w:val="0"/>
          <w:divBdr>
            <w:top w:val="none" w:sz="0" w:space="0" w:color="auto"/>
            <w:left w:val="none" w:sz="0" w:space="0" w:color="auto"/>
            <w:bottom w:val="none" w:sz="0" w:space="0" w:color="auto"/>
            <w:right w:val="none" w:sz="0" w:space="0" w:color="auto"/>
          </w:divBdr>
        </w:div>
        <w:div w:id="1910994017">
          <w:marLeft w:val="0"/>
          <w:marRight w:val="0"/>
          <w:marTop w:val="0"/>
          <w:marBottom w:val="0"/>
          <w:divBdr>
            <w:top w:val="none" w:sz="0" w:space="0" w:color="auto"/>
            <w:left w:val="none" w:sz="0" w:space="0" w:color="auto"/>
            <w:bottom w:val="none" w:sz="0" w:space="0" w:color="auto"/>
            <w:right w:val="none" w:sz="0" w:space="0" w:color="auto"/>
          </w:divBdr>
        </w:div>
        <w:div w:id="1277910508">
          <w:marLeft w:val="0"/>
          <w:marRight w:val="0"/>
          <w:marTop w:val="0"/>
          <w:marBottom w:val="0"/>
          <w:divBdr>
            <w:top w:val="none" w:sz="0" w:space="0" w:color="auto"/>
            <w:left w:val="none" w:sz="0" w:space="0" w:color="auto"/>
            <w:bottom w:val="none" w:sz="0" w:space="0" w:color="auto"/>
            <w:right w:val="none" w:sz="0" w:space="0" w:color="auto"/>
          </w:divBdr>
        </w:div>
        <w:div w:id="1299335404">
          <w:marLeft w:val="0"/>
          <w:marRight w:val="0"/>
          <w:marTop w:val="0"/>
          <w:marBottom w:val="0"/>
          <w:divBdr>
            <w:top w:val="none" w:sz="0" w:space="0" w:color="auto"/>
            <w:left w:val="none" w:sz="0" w:space="0" w:color="auto"/>
            <w:bottom w:val="none" w:sz="0" w:space="0" w:color="auto"/>
            <w:right w:val="none" w:sz="0" w:space="0" w:color="auto"/>
          </w:divBdr>
        </w:div>
        <w:div w:id="695814549">
          <w:marLeft w:val="0"/>
          <w:marRight w:val="0"/>
          <w:marTop w:val="0"/>
          <w:marBottom w:val="0"/>
          <w:divBdr>
            <w:top w:val="none" w:sz="0" w:space="0" w:color="auto"/>
            <w:left w:val="none" w:sz="0" w:space="0" w:color="auto"/>
            <w:bottom w:val="none" w:sz="0" w:space="0" w:color="auto"/>
            <w:right w:val="none" w:sz="0" w:space="0" w:color="auto"/>
          </w:divBdr>
        </w:div>
        <w:div w:id="2009479014">
          <w:marLeft w:val="0"/>
          <w:marRight w:val="0"/>
          <w:marTop w:val="0"/>
          <w:marBottom w:val="0"/>
          <w:divBdr>
            <w:top w:val="none" w:sz="0" w:space="0" w:color="auto"/>
            <w:left w:val="none" w:sz="0" w:space="0" w:color="auto"/>
            <w:bottom w:val="none" w:sz="0" w:space="0" w:color="auto"/>
            <w:right w:val="none" w:sz="0" w:space="0" w:color="auto"/>
          </w:divBdr>
        </w:div>
        <w:div w:id="1543327274">
          <w:marLeft w:val="0"/>
          <w:marRight w:val="0"/>
          <w:marTop w:val="0"/>
          <w:marBottom w:val="0"/>
          <w:divBdr>
            <w:top w:val="none" w:sz="0" w:space="0" w:color="auto"/>
            <w:left w:val="none" w:sz="0" w:space="0" w:color="auto"/>
            <w:bottom w:val="none" w:sz="0" w:space="0" w:color="auto"/>
            <w:right w:val="none" w:sz="0" w:space="0" w:color="auto"/>
          </w:divBdr>
        </w:div>
        <w:div w:id="1390495898">
          <w:marLeft w:val="0"/>
          <w:marRight w:val="0"/>
          <w:marTop w:val="0"/>
          <w:marBottom w:val="0"/>
          <w:divBdr>
            <w:top w:val="none" w:sz="0" w:space="0" w:color="auto"/>
            <w:left w:val="none" w:sz="0" w:space="0" w:color="auto"/>
            <w:bottom w:val="none" w:sz="0" w:space="0" w:color="auto"/>
            <w:right w:val="none" w:sz="0" w:space="0" w:color="auto"/>
          </w:divBdr>
        </w:div>
        <w:div w:id="1357073473">
          <w:marLeft w:val="0"/>
          <w:marRight w:val="0"/>
          <w:marTop w:val="0"/>
          <w:marBottom w:val="0"/>
          <w:divBdr>
            <w:top w:val="none" w:sz="0" w:space="0" w:color="auto"/>
            <w:left w:val="none" w:sz="0" w:space="0" w:color="auto"/>
            <w:bottom w:val="none" w:sz="0" w:space="0" w:color="auto"/>
            <w:right w:val="none" w:sz="0" w:space="0" w:color="auto"/>
          </w:divBdr>
        </w:div>
        <w:div w:id="148643510">
          <w:marLeft w:val="0"/>
          <w:marRight w:val="0"/>
          <w:marTop w:val="0"/>
          <w:marBottom w:val="0"/>
          <w:divBdr>
            <w:top w:val="none" w:sz="0" w:space="0" w:color="auto"/>
            <w:left w:val="none" w:sz="0" w:space="0" w:color="auto"/>
            <w:bottom w:val="none" w:sz="0" w:space="0" w:color="auto"/>
            <w:right w:val="none" w:sz="0" w:space="0" w:color="auto"/>
          </w:divBdr>
        </w:div>
        <w:div w:id="1264192808">
          <w:marLeft w:val="0"/>
          <w:marRight w:val="0"/>
          <w:marTop w:val="0"/>
          <w:marBottom w:val="0"/>
          <w:divBdr>
            <w:top w:val="none" w:sz="0" w:space="0" w:color="auto"/>
            <w:left w:val="none" w:sz="0" w:space="0" w:color="auto"/>
            <w:bottom w:val="none" w:sz="0" w:space="0" w:color="auto"/>
            <w:right w:val="none" w:sz="0" w:space="0" w:color="auto"/>
          </w:divBdr>
        </w:div>
      </w:divsChild>
    </w:div>
    <w:div w:id="182269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med.up.p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3517</Words>
  <Characters>20048</Characters>
  <Application>Microsoft Office Word</Application>
  <DocSecurity>0</DocSecurity>
  <Lines>167</Lines>
  <Paragraphs>47</Paragraphs>
  <ScaleCrop>false</ScaleCrop>
  <Company>Hewlett-Packard Company</Company>
  <LinksUpToDate>false</LinksUpToDate>
  <CharactersWithSpaces>23518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l.jiang</dc:creator>
  <cp:lastModifiedBy>LS Ma</cp:lastModifiedBy>
  <cp:revision>2</cp:revision>
  <dcterms:created xsi:type="dcterms:W3CDTF">2013-02-07T00:00:00Z</dcterms:created>
  <dcterms:modified xsi:type="dcterms:W3CDTF">2013-02-07T00:00:00Z</dcterms:modified>
</cp:coreProperties>
</file>