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BF" w:rsidRPr="00841D2D" w:rsidRDefault="003238BF"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 xml:space="preserve">Name of journal: </w:t>
      </w:r>
      <w:r w:rsidRPr="00841D2D">
        <w:rPr>
          <w:rFonts w:ascii="Book Antiqua" w:hAnsi="Book Antiqua"/>
          <w:i/>
          <w:sz w:val="24"/>
          <w:szCs w:val="24"/>
          <w:lang w:val="en-US"/>
        </w:rPr>
        <w:t>World Journal of Hepatology</w:t>
      </w:r>
    </w:p>
    <w:p w:rsidR="003238BF" w:rsidRPr="00841D2D" w:rsidRDefault="003238BF" w:rsidP="00841D2D">
      <w:pPr>
        <w:spacing w:after="0" w:line="360" w:lineRule="auto"/>
        <w:jc w:val="both"/>
        <w:rPr>
          <w:rFonts w:ascii="Book Antiqua" w:hAnsi="Book Antiqua"/>
          <w:sz w:val="24"/>
          <w:szCs w:val="24"/>
          <w:lang w:val="en-US" w:eastAsia="zh-CN"/>
        </w:rPr>
      </w:pPr>
      <w:r w:rsidRPr="00841D2D">
        <w:rPr>
          <w:rFonts w:ascii="Book Antiqua" w:hAnsi="Book Antiqua"/>
          <w:sz w:val="24"/>
          <w:szCs w:val="24"/>
          <w:lang w:val="en-US"/>
        </w:rPr>
        <w:t xml:space="preserve">ESPS Manuscript NO: </w:t>
      </w:r>
      <w:r w:rsidRPr="00841D2D">
        <w:rPr>
          <w:rFonts w:ascii="Book Antiqua" w:hAnsi="Book Antiqua"/>
          <w:sz w:val="24"/>
          <w:szCs w:val="24"/>
          <w:lang w:val="en-US" w:eastAsia="zh-CN"/>
        </w:rPr>
        <w:t>13251</w:t>
      </w:r>
    </w:p>
    <w:p w:rsidR="003238BF" w:rsidRPr="00841D2D" w:rsidRDefault="003238BF" w:rsidP="00841D2D">
      <w:pPr>
        <w:spacing w:after="0" w:line="360" w:lineRule="auto"/>
        <w:jc w:val="both"/>
        <w:rPr>
          <w:rFonts w:ascii="Book Antiqua" w:hAnsi="Book Antiqua"/>
          <w:sz w:val="24"/>
          <w:szCs w:val="24"/>
          <w:lang w:val="en-US" w:eastAsia="zh-CN"/>
        </w:rPr>
      </w:pPr>
      <w:r w:rsidRPr="00841D2D">
        <w:rPr>
          <w:rFonts w:ascii="Book Antiqua" w:hAnsi="Book Antiqua"/>
          <w:sz w:val="24"/>
          <w:szCs w:val="24"/>
          <w:lang w:val="en-US"/>
        </w:rPr>
        <w:t>Columns: TOPIC HIGHLIGHT</w:t>
      </w:r>
    </w:p>
    <w:p w:rsidR="00C540F5" w:rsidRPr="00841D2D" w:rsidRDefault="00C540F5" w:rsidP="00841D2D">
      <w:pPr>
        <w:spacing w:after="0" w:line="360" w:lineRule="auto"/>
        <w:jc w:val="both"/>
        <w:rPr>
          <w:rFonts w:ascii="Book Antiqua" w:hAnsi="Book Antiqua"/>
          <w:sz w:val="24"/>
          <w:szCs w:val="24"/>
          <w:lang w:val="en-US" w:eastAsia="zh-CN"/>
        </w:rPr>
      </w:pPr>
    </w:p>
    <w:p w:rsidR="003238BF" w:rsidRPr="00841D2D" w:rsidRDefault="00C540F5"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WJH 6</w:t>
      </w:r>
      <w:r w:rsidRPr="00841D2D">
        <w:rPr>
          <w:rFonts w:ascii="Book Antiqua" w:hAnsi="Book Antiqua"/>
          <w:sz w:val="24"/>
          <w:szCs w:val="24"/>
          <w:vertAlign w:val="superscript"/>
          <w:lang w:val="en-US"/>
        </w:rPr>
        <w:t>th</w:t>
      </w:r>
      <w:r w:rsidRPr="00841D2D">
        <w:rPr>
          <w:rFonts w:ascii="Book Antiqua" w:hAnsi="Book Antiqua"/>
          <w:sz w:val="24"/>
          <w:szCs w:val="24"/>
          <w:lang w:val="en-US"/>
        </w:rPr>
        <w:t xml:space="preserve"> Anniversary Special Issues (3): Hepatitis B </w:t>
      </w:r>
      <w:r w:rsidR="00D4333B">
        <w:rPr>
          <w:rFonts w:ascii="Book Antiqua" w:hAnsi="Book Antiqua" w:hint="eastAsia"/>
          <w:sz w:val="24"/>
          <w:szCs w:val="24"/>
          <w:lang w:val="en-US" w:eastAsia="zh-CN"/>
        </w:rPr>
        <w:t>v</w:t>
      </w:r>
      <w:r w:rsidRPr="00841D2D">
        <w:rPr>
          <w:rFonts w:ascii="Book Antiqua" w:hAnsi="Book Antiqua"/>
          <w:sz w:val="24"/>
          <w:szCs w:val="24"/>
          <w:lang w:val="en-US"/>
        </w:rPr>
        <w:t>irus</w:t>
      </w:r>
    </w:p>
    <w:p w:rsidR="00C540F5" w:rsidRPr="00841D2D" w:rsidRDefault="00C540F5" w:rsidP="00841D2D">
      <w:pPr>
        <w:spacing w:after="0" w:line="360" w:lineRule="auto"/>
        <w:jc w:val="both"/>
        <w:rPr>
          <w:rFonts w:ascii="Book Antiqua" w:hAnsi="Book Antiqua"/>
          <w:sz w:val="24"/>
          <w:szCs w:val="24"/>
          <w:lang w:eastAsia="zh-CN"/>
        </w:rPr>
      </w:pPr>
    </w:p>
    <w:p w:rsidR="0021514C" w:rsidRPr="00841D2D" w:rsidRDefault="00375683" w:rsidP="00841D2D">
      <w:pPr>
        <w:spacing w:after="0" w:line="360" w:lineRule="auto"/>
        <w:jc w:val="both"/>
        <w:rPr>
          <w:rFonts w:ascii="Book Antiqua" w:hAnsi="Book Antiqua"/>
          <w:b/>
          <w:sz w:val="24"/>
          <w:szCs w:val="24"/>
          <w:lang w:val="en-US" w:eastAsia="zh-CN"/>
        </w:rPr>
      </w:pPr>
      <w:r w:rsidRPr="00841D2D">
        <w:rPr>
          <w:rFonts w:ascii="Book Antiqua" w:hAnsi="Book Antiqua"/>
          <w:b/>
          <w:sz w:val="24"/>
          <w:szCs w:val="24"/>
          <w:lang w:val="en-US"/>
        </w:rPr>
        <w:t>A</w:t>
      </w:r>
      <w:r w:rsidR="003238BF" w:rsidRPr="00841D2D">
        <w:rPr>
          <w:rFonts w:ascii="Book Antiqua" w:hAnsi="Book Antiqua"/>
          <w:b/>
          <w:sz w:val="24"/>
          <w:szCs w:val="24"/>
          <w:lang w:val="en-US"/>
        </w:rPr>
        <w:t>ntiviral treatment for chronic hepatitis B in renal transplant patients</w:t>
      </w:r>
    </w:p>
    <w:p w:rsidR="00C540F5" w:rsidRPr="00841D2D" w:rsidRDefault="00C540F5" w:rsidP="00841D2D">
      <w:pPr>
        <w:spacing w:after="0" w:line="360" w:lineRule="auto"/>
        <w:jc w:val="both"/>
        <w:rPr>
          <w:rFonts w:ascii="Book Antiqua" w:hAnsi="Book Antiqua"/>
          <w:b/>
          <w:sz w:val="24"/>
          <w:szCs w:val="24"/>
          <w:lang w:val="en-US" w:eastAsia="zh-CN"/>
        </w:rPr>
      </w:pPr>
    </w:p>
    <w:p w:rsidR="00F10EF4" w:rsidRPr="00841D2D" w:rsidRDefault="00C540F5" w:rsidP="00841D2D">
      <w:pPr>
        <w:spacing w:after="0" w:line="360" w:lineRule="auto"/>
        <w:jc w:val="both"/>
        <w:rPr>
          <w:rFonts w:ascii="Book Antiqua" w:hAnsi="Book Antiqua"/>
          <w:sz w:val="24"/>
          <w:szCs w:val="24"/>
          <w:lang w:val="en-US" w:eastAsia="zh-CN"/>
        </w:rPr>
      </w:pPr>
      <w:r w:rsidRPr="00841D2D">
        <w:rPr>
          <w:rFonts w:ascii="Book Antiqua" w:hAnsi="Book Antiqua"/>
          <w:sz w:val="24"/>
          <w:szCs w:val="24"/>
        </w:rPr>
        <w:t>Ridruejo</w:t>
      </w:r>
      <w:r w:rsidRPr="00841D2D">
        <w:rPr>
          <w:rFonts w:ascii="Book Antiqua" w:hAnsi="Book Antiqua"/>
          <w:sz w:val="24"/>
          <w:szCs w:val="24"/>
          <w:lang w:eastAsia="zh-CN"/>
        </w:rPr>
        <w:t xml:space="preserve"> E.</w:t>
      </w:r>
      <w:r w:rsidR="00F10EF4" w:rsidRPr="00841D2D">
        <w:rPr>
          <w:rFonts w:ascii="Book Antiqua" w:hAnsi="Book Antiqua"/>
          <w:caps/>
          <w:sz w:val="24"/>
          <w:szCs w:val="24"/>
          <w:lang w:val="en-US"/>
        </w:rPr>
        <w:t xml:space="preserve"> NUC </w:t>
      </w:r>
      <w:r w:rsidR="00F10EF4" w:rsidRPr="00841D2D">
        <w:rPr>
          <w:rFonts w:ascii="Book Antiqua" w:hAnsi="Book Antiqua"/>
          <w:sz w:val="24"/>
          <w:szCs w:val="24"/>
          <w:lang w:val="en-US"/>
        </w:rPr>
        <w:t>treatment in RT patients</w:t>
      </w:r>
    </w:p>
    <w:p w:rsidR="003238BF" w:rsidRPr="00841D2D" w:rsidRDefault="003238BF" w:rsidP="00841D2D">
      <w:pPr>
        <w:spacing w:after="0" w:line="360" w:lineRule="auto"/>
        <w:jc w:val="both"/>
        <w:rPr>
          <w:rFonts w:ascii="Book Antiqua" w:hAnsi="Book Antiqua"/>
          <w:caps/>
          <w:sz w:val="24"/>
          <w:szCs w:val="24"/>
          <w:lang w:val="en-US" w:eastAsia="zh-CN"/>
        </w:rPr>
      </w:pPr>
    </w:p>
    <w:p w:rsidR="003238BF" w:rsidRPr="00841D2D" w:rsidRDefault="003238BF" w:rsidP="00841D2D">
      <w:pPr>
        <w:spacing w:after="0" w:line="360" w:lineRule="auto"/>
        <w:jc w:val="both"/>
        <w:rPr>
          <w:rFonts w:ascii="Book Antiqua" w:hAnsi="Book Antiqua"/>
          <w:sz w:val="24"/>
          <w:szCs w:val="24"/>
        </w:rPr>
      </w:pPr>
      <w:r w:rsidRPr="00841D2D">
        <w:rPr>
          <w:rFonts w:ascii="Book Antiqua" w:hAnsi="Book Antiqua"/>
          <w:caps/>
          <w:sz w:val="24"/>
          <w:szCs w:val="24"/>
        </w:rPr>
        <w:t>E</w:t>
      </w:r>
      <w:r w:rsidRPr="00841D2D">
        <w:rPr>
          <w:rFonts w:ascii="Book Antiqua" w:hAnsi="Book Antiqua"/>
          <w:sz w:val="24"/>
          <w:szCs w:val="24"/>
        </w:rPr>
        <w:t>zequiel Ridruejo</w:t>
      </w:r>
    </w:p>
    <w:p w:rsidR="003238BF" w:rsidRPr="00841D2D" w:rsidRDefault="003238BF" w:rsidP="00841D2D">
      <w:pPr>
        <w:spacing w:after="0" w:line="360" w:lineRule="auto"/>
        <w:jc w:val="both"/>
        <w:rPr>
          <w:rFonts w:ascii="Book Antiqua" w:hAnsi="Book Antiqua"/>
          <w:caps/>
          <w:sz w:val="24"/>
          <w:szCs w:val="24"/>
          <w:lang w:eastAsia="zh-CN"/>
        </w:rPr>
      </w:pPr>
    </w:p>
    <w:p w:rsidR="0021514C" w:rsidRPr="00841D2D" w:rsidRDefault="0021514C" w:rsidP="00841D2D">
      <w:pPr>
        <w:spacing w:after="0" w:line="360" w:lineRule="auto"/>
        <w:jc w:val="both"/>
        <w:rPr>
          <w:rFonts w:ascii="Book Antiqua" w:hAnsi="Book Antiqua"/>
          <w:sz w:val="24"/>
          <w:szCs w:val="24"/>
          <w:lang w:eastAsia="zh-CN"/>
        </w:rPr>
      </w:pPr>
      <w:r w:rsidRPr="00841D2D">
        <w:rPr>
          <w:rFonts w:ascii="Book Antiqua" w:hAnsi="Book Antiqua"/>
          <w:b/>
          <w:caps/>
          <w:sz w:val="24"/>
          <w:szCs w:val="24"/>
        </w:rPr>
        <w:t>E</w:t>
      </w:r>
      <w:r w:rsidRPr="00841D2D">
        <w:rPr>
          <w:rFonts w:ascii="Book Antiqua" w:hAnsi="Book Antiqua"/>
          <w:b/>
          <w:sz w:val="24"/>
          <w:szCs w:val="24"/>
        </w:rPr>
        <w:t>zequiel Ridruejo</w:t>
      </w:r>
      <w:r w:rsidR="00C540F5" w:rsidRPr="00841D2D">
        <w:rPr>
          <w:rFonts w:ascii="Book Antiqua" w:hAnsi="Book Antiqua"/>
          <w:b/>
          <w:sz w:val="24"/>
          <w:szCs w:val="24"/>
          <w:lang w:eastAsia="zh-CN"/>
        </w:rPr>
        <w:t>,</w:t>
      </w:r>
      <w:r w:rsidR="00C540F5" w:rsidRPr="00841D2D">
        <w:rPr>
          <w:rFonts w:ascii="Book Antiqua" w:hAnsi="Book Antiqua"/>
          <w:sz w:val="24"/>
          <w:szCs w:val="24"/>
          <w:lang w:eastAsia="zh-CN"/>
        </w:rPr>
        <w:t xml:space="preserve"> </w:t>
      </w:r>
      <w:r w:rsidR="00F23CDC" w:rsidRPr="00841D2D">
        <w:rPr>
          <w:rFonts w:ascii="Book Antiqua" w:hAnsi="Book Antiqua"/>
          <w:sz w:val="24"/>
          <w:szCs w:val="24"/>
        </w:rPr>
        <w:t>Hepatology Section, Depart</w:t>
      </w:r>
      <w:r w:rsidRPr="00841D2D">
        <w:rPr>
          <w:rFonts w:ascii="Book Antiqua" w:hAnsi="Book Antiqua"/>
          <w:sz w:val="24"/>
          <w:szCs w:val="24"/>
        </w:rPr>
        <w:t>ment of Medicine, Centro de Educación Médica e Investigaciones Clínicas Norberto Quirno “CEMIC”</w:t>
      </w:r>
      <w:r w:rsidR="00C540F5" w:rsidRPr="00841D2D">
        <w:rPr>
          <w:rFonts w:ascii="Book Antiqua" w:hAnsi="Book Antiqua"/>
          <w:sz w:val="24"/>
          <w:szCs w:val="24"/>
          <w:lang w:eastAsia="zh-CN"/>
        </w:rPr>
        <w:t>,</w:t>
      </w:r>
      <w:r w:rsidRPr="00841D2D">
        <w:rPr>
          <w:rFonts w:ascii="Book Antiqua" w:hAnsi="Book Antiqua"/>
          <w:sz w:val="24"/>
          <w:szCs w:val="24"/>
        </w:rPr>
        <w:t xml:space="preserve"> Ciudad Autó</w:t>
      </w:r>
      <w:r w:rsidR="00C540F5" w:rsidRPr="00841D2D">
        <w:rPr>
          <w:rFonts w:ascii="Book Antiqua" w:hAnsi="Book Antiqua"/>
          <w:sz w:val="24"/>
          <w:szCs w:val="24"/>
        </w:rPr>
        <w:t>noma de Buenos Aires, C1425ASG Buenos Aires,</w:t>
      </w:r>
      <w:r w:rsidR="00C540F5" w:rsidRPr="00841D2D">
        <w:rPr>
          <w:rFonts w:ascii="Book Antiqua" w:hAnsi="Book Antiqua"/>
          <w:sz w:val="24"/>
          <w:szCs w:val="24"/>
          <w:lang w:eastAsia="zh-CN"/>
        </w:rPr>
        <w:t xml:space="preserve"> </w:t>
      </w:r>
      <w:r w:rsidR="00C540F5" w:rsidRPr="00841D2D">
        <w:rPr>
          <w:rFonts w:ascii="Book Antiqua" w:hAnsi="Book Antiqua"/>
          <w:sz w:val="24"/>
          <w:szCs w:val="24"/>
        </w:rPr>
        <w:t>Argentina</w:t>
      </w:r>
    </w:p>
    <w:p w:rsidR="00C540F5" w:rsidRPr="00841D2D" w:rsidRDefault="00C540F5" w:rsidP="00841D2D">
      <w:pPr>
        <w:spacing w:after="0" w:line="360" w:lineRule="auto"/>
        <w:jc w:val="both"/>
        <w:rPr>
          <w:rFonts w:ascii="Book Antiqua" w:hAnsi="Book Antiqua"/>
          <w:sz w:val="24"/>
          <w:szCs w:val="24"/>
          <w:lang w:eastAsia="zh-CN"/>
        </w:rPr>
      </w:pPr>
    </w:p>
    <w:p w:rsidR="0021514C" w:rsidRPr="00841D2D" w:rsidRDefault="00C540F5" w:rsidP="00841D2D">
      <w:pPr>
        <w:spacing w:after="0" w:line="360" w:lineRule="auto"/>
        <w:jc w:val="both"/>
        <w:rPr>
          <w:rFonts w:ascii="Book Antiqua" w:hAnsi="Book Antiqua"/>
          <w:sz w:val="24"/>
          <w:szCs w:val="24"/>
          <w:lang w:val="en-US" w:eastAsia="zh-CN"/>
        </w:rPr>
      </w:pPr>
      <w:r w:rsidRPr="00841D2D">
        <w:rPr>
          <w:rFonts w:ascii="Book Antiqua" w:hAnsi="Book Antiqua"/>
          <w:b/>
          <w:caps/>
          <w:sz w:val="24"/>
          <w:szCs w:val="24"/>
        </w:rPr>
        <w:t>E</w:t>
      </w:r>
      <w:r w:rsidRPr="00841D2D">
        <w:rPr>
          <w:rFonts w:ascii="Book Antiqua" w:hAnsi="Book Antiqua"/>
          <w:b/>
          <w:sz w:val="24"/>
          <w:szCs w:val="24"/>
        </w:rPr>
        <w:t>zequiel Ridruejo</w:t>
      </w:r>
      <w:r w:rsidRPr="00841D2D">
        <w:rPr>
          <w:rFonts w:ascii="Book Antiqua" w:hAnsi="Book Antiqua"/>
          <w:b/>
          <w:sz w:val="24"/>
          <w:szCs w:val="24"/>
          <w:lang w:eastAsia="zh-CN"/>
        </w:rPr>
        <w:t xml:space="preserve">, </w:t>
      </w:r>
      <w:r w:rsidR="0021514C" w:rsidRPr="00841D2D">
        <w:rPr>
          <w:rFonts w:ascii="Book Antiqua" w:hAnsi="Book Antiqua"/>
          <w:sz w:val="24"/>
          <w:szCs w:val="24"/>
        </w:rPr>
        <w:t>Hepatology and Liver Transplant Unit, Hospital Universitario Austral</w:t>
      </w:r>
      <w:r w:rsidRPr="00841D2D">
        <w:rPr>
          <w:rFonts w:ascii="Book Antiqua" w:hAnsi="Book Antiqua"/>
          <w:sz w:val="24"/>
          <w:szCs w:val="24"/>
          <w:lang w:eastAsia="zh-CN"/>
        </w:rPr>
        <w:t>,</w:t>
      </w:r>
      <w:r w:rsidR="0021514C" w:rsidRPr="00841D2D">
        <w:rPr>
          <w:rFonts w:ascii="Book Antiqua" w:hAnsi="Book Antiqua"/>
          <w:sz w:val="24"/>
          <w:szCs w:val="24"/>
        </w:rPr>
        <w:t xml:space="preserve"> </w:t>
      </w:r>
      <w:r w:rsidR="0021514C" w:rsidRPr="00841D2D">
        <w:rPr>
          <w:rFonts w:ascii="Book Antiqua" w:hAnsi="Book Antiqua"/>
          <w:sz w:val="24"/>
          <w:szCs w:val="24"/>
          <w:lang w:val="en-US"/>
        </w:rPr>
        <w:t xml:space="preserve">Pilar, </w:t>
      </w:r>
      <w:r w:rsidRPr="00841D2D">
        <w:rPr>
          <w:rFonts w:ascii="Book Antiqua" w:hAnsi="Book Antiqua"/>
          <w:sz w:val="24"/>
          <w:szCs w:val="24"/>
          <w:lang w:val="en-US" w:eastAsia="zh-CN"/>
        </w:rPr>
        <w:t xml:space="preserve">1629 </w:t>
      </w:r>
      <w:r w:rsidR="0021514C" w:rsidRPr="00841D2D">
        <w:rPr>
          <w:rFonts w:ascii="Book Antiqua" w:hAnsi="Book Antiqua"/>
          <w:sz w:val="24"/>
          <w:szCs w:val="24"/>
          <w:lang w:val="en-US"/>
        </w:rPr>
        <w:t>Provi</w:t>
      </w:r>
      <w:r w:rsidRPr="00841D2D">
        <w:rPr>
          <w:rFonts w:ascii="Book Antiqua" w:hAnsi="Book Antiqua"/>
          <w:sz w:val="24"/>
          <w:szCs w:val="24"/>
          <w:lang w:val="en-US"/>
        </w:rPr>
        <w:t>ncia de Buenos Aires, Argentina</w:t>
      </w:r>
    </w:p>
    <w:p w:rsidR="00C540F5" w:rsidRPr="00841D2D" w:rsidRDefault="00C540F5" w:rsidP="00841D2D">
      <w:pPr>
        <w:spacing w:after="0" w:line="360" w:lineRule="auto"/>
        <w:jc w:val="both"/>
        <w:rPr>
          <w:rFonts w:ascii="Book Antiqua" w:hAnsi="Book Antiqua"/>
          <w:sz w:val="24"/>
          <w:szCs w:val="24"/>
          <w:lang w:val="en-US" w:eastAsia="zh-CN"/>
        </w:rPr>
      </w:pPr>
    </w:p>
    <w:p w:rsidR="006B67BA" w:rsidRPr="00841D2D" w:rsidRDefault="006B67BA" w:rsidP="00841D2D">
      <w:pPr>
        <w:spacing w:after="0" w:line="360" w:lineRule="auto"/>
        <w:jc w:val="both"/>
        <w:rPr>
          <w:rFonts w:ascii="Book Antiqua" w:hAnsi="Book Antiqua"/>
          <w:sz w:val="24"/>
          <w:szCs w:val="24"/>
          <w:lang w:val="en-US" w:eastAsia="zh-CN"/>
        </w:rPr>
      </w:pPr>
      <w:r w:rsidRPr="00841D2D">
        <w:rPr>
          <w:rFonts w:ascii="Book Antiqua" w:hAnsi="Book Antiqua"/>
          <w:b/>
          <w:sz w:val="24"/>
          <w:szCs w:val="24"/>
          <w:lang w:val="en-US"/>
        </w:rPr>
        <w:t xml:space="preserve">Author contributions: </w:t>
      </w:r>
      <w:r w:rsidRPr="00841D2D">
        <w:rPr>
          <w:rFonts w:ascii="Book Antiqua" w:hAnsi="Book Antiqua"/>
          <w:sz w:val="24"/>
          <w:szCs w:val="24"/>
          <w:lang w:val="en-US"/>
        </w:rPr>
        <w:t>Ridruejo E analyzed all the data and wrote the paper.</w:t>
      </w:r>
    </w:p>
    <w:p w:rsidR="00C540F5" w:rsidRPr="00841D2D" w:rsidRDefault="00C540F5" w:rsidP="00841D2D">
      <w:pPr>
        <w:spacing w:after="0" w:line="360" w:lineRule="auto"/>
        <w:jc w:val="both"/>
        <w:rPr>
          <w:rFonts w:ascii="Book Antiqua" w:hAnsi="Book Antiqua"/>
          <w:sz w:val="24"/>
          <w:szCs w:val="24"/>
          <w:lang w:val="en-US" w:eastAsia="zh-CN"/>
        </w:rPr>
      </w:pPr>
    </w:p>
    <w:p w:rsidR="00C540F5" w:rsidRPr="00841D2D" w:rsidRDefault="00C540F5" w:rsidP="00841D2D">
      <w:pPr>
        <w:spacing w:after="0" w:line="360" w:lineRule="auto"/>
        <w:jc w:val="both"/>
        <w:rPr>
          <w:rFonts w:ascii="Book Antiqua" w:hAnsi="Book Antiqua"/>
          <w:sz w:val="24"/>
          <w:szCs w:val="24"/>
          <w:lang w:eastAsia="zh-CN"/>
        </w:rPr>
      </w:pPr>
      <w:r w:rsidRPr="00841D2D">
        <w:rPr>
          <w:rFonts w:ascii="Book Antiqua" w:hAnsi="Book Antiqua"/>
          <w:b/>
          <w:sz w:val="24"/>
          <w:szCs w:val="24"/>
        </w:rPr>
        <w:t xml:space="preserve">Correspondence to: </w:t>
      </w:r>
      <w:r w:rsidR="0021514C" w:rsidRPr="00841D2D">
        <w:rPr>
          <w:rFonts w:ascii="Book Antiqua" w:hAnsi="Book Antiqua"/>
          <w:b/>
          <w:sz w:val="24"/>
          <w:szCs w:val="24"/>
          <w:lang w:val="en-US"/>
        </w:rPr>
        <w:t>Ezequiel Ridruejo</w:t>
      </w:r>
      <w:r w:rsidRPr="00841D2D">
        <w:rPr>
          <w:rFonts w:ascii="Book Antiqua" w:hAnsi="Book Antiqua"/>
          <w:b/>
          <w:sz w:val="24"/>
          <w:szCs w:val="24"/>
          <w:lang w:val="en-US" w:eastAsia="zh-CN"/>
        </w:rPr>
        <w:t>,</w:t>
      </w:r>
      <w:r w:rsidR="0021514C" w:rsidRPr="00841D2D">
        <w:rPr>
          <w:rFonts w:ascii="Book Antiqua" w:hAnsi="Book Antiqua"/>
          <w:b/>
          <w:sz w:val="24"/>
          <w:szCs w:val="24"/>
          <w:lang w:val="en-US"/>
        </w:rPr>
        <w:t xml:space="preserve"> MD</w:t>
      </w:r>
      <w:r w:rsidRPr="00841D2D">
        <w:rPr>
          <w:rFonts w:ascii="Book Antiqua" w:hAnsi="Book Antiqua"/>
          <w:b/>
          <w:sz w:val="24"/>
          <w:szCs w:val="24"/>
          <w:lang w:val="en-US" w:eastAsia="zh-CN"/>
        </w:rPr>
        <w:t xml:space="preserve">, </w:t>
      </w:r>
      <w:r w:rsidR="0021514C" w:rsidRPr="00841D2D">
        <w:rPr>
          <w:rFonts w:ascii="Book Antiqua" w:hAnsi="Book Antiqua"/>
          <w:sz w:val="24"/>
          <w:szCs w:val="24"/>
          <w:lang w:val="en-US"/>
        </w:rPr>
        <w:t>Hepatology Section, Department of Medicine</w:t>
      </w:r>
      <w:r w:rsidRPr="00841D2D">
        <w:rPr>
          <w:rFonts w:ascii="Book Antiqua" w:hAnsi="Book Antiqua"/>
          <w:sz w:val="24"/>
          <w:szCs w:val="24"/>
          <w:lang w:val="en-US" w:eastAsia="zh-CN"/>
        </w:rPr>
        <w:t xml:space="preserve">, </w:t>
      </w:r>
      <w:r w:rsidR="0021514C" w:rsidRPr="00841D2D">
        <w:rPr>
          <w:rFonts w:ascii="Book Antiqua" w:hAnsi="Book Antiqua"/>
          <w:sz w:val="24"/>
          <w:szCs w:val="24"/>
        </w:rPr>
        <w:t>Centro de Educación Médica e Investigaciones Clínicas Norberto Quirno “CEMIC”</w:t>
      </w:r>
      <w:r w:rsidRPr="00841D2D">
        <w:rPr>
          <w:rFonts w:ascii="Book Antiqua" w:hAnsi="Book Antiqua"/>
          <w:sz w:val="24"/>
          <w:szCs w:val="24"/>
          <w:lang w:eastAsia="zh-CN"/>
        </w:rPr>
        <w:t>,</w:t>
      </w:r>
      <w:r w:rsidRPr="00841D2D">
        <w:rPr>
          <w:rFonts w:ascii="Book Antiqua" w:hAnsi="Book Antiqua"/>
          <w:sz w:val="24"/>
          <w:szCs w:val="24"/>
        </w:rPr>
        <w:t xml:space="preserve"> Avda. Las Heras 2939</w:t>
      </w:r>
      <w:r w:rsidRPr="00841D2D">
        <w:rPr>
          <w:rFonts w:ascii="Book Antiqua" w:hAnsi="Book Antiqua"/>
          <w:sz w:val="24"/>
          <w:szCs w:val="24"/>
          <w:lang w:eastAsia="zh-CN"/>
        </w:rPr>
        <w:t>,</w:t>
      </w:r>
      <w:r w:rsidRPr="00841D2D">
        <w:rPr>
          <w:rFonts w:ascii="Book Antiqua" w:hAnsi="Book Antiqua"/>
          <w:sz w:val="24"/>
          <w:szCs w:val="24"/>
        </w:rPr>
        <w:t xml:space="preserve"> C1425ASG Buenos Aires, Argentina</w:t>
      </w:r>
      <w:r w:rsidRPr="00841D2D">
        <w:rPr>
          <w:rFonts w:ascii="Book Antiqua" w:hAnsi="Book Antiqua"/>
          <w:sz w:val="24"/>
          <w:szCs w:val="24"/>
          <w:lang w:eastAsia="zh-CN"/>
        </w:rPr>
        <w:t>.</w:t>
      </w:r>
      <w:r w:rsidRPr="00841D2D">
        <w:rPr>
          <w:rFonts w:ascii="Book Antiqua" w:hAnsi="Book Antiqua"/>
          <w:sz w:val="24"/>
          <w:szCs w:val="24"/>
          <w:lang w:val="en-US"/>
        </w:rPr>
        <w:t xml:space="preserve"> eridruejo@gmail.com</w:t>
      </w:r>
    </w:p>
    <w:p w:rsidR="0021514C" w:rsidRPr="00841D2D" w:rsidRDefault="0021514C" w:rsidP="00841D2D">
      <w:pPr>
        <w:spacing w:after="0" w:line="360" w:lineRule="auto"/>
        <w:jc w:val="both"/>
        <w:rPr>
          <w:rFonts w:ascii="Book Antiqua" w:hAnsi="Book Antiqua"/>
          <w:sz w:val="24"/>
          <w:szCs w:val="24"/>
          <w:lang w:val="en-US" w:eastAsia="zh-CN"/>
        </w:rPr>
      </w:pPr>
    </w:p>
    <w:p w:rsidR="0021514C" w:rsidRPr="00841D2D" w:rsidRDefault="0021514C" w:rsidP="00841D2D">
      <w:pPr>
        <w:spacing w:after="0" w:line="360" w:lineRule="auto"/>
        <w:jc w:val="both"/>
        <w:rPr>
          <w:rFonts w:ascii="Book Antiqua" w:hAnsi="Book Antiqua"/>
          <w:sz w:val="24"/>
          <w:szCs w:val="24"/>
          <w:lang w:val="en-US"/>
        </w:rPr>
      </w:pPr>
      <w:r w:rsidRPr="00841D2D">
        <w:rPr>
          <w:rFonts w:ascii="Book Antiqua" w:hAnsi="Book Antiqua"/>
          <w:b/>
          <w:sz w:val="24"/>
          <w:szCs w:val="24"/>
          <w:lang w:val="en-US"/>
        </w:rPr>
        <w:t>Telephone:</w:t>
      </w:r>
      <w:r w:rsidRPr="00841D2D">
        <w:rPr>
          <w:rFonts w:ascii="Book Antiqua" w:hAnsi="Book Antiqua"/>
          <w:sz w:val="24"/>
          <w:szCs w:val="24"/>
          <w:lang w:val="en-US"/>
        </w:rPr>
        <w:t xml:space="preserve"> </w:t>
      </w:r>
      <w:r w:rsidR="00C540F5" w:rsidRPr="00841D2D">
        <w:rPr>
          <w:rFonts w:ascii="Book Antiqua" w:hAnsi="Book Antiqua"/>
          <w:sz w:val="24"/>
          <w:szCs w:val="24"/>
          <w:lang w:val="en-US" w:eastAsia="zh-CN"/>
        </w:rPr>
        <w:t>+</w:t>
      </w:r>
      <w:r w:rsidR="00C540F5" w:rsidRPr="00841D2D">
        <w:rPr>
          <w:rFonts w:ascii="Book Antiqua" w:hAnsi="Book Antiqua"/>
          <w:sz w:val="24"/>
          <w:szCs w:val="24"/>
          <w:lang w:val="en-US"/>
        </w:rPr>
        <w:t>54-11-48091980</w:t>
      </w:r>
      <w:r w:rsidR="00C540F5" w:rsidRPr="00841D2D">
        <w:rPr>
          <w:rFonts w:ascii="Book Antiqua" w:hAnsi="Book Antiqua"/>
          <w:sz w:val="24"/>
          <w:szCs w:val="24"/>
          <w:lang w:val="en-US" w:eastAsia="zh-CN"/>
        </w:rPr>
        <w:t xml:space="preserve"> </w:t>
      </w:r>
      <w:r w:rsidRPr="00841D2D">
        <w:rPr>
          <w:rFonts w:ascii="Book Antiqua" w:hAnsi="Book Antiqua"/>
          <w:b/>
          <w:sz w:val="24"/>
          <w:szCs w:val="24"/>
        </w:rPr>
        <w:t>Fax:</w:t>
      </w:r>
      <w:r w:rsidRPr="00841D2D">
        <w:rPr>
          <w:rFonts w:ascii="Book Antiqua" w:hAnsi="Book Antiqua"/>
          <w:sz w:val="24"/>
          <w:szCs w:val="24"/>
        </w:rPr>
        <w:t xml:space="preserve"> </w:t>
      </w:r>
      <w:r w:rsidR="00C540F5" w:rsidRPr="00841D2D">
        <w:rPr>
          <w:rFonts w:ascii="Book Antiqua" w:hAnsi="Book Antiqua"/>
          <w:sz w:val="24"/>
          <w:szCs w:val="24"/>
          <w:lang w:eastAsia="zh-CN"/>
        </w:rPr>
        <w:t>+</w:t>
      </w:r>
      <w:r w:rsidR="00C540F5" w:rsidRPr="00841D2D">
        <w:rPr>
          <w:rFonts w:ascii="Book Antiqua" w:hAnsi="Book Antiqua"/>
          <w:sz w:val="24"/>
          <w:szCs w:val="24"/>
        </w:rPr>
        <w:t>54-11-4809</w:t>
      </w:r>
      <w:r w:rsidRPr="00841D2D">
        <w:rPr>
          <w:rFonts w:ascii="Book Antiqua" w:hAnsi="Book Antiqua"/>
          <w:sz w:val="24"/>
          <w:szCs w:val="24"/>
        </w:rPr>
        <w:t>1992</w:t>
      </w:r>
    </w:p>
    <w:p w:rsidR="006B67BA" w:rsidRPr="00841D2D" w:rsidRDefault="006B67BA" w:rsidP="00841D2D">
      <w:pPr>
        <w:spacing w:after="0" w:line="360" w:lineRule="auto"/>
        <w:jc w:val="both"/>
        <w:rPr>
          <w:rFonts w:ascii="Book Antiqua" w:hAnsi="Book Antiqua"/>
          <w:sz w:val="24"/>
          <w:szCs w:val="24"/>
        </w:rPr>
      </w:pPr>
    </w:p>
    <w:p w:rsidR="00C540F5" w:rsidRPr="00841D2D" w:rsidRDefault="00C540F5" w:rsidP="00841D2D">
      <w:pPr>
        <w:spacing w:after="0" w:line="360" w:lineRule="auto"/>
        <w:jc w:val="both"/>
        <w:rPr>
          <w:rFonts w:ascii="Book Antiqua" w:hAnsi="Book Antiqua"/>
          <w:b/>
          <w:sz w:val="24"/>
          <w:szCs w:val="24"/>
        </w:rPr>
      </w:pPr>
      <w:r w:rsidRPr="00841D2D">
        <w:rPr>
          <w:rFonts w:ascii="Book Antiqua" w:hAnsi="Book Antiqua"/>
          <w:b/>
          <w:sz w:val="24"/>
          <w:szCs w:val="24"/>
        </w:rPr>
        <w:t xml:space="preserve">Received: </w:t>
      </w:r>
      <w:r w:rsidR="00841D2D" w:rsidRPr="00841D2D">
        <w:rPr>
          <w:rFonts w:ascii="Book Antiqua" w:hAnsi="Book Antiqua"/>
          <w:sz w:val="24"/>
          <w:szCs w:val="24"/>
          <w:lang w:eastAsia="zh-CN"/>
        </w:rPr>
        <w:t>August 13, 2014</w:t>
      </w:r>
      <w:r w:rsidR="00841D2D" w:rsidRPr="00841D2D">
        <w:rPr>
          <w:rFonts w:ascii="Book Antiqua" w:hAnsi="Book Antiqua"/>
          <w:b/>
          <w:sz w:val="24"/>
          <w:szCs w:val="24"/>
          <w:lang w:eastAsia="zh-CN"/>
        </w:rPr>
        <w:t xml:space="preserve"> </w:t>
      </w:r>
      <w:r w:rsidRPr="00841D2D">
        <w:rPr>
          <w:rFonts w:ascii="Book Antiqua" w:hAnsi="Book Antiqua"/>
          <w:b/>
          <w:sz w:val="24"/>
          <w:szCs w:val="24"/>
        </w:rPr>
        <w:t>Revised:</w:t>
      </w:r>
      <w:r w:rsidR="00841D2D" w:rsidRPr="00841D2D">
        <w:rPr>
          <w:rFonts w:ascii="Book Antiqua" w:hAnsi="Book Antiqua"/>
          <w:b/>
          <w:sz w:val="24"/>
          <w:szCs w:val="24"/>
          <w:lang w:eastAsia="zh-CN"/>
        </w:rPr>
        <w:t xml:space="preserve"> </w:t>
      </w:r>
      <w:r w:rsidR="00841D2D" w:rsidRPr="00841D2D">
        <w:rPr>
          <w:rFonts w:ascii="Book Antiqua" w:hAnsi="Book Antiqua"/>
          <w:sz w:val="24"/>
          <w:szCs w:val="24"/>
          <w:lang w:eastAsia="zh-CN"/>
        </w:rPr>
        <w:t>November 7, 2014</w:t>
      </w:r>
      <w:r w:rsidRPr="00841D2D">
        <w:rPr>
          <w:rFonts w:ascii="Book Antiqua" w:hAnsi="Book Antiqua"/>
          <w:sz w:val="24"/>
          <w:szCs w:val="24"/>
        </w:rPr>
        <w:t xml:space="preserve">  </w:t>
      </w:r>
    </w:p>
    <w:p w:rsidR="00D037A7" w:rsidRDefault="00C540F5" w:rsidP="00D037A7">
      <w:pPr>
        <w:rPr>
          <w:rStyle w:val="Emphasis"/>
          <w:rFonts w:ascii="Book Antiqua" w:hAnsi="Book Antiqua"/>
          <w:i w:val="0"/>
          <w:sz w:val="24"/>
        </w:rPr>
      </w:pPr>
      <w:r w:rsidRPr="00841D2D">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037A7" w:rsidRPr="00A63FB9">
        <w:rPr>
          <w:rStyle w:val="Emphasis"/>
          <w:rFonts w:ascii="Book Antiqua" w:hAnsi="Book Antiqua"/>
          <w:i w:val="0"/>
          <w:sz w:val="24"/>
        </w:rPr>
        <w:t xml:space="preserve">November </w:t>
      </w:r>
      <w:r w:rsidR="00D037A7">
        <w:rPr>
          <w:rStyle w:val="Emphasis"/>
          <w:rFonts w:ascii="Book Antiqua" w:hAnsi="Book Antiqua"/>
          <w:i w:val="0"/>
          <w:sz w:val="24"/>
        </w:rPr>
        <w:t>1</w:t>
      </w:r>
      <w:r w:rsidR="00D037A7"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540F5" w:rsidRPr="00841D2D" w:rsidRDefault="00C540F5" w:rsidP="00841D2D">
      <w:pPr>
        <w:spacing w:after="0" w:line="360" w:lineRule="auto"/>
        <w:jc w:val="both"/>
        <w:rPr>
          <w:rFonts w:ascii="Book Antiqua" w:hAnsi="Book Antiqua"/>
          <w:b/>
          <w:sz w:val="24"/>
          <w:szCs w:val="24"/>
        </w:rPr>
      </w:pPr>
    </w:p>
    <w:p w:rsidR="00C540F5" w:rsidRPr="00841D2D" w:rsidRDefault="00C540F5" w:rsidP="00841D2D">
      <w:pPr>
        <w:spacing w:after="0" w:line="360" w:lineRule="auto"/>
        <w:jc w:val="both"/>
        <w:rPr>
          <w:rFonts w:ascii="Book Antiqua" w:hAnsi="Book Antiqua" w:cs="宋体"/>
          <w:bCs/>
          <w:color w:val="000000"/>
          <w:sz w:val="24"/>
          <w:szCs w:val="24"/>
        </w:rPr>
      </w:pPr>
      <w:r w:rsidRPr="00841D2D">
        <w:rPr>
          <w:rFonts w:ascii="Book Antiqua" w:hAnsi="Book Antiqua"/>
          <w:b/>
          <w:sz w:val="24"/>
          <w:szCs w:val="24"/>
        </w:rPr>
        <w:t xml:space="preserve">Published online: </w:t>
      </w:r>
    </w:p>
    <w:p w:rsidR="00841D2D" w:rsidRPr="00841D2D" w:rsidRDefault="00841D2D" w:rsidP="00841D2D">
      <w:pPr>
        <w:spacing w:after="0" w:line="360" w:lineRule="auto"/>
        <w:jc w:val="both"/>
        <w:rPr>
          <w:rFonts w:ascii="Book Antiqua" w:hAnsi="Book Antiqua"/>
          <w:b/>
          <w:sz w:val="24"/>
          <w:szCs w:val="24"/>
          <w:lang w:val="en-US" w:eastAsia="zh-CN"/>
        </w:rPr>
      </w:pPr>
    </w:p>
    <w:p w:rsidR="006B67BA" w:rsidRPr="00841D2D" w:rsidRDefault="006B67BA"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A</w:t>
      </w:r>
      <w:r w:rsidR="003238BF" w:rsidRPr="00841D2D">
        <w:rPr>
          <w:rFonts w:ascii="Book Antiqua" w:hAnsi="Book Antiqua"/>
          <w:b/>
          <w:sz w:val="24"/>
          <w:szCs w:val="24"/>
          <w:lang w:val="en-US"/>
        </w:rPr>
        <w:t>bstract</w:t>
      </w:r>
    </w:p>
    <w:p w:rsidR="006B67BA" w:rsidRPr="00841D2D" w:rsidRDefault="006B67BA"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 xml:space="preserve">Chronic hepatitis B infection is frequent in renal transplant patients. It negatively impacts long term outcomes reducing graft and patient survival. Current guidelines clearly define who needs treatment, when to start, what is the first line therapy, how to monitor treatment response, when to stop, and how patients must be controlled for its safety. There is some data showing a favorable safety and efficacy profile of </w:t>
      </w:r>
      <w:r w:rsidR="00740493" w:rsidRPr="00841D2D">
        <w:rPr>
          <w:rFonts w:ascii="Book Antiqua" w:hAnsi="Book Antiqua"/>
          <w:sz w:val="24"/>
          <w:szCs w:val="24"/>
          <w:lang w:val="en-US"/>
        </w:rPr>
        <w:t>nucleos(t)ide analogue (NUC)</w:t>
      </w:r>
      <w:r w:rsidRPr="00841D2D">
        <w:rPr>
          <w:rFonts w:ascii="Book Antiqua" w:hAnsi="Book Antiqua"/>
          <w:sz w:val="24"/>
          <w:szCs w:val="24"/>
          <w:lang w:val="en-US"/>
        </w:rPr>
        <w:t xml:space="preserve"> treatment in the renal transplant setting. </w:t>
      </w:r>
      <w:r w:rsidR="00740493" w:rsidRPr="00841D2D">
        <w:rPr>
          <w:rFonts w:ascii="Book Antiqua" w:hAnsi="Book Antiqua"/>
          <w:sz w:val="24"/>
          <w:szCs w:val="24"/>
          <w:lang w:val="en-US"/>
        </w:rPr>
        <w:t>Entecavir</w:t>
      </w:r>
      <w:r w:rsidR="00FB36F3" w:rsidRPr="00841D2D">
        <w:rPr>
          <w:rFonts w:ascii="Book Antiqua" w:hAnsi="Book Antiqua"/>
          <w:sz w:val="24"/>
          <w:szCs w:val="24"/>
          <w:lang w:val="en-US"/>
        </w:rPr>
        <w:t>, a drug</w:t>
      </w:r>
      <w:r w:rsidRPr="00841D2D">
        <w:rPr>
          <w:rFonts w:ascii="Book Antiqua" w:hAnsi="Book Antiqua"/>
          <w:sz w:val="24"/>
          <w:szCs w:val="24"/>
          <w:lang w:val="en-US"/>
        </w:rPr>
        <w:t xml:space="preserve"> without </w:t>
      </w:r>
      <w:r w:rsidR="00FB36F3" w:rsidRPr="00841D2D">
        <w:rPr>
          <w:rFonts w:ascii="Book Antiqua" w:hAnsi="Book Antiqua"/>
          <w:sz w:val="24"/>
          <w:szCs w:val="24"/>
          <w:lang w:val="en-US"/>
        </w:rPr>
        <w:t xml:space="preserve">major </w:t>
      </w:r>
      <w:r w:rsidRPr="00841D2D">
        <w:rPr>
          <w:rFonts w:ascii="Book Antiqua" w:hAnsi="Book Antiqua"/>
          <w:sz w:val="24"/>
          <w:szCs w:val="24"/>
          <w:lang w:val="en-US"/>
        </w:rPr>
        <w:t xml:space="preserve">signs of nephrotoxicity, appears to be the </w:t>
      </w:r>
      <w:r w:rsidR="00FB36F3" w:rsidRPr="00841D2D">
        <w:rPr>
          <w:rFonts w:ascii="Book Antiqua" w:hAnsi="Book Antiqua"/>
          <w:sz w:val="24"/>
          <w:szCs w:val="24"/>
          <w:lang w:val="en-US"/>
        </w:rPr>
        <w:t>first</w:t>
      </w:r>
      <w:r w:rsidRPr="00841D2D">
        <w:rPr>
          <w:rFonts w:ascii="Book Antiqua" w:hAnsi="Book Antiqua"/>
          <w:sz w:val="24"/>
          <w:szCs w:val="24"/>
          <w:lang w:val="en-US"/>
        </w:rPr>
        <w:t xml:space="preserve"> option for NUC naïve patients and </w:t>
      </w:r>
      <w:r w:rsidR="00740493" w:rsidRPr="00841D2D">
        <w:rPr>
          <w:rFonts w:ascii="Book Antiqua" w:hAnsi="Book Antiqua"/>
          <w:sz w:val="24"/>
          <w:szCs w:val="24"/>
          <w:lang w:val="en-US"/>
        </w:rPr>
        <w:t>tenofovir</w:t>
      </w:r>
      <w:r w:rsidRPr="00841D2D">
        <w:rPr>
          <w:rFonts w:ascii="Book Antiqua" w:hAnsi="Book Antiqua"/>
          <w:sz w:val="24"/>
          <w:szCs w:val="24"/>
          <w:lang w:val="en-US"/>
        </w:rPr>
        <w:t xml:space="preserve"> remains the </w:t>
      </w:r>
      <w:r w:rsidR="00FB36F3" w:rsidRPr="00841D2D">
        <w:rPr>
          <w:rFonts w:ascii="Book Antiqua" w:hAnsi="Book Antiqua"/>
          <w:sz w:val="24"/>
          <w:szCs w:val="24"/>
          <w:lang w:val="en-US"/>
        </w:rPr>
        <w:t>preferred</w:t>
      </w:r>
      <w:r w:rsidRPr="00841D2D">
        <w:rPr>
          <w:rFonts w:ascii="Book Antiqua" w:hAnsi="Book Antiqua"/>
          <w:sz w:val="24"/>
          <w:szCs w:val="24"/>
          <w:lang w:val="en-US"/>
        </w:rPr>
        <w:t xml:space="preserve"> choice for patients with pr</w:t>
      </w:r>
      <w:r w:rsidR="00FB36F3" w:rsidRPr="00841D2D">
        <w:rPr>
          <w:rFonts w:ascii="Book Antiqua" w:hAnsi="Book Antiqua"/>
          <w:sz w:val="24"/>
          <w:szCs w:val="24"/>
          <w:lang w:val="en-US"/>
        </w:rPr>
        <w:t>evious</w:t>
      </w:r>
      <w:r w:rsidRPr="00841D2D">
        <w:rPr>
          <w:rFonts w:ascii="Book Antiqua" w:hAnsi="Book Antiqua"/>
          <w:sz w:val="24"/>
          <w:szCs w:val="24"/>
          <w:lang w:val="en-US"/>
        </w:rPr>
        <w:t xml:space="preserve"> resistance to </w:t>
      </w:r>
      <w:r w:rsidR="00740493" w:rsidRPr="00841D2D">
        <w:rPr>
          <w:rFonts w:ascii="Book Antiqua" w:hAnsi="Book Antiqua"/>
          <w:sz w:val="24"/>
          <w:szCs w:val="24"/>
          <w:lang w:val="en-US"/>
        </w:rPr>
        <w:t>lamivudine</w:t>
      </w:r>
      <w:r w:rsidRPr="00841D2D">
        <w:rPr>
          <w:rFonts w:ascii="Book Antiqua" w:hAnsi="Book Antiqua"/>
          <w:sz w:val="24"/>
          <w:szCs w:val="24"/>
          <w:lang w:val="en-US"/>
        </w:rPr>
        <w:t xml:space="preserve"> or any other NUC. Renal transplant recipients under antiHBV therapy should be </w:t>
      </w:r>
      <w:r w:rsidR="00FB36F3" w:rsidRPr="00841D2D">
        <w:rPr>
          <w:rFonts w:ascii="Book Antiqua" w:hAnsi="Book Antiqua"/>
          <w:sz w:val="24"/>
          <w:szCs w:val="24"/>
          <w:lang w:val="en-US"/>
        </w:rPr>
        <w:t>monitored</w:t>
      </w:r>
      <w:r w:rsidRPr="00841D2D">
        <w:rPr>
          <w:rFonts w:ascii="Book Antiqua" w:hAnsi="Book Antiqua"/>
          <w:sz w:val="24"/>
          <w:szCs w:val="24"/>
          <w:lang w:val="en-US"/>
        </w:rPr>
        <w:t xml:space="preserve"> for </w:t>
      </w:r>
      <w:r w:rsidR="00FB36F3" w:rsidRPr="00841D2D">
        <w:rPr>
          <w:rFonts w:ascii="Book Antiqua" w:hAnsi="Book Antiqua"/>
          <w:sz w:val="24"/>
          <w:szCs w:val="24"/>
          <w:lang w:val="en-US"/>
        </w:rPr>
        <w:t>its</w:t>
      </w:r>
      <w:r w:rsidRPr="00841D2D">
        <w:rPr>
          <w:rFonts w:ascii="Book Antiqua" w:hAnsi="Book Antiqua"/>
          <w:sz w:val="24"/>
          <w:szCs w:val="24"/>
          <w:lang w:val="en-US"/>
        </w:rPr>
        <w:t xml:space="preserve"> efficacy against HBV but also </w:t>
      </w:r>
      <w:r w:rsidR="00FB36F3" w:rsidRPr="00841D2D">
        <w:rPr>
          <w:rFonts w:ascii="Book Antiqua" w:hAnsi="Book Antiqua"/>
          <w:sz w:val="24"/>
          <w:szCs w:val="24"/>
          <w:lang w:val="en-US"/>
        </w:rPr>
        <w:t xml:space="preserve">for its safety </w:t>
      </w:r>
      <w:r w:rsidRPr="00841D2D">
        <w:rPr>
          <w:rFonts w:ascii="Book Antiqua" w:hAnsi="Book Antiqua"/>
          <w:sz w:val="24"/>
          <w:szCs w:val="24"/>
          <w:lang w:val="en-US"/>
        </w:rPr>
        <w:t xml:space="preserve">with a </w:t>
      </w:r>
      <w:r w:rsidR="00FB36F3" w:rsidRPr="00841D2D">
        <w:rPr>
          <w:rFonts w:ascii="Book Antiqua" w:hAnsi="Book Antiqua"/>
          <w:sz w:val="24"/>
          <w:szCs w:val="24"/>
          <w:lang w:val="en-US"/>
        </w:rPr>
        <w:t>close</w:t>
      </w:r>
      <w:r w:rsidRPr="00841D2D">
        <w:rPr>
          <w:rFonts w:ascii="Book Antiqua" w:hAnsi="Book Antiqua"/>
          <w:sz w:val="24"/>
          <w:szCs w:val="24"/>
          <w:lang w:val="en-US"/>
        </w:rPr>
        <w:t xml:space="preserve"> renal monitoring. Studies including a large number of patients with long term treatment and follow up are still needed to better demonstrate the safety and efficacy of newer NUCs in this population.</w:t>
      </w:r>
    </w:p>
    <w:p w:rsidR="006B67BA" w:rsidRPr="00841D2D" w:rsidRDefault="006B67BA" w:rsidP="00841D2D">
      <w:pPr>
        <w:spacing w:after="0" w:line="360" w:lineRule="auto"/>
        <w:jc w:val="both"/>
        <w:rPr>
          <w:rFonts w:ascii="Book Antiqua" w:hAnsi="Book Antiqua"/>
          <w:sz w:val="24"/>
          <w:szCs w:val="24"/>
          <w:lang w:val="en-US" w:eastAsia="zh-CN"/>
        </w:rPr>
      </w:pPr>
    </w:p>
    <w:p w:rsidR="00841D2D" w:rsidRPr="00841D2D" w:rsidRDefault="00841D2D" w:rsidP="00841D2D">
      <w:pPr>
        <w:spacing w:after="0" w:line="360" w:lineRule="auto"/>
        <w:jc w:val="both"/>
        <w:rPr>
          <w:rFonts w:ascii="Book Antiqua" w:hAnsi="Book Antiqua"/>
          <w:sz w:val="24"/>
          <w:szCs w:val="24"/>
          <w:lang w:val="en-GB"/>
        </w:rPr>
      </w:pPr>
      <w:r w:rsidRPr="00841D2D">
        <w:rPr>
          <w:rFonts w:ascii="Book Antiqua" w:hAnsi="Book Antiqua"/>
          <w:sz w:val="24"/>
          <w:szCs w:val="24"/>
        </w:rPr>
        <w:t xml:space="preserve">© </w:t>
      </w:r>
      <w:r w:rsidRPr="00841D2D">
        <w:rPr>
          <w:rFonts w:ascii="Book Antiqua" w:hAnsi="Book Antiqua"/>
          <w:sz w:val="24"/>
          <w:szCs w:val="24"/>
          <w:lang w:val="en-GB"/>
        </w:rPr>
        <w:t>2014 Baishideng Publishing Group Inc. All rights reserved.</w:t>
      </w:r>
    </w:p>
    <w:p w:rsidR="00841D2D" w:rsidRPr="00841D2D" w:rsidRDefault="00841D2D" w:rsidP="00841D2D">
      <w:pPr>
        <w:spacing w:after="0" w:line="360" w:lineRule="auto"/>
        <w:jc w:val="both"/>
        <w:rPr>
          <w:rFonts w:ascii="Book Antiqua" w:hAnsi="Book Antiqua"/>
          <w:sz w:val="24"/>
          <w:szCs w:val="24"/>
          <w:lang w:val="en-GB" w:eastAsia="zh-CN"/>
        </w:rPr>
      </w:pPr>
    </w:p>
    <w:p w:rsidR="006B67BA" w:rsidRPr="00841D2D" w:rsidRDefault="006B67BA" w:rsidP="00841D2D">
      <w:pPr>
        <w:spacing w:after="0" w:line="360" w:lineRule="auto"/>
        <w:jc w:val="both"/>
        <w:rPr>
          <w:rFonts w:ascii="Book Antiqua" w:hAnsi="Book Antiqua"/>
          <w:sz w:val="24"/>
          <w:szCs w:val="24"/>
          <w:lang w:val="en-US" w:eastAsia="zh-CN"/>
        </w:rPr>
      </w:pPr>
      <w:r w:rsidRPr="00841D2D">
        <w:rPr>
          <w:rFonts w:ascii="Book Antiqua" w:hAnsi="Book Antiqua"/>
          <w:b/>
          <w:sz w:val="24"/>
          <w:szCs w:val="24"/>
          <w:lang w:val="en-US"/>
        </w:rPr>
        <w:t>Key</w:t>
      </w:r>
      <w:r w:rsidR="00D4333B">
        <w:rPr>
          <w:rFonts w:ascii="Book Antiqua" w:hAnsi="Book Antiqua" w:hint="eastAsia"/>
          <w:b/>
          <w:sz w:val="24"/>
          <w:szCs w:val="24"/>
          <w:lang w:val="en-US" w:eastAsia="zh-CN"/>
        </w:rPr>
        <w:t xml:space="preserve"> </w:t>
      </w:r>
      <w:r w:rsidRPr="00841D2D">
        <w:rPr>
          <w:rFonts w:ascii="Book Antiqua" w:hAnsi="Book Antiqua"/>
          <w:b/>
          <w:sz w:val="24"/>
          <w:szCs w:val="24"/>
          <w:lang w:val="en-US"/>
        </w:rPr>
        <w:t>words</w:t>
      </w:r>
      <w:r w:rsidRPr="00841D2D">
        <w:rPr>
          <w:rFonts w:ascii="Book Antiqua" w:hAnsi="Book Antiqua"/>
          <w:sz w:val="24"/>
          <w:szCs w:val="24"/>
          <w:lang w:val="en-US"/>
        </w:rPr>
        <w:t xml:space="preserve">: Hepatitis B; Renal </w:t>
      </w:r>
      <w:r w:rsidR="00841D2D" w:rsidRPr="00841D2D">
        <w:rPr>
          <w:rFonts w:ascii="Book Antiqua" w:hAnsi="Book Antiqua"/>
          <w:sz w:val="24"/>
          <w:szCs w:val="24"/>
          <w:lang w:val="en-US"/>
        </w:rPr>
        <w:t>t</w:t>
      </w:r>
      <w:r w:rsidRPr="00841D2D">
        <w:rPr>
          <w:rFonts w:ascii="Book Antiqua" w:hAnsi="Book Antiqua"/>
          <w:sz w:val="24"/>
          <w:szCs w:val="24"/>
          <w:lang w:val="en-US"/>
        </w:rPr>
        <w:t xml:space="preserve">ransplantation; Entecavir; Tenofovir; Long </w:t>
      </w:r>
      <w:r w:rsidR="00841D2D" w:rsidRPr="00841D2D">
        <w:rPr>
          <w:rFonts w:ascii="Book Antiqua" w:hAnsi="Book Antiqua"/>
          <w:sz w:val="24"/>
          <w:szCs w:val="24"/>
          <w:lang w:val="en-US"/>
        </w:rPr>
        <w:t>term o</w:t>
      </w:r>
      <w:r w:rsidRPr="00841D2D">
        <w:rPr>
          <w:rFonts w:ascii="Book Antiqua" w:hAnsi="Book Antiqua"/>
          <w:sz w:val="24"/>
          <w:szCs w:val="24"/>
          <w:lang w:val="en-US"/>
        </w:rPr>
        <w:t>utcome</w:t>
      </w:r>
    </w:p>
    <w:p w:rsidR="00841D2D" w:rsidRPr="00841D2D" w:rsidRDefault="00841D2D" w:rsidP="00841D2D">
      <w:pPr>
        <w:spacing w:after="0" w:line="360" w:lineRule="auto"/>
        <w:jc w:val="both"/>
        <w:rPr>
          <w:rFonts w:ascii="Book Antiqua" w:hAnsi="Book Antiqua"/>
          <w:sz w:val="24"/>
          <w:szCs w:val="24"/>
          <w:lang w:val="en-US" w:eastAsia="zh-CN"/>
        </w:rPr>
      </w:pPr>
    </w:p>
    <w:p w:rsidR="00841D2D" w:rsidRPr="00841D2D" w:rsidRDefault="00F10EF4" w:rsidP="00841D2D">
      <w:pPr>
        <w:spacing w:after="0" w:line="360" w:lineRule="auto"/>
        <w:jc w:val="both"/>
        <w:rPr>
          <w:rFonts w:ascii="Book Antiqua" w:hAnsi="Book Antiqua"/>
          <w:sz w:val="24"/>
          <w:szCs w:val="24"/>
          <w:lang w:val="en-US" w:eastAsia="zh-CN"/>
        </w:rPr>
      </w:pPr>
      <w:r w:rsidRPr="00841D2D">
        <w:rPr>
          <w:rFonts w:ascii="Book Antiqua" w:hAnsi="Book Antiqua"/>
          <w:b/>
          <w:sz w:val="24"/>
          <w:szCs w:val="24"/>
          <w:lang w:val="en-US"/>
        </w:rPr>
        <w:t>Core tip</w:t>
      </w:r>
      <w:r w:rsidRPr="00841D2D">
        <w:rPr>
          <w:rFonts w:ascii="Book Antiqua" w:hAnsi="Book Antiqua"/>
          <w:sz w:val="24"/>
          <w:szCs w:val="24"/>
          <w:lang w:val="en-US"/>
        </w:rPr>
        <w:t xml:space="preserve">: </w:t>
      </w:r>
      <w:r w:rsidR="000943C9" w:rsidRPr="00841D2D">
        <w:rPr>
          <w:rFonts w:ascii="Book Antiqua" w:hAnsi="Book Antiqua"/>
          <w:sz w:val="24"/>
          <w:szCs w:val="24"/>
          <w:lang w:val="en-US"/>
        </w:rPr>
        <w:t>Nucleos(t)ide analogue</w:t>
      </w:r>
      <w:r w:rsidRPr="00841D2D">
        <w:rPr>
          <w:rFonts w:ascii="Book Antiqua" w:hAnsi="Book Antiqua"/>
          <w:sz w:val="24"/>
          <w:szCs w:val="24"/>
          <w:lang w:val="en-US"/>
        </w:rPr>
        <w:t xml:space="preserve"> treatment is safe and effective in renal transplant patients. It improves long term patients and graft survival.</w:t>
      </w:r>
    </w:p>
    <w:p w:rsidR="00841D2D" w:rsidRPr="00841D2D" w:rsidRDefault="00841D2D" w:rsidP="00841D2D">
      <w:pPr>
        <w:spacing w:after="0" w:line="360" w:lineRule="auto"/>
        <w:jc w:val="both"/>
        <w:rPr>
          <w:rFonts w:ascii="Book Antiqua" w:hAnsi="Book Antiqua"/>
          <w:b/>
          <w:sz w:val="24"/>
          <w:szCs w:val="24"/>
          <w:lang w:val="en-US" w:eastAsia="zh-CN"/>
        </w:rPr>
      </w:pPr>
    </w:p>
    <w:p w:rsidR="00841D2D" w:rsidRPr="00841D2D" w:rsidRDefault="00841D2D" w:rsidP="00841D2D">
      <w:pPr>
        <w:spacing w:after="0" w:line="360" w:lineRule="auto"/>
        <w:jc w:val="both"/>
        <w:rPr>
          <w:rFonts w:ascii="Book Antiqua" w:hAnsi="Book Antiqua"/>
          <w:sz w:val="24"/>
          <w:szCs w:val="24"/>
          <w:lang w:val="en-US" w:eastAsia="zh-CN"/>
        </w:rPr>
      </w:pPr>
      <w:r w:rsidRPr="00841D2D">
        <w:rPr>
          <w:rFonts w:ascii="Book Antiqua" w:hAnsi="Book Antiqua"/>
          <w:sz w:val="24"/>
          <w:szCs w:val="24"/>
        </w:rPr>
        <w:t>Ridruejo</w:t>
      </w:r>
      <w:r w:rsidRPr="00841D2D">
        <w:rPr>
          <w:rFonts w:ascii="Book Antiqua" w:hAnsi="Book Antiqua"/>
          <w:sz w:val="24"/>
          <w:szCs w:val="24"/>
          <w:lang w:eastAsia="zh-CN"/>
        </w:rPr>
        <w:t xml:space="preserve"> E.</w:t>
      </w:r>
      <w:r w:rsidRPr="00841D2D">
        <w:rPr>
          <w:rFonts w:ascii="Book Antiqua" w:hAnsi="Book Antiqua"/>
          <w:sz w:val="24"/>
          <w:szCs w:val="24"/>
          <w:lang w:val="en-US"/>
        </w:rPr>
        <w:t xml:space="preserve"> Antiviral treatment for chronic hepatitis B in renal transplant patients</w:t>
      </w:r>
      <w:r w:rsidRPr="00841D2D">
        <w:rPr>
          <w:rFonts w:ascii="Book Antiqua" w:hAnsi="Book Antiqua"/>
          <w:sz w:val="24"/>
          <w:szCs w:val="24"/>
          <w:lang w:val="en-US" w:eastAsia="zh-CN"/>
        </w:rPr>
        <w:t>.</w:t>
      </w:r>
      <w:r w:rsidRPr="00841D2D">
        <w:rPr>
          <w:rFonts w:ascii="Book Antiqua" w:hAnsi="Book Antiqua"/>
          <w:i/>
          <w:iCs/>
          <w:sz w:val="24"/>
          <w:szCs w:val="24"/>
        </w:rPr>
        <w:t xml:space="preserve"> World J Hepatol</w:t>
      </w:r>
      <w:r w:rsidRPr="00841D2D">
        <w:rPr>
          <w:rFonts w:ascii="Book Antiqua" w:hAnsi="Book Antiqua"/>
          <w:i/>
          <w:iCs/>
          <w:sz w:val="24"/>
          <w:szCs w:val="24"/>
          <w:lang w:eastAsia="zh-CN"/>
        </w:rPr>
        <w:t xml:space="preserve"> </w:t>
      </w:r>
      <w:r w:rsidRPr="00841D2D">
        <w:rPr>
          <w:rFonts w:ascii="Book Antiqua" w:hAnsi="Book Antiqua"/>
          <w:iCs/>
          <w:sz w:val="24"/>
          <w:szCs w:val="24"/>
          <w:lang w:eastAsia="zh-CN"/>
        </w:rPr>
        <w:t>2014; In press</w:t>
      </w:r>
    </w:p>
    <w:p w:rsidR="00841D2D" w:rsidRPr="00841D2D" w:rsidRDefault="00841D2D" w:rsidP="00841D2D">
      <w:pPr>
        <w:spacing w:after="0" w:line="360" w:lineRule="auto"/>
        <w:jc w:val="both"/>
        <w:rPr>
          <w:rFonts w:ascii="Book Antiqua" w:hAnsi="Book Antiqua"/>
          <w:b/>
          <w:sz w:val="24"/>
          <w:szCs w:val="24"/>
          <w:lang w:val="en-US" w:eastAsia="zh-CN"/>
        </w:rPr>
      </w:pPr>
    </w:p>
    <w:p w:rsidR="00D879C5" w:rsidRPr="00841D2D" w:rsidRDefault="00375683"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INTRODUCTION</w:t>
      </w:r>
    </w:p>
    <w:p w:rsidR="00EB0039" w:rsidRPr="00841D2D" w:rsidRDefault="00443E74"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 xml:space="preserve">Renal transplantation (RT) is the </w:t>
      </w:r>
      <w:r w:rsidR="00FB36F3" w:rsidRPr="00841D2D">
        <w:rPr>
          <w:rFonts w:ascii="Book Antiqua" w:hAnsi="Book Antiqua"/>
          <w:sz w:val="24"/>
          <w:szCs w:val="24"/>
          <w:lang w:val="en-US"/>
        </w:rPr>
        <w:t xml:space="preserve">preferred </w:t>
      </w:r>
      <w:r w:rsidRPr="00841D2D">
        <w:rPr>
          <w:rFonts w:ascii="Book Antiqua" w:hAnsi="Book Antiqua"/>
          <w:sz w:val="24"/>
          <w:szCs w:val="24"/>
          <w:lang w:val="en-US"/>
        </w:rPr>
        <w:t xml:space="preserve">treatment for patients with end-stage renal disease (ESRD) undergoing renal replacement therapy. Moreover, RT </w:t>
      </w:r>
      <w:r w:rsidR="002B2FAA" w:rsidRPr="00841D2D">
        <w:rPr>
          <w:rFonts w:ascii="Book Antiqua" w:hAnsi="Book Antiqua"/>
          <w:sz w:val="24"/>
          <w:szCs w:val="24"/>
          <w:lang w:val="en-US"/>
        </w:rPr>
        <w:t>improves</w:t>
      </w:r>
      <w:r w:rsidRPr="00841D2D">
        <w:rPr>
          <w:rFonts w:ascii="Book Antiqua" w:hAnsi="Book Antiqua"/>
          <w:sz w:val="24"/>
          <w:szCs w:val="24"/>
          <w:lang w:val="en-US"/>
        </w:rPr>
        <w:t xml:space="preserve"> quality of life and survival when compared wit</w:t>
      </w:r>
      <w:r w:rsidR="00841D2D">
        <w:rPr>
          <w:rFonts w:ascii="Book Antiqua" w:hAnsi="Book Antiqua"/>
          <w:sz w:val="24"/>
          <w:szCs w:val="24"/>
          <w:lang w:val="en-US"/>
        </w:rPr>
        <w:t>h remaining on the waiting list</w:t>
      </w:r>
      <w:r w:rsidRPr="00841D2D">
        <w:rPr>
          <w:rFonts w:ascii="Book Antiqua" w:hAnsi="Book Antiqua"/>
          <w:sz w:val="24"/>
          <w:szCs w:val="24"/>
          <w:vertAlign w:val="superscript"/>
          <w:lang w:val="en-US"/>
        </w:rPr>
        <w:t>[1]</w:t>
      </w:r>
      <w:r w:rsidRPr="00841D2D">
        <w:rPr>
          <w:rFonts w:ascii="Book Antiqua" w:hAnsi="Book Antiqua"/>
          <w:sz w:val="24"/>
          <w:szCs w:val="24"/>
          <w:lang w:val="en-US"/>
        </w:rPr>
        <w:t>.</w:t>
      </w:r>
      <w:r w:rsidR="00DE4D27" w:rsidRPr="00841D2D">
        <w:rPr>
          <w:rFonts w:ascii="Book Antiqua" w:hAnsi="Book Antiqua"/>
          <w:sz w:val="24"/>
          <w:szCs w:val="24"/>
          <w:lang w:val="en-US"/>
        </w:rPr>
        <w:t xml:space="preserve"> </w:t>
      </w:r>
      <w:r w:rsidR="00DD1F8A" w:rsidRPr="00841D2D">
        <w:rPr>
          <w:rFonts w:ascii="Book Antiqua" w:hAnsi="Book Antiqua"/>
          <w:sz w:val="24"/>
          <w:szCs w:val="24"/>
          <w:lang w:val="en-US"/>
        </w:rPr>
        <w:t>In the last twenty years</w:t>
      </w:r>
      <w:r w:rsidR="00DE4D27" w:rsidRPr="00841D2D">
        <w:rPr>
          <w:rFonts w:ascii="Book Antiqua" w:hAnsi="Book Antiqua"/>
          <w:sz w:val="24"/>
          <w:szCs w:val="24"/>
          <w:lang w:val="en-US"/>
        </w:rPr>
        <w:t xml:space="preserve">, </w:t>
      </w:r>
      <w:r w:rsidR="00DD1F8A" w:rsidRPr="00841D2D">
        <w:rPr>
          <w:rFonts w:ascii="Book Antiqua" w:hAnsi="Book Antiqua"/>
          <w:sz w:val="24"/>
          <w:szCs w:val="24"/>
          <w:lang w:val="en-US"/>
        </w:rPr>
        <w:t xml:space="preserve">improvement in </w:t>
      </w:r>
      <w:r w:rsidR="00DE4D27" w:rsidRPr="00841D2D">
        <w:rPr>
          <w:rFonts w:ascii="Book Antiqua" w:hAnsi="Book Antiqua"/>
          <w:sz w:val="24"/>
          <w:szCs w:val="24"/>
          <w:lang w:val="en-US"/>
        </w:rPr>
        <w:t>immunosuppress</w:t>
      </w:r>
      <w:r w:rsidR="00DD1F8A" w:rsidRPr="00841D2D">
        <w:rPr>
          <w:rFonts w:ascii="Book Antiqua" w:hAnsi="Book Antiqua"/>
          <w:sz w:val="24"/>
          <w:szCs w:val="24"/>
          <w:lang w:val="en-US"/>
        </w:rPr>
        <w:t>ive therapy resulted in a</w:t>
      </w:r>
      <w:r w:rsidR="00DE4D27" w:rsidRPr="00841D2D">
        <w:rPr>
          <w:rFonts w:ascii="Book Antiqua" w:hAnsi="Book Antiqua"/>
          <w:sz w:val="24"/>
          <w:szCs w:val="24"/>
          <w:lang w:val="en-US"/>
        </w:rPr>
        <w:t xml:space="preserve"> decline in acute rejection </w:t>
      </w:r>
      <w:r w:rsidR="00DD1F8A" w:rsidRPr="00841D2D">
        <w:rPr>
          <w:rFonts w:ascii="Book Antiqua" w:hAnsi="Book Antiqua"/>
          <w:sz w:val="24"/>
          <w:szCs w:val="24"/>
          <w:lang w:val="en-US"/>
        </w:rPr>
        <w:t xml:space="preserve">prevalence </w:t>
      </w:r>
      <w:r w:rsidR="00DE4D27" w:rsidRPr="00841D2D">
        <w:rPr>
          <w:rFonts w:ascii="Book Antiqua" w:hAnsi="Book Antiqua"/>
          <w:sz w:val="24"/>
          <w:szCs w:val="24"/>
          <w:lang w:val="en-US"/>
        </w:rPr>
        <w:t xml:space="preserve">and </w:t>
      </w:r>
      <w:r w:rsidR="00DD1F8A" w:rsidRPr="00841D2D">
        <w:rPr>
          <w:rFonts w:ascii="Book Antiqua" w:hAnsi="Book Antiqua"/>
          <w:sz w:val="24"/>
          <w:szCs w:val="24"/>
          <w:lang w:val="en-US"/>
        </w:rPr>
        <w:t>in</w:t>
      </w:r>
      <w:r w:rsidR="00DE4D27" w:rsidRPr="00841D2D">
        <w:rPr>
          <w:rFonts w:ascii="Book Antiqua" w:hAnsi="Book Antiqua"/>
          <w:sz w:val="24"/>
          <w:szCs w:val="24"/>
          <w:lang w:val="en-US"/>
        </w:rPr>
        <w:t xml:space="preserve"> 1-year </w:t>
      </w:r>
      <w:r w:rsidR="00DD1F8A" w:rsidRPr="00841D2D">
        <w:rPr>
          <w:rFonts w:ascii="Book Antiqua" w:hAnsi="Book Antiqua"/>
          <w:sz w:val="24"/>
          <w:szCs w:val="24"/>
          <w:lang w:val="en-US"/>
        </w:rPr>
        <w:t xml:space="preserve">improvement in </w:t>
      </w:r>
      <w:r w:rsidR="00DE4D27" w:rsidRPr="00841D2D">
        <w:rPr>
          <w:rFonts w:ascii="Book Antiqua" w:hAnsi="Book Antiqua"/>
          <w:sz w:val="24"/>
          <w:szCs w:val="24"/>
          <w:lang w:val="en-US"/>
        </w:rPr>
        <w:t xml:space="preserve">graft survival. </w:t>
      </w:r>
      <w:r w:rsidR="00DD1F8A" w:rsidRPr="00841D2D">
        <w:rPr>
          <w:rFonts w:ascii="Book Antiqua" w:hAnsi="Book Antiqua"/>
          <w:sz w:val="24"/>
          <w:szCs w:val="24"/>
          <w:lang w:val="en-US"/>
        </w:rPr>
        <w:t>In spite of short-term survival, both long-term patients and graft survival has not improved as expected</w:t>
      </w:r>
      <w:r w:rsidR="00DD1F8A" w:rsidRPr="00841D2D">
        <w:rPr>
          <w:rFonts w:ascii="Book Antiqua" w:hAnsi="Book Antiqua"/>
          <w:sz w:val="24"/>
          <w:szCs w:val="24"/>
          <w:vertAlign w:val="superscript"/>
          <w:lang w:val="en-US"/>
        </w:rPr>
        <w:t>[2</w:t>
      </w:r>
      <w:r w:rsidR="00841D2D">
        <w:rPr>
          <w:rFonts w:ascii="Book Antiqua" w:hAnsi="Book Antiqua" w:hint="eastAsia"/>
          <w:sz w:val="24"/>
          <w:szCs w:val="24"/>
          <w:vertAlign w:val="superscript"/>
          <w:lang w:val="en-US" w:eastAsia="zh-CN"/>
        </w:rPr>
        <w:t>,</w:t>
      </w:r>
      <w:r w:rsidR="00DD1F8A" w:rsidRPr="00841D2D">
        <w:rPr>
          <w:rFonts w:ascii="Book Antiqua" w:hAnsi="Book Antiqua"/>
          <w:sz w:val="24"/>
          <w:szCs w:val="24"/>
          <w:vertAlign w:val="superscript"/>
          <w:lang w:val="en-US"/>
        </w:rPr>
        <w:t>3]</w:t>
      </w:r>
      <w:r w:rsidR="00DD1F8A" w:rsidRPr="00841D2D">
        <w:rPr>
          <w:rFonts w:ascii="Book Antiqua" w:hAnsi="Book Antiqua"/>
          <w:sz w:val="24"/>
          <w:szCs w:val="24"/>
          <w:lang w:val="en-US"/>
        </w:rPr>
        <w:t xml:space="preserve">. </w:t>
      </w:r>
      <w:r w:rsidR="0039170C" w:rsidRPr="00841D2D">
        <w:rPr>
          <w:rFonts w:ascii="Book Antiqua" w:hAnsi="Book Antiqua"/>
          <w:sz w:val="24"/>
          <w:szCs w:val="24"/>
          <w:lang w:val="en-US"/>
        </w:rPr>
        <w:t xml:space="preserve">Cardiovascular diseases, malignancy and infections are the most </w:t>
      </w:r>
      <w:r w:rsidR="00442F8E" w:rsidRPr="00841D2D">
        <w:rPr>
          <w:rFonts w:ascii="Book Antiqua" w:hAnsi="Book Antiqua"/>
          <w:sz w:val="24"/>
          <w:szCs w:val="24"/>
          <w:lang w:val="en-US"/>
        </w:rPr>
        <w:t>frequent</w:t>
      </w:r>
      <w:r w:rsidR="0039170C" w:rsidRPr="00841D2D">
        <w:rPr>
          <w:rFonts w:ascii="Book Antiqua" w:hAnsi="Book Antiqua"/>
          <w:sz w:val="24"/>
          <w:szCs w:val="24"/>
          <w:lang w:val="en-US"/>
        </w:rPr>
        <w:t xml:space="preserve"> </w:t>
      </w:r>
      <w:r w:rsidR="00442F8E" w:rsidRPr="00841D2D">
        <w:rPr>
          <w:rFonts w:ascii="Book Antiqua" w:hAnsi="Book Antiqua"/>
          <w:sz w:val="24"/>
          <w:szCs w:val="24"/>
          <w:lang w:val="en-US"/>
        </w:rPr>
        <w:t>determinants</w:t>
      </w:r>
      <w:r w:rsidR="0039170C" w:rsidRPr="00841D2D">
        <w:rPr>
          <w:rFonts w:ascii="Book Antiqua" w:hAnsi="Book Antiqua"/>
          <w:sz w:val="24"/>
          <w:szCs w:val="24"/>
          <w:lang w:val="en-US"/>
        </w:rPr>
        <w:t xml:space="preserve"> of death in RT </w:t>
      </w:r>
      <w:r w:rsidR="00442F8E" w:rsidRPr="00841D2D">
        <w:rPr>
          <w:rFonts w:ascii="Book Antiqua" w:hAnsi="Book Antiqua"/>
          <w:sz w:val="24"/>
          <w:szCs w:val="24"/>
          <w:lang w:val="en-US"/>
        </w:rPr>
        <w:t>recip</w:t>
      </w:r>
      <w:r w:rsidR="0039170C" w:rsidRPr="00841D2D">
        <w:rPr>
          <w:rFonts w:ascii="Book Antiqua" w:hAnsi="Book Antiqua"/>
          <w:sz w:val="24"/>
          <w:szCs w:val="24"/>
          <w:lang w:val="en-US"/>
        </w:rPr>
        <w:t>ients.</w:t>
      </w:r>
      <w:r w:rsidR="00E57E10" w:rsidRPr="00841D2D">
        <w:rPr>
          <w:rFonts w:ascii="Book Antiqua" w:hAnsi="Book Antiqua"/>
          <w:sz w:val="24"/>
          <w:szCs w:val="24"/>
          <w:lang w:val="en-US"/>
        </w:rPr>
        <w:t xml:space="preserve"> Liver failure appears as the fourth cause of death </w:t>
      </w:r>
      <w:r w:rsidR="002D3B96">
        <w:rPr>
          <w:rFonts w:ascii="Book Antiqua" w:hAnsi="Book Antiqua"/>
          <w:sz w:val="24"/>
          <w:szCs w:val="24"/>
          <w:lang w:val="en-US"/>
        </w:rPr>
        <w:t>in long-term survivors after RT</w:t>
      </w:r>
      <w:r w:rsidR="00E57E10" w:rsidRPr="00841D2D">
        <w:rPr>
          <w:rFonts w:ascii="Book Antiqua" w:hAnsi="Book Antiqua"/>
          <w:sz w:val="24"/>
          <w:szCs w:val="24"/>
          <w:vertAlign w:val="superscript"/>
          <w:lang w:val="en-US"/>
        </w:rPr>
        <w:t>[3-6]</w:t>
      </w:r>
      <w:r w:rsidR="00E57E10" w:rsidRPr="00841D2D">
        <w:rPr>
          <w:rFonts w:ascii="Book Antiqua" w:hAnsi="Book Antiqua"/>
          <w:sz w:val="24"/>
          <w:szCs w:val="24"/>
          <w:lang w:val="en-US"/>
        </w:rPr>
        <w:t>.</w:t>
      </w:r>
      <w:r w:rsidR="0039170C" w:rsidRPr="00841D2D">
        <w:rPr>
          <w:rFonts w:ascii="Book Antiqua" w:hAnsi="Book Antiqua"/>
          <w:sz w:val="24"/>
          <w:szCs w:val="24"/>
          <w:lang w:val="en-US"/>
        </w:rPr>
        <w:t xml:space="preserve"> </w:t>
      </w:r>
      <w:r w:rsidR="0056786F" w:rsidRPr="00841D2D">
        <w:rPr>
          <w:rFonts w:ascii="Book Antiqua" w:hAnsi="Book Antiqua"/>
          <w:sz w:val="24"/>
          <w:szCs w:val="24"/>
          <w:lang w:val="en-US"/>
        </w:rPr>
        <w:t xml:space="preserve">In these patients liver failure is mostly related to chronic viral hepatitis B (HBV) and C (HCV). </w:t>
      </w:r>
      <w:r w:rsidR="000A1134" w:rsidRPr="00841D2D">
        <w:rPr>
          <w:rFonts w:ascii="Book Antiqua" w:hAnsi="Book Antiqua"/>
          <w:sz w:val="24"/>
          <w:szCs w:val="24"/>
          <w:lang w:val="en-US"/>
        </w:rPr>
        <w:t xml:space="preserve">Both HBV and HCV negatively impact on </w:t>
      </w:r>
      <w:r w:rsidR="00FC79F6" w:rsidRPr="00841D2D">
        <w:rPr>
          <w:rFonts w:ascii="Book Antiqua" w:hAnsi="Book Antiqua"/>
          <w:sz w:val="24"/>
          <w:szCs w:val="24"/>
          <w:lang w:val="en-US"/>
        </w:rPr>
        <w:t xml:space="preserve">renal transplantation outcomes by reducing </w:t>
      </w:r>
      <w:r w:rsidR="000A1134" w:rsidRPr="00841D2D">
        <w:rPr>
          <w:rFonts w:ascii="Book Antiqua" w:hAnsi="Book Antiqua"/>
          <w:sz w:val="24"/>
          <w:szCs w:val="24"/>
          <w:lang w:val="en-US"/>
        </w:rPr>
        <w:t xml:space="preserve">long term graft and patient survival; the magnitude of this impact may vary between these viruses and may differ from different series. Treatment strategies of these viruses are clearly different in patients with ESRD. Nowadays HCV must be treated with Peg-interferon combined with low dose ribavirin before transplantation; in the near future new antivirals will allow HCV treatment after renal transplantation. Conversely, HBV can be treated with the same drugs across all stages of chronic renal disease: before and in dialysis, and after RT. </w:t>
      </w:r>
    </w:p>
    <w:p w:rsidR="00037949" w:rsidRDefault="004D0B07" w:rsidP="002D3B96">
      <w:pPr>
        <w:spacing w:after="0" w:line="360" w:lineRule="auto"/>
        <w:ind w:firstLineChars="100" w:firstLine="240"/>
        <w:jc w:val="both"/>
        <w:rPr>
          <w:rFonts w:ascii="Book Antiqua" w:hAnsi="Book Antiqua"/>
          <w:sz w:val="24"/>
          <w:szCs w:val="24"/>
          <w:lang w:val="en-US" w:eastAsia="zh-CN"/>
        </w:rPr>
      </w:pPr>
      <w:r w:rsidRPr="00841D2D">
        <w:rPr>
          <w:rFonts w:ascii="Book Antiqua" w:hAnsi="Book Antiqua"/>
          <w:sz w:val="24"/>
          <w:szCs w:val="24"/>
          <w:lang w:val="en-US"/>
        </w:rPr>
        <w:t>In the last decades HBV prevalence has decreased in dialysis units due to the implementation vaccination programs and infection control procedures. Today it varies between 0 to 20% according to different sou</w:t>
      </w:r>
      <w:r w:rsidR="002D3B96">
        <w:rPr>
          <w:rFonts w:ascii="Book Antiqua" w:hAnsi="Book Antiqua"/>
          <w:sz w:val="24"/>
          <w:szCs w:val="24"/>
          <w:lang w:val="en-US"/>
        </w:rPr>
        <w:t>rces</w:t>
      </w:r>
      <w:r w:rsidRPr="00841D2D">
        <w:rPr>
          <w:rFonts w:ascii="Book Antiqua" w:hAnsi="Book Antiqua"/>
          <w:sz w:val="24"/>
          <w:szCs w:val="24"/>
          <w:vertAlign w:val="superscript"/>
          <w:lang w:val="en-US"/>
        </w:rPr>
        <w:t>[7,8]</w:t>
      </w:r>
      <w:r w:rsidRPr="00841D2D">
        <w:rPr>
          <w:rFonts w:ascii="Book Antiqua" w:hAnsi="Book Antiqua"/>
          <w:sz w:val="24"/>
          <w:szCs w:val="24"/>
          <w:lang w:val="en-US"/>
        </w:rPr>
        <w:t xml:space="preserve">. </w:t>
      </w:r>
      <w:r w:rsidR="00037949" w:rsidRPr="00841D2D">
        <w:rPr>
          <w:rFonts w:ascii="Book Antiqua" w:hAnsi="Book Antiqua"/>
          <w:sz w:val="24"/>
          <w:szCs w:val="24"/>
          <w:lang w:val="en-US"/>
        </w:rPr>
        <w:t>But prevalence in RT patients tends to vary and can be higher since some of these patients were transplanted before these programs were widely available. The present review focuses on the current management of patients with HBV after renal transplantation.</w:t>
      </w:r>
    </w:p>
    <w:p w:rsidR="002D3B96" w:rsidRPr="00841D2D" w:rsidRDefault="002D3B96" w:rsidP="002D3B96">
      <w:pPr>
        <w:spacing w:after="0" w:line="360" w:lineRule="auto"/>
        <w:ind w:firstLineChars="100" w:firstLine="240"/>
        <w:jc w:val="both"/>
        <w:rPr>
          <w:rFonts w:ascii="Book Antiqua" w:hAnsi="Book Antiqua"/>
          <w:sz w:val="24"/>
          <w:szCs w:val="24"/>
          <w:lang w:val="en-US" w:eastAsia="zh-CN"/>
        </w:rPr>
      </w:pPr>
    </w:p>
    <w:p w:rsidR="00EC1DE7" w:rsidRPr="00841D2D" w:rsidRDefault="00375683"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 xml:space="preserve">PRE-TRANSPLANT EVALUATION </w:t>
      </w:r>
    </w:p>
    <w:p w:rsidR="002D3B96" w:rsidRDefault="008E1309" w:rsidP="00841D2D">
      <w:pPr>
        <w:spacing w:after="0" w:line="360" w:lineRule="auto"/>
        <w:jc w:val="both"/>
        <w:rPr>
          <w:rFonts w:ascii="Book Antiqua" w:hAnsi="Book Antiqua"/>
          <w:sz w:val="24"/>
          <w:szCs w:val="24"/>
          <w:lang w:val="en-US" w:eastAsia="zh-CN"/>
        </w:rPr>
      </w:pPr>
      <w:r w:rsidRPr="00841D2D">
        <w:rPr>
          <w:rFonts w:ascii="Book Antiqua" w:hAnsi="Book Antiqua"/>
          <w:sz w:val="24"/>
          <w:szCs w:val="24"/>
          <w:lang w:val="en-US"/>
        </w:rPr>
        <w:t xml:space="preserve">Chronic HBV infected patients with ESRD must be adequately evaluated before being transplanted. Two key aspects must be taken into account: evaluation of HBV status and the severity of liver disease. </w:t>
      </w:r>
      <w:r w:rsidR="007838A7" w:rsidRPr="00841D2D">
        <w:rPr>
          <w:rFonts w:ascii="Book Antiqua" w:hAnsi="Book Antiqua"/>
          <w:sz w:val="24"/>
          <w:szCs w:val="24"/>
          <w:lang w:val="en-US"/>
        </w:rPr>
        <w:t xml:space="preserve">Regarding HBV status, all HBsAg (hepatitis B surface antigen) positive patients </w:t>
      </w:r>
      <w:r w:rsidR="002809E3" w:rsidRPr="00841D2D">
        <w:rPr>
          <w:rFonts w:ascii="Book Antiqua" w:hAnsi="Book Antiqua"/>
          <w:sz w:val="24"/>
          <w:szCs w:val="24"/>
          <w:lang w:val="en-US"/>
        </w:rPr>
        <w:t xml:space="preserve">and all patients with previous known history of acute or chronic hepatitis B or the presence of antiHBc (hepatitis B core antibody) with/without antiHBs (hepatitis B surface antibody) </w:t>
      </w:r>
      <w:r w:rsidR="007838A7" w:rsidRPr="00841D2D">
        <w:rPr>
          <w:rFonts w:ascii="Book Antiqua" w:hAnsi="Book Antiqua"/>
          <w:sz w:val="24"/>
          <w:szCs w:val="24"/>
          <w:lang w:val="en-US"/>
        </w:rPr>
        <w:t xml:space="preserve">require a full virological evaluation including HBeAg (hepatitis B envelope antigen) and antiHBe (hepatitis B envelope antibody) determination and HBV DNA levels measurement. This evaluation will allow classifying these patients into different clinical </w:t>
      </w:r>
      <w:r w:rsidR="002809E3" w:rsidRPr="00841D2D">
        <w:rPr>
          <w:rFonts w:ascii="Book Antiqua" w:hAnsi="Book Antiqua"/>
          <w:sz w:val="24"/>
          <w:szCs w:val="24"/>
          <w:lang w:val="en-US"/>
        </w:rPr>
        <w:t>situations</w:t>
      </w:r>
      <w:r w:rsidR="002809E3" w:rsidRPr="00841D2D">
        <w:rPr>
          <w:rFonts w:ascii="Book Antiqua" w:hAnsi="Book Antiqua"/>
          <w:sz w:val="24"/>
          <w:szCs w:val="24"/>
          <w:vertAlign w:val="superscript"/>
          <w:lang w:val="en-US"/>
        </w:rPr>
        <w:t>[9,10]</w:t>
      </w:r>
      <w:r w:rsidR="002D3B96">
        <w:rPr>
          <w:rFonts w:ascii="Book Antiqua" w:hAnsi="Book Antiqua" w:hint="eastAsia"/>
          <w:sz w:val="24"/>
          <w:szCs w:val="24"/>
          <w:lang w:val="en-US" w:eastAsia="zh-CN"/>
        </w:rPr>
        <w:t xml:space="preserve">. </w:t>
      </w:r>
    </w:p>
    <w:p w:rsidR="002D3B96" w:rsidRDefault="007838A7" w:rsidP="002D3B96">
      <w:pPr>
        <w:spacing w:after="0" w:line="360" w:lineRule="auto"/>
        <w:ind w:firstLineChars="100" w:firstLine="240"/>
        <w:jc w:val="both"/>
        <w:rPr>
          <w:rFonts w:ascii="Book Antiqua" w:hAnsi="Book Antiqua"/>
          <w:sz w:val="24"/>
          <w:szCs w:val="24"/>
          <w:lang w:val="en-US" w:eastAsia="zh-CN"/>
        </w:rPr>
      </w:pPr>
      <w:r w:rsidRPr="002D3B96">
        <w:rPr>
          <w:rFonts w:ascii="Book Antiqua" w:hAnsi="Book Antiqua"/>
          <w:sz w:val="24"/>
          <w:szCs w:val="24"/>
          <w:lang w:val="en-US"/>
        </w:rPr>
        <w:t>Chronic hepatitis B</w:t>
      </w:r>
      <w:r w:rsidR="002D3B96">
        <w:rPr>
          <w:rFonts w:ascii="Book Antiqua" w:hAnsi="Book Antiqua" w:hint="eastAsia"/>
          <w:sz w:val="24"/>
          <w:szCs w:val="24"/>
          <w:lang w:val="en-US" w:eastAsia="zh-CN"/>
        </w:rPr>
        <w:t>: (</w:t>
      </w:r>
      <w:r w:rsidR="0042385C" w:rsidRPr="00841D2D">
        <w:rPr>
          <w:rFonts w:ascii="Book Antiqua" w:hAnsi="Book Antiqua"/>
          <w:sz w:val="24"/>
          <w:szCs w:val="24"/>
          <w:lang w:val="en-US"/>
        </w:rPr>
        <w:t>1</w:t>
      </w:r>
      <w:r w:rsidR="002D3B96">
        <w:rPr>
          <w:rFonts w:ascii="Book Antiqua" w:hAnsi="Book Antiqua" w:hint="eastAsia"/>
          <w:sz w:val="24"/>
          <w:szCs w:val="24"/>
          <w:lang w:val="en-US" w:eastAsia="zh-CN"/>
        </w:rPr>
        <w:t>)</w:t>
      </w:r>
      <w:r w:rsidR="0042385C" w:rsidRPr="00841D2D">
        <w:rPr>
          <w:rFonts w:ascii="Book Antiqua" w:hAnsi="Book Antiqua"/>
          <w:sz w:val="24"/>
          <w:szCs w:val="24"/>
          <w:lang w:val="en-US"/>
        </w:rPr>
        <w:t xml:space="preserve"> HBsAg </w:t>
      </w:r>
      <w:r w:rsidRPr="00841D2D">
        <w:rPr>
          <w:rFonts w:ascii="Book Antiqua" w:hAnsi="Book Antiqua"/>
          <w:sz w:val="24"/>
          <w:szCs w:val="24"/>
          <w:lang w:val="en-US"/>
        </w:rPr>
        <w:t>positive for more than 6 mo</w:t>
      </w:r>
      <w:r w:rsidR="002D3B96">
        <w:rPr>
          <w:rFonts w:ascii="Book Antiqua" w:hAnsi="Book Antiqua" w:hint="eastAsia"/>
          <w:sz w:val="24"/>
          <w:szCs w:val="24"/>
          <w:lang w:val="en-US" w:eastAsia="zh-CN"/>
        </w:rPr>
        <w:t xml:space="preserve">; (2) </w:t>
      </w:r>
      <w:r w:rsidRPr="00841D2D">
        <w:rPr>
          <w:rFonts w:ascii="Book Antiqua" w:hAnsi="Book Antiqua"/>
          <w:sz w:val="24"/>
          <w:szCs w:val="24"/>
          <w:lang w:val="en-US"/>
        </w:rPr>
        <w:t xml:space="preserve">Serum HBV DNA </w:t>
      </w:r>
      <w:r w:rsidR="002809E3" w:rsidRPr="00841D2D">
        <w:rPr>
          <w:rFonts w:ascii="Book Antiqua" w:hAnsi="Book Antiqua"/>
          <w:sz w:val="24"/>
          <w:szCs w:val="24"/>
          <w:lang w:val="en-US"/>
        </w:rPr>
        <w:t>≥</w:t>
      </w:r>
      <w:r w:rsidR="002D3B96">
        <w:rPr>
          <w:rFonts w:ascii="Book Antiqua" w:hAnsi="Book Antiqua" w:hint="eastAsia"/>
          <w:sz w:val="24"/>
          <w:szCs w:val="24"/>
          <w:lang w:val="en-US" w:eastAsia="zh-CN"/>
        </w:rPr>
        <w:t xml:space="preserve"> </w:t>
      </w:r>
      <w:r w:rsidR="0042385C" w:rsidRPr="00841D2D">
        <w:rPr>
          <w:rFonts w:ascii="Book Antiqua" w:hAnsi="Book Antiqua"/>
          <w:sz w:val="24"/>
          <w:szCs w:val="24"/>
          <w:lang w:val="en-US"/>
        </w:rPr>
        <w:t>2000 (EASL)-</w:t>
      </w:r>
      <w:r w:rsidRPr="00841D2D">
        <w:rPr>
          <w:rFonts w:ascii="Book Antiqua" w:hAnsi="Book Antiqua"/>
          <w:sz w:val="24"/>
          <w:szCs w:val="24"/>
          <w:lang w:val="en-US"/>
        </w:rPr>
        <w:t>20,000</w:t>
      </w:r>
      <w:r w:rsidR="0042385C" w:rsidRPr="00841D2D">
        <w:rPr>
          <w:rFonts w:ascii="Book Antiqua" w:hAnsi="Book Antiqua"/>
          <w:sz w:val="24"/>
          <w:szCs w:val="24"/>
          <w:lang w:val="en-US"/>
        </w:rPr>
        <w:t xml:space="preserve"> (AASLD)</w:t>
      </w:r>
      <w:r w:rsidRPr="00841D2D">
        <w:rPr>
          <w:rFonts w:ascii="Book Antiqua" w:hAnsi="Book Antiqua"/>
          <w:sz w:val="24"/>
          <w:szCs w:val="24"/>
          <w:lang w:val="en-US"/>
        </w:rPr>
        <w:t xml:space="preserve"> IU/mL (</w:t>
      </w:r>
      <w:r w:rsidR="0042385C" w:rsidRPr="00841D2D">
        <w:rPr>
          <w:rFonts w:ascii="Book Antiqua" w:hAnsi="Book Antiqua"/>
          <w:sz w:val="24"/>
          <w:szCs w:val="24"/>
          <w:lang w:val="en-US"/>
        </w:rPr>
        <w:t>10</w:t>
      </w:r>
      <w:r w:rsidR="0042385C" w:rsidRPr="00841D2D">
        <w:rPr>
          <w:rFonts w:ascii="Book Antiqua" w:hAnsi="Book Antiqua"/>
          <w:sz w:val="24"/>
          <w:szCs w:val="24"/>
          <w:vertAlign w:val="superscript"/>
          <w:lang w:val="en-US"/>
        </w:rPr>
        <w:t>4</w:t>
      </w:r>
      <w:r w:rsidR="0042385C" w:rsidRPr="00841D2D">
        <w:rPr>
          <w:rFonts w:ascii="Book Antiqua" w:hAnsi="Book Antiqua"/>
          <w:sz w:val="24"/>
          <w:szCs w:val="24"/>
          <w:lang w:val="en-US"/>
        </w:rPr>
        <w:t>-</w:t>
      </w:r>
      <w:r w:rsidRPr="00841D2D">
        <w:rPr>
          <w:rFonts w:ascii="Book Antiqua" w:hAnsi="Book Antiqua"/>
          <w:sz w:val="24"/>
          <w:szCs w:val="24"/>
          <w:lang w:val="en-US"/>
        </w:rPr>
        <w:t>10</w:t>
      </w:r>
      <w:r w:rsidRPr="00841D2D">
        <w:rPr>
          <w:rFonts w:ascii="Book Antiqua" w:hAnsi="Book Antiqua"/>
          <w:sz w:val="24"/>
          <w:szCs w:val="24"/>
          <w:vertAlign w:val="superscript"/>
          <w:lang w:val="en-US"/>
        </w:rPr>
        <w:t>5</w:t>
      </w:r>
      <w:r w:rsidR="000D6E31" w:rsidRPr="00841D2D">
        <w:rPr>
          <w:rFonts w:ascii="Book Antiqua" w:hAnsi="Book Antiqua"/>
          <w:sz w:val="24"/>
          <w:szCs w:val="24"/>
          <w:lang w:val="en-US"/>
        </w:rPr>
        <w:t xml:space="preserve"> </w:t>
      </w:r>
      <w:r w:rsidR="002D3B96">
        <w:rPr>
          <w:rFonts w:ascii="Book Antiqua" w:hAnsi="Book Antiqua"/>
          <w:sz w:val="24"/>
          <w:szCs w:val="24"/>
          <w:lang w:val="en-US"/>
        </w:rPr>
        <w:t>copies/mL), lower values 2000-20</w:t>
      </w:r>
      <w:r w:rsidRPr="00841D2D">
        <w:rPr>
          <w:rFonts w:ascii="Book Antiqua" w:hAnsi="Book Antiqua"/>
          <w:sz w:val="24"/>
          <w:szCs w:val="24"/>
          <w:lang w:val="en-US"/>
        </w:rPr>
        <w:t>000 IU/mL (10</w:t>
      </w:r>
      <w:r w:rsidRPr="00841D2D">
        <w:rPr>
          <w:rFonts w:ascii="Book Antiqua" w:hAnsi="Book Antiqua"/>
          <w:sz w:val="24"/>
          <w:szCs w:val="24"/>
          <w:vertAlign w:val="superscript"/>
          <w:lang w:val="en-US"/>
        </w:rPr>
        <w:t>4</w:t>
      </w:r>
      <w:r w:rsidRPr="00841D2D">
        <w:rPr>
          <w:rFonts w:ascii="Book Antiqua" w:hAnsi="Book Antiqua"/>
          <w:sz w:val="24"/>
          <w:szCs w:val="24"/>
          <w:lang w:val="en-US"/>
        </w:rPr>
        <w:t>-10</w:t>
      </w:r>
      <w:r w:rsidRPr="00841D2D">
        <w:rPr>
          <w:rFonts w:ascii="Book Antiqua" w:hAnsi="Book Antiqua"/>
          <w:sz w:val="24"/>
          <w:szCs w:val="24"/>
          <w:vertAlign w:val="superscript"/>
          <w:lang w:val="en-US"/>
        </w:rPr>
        <w:t>5</w:t>
      </w:r>
      <w:r w:rsidRPr="00841D2D">
        <w:rPr>
          <w:rFonts w:ascii="Book Antiqua" w:hAnsi="Book Antiqua"/>
          <w:sz w:val="24"/>
          <w:szCs w:val="24"/>
          <w:lang w:val="en-US"/>
        </w:rPr>
        <w:t xml:space="preserve"> copies/mL) are often seen in HBeAg-negative</w:t>
      </w:r>
      <w:r w:rsidR="002809E3" w:rsidRPr="00841D2D">
        <w:rPr>
          <w:rFonts w:ascii="Book Antiqua" w:hAnsi="Book Antiqua"/>
          <w:sz w:val="24"/>
          <w:szCs w:val="24"/>
          <w:lang w:val="en-US"/>
        </w:rPr>
        <w:t xml:space="preserve"> </w:t>
      </w:r>
      <w:r w:rsidRPr="00841D2D">
        <w:rPr>
          <w:rFonts w:ascii="Book Antiqua" w:hAnsi="Book Antiqua"/>
          <w:sz w:val="24"/>
          <w:szCs w:val="24"/>
          <w:lang w:val="en-US"/>
        </w:rPr>
        <w:t>chronic hepatitis B</w:t>
      </w:r>
      <w:r w:rsidR="002D3B96">
        <w:rPr>
          <w:rFonts w:ascii="Book Antiqua" w:hAnsi="Book Antiqua" w:hint="eastAsia"/>
          <w:sz w:val="24"/>
          <w:szCs w:val="24"/>
          <w:lang w:val="en-US" w:eastAsia="zh-CN"/>
        </w:rPr>
        <w:t>; (3)</w:t>
      </w:r>
      <w:r w:rsidR="002809E3" w:rsidRPr="00841D2D">
        <w:rPr>
          <w:rFonts w:ascii="Book Antiqua" w:hAnsi="Book Antiqua"/>
          <w:sz w:val="24"/>
          <w:szCs w:val="24"/>
          <w:lang w:val="en-US"/>
        </w:rPr>
        <w:t xml:space="preserve"> </w:t>
      </w:r>
      <w:r w:rsidRPr="00841D2D">
        <w:rPr>
          <w:rFonts w:ascii="Book Antiqua" w:hAnsi="Book Antiqua"/>
          <w:sz w:val="24"/>
          <w:szCs w:val="24"/>
          <w:lang w:val="en-US"/>
        </w:rPr>
        <w:t>Persistent or intermittent elevation in ALT/AST levels</w:t>
      </w:r>
      <w:r w:rsidR="002D3B96">
        <w:rPr>
          <w:rFonts w:ascii="Book Antiqua" w:hAnsi="Book Antiqua" w:hint="eastAsia"/>
          <w:sz w:val="24"/>
          <w:szCs w:val="24"/>
          <w:lang w:val="en-US" w:eastAsia="zh-CN"/>
        </w:rPr>
        <w:t xml:space="preserve">; (4) </w:t>
      </w:r>
      <w:r w:rsidRPr="00841D2D">
        <w:rPr>
          <w:rFonts w:ascii="Book Antiqua" w:hAnsi="Book Antiqua"/>
          <w:sz w:val="24"/>
          <w:szCs w:val="24"/>
          <w:lang w:val="en-US"/>
        </w:rPr>
        <w:t>Liver biopsy showing chronic hepatitis with moderate or severe</w:t>
      </w:r>
      <w:r w:rsidR="002809E3" w:rsidRPr="00841D2D">
        <w:rPr>
          <w:rFonts w:ascii="Book Antiqua" w:hAnsi="Book Antiqua"/>
          <w:sz w:val="24"/>
          <w:szCs w:val="24"/>
          <w:lang w:val="en-US"/>
        </w:rPr>
        <w:t xml:space="preserve"> </w:t>
      </w:r>
      <w:r w:rsidRPr="00841D2D">
        <w:rPr>
          <w:rFonts w:ascii="Book Antiqua" w:hAnsi="Book Antiqua"/>
          <w:sz w:val="24"/>
          <w:szCs w:val="24"/>
          <w:lang w:val="en-US"/>
        </w:rPr>
        <w:t>necroinflammation</w:t>
      </w:r>
      <w:r w:rsidR="002D3B96">
        <w:rPr>
          <w:rFonts w:ascii="Book Antiqua" w:hAnsi="Book Antiqua" w:hint="eastAsia"/>
          <w:sz w:val="24"/>
          <w:szCs w:val="24"/>
          <w:lang w:val="en-US" w:eastAsia="zh-CN"/>
        </w:rPr>
        <w:t xml:space="preserve">; and (5) </w:t>
      </w:r>
      <w:r w:rsidR="002809E3" w:rsidRPr="00841D2D">
        <w:rPr>
          <w:rFonts w:ascii="Book Antiqua" w:hAnsi="Book Antiqua"/>
          <w:sz w:val="24"/>
          <w:szCs w:val="24"/>
          <w:lang w:val="en-US"/>
        </w:rPr>
        <w:t>Chronic hepatitis B can be subdivided into HBeAg positive and HBeAg negative chronic hepatitis B</w:t>
      </w:r>
      <w:r w:rsidR="002D3B96">
        <w:rPr>
          <w:rFonts w:ascii="Book Antiqua" w:hAnsi="Book Antiqua" w:hint="eastAsia"/>
          <w:sz w:val="24"/>
          <w:szCs w:val="24"/>
          <w:lang w:val="en-US" w:eastAsia="zh-CN"/>
        </w:rPr>
        <w:t xml:space="preserve">. </w:t>
      </w:r>
    </w:p>
    <w:p w:rsidR="002D3B96" w:rsidRPr="00841D2D" w:rsidRDefault="002809E3" w:rsidP="002D3B96">
      <w:pPr>
        <w:spacing w:after="0" w:line="360" w:lineRule="auto"/>
        <w:ind w:firstLineChars="100" w:firstLine="240"/>
        <w:jc w:val="both"/>
        <w:rPr>
          <w:rFonts w:ascii="Book Antiqua" w:hAnsi="Book Antiqua"/>
          <w:sz w:val="24"/>
          <w:szCs w:val="24"/>
          <w:lang w:val="en-US" w:eastAsia="zh-CN"/>
        </w:rPr>
      </w:pPr>
      <w:r w:rsidRPr="002D3B96">
        <w:rPr>
          <w:rFonts w:ascii="Book Antiqua" w:hAnsi="Book Antiqua"/>
          <w:sz w:val="24"/>
          <w:szCs w:val="24"/>
          <w:lang w:val="en-US"/>
        </w:rPr>
        <w:t>Inactive HBsAg carrier state</w:t>
      </w:r>
      <w:r w:rsidR="002D3B96">
        <w:rPr>
          <w:rFonts w:ascii="Book Antiqua" w:hAnsi="Book Antiqua" w:hint="eastAsia"/>
          <w:sz w:val="24"/>
          <w:szCs w:val="24"/>
          <w:lang w:val="en-US" w:eastAsia="zh-CN"/>
        </w:rPr>
        <w:t>:</w:t>
      </w:r>
      <w:r w:rsidR="002D3B96" w:rsidRPr="002D3B96">
        <w:rPr>
          <w:rFonts w:ascii="Book Antiqua" w:hAnsi="Book Antiqua" w:hint="eastAsia"/>
          <w:sz w:val="24"/>
          <w:szCs w:val="24"/>
          <w:lang w:val="en-US" w:eastAsia="zh-CN"/>
        </w:rPr>
        <w:t xml:space="preserve"> </w:t>
      </w:r>
      <w:r w:rsidR="002D3B96">
        <w:rPr>
          <w:rFonts w:ascii="Book Antiqua" w:hAnsi="Book Antiqua" w:hint="eastAsia"/>
          <w:sz w:val="24"/>
          <w:szCs w:val="24"/>
          <w:lang w:val="en-US" w:eastAsia="zh-CN"/>
        </w:rPr>
        <w:t xml:space="preserve">(1) </w:t>
      </w:r>
      <w:r w:rsidR="0042385C" w:rsidRPr="00841D2D">
        <w:rPr>
          <w:rFonts w:ascii="Book Antiqua" w:hAnsi="Book Antiqua"/>
          <w:sz w:val="24"/>
          <w:szCs w:val="24"/>
          <w:lang w:val="en-US"/>
        </w:rPr>
        <w:t xml:space="preserve">HBsAg </w:t>
      </w:r>
      <w:r w:rsidRPr="00841D2D">
        <w:rPr>
          <w:rFonts w:ascii="Book Antiqua" w:hAnsi="Book Antiqua"/>
          <w:sz w:val="24"/>
          <w:szCs w:val="24"/>
          <w:lang w:val="en-US"/>
        </w:rPr>
        <w:t>positive for more than 6 mo</w:t>
      </w:r>
      <w:r w:rsidR="002D3B96">
        <w:rPr>
          <w:rFonts w:ascii="Book Antiqua" w:hAnsi="Book Antiqua" w:hint="eastAsia"/>
          <w:sz w:val="24"/>
          <w:szCs w:val="24"/>
          <w:lang w:val="en-US" w:eastAsia="zh-CN"/>
        </w:rPr>
        <w:t xml:space="preserve">; (2) </w:t>
      </w:r>
      <w:r w:rsidRPr="00841D2D">
        <w:rPr>
          <w:rFonts w:ascii="Book Antiqua" w:hAnsi="Book Antiqua"/>
          <w:sz w:val="24"/>
          <w:szCs w:val="24"/>
          <w:lang w:val="en-US"/>
        </w:rPr>
        <w:t>HBeAg negative, antiHBe positive</w:t>
      </w:r>
      <w:r w:rsidR="002D3B96">
        <w:rPr>
          <w:rFonts w:ascii="Book Antiqua" w:hAnsi="Book Antiqua" w:hint="eastAsia"/>
          <w:sz w:val="24"/>
          <w:szCs w:val="24"/>
          <w:lang w:val="en-US" w:eastAsia="zh-CN"/>
        </w:rPr>
        <w:t xml:space="preserve">; (3) </w:t>
      </w:r>
      <w:r w:rsidRPr="00841D2D">
        <w:rPr>
          <w:rFonts w:ascii="Book Antiqua" w:hAnsi="Book Antiqua"/>
          <w:sz w:val="24"/>
          <w:szCs w:val="24"/>
          <w:lang w:val="en-US"/>
        </w:rPr>
        <w:t>Serum HBV DNA</w:t>
      </w:r>
      <w:r w:rsidR="002D3B96">
        <w:rPr>
          <w:rFonts w:ascii="Book Antiqua" w:hAnsi="Book Antiqua" w:hint="eastAsia"/>
          <w:sz w:val="24"/>
          <w:szCs w:val="24"/>
          <w:lang w:val="en-US" w:eastAsia="zh-CN"/>
        </w:rPr>
        <w:t xml:space="preserve"> </w:t>
      </w:r>
      <w:r w:rsidRPr="00841D2D">
        <w:rPr>
          <w:rFonts w:ascii="Book Antiqua" w:hAnsi="Book Antiqua"/>
          <w:sz w:val="24"/>
          <w:szCs w:val="24"/>
          <w:lang w:val="en-US"/>
        </w:rPr>
        <w:t>&lt;</w:t>
      </w:r>
      <w:r w:rsidR="002D3B96">
        <w:rPr>
          <w:rFonts w:ascii="Book Antiqua" w:hAnsi="Book Antiqua" w:hint="eastAsia"/>
          <w:sz w:val="24"/>
          <w:szCs w:val="24"/>
          <w:lang w:val="en-US" w:eastAsia="zh-CN"/>
        </w:rPr>
        <w:t xml:space="preserve"> </w:t>
      </w:r>
      <w:r w:rsidR="002D3B96">
        <w:rPr>
          <w:rFonts w:ascii="Book Antiqua" w:hAnsi="Book Antiqua"/>
          <w:sz w:val="24"/>
          <w:szCs w:val="24"/>
          <w:lang w:val="en-US"/>
        </w:rPr>
        <w:t>2</w:t>
      </w:r>
      <w:r w:rsidRPr="00841D2D">
        <w:rPr>
          <w:rFonts w:ascii="Book Antiqua" w:hAnsi="Book Antiqua"/>
          <w:sz w:val="24"/>
          <w:szCs w:val="24"/>
          <w:lang w:val="en-US"/>
        </w:rPr>
        <w:t>000 IU/mL</w:t>
      </w:r>
      <w:r w:rsidR="002D3B96">
        <w:rPr>
          <w:rFonts w:ascii="Book Antiqua" w:hAnsi="Book Antiqua" w:hint="eastAsia"/>
          <w:sz w:val="24"/>
          <w:szCs w:val="24"/>
          <w:lang w:val="en-US" w:eastAsia="zh-CN"/>
        </w:rPr>
        <w:t xml:space="preserve">; (4) </w:t>
      </w:r>
      <w:r w:rsidRPr="00841D2D">
        <w:rPr>
          <w:rFonts w:ascii="Book Antiqua" w:hAnsi="Book Antiqua"/>
          <w:sz w:val="24"/>
          <w:szCs w:val="24"/>
          <w:lang w:val="en-US"/>
        </w:rPr>
        <w:t>Persistently normal ALT/AST levels</w:t>
      </w:r>
      <w:r w:rsidR="002D3B96">
        <w:rPr>
          <w:rFonts w:ascii="Book Antiqua" w:hAnsi="Book Antiqua" w:hint="eastAsia"/>
          <w:sz w:val="24"/>
          <w:szCs w:val="24"/>
          <w:lang w:val="en-US" w:eastAsia="zh-CN"/>
        </w:rPr>
        <w:t xml:space="preserve">; and (5) </w:t>
      </w:r>
      <w:r w:rsidRPr="00841D2D">
        <w:rPr>
          <w:rFonts w:ascii="Book Antiqua" w:hAnsi="Book Antiqua"/>
          <w:sz w:val="24"/>
          <w:szCs w:val="24"/>
          <w:lang w:val="en-US"/>
        </w:rPr>
        <w:t>Liver biopsy confirms absence of significant hepatitis.</w:t>
      </w:r>
    </w:p>
    <w:p w:rsidR="002809E3" w:rsidRPr="00841D2D" w:rsidRDefault="002809E3" w:rsidP="002D3B96">
      <w:pPr>
        <w:spacing w:after="0" w:line="360" w:lineRule="auto"/>
        <w:ind w:firstLineChars="100" w:firstLine="240"/>
        <w:jc w:val="both"/>
        <w:rPr>
          <w:rFonts w:ascii="Book Antiqua" w:hAnsi="Book Antiqua"/>
          <w:sz w:val="24"/>
          <w:szCs w:val="24"/>
          <w:lang w:val="en-US" w:eastAsia="zh-CN"/>
        </w:rPr>
      </w:pPr>
      <w:r w:rsidRPr="002D3B96">
        <w:rPr>
          <w:rFonts w:ascii="Book Antiqua" w:hAnsi="Book Antiqua"/>
          <w:sz w:val="24"/>
          <w:szCs w:val="24"/>
          <w:lang w:val="en-US"/>
        </w:rPr>
        <w:t>Resolved hepatitis B</w:t>
      </w:r>
      <w:r w:rsidR="002D3B96">
        <w:rPr>
          <w:rFonts w:ascii="Book Antiqua" w:hAnsi="Book Antiqua" w:hint="eastAsia"/>
          <w:sz w:val="24"/>
          <w:szCs w:val="24"/>
          <w:lang w:val="en-US" w:eastAsia="zh-CN"/>
        </w:rPr>
        <w:t xml:space="preserve">: (1) </w:t>
      </w:r>
      <w:r w:rsidRPr="00841D2D">
        <w:rPr>
          <w:rFonts w:ascii="Book Antiqua" w:hAnsi="Book Antiqua"/>
          <w:sz w:val="24"/>
          <w:szCs w:val="24"/>
          <w:lang w:val="en-US"/>
        </w:rPr>
        <w:t>Previous known history of acute or chronic hepatitis B or the presence of antiHBc with/without antiHBs</w:t>
      </w:r>
      <w:r w:rsidR="002D3B96">
        <w:rPr>
          <w:rFonts w:ascii="Book Antiqua" w:hAnsi="Book Antiqua" w:hint="eastAsia"/>
          <w:sz w:val="24"/>
          <w:szCs w:val="24"/>
          <w:lang w:val="en-US" w:eastAsia="zh-CN"/>
        </w:rPr>
        <w:t xml:space="preserve">; (2) </w:t>
      </w:r>
      <w:r w:rsidRPr="00841D2D">
        <w:rPr>
          <w:rFonts w:ascii="Book Antiqua" w:hAnsi="Book Antiqua"/>
          <w:sz w:val="24"/>
          <w:szCs w:val="24"/>
          <w:lang w:val="en-US"/>
        </w:rPr>
        <w:t>HBsAg negative</w:t>
      </w:r>
      <w:r w:rsidR="002D3B96">
        <w:rPr>
          <w:rFonts w:ascii="Book Antiqua" w:hAnsi="Book Antiqua" w:hint="eastAsia"/>
          <w:sz w:val="24"/>
          <w:szCs w:val="24"/>
          <w:lang w:val="en-US" w:eastAsia="zh-CN"/>
        </w:rPr>
        <w:t xml:space="preserve">; (3) </w:t>
      </w:r>
      <w:r w:rsidRPr="00841D2D">
        <w:rPr>
          <w:rFonts w:ascii="Book Antiqua" w:hAnsi="Book Antiqua"/>
          <w:sz w:val="24"/>
          <w:szCs w:val="24"/>
          <w:lang w:val="en-US"/>
        </w:rPr>
        <w:t>Undetectable serum HBV DNA</w:t>
      </w:r>
      <w:r w:rsidR="002D3B96">
        <w:rPr>
          <w:rFonts w:ascii="Book Antiqua" w:hAnsi="Book Antiqua" w:hint="eastAsia"/>
          <w:sz w:val="24"/>
          <w:szCs w:val="24"/>
          <w:lang w:val="en-US" w:eastAsia="zh-CN"/>
        </w:rPr>
        <w:t xml:space="preserve">; and (4) </w:t>
      </w:r>
      <w:r w:rsidRPr="00841D2D">
        <w:rPr>
          <w:rFonts w:ascii="Book Antiqua" w:hAnsi="Book Antiqua"/>
          <w:sz w:val="24"/>
          <w:szCs w:val="24"/>
          <w:lang w:val="en-US"/>
        </w:rPr>
        <w:t>Normal ALT levels</w:t>
      </w:r>
      <w:r w:rsidR="002D3B96">
        <w:rPr>
          <w:rFonts w:ascii="Book Antiqua" w:hAnsi="Book Antiqua" w:hint="eastAsia"/>
          <w:sz w:val="24"/>
          <w:szCs w:val="24"/>
          <w:lang w:val="en-US" w:eastAsia="zh-CN"/>
        </w:rPr>
        <w:t>.</w:t>
      </w:r>
    </w:p>
    <w:p w:rsidR="00C26766" w:rsidRPr="00841D2D" w:rsidRDefault="00C26766"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Concomitantly, the severity of liver disease must be evaluated before RT usually by obtaining a liver biopsy. </w:t>
      </w:r>
      <w:r w:rsidR="00181F9A" w:rsidRPr="00841D2D">
        <w:rPr>
          <w:rFonts w:ascii="Book Antiqua" w:hAnsi="Book Antiqua"/>
          <w:sz w:val="24"/>
          <w:szCs w:val="24"/>
          <w:lang w:val="en-US"/>
        </w:rPr>
        <w:t>There is some debate about the better route to perform the liver biopsy given that patient</w:t>
      </w:r>
      <w:r w:rsidR="00645A84" w:rsidRPr="00841D2D">
        <w:rPr>
          <w:rFonts w:ascii="Book Antiqua" w:hAnsi="Book Antiqua"/>
          <w:sz w:val="24"/>
          <w:szCs w:val="24"/>
          <w:lang w:val="en-US"/>
        </w:rPr>
        <w:t>s</w:t>
      </w:r>
      <w:r w:rsidR="00181F9A" w:rsidRPr="00841D2D">
        <w:rPr>
          <w:rFonts w:ascii="Book Antiqua" w:hAnsi="Book Antiqua"/>
          <w:sz w:val="24"/>
          <w:szCs w:val="24"/>
          <w:lang w:val="en-US"/>
        </w:rPr>
        <w:t xml:space="preserve"> with ESRD undergoing hemodialysis have an increased risk </w:t>
      </w:r>
      <w:r w:rsidR="00442F8E" w:rsidRPr="00841D2D">
        <w:rPr>
          <w:rFonts w:ascii="Book Antiqua" w:hAnsi="Book Antiqua"/>
          <w:sz w:val="24"/>
          <w:szCs w:val="24"/>
          <w:lang w:val="en-US"/>
        </w:rPr>
        <w:t xml:space="preserve">of bleeding </w:t>
      </w:r>
      <w:r w:rsidR="00181F9A" w:rsidRPr="00841D2D">
        <w:rPr>
          <w:rFonts w:ascii="Book Antiqua" w:hAnsi="Book Antiqua"/>
          <w:sz w:val="24"/>
          <w:szCs w:val="24"/>
          <w:lang w:val="en-US"/>
        </w:rPr>
        <w:t>associated with clotting dise</w:t>
      </w:r>
      <w:r w:rsidR="00442F8E" w:rsidRPr="00841D2D">
        <w:rPr>
          <w:rFonts w:ascii="Book Antiqua" w:hAnsi="Book Antiqua"/>
          <w:sz w:val="24"/>
          <w:szCs w:val="24"/>
          <w:lang w:val="en-US"/>
        </w:rPr>
        <w:t>ase</w:t>
      </w:r>
      <w:r w:rsidR="00181F9A" w:rsidRPr="00841D2D">
        <w:rPr>
          <w:rFonts w:ascii="Book Antiqua" w:hAnsi="Book Antiqua"/>
          <w:sz w:val="24"/>
          <w:szCs w:val="24"/>
          <w:lang w:val="en-US"/>
        </w:rPr>
        <w:t xml:space="preserve">s, uremia-associated platelet dysfunction and intradialysis </w:t>
      </w:r>
      <w:r w:rsidR="00442F8E" w:rsidRPr="00841D2D">
        <w:rPr>
          <w:rFonts w:ascii="Book Antiqua" w:hAnsi="Book Antiqua"/>
          <w:sz w:val="24"/>
          <w:szCs w:val="24"/>
          <w:lang w:val="en-US"/>
        </w:rPr>
        <w:t>antiaggregants</w:t>
      </w:r>
      <w:r w:rsidR="00181F9A" w:rsidRPr="00841D2D">
        <w:rPr>
          <w:rFonts w:ascii="Book Antiqua" w:hAnsi="Book Antiqua"/>
          <w:sz w:val="24"/>
          <w:szCs w:val="24"/>
          <w:lang w:val="en-US"/>
        </w:rPr>
        <w:t xml:space="preserve"> and anticoagulant </w:t>
      </w:r>
      <w:r w:rsidR="00442F8E" w:rsidRPr="00841D2D">
        <w:rPr>
          <w:rFonts w:ascii="Book Antiqua" w:hAnsi="Book Antiqua"/>
          <w:sz w:val="24"/>
          <w:szCs w:val="24"/>
          <w:lang w:val="en-US"/>
        </w:rPr>
        <w:t>treatments</w:t>
      </w:r>
      <w:r w:rsidR="00181F9A" w:rsidRPr="00841D2D">
        <w:rPr>
          <w:rFonts w:ascii="Book Antiqua" w:hAnsi="Book Antiqua"/>
          <w:sz w:val="24"/>
          <w:szCs w:val="24"/>
          <w:vertAlign w:val="superscript"/>
          <w:lang w:val="en-US"/>
        </w:rPr>
        <w:t>[11]</w:t>
      </w:r>
      <w:r w:rsidR="00181F9A" w:rsidRPr="00841D2D">
        <w:rPr>
          <w:rFonts w:ascii="Book Antiqua" w:hAnsi="Book Antiqua"/>
          <w:sz w:val="24"/>
          <w:szCs w:val="24"/>
          <w:lang w:val="en-US"/>
        </w:rPr>
        <w:t>. Once transplanted this risk disappears with the restoration o</w:t>
      </w:r>
      <w:r w:rsidR="00F3328B" w:rsidRPr="00841D2D">
        <w:rPr>
          <w:rFonts w:ascii="Book Antiqua" w:hAnsi="Book Antiqua"/>
          <w:sz w:val="24"/>
          <w:szCs w:val="24"/>
          <w:lang w:val="en-US"/>
        </w:rPr>
        <w:t>f</w:t>
      </w:r>
      <w:r w:rsidR="00181F9A" w:rsidRPr="00841D2D">
        <w:rPr>
          <w:rFonts w:ascii="Book Antiqua" w:hAnsi="Book Antiqua"/>
          <w:sz w:val="24"/>
          <w:szCs w:val="24"/>
          <w:lang w:val="en-US"/>
        </w:rPr>
        <w:t xml:space="preserve"> normal renal function. In some centres the transyugular route is the preferred one since is associated with less</w:t>
      </w:r>
      <w:r w:rsidR="009630DD" w:rsidRPr="00841D2D">
        <w:rPr>
          <w:rFonts w:ascii="Book Antiqua" w:hAnsi="Book Antiqua"/>
          <w:sz w:val="24"/>
          <w:szCs w:val="24"/>
          <w:lang w:val="en-US"/>
        </w:rPr>
        <w:t xml:space="preserve"> a reduced risk of bleeding and pain, and may allow measuring the hepatic venous pressure gradient (HVPG) for confirming </w:t>
      </w:r>
      <w:r w:rsidR="002D3B96">
        <w:rPr>
          <w:rFonts w:ascii="Book Antiqua" w:hAnsi="Book Antiqua"/>
          <w:sz w:val="24"/>
          <w:szCs w:val="24"/>
          <w:lang w:val="en-US"/>
        </w:rPr>
        <w:t>and grading portal hypertension</w:t>
      </w:r>
      <w:r w:rsidR="009630DD" w:rsidRPr="00841D2D">
        <w:rPr>
          <w:rFonts w:ascii="Book Antiqua" w:hAnsi="Book Antiqua"/>
          <w:sz w:val="24"/>
          <w:szCs w:val="24"/>
          <w:vertAlign w:val="superscript"/>
          <w:lang w:val="en-US"/>
        </w:rPr>
        <w:t>[12,13]</w:t>
      </w:r>
      <w:r w:rsidR="009630DD" w:rsidRPr="00841D2D">
        <w:rPr>
          <w:rFonts w:ascii="Book Antiqua" w:hAnsi="Book Antiqua"/>
          <w:sz w:val="24"/>
          <w:szCs w:val="24"/>
          <w:lang w:val="en-US"/>
        </w:rPr>
        <w:t xml:space="preserve">. </w:t>
      </w:r>
      <w:r w:rsidR="008A0AE2" w:rsidRPr="00841D2D">
        <w:rPr>
          <w:rFonts w:ascii="Book Antiqua" w:hAnsi="Book Antiqua"/>
          <w:sz w:val="24"/>
          <w:szCs w:val="24"/>
          <w:lang w:val="en-US"/>
        </w:rPr>
        <w:t>However in many centres the percutaneous transthoracic route is sti</w:t>
      </w:r>
      <w:r w:rsidR="002D3B96">
        <w:rPr>
          <w:rFonts w:ascii="Book Antiqua" w:hAnsi="Book Antiqua"/>
          <w:sz w:val="24"/>
          <w:szCs w:val="24"/>
          <w:lang w:val="en-US"/>
        </w:rPr>
        <w:t>ll widely and safely used</w:t>
      </w:r>
      <w:r w:rsidR="008A0AE2" w:rsidRPr="00841D2D">
        <w:rPr>
          <w:rFonts w:ascii="Book Antiqua" w:hAnsi="Book Antiqua"/>
          <w:sz w:val="24"/>
          <w:szCs w:val="24"/>
          <w:vertAlign w:val="superscript"/>
          <w:lang w:val="en-US"/>
        </w:rPr>
        <w:t>[14]</w:t>
      </w:r>
      <w:r w:rsidR="008A0AE2" w:rsidRPr="00841D2D">
        <w:rPr>
          <w:rFonts w:ascii="Book Antiqua" w:hAnsi="Book Antiqua"/>
          <w:sz w:val="24"/>
          <w:szCs w:val="24"/>
          <w:lang w:val="en-US"/>
        </w:rPr>
        <w:t xml:space="preserve">. </w:t>
      </w:r>
    </w:p>
    <w:p w:rsidR="00DE4D27" w:rsidRPr="00841D2D" w:rsidRDefault="009D226E"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There are some noninvasive tests to evaluate the severity of liver fibrosis but </w:t>
      </w:r>
      <w:r w:rsidR="00FC79F6" w:rsidRPr="00841D2D">
        <w:rPr>
          <w:rFonts w:ascii="Book Antiqua" w:hAnsi="Book Antiqua"/>
          <w:sz w:val="24"/>
          <w:szCs w:val="24"/>
          <w:lang w:val="en-US"/>
        </w:rPr>
        <w:t>they</w:t>
      </w:r>
      <w:r w:rsidRPr="00841D2D">
        <w:rPr>
          <w:rFonts w:ascii="Book Antiqua" w:hAnsi="Book Antiqua"/>
          <w:sz w:val="24"/>
          <w:szCs w:val="24"/>
          <w:lang w:val="en-US"/>
        </w:rPr>
        <w:t xml:space="preserve"> have not been </w:t>
      </w:r>
      <w:r w:rsidR="00800594" w:rsidRPr="00841D2D">
        <w:rPr>
          <w:rFonts w:ascii="Book Antiqua" w:hAnsi="Book Antiqua"/>
          <w:sz w:val="24"/>
          <w:szCs w:val="24"/>
          <w:lang w:val="en-US"/>
        </w:rPr>
        <w:t>wid</w:t>
      </w:r>
      <w:r w:rsidRPr="00841D2D">
        <w:rPr>
          <w:rFonts w:ascii="Book Antiqua" w:hAnsi="Book Antiqua"/>
          <w:sz w:val="24"/>
          <w:szCs w:val="24"/>
          <w:lang w:val="en-US"/>
        </w:rPr>
        <w:t xml:space="preserve">ely evaluated in </w:t>
      </w:r>
      <w:r w:rsidR="00800594" w:rsidRPr="00841D2D">
        <w:rPr>
          <w:rFonts w:ascii="Book Antiqua" w:hAnsi="Book Antiqua"/>
          <w:sz w:val="24"/>
          <w:szCs w:val="24"/>
          <w:lang w:val="en-US"/>
        </w:rPr>
        <w:t>dialysis</w:t>
      </w:r>
      <w:r w:rsidRPr="00841D2D">
        <w:rPr>
          <w:rFonts w:ascii="Book Antiqua" w:hAnsi="Book Antiqua"/>
          <w:sz w:val="24"/>
          <w:szCs w:val="24"/>
          <w:lang w:val="en-US"/>
        </w:rPr>
        <w:t xml:space="preserve"> </w:t>
      </w:r>
      <w:r w:rsidR="00800594" w:rsidRPr="00841D2D">
        <w:rPr>
          <w:rFonts w:ascii="Book Antiqua" w:hAnsi="Book Antiqua"/>
          <w:sz w:val="24"/>
          <w:szCs w:val="24"/>
          <w:lang w:val="en-US"/>
        </w:rPr>
        <w:t xml:space="preserve">and RT </w:t>
      </w:r>
      <w:r w:rsidRPr="00841D2D">
        <w:rPr>
          <w:rFonts w:ascii="Book Antiqua" w:hAnsi="Book Antiqua"/>
          <w:sz w:val="24"/>
          <w:szCs w:val="24"/>
          <w:lang w:val="en-US"/>
        </w:rPr>
        <w:t>patients</w:t>
      </w:r>
      <w:r w:rsidR="005D4F86" w:rsidRPr="00841D2D">
        <w:rPr>
          <w:rFonts w:ascii="Book Antiqua" w:hAnsi="Book Antiqua"/>
          <w:sz w:val="24"/>
          <w:szCs w:val="24"/>
          <w:vertAlign w:val="superscript"/>
          <w:lang w:val="en-US"/>
        </w:rPr>
        <w:t>[11,15]</w:t>
      </w:r>
      <w:r w:rsidR="005D4F86" w:rsidRPr="00841D2D">
        <w:rPr>
          <w:rFonts w:ascii="Book Antiqua" w:hAnsi="Book Antiqua"/>
          <w:sz w:val="24"/>
          <w:szCs w:val="24"/>
          <w:lang w:val="en-US"/>
        </w:rPr>
        <w:t xml:space="preserve">. </w:t>
      </w:r>
      <w:r w:rsidR="006E52FB" w:rsidRPr="00841D2D">
        <w:rPr>
          <w:rFonts w:ascii="Book Antiqua" w:hAnsi="Book Antiqua"/>
          <w:sz w:val="24"/>
          <w:szCs w:val="24"/>
          <w:lang w:val="en-US"/>
        </w:rPr>
        <w:t>FibroTest (FT) and liver stiffness measurement (LSM) for noninvasive assessment of liver fibrosis had been evaluated in RT patients wi</w:t>
      </w:r>
      <w:r w:rsidR="002D3B96">
        <w:rPr>
          <w:rFonts w:ascii="Book Antiqua" w:hAnsi="Book Antiqua"/>
          <w:sz w:val="24"/>
          <w:szCs w:val="24"/>
          <w:lang w:val="en-US"/>
        </w:rPr>
        <w:t>th chronic HBV or HCV infection</w:t>
      </w:r>
      <w:r w:rsidR="006E52FB" w:rsidRPr="00841D2D">
        <w:rPr>
          <w:rFonts w:ascii="Book Antiqua" w:hAnsi="Book Antiqua"/>
          <w:sz w:val="24"/>
          <w:szCs w:val="24"/>
          <w:vertAlign w:val="superscript"/>
          <w:lang w:val="en-US"/>
        </w:rPr>
        <w:t>[16]</w:t>
      </w:r>
      <w:r w:rsidR="006E52FB" w:rsidRPr="00841D2D">
        <w:rPr>
          <w:rFonts w:ascii="Book Antiqua" w:hAnsi="Book Antiqua"/>
          <w:sz w:val="24"/>
          <w:szCs w:val="24"/>
          <w:lang w:val="en-US"/>
        </w:rPr>
        <w:t xml:space="preserve">. It had been reported that FT and LSM are </w:t>
      </w:r>
      <w:r w:rsidR="00800594" w:rsidRPr="00841D2D">
        <w:rPr>
          <w:rFonts w:ascii="Book Antiqua" w:hAnsi="Book Antiqua"/>
          <w:sz w:val="24"/>
          <w:szCs w:val="24"/>
          <w:lang w:val="en-US"/>
        </w:rPr>
        <w:t>sufficiently</w:t>
      </w:r>
      <w:r w:rsidR="006E52FB" w:rsidRPr="00841D2D">
        <w:rPr>
          <w:rFonts w:ascii="Book Antiqua" w:hAnsi="Book Antiqua"/>
          <w:sz w:val="24"/>
          <w:szCs w:val="24"/>
          <w:lang w:val="en-US"/>
        </w:rPr>
        <w:t xml:space="preserve"> accurate for diagnosing mild liver fibrosis (≤</w:t>
      </w:r>
      <w:r w:rsidR="002D3B96">
        <w:rPr>
          <w:rFonts w:ascii="Book Antiqua" w:hAnsi="Book Antiqua" w:hint="eastAsia"/>
          <w:sz w:val="24"/>
          <w:szCs w:val="24"/>
          <w:lang w:val="en-US" w:eastAsia="zh-CN"/>
        </w:rPr>
        <w:t xml:space="preserve"> </w:t>
      </w:r>
      <w:r w:rsidR="006E52FB" w:rsidRPr="00841D2D">
        <w:rPr>
          <w:rFonts w:ascii="Book Antiqua" w:hAnsi="Book Antiqua"/>
          <w:sz w:val="24"/>
          <w:szCs w:val="24"/>
          <w:lang w:val="en-US"/>
        </w:rPr>
        <w:t xml:space="preserve">F2), </w:t>
      </w:r>
      <w:r w:rsidR="00D941DF" w:rsidRPr="00841D2D">
        <w:rPr>
          <w:rFonts w:ascii="Book Antiqua" w:hAnsi="Book Antiqua"/>
          <w:sz w:val="24"/>
          <w:szCs w:val="24"/>
          <w:lang w:val="en-US"/>
        </w:rPr>
        <w:t xml:space="preserve">but differed by 38.4% from the </w:t>
      </w:r>
      <w:r w:rsidR="00800594" w:rsidRPr="00841D2D">
        <w:rPr>
          <w:rFonts w:ascii="Book Antiqua" w:hAnsi="Book Antiqua"/>
          <w:sz w:val="24"/>
          <w:szCs w:val="24"/>
          <w:lang w:val="en-US"/>
        </w:rPr>
        <w:t>histological</w:t>
      </w:r>
      <w:r w:rsidR="00D941DF" w:rsidRPr="00841D2D">
        <w:rPr>
          <w:rFonts w:ascii="Book Antiqua" w:hAnsi="Book Antiqua"/>
          <w:sz w:val="24"/>
          <w:szCs w:val="24"/>
          <w:lang w:val="en-US"/>
        </w:rPr>
        <w:t xml:space="preserve"> data in patients with more severe fibrosis (≥</w:t>
      </w:r>
      <w:r w:rsidR="002D3B96">
        <w:rPr>
          <w:rFonts w:ascii="Book Antiqua" w:hAnsi="Book Antiqua" w:hint="eastAsia"/>
          <w:sz w:val="24"/>
          <w:szCs w:val="24"/>
          <w:lang w:val="en-US" w:eastAsia="zh-CN"/>
        </w:rPr>
        <w:t xml:space="preserve"> </w:t>
      </w:r>
      <w:r w:rsidR="00D941DF" w:rsidRPr="00841D2D">
        <w:rPr>
          <w:rFonts w:ascii="Book Antiqua" w:hAnsi="Book Antiqua"/>
          <w:sz w:val="24"/>
          <w:szCs w:val="24"/>
          <w:lang w:val="en-US"/>
        </w:rPr>
        <w:t xml:space="preserve">F3); their </w:t>
      </w:r>
      <w:r w:rsidR="00800594" w:rsidRPr="00841D2D">
        <w:rPr>
          <w:rFonts w:ascii="Book Antiqua" w:hAnsi="Book Antiqua"/>
          <w:sz w:val="24"/>
          <w:szCs w:val="24"/>
          <w:lang w:val="en-US"/>
        </w:rPr>
        <w:t>predictive</w:t>
      </w:r>
      <w:r w:rsidR="00D941DF" w:rsidRPr="00841D2D">
        <w:rPr>
          <w:rFonts w:ascii="Book Antiqua" w:hAnsi="Book Antiqua"/>
          <w:sz w:val="24"/>
          <w:szCs w:val="24"/>
          <w:lang w:val="en-US"/>
        </w:rPr>
        <w:t xml:space="preserve"> value for </w:t>
      </w:r>
      <w:r w:rsidR="00800594" w:rsidRPr="00841D2D">
        <w:rPr>
          <w:rFonts w:ascii="Book Antiqua" w:hAnsi="Book Antiqua"/>
          <w:sz w:val="24"/>
          <w:szCs w:val="24"/>
          <w:lang w:val="en-US"/>
        </w:rPr>
        <w:t>diagnosi</w:t>
      </w:r>
      <w:r w:rsidR="00D941DF" w:rsidRPr="00841D2D">
        <w:rPr>
          <w:rFonts w:ascii="Book Antiqua" w:hAnsi="Book Antiqua"/>
          <w:sz w:val="24"/>
          <w:szCs w:val="24"/>
          <w:lang w:val="en-US"/>
        </w:rPr>
        <w:t>ng severe liver disease needs to be confirmed.</w:t>
      </w:r>
      <w:r w:rsidR="00396DA3" w:rsidRPr="00841D2D">
        <w:rPr>
          <w:rFonts w:ascii="Book Antiqua" w:hAnsi="Book Antiqua"/>
          <w:sz w:val="24"/>
          <w:szCs w:val="24"/>
          <w:lang w:val="en-US"/>
        </w:rPr>
        <w:t xml:space="preserve"> More information is needed in HBV infection to recommend its use. </w:t>
      </w:r>
    </w:p>
    <w:p w:rsidR="00CC2456" w:rsidRPr="00841D2D" w:rsidRDefault="00D20914"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Once the HBV clinical situation and the severity of liver diseases have been established, treatment indication and possibility of RT has to be defined. </w:t>
      </w:r>
      <w:r w:rsidR="00CC2456" w:rsidRPr="00841D2D">
        <w:rPr>
          <w:rFonts w:ascii="Book Antiqua" w:hAnsi="Book Antiqua"/>
          <w:sz w:val="24"/>
          <w:szCs w:val="24"/>
          <w:lang w:val="en-US"/>
        </w:rPr>
        <w:t>HBsAg positive patients receiving  immunosuppressive therapy after renal transplantation must antiHBV prophylaxis or treatment (based on HBV DNA levels) with a NUC.</w:t>
      </w:r>
    </w:p>
    <w:p w:rsidR="00FE4AE3" w:rsidRPr="00841D2D" w:rsidRDefault="0082597A"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In the general population HBV inactive car</w:t>
      </w:r>
      <w:r w:rsidR="002D3B96">
        <w:rPr>
          <w:rFonts w:ascii="Book Antiqua" w:hAnsi="Book Antiqua"/>
          <w:sz w:val="24"/>
          <w:szCs w:val="24"/>
          <w:lang w:val="en-US"/>
        </w:rPr>
        <w:t>riers do not need to be treated</w:t>
      </w:r>
      <w:r w:rsidRPr="00841D2D">
        <w:rPr>
          <w:rFonts w:ascii="Book Antiqua" w:hAnsi="Book Antiqua"/>
          <w:sz w:val="24"/>
          <w:szCs w:val="24"/>
          <w:vertAlign w:val="superscript"/>
          <w:lang w:val="en-US"/>
        </w:rPr>
        <w:t>[9,10]</w:t>
      </w:r>
      <w:r w:rsidRPr="00841D2D">
        <w:rPr>
          <w:rFonts w:ascii="Book Antiqua" w:hAnsi="Book Antiqua"/>
          <w:sz w:val="24"/>
          <w:szCs w:val="24"/>
          <w:lang w:val="en-US"/>
        </w:rPr>
        <w:t>. But RT c</w:t>
      </w:r>
      <w:r w:rsidRPr="002D3B96">
        <w:rPr>
          <w:rFonts w:ascii="Book Antiqua" w:hAnsi="Book Antiqua"/>
          <w:sz w:val="24"/>
          <w:szCs w:val="24"/>
          <w:lang w:val="en-US"/>
        </w:rPr>
        <w:t xml:space="preserve">andidates who are inactive carriers </w:t>
      </w:r>
      <w:r w:rsidR="00CC2456" w:rsidRPr="002D3B96">
        <w:rPr>
          <w:rFonts w:ascii="Book Antiqua" w:hAnsi="Book Antiqua"/>
          <w:sz w:val="24"/>
          <w:szCs w:val="24"/>
          <w:lang w:val="en-US"/>
        </w:rPr>
        <w:t>have a higher</w:t>
      </w:r>
      <w:r w:rsidRPr="002D3B96">
        <w:rPr>
          <w:rFonts w:ascii="Book Antiqua" w:hAnsi="Book Antiqua"/>
          <w:sz w:val="24"/>
          <w:szCs w:val="24"/>
          <w:lang w:val="en-US"/>
        </w:rPr>
        <w:t xml:space="preserve"> risk of reactivation after transplantation</w:t>
      </w:r>
      <w:r w:rsidR="00A61855" w:rsidRPr="002D3B96">
        <w:rPr>
          <w:rFonts w:ascii="Book Antiqua" w:hAnsi="Book Antiqua"/>
          <w:sz w:val="24"/>
          <w:szCs w:val="24"/>
          <w:lang w:val="en-US"/>
        </w:rPr>
        <w:t xml:space="preserve">. In HBsAg positive </w:t>
      </w:r>
      <w:r w:rsidR="00CC2456" w:rsidRPr="002D3B96">
        <w:rPr>
          <w:rFonts w:ascii="Book Antiqua" w:hAnsi="Book Antiqua"/>
          <w:sz w:val="24"/>
          <w:szCs w:val="24"/>
          <w:lang w:val="en-US"/>
        </w:rPr>
        <w:t>inactive carriers,</w:t>
      </w:r>
      <w:r w:rsidR="00A61855" w:rsidRPr="002D3B96">
        <w:rPr>
          <w:rFonts w:ascii="Book Antiqua" w:hAnsi="Book Antiqua"/>
          <w:sz w:val="24"/>
          <w:szCs w:val="24"/>
          <w:lang w:val="en-US"/>
        </w:rPr>
        <w:t xml:space="preserve"> treatment can be used as </w:t>
      </w:r>
      <w:r w:rsidR="00A61855" w:rsidRPr="00841D2D">
        <w:rPr>
          <w:rFonts w:ascii="Book Antiqua" w:hAnsi="Book Antiqua"/>
          <w:sz w:val="24"/>
          <w:szCs w:val="24"/>
          <w:lang w:val="en-US"/>
        </w:rPr>
        <w:t>prophylactic (HBV DNA undetectable, no hepatocellular injury), preemptive (HBV DNA &lt;</w:t>
      </w:r>
      <w:r w:rsidR="002D3B96">
        <w:rPr>
          <w:rFonts w:ascii="Book Antiqua" w:hAnsi="Book Antiqua" w:hint="eastAsia"/>
          <w:sz w:val="24"/>
          <w:szCs w:val="24"/>
          <w:lang w:val="en-US" w:eastAsia="zh-CN"/>
        </w:rPr>
        <w:t xml:space="preserve"> </w:t>
      </w:r>
      <w:r w:rsidR="00A61855" w:rsidRPr="00841D2D">
        <w:rPr>
          <w:rFonts w:ascii="Book Antiqua" w:hAnsi="Book Antiqua"/>
          <w:sz w:val="24"/>
          <w:szCs w:val="24"/>
          <w:lang w:val="en-US"/>
        </w:rPr>
        <w:t>2000 IU/m</w:t>
      </w:r>
      <w:r w:rsidR="002D3B96" w:rsidRPr="00841D2D">
        <w:rPr>
          <w:rFonts w:ascii="Book Antiqua" w:hAnsi="Book Antiqua"/>
          <w:sz w:val="24"/>
          <w:szCs w:val="24"/>
          <w:lang w:val="en-US"/>
        </w:rPr>
        <w:t>L</w:t>
      </w:r>
      <w:r w:rsidR="00A61855" w:rsidRPr="00841D2D">
        <w:rPr>
          <w:rFonts w:ascii="Book Antiqua" w:hAnsi="Book Antiqua"/>
          <w:sz w:val="24"/>
          <w:szCs w:val="24"/>
          <w:lang w:val="en-US"/>
        </w:rPr>
        <w:t>, no hepatocellular injury), and salvage therapy after reactivation (HBV DNA &gt;</w:t>
      </w:r>
      <w:r w:rsidR="002D3B96">
        <w:rPr>
          <w:rFonts w:ascii="Book Antiqua" w:hAnsi="Book Antiqua" w:hint="eastAsia"/>
          <w:sz w:val="24"/>
          <w:szCs w:val="24"/>
          <w:lang w:val="en-US" w:eastAsia="zh-CN"/>
        </w:rPr>
        <w:t xml:space="preserve"> </w:t>
      </w:r>
      <w:r w:rsidR="00A61855" w:rsidRPr="00841D2D">
        <w:rPr>
          <w:rFonts w:ascii="Book Antiqua" w:hAnsi="Book Antiqua"/>
          <w:sz w:val="24"/>
          <w:szCs w:val="24"/>
          <w:lang w:val="en-US"/>
        </w:rPr>
        <w:t>2000 IU/m</w:t>
      </w:r>
      <w:r w:rsidR="002D3B96" w:rsidRPr="00841D2D">
        <w:rPr>
          <w:rFonts w:ascii="Book Antiqua" w:hAnsi="Book Antiqua"/>
          <w:sz w:val="24"/>
          <w:szCs w:val="24"/>
          <w:lang w:val="en-US"/>
        </w:rPr>
        <w:t>L</w:t>
      </w:r>
      <w:r w:rsidR="00A61855" w:rsidRPr="00841D2D">
        <w:rPr>
          <w:rFonts w:ascii="Book Antiqua" w:hAnsi="Book Antiqua"/>
          <w:sz w:val="24"/>
          <w:szCs w:val="24"/>
          <w:lang w:val="en-US"/>
        </w:rPr>
        <w:t>, with hepatocellular injury). Even if the prophylactic/preemptive initiation is the generally accepted treatment, the data com</w:t>
      </w:r>
      <w:r w:rsidR="002D3B96">
        <w:rPr>
          <w:rFonts w:ascii="Book Antiqua" w:hAnsi="Book Antiqua"/>
          <w:sz w:val="24"/>
          <w:szCs w:val="24"/>
          <w:lang w:val="en-US"/>
        </w:rPr>
        <w:t>paring these treatments are few</w:t>
      </w:r>
      <w:r w:rsidR="00A61855" w:rsidRPr="00841D2D">
        <w:rPr>
          <w:rFonts w:ascii="Book Antiqua" w:hAnsi="Book Antiqua"/>
          <w:sz w:val="24"/>
          <w:szCs w:val="24"/>
          <w:vertAlign w:val="superscript"/>
          <w:lang w:val="en-US"/>
        </w:rPr>
        <w:t>[17]</w:t>
      </w:r>
      <w:r w:rsidR="00A61855" w:rsidRPr="00841D2D">
        <w:rPr>
          <w:rFonts w:ascii="Book Antiqua" w:hAnsi="Book Antiqua"/>
          <w:sz w:val="24"/>
          <w:szCs w:val="24"/>
          <w:lang w:val="en-US"/>
        </w:rPr>
        <w:t>. All RT candidates</w:t>
      </w:r>
      <w:r w:rsidR="00A61855" w:rsidRPr="00841D2D">
        <w:rPr>
          <w:rFonts w:ascii="Book Antiqua" w:hAnsi="Book Antiqua"/>
          <w:b/>
          <w:sz w:val="24"/>
          <w:szCs w:val="24"/>
          <w:lang w:val="en-US"/>
        </w:rPr>
        <w:t xml:space="preserve"> </w:t>
      </w:r>
      <w:r w:rsidR="00A61855" w:rsidRPr="00841D2D">
        <w:rPr>
          <w:rFonts w:ascii="Book Antiqua" w:hAnsi="Book Antiqua"/>
          <w:sz w:val="24"/>
          <w:szCs w:val="24"/>
          <w:lang w:val="en-US"/>
        </w:rPr>
        <w:t xml:space="preserve">with </w:t>
      </w:r>
      <w:r w:rsidR="00A61855" w:rsidRPr="00841D2D">
        <w:rPr>
          <w:rFonts w:ascii="Book Antiqua" w:hAnsi="Book Antiqua"/>
          <w:i/>
          <w:sz w:val="24"/>
          <w:szCs w:val="24"/>
          <w:lang w:val="en-US"/>
        </w:rPr>
        <w:t>chronic</w:t>
      </w:r>
      <w:r w:rsidR="00A61855" w:rsidRPr="00841D2D">
        <w:rPr>
          <w:rFonts w:ascii="Book Antiqua" w:hAnsi="Book Antiqua"/>
          <w:b/>
          <w:i/>
          <w:sz w:val="24"/>
          <w:szCs w:val="24"/>
          <w:lang w:val="en-US"/>
        </w:rPr>
        <w:t xml:space="preserve"> </w:t>
      </w:r>
      <w:r w:rsidR="00A61855" w:rsidRPr="00841D2D">
        <w:rPr>
          <w:rFonts w:ascii="Book Antiqua" w:hAnsi="Book Antiqua"/>
          <w:i/>
          <w:sz w:val="24"/>
          <w:szCs w:val="24"/>
          <w:lang w:val="en-US"/>
        </w:rPr>
        <w:t>HBV</w:t>
      </w:r>
      <w:r w:rsidR="00A61855" w:rsidRPr="00841D2D">
        <w:rPr>
          <w:rFonts w:ascii="Book Antiqua" w:hAnsi="Book Antiqua"/>
          <w:sz w:val="24"/>
          <w:szCs w:val="24"/>
          <w:lang w:val="en-US"/>
        </w:rPr>
        <w:t xml:space="preserve"> need to be treated b</w:t>
      </w:r>
      <w:r w:rsidR="002D3B96">
        <w:rPr>
          <w:rFonts w:ascii="Book Antiqua" w:hAnsi="Book Antiqua"/>
          <w:sz w:val="24"/>
          <w:szCs w:val="24"/>
          <w:lang w:val="en-US"/>
        </w:rPr>
        <w:t>efore transplantation with NUCs</w:t>
      </w:r>
      <w:r w:rsidR="00A61855" w:rsidRPr="00841D2D">
        <w:rPr>
          <w:rFonts w:ascii="Book Antiqua" w:hAnsi="Book Antiqua"/>
          <w:sz w:val="24"/>
          <w:szCs w:val="24"/>
          <w:vertAlign w:val="superscript"/>
          <w:lang w:val="en-US"/>
        </w:rPr>
        <w:t>[9,10]</w:t>
      </w:r>
      <w:r w:rsidR="00A61855" w:rsidRPr="00841D2D">
        <w:rPr>
          <w:rFonts w:ascii="Book Antiqua" w:hAnsi="Book Antiqua"/>
          <w:sz w:val="24"/>
          <w:szCs w:val="24"/>
          <w:lang w:val="en-US"/>
        </w:rPr>
        <w:t xml:space="preserve">. </w:t>
      </w:r>
      <w:r w:rsidR="005A2329" w:rsidRPr="00841D2D">
        <w:rPr>
          <w:rFonts w:ascii="Book Antiqua" w:hAnsi="Book Antiqua"/>
          <w:sz w:val="24"/>
          <w:szCs w:val="24"/>
          <w:lang w:val="en-US"/>
        </w:rPr>
        <w:t xml:space="preserve">Patients with </w:t>
      </w:r>
      <w:r w:rsidR="005A2329" w:rsidRPr="00841D2D">
        <w:rPr>
          <w:rFonts w:ascii="Book Antiqua" w:hAnsi="Book Antiqua"/>
          <w:i/>
          <w:sz w:val="24"/>
          <w:szCs w:val="24"/>
          <w:lang w:val="en-US"/>
        </w:rPr>
        <w:t>resolved HBV</w:t>
      </w:r>
      <w:r w:rsidR="005A2329" w:rsidRPr="00841D2D">
        <w:rPr>
          <w:rFonts w:ascii="Book Antiqua" w:hAnsi="Book Antiqua"/>
          <w:sz w:val="24"/>
          <w:szCs w:val="24"/>
          <w:lang w:val="en-US"/>
        </w:rPr>
        <w:t xml:space="preserve"> </w:t>
      </w:r>
      <w:r w:rsidR="00CC2456" w:rsidRPr="00841D2D">
        <w:rPr>
          <w:rFonts w:ascii="Book Antiqua" w:hAnsi="Book Antiqua"/>
          <w:sz w:val="24"/>
          <w:szCs w:val="24"/>
          <w:lang w:val="en-US"/>
        </w:rPr>
        <w:t>have a</w:t>
      </w:r>
      <w:r w:rsidR="005A2329" w:rsidRPr="00841D2D">
        <w:rPr>
          <w:rFonts w:ascii="Book Antiqua" w:hAnsi="Book Antiqua"/>
          <w:sz w:val="24"/>
          <w:szCs w:val="24"/>
          <w:lang w:val="en-US"/>
        </w:rPr>
        <w:t xml:space="preserve"> low reactivation </w:t>
      </w:r>
      <w:r w:rsidR="00CC2456" w:rsidRPr="00841D2D">
        <w:rPr>
          <w:rFonts w:ascii="Book Antiqua" w:hAnsi="Book Antiqua"/>
          <w:sz w:val="24"/>
          <w:szCs w:val="24"/>
          <w:lang w:val="en-US"/>
        </w:rPr>
        <w:t xml:space="preserve">risk </w:t>
      </w:r>
      <w:r w:rsidR="005A2329" w:rsidRPr="00841D2D">
        <w:rPr>
          <w:rFonts w:ascii="Book Antiqua" w:hAnsi="Book Antiqua"/>
          <w:sz w:val="24"/>
          <w:szCs w:val="24"/>
          <w:lang w:val="en-US"/>
        </w:rPr>
        <w:t>in the RT setting</w:t>
      </w:r>
      <w:r w:rsidR="002D3B96">
        <w:rPr>
          <w:rFonts w:ascii="Book Antiqua" w:hAnsi="Book Antiqua"/>
          <w:sz w:val="24"/>
          <w:szCs w:val="24"/>
          <w:lang w:val="en-US"/>
        </w:rPr>
        <w:t xml:space="preserve"> varying between 0.6 to 6%</w:t>
      </w:r>
      <w:r w:rsidR="00FE4AE3" w:rsidRPr="00841D2D">
        <w:rPr>
          <w:rFonts w:ascii="Book Antiqua" w:hAnsi="Book Antiqua"/>
          <w:sz w:val="24"/>
          <w:szCs w:val="24"/>
          <w:vertAlign w:val="superscript"/>
          <w:lang w:val="en-US"/>
        </w:rPr>
        <w:t>[18-20]</w:t>
      </w:r>
      <w:r w:rsidR="00FE4AE3" w:rsidRPr="00841D2D">
        <w:rPr>
          <w:rFonts w:ascii="Book Antiqua" w:hAnsi="Book Antiqua"/>
          <w:sz w:val="24"/>
          <w:szCs w:val="24"/>
          <w:lang w:val="en-US"/>
        </w:rPr>
        <w:t xml:space="preserve">. </w:t>
      </w:r>
      <w:r w:rsidR="00523A8C" w:rsidRPr="00841D2D">
        <w:rPr>
          <w:rFonts w:ascii="Book Antiqua" w:hAnsi="Book Antiqua"/>
          <w:sz w:val="24"/>
          <w:szCs w:val="24"/>
          <w:lang w:val="en-US"/>
        </w:rPr>
        <w:t xml:space="preserve">Since there is a low reactivation risk in HBsAg negative patients, universal prophylaxis is not recommended in them. </w:t>
      </w:r>
      <w:r w:rsidR="00CC025F" w:rsidRPr="00841D2D">
        <w:rPr>
          <w:rFonts w:ascii="Book Antiqua" w:hAnsi="Book Antiqua"/>
          <w:sz w:val="24"/>
          <w:szCs w:val="24"/>
          <w:lang w:val="en-US"/>
        </w:rPr>
        <w:t>Among antiHBc positive patients, those having low antiHBs titers (&lt;</w:t>
      </w:r>
      <w:r w:rsidR="002D3B96">
        <w:rPr>
          <w:rFonts w:ascii="Book Antiqua" w:hAnsi="Book Antiqua" w:hint="eastAsia"/>
          <w:sz w:val="24"/>
          <w:szCs w:val="24"/>
          <w:lang w:val="en-US" w:eastAsia="zh-CN"/>
        </w:rPr>
        <w:t xml:space="preserve"> </w:t>
      </w:r>
      <w:r w:rsidR="00CC025F" w:rsidRPr="00841D2D">
        <w:rPr>
          <w:rFonts w:ascii="Book Antiqua" w:hAnsi="Book Antiqua"/>
          <w:sz w:val="24"/>
          <w:szCs w:val="24"/>
          <w:lang w:val="en-US"/>
        </w:rPr>
        <w:t>100 IU/m</w:t>
      </w:r>
      <w:r w:rsidR="002D3B96" w:rsidRPr="00841D2D">
        <w:rPr>
          <w:rFonts w:ascii="Book Antiqua" w:hAnsi="Book Antiqua"/>
          <w:sz w:val="24"/>
          <w:szCs w:val="24"/>
          <w:lang w:val="en-US"/>
        </w:rPr>
        <w:t>L</w:t>
      </w:r>
      <w:r w:rsidR="00CC025F" w:rsidRPr="00841D2D">
        <w:rPr>
          <w:rFonts w:ascii="Book Antiqua" w:hAnsi="Book Antiqua"/>
          <w:sz w:val="24"/>
          <w:szCs w:val="24"/>
          <w:lang w:val="en-US"/>
        </w:rPr>
        <w:t>) have the higher risk of reactivation. Even though there is limited evidence, repeat vaccination may be considered for this group. Current HBV DNA tests allows to diagnose true occult infection in patients with isolated antiHBc positive serology. There is not enough information about the absolute risk of reactivation in this sub-population, so it is unclear wh</w:t>
      </w:r>
      <w:r w:rsidR="002D3B96">
        <w:rPr>
          <w:rFonts w:ascii="Book Antiqua" w:hAnsi="Book Antiqua"/>
          <w:sz w:val="24"/>
          <w:szCs w:val="24"/>
          <w:lang w:val="en-US"/>
        </w:rPr>
        <w:t>ether prophylaxis is beneficial</w:t>
      </w:r>
      <w:r w:rsidR="00CC025F" w:rsidRPr="00841D2D">
        <w:rPr>
          <w:rFonts w:ascii="Book Antiqua" w:hAnsi="Book Antiqua"/>
          <w:sz w:val="24"/>
          <w:szCs w:val="24"/>
          <w:vertAlign w:val="superscript"/>
          <w:lang w:val="en-US"/>
        </w:rPr>
        <w:t>[21]</w:t>
      </w:r>
      <w:r w:rsidR="00CC025F" w:rsidRPr="00841D2D">
        <w:rPr>
          <w:rFonts w:ascii="Book Antiqua" w:hAnsi="Book Antiqua"/>
          <w:sz w:val="24"/>
          <w:szCs w:val="24"/>
          <w:lang w:val="en-US"/>
        </w:rPr>
        <w:t>.</w:t>
      </w:r>
    </w:p>
    <w:p w:rsidR="00D26F05" w:rsidRDefault="00BA21EB" w:rsidP="002D3B96">
      <w:pPr>
        <w:spacing w:after="0" w:line="360" w:lineRule="auto"/>
        <w:ind w:firstLineChars="100" w:firstLine="240"/>
        <w:jc w:val="both"/>
        <w:rPr>
          <w:rFonts w:ascii="Book Antiqua" w:hAnsi="Book Antiqua"/>
          <w:sz w:val="24"/>
          <w:szCs w:val="24"/>
          <w:lang w:val="en-US" w:eastAsia="zh-CN"/>
        </w:rPr>
      </w:pPr>
      <w:r w:rsidRPr="00841D2D">
        <w:rPr>
          <w:rFonts w:ascii="Book Antiqua" w:hAnsi="Book Antiqua"/>
          <w:sz w:val="24"/>
          <w:szCs w:val="24"/>
          <w:lang w:val="en-US"/>
        </w:rPr>
        <w:t xml:space="preserve">The severity of liver disease will determine if the patient is a good candidate for RT or not. </w:t>
      </w:r>
      <w:r w:rsidR="00303DF2" w:rsidRPr="00841D2D">
        <w:rPr>
          <w:rFonts w:ascii="Book Antiqua" w:hAnsi="Book Antiqua"/>
          <w:sz w:val="24"/>
          <w:szCs w:val="24"/>
          <w:lang w:val="en-US"/>
        </w:rPr>
        <w:t>Evidence</w:t>
      </w:r>
      <w:r w:rsidRPr="00841D2D">
        <w:rPr>
          <w:rFonts w:ascii="Book Antiqua" w:hAnsi="Book Antiqua"/>
          <w:sz w:val="24"/>
          <w:szCs w:val="24"/>
          <w:lang w:val="en-US"/>
        </w:rPr>
        <w:t xml:space="preserve"> of decompensated liver disease (ascites, encephalopathy, variceal bleeding, </w:t>
      </w:r>
      <w:r w:rsidRPr="002D3B96">
        <w:rPr>
          <w:rFonts w:ascii="Book Antiqua" w:hAnsi="Book Antiqua"/>
          <w:i/>
          <w:sz w:val="24"/>
          <w:szCs w:val="24"/>
          <w:lang w:val="en-US"/>
        </w:rPr>
        <w:t>etc.</w:t>
      </w:r>
      <w:r w:rsidRPr="00841D2D">
        <w:rPr>
          <w:rFonts w:ascii="Book Antiqua" w:hAnsi="Book Antiqua"/>
          <w:sz w:val="24"/>
          <w:szCs w:val="24"/>
          <w:lang w:val="en-US"/>
        </w:rPr>
        <w:t>) precludes RT and is a clear indication of combined liver</w:t>
      </w:r>
      <w:r w:rsidR="00783C3D" w:rsidRPr="00841D2D">
        <w:rPr>
          <w:rFonts w:ascii="Book Antiqua" w:hAnsi="Book Antiqua"/>
          <w:sz w:val="24"/>
          <w:szCs w:val="24"/>
          <w:lang w:val="en-US"/>
        </w:rPr>
        <w:t>-</w:t>
      </w:r>
      <w:r w:rsidR="008C2C74" w:rsidRPr="00841D2D">
        <w:rPr>
          <w:rFonts w:ascii="Book Antiqua" w:hAnsi="Book Antiqua"/>
          <w:sz w:val="24"/>
          <w:szCs w:val="24"/>
          <w:lang w:val="en-US"/>
        </w:rPr>
        <w:t>renal</w:t>
      </w:r>
      <w:r w:rsidRPr="00841D2D">
        <w:rPr>
          <w:rFonts w:ascii="Book Antiqua" w:hAnsi="Book Antiqua"/>
          <w:sz w:val="24"/>
          <w:szCs w:val="24"/>
          <w:lang w:val="en-US"/>
        </w:rPr>
        <w:t xml:space="preserve"> transplantation</w:t>
      </w:r>
      <w:r w:rsidR="00783C3D" w:rsidRPr="00841D2D">
        <w:rPr>
          <w:rFonts w:ascii="Book Antiqua" w:hAnsi="Book Antiqua"/>
          <w:sz w:val="24"/>
          <w:szCs w:val="24"/>
          <w:lang w:val="en-US"/>
        </w:rPr>
        <w:t xml:space="preserve"> (L</w:t>
      </w:r>
      <w:r w:rsidR="008C2C74" w:rsidRPr="00841D2D">
        <w:rPr>
          <w:rFonts w:ascii="Book Antiqua" w:hAnsi="Book Antiqua"/>
          <w:sz w:val="24"/>
          <w:szCs w:val="24"/>
          <w:lang w:val="en-US"/>
        </w:rPr>
        <w:t>R</w:t>
      </w:r>
      <w:r w:rsidR="00783C3D" w:rsidRPr="00841D2D">
        <w:rPr>
          <w:rFonts w:ascii="Book Antiqua" w:hAnsi="Book Antiqua"/>
          <w:sz w:val="24"/>
          <w:szCs w:val="24"/>
          <w:lang w:val="en-US"/>
        </w:rPr>
        <w:t>T)</w:t>
      </w:r>
      <w:r w:rsidRPr="00841D2D">
        <w:rPr>
          <w:rFonts w:ascii="Book Antiqua" w:hAnsi="Book Antiqua"/>
          <w:sz w:val="24"/>
          <w:szCs w:val="24"/>
          <w:lang w:val="en-US"/>
        </w:rPr>
        <w:t>. The presence of compensated cirrhosis</w:t>
      </w:r>
      <w:r w:rsidR="00783C3D" w:rsidRPr="00841D2D">
        <w:rPr>
          <w:rFonts w:ascii="Book Antiqua" w:hAnsi="Book Antiqua"/>
          <w:sz w:val="24"/>
          <w:szCs w:val="24"/>
          <w:lang w:val="en-US"/>
        </w:rPr>
        <w:t xml:space="preserve"> with </w:t>
      </w:r>
      <w:r w:rsidR="00303DF2" w:rsidRPr="00841D2D">
        <w:rPr>
          <w:rFonts w:ascii="Book Antiqua" w:hAnsi="Book Antiqua"/>
          <w:sz w:val="24"/>
          <w:szCs w:val="24"/>
          <w:lang w:val="en-US"/>
        </w:rPr>
        <w:t>signs</w:t>
      </w:r>
      <w:r w:rsidR="00783C3D" w:rsidRPr="00841D2D">
        <w:rPr>
          <w:rFonts w:ascii="Book Antiqua" w:hAnsi="Book Antiqua"/>
          <w:sz w:val="24"/>
          <w:szCs w:val="24"/>
          <w:lang w:val="en-US"/>
        </w:rPr>
        <w:t xml:space="preserve"> of portal hypertension is also an indication for L</w:t>
      </w:r>
      <w:r w:rsidR="008C2C74" w:rsidRPr="00841D2D">
        <w:rPr>
          <w:rFonts w:ascii="Book Antiqua" w:hAnsi="Book Antiqua"/>
          <w:sz w:val="24"/>
          <w:szCs w:val="24"/>
          <w:lang w:val="en-US"/>
        </w:rPr>
        <w:t>R</w:t>
      </w:r>
      <w:r w:rsidR="00783C3D" w:rsidRPr="00841D2D">
        <w:rPr>
          <w:rFonts w:ascii="Book Antiqua" w:hAnsi="Book Antiqua"/>
          <w:sz w:val="24"/>
          <w:szCs w:val="24"/>
          <w:lang w:val="en-US"/>
        </w:rPr>
        <w:t xml:space="preserve">T. Cirrhotic patients without portal hypertension must be carefully evaluated for RT since cirrhosis is </w:t>
      </w:r>
      <w:r w:rsidR="00303DF2" w:rsidRPr="00841D2D">
        <w:rPr>
          <w:rFonts w:ascii="Book Antiqua" w:hAnsi="Book Antiqua"/>
          <w:sz w:val="24"/>
          <w:szCs w:val="24"/>
          <w:lang w:val="en-US"/>
        </w:rPr>
        <w:t>correl</w:t>
      </w:r>
      <w:r w:rsidR="00783C3D" w:rsidRPr="00841D2D">
        <w:rPr>
          <w:rFonts w:ascii="Book Antiqua" w:hAnsi="Book Antiqua"/>
          <w:sz w:val="24"/>
          <w:szCs w:val="24"/>
          <w:lang w:val="en-US"/>
        </w:rPr>
        <w:t xml:space="preserve">ated with an </w:t>
      </w:r>
      <w:r w:rsidR="00303DF2" w:rsidRPr="00841D2D">
        <w:rPr>
          <w:rFonts w:ascii="Book Antiqua" w:hAnsi="Book Antiqua"/>
          <w:sz w:val="24"/>
          <w:szCs w:val="24"/>
          <w:lang w:val="en-US"/>
        </w:rPr>
        <w:t>higher</w:t>
      </w:r>
      <w:r w:rsidR="00783C3D" w:rsidRPr="00841D2D">
        <w:rPr>
          <w:rFonts w:ascii="Book Antiqua" w:hAnsi="Book Antiqua"/>
          <w:sz w:val="24"/>
          <w:szCs w:val="24"/>
          <w:lang w:val="en-US"/>
        </w:rPr>
        <w:t xml:space="preserve"> mortality </w:t>
      </w:r>
      <w:r w:rsidR="00303DF2" w:rsidRPr="00841D2D">
        <w:rPr>
          <w:rFonts w:ascii="Book Antiqua" w:hAnsi="Book Antiqua"/>
          <w:sz w:val="24"/>
          <w:szCs w:val="24"/>
          <w:lang w:val="en-US"/>
        </w:rPr>
        <w:t>risk</w:t>
      </w:r>
      <w:r w:rsidR="00AC5D9A" w:rsidRPr="00841D2D">
        <w:rPr>
          <w:rFonts w:ascii="Book Antiqua" w:hAnsi="Book Antiqua"/>
          <w:sz w:val="24"/>
          <w:szCs w:val="24"/>
          <w:vertAlign w:val="superscript"/>
          <w:lang w:val="en-US"/>
        </w:rPr>
        <w:t>[22]</w:t>
      </w:r>
      <w:r w:rsidR="00AC5D9A" w:rsidRPr="00841D2D">
        <w:rPr>
          <w:rFonts w:ascii="Book Antiqua" w:hAnsi="Book Antiqua"/>
          <w:sz w:val="24"/>
          <w:szCs w:val="24"/>
          <w:lang w:val="en-US"/>
        </w:rPr>
        <w:t xml:space="preserve">. </w:t>
      </w:r>
      <w:r w:rsidR="00303DF2" w:rsidRPr="00841D2D">
        <w:rPr>
          <w:rFonts w:ascii="Book Antiqua" w:hAnsi="Book Antiqua"/>
          <w:sz w:val="24"/>
          <w:szCs w:val="24"/>
          <w:lang w:val="en-US"/>
        </w:rPr>
        <w:t>Non cirrhotic p</w:t>
      </w:r>
      <w:r w:rsidR="00AC5D9A" w:rsidRPr="00841D2D">
        <w:rPr>
          <w:rFonts w:ascii="Book Antiqua" w:hAnsi="Book Antiqua"/>
          <w:sz w:val="24"/>
          <w:szCs w:val="24"/>
          <w:lang w:val="en-US"/>
        </w:rPr>
        <w:t xml:space="preserve">atients </w:t>
      </w:r>
      <w:r w:rsidR="00A525F7" w:rsidRPr="00841D2D">
        <w:rPr>
          <w:rFonts w:ascii="Book Antiqua" w:hAnsi="Book Antiqua"/>
          <w:sz w:val="24"/>
          <w:szCs w:val="24"/>
          <w:lang w:val="en-US"/>
        </w:rPr>
        <w:t xml:space="preserve">are adequate candidates for RT. </w:t>
      </w:r>
    </w:p>
    <w:p w:rsidR="002D3B96" w:rsidRPr="00841D2D" w:rsidRDefault="002D3B96" w:rsidP="002D3B96">
      <w:pPr>
        <w:spacing w:after="0" w:line="360" w:lineRule="auto"/>
        <w:ind w:firstLineChars="100" w:firstLine="240"/>
        <w:jc w:val="both"/>
        <w:rPr>
          <w:rFonts w:ascii="Book Antiqua" w:hAnsi="Book Antiqua"/>
          <w:sz w:val="24"/>
          <w:szCs w:val="24"/>
          <w:lang w:val="en-US" w:eastAsia="zh-CN"/>
        </w:rPr>
      </w:pPr>
    </w:p>
    <w:p w:rsidR="00D26F05" w:rsidRPr="00841D2D" w:rsidRDefault="00375683"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TREATMENT</w:t>
      </w:r>
    </w:p>
    <w:p w:rsidR="00E927B5" w:rsidRPr="00841D2D" w:rsidRDefault="00E927B5"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There are many guidelines regarding HBV treatment. Patients with ESRD and RT can be considered a special population and there are particular recommendations for them that may vary from those implem</w:t>
      </w:r>
      <w:r w:rsidR="002D3B96">
        <w:rPr>
          <w:rFonts w:ascii="Book Antiqua" w:hAnsi="Book Antiqua"/>
          <w:sz w:val="24"/>
          <w:szCs w:val="24"/>
          <w:lang w:val="en-US"/>
        </w:rPr>
        <w:t>ented in the general population</w:t>
      </w:r>
      <w:r w:rsidRPr="00841D2D">
        <w:rPr>
          <w:rFonts w:ascii="Book Antiqua" w:hAnsi="Book Antiqua"/>
          <w:sz w:val="24"/>
          <w:szCs w:val="24"/>
          <w:vertAlign w:val="superscript"/>
          <w:lang w:val="en-US"/>
        </w:rPr>
        <w:t>[9,10,15,23]</w:t>
      </w:r>
      <w:r w:rsidRPr="00841D2D">
        <w:rPr>
          <w:rFonts w:ascii="Book Antiqua" w:hAnsi="Book Antiqua"/>
          <w:sz w:val="24"/>
          <w:szCs w:val="24"/>
          <w:lang w:val="en-US"/>
        </w:rPr>
        <w:t>. Patients w</w:t>
      </w:r>
      <w:r w:rsidRPr="002D3B96">
        <w:rPr>
          <w:rFonts w:ascii="Book Antiqua" w:hAnsi="Book Antiqua"/>
          <w:sz w:val="24"/>
          <w:szCs w:val="24"/>
          <w:lang w:val="en-US"/>
        </w:rPr>
        <w:t xml:space="preserve">ith chronic hepatitis B are candidates for treatment and those inactive hepatitis B carriers </w:t>
      </w:r>
      <w:r w:rsidRPr="00841D2D">
        <w:rPr>
          <w:rFonts w:ascii="Book Antiqua" w:hAnsi="Book Antiqua"/>
          <w:sz w:val="24"/>
          <w:szCs w:val="24"/>
          <w:lang w:val="en-US"/>
        </w:rPr>
        <w:t>are candidates for prophylactic or preemptive therapy.</w:t>
      </w:r>
    </w:p>
    <w:p w:rsidR="00B20B1D" w:rsidRPr="00841D2D" w:rsidRDefault="00E927B5"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There are two main treatment options in hepatitis B: interferon and NUCs. </w:t>
      </w:r>
      <w:r w:rsidR="006C522C" w:rsidRPr="00841D2D">
        <w:rPr>
          <w:rFonts w:ascii="Book Antiqua" w:hAnsi="Book Antiqua"/>
          <w:sz w:val="24"/>
          <w:szCs w:val="24"/>
          <w:lang w:val="en-US"/>
        </w:rPr>
        <w:t>Interferon therapy has many disadvantages when compared with NUCs: poorly tolerated due to side effects, limited efficacy in this populations, subcutaneous administration and there is certain risk of graft rejection</w:t>
      </w:r>
      <w:r w:rsidR="006C522C" w:rsidRPr="00841D2D">
        <w:rPr>
          <w:rFonts w:ascii="Book Antiqua" w:hAnsi="Book Antiqua"/>
          <w:sz w:val="24"/>
          <w:szCs w:val="24"/>
          <w:vertAlign w:val="superscript"/>
          <w:lang w:val="en-US"/>
        </w:rPr>
        <w:t>[24]</w:t>
      </w:r>
      <w:r w:rsidR="006C522C" w:rsidRPr="00841D2D">
        <w:rPr>
          <w:rFonts w:ascii="Book Antiqua" w:hAnsi="Book Antiqua"/>
          <w:sz w:val="24"/>
          <w:szCs w:val="24"/>
          <w:lang w:val="en-US"/>
        </w:rPr>
        <w:t xml:space="preserve">. So, there is agreement </w:t>
      </w:r>
      <w:r w:rsidR="00303DF2" w:rsidRPr="00841D2D">
        <w:rPr>
          <w:rFonts w:ascii="Book Antiqua" w:hAnsi="Book Antiqua"/>
          <w:sz w:val="24"/>
          <w:szCs w:val="24"/>
          <w:lang w:val="en-US"/>
        </w:rPr>
        <w:t>that in RT patients with chronic HBV infection interferon based therapy should be avoided</w:t>
      </w:r>
      <w:r w:rsidR="006C522C" w:rsidRPr="00841D2D">
        <w:rPr>
          <w:rFonts w:ascii="Book Antiqua" w:hAnsi="Book Antiqua"/>
          <w:sz w:val="24"/>
          <w:szCs w:val="24"/>
          <w:vertAlign w:val="superscript"/>
          <w:lang w:val="en-US"/>
        </w:rPr>
        <w:t>[15,</w:t>
      </w:r>
      <w:r w:rsidR="00934C9C" w:rsidRPr="00841D2D">
        <w:rPr>
          <w:rFonts w:ascii="Book Antiqua" w:hAnsi="Book Antiqua"/>
          <w:sz w:val="24"/>
          <w:szCs w:val="24"/>
          <w:vertAlign w:val="superscript"/>
          <w:lang w:val="en-US"/>
        </w:rPr>
        <w:t>21,</w:t>
      </w:r>
      <w:r w:rsidR="006C522C" w:rsidRPr="00841D2D">
        <w:rPr>
          <w:rFonts w:ascii="Book Antiqua" w:hAnsi="Book Antiqua"/>
          <w:sz w:val="24"/>
          <w:szCs w:val="24"/>
          <w:vertAlign w:val="superscript"/>
          <w:lang w:val="en-US"/>
        </w:rPr>
        <w:t>23]</w:t>
      </w:r>
      <w:r w:rsidR="006C522C" w:rsidRPr="00841D2D">
        <w:rPr>
          <w:rFonts w:ascii="Book Antiqua" w:hAnsi="Book Antiqua"/>
          <w:sz w:val="24"/>
          <w:szCs w:val="24"/>
          <w:lang w:val="en-US"/>
        </w:rPr>
        <w:t xml:space="preserve">. </w:t>
      </w:r>
      <w:r w:rsidR="00B20B1D" w:rsidRPr="00841D2D">
        <w:rPr>
          <w:rFonts w:ascii="Book Antiqua" w:hAnsi="Book Antiqua"/>
          <w:sz w:val="24"/>
          <w:szCs w:val="24"/>
          <w:lang w:val="en-US"/>
        </w:rPr>
        <w:t xml:space="preserve">On the contrary, NUCs have a high antiviral potency, have a good safety and tolerability profile and can be orally administrated. </w:t>
      </w:r>
      <w:r w:rsidR="00BF57AF" w:rsidRPr="00841D2D">
        <w:rPr>
          <w:rFonts w:ascii="Book Antiqua" w:hAnsi="Book Antiqua"/>
          <w:sz w:val="24"/>
          <w:szCs w:val="24"/>
          <w:lang w:val="en-US"/>
        </w:rPr>
        <w:t>These drugs can be easily used in RT and doses can be adjusted according to creatinine clearance</w:t>
      </w:r>
      <w:r w:rsidR="00A35B45" w:rsidRPr="00841D2D">
        <w:rPr>
          <w:rFonts w:ascii="Book Antiqua" w:hAnsi="Book Antiqua"/>
          <w:sz w:val="24"/>
          <w:szCs w:val="24"/>
          <w:vertAlign w:val="superscript"/>
          <w:lang w:val="en-US"/>
        </w:rPr>
        <w:t>[25-29]</w:t>
      </w:r>
      <w:r w:rsidR="00BF57AF" w:rsidRPr="00841D2D">
        <w:rPr>
          <w:rFonts w:ascii="Book Antiqua" w:hAnsi="Book Antiqua"/>
          <w:sz w:val="24"/>
          <w:szCs w:val="24"/>
          <w:lang w:val="en-US"/>
        </w:rPr>
        <w:t xml:space="preserve"> (Table 1). </w:t>
      </w:r>
      <w:r w:rsidR="00A136DD" w:rsidRPr="00841D2D">
        <w:rPr>
          <w:rFonts w:ascii="Book Antiqua" w:hAnsi="Book Antiqua"/>
          <w:sz w:val="24"/>
          <w:szCs w:val="24"/>
          <w:lang w:val="en-US"/>
        </w:rPr>
        <w:t xml:space="preserve">The main limitations of NUCs include the need for long-term therapy, which may be for indefinite time in HBeAg negative patients; the risk of development of NUC´s resistant viral strains; and the unknown safety profile with long-term treatment </w:t>
      </w:r>
      <w:r w:rsidR="00BF57AF" w:rsidRPr="00841D2D">
        <w:rPr>
          <w:rFonts w:ascii="Book Antiqua" w:hAnsi="Book Antiqua"/>
          <w:sz w:val="24"/>
          <w:szCs w:val="24"/>
          <w:vertAlign w:val="superscript"/>
          <w:lang w:val="en-US"/>
        </w:rPr>
        <w:t>[11]</w:t>
      </w:r>
      <w:r w:rsidR="00B20B1D" w:rsidRPr="00841D2D">
        <w:rPr>
          <w:rFonts w:ascii="Book Antiqua" w:hAnsi="Book Antiqua"/>
          <w:sz w:val="24"/>
          <w:szCs w:val="24"/>
          <w:lang w:val="en-US"/>
        </w:rPr>
        <w:t>.</w:t>
      </w:r>
    </w:p>
    <w:p w:rsidR="00934C9C" w:rsidRPr="00841D2D" w:rsidRDefault="00934C9C"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Regarding NUCs, there are five drugs currently approved for HBV treatment: lamivudine (LAM), adefovir (ADV), telbivudine (LdT), entecavir (ETV) and tenofovir</w:t>
      </w:r>
      <w:r w:rsidR="006B3E23" w:rsidRPr="00841D2D">
        <w:rPr>
          <w:rFonts w:ascii="Book Antiqua" w:hAnsi="Book Antiqua"/>
          <w:sz w:val="24"/>
          <w:szCs w:val="24"/>
          <w:lang w:val="en-US"/>
        </w:rPr>
        <w:t xml:space="preserve"> disoproxil fumarate</w:t>
      </w:r>
      <w:r w:rsidRPr="00841D2D">
        <w:rPr>
          <w:rFonts w:ascii="Book Antiqua" w:hAnsi="Book Antiqua"/>
          <w:sz w:val="24"/>
          <w:szCs w:val="24"/>
          <w:lang w:val="en-US"/>
        </w:rPr>
        <w:t xml:space="preserve"> (TDF). Treatment with </w:t>
      </w:r>
      <w:r w:rsidR="00B20B1D" w:rsidRPr="00841D2D">
        <w:rPr>
          <w:rFonts w:ascii="Book Antiqua" w:hAnsi="Book Antiqua"/>
          <w:sz w:val="24"/>
          <w:szCs w:val="24"/>
          <w:lang w:val="en-US"/>
        </w:rPr>
        <w:t>TDF</w:t>
      </w:r>
      <w:r w:rsidRPr="00841D2D">
        <w:rPr>
          <w:rFonts w:ascii="Book Antiqua" w:hAnsi="Book Antiqua"/>
          <w:sz w:val="24"/>
          <w:szCs w:val="24"/>
          <w:lang w:val="en-US"/>
        </w:rPr>
        <w:t xml:space="preserve"> or </w:t>
      </w:r>
      <w:r w:rsidR="00B20B1D" w:rsidRPr="00841D2D">
        <w:rPr>
          <w:rFonts w:ascii="Book Antiqua" w:hAnsi="Book Antiqua"/>
          <w:sz w:val="24"/>
          <w:szCs w:val="24"/>
          <w:lang w:val="en-US"/>
        </w:rPr>
        <w:t>ETV</w:t>
      </w:r>
      <w:r w:rsidRPr="00841D2D">
        <w:rPr>
          <w:rFonts w:ascii="Book Antiqua" w:hAnsi="Book Antiqua"/>
          <w:sz w:val="24"/>
          <w:szCs w:val="24"/>
          <w:lang w:val="en-US"/>
        </w:rPr>
        <w:t xml:space="preserve"> is preferable to </w:t>
      </w:r>
      <w:r w:rsidR="00B20B1D" w:rsidRPr="00841D2D">
        <w:rPr>
          <w:rFonts w:ascii="Book Antiqua" w:hAnsi="Book Antiqua"/>
          <w:sz w:val="24"/>
          <w:szCs w:val="24"/>
          <w:lang w:val="en-US"/>
        </w:rPr>
        <w:t>LAM</w:t>
      </w:r>
      <w:r w:rsidR="006B03E9" w:rsidRPr="00841D2D">
        <w:rPr>
          <w:rFonts w:ascii="Book Antiqua" w:hAnsi="Book Antiqua"/>
          <w:sz w:val="24"/>
          <w:szCs w:val="24"/>
          <w:lang w:val="en-US"/>
        </w:rPr>
        <w:t xml:space="preserve"> in NUC naïve patients</w:t>
      </w:r>
      <w:r w:rsidRPr="00841D2D">
        <w:rPr>
          <w:rFonts w:ascii="Book Antiqua" w:hAnsi="Book Antiqua"/>
          <w:sz w:val="24"/>
          <w:szCs w:val="24"/>
          <w:lang w:val="en-US"/>
        </w:rPr>
        <w:t>, since they are more effective due to a high antiviral potency and have a high barrier to resistance reducing the risk of drug resistance and treatment failure</w:t>
      </w:r>
      <w:r w:rsidRPr="00841D2D">
        <w:rPr>
          <w:rFonts w:ascii="Book Antiqua" w:hAnsi="Book Antiqua"/>
          <w:sz w:val="24"/>
          <w:szCs w:val="24"/>
          <w:vertAlign w:val="superscript"/>
          <w:lang w:val="en-US"/>
        </w:rPr>
        <w:t>[9,10,15,21,23]</w:t>
      </w:r>
      <w:r w:rsidRPr="00841D2D">
        <w:rPr>
          <w:rFonts w:ascii="Book Antiqua" w:hAnsi="Book Antiqua"/>
          <w:sz w:val="24"/>
          <w:szCs w:val="24"/>
          <w:lang w:val="en-US"/>
        </w:rPr>
        <w:t>.</w:t>
      </w:r>
      <w:r w:rsidR="006B03E9" w:rsidRPr="00841D2D">
        <w:rPr>
          <w:rFonts w:ascii="Book Antiqua" w:hAnsi="Book Antiqua"/>
          <w:sz w:val="24"/>
          <w:szCs w:val="24"/>
          <w:lang w:val="en-US"/>
        </w:rPr>
        <w:t xml:space="preserve"> </w:t>
      </w:r>
    </w:p>
    <w:p w:rsidR="00CA5B38" w:rsidRPr="00841D2D" w:rsidRDefault="009F2316"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Since LAM was the first NUC approved for clinical use, it has yielded the majority of data on the management of HBsAg-positive renal transplant recipients. </w:t>
      </w:r>
      <w:r w:rsidR="00717FAD" w:rsidRPr="00841D2D">
        <w:rPr>
          <w:rFonts w:ascii="Book Antiqua" w:hAnsi="Book Antiqua"/>
          <w:sz w:val="24"/>
          <w:szCs w:val="24"/>
          <w:lang w:val="en-US"/>
        </w:rPr>
        <w:t>Several observational studies have shown that</w:t>
      </w:r>
      <w:r w:rsidR="002D3B96">
        <w:rPr>
          <w:rFonts w:ascii="Book Antiqua" w:hAnsi="Book Antiqua"/>
          <w:sz w:val="24"/>
          <w:szCs w:val="24"/>
          <w:lang w:val="en-US"/>
        </w:rPr>
        <w:t xml:space="preserve"> LAM can improve liver function</w:t>
      </w:r>
      <w:r w:rsidR="00717FAD" w:rsidRPr="00841D2D">
        <w:rPr>
          <w:rFonts w:ascii="Book Antiqua" w:hAnsi="Book Antiqua"/>
          <w:sz w:val="24"/>
          <w:szCs w:val="24"/>
          <w:vertAlign w:val="superscript"/>
          <w:lang w:val="en-US"/>
        </w:rPr>
        <w:t>[15]</w:t>
      </w:r>
      <w:r w:rsidR="00717FAD" w:rsidRPr="00841D2D">
        <w:rPr>
          <w:rFonts w:ascii="Book Antiqua" w:hAnsi="Book Antiqua"/>
          <w:sz w:val="24"/>
          <w:szCs w:val="24"/>
          <w:lang w:val="en-US"/>
        </w:rPr>
        <w:t>. A meta-analysis including 14 prospective cohort studies (184 patients) showed that LAM no</w:t>
      </w:r>
      <w:r w:rsidR="002D3B96">
        <w:rPr>
          <w:rFonts w:ascii="Book Antiqua" w:hAnsi="Book Antiqua"/>
          <w:sz w:val="24"/>
          <w:szCs w:val="24"/>
          <w:lang w:val="en-US"/>
        </w:rPr>
        <w:t>rmalized ALT levels in 81% (95%</w:t>
      </w:r>
      <w:r w:rsidR="00717FAD" w:rsidRPr="00841D2D">
        <w:rPr>
          <w:rFonts w:ascii="Book Antiqua" w:hAnsi="Book Antiqua"/>
          <w:sz w:val="24"/>
          <w:szCs w:val="24"/>
          <w:lang w:val="en-US"/>
        </w:rPr>
        <w:t>CI</w:t>
      </w:r>
      <w:r w:rsidR="002D3B96">
        <w:rPr>
          <w:rFonts w:ascii="Book Antiqua" w:hAnsi="Book Antiqua" w:hint="eastAsia"/>
          <w:sz w:val="24"/>
          <w:szCs w:val="24"/>
          <w:lang w:val="en-US" w:eastAsia="zh-CN"/>
        </w:rPr>
        <w:t>:</w:t>
      </w:r>
      <w:r w:rsidR="00717FAD" w:rsidRPr="00841D2D">
        <w:rPr>
          <w:rFonts w:ascii="Book Antiqua" w:hAnsi="Book Antiqua"/>
          <w:sz w:val="24"/>
          <w:szCs w:val="24"/>
          <w:lang w:val="en-US"/>
        </w:rPr>
        <w:t xml:space="preserve"> 70-92%), cleared HBV-DNA in 91% (95%CI</w:t>
      </w:r>
      <w:r w:rsidR="002D3B96">
        <w:rPr>
          <w:rFonts w:ascii="Book Antiqua" w:hAnsi="Book Antiqua" w:hint="eastAsia"/>
          <w:sz w:val="24"/>
          <w:szCs w:val="24"/>
          <w:lang w:val="en-US" w:eastAsia="zh-CN"/>
        </w:rPr>
        <w:t>:</w:t>
      </w:r>
      <w:r w:rsidR="00717FAD" w:rsidRPr="00841D2D">
        <w:rPr>
          <w:rFonts w:ascii="Book Antiqua" w:hAnsi="Book Antiqua"/>
          <w:sz w:val="24"/>
          <w:szCs w:val="24"/>
          <w:lang w:val="en-US"/>
        </w:rPr>
        <w:t xml:space="preserve"> 86</w:t>
      </w:r>
      <w:r w:rsidR="002D3B96">
        <w:rPr>
          <w:rFonts w:ascii="Book Antiqua" w:hAnsi="Book Antiqua"/>
          <w:sz w:val="24"/>
          <w:szCs w:val="24"/>
          <w:lang w:val="en-US"/>
        </w:rPr>
        <w:t>-96%) cleared HBeAg in 27% (95%</w:t>
      </w:r>
      <w:r w:rsidR="00717FAD" w:rsidRPr="00841D2D">
        <w:rPr>
          <w:rFonts w:ascii="Book Antiqua" w:hAnsi="Book Antiqua"/>
          <w:sz w:val="24"/>
          <w:szCs w:val="24"/>
          <w:lang w:val="en-US"/>
        </w:rPr>
        <w:t>CI</w:t>
      </w:r>
      <w:r w:rsidR="002D3B96">
        <w:rPr>
          <w:rFonts w:ascii="Book Antiqua" w:hAnsi="Book Antiqua" w:hint="eastAsia"/>
          <w:sz w:val="24"/>
          <w:szCs w:val="24"/>
          <w:lang w:val="en-US" w:eastAsia="zh-CN"/>
        </w:rPr>
        <w:t>:</w:t>
      </w:r>
      <w:r w:rsidR="00717FAD" w:rsidRPr="00841D2D">
        <w:rPr>
          <w:rFonts w:ascii="Book Antiqua" w:hAnsi="Book Antiqua"/>
          <w:sz w:val="24"/>
          <w:szCs w:val="24"/>
          <w:lang w:val="en-US"/>
        </w:rPr>
        <w:t xml:space="preserve"> 16-39%) of the patients. In most  studies (11 of 14) LAM was administered for 6 to 12 mo</w:t>
      </w:r>
      <w:r w:rsidR="00696E00" w:rsidRPr="00841D2D">
        <w:rPr>
          <w:rFonts w:ascii="Book Antiqua" w:hAnsi="Book Antiqua"/>
          <w:sz w:val="24"/>
          <w:szCs w:val="24"/>
          <w:vertAlign w:val="superscript"/>
          <w:lang w:val="en-US"/>
        </w:rPr>
        <w:t>[30]</w:t>
      </w:r>
      <w:r w:rsidRPr="00841D2D">
        <w:rPr>
          <w:rFonts w:ascii="Book Antiqua" w:hAnsi="Book Antiqua"/>
          <w:sz w:val="24"/>
          <w:szCs w:val="24"/>
          <w:lang w:val="en-US"/>
        </w:rPr>
        <w:t>.</w:t>
      </w:r>
      <w:r w:rsidR="00696E00" w:rsidRPr="00841D2D">
        <w:rPr>
          <w:rFonts w:ascii="Book Antiqua" w:hAnsi="Book Antiqua"/>
          <w:sz w:val="24"/>
          <w:szCs w:val="24"/>
          <w:lang w:val="en-US"/>
        </w:rPr>
        <w:t xml:space="preserve"> </w:t>
      </w:r>
      <w:r w:rsidR="00D72015" w:rsidRPr="00841D2D">
        <w:rPr>
          <w:rFonts w:ascii="Book Antiqua" w:hAnsi="Book Antiqua"/>
          <w:sz w:val="24"/>
          <w:szCs w:val="24"/>
          <w:lang w:val="en-US"/>
        </w:rPr>
        <w:t>Even though LAM was associated with significantly improved patient survival</w:t>
      </w:r>
      <w:r w:rsidR="00D72015" w:rsidRPr="00841D2D">
        <w:rPr>
          <w:rFonts w:ascii="Book Antiqua" w:hAnsi="Book Antiqua"/>
          <w:sz w:val="24"/>
          <w:szCs w:val="24"/>
          <w:vertAlign w:val="superscript"/>
          <w:lang w:val="en-US"/>
        </w:rPr>
        <w:t>[31]</w:t>
      </w:r>
      <w:r w:rsidR="00D72015" w:rsidRPr="00841D2D">
        <w:rPr>
          <w:rFonts w:ascii="Book Antiqua" w:hAnsi="Book Antiqua"/>
          <w:sz w:val="24"/>
          <w:szCs w:val="24"/>
          <w:lang w:val="en-US"/>
        </w:rPr>
        <w:t>, prolonged treatment is associated with progressive increase in drug resistance and the cumulative probability of developing LAM resistance (LAM-R) was ap</w:t>
      </w:r>
      <w:r w:rsidR="002D3B96">
        <w:rPr>
          <w:rFonts w:ascii="Book Antiqua" w:hAnsi="Book Antiqua"/>
          <w:sz w:val="24"/>
          <w:szCs w:val="24"/>
          <w:lang w:val="en-US"/>
        </w:rPr>
        <w:t>proximately 60% after 69 mo</w:t>
      </w:r>
      <w:r w:rsidR="00D72015" w:rsidRPr="00841D2D">
        <w:rPr>
          <w:rFonts w:ascii="Book Antiqua" w:hAnsi="Book Antiqua"/>
          <w:sz w:val="24"/>
          <w:szCs w:val="24"/>
          <w:vertAlign w:val="superscript"/>
          <w:lang w:val="en-US"/>
        </w:rPr>
        <w:t>[30,32,33]</w:t>
      </w:r>
      <w:r w:rsidR="00D72015" w:rsidRPr="00841D2D">
        <w:rPr>
          <w:rFonts w:ascii="Book Antiqua" w:hAnsi="Book Antiqua"/>
          <w:sz w:val="24"/>
          <w:szCs w:val="24"/>
          <w:lang w:val="en-US"/>
        </w:rPr>
        <w:t xml:space="preserve">. </w:t>
      </w:r>
      <w:r w:rsidR="00071E3C" w:rsidRPr="00841D2D">
        <w:rPr>
          <w:rFonts w:ascii="Book Antiqua" w:hAnsi="Book Antiqua"/>
          <w:sz w:val="24"/>
          <w:szCs w:val="24"/>
          <w:lang w:val="en-US"/>
        </w:rPr>
        <w:t xml:space="preserve">LAM-R leads to treatment failure and can be associated with progressive liver disease and a negative impact in patient and graft survival. </w:t>
      </w:r>
      <w:r w:rsidR="00F7753D" w:rsidRPr="00841D2D">
        <w:rPr>
          <w:rFonts w:ascii="Book Antiqua" w:hAnsi="Book Antiqua"/>
          <w:sz w:val="24"/>
          <w:szCs w:val="24"/>
          <w:lang w:val="en-US"/>
        </w:rPr>
        <w:t xml:space="preserve">Fortunately today there are good treatment options for LAM-R. Given that there are better options for HBV treatment, </w:t>
      </w:r>
      <w:r w:rsidR="00717FAD" w:rsidRPr="00841D2D">
        <w:rPr>
          <w:rFonts w:ascii="Book Antiqua" w:hAnsi="Book Antiqua"/>
          <w:sz w:val="24"/>
          <w:szCs w:val="24"/>
          <w:lang w:val="en-US"/>
        </w:rPr>
        <w:t>LAM cannot be consider within the first treatment choices for these patients</w:t>
      </w:r>
      <w:r w:rsidR="00F7753D" w:rsidRPr="00841D2D">
        <w:rPr>
          <w:rFonts w:ascii="Book Antiqua" w:hAnsi="Book Antiqua"/>
          <w:sz w:val="24"/>
          <w:szCs w:val="24"/>
          <w:vertAlign w:val="superscript"/>
          <w:lang w:val="en-US"/>
        </w:rPr>
        <w:t>[9,10,15,21,23]</w:t>
      </w:r>
      <w:r w:rsidR="00F7753D" w:rsidRPr="00841D2D">
        <w:rPr>
          <w:rFonts w:ascii="Book Antiqua" w:hAnsi="Book Antiqua"/>
          <w:sz w:val="24"/>
          <w:szCs w:val="24"/>
          <w:lang w:val="en-US"/>
        </w:rPr>
        <w:t xml:space="preserve">. </w:t>
      </w:r>
    </w:p>
    <w:p w:rsidR="00C27196" w:rsidRPr="00841D2D" w:rsidRDefault="00C27196"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Adefovir was the second available oral drug for HBV treatment infection. It has similar </w:t>
      </w:r>
      <w:r w:rsidR="00717FAD" w:rsidRPr="00841D2D">
        <w:rPr>
          <w:rFonts w:ascii="Book Antiqua" w:hAnsi="Book Antiqua"/>
          <w:sz w:val="24"/>
          <w:szCs w:val="24"/>
          <w:lang w:val="en-US"/>
        </w:rPr>
        <w:t xml:space="preserve">antiviral </w:t>
      </w:r>
      <w:r w:rsidRPr="00841D2D">
        <w:rPr>
          <w:rFonts w:ascii="Book Antiqua" w:hAnsi="Book Antiqua"/>
          <w:sz w:val="24"/>
          <w:szCs w:val="24"/>
          <w:lang w:val="en-US"/>
        </w:rPr>
        <w:t xml:space="preserve">activity against both </w:t>
      </w:r>
      <w:r w:rsidR="00717FAD" w:rsidRPr="00841D2D">
        <w:rPr>
          <w:rFonts w:ascii="Book Antiqua" w:hAnsi="Book Antiqua"/>
          <w:sz w:val="24"/>
          <w:szCs w:val="24"/>
          <w:lang w:val="en-US"/>
        </w:rPr>
        <w:t xml:space="preserve">LAM-R </w:t>
      </w:r>
      <w:r w:rsidRPr="00841D2D">
        <w:rPr>
          <w:rFonts w:ascii="Book Antiqua" w:hAnsi="Book Antiqua"/>
          <w:sz w:val="24"/>
          <w:szCs w:val="24"/>
          <w:lang w:val="en-US"/>
        </w:rPr>
        <w:t xml:space="preserve">and </w:t>
      </w:r>
      <w:r w:rsidR="00717FAD" w:rsidRPr="00841D2D">
        <w:rPr>
          <w:rFonts w:ascii="Book Antiqua" w:hAnsi="Book Antiqua"/>
          <w:sz w:val="24"/>
          <w:szCs w:val="24"/>
          <w:lang w:val="en-US"/>
        </w:rPr>
        <w:t xml:space="preserve">wild-type </w:t>
      </w:r>
      <w:r w:rsidRPr="00841D2D">
        <w:rPr>
          <w:rFonts w:ascii="Book Antiqua" w:hAnsi="Book Antiqua"/>
          <w:sz w:val="24"/>
          <w:szCs w:val="24"/>
          <w:lang w:val="en-US"/>
        </w:rPr>
        <w:t>HBV</w:t>
      </w:r>
      <w:r w:rsidR="00FC79F6" w:rsidRPr="00841D2D">
        <w:rPr>
          <w:rFonts w:ascii="Book Antiqua" w:hAnsi="Book Antiqua"/>
          <w:sz w:val="24"/>
          <w:szCs w:val="24"/>
          <w:lang w:val="en-US"/>
        </w:rPr>
        <w:t>,</w:t>
      </w:r>
      <w:r w:rsidRPr="00841D2D">
        <w:rPr>
          <w:rFonts w:ascii="Book Antiqua" w:hAnsi="Book Antiqua"/>
          <w:sz w:val="24"/>
          <w:szCs w:val="24"/>
          <w:lang w:val="en-US"/>
        </w:rPr>
        <w:t xml:space="preserve"> </w:t>
      </w:r>
      <w:r w:rsidR="00FC79F6" w:rsidRPr="00841D2D">
        <w:rPr>
          <w:rFonts w:ascii="Book Antiqua" w:hAnsi="Book Antiqua"/>
          <w:sz w:val="24"/>
          <w:szCs w:val="24"/>
          <w:lang w:val="en-US"/>
        </w:rPr>
        <w:t xml:space="preserve">but </w:t>
      </w:r>
      <w:r w:rsidRPr="00841D2D">
        <w:rPr>
          <w:rFonts w:ascii="Book Antiqua" w:hAnsi="Book Antiqua"/>
          <w:sz w:val="24"/>
          <w:szCs w:val="24"/>
          <w:lang w:val="en-US"/>
        </w:rPr>
        <w:t>it may</w:t>
      </w:r>
      <w:r w:rsidR="00FC79F6" w:rsidRPr="00841D2D">
        <w:rPr>
          <w:rFonts w:ascii="Book Antiqua" w:hAnsi="Book Antiqua"/>
          <w:sz w:val="24"/>
          <w:szCs w:val="24"/>
          <w:lang w:val="en-US"/>
        </w:rPr>
        <w:t xml:space="preserve"> be</w:t>
      </w:r>
      <w:r w:rsidRPr="00841D2D">
        <w:rPr>
          <w:rFonts w:ascii="Book Antiqua" w:hAnsi="Book Antiqua"/>
          <w:sz w:val="24"/>
          <w:szCs w:val="24"/>
          <w:lang w:val="en-US"/>
        </w:rPr>
        <w:t xml:space="preserve"> nephrotoxic (especially in high doses). Currently its major clinical application is </w:t>
      </w:r>
      <w:r w:rsidR="00C01BC4" w:rsidRPr="00841D2D">
        <w:rPr>
          <w:rFonts w:ascii="Book Antiqua" w:hAnsi="Book Antiqua"/>
          <w:sz w:val="24"/>
          <w:szCs w:val="24"/>
          <w:lang w:val="en-US"/>
        </w:rPr>
        <w:t xml:space="preserve">as add on therapy </w:t>
      </w:r>
      <w:r w:rsidRPr="00841D2D">
        <w:rPr>
          <w:rFonts w:ascii="Book Antiqua" w:hAnsi="Book Antiqua"/>
          <w:sz w:val="24"/>
          <w:szCs w:val="24"/>
          <w:lang w:val="en-US"/>
        </w:rPr>
        <w:t>for the management of lamivudine-resistance since it has lower antiviral activity than</w:t>
      </w:r>
      <w:r w:rsidR="002D3B96">
        <w:rPr>
          <w:rFonts w:ascii="Book Antiqua" w:hAnsi="Book Antiqua"/>
          <w:sz w:val="24"/>
          <w:szCs w:val="24"/>
          <w:lang w:val="en-US"/>
        </w:rPr>
        <w:t xml:space="preserve"> ETV and TDF for naïve patients</w:t>
      </w:r>
      <w:r w:rsidRPr="00841D2D">
        <w:rPr>
          <w:rFonts w:ascii="Book Antiqua" w:hAnsi="Book Antiqua"/>
          <w:sz w:val="24"/>
          <w:szCs w:val="24"/>
          <w:vertAlign w:val="superscript"/>
          <w:lang w:val="en-US"/>
        </w:rPr>
        <w:t>[9,10,15]</w:t>
      </w:r>
      <w:r w:rsidRPr="00841D2D">
        <w:rPr>
          <w:rFonts w:ascii="Book Antiqua" w:hAnsi="Book Antiqua"/>
          <w:sz w:val="24"/>
          <w:szCs w:val="24"/>
          <w:lang w:val="en-US"/>
        </w:rPr>
        <w:t xml:space="preserve">. </w:t>
      </w:r>
    </w:p>
    <w:p w:rsidR="008C0D37" w:rsidRPr="00841D2D" w:rsidRDefault="00C01BC4"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There have been reports on ADV short-term efficacy either as mono- or add-</w:t>
      </w:r>
      <w:r w:rsidR="002D3B96">
        <w:rPr>
          <w:rFonts w:ascii="Book Antiqua" w:hAnsi="Book Antiqua"/>
          <w:sz w:val="24"/>
          <w:szCs w:val="24"/>
          <w:lang w:val="en-US"/>
        </w:rPr>
        <w:t>on therapy in LAM-R RT patients</w:t>
      </w:r>
      <w:r w:rsidRPr="00841D2D">
        <w:rPr>
          <w:rFonts w:ascii="Book Antiqua" w:hAnsi="Book Antiqua"/>
          <w:sz w:val="24"/>
          <w:szCs w:val="24"/>
          <w:vertAlign w:val="superscript"/>
          <w:lang w:val="en-US"/>
        </w:rPr>
        <w:t>[34-39]</w:t>
      </w:r>
      <w:r w:rsidRPr="00841D2D">
        <w:rPr>
          <w:rFonts w:ascii="Book Antiqua" w:hAnsi="Book Antiqua"/>
          <w:sz w:val="24"/>
          <w:szCs w:val="24"/>
          <w:lang w:val="en-US"/>
        </w:rPr>
        <w:t xml:space="preserve">. One year ADV monotherapy </w:t>
      </w:r>
      <w:r w:rsidR="00717FAD" w:rsidRPr="00841D2D">
        <w:rPr>
          <w:rFonts w:ascii="Book Antiqua" w:hAnsi="Book Antiqua"/>
          <w:sz w:val="24"/>
          <w:szCs w:val="24"/>
          <w:lang w:val="en-US"/>
        </w:rPr>
        <w:t>showed</w:t>
      </w:r>
      <w:r w:rsidRPr="00841D2D">
        <w:rPr>
          <w:rFonts w:ascii="Book Antiqua" w:hAnsi="Book Antiqua"/>
          <w:sz w:val="24"/>
          <w:szCs w:val="24"/>
          <w:lang w:val="en-US"/>
        </w:rPr>
        <w:t xml:space="preserve"> </w:t>
      </w:r>
      <w:r w:rsidR="00717FAD" w:rsidRPr="00841D2D">
        <w:rPr>
          <w:rFonts w:ascii="Book Antiqua" w:hAnsi="Book Antiqua"/>
          <w:sz w:val="24"/>
          <w:szCs w:val="24"/>
          <w:lang w:val="en-US"/>
        </w:rPr>
        <w:t>a significant vir</w:t>
      </w:r>
      <w:r w:rsidRPr="00841D2D">
        <w:rPr>
          <w:rFonts w:ascii="Book Antiqua" w:hAnsi="Book Antiqua"/>
          <w:sz w:val="24"/>
          <w:szCs w:val="24"/>
          <w:lang w:val="en-US"/>
        </w:rPr>
        <w:t>al response in 11 patients</w:t>
      </w:r>
      <w:r w:rsidR="0069138E" w:rsidRPr="00841D2D">
        <w:rPr>
          <w:rFonts w:ascii="Book Antiqua" w:hAnsi="Book Antiqua"/>
          <w:sz w:val="24"/>
          <w:szCs w:val="24"/>
          <w:lang w:val="en-US"/>
        </w:rPr>
        <w:t xml:space="preserve"> with a</w:t>
      </w:r>
      <w:r w:rsidRPr="00841D2D">
        <w:rPr>
          <w:rFonts w:ascii="Book Antiqua" w:hAnsi="Book Antiqua"/>
          <w:sz w:val="24"/>
          <w:szCs w:val="24"/>
          <w:lang w:val="en-US"/>
        </w:rPr>
        <w:t xml:space="preserve"> </w:t>
      </w:r>
      <w:r w:rsidR="0069138E" w:rsidRPr="00841D2D">
        <w:rPr>
          <w:rFonts w:ascii="Book Antiqua" w:hAnsi="Book Antiqua"/>
          <w:sz w:val="24"/>
          <w:szCs w:val="24"/>
          <w:lang w:val="en-US"/>
        </w:rPr>
        <w:t>median HBV DNA decline of 5.5 log</w:t>
      </w:r>
      <w:r w:rsidR="0069138E" w:rsidRPr="00841D2D">
        <w:rPr>
          <w:rFonts w:ascii="Book Antiqua" w:hAnsi="Book Antiqua"/>
          <w:sz w:val="24"/>
          <w:szCs w:val="24"/>
          <w:vertAlign w:val="subscript"/>
          <w:lang w:val="en-US"/>
        </w:rPr>
        <w:t>10</w:t>
      </w:r>
      <w:r w:rsidR="0069138E" w:rsidRPr="00841D2D">
        <w:rPr>
          <w:rFonts w:ascii="Book Antiqua" w:hAnsi="Book Antiqua"/>
          <w:sz w:val="24"/>
          <w:szCs w:val="24"/>
          <w:lang w:val="en-US"/>
        </w:rPr>
        <w:t xml:space="preserve">. Only one patient cleared HBV DNA, one of the six HBeAg positive patients </w:t>
      </w:r>
      <w:r w:rsidR="00717FAD" w:rsidRPr="00841D2D">
        <w:rPr>
          <w:rFonts w:ascii="Book Antiqua" w:hAnsi="Book Antiqua"/>
          <w:sz w:val="24"/>
          <w:szCs w:val="24"/>
          <w:lang w:val="en-US"/>
        </w:rPr>
        <w:t>cleared</w:t>
      </w:r>
      <w:r w:rsidR="0069138E" w:rsidRPr="00841D2D">
        <w:rPr>
          <w:rFonts w:ascii="Book Antiqua" w:hAnsi="Book Antiqua"/>
          <w:sz w:val="24"/>
          <w:szCs w:val="24"/>
          <w:lang w:val="en-US"/>
        </w:rPr>
        <w:t xml:space="preserve"> HBeAg but without antiH</w:t>
      </w:r>
      <w:r w:rsidR="00717FAD" w:rsidRPr="00841D2D">
        <w:rPr>
          <w:rFonts w:ascii="Book Antiqua" w:hAnsi="Book Antiqua"/>
          <w:sz w:val="24"/>
          <w:szCs w:val="24"/>
          <w:lang w:val="en-US"/>
        </w:rPr>
        <w:t>Be seroconversion; none cleared HBs</w:t>
      </w:r>
      <w:r w:rsidR="0069138E" w:rsidRPr="00841D2D">
        <w:rPr>
          <w:rFonts w:ascii="Book Antiqua" w:hAnsi="Book Antiqua"/>
          <w:sz w:val="24"/>
          <w:szCs w:val="24"/>
          <w:lang w:val="en-US"/>
        </w:rPr>
        <w:t xml:space="preserve">Ag. Importantly, there were no significant clinical and </w:t>
      </w:r>
      <w:r w:rsidR="00717FAD" w:rsidRPr="00841D2D">
        <w:rPr>
          <w:rFonts w:ascii="Book Antiqua" w:hAnsi="Book Antiqua"/>
          <w:sz w:val="24"/>
          <w:szCs w:val="24"/>
          <w:lang w:val="en-US"/>
        </w:rPr>
        <w:t>laboratory</w:t>
      </w:r>
      <w:r w:rsidR="0069138E" w:rsidRPr="00841D2D">
        <w:rPr>
          <w:rFonts w:ascii="Book Antiqua" w:hAnsi="Book Antiqua"/>
          <w:sz w:val="24"/>
          <w:szCs w:val="24"/>
          <w:lang w:val="en-US"/>
        </w:rPr>
        <w:t xml:space="preserve"> adverse e</w:t>
      </w:r>
      <w:r w:rsidR="00717FAD" w:rsidRPr="00841D2D">
        <w:rPr>
          <w:rFonts w:ascii="Book Antiqua" w:hAnsi="Book Antiqua"/>
          <w:sz w:val="24"/>
          <w:szCs w:val="24"/>
          <w:lang w:val="en-US"/>
        </w:rPr>
        <w:t>ven</w:t>
      </w:r>
      <w:r w:rsidR="00FA41C5">
        <w:rPr>
          <w:rFonts w:ascii="Book Antiqua" w:hAnsi="Book Antiqua"/>
          <w:sz w:val="24"/>
          <w:szCs w:val="24"/>
          <w:lang w:val="en-US"/>
        </w:rPr>
        <w:t>ts</w:t>
      </w:r>
      <w:r w:rsidR="0069138E" w:rsidRPr="00841D2D">
        <w:rPr>
          <w:rFonts w:ascii="Book Antiqua" w:hAnsi="Book Antiqua"/>
          <w:sz w:val="24"/>
          <w:szCs w:val="24"/>
          <w:vertAlign w:val="superscript"/>
          <w:lang w:val="en-US"/>
        </w:rPr>
        <w:t>[34]</w:t>
      </w:r>
      <w:r w:rsidR="0069138E" w:rsidRPr="00841D2D">
        <w:rPr>
          <w:rFonts w:ascii="Book Antiqua" w:hAnsi="Book Antiqua"/>
          <w:sz w:val="24"/>
          <w:szCs w:val="24"/>
          <w:lang w:val="en-US"/>
        </w:rPr>
        <w:t>.</w:t>
      </w:r>
      <w:r w:rsidR="00665340" w:rsidRPr="00841D2D">
        <w:rPr>
          <w:rFonts w:ascii="Book Antiqua" w:hAnsi="Book Antiqua"/>
          <w:sz w:val="24"/>
          <w:szCs w:val="24"/>
          <w:lang w:val="en-US"/>
        </w:rPr>
        <w:t xml:space="preserve"> </w:t>
      </w:r>
      <w:r w:rsidR="0069138E" w:rsidRPr="00841D2D">
        <w:rPr>
          <w:rFonts w:ascii="Book Antiqua" w:hAnsi="Book Antiqua"/>
          <w:sz w:val="24"/>
          <w:szCs w:val="24"/>
          <w:lang w:val="en-US"/>
        </w:rPr>
        <w:t xml:space="preserve">ADV as add-on therapy to LAM resulted in </w:t>
      </w:r>
      <w:r w:rsidR="008C0D37" w:rsidRPr="00841D2D">
        <w:rPr>
          <w:rFonts w:ascii="Book Antiqua" w:hAnsi="Book Antiqua"/>
          <w:sz w:val="24"/>
          <w:szCs w:val="24"/>
          <w:lang w:val="en-US"/>
        </w:rPr>
        <w:t>significant HBV suppression LAM-R RT recipients</w:t>
      </w:r>
      <w:r w:rsidR="008C0D37" w:rsidRPr="00841D2D">
        <w:rPr>
          <w:rFonts w:ascii="Book Antiqua" w:hAnsi="Book Antiqua"/>
          <w:sz w:val="24"/>
          <w:szCs w:val="24"/>
          <w:vertAlign w:val="superscript"/>
          <w:lang w:val="en-US"/>
        </w:rPr>
        <w:t>[38,39]</w:t>
      </w:r>
      <w:r w:rsidR="008C0D37" w:rsidRPr="00841D2D">
        <w:rPr>
          <w:rFonts w:ascii="Book Antiqua" w:hAnsi="Book Antiqua"/>
          <w:sz w:val="24"/>
          <w:szCs w:val="24"/>
          <w:lang w:val="en-US"/>
        </w:rPr>
        <w:t xml:space="preserve">. </w:t>
      </w:r>
      <w:r w:rsidR="00665340" w:rsidRPr="00841D2D">
        <w:rPr>
          <w:rFonts w:ascii="Book Antiqua" w:hAnsi="Book Antiqua"/>
          <w:sz w:val="24"/>
          <w:szCs w:val="24"/>
          <w:lang w:val="en-US"/>
        </w:rPr>
        <w:t>In 11 ADV add on treated patients, HBV DNA was undetectable in 80</w:t>
      </w:r>
      <w:r w:rsidR="002D3B96">
        <w:rPr>
          <w:rFonts w:ascii="Book Antiqua" w:hAnsi="Book Antiqua" w:hint="eastAsia"/>
          <w:sz w:val="24"/>
          <w:szCs w:val="24"/>
          <w:lang w:val="en-US" w:eastAsia="zh-CN"/>
        </w:rPr>
        <w:t>%</w:t>
      </w:r>
      <w:r w:rsidR="00665340" w:rsidRPr="00841D2D">
        <w:rPr>
          <w:rFonts w:ascii="Book Antiqua" w:hAnsi="Book Antiqua"/>
          <w:sz w:val="24"/>
          <w:szCs w:val="24"/>
          <w:lang w:val="en-US"/>
        </w:rPr>
        <w:t>-83% af</w:t>
      </w:r>
      <w:r w:rsidR="002D3B96">
        <w:rPr>
          <w:rFonts w:ascii="Book Antiqua" w:hAnsi="Book Antiqua"/>
          <w:sz w:val="24"/>
          <w:szCs w:val="24"/>
          <w:lang w:val="en-US"/>
        </w:rPr>
        <w:t>ter 36 to 42 mo</w:t>
      </w:r>
      <w:r w:rsidR="00665340" w:rsidRPr="00841D2D">
        <w:rPr>
          <w:rFonts w:ascii="Book Antiqua" w:hAnsi="Book Antiqua"/>
          <w:sz w:val="24"/>
          <w:szCs w:val="24"/>
          <w:vertAlign w:val="superscript"/>
          <w:lang w:val="en-US"/>
        </w:rPr>
        <w:t>[38]</w:t>
      </w:r>
      <w:r w:rsidR="00665340" w:rsidRPr="00841D2D">
        <w:rPr>
          <w:rFonts w:ascii="Book Antiqua" w:hAnsi="Book Antiqua"/>
          <w:sz w:val="24"/>
          <w:szCs w:val="24"/>
          <w:lang w:val="en-US"/>
        </w:rPr>
        <w:t xml:space="preserve">.  </w:t>
      </w:r>
      <w:r w:rsidR="008C0D37" w:rsidRPr="00841D2D">
        <w:rPr>
          <w:rFonts w:ascii="Book Antiqua" w:hAnsi="Book Antiqua"/>
          <w:sz w:val="24"/>
          <w:szCs w:val="24"/>
          <w:lang w:val="en-US"/>
        </w:rPr>
        <w:t xml:space="preserve"> </w:t>
      </w:r>
      <w:r w:rsidR="00665340" w:rsidRPr="00841D2D">
        <w:rPr>
          <w:rFonts w:ascii="Book Antiqua" w:hAnsi="Book Antiqua"/>
          <w:sz w:val="24"/>
          <w:szCs w:val="24"/>
          <w:lang w:val="en-US"/>
        </w:rPr>
        <w:t xml:space="preserve">However, six patients (54%) had to </w:t>
      </w:r>
      <w:r w:rsidR="008A4FA7" w:rsidRPr="00841D2D">
        <w:rPr>
          <w:rFonts w:ascii="Book Antiqua" w:hAnsi="Book Antiqua"/>
          <w:sz w:val="24"/>
          <w:szCs w:val="24"/>
          <w:lang w:val="en-US"/>
        </w:rPr>
        <w:t>lower</w:t>
      </w:r>
      <w:r w:rsidR="00665340" w:rsidRPr="00841D2D">
        <w:rPr>
          <w:rFonts w:ascii="Book Antiqua" w:hAnsi="Book Antiqua"/>
          <w:sz w:val="24"/>
          <w:szCs w:val="24"/>
          <w:lang w:val="en-US"/>
        </w:rPr>
        <w:t xml:space="preserve"> ADV dose </w:t>
      </w:r>
      <w:r w:rsidR="008A4FA7" w:rsidRPr="00841D2D">
        <w:rPr>
          <w:rFonts w:ascii="Book Antiqua" w:hAnsi="Book Antiqua"/>
          <w:sz w:val="24"/>
          <w:szCs w:val="24"/>
          <w:lang w:val="en-US"/>
        </w:rPr>
        <w:t>due to a</w:t>
      </w:r>
      <w:r w:rsidR="00665340" w:rsidRPr="00841D2D">
        <w:rPr>
          <w:rFonts w:ascii="Book Antiqua" w:hAnsi="Book Antiqua"/>
          <w:sz w:val="24"/>
          <w:szCs w:val="24"/>
          <w:lang w:val="en-US"/>
        </w:rPr>
        <w:t xml:space="preserve"> </w:t>
      </w:r>
      <w:r w:rsidR="008A4FA7" w:rsidRPr="00841D2D">
        <w:rPr>
          <w:rFonts w:ascii="Book Antiqua" w:hAnsi="Book Antiqua"/>
          <w:sz w:val="24"/>
          <w:szCs w:val="24"/>
          <w:lang w:val="en-US"/>
        </w:rPr>
        <w:t xml:space="preserve">decline in glomerular filtration rate </w:t>
      </w:r>
      <w:r w:rsidR="00665340" w:rsidRPr="00841D2D">
        <w:rPr>
          <w:rFonts w:ascii="Book Antiqua" w:hAnsi="Book Antiqua"/>
          <w:sz w:val="24"/>
          <w:szCs w:val="24"/>
          <w:lang w:val="en-US"/>
        </w:rPr>
        <w:t>after a me</w:t>
      </w:r>
      <w:r w:rsidR="002D3B96">
        <w:rPr>
          <w:rFonts w:ascii="Book Antiqua" w:hAnsi="Book Antiqua"/>
          <w:sz w:val="24"/>
          <w:szCs w:val="24"/>
          <w:lang w:val="en-US"/>
        </w:rPr>
        <w:t>dian of 11 mo (range: 9–42)</w:t>
      </w:r>
      <w:r w:rsidR="00665340" w:rsidRPr="00841D2D">
        <w:rPr>
          <w:rFonts w:ascii="Book Antiqua" w:hAnsi="Book Antiqua"/>
          <w:sz w:val="24"/>
          <w:szCs w:val="24"/>
          <w:vertAlign w:val="superscript"/>
          <w:lang w:val="en-US"/>
        </w:rPr>
        <w:t>[38]</w:t>
      </w:r>
      <w:r w:rsidR="00665340" w:rsidRPr="00841D2D">
        <w:rPr>
          <w:rFonts w:ascii="Book Antiqua" w:hAnsi="Book Antiqua"/>
          <w:sz w:val="24"/>
          <w:szCs w:val="24"/>
          <w:lang w:val="en-US"/>
        </w:rPr>
        <w:t xml:space="preserve">. </w:t>
      </w:r>
      <w:r w:rsidR="008C0D37" w:rsidRPr="00841D2D">
        <w:rPr>
          <w:rFonts w:ascii="Book Antiqua" w:hAnsi="Book Antiqua"/>
          <w:sz w:val="24"/>
          <w:szCs w:val="24"/>
          <w:lang w:val="en-US"/>
        </w:rPr>
        <w:t>A</w:t>
      </w:r>
      <w:r w:rsidR="0069138E" w:rsidRPr="00841D2D">
        <w:rPr>
          <w:rFonts w:ascii="Book Antiqua" w:hAnsi="Book Antiqua"/>
          <w:sz w:val="24"/>
          <w:szCs w:val="24"/>
          <w:lang w:val="en-US"/>
        </w:rPr>
        <w:t xml:space="preserve">fter 12, 24 and 36 mo of </w:t>
      </w:r>
      <w:r w:rsidR="008C0D37" w:rsidRPr="00841D2D">
        <w:rPr>
          <w:rFonts w:ascii="Book Antiqua" w:hAnsi="Book Antiqua"/>
          <w:sz w:val="24"/>
          <w:szCs w:val="24"/>
          <w:lang w:val="en-US"/>
        </w:rPr>
        <w:t xml:space="preserve">ADV treatment treatment 35.7%, 42.8% and 88.0% of treated patients </w:t>
      </w:r>
      <w:r w:rsidR="008A4FA7" w:rsidRPr="00841D2D">
        <w:rPr>
          <w:rFonts w:ascii="Book Antiqua" w:hAnsi="Book Antiqua"/>
          <w:sz w:val="24"/>
          <w:szCs w:val="24"/>
          <w:lang w:val="en-US"/>
        </w:rPr>
        <w:t>cleared</w:t>
      </w:r>
      <w:r w:rsidR="008C0D37" w:rsidRPr="00841D2D">
        <w:rPr>
          <w:rFonts w:ascii="Book Antiqua" w:hAnsi="Book Antiqua"/>
          <w:sz w:val="24"/>
          <w:szCs w:val="24"/>
          <w:lang w:val="en-US"/>
        </w:rPr>
        <w:t xml:space="preserve"> HBV DNA; t</w:t>
      </w:r>
      <w:r w:rsidR="0069138E" w:rsidRPr="00841D2D">
        <w:rPr>
          <w:rFonts w:ascii="Book Antiqua" w:hAnsi="Book Antiqua"/>
          <w:sz w:val="24"/>
          <w:szCs w:val="24"/>
          <w:lang w:val="en-US"/>
        </w:rPr>
        <w:t xml:space="preserve">here was no virological breakthrough and 92.8% of patients </w:t>
      </w:r>
      <w:r w:rsidR="008A4FA7" w:rsidRPr="00841D2D">
        <w:rPr>
          <w:rFonts w:ascii="Book Antiqua" w:hAnsi="Book Antiqua"/>
          <w:sz w:val="24"/>
          <w:szCs w:val="24"/>
          <w:lang w:val="en-US"/>
        </w:rPr>
        <w:t xml:space="preserve">achieved normal ALT levels </w:t>
      </w:r>
      <w:r w:rsidR="002D3B96">
        <w:rPr>
          <w:rFonts w:ascii="Book Antiqua" w:hAnsi="Book Antiqua"/>
          <w:sz w:val="24"/>
          <w:szCs w:val="24"/>
          <w:lang w:val="en-US"/>
        </w:rPr>
        <w:t>after 12 mo of treatment</w:t>
      </w:r>
      <w:r w:rsidR="0069138E" w:rsidRPr="00841D2D">
        <w:rPr>
          <w:rFonts w:ascii="Book Antiqua" w:hAnsi="Book Antiqua"/>
          <w:sz w:val="24"/>
          <w:szCs w:val="24"/>
          <w:vertAlign w:val="superscript"/>
          <w:lang w:val="en-US"/>
        </w:rPr>
        <w:t>[39]</w:t>
      </w:r>
      <w:r w:rsidR="0069138E" w:rsidRPr="00841D2D">
        <w:rPr>
          <w:rFonts w:ascii="Book Antiqua" w:hAnsi="Book Antiqua"/>
          <w:sz w:val="24"/>
          <w:szCs w:val="24"/>
          <w:lang w:val="en-US"/>
        </w:rPr>
        <w:t xml:space="preserve">. </w:t>
      </w:r>
      <w:r w:rsidR="008A4FA7" w:rsidRPr="00841D2D">
        <w:rPr>
          <w:rFonts w:ascii="Book Antiqua" w:hAnsi="Book Antiqua"/>
          <w:sz w:val="24"/>
          <w:szCs w:val="24"/>
          <w:lang w:val="en-US"/>
        </w:rPr>
        <w:t>Patients treated with add-on A</w:t>
      </w:r>
      <w:r w:rsidR="008C0D37" w:rsidRPr="00841D2D">
        <w:rPr>
          <w:rFonts w:ascii="Book Antiqua" w:hAnsi="Book Antiqua"/>
          <w:sz w:val="24"/>
          <w:szCs w:val="24"/>
          <w:lang w:val="en-US"/>
        </w:rPr>
        <w:t>D</w:t>
      </w:r>
      <w:r w:rsidR="008A4FA7" w:rsidRPr="00841D2D">
        <w:rPr>
          <w:rFonts w:ascii="Book Antiqua" w:hAnsi="Book Antiqua"/>
          <w:sz w:val="24"/>
          <w:szCs w:val="24"/>
          <w:lang w:val="en-US"/>
        </w:rPr>
        <w:t>V therapy</w:t>
      </w:r>
      <w:r w:rsidR="008C0D37" w:rsidRPr="00841D2D">
        <w:rPr>
          <w:rFonts w:ascii="Book Antiqua" w:hAnsi="Book Antiqua"/>
          <w:sz w:val="24"/>
          <w:szCs w:val="24"/>
          <w:lang w:val="en-US"/>
        </w:rPr>
        <w:t xml:space="preserve"> tended to normalize ALT levels and to reduce HBV DNA levels more effectively than tho</w:t>
      </w:r>
      <w:r w:rsidR="002D3B96">
        <w:rPr>
          <w:rFonts w:ascii="Book Antiqua" w:hAnsi="Book Antiqua"/>
          <w:sz w:val="24"/>
          <w:szCs w:val="24"/>
          <w:lang w:val="en-US"/>
        </w:rPr>
        <w:t>se treated with ADV monotherapy</w:t>
      </w:r>
      <w:r w:rsidR="008C0D37" w:rsidRPr="00841D2D">
        <w:rPr>
          <w:rFonts w:ascii="Book Antiqua" w:hAnsi="Book Antiqua"/>
          <w:sz w:val="24"/>
          <w:szCs w:val="24"/>
          <w:vertAlign w:val="superscript"/>
          <w:lang w:val="en-US"/>
        </w:rPr>
        <w:t>[39]</w:t>
      </w:r>
      <w:r w:rsidR="008C0D37" w:rsidRPr="00841D2D">
        <w:rPr>
          <w:rFonts w:ascii="Book Antiqua" w:hAnsi="Book Antiqua"/>
          <w:sz w:val="24"/>
          <w:szCs w:val="24"/>
          <w:lang w:val="en-US"/>
        </w:rPr>
        <w:t>. In this study 29% of the pa</w:t>
      </w:r>
      <w:r w:rsidR="008A4FA7" w:rsidRPr="00841D2D">
        <w:rPr>
          <w:rFonts w:ascii="Book Antiqua" w:hAnsi="Book Antiqua"/>
          <w:sz w:val="24"/>
          <w:szCs w:val="24"/>
          <w:lang w:val="en-US"/>
        </w:rPr>
        <w:t>r</w:t>
      </w:r>
      <w:r w:rsidR="008C0D37" w:rsidRPr="00841D2D">
        <w:rPr>
          <w:rFonts w:ascii="Book Antiqua" w:hAnsi="Book Antiqua"/>
          <w:sz w:val="24"/>
          <w:szCs w:val="24"/>
          <w:lang w:val="en-US"/>
        </w:rPr>
        <w:t>ti</w:t>
      </w:r>
      <w:r w:rsidR="008A4FA7" w:rsidRPr="00841D2D">
        <w:rPr>
          <w:rFonts w:ascii="Book Antiqua" w:hAnsi="Book Antiqua"/>
          <w:sz w:val="24"/>
          <w:szCs w:val="24"/>
          <w:lang w:val="en-US"/>
        </w:rPr>
        <w:t>cipa</w:t>
      </w:r>
      <w:r w:rsidR="008C0D37" w:rsidRPr="00841D2D">
        <w:rPr>
          <w:rFonts w:ascii="Book Antiqua" w:hAnsi="Book Antiqua"/>
          <w:sz w:val="24"/>
          <w:szCs w:val="24"/>
          <w:lang w:val="en-US"/>
        </w:rPr>
        <w:t xml:space="preserve">nts developed moderate to severe renal </w:t>
      </w:r>
      <w:r w:rsidR="008A4FA7" w:rsidRPr="00841D2D">
        <w:rPr>
          <w:rFonts w:ascii="Book Antiqua" w:hAnsi="Book Antiqua"/>
          <w:sz w:val="24"/>
          <w:szCs w:val="24"/>
          <w:lang w:val="en-US"/>
        </w:rPr>
        <w:t>failure</w:t>
      </w:r>
      <w:r w:rsidR="008C0D37" w:rsidRPr="00841D2D">
        <w:rPr>
          <w:rFonts w:ascii="Book Antiqua" w:hAnsi="Book Antiqua"/>
          <w:sz w:val="24"/>
          <w:szCs w:val="24"/>
          <w:vertAlign w:val="superscript"/>
          <w:lang w:val="en-US"/>
        </w:rPr>
        <w:t>[39]</w:t>
      </w:r>
      <w:r w:rsidR="008C0D37" w:rsidRPr="00841D2D">
        <w:rPr>
          <w:rFonts w:ascii="Book Antiqua" w:hAnsi="Book Antiqua"/>
          <w:sz w:val="24"/>
          <w:szCs w:val="24"/>
          <w:lang w:val="en-US"/>
        </w:rPr>
        <w:t>.</w:t>
      </w:r>
      <w:r w:rsidR="00665340" w:rsidRPr="00841D2D">
        <w:rPr>
          <w:rFonts w:ascii="Book Antiqua" w:hAnsi="Book Antiqua"/>
          <w:sz w:val="24"/>
          <w:szCs w:val="24"/>
          <w:lang w:val="en-US"/>
        </w:rPr>
        <w:t xml:space="preserve"> </w:t>
      </w:r>
    </w:p>
    <w:p w:rsidR="0069138E" w:rsidRPr="00841D2D" w:rsidRDefault="00CE0F9D"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However, when compared with treatment-naïve the virological response could be fluctuating and relatively slow in LAM-R patients</w:t>
      </w:r>
      <w:r w:rsidR="0069138E" w:rsidRPr="00841D2D">
        <w:rPr>
          <w:rFonts w:ascii="Book Antiqua" w:hAnsi="Book Antiqua"/>
          <w:sz w:val="24"/>
          <w:szCs w:val="24"/>
          <w:vertAlign w:val="superscript"/>
          <w:lang w:val="en-US"/>
        </w:rPr>
        <w:t>[40]</w:t>
      </w:r>
      <w:r w:rsidR="0069138E" w:rsidRPr="00841D2D">
        <w:rPr>
          <w:rFonts w:ascii="Book Antiqua" w:hAnsi="Book Antiqua"/>
          <w:sz w:val="24"/>
          <w:szCs w:val="24"/>
          <w:lang w:val="en-US"/>
        </w:rPr>
        <w:t xml:space="preserve">. Nevertheless, rescue therapy with </w:t>
      </w:r>
      <w:r w:rsidR="00665340" w:rsidRPr="00841D2D">
        <w:rPr>
          <w:rFonts w:ascii="Book Antiqua" w:hAnsi="Book Antiqua"/>
          <w:sz w:val="24"/>
          <w:szCs w:val="24"/>
          <w:lang w:val="en-US"/>
        </w:rPr>
        <w:t>ADV</w:t>
      </w:r>
      <w:r w:rsidR="0069138E" w:rsidRPr="00841D2D">
        <w:rPr>
          <w:rFonts w:ascii="Book Antiqua" w:hAnsi="Book Antiqua"/>
          <w:sz w:val="24"/>
          <w:szCs w:val="24"/>
          <w:lang w:val="en-US"/>
        </w:rPr>
        <w:t xml:space="preserve"> resulted in significantly better viral suppression and liver biochemistry compared with continuation of </w:t>
      </w:r>
      <w:r w:rsidR="00665340" w:rsidRPr="00841D2D">
        <w:rPr>
          <w:rFonts w:ascii="Book Antiqua" w:hAnsi="Book Antiqua"/>
          <w:sz w:val="24"/>
          <w:szCs w:val="24"/>
          <w:lang w:val="en-US"/>
        </w:rPr>
        <w:t>LAM</w:t>
      </w:r>
      <w:r w:rsidR="0069138E" w:rsidRPr="00841D2D">
        <w:rPr>
          <w:rFonts w:ascii="Book Antiqua" w:hAnsi="Book Antiqua"/>
          <w:sz w:val="24"/>
          <w:szCs w:val="24"/>
          <w:lang w:val="en-US"/>
        </w:rPr>
        <w:t xml:space="preserve"> (75% </w:t>
      </w:r>
      <w:r w:rsidR="0069138E" w:rsidRPr="00841D2D">
        <w:rPr>
          <w:rFonts w:ascii="Book Antiqua" w:hAnsi="Book Antiqua"/>
          <w:i/>
          <w:iCs/>
          <w:sz w:val="24"/>
          <w:szCs w:val="24"/>
          <w:lang w:val="en-US"/>
        </w:rPr>
        <w:t xml:space="preserve">vs </w:t>
      </w:r>
      <w:r w:rsidR="0069138E" w:rsidRPr="00841D2D">
        <w:rPr>
          <w:rFonts w:ascii="Book Antiqua" w:hAnsi="Book Antiqua"/>
          <w:sz w:val="24"/>
          <w:szCs w:val="24"/>
          <w:lang w:val="en-US"/>
        </w:rPr>
        <w:t>14.3% had persistent normalization of ALT), and the clinical response was sustained for at least 24 mo</w:t>
      </w:r>
      <w:r w:rsidR="0069138E" w:rsidRPr="00841D2D">
        <w:rPr>
          <w:rFonts w:ascii="Book Antiqua" w:hAnsi="Book Antiqua"/>
          <w:sz w:val="24"/>
          <w:szCs w:val="24"/>
          <w:vertAlign w:val="superscript"/>
          <w:lang w:val="en-US"/>
        </w:rPr>
        <w:t>[31]</w:t>
      </w:r>
      <w:r w:rsidR="0069138E" w:rsidRPr="00841D2D">
        <w:rPr>
          <w:rFonts w:ascii="Book Antiqua" w:hAnsi="Book Antiqua"/>
          <w:sz w:val="24"/>
          <w:szCs w:val="24"/>
          <w:lang w:val="en-US"/>
        </w:rPr>
        <w:t>. Evidence of nephrotoxicity</w:t>
      </w:r>
      <w:r w:rsidR="00665340" w:rsidRPr="00841D2D">
        <w:rPr>
          <w:rFonts w:ascii="Book Antiqua" w:hAnsi="Book Antiqua"/>
          <w:sz w:val="24"/>
          <w:szCs w:val="24"/>
          <w:lang w:val="en-US"/>
        </w:rPr>
        <w:t xml:space="preserve"> in the absence of proximal tubulopathy,</w:t>
      </w:r>
      <w:r w:rsidR="0069138E" w:rsidRPr="00841D2D">
        <w:rPr>
          <w:rFonts w:ascii="Book Antiqua" w:hAnsi="Book Antiqua"/>
          <w:sz w:val="24"/>
          <w:szCs w:val="24"/>
          <w:lang w:val="en-US"/>
        </w:rPr>
        <w:t xml:space="preserve"> </w:t>
      </w:r>
      <w:r w:rsidR="00665340" w:rsidRPr="00841D2D">
        <w:rPr>
          <w:rFonts w:ascii="Book Antiqua" w:hAnsi="Book Antiqua"/>
          <w:sz w:val="24"/>
          <w:szCs w:val="24"/>
          <w:lang w:val="en-US"/>
        </w:rPr>
        <w:t xml:space="preserve">despite dosage adjustment, </w:t>
      </w:r>
      <w:r w:rsidR="0069138E" w:rsidRPr="00841D2D">
        <w:rPr>
          <w:rFonts w:ascii="Book Antiqua" w:hAnsi="Book Antiqua"/>
          <w:sz w:val="24"/>
          <w:szCs w:val="24"/>
          <w:lang w:val="en-US"/>
        </w:rPr>
        <w:t xml:space="preserve">was </w:t>
      </w:r>
      <w:r w:rsidR="00665340" w:rsidRPr="00841D2D">
        <w:rPr>
          <w:rFonts w:ascii="Book Antiqua" w:hAnsi="Book Antiqua"/>
          <w:sz w:val="24"/>
          <w:szCs w:val="24"/>
          <w:lang w:val="en-US"/>
        </w:rPr>
        <w:t xml:space="preserve">frequently </w:t>
      </w:r>
      <w:r w:rsidR="0069138E" w:rsidRPr="00841D2D">
        <w:rPr>
          <w:rFonts w:ascii="Book Antiqua" w:hAnsi="Book Antiqua"/>
          <w:sz w:val="24"/>
          <w:szCs w:val="24"/>
          <w:lang w:val="en-US"/>
        </w:rPr>
        <w:t>observed, and could necessitate tr</w:t>
      </w:r>
      <w:r w:rsidR="002D3B96">
        <w:rPr>
          <w:rFonts w:ascii="Book Antiqua" w:hAnsi="Book Antiqua"/>
          <w:sz w:val="24"/>
          <w:szCs w:val="24"/>
          <w:lang w:val="en-US"/>
        </w:rPr>
        <w:t>eatment discontinuation</w:t>
      </w:r>
      <w:r w:rsidR="0069138E" w:rsidRPr="00841D2D">
        <w:rPr>
          <w:rFonts w:ascii="Book Antiqua" w:hAnsi="Book Antiqua"/>
          <w:sz w:val="24"/>
          <w:szCs w:val="24"/>
          <w:vertAlign w:val="superscript"/>
          <w:lang w:val="en-US"/>
        </w:rPr>
        <w:t>[38,39]</w:t>
      </w:r>
      <w:r w:rsidR="0069138E" w:rsidRPr="00841D2D">
        <w:rPr>
          <w:rFonts w:ascii="Book Antiqua" w:hAnsi="Book Antiqua"/>
          <w:sz w:val="24"/>
          <w:szCs w:val="24"/>
          <w:lang w:val="en-US"/>
        </w:rPr>
        <w:t>.</w:t>
      </w:r>
      <w:r w:rsidR="00665340" w:rsidRPr="00841D2D">
        <w:rPr>
          <w:rFonts w:ascii="Book Antiqua" w:hAnsi="Book Antiqua"/>
          <w:sz w:val="24"/>
          <w:szCs w:val="24"/>
          <w:lang w:val="en-US"/>
        </w:rPr>
        <w:t xml:space="preserve"> ADV has a low antiviral potency at the currently approved dose and its efficacy could be further reduced with dose adjustment according to renal dysfunction. For these reasons ADV is not a first line option for naïve patients and its benefits for LAM-R may be less when compared with TDF.</w:t>
      </w:r>
    </w:p>
    <w:p w:rsidR="00665340" w:rsidRPr="00841D2D" w:rsidRDefault="00665340"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There </w:t>
      </w:r>
      <w:r w:rsidR="002D3B96">
        <w:rPr>
          <w:rFonts w:ascii="Book Antiqua" w:hAnsi="Book Antiqua" w:hint="eastAsia"/>
          <w:sz w:val="24"/>
          <w:szCs w:val="24"/>
          <w:lang w:val="en-US" w:eastAsia="zh-CN"/>
        </w:rPr>
        <w:t>are</w:t>
      </w:r>
      <w:r w:rsidRPr="00841D2D">
        <w:rPr>
          <w:rFonts w:ascii="Book Antiqua" w:hAnsi="Book Antiqua"/>
          <w:sz w:val="24"/>
          <w:szCs w:val="24"/>
          <w:lang w:val="en-US"/>
        </w:rPr>
        <w:t xml:space="preserve"> currently no </w:t>
      </w:r>
      <w:r w:rsidR="00A56602" w:rsidRPr="00841D2D">
        <w:rPr>
          <w:rFonts w:ascii="Book Antiqua" w:hAnsi="Book Antiqua"/>
          <w:sz w:val="24"/>
          <w:szCs w:val="24"/>
          <w:lang w:val="en-US"/>
        </w:rPr>
        <w:t>results</w:t>
      </w:r>
      <w:r w:rsidRPr="00841D2D">
        <w:rPr>
          <w:rFonts w:ascii="Book Antiqua" w:hAnsi="Book Antiqua"/>
          <w:sz w:val="24"/>
          <w:szCs w:val="24"/>
          <w:lang w:val="en-US"/>
        </w:rPr>
        <w:t xml:space="preserve"> </w:t>
      </w:r>
      <w:r w:rsidR="00A56602" w:rsidRPr="00841D2D">
        <w:rPr>
          <w:rFonts w:ascii="Book Antiqua" w:hAnsi="Book Antiqua"/>
          <w:sz w:val="24"/>
          <w:szCs w:val="24"/>
          <w:lang w:val="en-US"/>
        </w:rPr>
        <w:t>about</w:t>
      </w:r>
      <w:r w:rsidRPr="00841D2D">
        <w:rPr>
          <w:rFonts w:ascii="Book Antiqua" w:hAnsi="Book Antiqua"/>
          <w:sz w:val="24"/>
          <w:szCs w:val="24"/>
          <w:lang w:val="en-US"/>
        </w:rPr>
        <w:t xml:space="preserve"> telbivudine </w:t>
      </w:r>
      <w:r w:rsidR="00A56602" w:rsidRPr="00841D2D">
        <w:rPr>
          <w:rFonts w:ascii="Book Antiqua" w:hAnsi="Book Antiqua"/>
          <w:sz w:val="24"/>
          <w:szCs w:val="24"/>
          <w:lang w:val="en-US"/>
        </w:rPr>
        <w:t xml:space="preserve">treatment </w:t>
      </w:r>
      <w:r w:rsidRPr="00841D2D">
        <w:rPr>
          <w:rFonts w:ascii="Book Antiqua" w:hAnsi="Book Antiqua"/>
          <w:sz w:val="24"/>
          <w:szCs w:val="24"/>
          <w:lang w:val="en-US"/>
        </w:rPr>
        <w:t xml:space="preserve">in </w:t>
      </w:r>
      <w:r w:rsidR="00A56602" w:rsidRPr="00841D2D">
        <w:rPr>
          <w:rFonts w:ascii="Book Antiqua" w:hAnsi="Book Antiqua"/>
          <w:sz w:val="24"/>
          <w:szCs w:val="24"/>
          <w:lang w:val="en-US"/>
        </w:rPr>
        <w:t>RT</w:t>
      </w:r>
      <w:r w:rsidRPr="00841D2D">
        <w:rPr>
          <w:rFonts w:ascii="Book Antiqua" w:hAnsi="Book Antiqua"/>
          <w:sz w:val="24"/>
          <w:szCs w:val="24"/>
          <w:lang w:val="en-US"/>
        </w:rPr>
        <w:t xml:space="preserve"> recipients but it would be worthwhile to explore the use of this agent in treatment-naïve kidney allograft recipients given its relatively low resistance rate, lack of nephrotoxicity, and the relatively lower cost compared with other nucleoside/tide analogues</w:t>
      </w:r>
      <w:r w:rsidR="003D2748" w:rsidRPr="00841D2D">
        <w:rPr>
          <w:rFonts w:ascii="Book Antiqua" w:hAnsi="Book Antiqua"/>
          <w:sz w:val="24"/>
          <w:szCs w:val="24"/>
          <w:vertAlign w:val="superscript"/>
          <w:lang w:val="en-US"/>
        </w:rPr>
        <w:t>[40]</w:t>
      </w:r>
      <w:r w:rsidR="003D2748" w:rsidRPr="00841D2D">
        <w:rPr>
          <w:rFonts w:ascii="Book Antiqua" w:hAnsi="Book Antiqua"/>
          <w:sz w:val="24"/>
          <w:szCs w:val="24"/>
          <w:lang w:val="en-US"/>
        </w:rPr>
        <w:t>.</w:t>
      </w:r>
    </w:p>
    <w:p w:rsidR="00F72C32" w:rsidRPr="00841D2D" w:rsidRDefault="0035405A"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Entecavir is one of the first</w:t>
      </w:r>
      <w:r w:rsidR="002D3B96">
        <w:rPr>
          <w:rFonts w:ascii="Book Antiqua" w:hAnsi="Book Antiqua"/>
          <w:sz w:val="24"/>
          <w:szCs w:val="24"/>
          <w:lang w:val="en-US"/>
        </w:rPr>
        <w:t xml:space="preserve"> line treatment options for HBV</w:t>
      </w:r>
      <w:r w:rsidRPr="00841D2D">
        <w:rPr>
          <w:rFonts w:ascii="Book Antiqua" w:hAnsi="Book Antiqua"/>
          <w:sz w:val="24"/>
          <w:szCs w:val="24"/>
          <w:vertAlign w:val="superscript"/>
          <w:lang w:val="en-US"/>
        </w:rPr>
        <w:t>[9,10]</w:t>
      </w:r>
      <w:r w:rsidRPr="00841D2D">
        <w:rPr>
          <w:rFonts w:ascii="Book Antiqua" w:hAnsi="Book Antiqua"/>
          <w:sz w:val="24"/>
          <w:szCs w:val="24"/>
          <w:lang w:val="en-US"/>
        </w:rPr>
        <w:t xml:space="preserve">. This drug has a high antiviral potency, a high genetic barrier for resistance and a good safety profile. It is very effective </w:t>
      </w:r>
      <w:r w:rsidR="00FC79F6" w:rsidRPr="00841D2D">
        <w:rPr>
          <w:rFonts w:ascii="Book Antiqua" w:hAnsi="Book Antiqua"/>
          <w:sz w:val="24"/>
          <w:szCs w:val="24"/>
          <w:lang w:val="en-US"/>
        </w:rPr>
        <w:t xml:space="preserve">for </w:t>
      </w:r>
      <w:r w:rsidRPr="00841D2D">
        <w:rPr>
          <w:rFonts w:ascii="Book Antiqua" w:hAnsi="Book Antiqua"/>
          <w:sz w:val="24"/>
          <w:szCs w:val="24"/>
          <w:lang w:val="en-US"/>
        </w:rPr>
        <w:t>treatment naïve</w:t>
      </w:r>
      <w:r w:rsidR="00FC79F6" w:rsidRPr="00841D2D">
        <w:rPr>
          <w:rFonts w:ascii="Book Antiqua" w:hAnsi="Book Antiqua"/>
          <w:sz w:val="24"/>
          <w:szCs w:val="24"/>
          <w:lang w:val="en-US"/>
        </w:rPr>
        <w:t xml:space="preserve"> patients</w:t>
      </w:r>
      <w:r w:rsidRPr="00841D2D">
        <w:rPr>
          <w:rFonts w:ascii="Book Antiqua" w:hAnsi="Book Antiqua"/>
          <w:sz w:val="24"/>
          <w:szCs w:val="24"/>
          <w:lang w:val="en-US"/>
        </w:rPr>
        <w:t xml:space="preserve"> </w:t>
      </w:r>
      <w:r w:rsidR="00FC79F6" w:rsidRPr="00841D2D">
        <w:rPr>
          <w:rFonts w:ascii="Book Antiqua" w:hAnsi="Book Antiqua"/>
          <w:sz w:val="24"/>
          <w:szCs w:val="24"/>
          <w:lang w:val="en-US"/>
        </w:rPr>
        <w:t>but</w:t>
      </w:r>
      <w:r w:rsidRPr="00841D2D">
        <w:rPr>
          <w:rFonts w:ascii="Book Antiqua" w:hAnsi="Book Antiqua"/>
          <w:sz w:val="24"/>
          <w:szCs w:val="24"/>
          <w:lang w:val="en-US"/>
        </w:rPr>
        <w:t xml:space="preserve"> has a lower efficacy for LAM-R</w:t>
      </w:r>
      <w:r w:rsidR="00FC79F6" w:rsidRPr="00841D2D">
        <w:rPr>
          <w:rFonts w:ascii="Book Antiqua" w:hAnsi="Book Antiqua"/>
          <w:sz w:val="24"/>
          <w:szCs w:val="24"/>
          <w:lang w:val="en-US"/>
        </w:rPr>
        <w:t xml:space="preserve"> patients</w:t>
      </w:r>
      <w:r w:rsidRPr="00841D2D">
        <w:rPr>
          <w:rFonts w:ascii="Book Antiqua" w:hAnsi="Book Antiqua"/>
          <w:sz w:val="24"/>
          <w:szCs w:val="24"/>
          <w:lang w:val="en-US"/>
        </w:rPr>
        <w:t>, and it is not the first option for this latter populat</w:t>
      </w:r>
      <w:r w:rsidR="002D3B96">
        <w:rPr>
          <w:rFonts w:ascii="Book Antiqua" w:hAnsi="Book Antiqua"/>
          <w:sz w:val="24"/>
          <w:szCs w:val="24"/>
          <w:lang w:val="en-US"/>
        </w:rPr>
        <w:t>ion</w:t>
      </w:r>
      <w:r w:rsidRPr="00841D2D">
        <w:rPr>
          <w:rFonts w:ascii="Book Antiqua" w:hAnsi="Book Antiqua"/>
          <w:sz w:val="24"/>
          <w:szCs w:val="24"/>
          <w:vertAlign w:val="superscript"/>
          <w:lang w:val="en-US"/>
        </w:rPr>
        <w:t>[9,10,15]</w:t>
      </w:r>
      <w:r w:rsidRPr="00841D2D">
        <w:rPr>
          <w:rFonts w:ascii="Book Antiqua" w:hAnsi="Book Antiqua"/>
          <w:sz w:val="24"/>
          <w:szCs w:val="24"/>
          <w:lang w:val="en-US"/>
        </w:rPr>
        <w:t xml:space="preserve">. </w:t>
      </w:r>
      <w:r w:rsidR="00A56602" w:rsidRPr="00841D2D">
        <w:rPr>
          <w:rFonts w:ascii="Book Antiqua" w:hAnsi="Book Antiqua"/>
          <w:sz w:val="24"/>
          <w:szCs w:val="24"/>
          <w:lang w:val="en-US"/>
        </w:rPr>
        <w:t>A recent 2-year prospective study included 27 RT patients, 18 (67%) were treatment naïve and 9 (33%) had been previou</w:t>
      </w:r>
      <w:r w:rsidR="002D3B96">
        <w:rPr>
          <w:rFonts w:ascii="Book Antiqua" w:hAnsi="Book Antiqua"/>
          <w:sz w:val="24"/>
          <w:szCs w:val="24"/>
          <w:lang w:val="en-US"/>
        </w:rPr>
        <w:t>sly treated with LAM but had no</w:t>
      </w:r>
      <w:r w:rsidR="00A56602" w:rsidRPr="00841D2D">
        <w:rPr>
          <w:rFonts w:ascii="Book Antiqua" w:hAnsi="Book Antiqua"/>
          <w:sz w:val="24"/>
          <w:szCs w:val="24"/>
          <w:lang w:val="en-US"/>
        </w:rPr>
        <w:t xml:space="preserve"> resistant mutations. ETV cleared HBV DNA in 70%, 74%, 96% and 100% of patients after 12, 24</w:t>
      </w:r>
      <w:r w:rsidR="002D3B96">
        <w:rPr>
          <w:rFonts w:ascii="Book Antiqua" w:hAnsi="Book Antiqua"/>
          <w:sz w:val="24"/>
          <w:szCs w:val="24"/>
          <w:lang w:val="en-US"/>
        </w:rPr>
        <w:t>, 52 and 104 wk respectively</w:t>
      </w:r>
      <w:r w:rsidR="00A56602" w:rsidRPr="00841D2D">
        <w:rPr>
          <w:rFonts w:ascii="Book Antiqua" w:hAnsi="Book Antiqua"/>
          <w:sz w:val="24"/>
          <w:szCs w:val="24"/>
          <w:vertAlign w:val="superscript"/>
          <w:lang w:val="en-US"/>
        </w:rPr>
        <w:t>[41]</w:t>
      </w:r>
      <w:r w:rsidR="00A56602" w:rsidRPr="00841D2D">
        <w:rPr>
          <w:rFonts w:ascii="Book Antiqua" w:hAnsi="Book Antiqua"/>
          <w:sz w:val="24"/>
          <w:szCs w:val="24"/>
          <w:lang w:val="en-US"/>
        </w:rPr>
        <w:t>. There was no change of creatinine clearance, and no episodes of lactic acidosis or muscle damage during treatment. There were higher rates of undetectable HBV DNA levels in ETV treated than LAM treated patients (32%, 37%, 63% and</w:t>
      </w:r>
      <w:r w:rsidR="002D3B96">
        <w:rPr>
          <w:rFonts w:ascii="Book Antiqua" w:hAnsi="Book Antiqua"/>
          <w:sz w:val="24"/>
          <w:szCs w:val="24"/>
          <w:lang w:val="en-US"/>
        </w:rPr>
        <w:t xml:space="preserve"> 63% at 12, 24, 52 and 104 wk</w:t>
      </w:r>
      <w:r w:rsidR="00A56602" w:rsidRPr="00841D2D">
        <w:rPr>
          <w:rFonts w:ascii="Book Antiqua" w:hAnsi="Book Antiqua"/>
          <w:sz w:val="24"/>
          <w:szCs w:val="24"/>
          <w:lang w:val="en-US"/>
        </w:rPr>
        <w:t xml:space="preserve">, respectively; </w:t>
      </w:r>
      <w:r w:rsidR="00A56602" w:rsidRPr="002D3B96">
        <w:rPr>
          <w:rFonts w:ascii="Book Antiqua" w:hAnsi="Book Antiqua"/>
          <w:i/>
          <w:sz w:val="24"/>
          <w:szCs w:val="24"/>
          <w:lang w:val="en-US"/>
        </w:rPr>
        <w:t>P</w:t>
      </w:r>
      <w:r w:rsidR="002D3B96">
        <w:rPr>
          <w:rFonts w:ascii="Book Antiqua" w:hAnsi="Book Antiqua" w:hint="eastAsia"/>
          <w:sz w:val="24"/>
          <w:szCs w:val="24"/>
          <w:lang w:val="en-US" w:eastAsia="zh-CN"/>
        </w:rPr>
        <w:t xml:space="preserve"> </w:t>
      </w:r>
      <w:r w:rsidR="00A56602" w:rsidRPr="00841D2D">
        <w:rPr>
          <w:rFonts w:ascii="Book Antiqua" w:hAnsi="Book Antiqua"/>
          <w:sz w:val="24"/>
          <w:szCs w:val="24"/>
          <w:lang w:val="en-US"/>
        </w:rPr>
        <w:t>&lt;</w:t>
      </w:r>
      <w:r w:rsidR="002D3B96">
        <w:rPr>
          <w:rFonts w:ascii="Book Antiqua" w:hAnsi="Book Antiqua" w:hint="eastAsia"/>
          <w:sz w:val="24"/>
          <w:szCs w:val="24"/>
          <w:lang w:val="en-US" w:eastAsia="zh-CN"/>
        </w:rPr>
        <w:t xml:space="preserve"> </w:t>
      </w:r>
      <w:r w:rsidR="00A56602" w:rsidRPr="00841D2D">
        <w:rPr>
          <w:rFonts w:ascii="Book Antiqua" w:hAnsi="Book Antiqua"/>
          <w:sz w:val="24"/>
          <w:szCs w:val="24"/>
          <w:lang w:val="en-US"/>
        </w:rPr>
        <w:t>0.005)</w:t>
      </w:r>
      <w:r w:rsidR="00F72C32" w:rsidRPr="00841D2D">
        <w:rPr>
          <w:rFonts w:ascii="Book Antiqua" w:hAnsi="Book Antiqua"/>
          <w:sz w:val="24"/>
          <w:szCs w:val="24"/>
          <w:vertAlign w:val="superscript"/>
          <w:lang w:val="en-US"/>
        </w:rPr>
        <w:t>[41]</w:t>
      </w:r>
      <w:r w:rsidR="00F72C32" w:rsidRPr="00841D2D">
        <w:rPr>
          <w:rFonts w:ascii="Book Antiqua" w:hAnsi="Book Antiqua"/>
          <w:sz w:val="24"/>
          <w:szCs w:val="24"/>
          <w:lang w:val="en-US"/>
        </w:rPr>
        <w:t xml:space="preserve">. In an analysis excluding 9 patients from the ETV group who were also LAM experienced, the remaining 18 ETV </w:t>
      </w:r>
      <w:r w:rsidR="001C75B9" w:rsidRPr="00841D2D">
        <w:rPr>
          <w:rFonts w:ascii="Book Antiqua" w:hAnsi="Book Antiqua"/>
          <w:sz w:val="24"/>
          <w:szCs w:val="24"/>
          <w:lang w:val="en-US"/>
        </w:rPr>
        <w:t>naïve</w:t>
      </w:r>
      <w:r w:rsidR="00F72C32" w:rsidRPr="00841D2D">
        <w:rPr>
          <w:rFonts w:ascii="Book Antiqua" w:hAnsi="Book Antiqua"/>
          <w:sz w:val="24"/>
          <w:szCs w:val="24"/>
          <w:lang w:val="en-US"/>
        </w:rPr>
        <w:t xml:space="preserve"> subjects exhibited a better virologi</w:t>
      </w:r>
      <w:r w:rsidR="002D3B96">
        <w:rPr>
          <w:rFonts w:ascii="Book Antiqua" w:hAnsi="Book Antiqua"/>
          <w:sz w:val="24"/>
          <w:szCs w:val="24"/>
          <w:lang w:val="en-US"/>
        </w:rPr>
        <w:t>cal response at 52 and 104 wk</w:t>
      </w:r>
      <w:r w:rsidR="00F72C32" w:rsidRPr="00841D2D">
        <w:rPr>
          <w:rFonts w:ascii="Book Antiqua" w:hAnsi="Book Antiqua"/>
          <w:sz w:val="24"/>
          <w:szCs w:val="24"/>
          <w:lang w:val="en-US"/>
        </w:rPr>
        <w:t xml:space="preserve"> than 19 previously treated with LAM (</w:t>
      </w:r>
      <w:r w:rsidR="00F72C32" w:rsidRPr="002D3B96">
        <w:rPr>
          <w:rFonts w:ascii="Book Antiqua" w:hAnsi="Book Antiqua"/>
          <w:i/>
          <w:sz w:val="24"/>
          <w:szCs w:val="24"/>
          <w:lang w:val="en-US"/>
        </w:rPr>
        <w:t>P</w:t>
      </w:r>
      <w:r w:rsidR="002D3B96">
        <w:rPr>
          <w:rFonts w:ascii="Book Antiqua" w:hAnsi="Book Antiqua" w:hint="eastAsia"/>
          <w:sz w:val="24"/>
          <w:szCs w:val="24"/>
          <w:lang w:val="en-US" w:eastAsia="zh-CN"/>
        </w:rPr>
        <w:t xml:space="preserve"> </w:t>
      </w:r>
      <w:r w:rsidR="00F72C32" w:rsidRPr="00841D2D">
        <w:rPr>
          <w:rFonts w:ascii="Book Antiqua" w:hAnsi="Book Antiqua"/>
          <w:sz w:val="24"/>
          <w:szCs w:val="24"/>
          <w:lang w:val="en-US"/>
        </w:rPr>
        <w:t>&lt;</w:t>
      </w:r>
      <w:r w:rsidR="002D3B96">
        <w:rPr>
          <w:rFonts w:ascii="Book Antiqua" w:hAnsi="Book Antiqua" w:hint="eastAsia"/>
          <w:sz w:val="24"/>
          <w:szCs w:val="24"/>
          <w:lang w:val="en-US" w:eastAsia="zh-CN"/>
        </w:rPr>
        <w:t xml:space="preserve"> </w:t>
      </w:r>
      <w:r w:rsidR="00F72C32" w:rsidRPr="00841D2D">
        <w:rPr>
          <w:rFonts w:ascii="Book Antiqua" w:hAnsi="Book Antiqua"/>
          <w:sz w:val="24"/>
          <w:szCs w:val="24"/>
          <w:lang w:val="en-US"/>
        </w:rPr>
        <w:t>0.05)</w:t>
      </w:r>
      <w:r w:rsidR="00F72C32" w:rsidRPr="00841D2D">
        <w:rPr>
          <w:rFonts w:ascii="Book Antiqua" w:hAnsi="Book Antiqua"/>
          <w:sz w:val="24"/>
          <w:szCs w:val="24"/>
          <w:vertAlign w:val="superscript"/>
          <w:lang w:val="en-US"/>
        </w:rPr>
        <w:t xml:space="preserve"> [41]</w:t>
      </w:r>
      <w:r w:rsidR="00F72C32" w:rsidRPr="00841D2D">
        <w:rPr>
          <w:rFonts w:ascii="Book Antiqua" w:hAnsi="Book Antiqua"/>
          <w:sz w:val="24"/>
          <w:szCs w:val="24"/>
          <w:lang w:val="en-US"/>
        </w:rPr>
        <w:t xml:space="preserve">. </w:t>
      </w:r>
    </w:p>
    <w:p w:rsidR="00B3378C" w:rsidRPr="00841D2D" w:rsidRDefault="001C75B9" w:rsidP="002D3B96">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Other studies reported results with ETV in cohorts including both naïve and LAM-R patients, unfortunately</w:t>
      </w:r>
      <w:r w:rsidR="002D3B96">
        <w:rPr>
          <w:rFonts w:ascii="Book Antiqua" w:hAnsi="Book Antiqua"/>
          <w:sz w:val="24"/>
          <w:szCs w:val="24"/>
          <w:lang w:val="en-US"/>
        </w:rPr>
        <w:t xml:space="preserve"> with limited number of patient</w:t>
      </w:r>
      <w:r w:rsidRPr="00841D2D">
        <w:rPr>
          <w:rFonts w:ascii="Book Antiqua" w:hAnsi="Book Antiqua"/>
          <w:sz w:val="24"/>
          <w:szCs w:val="24"/>
          <w:vertAlign w:val="superscript"/>
          <w:lang w:val="en-US"/>
        </w:rPr>
        <w:t>[42-45]</w:t>
      </w:r>
      <w:r w:rsidRPr="00841D2D">
        <w:rPr>
          <w:rFonts w:ascii="Book Antiqua" w:hAnsi="Book Antiqua"/>
          <w:sz w:val="24"/>
          <w:szCs w:val="24"/>
          <w:lang w:val="en-US"/>
        </w:rPr>
        <w:t xml:space="preserve">. </w:t>
      </w:r>
      <w:r w:rsidR="00B3378C" w:rsidRPr="00841D2D">
        <w:rPr>
          <w:rFonts w:ascii="Book Antiqua" w:hAnsi="Book Antiqua"/>
          <w:sz w:val="24"/>
          <w:szCs w:val="24"/>
          <w:lang w:val="en-US"/>
        </w:rPr>
        <w:t xml:space="preserve">Experience regarding the use of </w:t>
      </w:r>
      <w:r w:rsidR="009F7823" w:rsidRPr="00841D2D">
        <w:rPr>
          <w:rFonts w:ascii="Book Antiqua" w:hAnsi="Book Antiqua"/>
          <w:sz w:val="24"/>
          <w:szCs w:val="24"/>
          <w:lang w:val="en-US"/>
        </w:rPr>
        <w:t>ETV</w:t>
      </w:r>
      <w:r w:rsidR="00B3378C" w:rsidRPr="00841D2D">
        <w:rPr>
          <w:rFonts w:ascii="Book Antiqua" w:hAnsi="Book Antiqua"/>
          <w:sz w:val="24"/>
          <w:szCs w:val="24"/>
          <w:lang w:val="en-US"/>
        </w:rPr>
        <w:t xml:space="preserve"> in </w:t>
      </w:r>
      <w:r w:rsidR="009F7823" w:rsidRPr="00841D2D">
        <w:rPr>
          <w:rFonts w:ascii="Book Antiqua" w:hAnsi="Book Antiqua"/>
          <w:sz w:val="24"/>
          <w:szCs w:val="24"/>
          <w:lang w:val="en-US"/>
        </w:rPr>
        <w:t>RT</w:t>
      </w:r>
      <w:r w:rsidR="00B3378C" w:rsidRPr="00841D2D">
        <w:rPr>
          <w:rFonts w:ascii="Book Antiqua" w:hAnsi="Book Antiqua"/>
          <w:sz w:val="24"/>
          <w:szCs w:val="24"/>
          <w:lang w:val="en-US"/>
        </w:rPr>
        <w:t xml:space="preserve"> recipients who had developed </w:t>
      </w:r>
      <w:r w:rsidR="009F7823" w:rsidRPr="00841D2D">
        <w:rPr>
          <w:rFonts w:ascii="Book Antiqua" w:hAnsi="Book Antiqua"/>
          <w:sz w:val="24"/>
          <w:szCs w:val="24"/>
          <w:lang w:val="en-US"/>
        </w:rPr>
        <w:t>LAM</w:t>
      </w:r>
      <w:r w:rsidR="00B3378C" w:rsidRPr="00841D2D">
        <w:rPr>
          <w:rFonts w:ascii="Book Antiqua" w:hAnsi="Book Antiqua"/>
          <w:sz w:val="24"/>
          <w:szCs w:val="24"/>
          <w:lang w:val="en-US"/>
        </w:rPr>
        <w:t xml:space="preserve">- or </w:t>
      </w:r>
      <w:r w:rsidR="009F7823" w:rsidRPr="00841D2D">
        <w:rPr>
          <w:rFonts w:ascii="Book Antiqua" w:hAnsi="Book Antiqua"/>
          <w:sz w:val="24"/>
          <w:szCs w:val="24"/>
          <w:lang w:val="en-US"/>
        </w:rPr>
        <w:t>ADV</w:t>
      </w:r>
      <w:r w:rsidR="00B3378C" w:rsidRPr="00841D2D">
        <w:rPr>
          <w:rFonts w:ascii="Book Antiqua" w:hAnsi="Book Antiqua"/>
          <w:sz w:val="24"/>
          <w:szCs w:val="24"/>
          <w:lang w:val="en-US"/>
        </w:rPr>
        <w:t xml:space="preserve">-resistance had been examined in a small study with 10 solid organ transplant recipients (8 </w:t>
      </w:r>
      <w:r w:rsidR="009F7823" w:rsidRPr="00841D2D">
        <w:rPr>
          <w:rFonts w:ascii="Book Antiqua" w:hAnsi="Book Antiqua"/>
          <w:sz w:val="24"/>
          <w:szCs w:val="24"/>
          <w:lang w:val="en-US"/>
        </w:rPr>
        <w:t>kidney</w:t>
      </w:r>
      <w:r w:rsidR="00B3378C" w:rsidRPr="00841D2D">
        <w:rPr>
          <w:rFonts w:ascii="Book Antiqua" w:hAnsi="Book Antiqua"/>
          <w:sz w:val="24"/>
          <w:szCs w:val="24"/>
          <w:lang w:val="en-US"/>
        </w:rPr>
        <w:t xml:space="preserve"> allograft recipients)</w:t>
      </w:r>
      <w:r w:rsidR="00B3378C" w:rsidRPr="00841D2D">
        <w:rPr>
          <w:rFonts w:ascii="Book Antiqua" w:hAnsi="Book Antiqua"/>
          <w:sz w:val="24"/>
          <w:szCs w:val="24"/>
          <w:vertAlign w:val="superscript"/>
          <w:lang w:val="en-US"/>
        </w:rPr>
        <w:t>[4</w:t>
      </w:r>
      <w:r w:rsidRPr="00841D2D">
        <w:rPr>
          <w:rFonts w:ascii="Book Antiqua" w:hAnsi="Book Antiqua"/>
          <w:sz w:val="24"/>
          <w:szCs w:val="24"/>
          <w:vertAlign w:val="superscript"/>
          <w:lang w:val="en-US"/>
        </w:rPr>
        <w:t>2</w:t>
      </w:r>
      <w:r w:rsidR="00B3378C" w:rsidRPr="00841D2D">
        <w:rPr>
          <w:rFonts w:ascii="Book Antiqua" w:hAnsi="Book Antiqua"/>
          <w:sz w:val="24"/>
          <w:szCs w:val="24"/>
          <w:vertAlign w:val="superscript"/>
          <w:lang w:val="en-US"/>
        </w:rPr>
        <w:t>]</w:t>
      </w:r>
      <w:r w:rsidR="00B3378C" w:rsidRPr="00841D2D">
        <w:rPr>
          <w:rFonts w:ascii="Book Antiqua" w:hAnsi="Book Antiqua"/>
          <w:sz w:val="24"/>
          <w:szCs w:val="24"/>
          <w:lang w:val="en-US"/>
        </w:rPr>
        <w:t xml:space="preserve">. Treatment with </w:t>
      </w:r>
      <w:r w:rsidR="009F7823" w:rsidRPr="00841D2D">
        <w:rPr>
          <w:rFonts w:ascii="Book Antiqua" w:hAnsi="Book Antiqua"/>
          <w:sz w:val="24"/>
          <w:szCs w:val="24"/>
          <w:lang w:val="en-US"/>
        </w:rPr>
        <w:t>ETV</w:t>
      </w:r>
      <w:r w:rsidR="00B3378C" w:rsidRPr="00841D2D">
        <w:rPr>
          <w:rFonts w:ascii="Book Antiqua" w:hAnsi="Book Antiqua"/>
          <w:sz w:val="24"/>
          <w:szCs w:val="24"/>
          <w:lang w:val="en-US"/>
        </w:rPr>
        <w:t xml:space="preserve"> resulted in an appreciable drop in HBV DNA levels and a 50% HBV undetectability in </w:t>
      </w:r>
      <w:r w:rsidR="009F7823" w:rsidRPr="00841D2D">
        <w:rPr>
          <w:rFonts w:ascii="Book Antiqua" w:hAnsi="Book Antiqua"/>
          <w:sz w:val="24"/>
          <w:szCs w:val="24"/>
          <w:lang w:val="en-US"/>
        </w:rPr>
        <w:t xml:space="preserve">both HBeAg positive and HBeAg </w:t>
      </w:r>
      <w:r w:rsidR="00B3378C" w:rsidRPr="00841D2D">
        <w:rPr>
          <w:rFonts w:ascii="Book Antiqua" w:hAnsi="Book Antiqua"/>
          <w:sz w:val="24"/>
          <w:szCs w:val="24"/>
          <w:lang w:val="en-US"/>
        </w:rPr>
        <w:t xml:space="preserve">negative patients after 16.5 mo of </w:t>
      </w:r>
      <w:r w:rsidR="00A56602" w:rsidRPr="00841D2D">
        <w:rPr>
          <w:rFonts w:ascii="Book Antiqua" w:hAnsi="Book Antiqua"/>
          <w:sz w:val="24"/>
          <w:szCs w:val="24"/>
          <w:lang w:val="en-US"/>
        </w:rPr>
        <w:t>treatment</w:t>
      </w:r>
      <w:r w:rsidR="009F7823" w:rsidRPr="00841D2D">
        <w:rPr>
          <w:rFonts w:ascii="Book Antiqua" w:hAnsi="Book Antiqua"/>
          <w:sz w:val="24"/>
          <w:szCs w:val="24"/>
          <w:lang w:val="en-US"/>
        </w:rPr>
        <w:t xml:space="preserve"> without significant changes in </w:t>
      </w:r>
      <w:r w:rsidR="00A56602" w:rsidRPr="00841D2D">
        <w:rPr>
          <w:rFonts w:ascii="Book Antiqua" w:hAnsi="Book Antiqua"/>
          <w:sz w:val="24"/>
          <w:szCs w:val="24"/>
          <w:lang w:val="en-US"/>
        </w:rPr>
        <w:t>glomerular filtration rate</w:t>
      </w:r>
      <w:r w:rsidR="009F7823" w:rsidRPr="00841D2D">
        <w:rPr>
          <w:rFonts w:ascii="Book Antiqua" w:hAnsi="Book Antiqua"/>
          <w:sz w:val="24"/>
          <w:szCs w:val="24"/>
          <w:vertAlign w:val="superscript"/>
          <w:lang w:val="en-US"/>
        </w:rPr>
        <w:t>[42]</w:t>
      </w:r>
      <w:r w:rsidR="009F7823" w:rsidRPr="00841D2D">
        <w:rPr>
          <w:rFonts w:ascii="Book Antiqua" w:hAnsi="Book Antiqua"/>
          <w:sz w:val="24"/>
          <w:szCs w:val="24"/>
          <w:lang w:val="en-US"/>
        </w:rPr>
        <w:t xml:space="preserve">. In our small experience </w:t>
      </w:r>
      <w:r w:rsidR="006F2A6F" w:rsidRPr="00841D2D">
        <w:rPr>
          <w:rFonts w:ascii="Book Antiqua" w:hAnsi="Book Antiqua"/>
          <w:sz w:val="24"/>
          <w:szCs w:val="24"/>
          <w:lang w:val="en-US"/>
        </w:rPr>
        <w:t xml:space="preserve">we reported ETV use in 11 patients with several chronic renal diseases: </w:t>
      </w:r>
      <w:r w:rsidR="00FD78CA" w:rsidRPr="00841D2D">
        <w:rPr>
          <w:rFonts w:ascii="Book Antiqua" w:hAnsi="Book Antiqua"/>
          <w:sz w:val="24"/>
          <w:szCs w:val="24"/>
          <w:lang w:val="en-US"/>
        </w:rPr>
        <w:t>1 with stage 4 CKD, 7 i</w:t>
      </w:r>
      <w:r w:rsidR="002D3B96">
        <w:rPr>
          <w:rFonts w:ascii="Book Antiqua" w:hAnsi="Book Antiqua"/>
          <w:sz w:val="24"/>
          <w:szCs w:val="24"/>
          <w:lang w:val="en-US"/>
        </w:rPr>
        <w:t>n dialysis, and 3 RT recipients</w:t>
      </w:r>
      <w:r w:rsidR="00FD78CA" w:rsidRPr="00841D2D">
        <w:rPr>
          <w:rFonts w:ascii="Book Antiqua" w:hAnsi="Book Antiqua"/>
          <w:sz w:val="24"/>
          <w:szCs w:val="24"/>
          <w:vertAlign w:val="superscript"/>
          <w:lang w:val="en-US"/>
        </w:rPr>
        <w:t>[43,44]</w:t>
      </w:r>
      <w:r w:rsidR="00FD78CA" w:rsidRPr="00841D2D">
        <w:rPr>
          <w:rFonts w:ascii="Book Antiqua" w:hAnsi="Book Antiqua"/>
          <w:sz w:val="24"/>
          <w:szCs w:val="24"/>
          <w:lang w:val="en-US"/>
        </w:rPr>
        <w:t>. HBV DNA was cleared in 54.5% (</w:t>
      </w:r>
      <w:r w:rsidR="00FD78CA" w:rsidRPr="002D3B96">
        <w:rPr>
          <w:rFonts w:ascii="Book Antiqua" w:hAnsi="Book Antiqua"/>
          <w:i/>
          <w:sz w:val="24"/>
          <w:szCs w:val="24"/>
          <w:lang w:val="en-US"/>
        </w:rPr>
        <w:t>n</w:t>
      </w:r>
      <w:r w:rsidR="00FD78CA" w:rsidRPr="00841D2D">
        <w:rPr>
          <w:rFonts w:ascii="Book Antiqua" w:hAnsi="Book Antiqua"/>
          <w:sz w:val="24"/>
          <w:szCs w:val="24"/>
          <w:lang w:val="en-US"/>
        </w:rPr>
        <w:t xml:space="preserve"> = 6); 77.7% of HBeAg-positive patients (7/9) seroconverted to antiHBe positive; and only one patient (9.1%) showed antiHBs seroconversion. There were no significant changes in renal or hematological biochemical parameters</w:t>
      </w:r>
      <w:r w:rsidR="006F2A6F" w:rsidRPr="00841D2D">
        <w:rPr>
          <w:rFonts w:ascii="Book Antiqua" w:hAnsi="Book Antiqua"/>
          <w:sz w:val="24"/>
          <w:szCs w:val="24"/>
          <w:vertAlign w:val="superscript"/>
          <w:lang w:val="en-US"/>
        </w:rPr>
        <w:t>[43,44]</w:t>
      </w:r>
      <w:r w:rsidR="006F2A6F" w:rsidRPr="00841D2D">
        <w:rPr>
          <w:rFonts w:ascii="Book Antiqua" w:hAnsi="Book Antiqua"/>
          <w:sz w:val="24"/>
          <w:szCs w:val="24"/>
          <w:lang w:val="en-US"/>
        </w:rPr>
        <w:t>. In the most recent report, twenty-one RT patients (10 treatment naïve, 11 with LAM resistance) were treated with ETV for 34.7 ± 22.9 mo (range 6-75 mo</w:t>
      </w:r>
      <w:r w:rsidR="002D3B96">
        <w:rPr>
          <w:rFonts w:ascii="Book Antiqua" w:hAnsi="Book Antiqua"/>
          <w:sz w:val="24"/>
          <w:szCs w:val="24"/>
          <w:lang w:val="en-US"/>
        </w:rPr>
        <w:t>)</w:t>
      </w:r>
      <w:r w:rsidR="006F2A6F" w:rsidRPr="00841D2D">
        <w:rPr>
          <w:rFonts w:ascii="Book Antiqua" w:hAnsi="Book Antiqua"/>
          <w:sz w:val="24"/>
          <w:szCs w:val="24"/>
          <w:vertAlign w:val="superscript"/>
          <w:lang w:val="en-US"/>
        </w:rPr>
        <w:t>[45]</w:t>
      </w:r>
      <w:r w:rsidR="006F2A6F" w:rsidRPr="00841D2D">
        <w:rPr>
          <w:rFonts w:ascii="Book Antiqua" w:hAnsi="Book Antiqua"/>
          <w:sz w:val="24"/>
          <w:szCs w:val="24"/>
          <w:lang w:val="en-US"/>
        </w:rPr>
        <w:t xml:space="preserve">. </w:t>
      </w:r>
      <w:r w:rsidR="00D82B63" w:rsidRPr="00841D2D">
        <w:rPr>
          <w:rFonts w:ascii="Book Antiqua" w:hAnsi="Book Antiqua"/>
          <w:sz w:val="24"/>
          <w:szCs w:val="24"/>
          <w:lang w:val="en-US"/>
        </w:rPr>
        <w:t>The cumulative rate of HBV DNA undetectability at 12, 24, and 36 mo was 60%, 100%, and 100% for treatment naïve group, and 27%, 45%, and 45% for LAM-R group, respectively. Genotypic resistance to ETV emerged after 20.0 ± 3.5 mo with increase in ALT and HBV DNA in two patients with LAM</w:t>
      </w:r>
      <w:r w:rsidR="00FD78CA" w:rsidRPr="00841D2D">
        <w:rPr>
          <w:rFonts w:ascii="Book Antiqua" w:hAnsi="Book Antiqua"/>
          <w:sz w:val="24"/>
          <w:szCs w:val="24"/>
          <w:lang w:val="en-US"/>
        </w:rPr>
        <w:t>-R</w:t>
      </w:r>
      <w:r w:rsidR="00D82B63" w:rsidRPr="00841D2D">
        <w:rPr>
          <w:rFonts w:ascii="Book Antiqua" w:hAnsi="Book Antiqua"/>
          <w:sz w:val="24"/>
          <w:szCs w:val="24"/>
          <w:lang w:val="en-US"/>
        </w:rPr>
        <w:t xml:space="preserve">, but was not observed in the treatment-naïve group. There were no significant changes in </w:t>
      </w:r>
      <w:r w:rsidR="00FD78CA" w:rsidRPr="00841D2D">
        <w:rPr>
          <w:rFonts w:ascii="Book Antiqua" w:hAnsi="Book Antiqua"/>
          <w:sz w:val="24"/>
          <w:szCs w:val="24"/>
          <w:lang w:val="en-US"/>
        </w:rPr>
        <w:t>glomerular filtration rate</w:t>
      </w:r>
      <w:r w:rsidR="00D82B63" w:rsidRPr="00841D2D">
        <w:rPr>
          <w:rFonts w:ascii="Book Antiqua" w:hAnsi="Book Antiqua"/>
          <w:sz w:val="24"/>
          <w:szCs w:val="24"/>
          <w:vertAlign w:val="superscript"/>
          <w:lang w:val="en-US"/>
        </w:rPr>
        <w:t>[45]</w:t>
      </w:r>
      <w:r w:rsidR="00D82B63" w:rsidRPr="00841D2D">
        <w:rPr>
          <w:rFonts w:ascii="Book Antiqua" w:hAnsi="Book Antiqua"/>
          <w:sz w:val="24"/>
          <w:szCs w:val="24"/>
          <w:lang w:val="en-US"/>
        </w:rPr>
        <w:t>.</w:t>
      </w:r>
      <w:r w:rsidR="00C90E6E" w:rsidRPr="00841D2D">
        <w:rPr>
          <w:rFonts w:ascii="Book Antiqua" w:hAnsi="Book Antiqua"/>
          <w:sz w:val="24"/>
          <w:szCs w:val="24"/>
          <w:lang w:val="en-US"/>
        </w:rPr>
        <w:t xml:space="preserve"> Also, ETV was used in RT patients who developed hepatic flares</w:t>
      </w:r>
      <w:r w:rsidR="0097500D">
        <w:rPr>
          <w:rFonts w:ascii="Book Antiqua" w:hAnsi="Book Antiqua"/>
          <w:sz w:val="24"/>
          <w:szCs w:val="24"/>
          <w:lang w:val="en-US"/>
        </w:rPr>
        <w:t xml:space="preserve"> duo to the appearance of LAM-R</w:t>
      </w:r>
      <w:r w:rsidR="00C90E6E" w:rsidRPr="00841D2D">
        <w:rPr>
          <w:rFonts w:ascii="Book Antiqua" w:hAnsi="Book Antiqua"/>
          <w:sz w:val="24"/>
          <w:szCs w:val="24"/>
          <w:vertAlign w:val="superscript"/>
          <w:lang w:val="en-US"/>
        </w:rPr>
        <w:t>[46]</w:t>
      </w:r>
      <w:r w:rsidR="00C90E6E" w:rsidRPr="00841D2D">
        <w:rPr>
          <w:rFonts w:ascii="Book Antiqua" w:hAnsi="Book Antiqua"/>
          <w:sz w:val="24"/>
          <w:szCs w:val="24"/>
          <w:lang w:val="en-US"/>
        </w:rPr>
        <w:t xml:space="preserve">. </w:t>
      </w:r>
      <w:r w:rsidR="00F41821" w:rsidRPr="00841D2D">
        <w:rPr>
          <w:rFonts w:ascii="Book Antiqua" w:hAnsi="Book Antiqua"/>
          <w:sz w:val="24"/>
          <w:szCs w:val="24"/>
          <w:lang w:val="en-US"/>
        </w:rPr>
        <w:t>Four patients were treated with ADV and two with ETV. After 18 mo, HBV DNA was &lt;</w:t>
      </w:r>
      <w:r w:rsidR="0097500D">
        <w:rPr>
          <w:rFonts w:ascii="Book Antiqua" w:hAnsi="Book Antiqua" w:hint="eastAsia"/>
          <w:sz w:val="24"/>
          <w:szCs w:val="24"/>
          <w:lang w:val="en-US" w:eastAsia="zh-CN"/>
        </w:rPr>
        <w:t xml:space="preserve"> </w:t>
      </w:r>
      <w:r w:rsidR="00F41821" w:rsidRPr="00841D2D">
        <w:rPr>
          <w:rFonts w:ascii="Book Antiqua" w:hAnsi="Book Antiqua"/>
          <w:sz w:val="24"/>
          <w:szCs w:val="24"/>
          <w:lang w:val="en-US"/>
        </w:rPr>
        <w:t>10</w:t>
      </w:r>
      <w:r w:rsidR="00F41821" w:rsidRPr="00841D2D">
        <w:rPr>
          <w:rFonts w:ascii="Book Antiqua" w:hAnsi="Book Antiqua"/>
          <w:sz w:val="24"/>
          <w:szCs w:val="24"/>
          <w:vertAlign w:val="superscript"/>
          <w:lang w:val="en-US"/>
        </w:rPr>
        <w:t>5</w:t>
      </w:r>
      <w:r w:rsidR="00F41821" w:rsidRPr="00841D2D">
        <w:rPr>
          <w:rFonts w:ascii="Book Antiqua" w:hAnsi="Book Antiqua"/>
          <w:sz w:val="24"/>
          <w:szCs w:val="24"/>
          <w:lang w:val="en-US"/>
        </w:rPr>
        <w:t xml:space="preserve"> copies/mL in </w:t>
      </w:r>
      <w:r w:rsidR="00FD78CA" w:rsidRPr="00841D2D">
        <w:rPr>
          <w:rFonts w:ascii="Book Antiqua" w:hAnsi="Book Antiqua"/>
          <w:sz w:val="24"/>
          <w:szCs w:val="24"/>
          <w:lang w:val="en-US"/>
        </w:rPr>
        <w:t>4</w:t>
      </w:r>
      <w:r w:rsidR="00F41821" w:rsidRPr="00841D2D">
        <w:rPr>
          <w:rFonts w:ascii="Book Antiqua" w:hAnsi="Book Antiqua"/>
          <w:sz w:val="24"/>
          <w:szCs w:val="24"/>
          <w:lang w:val="en-US"/>
        </w:rPr>
        <w:t xml:space="preserve"> </w:t>
      </w:r>
      <w:r w:rsidR="00FD78CA" w:rsidRPr="00841D2D">
        <w:rPr>
          <w:rFonts w:ascii="Book Antiqua" w:hAnsi="Book Antiqua"/>
          <w:sz w:val="24"/>
          <w:szCs w:val="24"/>
          <w:lang w:val="en-US"/>
        </w:rPr>
        <w:t>subjec</w:t>
      </w:r>
      <w:r w:rsidR="00F41821" w:rsidRPr="00841D2D">
        <w:rPr>
          <w:rFonts w:ascii="Book Antiqua" w:hAnsi="Book Antiqua"/>
          <w:sz w:val="24"/>
          <w:szCs w:val="24"/>
          <w:lang w:val="en-US"/>
        </w:rPr>
        <w:t>ts and &lt;</w:t>
      </w:r>
      <w:r w:rsidR="0097500D">
        <w:rPr>
          <w:rFonts w:ascii="Book Antiqua" w:hAnsi="Book Antiqua" w:hint="eastAsia"/>
          <w:sz w:val="24"/>
          <w:szCs w:val="24"/>
          <w:lang w:val="en-US" w:eastAsia="zh-CN"/>
        </w:rPr>
        <w:t xml:space="preserve"> </w:t>
      </w:r>
      <w:r w:rsidR="00F41821" w:rsidRPr="00841D2D">
        <w:rPr>
          <w:rFonts w:ascii="Book Antiqua" w:hAnsi="Book Antiqua"/>
          <w:sz w:val="24"/>
          <w:szCs w:val="24"/>
          <w:lang w:val="en-US"/>
        </w:rPr>
        <w:t>10</w:t>
      </w:r>
      <w:r w:rsidR="00F41821" w:rsidRPr="00841D2D">
        <w:rPr>
          <w:rFonts w:ascii="Book Antiqua" w:hAnsi="Book Antiqua"/>
          <w:sz w:val="24"/>
          <w:szCs w:val="24"/>
          <w:vertAlign w:val="superscript"/>
          <w:lang w:val="en-US"/>
        </w:rPr>
        <w:t>2</w:t>
      </w:r>
      <w:r w:rsidR="00F41821" w:rsidRPr="00841D2D">
        <w:rPr>
          <w:rFonts w:ascii="Book Antiqua" w:hAnsi="Book Antiqua"/>
          <w:sz w:val="24"/>
          <w:szCs w:val="24"/>
          <w:lang w:val="en-US"/>
        </w:rPr>
        <w:t xml:space="preserve"> copies/mL in </w:t>
      </w:r>
      <w:r w:rsidR="00FD78CA" w:rsidRPr="00841D2D">
        <w:rPr>
          <w:rFonts w:ascii="Book Antiqua" w:hAnsi="Book Antiqua"/>
          <w:sz w:val="24"/>
          <w:szCs w:val="24"/>
          <w:lang w:val="en-US"/>
        </w:rPr>
        <w:t>1</w:t>
      </w:r>
      <w:r w:rsidR="00F41821" w:rsidRPr="00841D2D">
        <w:rPr>
          <w:rFonts w:ascii="Book Antiqua" w:hAnsi="Book Antiqua"/>
          <w:sz w:val="24"/>
          <w:szCs w:val="24"/>
          <w:lang w:val="en-US"/>
        </w:rPr>
        <w:t xml:space="preserve"> </w:t>
      </w:r>
      <w:r w:rsidR="00FD78CA" w:rsidRPr="00841D2D">
        <w:rPr>
          <w:rFonts w:ascii="Book Antiqua" w:hAnsi="Book Antiqua"/>
          <w:sz w:val="24"/>
          <w:szCs w:val="24"/>
          <w:lang w:val="en-US"/>
        </w:rPr>
        <w:t>subject</w:t>
      </w:r>
      <w:r w:rsidR="00F41821" w:rsidRPr="00841D2D">
        <w:rPr>
          <w:rFonts w:ascii="Book Antiqua" w:hAnsi="Book Antiqua"/>
          <w:sz w:val="24"/>
          <w:szCs w:val="24"/>
          <w:lang w:val="en-US"/>
        </w:rPr>
        <w:t xml:space="preserve">. </w:t>
      </w:r>
      <w:r w:rsidR="00FD78CA" w:rsidRPr="00841D2D">
        <w:rPr>
          <w:rFonts w:ascii="Book Antiqua" w:hAnsi="Book Antiqua"/>
          <w:sz w:val="24"/>
          <w:szCs w:val="24"/>
          <w:lang w:val="en-US"/>
        </w:rPr>
        <w:t xml:space="preserve">There were no remarkable adverse events and no changes in </w:t>
      </w:r>
      <w:r w:rsidR="0097500D">
        <w:rPr>
          <w:rFonts w:ascii="Book Antiqua" w:hAnsi="Book Antiqua"/>
          <w:sz w:val="24"/>
          <w:szCs w:val="24"/>
          <w:lang w:val="en-US"/>
        </w:rPr>
        <w:t>renal function</w:t>
      </w:r>
      <w:r w:rsidR="00F41821" w:rsidRPr="00841D2D">
        <w:rPr>
          <w:rFonts w:ascii="Book Antiqua" w:hAnsi="Book Antiqua"/>
          <w:sz w:val="24"/>
          <w:szCs w:val="24"/>
          <w:vertAlign w:val="superscript"/>
          <w:lang w:val="en-US"/>
        </w:rPr>
        <w:t>[46]</w:t>
      </w:r>
      <w:r w:rsidR="00F41821" w:rsidRPr="00841D2D">
        <w:rPr>
          <w:rFonts w:ascii="Book Antiqua" w:hAnsi="Book Antiqua"/>
          <w:sz w:val="24"/>
          <w:szCs w:val="24"/>
          <w:lang w:val="en-US"/>
        </w:rPr>
        <w:t>. ETV appears as one of the best options for NUC naïve RT patients; it is less effective in LAM-R and better options are available.</w:t>
      </w:r>
    </w:p>
    <w:p w:rsidR="0074324F" w:rsidRDefault="00826ADF" w:rsidP="0097500D">
      <w:pPr>
        <w:spacing w:after="0" w:line="360" w:lineRule="auto"/>
        <w:ind w:firstLineChars="100" w:firstLine="240"/>
        <w:jc w:val="both"/>
        <w:rPr>
          <w:rFonts w:ascii="Book Antiqua" w:hAnsi="Book Antiqua"/>
          <w:sz w:val="24"/>
          <w:szCs w:val="24"/>
          <w:lang w:val="en-US" w:eastAsia="zh-CN"/>
        </w:rPr>
      </w:pPr>
      <w:r w:rsidRPr="00841D2D">
        <w:rPr>
          <w:rFonts w:ascii="Book Antiqua" w:hAnsi="Book Antiqua"/>
          <w:sz w:val="24"/>
          <w:szCs w:val="24"/>
          <w:lang w:val="en-US"/>
        </w:rPr>
        <w:t>Tenofovir was the last NUC to be approved for HBV monoinfection and is the other firs</w:t>
      </w:r>
      <w:r w:rsidR="0097500D">
        <w:rPr>
          <w:rFonts w:ascii="Book Antiqua" w:hAnsi="Book Antiqua"/>
          <w:sz w:val="24"/>
          <w:szCs w:val="24"/>
          <w:lang w:val="en-US"/>
        </w:rPr>
        <w:t>t line option together with ETV</w:t>
      </w:r>
      <w:r w:rsidRPr="00841D2D">
        <w:rPr>
          <w:rFonts w:ascii="Book Antiqua" w:hAnsi="Book Antiqua"/>
          <w:sz w:val="24"/>
          <w:szCs w:val="24"/>
          <w:vertAlign w:val="superscript"/>
          <w:lang w:val="en-US"/>
        </w:rPr>
        <w:t>[9,10,15]</w:t>
      </w:r>
      <w:r w:rsidRPr="00841D2D">
        <w:rPr>
          <w:rFonts w:ascii="Book Antiqua" w:hAnsi="Book Antiqua"/>
          <w:sz w:val="24"/>
          <w:szCs w:val="24"/>
          <w:lang w:val="en-US"/>
        </w:rPr>
        <w:t>. It has a high antiviral potency, a high genetic barrier for resis</w:t>
      </w:r>
      <w:r w:rsidR="0097500D">
        <w:rPr>
          <w:rFonts w:ascii="Book Antiqua" w:hAnsi="Book Antiqua"/>
          <w:sz w:val="24"/>
          <w:szCs w:val="24"/>
          <w:lang w:val="en-US"/>
        </w:rPr>
        <w:t>tance and a good safety profile</w:t>
      </w:r>
      <w:r w:rsidRPr="00841D2D">
        <w:rPr>
          <w:rFonts w:ascii="Book Antiqua" w:hAnsi="Book Antiqua"/>
          <w:sz w:val="24"/>
          <w:szCs w:val="24"/>
          <w:vertAlign w:val="superscript"/>
          <w:lang w:val="en-US"/>
        </w:rPr>
        <w:t>[9,10,15]</w:t>
      </w:r>
      <w:r w:rsidRPr="00841D2D">
        <w:rPr>
          <w:rFonts w:ascii="Book Antiqua" w:hAnsi="Book Antiqua"/>
          <w:sz w:val="24"/>
          <w:szCs w:val="24"/>
          <w:lang w:val="en-US"/>
        </w:rPr>
        <w:t>, but there is some concern abo</w:t>
      </w:r>
      <w:r w:rsidR="0097500D">
        <w:rPr>
          <w:rFonts w:ascii="Book Antiqua" w:hAnsi="Book Antiqua"/>
          <w:sz w:val="24"/>
          <w:szCs w:val="24"/>
          <w:lang w:val="en-US"/>
        </w:rPr>
        <w:t>ut its potential nephrotoxicity</w:t>
      </w:r>
      <w:r w:rsidR="003B06E0" w:rsidRPr="00841D2D">
        <w:rPr>
          <w:rFonts w:ascii="Book Antiqua" w:hAnsi="Book Antiqua"/>
          <w:sz w:val="24"/>
          <w:szCs w:val="24"/>
          <w:vertAlign w:val="superscript"/>
          <w:lang w:val="en-US"/>
        </w:rPr>
        <w:t>[47]</w:t>
      </w:r>
      <w:r w:rsidRPr="00841D2D">
        <w:rPr>
          <w:rFonts w:ascii="Book Antiqua" w:hAnsi="Book Antiqua"/>
          <w:sz w:val="24"/>
          <w:szCs w:val="24"/>
          <w:lang w:val="en-US"/>
        </w:rPr>
        <w:t>.</w:t>
      </w:r>
      <w:r w:rsidR="003B06E0" w:rsidRPr="00841D2D">
        <w:rPr>
          <w:rFonts w:ascii="Book Antiqua" w:hAnsi="Book Antiqua"/>
          <w:sz w:val="24"/>
          <w:szCs w:val="24"/>
          <w:lang w:val="en-US"/>
        </w:rPr>
        <w:t xml:space="preserve"> </w:t>
      </w:r>
      <w:r w:rsidR="007915C3" w:rsidRPr="00841D2D">
        <w:rPr>
          <w:rFonts w:ascii="Book Antiqua" w:hAnsi="Book Antiqua"/>
          <w:sz w:val="24"/>
          <w:szCs w:val="24"/>
          <w:lang w:val="en-US"/>
        </w:rPr>
        <w:t xml:space="preserve">There is little data in the renal transplant setting: only one study reports the results of three RT treated patients together with </w:t>
      </w:r>
      <w:r w:rsidR="00400E15" w:rsidRPr="00841D2D">
        <w:rPr>
          <w:rFonts w:ascii="Book Antiqua" w:hAnsi="Book Antiqua"/>
          <w:sz w:val="24"/>
          <w:szCs w:val="24"/>
          <w:lang w:val="en-US"/>
        </w:rPr>
        <w:t>3</w:t>
      </w:r>
      <w:r w:rsidR="007915C3" w:rsidRPr="00841D2D">
        <w:rPr>
          <w:rFonts w:ascii="Book Antiqua" w:hAnsi="Book Antiqua"/>
          <w:sz w:val="24"/>
          <w:szCs w:val="24"/>
          <w:lang w:val="en-US"/>
        </w:rPr>
        <w:t xml:space="preserve"> liver, and </w:t>
      </w:r>
      <w:r w:rsidR="00400E15" w:rsidRPr="00841D2D">
        <w:rPr>
          <w:rFonts w:ascii="Book Antiqua" w:hAnsi="Book Antiqua"/>
          <w:sz w:val="24"/>
          <w:szCs w:val="24"/>
          <w:lang w:val="en-US"/>
        </w:rPr>
        <w:t>1</w:t>
      </w:r>
      <w:r w:rsidR="007915C3" w:rsidRPr="00841D2D">
        <w:rPr>
          <w:rFonts w:ascii="Book Antiqua" w:hAnsi="Book Antiqua"/>
          <w:sz w:val="24"/>
          <w:szCs w:val="24"/>
          <w:lang w:val="en-US"/>
        </w:rPr>
        <w:t xml:space="preserve"> </w:t>
      </w:r>
      <w:r w:rsidR="00400E15" w:rsidRPr="00841D2D">
        <w:rPr>
          <w:rFonts w:ascii="Book Antiqua" w:hAnsi="Book Antiqua"/>
          <w:sz w:val="24"/>
          <w:szCs w:val="24"/>
          <w:lang w:val="en-US"/>
        </w:rPr>
        <w:t>heart</w:t>
      </w:r>
      <w:r w:rsidR="0097500D">
        <w:rPr>
          <w:rFonts w:ascii="Book Antiqua" w:hAnsi="Book Antiqua"/>
          <w:sz w:val="24"/>
          <w:szCs w:val="24"/>
          <w:lang w:val="en-US"/>
        </w:rPr>
        <w:t xml:space="preserve"> transplant recipients</w:t>
      </w:r>
      <w:r w:rsidR="007915C3" w:rsidRPr="00841D2D">
        <w:rPr>
          <w:rFonts w:ascii="Book Antiqua" w:hAnsi="Book Antiqua"/>
          <w:sz w:val="24"/>
          <w:szCs w:val="24"/>
          <w:vertAlign w:val="superscript"/>
          <w:lang w:val="en-US"/>
        </w:rPr>
        <w:t>[48]</w:t>
      </w:r>
      <w:r w:rsidR="007915C3" w:rsidRPr="00841D2D">
        <w:rPr>
          <w:rFonts w:ascii="Book Antiqua" w:hAnsi="Book Antiqua"/>
          <w:sz w:val="24"/>
          <w:szCs w:val="24"/>
          <w:lang w:val="en-US"/>
        </w:rPr>
        <w:t xml:space="preserve">. </w:t>
      </w:r>
      <w:r w:rsidR="0074324F" w:rsidRPr="00841D2D">
        <w:rPr>
          <w:rFonts w:ascii="Book Antiqua" w:hAnsi="Book Antiqua"/>
          <w:sz w:val="24"/>
          <w:szCs w:val="24"/>
          <w:lang w:val="en-US"/>
        </w:rPr>
        <w:t>HBV DNA viral beca</w:t>
      </w:r>
      <w:r w:rsidR="00400E15" w:rsidRPr="00841D2D">
        <w:rPr>
          <w:rFonts w:ascii="Book Antiqua" w:hAnsi="Book Antiqua"/>
          <w:sz w:val="24"/>
          <w:szCs w:val="24"/>
          <w:lang w:val="en-US"/>
        </w:rPr>
        <w:t>me significantly decreased and 3</w:t>
      </w:r>
      <w:r w:rsidR="0074324F" w:rsidRPr="00841D2D">
        <w:rPr>
          <w:rFonts w:ascii="Book Antiqua" w:hAnsi="Book Antiqua"/>
          <w:sz w:val="24"/>
          <w:szCs w:val="24"/>
          <w:lang w:val="en-US"/>
        </w:rPr>
        <w:t xml:space="preserve"> patients </w:t>
      </w:r>
      <w:r w:rsidR="00400E15" w:rsidRPr="00841D2D">
        <w:rPr>
          <w:rFonts w:ascii="Book Antiqua" w:hAnsi="Book Antiqua"/>
          <w:sz w:val="24"/>
          <w:szCs w:val="24"/>
          <w:lang w:val="en-US"/>
        </w:rPr>
        <w:t>cleared</w:t>
      </w:r>
      <w:r w:rsidR="0074324F" w:rsidRPr="00841D2D">
        <w:rPr>
          <w:rFonts w:ascii="Book Antiqua" w:hAnsi="Book Antiqua"/>
          <w:sz w:val="24"/>
          <w:szCs w:val="24"/>
          <w:lang w:val="en-US"/>
        </w:rPr>
        <w:t xml:space="preserve"> HBV DNA </w:t>
      </w:r>
      <w:r w:rsidR="007915C3" w:rsidRPr="00841D2D">
        <w:rPr>
          <w:rFonts w:ascii="Book Antiqua" w:hAnsi="Book Antiqua"/>
          <w:sz w:val="24"/>
          <w:szCs w:val="24"/>
          <w:lang w:val="en-US"/>
        </w:rPr>
        <w:t xml:space="preserve">at </w:t>
      </w:r>
      <w:r w:rsidR="00400E15" w:rsidRPr="00841D2D">
        <w:rPr>
          <w:rFonts w:ascii="Book Antiqua" w:hAnsi="Book Antiqua"/>
          <w:sz w:val="24"/>
          <w:szCs w:val="24"/>
          <w:lang w:val="en-US"/>
        </w:rPr>
        <w:t>the end of the study period</w:t>
      </w:r>
      <w:r w:rsidR="0074324F" w:rsidRPr="00841D2D">
        <w:rPr>
          <w:rFonts w:ascii="Book Antiqua" w:hAnsi="Book Antiqua"/>
          <w:sz w:val="24"/>
          <w:szCs w:val="24"/>
          <w:lang w:val="en-US"/>
        </w:rPr>
        <w:t xml:space="preserve">. </w:t>
      </w:r>
      <w:r w:rsidR="00C82B89" w:rsidRPr="00841D2D">
        <w:rPr>
          <w:rFonts w:ascii="Book Antiqua" w:hAnsi="Book Antiqua"/>
          <w:sz w:val="24"/>
          <w:szCs w:val="24"/>
          <w:lang w:val="en-US"/>
        </w:rPr>
        <w:t>There were no adverse events related</w:t>
      </w:r>
      <w:r w:rsidR="0074324F" w:rsidRPr="00841D2D">
        <w:rPr>
          <w:rFonts w:ascii="Book Antiqua" w:hAnsi="Book Antiqua"/>
          <w:sz w:val="24"/>
          <w:szCs w:val="24"/>
          <w:lang w:val="en-US"/>
        </w:rPr>
        <w:t xml:space="preserve"> to tenofovir </w:t>
      </w:r>
      <w:r w:rsidR="00C82B89" w:rsidRPr="00841D2D">
        <w:rPr>
          <w:rFonts w:ascii="Book Antiqua" w:hAnsi="Book Antiqua"/>
          <w:sz w:val="24"/>
          <w:szCs w:val="24"/>
          <w:lang w:val="en-US"/>
        </w:rPr>
        <w:t>treatment</w:t>
      </w:r>
      <w:r w:rsidR="0074324F" w:rsidRPr="00841D2D">
        <w:rPr>
          <w:rFonts w:ascii="Book Antiqua" w:hAnsi="Book Antiqua"/>
          <w:sz w:val="24"/>
          <w:szCs w:val="24"/>
          <w:lang w:val="en-US"/>
        </w:rPr>
        <w:t xml:space="preserve">. </w:t>
      </w:r>
      <w:r w:rsidR="00C82B89" w:rsidRPr="00841D2D">
        <w:rPr>
          <w:rFonts w:ascii="Book Antiqua" w:hAnsi="Book Antiqua"/>
          <w:sz w:val="24"/>
          <w:szCs w:val="24"/>
          <w:lang w:val="en-US"/>
        </w:rPr>
        <w:t>N</w:t>
      </w:r>
      <w:r w:rsidR="0074324F" w:rsidRPr="00841D2D">
        <w:rPr>
          <w:rFonts w:ascii="Book Antiqua" w:hAnsi="Book Antiqua"/>
          <w:sz w:val="24"/>
          <w:szCs w:val="24"/>
          <w:lang w:val="en-US"/>
        </w:rPr>
        <w:t xml:space="preserve">o </w:t>
      </w:r>
      <w:r w:rsidR="00C82B89" w:rsidRPr="00841D2D">
        <w:rPr>
          <w:rFonts w:ascii="Book Antiqua" w:hAnsi="Book Antiqua"/>
          <w:sz w:val="24"/>
          <w:szCs w:val="24"/>
          <w:lang w:val="en-US"/>
        </w:rPr>
        <w:t>episodes</w:t>
      </w:r>
      <w:r w:rsidR="0074324F" w:rsidRPr="00841D2D">
        <w:rPr>
          <w:rFonts w:ascii="Book Antiqua" w:hAnsi="Book Antiqua"/>
          <w:sz w:val="24"/>
          <w:szCs w:val="24"/>
          <w:lang w:val="en-US"/>
        </w:rPr>
        <w:t xml:space="preserve"> of </w:t>
      </w:r>
      <w:r w:rsidR="00C82B89" w:rsidRPr="00841D2D">
        <w:rPr>
          <w:rFonts w:ascii="Book Antiqua" w:hAnsi="Book Antiqua"/>
          <w:sz w:val="24"/>
          <w:szCs w:val="24"/>
          <w:lang w:val="en-US"/>
        </w:rPr>
        <w:t xml:space="preserve">acute </w:t>
      </w:r>
      <w:r w:rsidR="0074324F" w:rsidRPr="00841D2D">
        <w:rPr>
          <w:rFonts w:ascii="Book Antiqua" w:hAnsi="Book Antiqua"/>
          <w:sz w:val="24"/>
          <w:szCs w:val="24"/>
          <w:lang w:val="en-US"/>
        </w:rPr>
        <w:t xml:space="preserve">rejection </w:t>
      </w:r>
      <w:r w:rsidR="00C82B89" w:rsidRPr="00841D2D">
        <w:rPr>
          <w:rFonts w:ascii="Book Antiqua" w:hAnsi="Book Antiqua"/>
          <w:sz w:val="24"/>
          <w:szCs w:val="24"/>
          <w:lang w:val="en-US"/>
        </w:rPr>
        <w:t>were reported under therapy</w:t>
      </w:r>
      <w:r w:rsidR="0074324F" w:rsidRPr="00841D2D">
        <w:rPr>
          <w:rFonts w:ascii="Book Antiqua" w:hAnsi="Book Antiqua"/>
          <w:sz w:val="24"/>
          <w:szCs w:val="24"/>
          <w:lang w:val="en-US"/>
        </w:rPr>
        <w:t xml:space="preserve">. </w:t>
      </w:r>
      <w:r w:rsidR="00C82B89" w:rsidRPr="00841D2D">
        <w:rPr>
          <w:rFonts w:ascii="Book Antiqua" w:hAnsi="Book Antiqua"/>
          <w:sz w:val="24"/>
          <w:szCs w:val="24"/>
          <w:lang w:val="en-US"/>
        </w:rPr>
        <w:t>There were no statistically significant changes in renal function represented by stable creatinine levels, estimated creatinine clearance, serum phosphorus level, or daily microalbuminuria level</w:t>
      </w:r>
      <w:r w:rsidR="0074324F" w:rsidRPr="00841D2D">
        <w:rPr>
          <w:rFonts w:ascii="Book Antiqua" w:hAnsi="Book Antiqua"/>
          <w:sz w:val="24"/>
          <w:szCs w:val="24"/>
          <w:vertAlign w:val="superscript"/>
          <w:lang w:val="en-US"/>
        </w:rPr>
        <w:t>[48]</w:t>
      </w:r>
      <w:r w:rsidR="0074324F" w:rsidRPr="00841D2D">
        <w:rPr>
          <w:rFonts w:ascii="Book Antiqua" w:hAnsi="Book Antiqua"/>
          <w:sz w:val="24"/>
          <w:szCs w:val="24"/>
          <w:lang w:val="en-US"/>
        </w:rPr>
        <w:t xml:space="preserve">. </w:t>
      </w:r>
      <w:r w:rsidR="0045429A" w:rsidRPr="00841D2D">
        <w:rPr>
          <w:rFonts w:ascii="Book Antiqua" w:hAnsi="Book Antiqua"/>
          <w:sz w:val="24"/>
          <w:szCs w:val="24"/>
          <w:lang w:val="en-US"/>
        </w:rPr>
        <w:t>TDF</w:t>
      </w:r>
      <w:r w:rsidR="0074324F" w:rsidRPr="00841D2D">
        <w:rPr>
          <w:rFonts w:ascii="Book Antiqua" w:hAnsi="Book Antiqua"/>
          <w:sz w:val="24"/>
          <w:szCs w:val="24"/>
          <w:lang w:val="en-US"/>
        </w:rPr>
        <w:t xml:space="preserve"> appears as one of the best options for both NUC naïve and LAM-R RT patients; treatment results have to be extrapolated from the general population since there is little experience in RT. </w:t>
      </w:r>
    </w:p>
    <w:p w:rsidR="0097500D" w:rsidRPr="00841D2D" w:rsidRDefault="0097500D" w:rsidP="0097500D">
      <w:pPr>
        <w:spacing w:after="0" w:line="360" w:lineRule="auto"/>
        <w:ind w:firstLineChars="100" w:firstLine="240"/>
        <w:jc w:val="both"/>
        <w:rPr>
          <w:rFonts w:ascii="Book Antiqua" w:hAnsi="Book Antiqua"/>
          <w:sz w:val="24"/>
          <w:szCs w:val="24"/>
          <w:lang w:val="en-US" w:eastAsia="zh-CN"/>
        </w:rPr>
      </w:pPr>
    </w:p>
    <w:p w:rsidR="00696E00" w:rsidRPr="00841D2D" w:rsidRDefault="00375683"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TIMING OF INITIATION OF TREATMENT: PREEMPTIVE OR PROPHYLACTIC THERAPY</w:t>
      </w:r>
    </w:p>
    <w:p w:rsidR="00FC79F6" w:rsidRPr="00841D2D" w:rsidRDefault="004F4DDA"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 xml:space="preserve">Patients with chronic renal disease go through different phases: varying stages of renal failure, ESRD, </w:t>
      </w:r>
      <w:r w:rsidR="00222865" w:rsidRPr="00841D2D">
        <w:rPr>
          <w:rFonts w:ascii="Book Antiqua" w:hAnsi="Book Antiqua"/>
          <w:sz w:val="24"/>
          <w:szCs w:val="24"/>
          <w:lang w:val="en-US"/>
        </w:rPr>
        <w:t>hemo</w:t>
      </w:r>
      <w:r w:rsidRPr="00841D2D">
        <w:rPr>
          <w:rFonts w:ascii="Book Antiqua" w:hAnsi="Book Antiqua"/>
          <w:sz w:val="24"/>
          <w:szCs w:val="24"/>
          <w:lang w:val="en-US"/>
        </w:rPr>
        <w:t>dialysis</w:t>
      </w:r>
      <w:r w:rsidR="00222865" w:rsidRPr="00841D2D">
        <w:rPr>
          <w:rFonts w:ascii="Book Antiqua" w:hAnsi="Book Antiqua"/>
          <w:sz w:val="24"/>
          <w:szCs w:val="24"/>
          <w:lang w:val="en-US"/>
        </w:rPr>
        <w:t xml:space="preserve"> (HD)/peritoneal dialysis (PD),</w:t>
      </w:r>
      <w:r w:rsidRPr="00841D2D">
        <w:rPr>
          <w:rFonts w:ascii="Book Antiqua" w:hAnsi="Book Antiqua"/>
          <w:sz w:val="24"/>
          <w:szCs w:val="24"/>
          <w:lang w:val="en-US"/>
        </w:rPr>
        <w:t xml:space="preserve"> and transplantation. Once transplanted could suffer various kidney disease and finally lose the graft and return to dialysis. HBV infection will go with the patient along the road. </w:t>
      </w:r>
      <w:r w:rsidR="00FC79F6" w:rsidRPr="00841D2D">
        <w:rPr>
          <w:rFonts w:ascii="Book Antiqua" w:hAnsi="Book Antiqua"/>
          <w:sz w:val="24"/>
          <w:szCs w:val="24"/>
          <w:lang w:val="en-US"/>
        </w:rPr>
        <w:t>The timing of HBV treatment initiation may vary depending on the stage of renal disease.</w:t>
      </w:r>
    </w:p>
    <w:p w:rsidR="007B4DEA" w:rsidRPr="00841D2D" w:rsidRDefault="00F4238E"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P</w:t>
      </w:r>
      <w:r w:rsidR="00222865" w:rsidRPr="00841D2D">
        <w:rPr>
          <w:rFonts w:ascii="Book Antiqua" w:hAnsi="Book Antiqua"/>
          <w:sz w:val="24"/>
          <w:szCs w:val="24"/>
          <w:lang w:val="en-US"/>
        </w:rPr>
        <w:t xml:space="preserve">atients undergoing HD or PD who are not RT candidates can start NUC therapy </w:t>
      </w:r>
      <w:r w:rsidRPr="00841D2D">
        <w:rPr>
          <w:rFonts w:ascii="Book Antiqua" w:hAnsi="Book Antiqua"/>
          <w:sz w:val="24"/>
          <w:szCs w:val="24"/>
          <w:lang w:val="en-US"/>
        </w:rPr>
        <w:t>if</w:t>
      </w:r>
      <w:r w:rsidR="00222865" w:rsidRPr="00841D2D">
        <w:rPr>
          <w:rFonts w:ascii="Book Antiqua" w:hAnsi="Book Antiqua"/>
          <w:sz w:val="24"/>
          <w:szCs w:val="24"/>
          <w:lang w:val="en-US"/>
        </w:rPr>
        <w:t xml:space="preserve"> HBV DNA</w:t>
      </w:r>
      <w:r w:rsidRPr="00841D2D">
        <w:rPr>
          <w:rFonts w:ascii="Book Antiqua" w:hAnsi="Book Antiqua"/>
          <w:sz w:val="24"/>
          <w:szCs w:val="24"/>
          <w:lang w:val="en-US"/>
        </w:rPr>
        <w:t xml:space="preserve"> levels are</w:t>
      </w:r>
      <w:r w:rsidR="00222865" w:rsidRPr="00841D2D">
        <w:rPr>
          <w:rFonts w:ascii="Book Antiqua" w:hAnsi="Book Antiqua"/>
          <w:sz w:val="24"/>
          <w:szCs w:val="24"/>
          <w:lang w:val="en-US"/>
        </w:rPr>
        <w:t xml:space="preserve"> </w:t>
      </w:r>
      <w:r w:rsidRPr="00841D2D">
        <w:rPr>
          <w:rFonts w:ascii="Book Antiqua" w:hAnsi="Book Antiqua"/>
          <w:sz w:val="24"/>
          <w:szCs w:val="24"/>
          <w:lang w:val="en-US"/>
        </w:rPr>
        <w:t>≥</w:t>
      </w:r>
      <w:r w:rsidR="0097500D">
        <w:rPr>
          <w:rFonts w:ascii="Book Antiqua" w:hAnsi="Book Antiqua" w:hint="eastAsia"/>
          <w:sz w:val="24"/>
          <w:szCs w:val="24"/>
          <w:lang w:val="en-US" w:eastAsia="zh-CN"/>
        </w:rPr>
        <w:t xml:space="preserve"> </w:t>
      </w:r>
      <w:r w:rsidR="00222865" w:rsidRPr="00841D2D">
        <w:rPr>
          <w:rFonts w:ascii="Book Antiqua" w:hAnsi="Book Antiqua"/>
          <w:sz w:val="24"/>
          <w:szCs w:val="24"/>
          <w:lang w:val="en-US"/>
        </w:rPr>
        <w:t xml:space="preserve">2000 IU/mL regardless of ALT </w:t>
      </w:r>
      <w:r w:rsidRPr="00841D2D">
        <w:rPr>
          <w:rFonts w:ascii="Book Antiqua" w:hAnsi="Book Antiqua"/>
          <w:sz w:val="24"/>
          <w:szCs w:val="24"/>
          <w:lang w:val="en-US"/>
        </w:rPr>
        <w:t>levels</w:t>
      </w:r>
      <w:r w:rsidR="00222865" w:rsidRPr="00841D2D">
        <w:rPr>
          <w:rFonts w:ascii="Book Antiqua" w:hAnsi="Book Antiqua"/>
          <w:sz w:val="24"/>
          <w:szCs w:val="24"/>
          <w:lang w:val="en-US"/>
        </w:rPr>
        <w:t xml:space="preserve">, </w:t>
      </w:r>
      <w:r w:rsidRPr="00841D2D">
        <w:rPr>
          <w:rFonts w:ascii="Book Antiqua" w:eastAsia="Times New Roman" w:hAnsi="Book Antiqua" w:cs="Times New Roman"/>
          <w:sz w:val="24"/>
          <w:szCs w:val="24"/>
          <w:lang w:val="en-US"/>
        </w:rPr>
        <w:t>especially if they have moderate fibrosis in the liver biopsy(METAVR score F</w:t>
      </w:r>
      <w:r w:rsidR="0097500D">
        <w:rPr>
          <w:rFonts w:ascii="Book Antiqua" w:hAnsi="Book Antiqua" w:cs="Times New Roman" w:hint="eastAsia"/>
          <w:sz w:val="24"/>
          <w:szCs w:val="24"/>
          <w:lang w:val="en-US" w:eastAsia="zh-CN"/>
        </w:rPr>
        <w:t xml:space="preserve"> </w:t>
      </w:r>
      <w:r w:rsidRPr="00841D2D">
        <w:rPr>
          <w:rFonts w:ascii="Book Antiqua" w:eastAsia="Times New Roman" w:hAnsi="Book Antiqua" w:cs="Times New Roman"/>
          <w:sz w:val="24"/>
          <w:szCs w:val="24"/>
          <w:lang w:val="en-US"/>
        </w:rPr>
        <w:t>≥</w:t>
      </w:r>
      <w:r w:rsidR="0097500D">
        <w:rPr>
          <w:rFonts w:ascii="Book Antiqua" w:hAnsi="Book Antiqua" w:cs="Times New Roman" w:hint="eastAsia"/>
          <w:sz w:val="24"/>
          <w:szCs w:val="24"/>
          <w:lang w:val="en-US" w:eastAsia="zh-CN"/>
        </w:rPr>
        <w:t xml:space="preserve"> </w:t>
      </w:r>
      <w:r w:rsidRPr="00841D2D">
        <w:rPr>
          <w:rFonts w:ascii="Book Antiqua" w:eastAsia="Times New Roman" w:hAnsi="Book Antiqua" w:cs="Times New Roman"/>
          <w:sz w:val="24"/>
          <w:szCs w:val="24"/>
          <w:lang w:val="en-US"/>
        </w:rPr>
        <w:t>2) or estimated by a non-invasive methods</w:t>
      </w:r>
      <w:r w:rsidR="00222865" w:rsidRPr="00841D2D">
        <w:rPr>
          <w:rFonts w:ascii="Book Antiqua" w:hAnsi="Book Antiqua"/>
          <w:sz w:val="24"/>
          <w:szCs w:val="24"/>
          <w:vertAlign w:val="superscript"/>
          <w:lang w:val="en-US"/>
        </w:rPr>
        <w:t>[11]</w:t>
      </w:r>
      <w:r w:rsidR="00222865" w:rsidRPr="00841D2D">
        <w:rPr>
          <w:rFonts w:ascii="Book Antiqua" w:hAnsi="Book Antiqua"/>
          <w:sz w:val="24"/>
          <w:szCs w:val="24"/>
          <w:lang w:val="en-US"/>
        </w:rPr>
        <w:t xml:space="preserve">. </w:t>
      </w:r>
    </w:p>
    <w:p w:rsidR="00B03B4C" w:rsidRPr="00841D2D" w:rsidRDefault="009E4472" w:rsidP="0097500D">
      <w:pPr>
        <w:spacing w:after="0" w:line="360" w:lineRule="auto"/>
        <w:ind w:firstLineChars="100" w:firstLine="240"/>
        <w:jc w:val="both"/>
        <w:rPr>
          <w:rFonts w:ascii="Book Antiqua" w:eastAsia="Times New Roman" w:hAnsi="Book Antiqua" w:cs="Times New Roman"/>
          <w:sz w:val="24"/>
          <w:szCs w:val="24"/>
          <w:lang w:val="en-US"/>
        </w:rPr>
      </w:pPr>
      <w:r w:rsidRPr="00841D2D">
        <w:rPr>
          <w:rFonts w:ascii="Book Antiqua" w:hAnsi="Book Antiqua"/>
          <w:sz w:val="24"/>
          <w:szCs w:val="24"/>
          <w:lang w:val="en-US"/>
        </w:rPr>
        <w:t>All HBsAg-positive RT recipients are considered candidates for NUC treatment. RT candidates with HBV DNA levels &gt;</w:t>
      </w:r>
      <w:r w:rsidR="0097500D">
        <w:rPr>
          <w:rFonts w:ascii="Book Antiqua" w:hAnsi="Book Antiqua" w:hint="eastAsia"/>
          <w:sz w:val="24"/>
          <w:szCs w:val="24"/>
          <w:lang w:val="en-US" w:eastAsia="zh-CN"/>
        </w:rPr>
        <w:t xml:space="preserve"> </w:t>
      </w:r>
      <w:r w:rsidRPr="00841D2D">
        <w:rPr>
          <w:rFonts w:ascii="Book Antiqua" w:hAnsi="Book Antiqua"/>
          <w:sz w:val="24"/>
          <w:szCs w:val="24"/>
          <w:lang w:val="en-US"/>
        </w:rPr>
        <w:t>2000 IU/mL must initiate treatment at HBV diagnosis, those with HBV DNA ≤</w:t>
      </w:r>
      <w:r w:rsidR="0097500D">
        <w:rPr>
          <w:rFonts w:ascii="Book Antiqua" w:hAnsi="Book Antiqua" w:hint="eastAsia"/>
          <w:sz w:val="24"/>
          <w:szCs w:val="24"/>
          <w:lang w:val="en-US" w:eastAsia="zh-CN"/>
        </w:rPr>
        <w:t xml:space="preserve"> </w:t>
      </w:r>
      <w:r w:rsidRPr="00841D2D">
        <w:rPr>
          <w:rFonts w:ascii="Book Antiqua" w:hAnsi="Book Antiqua"/>
          <w:sz w:val="24"/>
          <w:szCs w:val="24"/>
          <w:lang w:val="en-US"/>
        </w:rPr>
        <w:t>2000 IU/mL shoul</w:t>
      </w:r>
      <w:r w:rsidR="0097500D">
        <w:rPr>
          <w:rFonts w:ascii="Book Antiqua" w:hAnsi="Book Antiqua"/>
          <w:sz w:val="24"/>
          <w:szCs w:val="24"/>
          <w:lang w:val="en-US"/>
        </w:rPr>
        <w:t>d start therapy at least 2 wk</w:t>
      </w:r>
      <w:r w:rsidRPr="00841D2D">
        <w:rPr>
          <w:rFonts w:ascii="Book Antiqua" w:hAnsi="Book Antiqua"/>
          <w:sz w:val="24"/>
          <w:szCs w:val="24"/>
          <w:lang w:val="en-US"/>
        </w:rPr>
        <w:t xml:space="preserve"> before RT. NUC therapy has to be continued indefinitely as long as the patients are under </w:t>
      </w:r>
      <w:r w:rsidR="0097500D">
        <w:rPr>
          <w:rFonts w:ascii="Book Antiqua" w:hAnsi="Book Antiqua"/>
          <w:sz w:val="24"/>
          <w:szCs w:val="24"/>
          <w:lang w:val="en-US"/>
        </w:rPr>
        <w:t>any immunosuppressive treatment</w:t>
      </w:r>
      <w:r w:rsidRPr="00841D2D">
        <w:rPr>
          <w:rFonts w:ascii="Book Antiqua" w:hAnsi="Book Antiqua"/>
          <w:sz w:val="24"/>
          <w:szCs w:val="24"/>
          <w:vertAlign w:val="superscript"/>
          <w:lang w:val="en-US"/>
        </w:rPr>
        <w:t>[9,10,11,15]</w:t>
      </w:r>
      <w:r w:rsidRPr="00841D2D">
        <w:rPr>
          <w:rFonts w:ascii="Book Antiqua" w:hAnsi="Book Antiqua"/>
          <w:sz w:val="24"/>
          <w:szCs w:val="24"/>
          <w:lang w:val="en-US"/>
        </w:rPr>
        <w:t>. It should be remembered that compensated cirrhotic patients are not candidates for RT, and cirrhotic patients with decompensated disease should be evaluated for combined liver-kidney transplantation</w:t>
      </w:r>
      <w:r w:rsidR="00D12903" w:rsidRPr="00841D2D">
        <w:rPr>
          <w:rFonts w:ascii="Book Antiqua" w:hAnsi="Book Antiqua"/>
          <w:sz w:val="24"/>
          <w:szCs w:val="24"/>
          <w:vertAlign w:val="superscript"/>
          <w:lang w:val="en-US"/>
        </w:rPr>
        <w:t>[11,49]</w:t>
      </w:r>
      <w:r w:rsidR="00B03B4C" w:rsidRPr="00841D2D">
        <w:rPr>
          <w:rFonts w:ascii="Book Antiqua" w:hAnsi="Book Antiqua"/>
          <w:sz w:val="24"/>
          <w:szCs w:val="24"/>
          <w:lang w:val="en-US"/>
        </w:rPr>
        <w:t>.</w:t>
      </w:r>
    </w:p>
    <w:p w:rsidR="002C408B" w:rsidRPr="00841D2D" w:rsidRDefault="00222865"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As previously mentioned, RT candidates who are </w:t>
      </w:r>
      <w:r w:rsidRPr="00841D2D">
        <w:rPr>
          <w:rFonts w:ascii="Book Antiqua" w:hAnsi="Book Antiqua"/>
          <w:i/>
          <w:sz w:val="24"/>
          <w:szCs w:val="24"/>
          <w:lang w:val="en-US"/>
        </w:rPr>
        <w:t>inactive carriers</w:t>
      </w:r>
      <w:r w:rsidRPr="00841D2D">
        <w:rPr>
          <w:rFonts w:ascii="Book Antiqua" w:hAnsi="Book Antiqua"/>
          <w:sz w:val="24"/>
          <w:szCs w:val="24"/>
          <w:lang w:val="en-US"/>
        </w:rPr>
        <w:t xml:space="preserve"> </w:t>
      </w:r>
      <w:r w:rsidR="009E4472" w:rsidRPr="00841D2D">
        <w:rPr>
          <w:rFonts w:ascii="Book Antiqua" w:hAnsi="Book Antiqua"/>
          <w:sz w:val="24"/>
          <w:szCs w:val="24"/>
          <w:lang w:val="en-US"/>
        </w:rPr>
        <w:t>have</w:t>
      </w:r>
      <w:r w:rsidRPr="00841D2D">
        <w:rPr>
          <w:rFonts w:ascii="Book Antiqua" w:hAnsi="Book Antiqua"/>
          <w:sz w:val="24"/>
          <w:szCs w:val="24"/>
          <w:lang w:val="en-US"/>
        </w:rPr>
        <w:t xml:space="preserve"> an increased reactivation </w:t>
      </w:r>
      <w:r w:rsidR="009E4472" w:rsidRPr="00841D2D">
        <w:rPr>
          <w:rFonts w:ascii="Book Antiqua" w:hAnsi="Book Antiqua"/>
          <w:sz w:val="24"/>
          <w:szCs w:val="24"/>
          <w:lang w:val="en-US"/>
        </w:rPr>
        <w:t xml:space="preserve">risk </w:t>
      </w:r>
      <w:r w:rsidRPr="00841D2D">
        <w:rPr>
          <w:rFonts w:ascii="Book Antiqua" w:hAnsi="Book Antiqua"/>
          <w:sz w:val="24"/>
          <w:szCs w:val="24"/>
          <w:lang w:val="en-US"/>
        </w:rPr>
        <w:t xml:space="preserve">after transplantation. In this subgroup of HBsAg positive patients treatment can be used as prophylactic (HBV DNA undetectable, no hepatocellular injury), preemptive (HBV DNA </w:t>
      </w:r>
      <w:r w:rsidR="009E4472" w:rsidRPr="00841D2D">
        <w:rPr>
          <w:rFonts w:ascii="Book Antiqua" w:hAnsi="Book Antiqua"/>
          <w:sz w:val="24"/>
          <w:szCs w:val="24"/>
          <w:lang w:val="en-US"/>
        </w:rPr>
        <w:t>≤</w:t>
      </w:r>
      <w:r w:rsidR="0097500D">
        <w:rPr>
          <w:rFonts w:ascii="Book Antiqua" w:hAnsi="Book Antiqua" w:hint="eastAsia"/>
          <w:sz w:val="24"/>
          <w:szCs w:val="24"/>
          <w:lang w:val="en-US" w:eastAsia="zh-CN"/>
        </w:rPr>
        <w:t xml:space="preserve"> </w:t>
      </w:r>
      <w:r w:rsidRPr="00841D2D">
        <w:rPr>
          <w:rFonts w:ascii="Book Antiqua" w:hAnsi="Book Antiqua"/>
          <w:sz w:val="24"/>
          <w:szCs w:val="24"/>
          <w:lang w:val="en-US"/>
        </w:rPr>
        <w:t>2000 IU/m</w:t>
      </w:r>
      <w:r w:rsidR="0097500D" w:rsidRPr="00841D2D">
        <w:rPr>
          <w:rFonts w:ascii="Book Antiqua" w:hAnsi="Book Antiqua"/>
          <w:sz w:val="24"/>
          <w:szCs w:val="24"/>
          <w:lang w:val="en-US"/>
        </w:rPr>
        <w:t>L</w:t>
      </w:r>
      <w:r w:rsidRPr="00841D2D">
        <w:rPr>
          <w:rFonts w:ascii="Book Antiqua" w:hAnsi="Book Antiqua"/>
          <w:sz w:val="24"/>
          <w:szCs w:val="24"/>
          <w:lang w:val="en-US"/>
        </w:rPr>
        <w:t>, no hepatocellular injury), and salvage therapy after reactivation (HBV DNA &gt;</w:t>
      </w:r>
      <w:r w:rsidR="0097500D">
        <w:rPr>
          <w:rFonts w:ascii="Book Antiqua" w:hAnsi="Book Antiqua" w:hint="eastAsia"/>
          <w:sz w:val="24"/>
          <w:szCs w:val="24"/>
          <w:lang w:val="en-US" w:eastAsia="zh-CN"/>
        </w:rPr>
        <w:t xml:space="preserve"> </w:t>
      </w:r>
      <w:r w:rsidRPr="00841D2D">
        <w:rPr>
          <w:rFonts w:ascii="Book Antiqua" w:hAnsi="Book Antiqua"/>
          <w:sz w:val="24"/>
          <w:szCs w:val="24"/>
          <w:lang w:val="en-US"/>
        </w:rPr>
        <w:t>2000 IU/m</w:t>
      </w:r>
      <w:r w:rsidR="0097500D" w:rsidRPr="00841D2D">
        <w:rPr>
          <w:rFonts w:ascii="Book Antiqua" w:hAnsi="Book Antiqua"/>
          <w:sz w:val="24"/>
          <w:szCs w:val="24"/>
          <w:lang w:val="en-US"/>
        </w:rPr>
        <w:t>L</w:t>
      </w:r>
      <w:r w:rsidRPr="00841D2D">
        <w:rPr>
          <w:rFonts w:ascii="Book Antiqua" w:hAnsi="Book Antiqua"/>
          <w:sz w:val="24"/>
          <w:szCs w:val="24"/>
          <w:lang w:val="en-US"/>
        </w:rPr>
        <w:t xml:space="preserve">, with hepatocellular injury). Even if the prophylactic/preemptive initiation is the generally accepted treatment, the data comparing these treatments are few. </w:t>
      </w:r>
      <w:r w:rsidR="002C408B" w:rsidRPr="00841D2D">
        <w:rPr>
          <w:rFonts w:ascii="Book Antiqua" w:hAnsi="Book Antiqua"/>
          <w:sz w:val="24"/>
          <w:szCs w:val="24"/>
          <w:lang w:val="en-US"/>
        </w:rPr>
        <w:t>The disappearance of viral load is a prerequisite for a HBV positive patient on hemodialysis to be enrolled in the RT list. Therapy with ETV, TDF or LAM on adjusted doses for renal function is included in the current guidelines for prophylaxis of HBV positive RT candidates. The optimal NUC regimen has not been proposed yet, so prophylaxis may start before or at the tim</w:t>
      </w:r>
      <w:r w:rsidR="0097500D">
        <w:rPr>
          <w:rFonts w:ascii="Book Antiqua" w:hAnsi="Book Antiqua"/>
          <w:sz w:val="24"/>
          <w:szCs w:val="24"/>
          <w:lang w:val="en-US"/>
        </w:rPr>
        <w:t>e of RT and continue thereafter</w:t>
      </w:r>
      <w:r w:rsidR="002C408B" w:rsidRPr="00841D2D">
        <w:rPr>
          <w:rFonts w:ascii="Book Antiqua" w:hAnsi="Book Antiqua"/>
          <w:sz w:val="24"/>
          <w:szCs w:val="24"/>
          <w:vertAlign w:val="superscript"/>
          <w:lang w:val="en-US"/>
        </w:rPr>
        <w:t>[9,10,15,50]</w:t>
      </w:r>
      <w:r w:rsidR="002C408B" w:rsidRPr="00841D2D">
        <w:rPr>
          <w:rFonts w:ascii="Book Antiqua" w:hAnsi="Book Antiqua"/>
          <w:sz w:val="24"/>
          <w:szCs w:val="24"/>
          <w:lang w:val="en-US"/>
        </w:rPr>
        <w:t>. ETV should be the first line option for avoidance of short term resistance and ADV nephrotoxicity, while TDF had better be applied in case of LAM-R</w:t>
      </w:r>
      <w:r w:rsidR="00ED030D" w:rsidRPr="00841D2D">
        <w:rPr>
          <w:rFonts w:ascii="Book Antiqua" w:hAnsi="Book Antiqua"/>
          <w:sz w:val="24"/>
          <w:szCs w:val="24"/>
          <w:vertAlign w:val="superscript"/>
          <w:lang w:val="en-US"/>
        </w:rPr>
        <w:t>[9,10,50]</w:t>
      </w:r>
      <w:r w:rsidR="002C408B" w:rsidRPr="00841D2D">
        <w:rPr>
          <w:rFonts w:ascii="Book Antiqua" w:hAnsi="Book Antiqua"/>
          <w:sz w:val="24"/>
          <w:szCs w:val="24"/>
          <w:lang w:val="en-US"/>
        </w:rPr>
        <w:t>.</w:t>
      </w:r>
    </w:p>
    <w:p w:rsidR="00F15B28" w:rsidRPr="00841D2D" w:rsidRDefault="00ED030D" w:rsidP="0097500D">
      <w:pPr>
        <w:spacing w:after="0" w:line="360" w:lineRule="auto"/>
        <w:ind w:firstLineChars="100" w:firstLine="240"/>
        <w:jc w:val="both"/>
        <w:rPr>
          <w:rFonts w:ascii="Book Antiqua" w:eastAsia="Times New Roman" w:hAnsi="Book Antiqua" w:cs="Times New Roman"/>
          <w:sz w:val="24"/>
          <w:szCs w:val="24"/>
          <w:lang w:val="en-US"/>
        </w:rPr>
      </w:pPr>
      <w:r w:rsidRPr="00841D2D">
        <w:rPr>
          <w:rFonts w:ascii="Book Antiqua" w:hAnsi="Book Antiqua"/>
          <w:sz w:val="24"/>
          <w:szCs w:val="24"/>
          <w:lang w:val="en-US"/>
        </w:rPr>
        <w:t>Lamivudine is the most extensively drug used in prophylactic/preemptive therapy in RT patients. In a small study, LAM given as either prophylactic or pre-emptive treatment was proven superior to salvage therapy wh</w:t>
      </w:r>
      <w:r w:rsidR="0097500D">
        <w:rPr>
          <w:rFonts w:ascii="Book Antiqua" w:hAnsi="Book Antiqua"/>
          <w:sz w:val="24"/>
          <w:szCs w:val="24"/>
          <w:lang w:val="en-US"/>
        </w:rPr>
        <w:t>en liver dysfunction is evident</w:t>
      </w:r>
      <w:r w:rsidRPr="00841D2D">
        <w:rPr>
          <w:rFonts w:ascii="Book Antiqua" w:hAnsi="Book Antiqua"/>
          <w:sz w:val="24"/>
          <w:szCs w:val="24"/>
          <w:vertAlign w:val="superscript"/>
          <w:lang w:val="en-US"/>
        </w:rPr>
        <w:t>[51]</w:t>
      </w:r>
      <w:r w:rsidRPr="00841D2D">
        <w:rPr>
          <w:rFonts w:ascii="Book Antiqua" w:hAnsi="Book Antiqua"/>
          <w:sz w:val="24"/>
          <w:szCs w:val="24"/>
          <w:lang w:val="en-US"/>
        </w:rPr>
        <w:t xml:space="preserve">. None of the HBsAg positive patients </w:t>
      </w:r>
      <w:r w:rsidR="003D073C" w:rsidRPr="00841D2D">
        <w:rPr>
          <w:rFonts w:ascii="Book Antiqua" w:hAnsi="Book Antiqua"/>
          <w:sz w:val="24"/>
          <w:szCs w:val="24"/>
          <w:lang w:val="en-US"/>
        </w:rPr>
        <w:t>receiving prophylactic or pre-emptive therapy developed reactivation, while 50% of the patients not bee</w:t>
      </w:r>
      <w:r w:rsidR="0097500D">
        <w:rPr>
          <w:rFonts w:ascii="Book Antiqua" w:hAnsi="Book Antiqua"/>
          <w:sz w:val="24"/>
          <w:szCs w:val="24"/>
          <w:lang w:val="en-US"/>
        </w:rPr>
        <w:t>n treated suffered reactivation</w:t>
      </w:r>
      <w:r w:rsidR="003D073C" w:rsidRPr="00841D2D">
        <w:rPr>
          <w:rFonts w:ascii="Book Antiqua" w:hAnsi="Book Antiqua"/>
          <w:sz w:val="24"/>
          <w:szCs w:val="24"/>
          <w:vertAlign w:val="superscript"/>
          <w:lang w:val="en-US"/>
        </w:rPr>
        <w:t>[51</w:t>
      </w:r>
      <w:r w:rsidR="00F15B28" w:rsidRPr="00841D2D">
        <w:rPr>
          <w:rFonts w:ascii="Book Antiqua" w:hAnsi="Book Antiqua"/>
          <w:sz w:val="24"/>
          <w:szCs w:val="24"/>
          <w:vertAlign w:val="superscript"/>
          <w:lang w:val="en-US"/>
        </w:rPr>
        <w:t>,52</w:t>
      </w:r>
      <w:r w:rsidR="003D073C" w:rsidRPr="00841D2D">
        <w:rPr>
          <w:rFonts w:ascii="Book Antiqua" w:hAnsi="Book Antiqua"/>
          <w:sz w:val="24"/>
          <w:szCs w:val="24"/>
          <w:vertAlign w:val="superscript"/>
          <w:lang w:val="en-US"/>
        </w:rPr>
        <w:t>]</w:t>
      </w:r>
      <w:r w:rsidR="003D073C" w:rsidRPr="00841D2D">
        <w:rPr>
          <w:rFonts w:ascii="Book Antiqua" w:hAnsi="Book Antiqua"/>
          <w:sz w:val="24"/>
          <w:szCs w:val="24"/>
          <w:lang w:val="en-US"/>
        </w:rPr>
        <w:t>. These results were confirmed by others</w:t>
      </w:r>
      <w:r w:rsidR="00865C69" w:rsidRPr="00841D2D">
        <w:rPr>
          <w:rFonts w:ascii="Book Antiqua" w:hAnsi="Book Antiqua"/>
          <w:sz w:val="24"/>
          <w:szCs w:val="24"/>
          <w:lang w:val="en-US"/>
        </w:rPr>
        <w:t>, but there is some controversy about</w:t>
      </w:r>
      <w:r w:rsidR="003D073C" w:rsidRPr="00841D2D">
        <w:rPr>
          <w:rFonts w:ascii="Book Antiqua" w:hAnsi="Book Antiqua"/>
          <w:sz w:val="24"/>
          <w:szCs w:val="24"/>
          <w:lang w:val="en-US"/>
        </w:rPr>
        <w:t xml:space="preserve"> </w:t>
      </w:r>
      <w:r w:rsidR="00865C69" w:rsidRPr="00841D2D">
        <w:rPr>
          <w:rFonts w:ascii="Book Antiqua" w:hAnsi="Book Antiqua"/>
          <w:sz w:val="24"/>
          <w:szCs w:val="24"/>
          <w:lang w:val="en-US"/>
        </w:rPr>
        <w:t>the clinical impact of prophylactic/preemptive</w:t>
      </w:r>
      <w:r w:rsidR="0097500D">
        <w:rPr>
          <w:rFonts w:ascii="Book Antiqua" w:hAnsi="Book Antiqua"/>
          <w:sz w:val="24"/>
          <w:szCs w:val="24"/>
          <w:lang w:val="en-US"/>
        </w:rPr>
        <w:t xml:space="preserve"> therapy </w:t>
      </w:r>
      <w:r w:rsidR="00FF104C" w:rsidRPr="00841D2D">
        <w:rPr>
          <w:rFonts w:ascii="Book Antiqua" w:hAnsi="Book Antiqua"/>
          <w:i/>
          <w:iCs/>
          <w:sz w:val="24"/>
          <w:szCs w:val="24"/>
          <w:lang w:val="en-US"/>
        </w:rPr>
        <w:t>vs</w:t>
      </w:r>
      <w:r w:rsidR="00FF104C">
        <w:rPr>
          <w:rFonts w:ascii="Book Antiqua" w:hAnsi="Book Antiqua"/>
          <w:sz w:val="24"/>
          <w:szCs w:val="24"/>
          <w:lang w:val="en-US"/>
        </w:rPr>
        <w:t xml:space="preserve"> </w:t>
      </w:r>
      <w:r w:rsidR="0097500D">
        <w:rPr>
          <w:rFonts w:ascii="Book Antiqua" w:hAnsi="Book Antiqua"/>
          <w:sz w:val="24"/>
          <w:szCs w:val="24"/>
          <w:lang w:val="en-US"/>
        </w:rPr>
        <w:t>salvage therapy</w:t>
      </w:r>
      <w:r w:rsidR="009B67A5" w:rsidRPr="00841D2D">
        <w:rPr>
          <w:rFonts w:ascii="Book Antiqua" w:hAnsi="Book Antiqua"/>
          <w:sz w:val="24"/>
          <w:szCs w:val="24"/>
          <w:vertAlign w:val="superscript"/>
          <w:lang w:val="en-US"/>
        </w:rPr>
        <w:t>[5</w:t>
      </w:r>
      <w:r w:rsidR="00F15B28" w:rsidRPr="00841D2D">
        <w:rPr>
          <w:rFonts w:ascii="Book Antiqua" w:hAnsi="Book Antiqua"/>
          <w:sz w:val="24"/>
          <w:szCs w:val="24"/>
          <w:vertAlign w:val="superscript"/>
          <w:lang w:val="en-US"/>
        </w:rPr>
        <w:t>1</w:t>
      </w:r>
      <w:r w:rsidR="009B67A5" w:rsidRPr="00841D2D">
        <w:rPr>
          <w:rFonts w:ascii="Book Antiqua" w:hAnsi="Book Antiqua"/>
          <w:sz w:val="24"/>
          <w:szCs w:val="24"/>
          <w:vertAlign w:val="superscript"/>
          <w:lang w:val="en-US"/>
        </w:rPr>
        <w:t>-55</w:t>
      </w:r>
      <w:r w:rsidR="00865C69" w:rsidRPr="00841D2D">
        <w:rPr>
          <w:rFonts w:ascii="Book Antiqua" w:hAnsi="Book Antiqua"/>
          <w:sz w:val="24"/>
          <w:szCs w:val="24"/>
          <w:vertAlign w:val="superscript"/>
          <w:lang w:val="en-US"/>
        </w:rPr>
        <w:t>]</w:t>
      </w:r>
      <w:r w:rsidR="00865C69" w:rsidRPr="00841D2D">
        <w:rPr>
          <w:rFonts w:ascii="Book Antiqua" w:hAnsi="Book Antiqua"/>
          <w:sz w:val="24"/>
          <w:szCs w:val="24"/>
          <w:lang w:val="en-US"/>
        </w:rPr>
        <w:t xml:space="preserve">. </w:t>
      </w:r>
      <w:r w:rsidR="009E4472" w:rsidRPr="00841D2D">
        <w:rPr>
          <w:rFonts w:ascii="Book Antiqua" w:hAnsi="Book Antiqua"/>
          <w:sz w:val="24"/>
          <w:szCs w:val="24"/>
          <w:lang w:val="en-US"/>
        </w:rPr>
        <w:t xml:space="preserve">One study showed that there was no differences in survival between HBsAg positive RT patients treated preemptively with LAM and HBsAg negative controls. HBsAg positive patients transplanted without preemptive therapy had in increased mortality rate </w:t>
      </w:r>
      <w:r w:rsidR="0097500D">
        <w:rPr>
          <w:rFonts w:ascii="Book Antiqua" w:hAnsi="Book Antiqua" w:hint="eastAsia"/>
          <w:sz w:val="24"/>
          <w:szCs w:val="24"/>
          <w:lang w:val="en-US" w:eastAsia="zh-CN"/>
        </w:rPr>
        <w:t>[</w:t>
      </w:r>
      <w:r w:rsidR="009E4472" w:rsidRPr="00841D2D">
        <w:rPr>
          <w:rFonts w:ascii="Book Antiqua" w:hAnsi="Book Antiqua"/>
          <w:sz w:val="24"/>
          <w:szCs w:val="24"/>
          <w:lang w:val="en-US"/>
        </w:rPr>
        <w:t xml:space="preserve">relative risk of death, 9.7 </w:t>
      </w:r>
      <w:r w:rsidR="0097500D">
        <w:rPr>
          <w:rFonts w:ascii="Book Antiqua" w:hAnsi="Book Antiqua" w:hint="eastAsia"/>
          <w:sz w:val="24"/>
          <w:szCs w:val="24"/>
          <w:lang w:val="en-US" w:eastAsia="zh-CN"/>
        </w:rPr>
        <w:t>(</w:t>
      </w:r>
      <w:r w:rsidR="009E4472" w:rsidRPr="0097500D">
        <w:rPr>
          <w:rFonts w:ascii="Book Antiqua" w:hAnsi="Book Antiqua"/>
          <w:i/>
          <w:sz w:val="24"/>
          <w:szCs w:val="24"/>
          <w:lang w:val="en-US"/>
        </w:rPr>
        <w:t>P</w:t>
      </w:r>
      <w:r w:rsidR="009E4472" w:rsidRPr="00841D2D">
        <w:rPr>
          <w:rFonts w:ascii="Book Antiqua" w:hAnsi="Book Antiqua"/>
          <w:sz w:val="24"/>
          <w:szCs w:val="24"/>
          <w:lang w:val="en-US"/>
        </w:rPr>
        <w:t xml:space="preserve"> &lt;</w:t>
      </w:r>
      <w:r w:rsidR="0097500D">
        <w:rPr>
          <w:rFonts w:ascii="Book Antiqua" w:hAnsi="Book Antiqua" w:hint="eastAsia"/>
          <w:sz w:val="24"/>
          <w:szCs w:val="24"/>
          <w:lang w:val="en-US" w:eastAsia="zh-CN"/>
        </w:rPr>
        <w:t xml:space="preserve"> </w:t>
      </w:r>
      <w:r w:rsidR="009E4472" w:rsidRPr="00841D2D">
        <w:rPr>
          <w:rFonts w:ascii="Book Antiqua" w:hAnsi="Book Antiqua"/>
          <w:sz w:val="24"/>
          <w:szCs w:val="24"/>
          <w:lang w:val="en-US"/>
        </w:rPr>
        <w:t>0.001</w:t>
      </w:r>
      <w:r w:rsidR="0097500D">
        <w:rPr>
          <w:rFonts w:ascii="Book Antiqua" w:hAnsi="Book Antiqua" w:hint="eastAsia"/>
          <w:sz w:val="24"/>
          <w:szCs w:val="24"/>
          <w:lang w:val="en-US" w:eastAsia="zh-CN"/>
        </w:rPr>
        <w:t>)</w:t>
      </w:r>
      <w:r w:rsidR="009E4472" w:rsidRPr="00841D2D">
        <w:rPr>
          <w:rFonts w:ascii="Book Antiqua" w:hAnsi="Book Antiqua"/>
          <w:sz w:val="24"/>
          <w:szCs w:val="24"/>
          <w:lang w:val="en-US"/>
        </w:rPr>
        <w:t xml:space="preserve">; relative risk of liver-related mortality, 68.0 </w:t>
      </w:r>
      <w:r w:rsidR="0097500D">
        <w:rPr>
          <w:rFonts w:ascii="Book Antiqua" w:hAnsi="Book Antiqua" w:hint="eastAsia"/>
          <w:sz w:val="24"/>
          <w:szCs w:val="24"/>
          <w:lang w:val="en-US" w:eastAsia="zh-CN"/>
        </w:rPr>
        <w:t>(</w:t>
      </w:r>
      <w:r w:rsidR="009E4472" w:rsidRPr="0097500D">
        <w:rPr>
          <w:rFonts w:ascii="Book Antiqua" w:hAnsi="Book Antiqua"/>
          <w:i/>
          <w:sz w:val="24"/>
          <w:szCs w:val="24"/>
          <w:lang w:val="en-US"/>
        </w:rPr>
        <w:t>P</w:t>
      </w:r>
      <w:r w:rsidR="009E4472" w:rsidRPr="00841D2D">
        <w:rPr>
          <w:rFonts w:ascii="Book Antiqua" w:hAnsi="Book Antiqua"/>
          <w:sz w:val="24"/>
          <w:szCs w:val="24"/>
          <w:lang w:val="en-US"/>
        </w:rPr>
        <w:t xml:space="preserve"> &lt;</w:t>
      </w:r>
      <w:r w:rsidR="0097500D">
        <w:rPr>
          <w:rFonts w:ascii="Book Antiqua" w:hAnsi="Book Antiqua" w:hint="eastAsia"/>
          <w:sz w:val="24"/>
          <w:szCs w:val="24"/>
          <w:lang w:val="en-US" w:eastAsia="zh-CN"/>
        </w:rPr>
        <w:t xml:space="preserve"> </w:t>
      </w:r>
      <w:r w:rsidR="009E4472" w:rsidRPr="00841D2D">
        <w:rPr>
          <w:rFonts w:ascii="Book Antiqua" w:hAnsi="Book Antiqua"/>
          <w:sz w:val="24"/>
          <w:szCs w:val="24"/>
          <w:lang w:val="en-US"/>
        </w:rPr>
        <w:t>0.0001</w:t>
      </w:r>
      <w:r w:rsidR="0097500D">
        <w:rPr>
          <w:rFonts w:ascii="Book Antiqua" w:hAnsi="Book Antiqua" w:hint="eastAsia"/>
          <w:sz w:val="24"/>
          <w:szCs w:val="24"/>
          <w:lang w:val="en-US" w:eastAsia="zh-CN"/>
        </w:rPr>
        <w:t>)</w:t>
      </w:r>
      <w:r w:rsidR="0097500D">
        <w:rPr>
          <w:rFonts w:ascii="Book Antiqua" w:hAnsi="Book Antiqua"/>
          <w:sz w:val="24"/>
          <w:szCs w:val="24"/>
          <w:lang w:val="en-US"/>
        </w:rPr>
        <w:t>]</w:t>
      </w:r>
      <w:r w:rsidR="00F15B28" w:rsidRPr="00841D2D">
        <w:rPr>
          <w:rFonts w:ascii="Book Antiqua" w:hAnsi="Book Antiqua"/>
          <w:sz w:val="24"/>
          <w:szCs w:val="24"/>
          <w:vertAlign w:val="superscript"/>
          <w:lang w:val="en-US"/>
        </w:rPr>
        <w:t>[53</w:t>
      </w:r>
      <w:r w:rsidR="00865C69" w:rsidRPr="00841D2D">
        <w:rPr>
          <w:rFonts w:ascii="Book Antiqua" w:hAnsi="Book Antiqua"/>
          <w:sz w:val="24"/>
          <w:szCs w:val="24"/>
          <w:vertAlign w:val="superscript"/>
          <w:lang w:val="en-US"/>
        </w:rPr>
        <w:t>]</w:t>
      </w:r>
      <w:r w:rsidR="00865C69" w:rsidRPr="00841D2D">
        <w:rPr>
          <w:rFonts w:ascii="Book Antiqua" w:hAnsi="Book Antiqua"/>
          <w:sz w:val="24"/>
          <w:szCs w:val="24"/>
          <w:lang w:val="en-US"/>
        </w:rPr>
        <w:t xml:space="preserve">. </w:t>
      </w:r>
      <w:r w:rsidR="009E4472" w:rsidRPr="00841D2D">
        <w:rPr>
          <w:rFonts w:ascii="Book Antiqua" w:hAnsi="Book Antiqua"/>
          <w:sz w:val="24"/>
          <w:szCs w:val="24"/>
          <w:lang w:val="en-US"/>
        </w:rPr>
        <w:t>Twenty five RT candidates received pre-transplantation prophylactic/preemptive NUC therapy, 22 (88%) were treate</w:t>
      </w:r>
      <w:r w:rsidR="0097500D">
        <w:rPr>
          <w:rFonts w:ascii="Book Antiqua" w:hAnsi="Book Antiqua"/>
          <w:sz w:val="24"/>
          <w:szCs w:val="24"/>
          <w:lang w:val="en-US"/>
        </w:rPr>
        <w:t>d with LAM and 3 (12%) with ETV</w:t>
      </w:r>
      <w:r w:rsidR="009E4472" w:rsidRPr="00841D2D">
        <w:rPr>
          <w:rFonts w:ascii="Book Antiqua" w:hAnsi="Book Antiqua"/>
          <w:sz w:val="24"/>
          <w:szCs w:val="24"/>
          <w:vertAlign w:val="superscript"/>
          <w:lang w:val="en-US"/>
        </w:rPr>
        <w:t>[54]</w:t>
      </w:r>
      <w:r w:rsidR="009E4472" w:rsidRPr="00841D2D">
        <w:rPr>
          <w:rFonts w:ascii="Book Antiqua" w:hAnsi="Book Antiqua"/>
          <w:sz w:val="24"/>
          <w:szCs w:val="24"/>
          <w:lang w:val="en-US"/>
        </w:rPr>
        <w:t>. When compared with a historical control group NUC treated patients has a significant improvement in 10 year graft</w:t>
      </w:r>
      <w:r w:rsidR="0097500D">
        <w:rPr>
          <w:rFonts w:ascii="Book Antiqua" w:hAnsi="Book Antiqua"/>
          <w:sz w:val="24"/>
          <w:szCs w:val="24"/>
          <w:lang w:val="en-US"/>
        </w:rPr>
        <w:t xml:space="preserve"> (82% </w:t>
      </w:r>
      <w:r w:rsidR="0097500D" w:rsidRPr="0097500D">
        <w:rPr>
          <w:rFonts w:ascii="Book Antiqua" w:hAnsi="Book Antiqua"/>
          <w:i/>
          <w:sz w:val="24"/>
          <w:szCs w:val="24"/>
          <w:lang w:val="en-US"/>
        </w:rPr>
        <w:t>vs</w:t>
      </w:r>
      <w:r w:rsidR="009E4472" w:rsidRPr="00841D2D">
        <w:rPr>
          <w:rFonts w:ascii="Book Antiqua" w:hAnsi="Book Antiqua"/>
          <w:sz w:val="24"/>
          <w:szCs w:val="24"/>
          <w:lang w:val="en-US"/>
        </w:rPr>
        <w:t xml:space="preserve"> 34%) and patient (91% </w:t>
      </w:r>
      <w:r w:rsidR="0097500D" w:rsidRPr="0097500D">
        <w:rPr>
          <w:rFonts w:ascii="Book Antiqua" w:hAnsi="Book Antiqua"/>
          <w:i/>
          <w:sz w:val="24"/>
          <w:szCs w:val="24"/>
          <w:lang w:val="en-US"/>
        </w:rPr>
        <w:t>vs</w:t>
      </w:r>
      <w:r w:rsidR="009E4472" w:rsidRPr="00841D2D">
        <w:rPr>
          <w:rFonts w:ascii="Book Antiqua" w:hAnsi="Book Antiqua"/>
          <w:sz w:val="24"/>
          <w:szCs w:val="24"/>
          <w:lang w:val="en-US"/>
        </w:rPr>
        <w:t xml:space="preserve"> 57%) survivals. There was no liver-related death in NUC treated patients. In contrast, in untreated controls patient death (68%) was the most frequent cause of graft failure, which w</w:t>
      </w:r>
      <w:r w:rsidR="0097500D">
        <w:rPr>
          <w:rFonts w:ascii="Book Antiqua" w:hAnsi="Book Antiqua" w:hint="eastAsia"/>
          <w:sz w:val="24"/>
          <w:szCs w:val="24"/>
          <w:lang w:val="en-US" w:eastAsia="zh-CN"/>
        </w:rPr>
        <w:t>as</w:t>
      </w:r>
      <w:r w:rsidR="009E4472" w:rsidRPr="00841D2D">
        <w:rPr>
          <w:rFonts w:ascii="Book Antiqua" w:hAnsi="Book Antiqua"/>
          <w:sz w:val="24"/>
          <w:szCs w:val="24"/>
          <w:lang w:val="en-US"/>
        </w:rPr>
        <w:t xml:space="preserve"> mostly caused by liver diseases. Prophylactic and preemptive therapy resulted in the same graft and patient survival, but patients receiving preemptive therapy had a higher HBV reactivation incidence. NUC treatment was indepe</w:t>
      </w:r>
      <w:r w:rsidR="0097500D">
        <w:rPr>
          <w:rFonts w:ascii="Book Antiqua" w:hAnsi="Book Antiqua"/>
          <w:sz w:val="24"/>
          <w:szCs w:val="24"/>
          <w:lang w:val="en-US"/>
        </w:rPr>
        <w:t xml:space="preserve">ndently associated with better </w:t>
      </w:r>
      <w:r w:rsidR="009E4472" w:rsidRPr="00841D2D">
        <w:rPr>
          <w:rFonts w:ascii="Book Antiqua" w:hAnsi="Book Antiqua"/>
          <w:sz w:val="24"/>
          <w:szCs w:val="24"/>
          <w:lang w:val="en-US"/>
        </w:rPr>
        <w:t>patient survival (</w:t>
      </w:r>
      <w:r w:rsidR="009E4472" w:rsidRPr="0097500D">
        <w:rPr>
          <w:rFonts w:ascii="Book Antiqua" w:hAnsi="Book Antiqua"/>
          <w:i/>
          <w:sz w:val="24"/>
          <w:szCs w:val="24"/>
          <w:lang w:val="en-US"/>
        </w:rPr>
        <w:t>P</w:t>
      </w:r>
      <w:r w:rsidR="0097500D">
        <w:rPr>
          <w:rFonts w:ascii="Book Antiqua" w:hAnsi="Book Antiqua" w:hint="eastAsia"/>
          <w:sz w:val="24"/>
          <w:szCs w:val="24"/>
          <w:lang w:val="en-US" w:eastAsia="zh-CN"/>
        </w:rPr>
        <w:t xml:space="preserve"> </w:t>
      </w:r>
      <w:r w:rsidR="009E4472" w:rsidRPr="00841D2D">
        <w:rPr>
          <w:rFonts w:ascii="Book Antiqua" w:hAnsi="Book Antiqua"/>
          <w:sz w:val="24"/>
          <w:szCs w:val="24"/>
          <w:lang w:val="en-US"/>
        </w:rPr>
        <w:t>=</w:t>
      </w:r>
      <w:r w:rsidR="0097500D">
        <w:rPr>
          <w:rFonts w:ascii="Book Antiqua" w:hAnsi="Book Antiqua" w:hint="eastAsia"/>
          <w:sz w:val="24"/>
          <w:szCs w:val="24"/>
          <w:lang w:val="en-US" w:eastAsia="zh-CN"/>
        </w:rPr>
        <w:t xml:space="preserve"> </w:t>
      </w:r>
      <w:r w:rsidR="0097500D">
        <w:rPr>
          <w:rFonts w:ascii="Book Antiqua" w:hAnsi="Book Antiqua"/>
          <w:sz w:val="24"/>
          <w:szCs w:val="24"/>
          <w:lang w:val="en-US"/>
        </w:rPr>
        <w:t>0.005)</w:t>
      </w:r>
      <w:r w:rsidR="009B67A5" w:rsidRPr="00841D2D">
        <w:rPr>
          <w:rFonts w:ascii="Book Antiqua" w:hAnsi="Book Antiqua"/>
          <w:sz w:val="24"/>
          <w:szCs w:val="24"/>
          <w:vertAlign w:val="superscript"/>
          <w:lang w:val="en-US"/>
        </w:rPr>
        <w:t>[54</w:t>
      </w:r>
      <w:r w:rsidR="002C53CD" w:rsidRPr="00841D2D">
        <w:rPr>
          <w:rFonts w:ascii="Book Antiqua" w:hAnsi="Book Antiqua"/>
          <w:sz w:val="24"/>
          <w:szCs w:val="24"/>
          <w:vertAlign w:val="superscript"/>
          <w:lang w:val="en-US"/>
        </w:rPr>
        <w:t>]</w:t>
      </w:r>
      <w:r w:rsidR="002C53CD" w:rsidRPr="00841D2D">
        <w:rPr>
          <w:rFonts w:ascii="Book Antiqua" w:hAnsi="Book Antiqua"/>
          <w:sz w:val="24"/>
          <w:szCs w:val="24"/>
          <w:lang w:val="en-US"/>
        </w:rPr>
        <w:t>.</w:t>
      </w:r>
      <w:r w:rsidR="001868C3" w:rsidRPr="00841D2D">
        <w:rPr>
          <w:rFonts w:ascii="Book Antiqua" w:hAnsi="Book Antiqua"/>
          <w:sz w:val="24"/>
          <w:szCs w:val="24"/>
          <w:lang w:val="en-US"/>
        </w:rPr>
        <w:t xml:space="preserve"> On the contrary, a retrospective analysis using LAM in the majority of patients found no benefit of pr</w:t>
      </w:r>
      <w:r w:rsidR="0097500D">
        <w:rPr>
          <w:rFonts w:ascii="Book Antiqua" w:hAnsi="Book Antiqua"/>
          <w:sz w:val="24"/>
          <w:szCs w:val="24"/>
          <w:lang w:val="en-US"/>
        </w:rPr>
        <w:t>ophylactic/preemptive treatment</w:t>
      </w:r>
      <w:r w:rsidR="009B67A5" w:rsidRPr="00841D2D">
        <w:rPr>
          <w:rFonts w:ascii="Book Antiqua" w:hAnsi="Book Antiqua"/>
          <w:sz w:val="24"/>
          <w:szCs w:val="24"/>
          <w:vertAlign w:val="superscript"/>
          <w:lang w:val="en-US"/>
        </w:rPr>
        <w:t>[55</w:t>
      </w:r>
      <w:r w:rsidR="001868C3" w:rsidRPr="00841D2D">
        <w:rPr>
          <w:rFonts w:ascii="Book Antiqua" w:hAnsi="Book Antiqua"/>
          <w:sz w:val="24"/>
          <w:szCs w:val="24"/>
          <w:vertAlign w:val="superscript"/>
          <w:lang w:val="en-US"/>
        </w:rPr>
        <w:t>]</w:t>
      </w:r>
      <w:r w:rsidR="001868C3" w:rsidRPr="00841D2D">
        <w:rPr>
          <w:rFonts w:ascii="Book Antiqua" w:hAnsi="Book Antiqua"/>
          <w:sz w:val="24"/>
          <w:szCs w:val="24"/>
          <w:lang w:val="en-US"/>
        </w:rPr>
        <w:t xml:space="preserve">. </w:t>
      </w:r>
      <w:r w:rsidR="00F15B28" w:rsidRPr="00841D2D">
        <w:rPr>
          <w:rFonts w:ascii="Book Antiqua" w:hAnsi="Book Antiqua"/>
          <w:sz w:val="24"/>
          <w:szCs w:val="24"/>
          <w:lang w:val="en-US"/>
        </w:rPr>
        <w:t>Ninety four RT candidates were evaluated, 56 received antiviral prophylaxis (Group 1), 51 with LAM and 5 with ETV, and 38 did not (Group 2).</w:t>
      </w:r>
      <w:r w:rsidR="0034689F" w:rsidRPr="00841D2D">
        <w:rPr>
          <w:rFonts w:ascii="Book Antiqua" w:hAnsi="Book Antiqua"/>
          <w:sz w:val="24"/>
          <w:szCs w:val="24"/>
          <w:lang w:val="en-US"/>
        </w:rPr>
        <w:t xml:space="preserve"> In group 2 20 patients experienced HBV reactivation: 16 received </w:t>
      </w:r>
      <w:r w:rsidR="00FB35A0" w:rsidRPr="00841D2D">
        <w:rPr>
          <w:rFonts w:ascii="Book Antiqua" w:hAnsi="Book Antiqua"/>
          <w:sz w:val="24"/>
          <w:szCs w:val="24"/>
          <w:lang w:val="en-US"/>
        </w:rPr>
        <w:t>LAM</w:t>
      </w:r>
      <w:r w:rsidR="0034689F" w:rsidRPr="00841D2D">
        <w:rPr>
          <w:rFonts w:ascii="Book Antiqua" w:hAnsi="Book Antiqua"/>
          <w:sz w:val="24"/>
          <w:szCs w:val="24"/>
          <w:lang w:val="en-US"/>
        </w:rPr>
        <w:t xml:space="preserve">, 2 received </w:t>
      </w:r>
      <w:r w:rsidR="00FB35A0" w:rsidRPr="00841D2D">
        <w:rPr>
          <w:rFonts w:ascii="Book Antiqua" w:hAnsi="Book Antiqua"/>
          <w:sz w:val="24"/>
          <w:szCs w:val="24"/>
          <w:lang w:val="en-US"/>
        </w:rPr>
        <w:t>ETV</w:t>
      </w:r>
      <w:r w:rsidR="0034689F" w:rsidRPr="00841D2D">
        <w:rPr>
          <w:rFonts w:ascii="Book Antiqua" w:hAnsi="Book Antiqua"/>
          <w:sz w:val="24"/>
          <w:szCs w:val="24"/>
          <w:lang w:val="en-US"/>
        </w:rPr>
        <w:t xml:space="preserve"> and 2 received no antiviral treatment. </w:t>
      </w:r>
      <w:r w:rsidR="0096176F" w:rsidRPr="00841D2D">
        <w:rPr>
          <w:rFonts w:ascii="Book Antiqua" w:eastAsia="Times New Roman" w:hAnsi="Book Antiqua" w:cs="Times New Roman"/>
          <w:sz w:val="24"/>
          <w:szCs w:val="24"/>
          <w:lang w:val="en-US"/>
        </w:rPr>
        <w:t xml:space="preserve">Using the </w:t>
      </w:r>
      <w:r w:rsidR="0096176F" w:rsidRPr="00841D2D">
        <w:rPr>
          <w:rFonts w:ascii="Book Antiqua" w:hAnsi="Book Antiqua"/>
          <w:sz w:val="24"/>
          <w:szCs w:val="24"/>
          <w:lang w:val="en-US"/>
        </w:rPr>
        <w:t>Cox-regression model, prophylactic treatment did not improve</w:t>
      </w:r>
      <w:r w:rsidR="0097500D">
        <w:rPr>
          <w:rFonts w:ascii="Book Antiqua" w:hAnsi="Book Antiqua"/>
          <w:sz w:val="24"/>
          <w:szCs w:val="24"/>
          <w:lang w:val="en-US"/>
        </w:rPr>
        <w:t xml:space="preserve"> patient survival (OR 1.29, 95%</w:t>
      </w:r>
      <w:r w:rsidR="0096176F" w:rsidRPr="00841D2D">
        <w:rPr>
          <w:rFonts w:ascii="Book Antiqua" w:hAnsi="Book Antiqua"/>
          <w:sz w:val="24"/>
          <w:szCs w:val="24"/>
          <w:lang w:val="en-US"/>
        </w:rPr>
        <w:t>CI</w:t>
      </w:r>
      <w:r w:rsidR="0097500D">
        <w:rPr>
          <w:rFonts w:ascii="Book Antiqua" w:hAnsi="Book Antiqua" w:hint="eastAsia"/>
          <w:sz w:val="24"/>
          <w:szCs w:val="24"/>
          <w:lang w:val="en-US" w:eastAsia="zh-CN"/>
        </w:rPr>
        <w:t>:</w:t>
      </w:r>
      <w:r w:rsidR="0096176F" w:rsidRPr="00841D2D">
        <w:rPr>
          <w:rFonts w:ascii="Book Antiqua" w:hAnsi="Book Antiqua"/>
          <w:sz w:val="24"/>
          <w:szCs w:val="24"/>
          <w:lang w:val="en-US"/>
        </w:rPr>
        <w:t xml:space="preserve"> 0.37</w:t>
      </w:r>
      <w:r w:rsidR="0097500D">
        <w:rPr>
          <w:rFonts w:ascii="Book Antiqua" w:hAnsi="Book Antiqua" w:hint="eastAsia"/>
          <w:sz w:val="24"/>
          <w:szCs w:val="24"/>
          <w:lang w:val="en-US" w:eastAsia="zh-CN"/>
        </w:rPr>
        <w:t>-</w:t>
      </w:r>
      <w:r w:rsidR="0096176F" w:rsidRPr="00841D2D">
        <w:rPr>
          <w:rFonts w:ascii="Book Antiqua" w:hAnsi="Book Antiqua"/>
          <w:sz w:val="24"/>
          <w:szCs w:val="24"/>
          <w:lang w:val="en-US"/>
        </w:rPr>
        <w:t xml:space="preserve">4.49, </w:t>
      </w:r>
      <w:r w:rsidR="0097500D" w:rsidRPr="0097500D">
        <w:rPr>
          <w:rFonts w:ascii="Book Antiqua" w:hAnsi="Book Antiqua"/>
          <w:i/>
          <w:sz w:val="24"/>
          <w:szCs w:val="24"/>
          <w:lang w:val="en-US"/>
        </w:rPr>
        <w:t>P</w:t>
      </w:r>
      <w:r w:rsidR="0096176F" w:rsidRPr="00841D2D">
        <w:rPr>
          <w:rFonts w:ascii="Book Antiqua" w:hAnsi="Book Antiqua"/>
          <w:sz w:val="24"/>
          <w:szCs w:val="24"/>
          <w:lang w:val="en-US"/>
        </w:rPr>
        <w:t xml:space="preserve"> = 0.693</w:t>
      </w:r>
      <w:r w:rsidR="0097500D">
        <w:rPr>
          <w:rFonts w:ascii="Book Antiqua" w:hAnsi="Book Antiqua"/>
          <w:sz w:val="24"/>
          <w:szCs w:val="24"/>
          <w:lang w:val="en-US"/>
        </w:rPr>
        <w:t>), graft survival (OR 1.25, 95%</w:t>
      </w:r>
      <w:r w:rsidR="0096176F" w:rsidRPr="00841D2D">
        <w:rPr>
          <w:rFonts w:ascii="Book Antiqua" w:hAnsi="Book Antiqua"/>
          <w:sz w:val="24"/>
          <w:szCs w:val="24"/>
          <w:lang w:val="en-US"/>
        </w:rPr>
        <w:t>CI</w:t>
      </w:r>
      <w:r w:rsidR="0097500D">
        <w:rPr>
          <w:rFonts w:ascii="Book Antiqua" w:hAnsi="Book Antiqua" w:hint="eastAsia"/>
          <w:sz w:val="24"/>
          <w:szCs w:val="24"/>
          <w:lang w:val="en-US" w:eastAsia="zh-CN"/>
        </w:rPr>
        <w:t>:</w:t>
      </w:r>
      <w:r w:rsidR="0096176F" w:rsidRPr="00841D2D">
        <w:rPr>
          <w:rFonts w:ascii="Book Antiqua" w:hAnsi="Book Antiqua"/>
          <w:sz w:val="24"/>
          <w:szCs w:val="24"/>
          <w:lang w:val="en-US"/>
        </w:rPr>
        <w:t xml:space="preserve"> 0.45-3.46, </w:t>
      </w:r>
      <w:r w:rsidR="0097500D" w:rsidRPr="0097500D">
        <w:rPr>
          <w:rFonts w:ascii="Book Antiqua" w:hAnsi="Book Antiqua"/>
          <w:i/>
          <w:sz w:val="24"/>
          <w:szCs w:val="24"/>
          <w:lang w:val="en-US"/>
        </w:rPr>
        <w:t>P</w:t>
      </w:r>
      <w:r w:rsidR="0096176F" w:rsidRPr="00841D2D">
        <w:rPr>
          <w:rFonts w:ascii="Book Antiqua" w:hAnsi="Book Antiqua"/>
          <w:sz w:val="24"/>
          <w:szCs w:val="24"/>
          <w:lang w:val="en-US"/>
        </w:rPr>
        <w:t xml:space="preserve"> = 0.666) or reduce the risk of hepatic decompensation (OR 2.01, 0.35-11.57, </w:t>
      </w:r>
      <w:r w:rsidR="0097500D" w:rsidRPr="0097500D">
        <w:rPr>
          <w:rFonts w:ascii="Book Antiqua" w:hAnsi="Book Antiqua"/>
          <w:i/>
          <w:sz w:val="24"/>
          <w:szCs w:val="24"/>
          <w:lang w:val="en-US"/>
        </w:rPr>
        <w:t>P</w:t>
      </w:r>
      <w:r w:rsidR="0096176F" w:rsidRPr="00841D2D">
        <w:rPr>
          <w:rFonts w:ascii="Book Antiqua" w:hAnsi="Book Antiqua"/>
          <w:sz w:val="24"/>
          <w:szCs w:val="24"/>
          <w:lang w:val="en-US"/>
        </w:rPr>
        <w:t xml:space="preserve"> = 0.434)</w:t>
      </w:r>
      <w:r w:rsidR="0034689F" w:rsidRPr="00841D2D">
        <w:rPr>
          <w:rFonts w:ascii="Book Antiqua" w:hAnsi="Book Antiqua"/>
          <w:sz w:val="24"/>
          <w:szCs w:val="24"/>
          <w:vertAlign w:val="superscript"/>
          <w:lang w:val="en-US"/>
        </w:rPr>
        <w:t>[55]</w:t>
      </w:r>
      <w:r w:rsidR="0034689F" w:rsidRPr="00841D2D">
        <w:rPr>
          <w:rFonts w:ascii="Book Antiqua" w:hAnsi="Book Antiqua"/>
          <w:sz w:val="24"/>
          <w:szCs w:val="24"/>
          <w:lang w:val="en-US"/>
        </w:rPr>
        <w:t>.</w:t>
      </w:r>
      <w:r w:rsidR="00FB35A0" w:rsidRPr="00841D2D">
        <w:rPr>
          <w:rFonts w:ascii="Book Antiqua" w:hAnsi="Book Antiqua"/>
          <w:sz w:val="24"/>
          <w:szCs w:val="24"/>
          <w:lang w:val="en-US"/>
        </w:rPr>
        <w:t xml:space="preserve"> LAM-R occurred in 21 LAM-treated Group 1 and 4 LAM-treated Group 2 patients (</w:t>
      </w:r>
      <w:r w:rsidR="0097500D" w:rsidRPr="0097500D">
        <w:rPr>
          <w:rFonts w:ascii="Book Antiqua" w:hAnsi="Book Antiqua"/>
          <w:i/>
          <w:sz w:val="24"/>
          <w:szCs w:val="24"/>
          <w:lang w:val="en-US"/>
        </w:rPr>
        <w:t>P</w:t>
      </w:r>
      <w:r w:rsidR="00FB35A0" w:rsidRPr="00841D2D">
        <w:rPr>
          <w:rFonts w:ascii="Book Antiqua" w:hAnsi="Book Antiqua"/>
          <w:sz w:val="24"/>
          <w:szCs w:val="24"/>
          <w:lang w:val="en-US"/>
        </w:rPr>
        <w:t xml:space="preserve"> = 0.243), with mean times of resistance after RT of 82 and 132 mo, respectively (</w:t>
      </w:r>
      <w:r w:rsidR="0097500D" w:rsidRPr="0097500D">
        <w:rPr>
          <w:rFonts w:ascii="Book Antiqua" w:hAnsi="Book Antiqua"/>
          <w:i/>
          <w:sz w:val="24"/>
          <w:szCs w:val="24"/>
          <w:lang w:val="en-US"/>
        </w:rPr>
        <w:t>P</w:t>
      </w:r>
      <w:r w:rsidR="00FB35A0" w:rsidRPr="00841D2D">
        <w:rPr>
          <w:rFonts w:ascii="Book Antiqua" w:hAnsi="Book Antiqua"/>
          <w:sz w:val="24"/>
          <w:szCs w:val="24"/>
          <w:lang w:val="en-US"/>
        </w:rPr>
        <w:t xml:space="preserve"> = 0.001)</w:t>
      </w:r>
      <w:r w:rsidR="00FB35A0" w:rsidRPr="00841D2D">
        <w:rPr>
          <w:rFonts w:ascii="Book Antiqua" w:hAnsi="Book Antiqua"/>
          <w:sz w:val="24"/>
          <w:szCs w:val="24"/>
          <w:vertAlign w:val="superscript"/>
          <w:lang w:val="en-US"/>
        </w:rPr>
        <w:t xml:space="preserve"> [55]</w:t>
      </w:r>
      <w:r w:rsidR="00FB35A0" w:rsidRPr="00841D2D">
        <w:rPr>
          <w:rFonts w:ascii="Book Antiqua" w:hAnsi="Book Antiqua"/>
          <w:sz w:val="24"/>
          <w:szCs w:val="24"/>
          <w:lang w:val="en-US"/>
        </w:rPr>
        <w:t>.</w:t>
      </w:r>
    </w:p>
    <w:p w:rsidR="009B67A5" w:rsidRPr="00841D2D" w:rsidRDefault="00216C8B"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A recent retrospective study compared both treatment strategies</w:t>
      </w:r>
      <w:r w:rsidR="005B0959" w:rsidRPr="00841D2D">
        <w:rPr>
          <w:rFonts w:ascii="Book Antiqua" w:hAnsi="Book Antiqua"/>
          <w:sz w:val="24"/>
          <w:szCs w:val="24"/>
          <w:vertAlign w:val="superscript"/>
          <w:lang w:val="en-US"/>
        </w:rPr>
        <w:t xml:space="preserve"> [17</w:t>
      </w:r>
      <w:r w:rsidRPr="00841D2D">
        <w:rPr>
          <w:rFonts w:ascii="Book Antiqua" w:hAnsi="Book Antiqua"/>
          <w:sz w:val="24"/>
          <w:szCs w:val="24"/>
          <w:vertAlign w:val="superscript"/>
          <w:lang w:val="en-US"/>
        </w:rPr>
        <w:t>]</w:t>
      </w:r>
      <w:r w:rsidRPr="00841D2D">
        <w:rPr>
          <w:rFonts w:ascii="Book Antiqua" w:hAnsi="Book Antiqua"/>
          <w:sz w:val="24"/>
          <w:szCs w:val="24"/>
          <w:lang w:val="en-US"/>
        </w:rPr>
        <w:t>. It included 58 HBsAg positive RT recipients: 24 in the prophylactic group (all patients used LAM) and the 34 in the preemptive group (32 patients used LAM and 2 patients used ETV). The graft/patient survival rates for HBsAg positive were the same as those of hepatitis-free recipients (</w:t>
      </w:r>
      <w:r w:rsidR="0097500D" w:rsidRPr="0097500D">
        <w:rPr>
          <w:rFonts w:ascii="Book Antiqua" w:hAnsi="Book Antiqua"/>
          <w:i/>
          <w:sz w:val="24"/>
          <w:szCs w:val="24"/>
          <w:lang w:val="en-US"/>
        </w:rPr>
        <w:t>P</w:t>
      </w:r>
      <w:r w:rsidRPr="00841D2D">
        <w:rPr>
          <w:rFonts w:ascii="Book Antiqua" w:hAnsi="Book Antiqua"/>
          <w:sz w:val="24"/>
          <w:szCs w:val="24"/>
          <w:lang w:val="en-US"/>
        </w:rPr>
        <w:t xml:space="preserve"> = 0.18). In the prophylactic group, there were fewer hepatic dysfun</w:t>
      </w:r>
      <w:r w:rsidR="0097500D">
        <w:rPr>
          <w:rFonts w:ascii="Book Antiqua" w:hAnsi="Book Antiqua"/>
          <w:sz w:val="24"/>
          <w:szCs w:val="24"/>
          <w:lang w:val="en-US"/>
        </w:rPr>
        <w:t xml:space="preserve">ctions (12.5% </w:t>
      </w:r>
      <w:r w:rsidR="0097500D" w:rsidRPr="0097500D">
        <w:rPr>
          <w:rFonts w:ascii="Book Antiqua" w:hAnsi="Book Antiqua"/>
          <w:i/>
          <w:sz w:val="24"/>
          <w:szCs w:val="24"/>
          <w:lang w:val="en-US"/>
        </w:rPr>
        <w:t>vs</w:t>
      </w:r>
      <w:r w:rsidRPr="00841D2D">
        <w:rPr>
          <w:rFonts w:ascii="Book Antiqua" w:hAnsi="Book Antiqua"/>
          <w:sz w:val="24"/>
          <w:szCs w:val="24"/>
          <w:lang w:val="en-US"/>
        </w:rPr>
        <w:t xml:space="preserve"> 30%, </w:t>
      </w:r>
      <w:r w:rsidR="0097500D" w:rsidRPr="0097500D">
        <w:rPr>
          <w:rFonts w:ascii="Book Antiqua" w:hAnsi="Book Antiqua"/>
          <w:i/>
          <w:sz w:val="24"/>
          <w:szCs w:val="24"/>
          <w:lang w:val="en-US"/>
        </w:rPr>
        <w:t>P</w:t>
      </w:r>
      <w:r w:rsidRPr="00841D2D">
        <w:rPr>
          <w:rFonts w:ascii="Book Antiqua" w:hAnsi="Book Antiqua"/>
          <w:sz w:val="24"/>
          <w:szCs w:val="24"/>
          <w:lang w:val="en-US"/>
        </w:rPr>
        <w:t xml:space="preserve"> = 0.1</w:t>
      </w:r>
      <w:r w:rsidR="0097500D">
        <w:rPr>
          <w:rFonts w:ascii="Book Antiqua" w:hAnsi="Book Antiqua"/>
          <w:sz w:val="24"/>
          <w:szCs w:val="24"/>
          <w:lang w:val="en-US"/>
        </w:rPr>
        <w:t xml:space="preserve">2), viral breakthroughs (16% </w:t>
      </w:r>
      <w:r w:rsidR="0097500D" w:rsidRPr="0097500D">
        <w:rPr>
          <w:rFonts w:ascii="Book Antiqua" w:hAnsi="Book Antiqua"/>
          <w:i/>
          <w:sz w:val="24"/>
          <w:szCs w:val="24"/>
          <w:lang w:val="en-US"/>
        </w:rPr>
        <w:t>vs</w:t>
      </w:r>
      <w:r w:rsidRPr="00841D2D">
        <w:rPr>
          <w:rFonts w:ascii="Book Antiqua" w:hAnsi="Book Antiqua"/>
          <w:sz w:val="24"/>
          <w:szCs w:val="24"/>
          <w:lang w:val="en-US"/>
        </w:rPr>
        <w:t xml:space="preserve"> 32%, </w:t>
      </w:r>
      <w:r w:rsidR="0097500D" w:rsidRPr="0097500D">
        <w:rPr>
          <w:rFonts w:ascii="Book Antiqua" w:hAnsi="Book Antiqua"/>
          <w:i/>
          <w:sz w:val="24"/>
          <w:szCs w:val="24"/>
          <w:lang w:val="en-US"/>
        </w:rPr>
        <w:t>P</w:t>
      </w:r>
      <w:r w:rsidRPr="00841D2D">
        <w:rPr>
          <w:rFonts w:ascii="Book Antiqua" w:hAnsi="Book Antiqua"/>
          <w:sz w:val="24"/>
          <w:szCs w:val="24"/>
          <w:lang w:val="en-US"/>
        </w:rPr>
        <w:t xml:space="preserve"> = 0.17) and elevated alanine aminotra</w:t>
      </w:r>
      <w:r w:rsidR="0097500D">
        <w:rPr>
          <w:rFonts w:ascii="Book Antiqua" w:hAnsi="Book Antiqua"/>
          <w:sz w:val="24"/>
          <w:szCs w:val="24"/>
          <w:lang w:val="en-US"/>
        </w:rPr>
        <w:t xml:space="preserve">nsferase concentrations (37% </w:t>
      </w:r>
      <w:r w:rsidR="0097500D" w:rsidRPr="0097500D">
        <w:rPr>
          <w:rFonts w:ascii="Book Antiqua" w:hAnsi="Book Antiqua"/>
          <w:i/>
          <w:sz w:val="24"/>
          <w:szCs w:val="24"/>
          <w:lang w:val="en-US"/>
        </w:rPr>
        <w:t>vs</w:t>
      </w:r>
      <w:r w:rsidRPr="00841D2D">
        <w:rPr>
          <w:rFonts w:ascii="Book Antiqua" w:hAnsi="Book Antiqua"/>
          <w:sz w:val="24"/>
          <w:szCs w:val="24"/>
          <w:lang w:val="en-US"/>
        </w:rPr>
        <w:t xml:space="preserve"> 52%, </w:t>
      </w:r>
      <w:r w:rsidR="0097500D" w:rsidRPr="0097500D">
        <w:rPr>
          <w:rFonts w:ascii="Book Antiqua" w:hAnsi="Book Antiqua"/>
          <w:i/>
          <w:sz w:val="24"/>
          <w:szCs w:val="24"/>
          <w:lang w:val="en-US"/>
        </w:rPr>
        <w:t>P</w:t>
      </w:r>
      <w:r w:rsidRPr="00841D2D">
        <w:rPr>
          <w:rFonts w:ascii="Book Antiqua" w:hAnsi="Book Antiqua"/>
          <w:sz w:val="24"/>
          <w:szCs w:val="24"/>
          <w:lang w:val="en-US"/>
        </w:rPr>
        <w:t xml:space="preserve"> = 0.24), however these </w:t>
      </w:r>
      <w:r w:rsidR="0097500D">
        <w:rPr>
          <w:rFonts w:ascii="Book Antiqua" w:hAnsi="Book Antiqua"/>
          <w:sz w:val="24"/>
          <w:szCs w:val="24"/>
          <w:lang w:val="en-US"/>
        </w:rPr>
        <w:t>differences were not</w:t>
      </w:r>
      <w:r w:rsidR="0096176F" w:rsidRPr="00841D2D">
        <w:rPr>
          <w:rFonts w:ascii="Book Antiqua" w:hAnsi="Book Antiqua"/>
          <w:sz w:val="24"/>
          <w:szCs w:val="24"/>
          <w:lang w:val="en-US"/>
        </w:rPr>
        <w:t xml:space="preserve"> statistically significant</w:t>
      </w:r>
      <w:r w:rsidRPr="00841D2D">
        <w:rPr>
          <w:rFonts w:ascii="Book Antiqua" w:hAnsi="Book Antiqua"/>
          <w:sz w:val="24"/>
          <w:szCs w:val="24"/>
          <w:lang w:val="en-US"/>
        </w:rPr>
        <w:t xml:space="preserve">. </w:t>
      </w:r>
      <w:r w:rsidR="000F36C4" w:rsidRPr="00841D2D">
        <w:rPr>
          <w:rFonts w:ascii="Book Antiqua" w:hAnsi="Book Antiqua"/>
          <w:sz w:val="24"/>
          <w:szCs w:val="24"/>
          <w:lang w:val="en-US"/>
        </w:rPr>
        <w:t>In the prophylactic group, one patient was switched to ETV and then to TDF due to partial response finally achieving complete virological response. In the preemptive group, LAM was withdrawn and changed to TDF in 3 patients and to ADV in another one</w:t>
      </w:r>
      <w:r w:rsidR="00635470" w:rsidRPr="00841D2D">
        <w:rPr>
          <w:rFonts w:ascii="Book Antiqua" w:hAnsi="Book Antiqua"/>
          <w:sz w:val="24"/>
          <w:szCs w:val="24"/>
          <w:lang w:val="en-US"/>
        </w:rPr>
        <w:t xml:space="preserve"> achieving an adequate virologic/biochemical response</w:t>
      </w:r>
      <w:r w:rsidR="000F36C4" w:rsidRPr="00841D2D">
        <w:rPr>
          <w:rFonts w:ascii="Book Antiqua" w:hAnsi="Book Antiqua"/>
          <w:sz w:val="24"/>
          <w:szCs w:val="24"/>
          <w:lang w:val="en-US"/>
        </w:rPr>
        <w:t>.</w:t>
      </w:r>
      <w:r w:rsidR="00635470" w:rsidRPr="00841D2D">
        <w:rPr>
          <w:rFonts w:ascii="Book Antiqua" w:hAnsi="Book Antiqua"/>
          <w:sz w:val="24"/>
          <w:szCs w:val="24"/>
          <w:lang w:val="en-US"/>
        </w:rPr>
        <w:t xml:space="preserve"> These NUCs were almost as safe as LAM, as there were no significant differences among proteinuria and estim</w:t>
      </w:r>
      <w:r w:rsidR="0097500D">
        <w:rPr>
          <w:rFonts w:ascii="Book Antiqua" w:hAnsi="Book Antiqua"/>
          <w:sz w:val="24"/>
          <w:szCs w:val="24"/>
          <w:lang w:val="en-US"/>
        </w:rPr>
        <w:t>ated glomerular filtration rate</w:t>
      </w:r>
      <w:r w:rsidR="005B0959" w:rsidRPr="00841D2D">
        <w:rPr>
          <w:rFonts w:ascii="Book Antiqua" w:hAnsi="Book Antiqua"/>
          <w:sz w:val="24"/>
          <w:szCs w:val="24"/>
          <w:vertAlign w:val="superscript"/>
          <w:lang w:val="en-US"/>
        </w:rPr>
        <w:t>[17</w:t>
      </w:r>
      <w:r w:rsidR="00635470" w:rsidRPr="00841D2D">
        <w:rPr>
          <w:rFonts w:ascii="Book Antiqua" w:hAnsi="Book Antiqua"/>
          <w:sz w:val="24"/>
          <w:szCs w:val="24"/>
          <w:vertAlign w:val="superscript"/>
          <w:lang w:val="en-US"/>
        </w:rPr>
        <w:t>]</w:t>
      </w:r>
      <w:r w:rsidR="00635470" w:rsidRPr="00841D2D">
        <w:rPr>
          <w:rFonts w:ascii="Book Antiqua" w:hAnsi="Book Antiqua"/>
          <w:sz w:val="24"/>
          <w:szCs w:val="24"/>
          <w:lang w:val="en-US"/>
        </w:rPr>
        <w:t xml:space="preserve">. </w:t>
      </w:r>
    </w:p>
    <w:p w:rsidR="0097500D" w:rsidRDefault="00635470" w:rsidP="0097500D">
      <w:pPr>
        <w:spacing w:after="0" w:line="360" w:lineRule="auto"/>
        <w:ind w:firstLineChars="100" w:firstLine="240"/>
        <w:jc w:val="both"/>
        <w:rPr>
          <w:rFonts w:ascii="Book Antiqua" w:hAnsi="Book Antiqua"/>
          <w:sz w:val="24"/>
          <w:szCs w:val="24"/>
          <w:lang w:val="en-US" w:eastAsia="zh-CN"/>
        </w:rPr>
      </w:pPr>
      <w:r w:rsidRPr="00841D2D">
        <w:rPr>
          <w:rFonts w:ascii="Book Antiqua" w:hAnsi="Book Antiqua"/>
          <w:sz w:val="24"/>
          <w:szCs w:val="24"/>
          <w:lang w:val="en-US"/>
        </w:rPr>
        <w:t xml:space="preserve">Results from these studies support the clinical guidelines recommendations: </w:t>
      </w:r>
      <w:r w:rsidR="00DF059D" w:rsidRPr="00841D2D">
        <w:rPr>
          <w:rFonts w:ascii="Book Antiqua" w:hAnsi="Book Antiqua"/>
          <w:sz w:val="24"/>
          <w:szCs w:val="24"/>
          <w:lang w:val="en-US"/>
        </w:rPr>
        <w:t xml:space="preserve">prophylactic or preemptive therapy with NUCs provides comparable graft/patient survival with hepatitis-free RT recipients and may be better in preventing hepatic dysfunction than salvage therapy. </w:t>
      </w:r>
      <w:r w:rsidR="0096176F" w:rsidRPr="00841D2D">
        <w:rPr>
          <w:rFonts w:ascii="Book Antiqua" w:hAnsi="Book Antiqua"/>
          <w:sz w:val="24"/>
          <w:szCs w:val="24"/>
          <w:lang w:val="en-US"/>
        </w:rPr>
        <w:t>Given its high risk for d</w:t>
      </w:r>
      <w:r w:rsidR="0097500D">
        <w:rPr>
          <w:rFonts w:ascii="Book Antiqua" w:hAnsi="Book Antiqua"/>
          <w:sz w:val="24"/>
          <w:szCs w:val="24"/>
          <w:lang w:val="en-US"/>
        </w:rPr>
        <w:t xml:space="preserve">eveloping resistant mutations, </w:t>
      </w:r>
      <w:r w:rsidR="00DF059D" w:rsidRPr="00841D2D">
        <w:rPr>
          <w:rFonts w:ascii="Book Antiqua" w:hAnsi="Book Antiqua"/>
          <w:sz w:val="24"/>
          <w:szCs w:val="24"/>
          <w:lang w:val="en-US"/>
        </w:rPr>
        <w:t>LAM is no longer a first option, and ETV should be the first one.  TDF can be an effective and safe treatment for LAM-R in RT recipients</w:t>
      </w:r>
      <w:r w:rsidR="006F741D" w:rsidRPr="00841D2D">
        <w:rPr>
          <w:rFonts w:ascii="Book Antiqua" w:hAnsi="Book Antiqua"/>
          <w:sz w:val="24"/>
          <w:szCs w:val="24"/>
          <w:lang w:val="en-US"/>
        </w:rPr>
        <w:t xml:space="preserve"> (</w:t>
      </w:r>
      <w:r w:rsidR="006F741D" w:rsidRPr="0097500D">
        <w:rPr>
          <w:rFonts w:ascii="Book Antiqua" w:hAnsi="Book Antiqua"/>
          <w:color w:val="FF0000"/>
          <w:sz w:val="24"/>
          <w:szCs w:val="24"/>
          <w:lang w:val="en-US"/>
        </w:rPr>
        <w:t>Figure</w:t>
      </w:r>
      <w:r w:rsidR="003A0D5B">
        <w:rPr>
          <w:rFonts w:ascii="Book Antiqua" w:hAnsi="Book Antiqua" w:hint="eastAsia"/>
          <w:color w:val="FF0000"/>
          <w:sz w:val="24"/>
          <w:szCs w:val="24"/>
          <w:lang w:val="en-US" w:eastAsia="zh-CN"/>
        </w:rPr>
        <w:t xml:space="preserve"> 1</w:t>
      </w:r>
      <w:r w:rsidR="006F741D" w:rsidRPr="00841D2D">
        <w:rPr>
          <w:rFonts w:ascii="Book Antiqua" w:hAnsi="Book Antiqua"/>
          <w:sz w:val="24"/>
          <w:szCs w:val="24"/>
          <w:lang w:val="en-US"/>
        </w:rPr>
        <w:t>)</w:t>
      </w:r>
      <w:r w:rsidR="0097500D">
        <w:rPr>
          <w:rFonts w:ascii="Book Antiqua" w:hAnsi="Book Antiqua"/>
          <w:sz w:val="24"/>
          <w:szCs w:val="24"/>
          <w:vertAlign w:val="superscript"/>
          <w:lang w:val="en-US"/>
        </w:rPr>
        <w:t>[9</w:t>
      </w:r>
      <w:r w:rsidR="0097500D">
        <w:rPr>
          <w:rFonts w:ascii="Book Antiqua" w:hAnsi="Book Antiqua" w:hint="eastAsia"/>
          <w:sz w:val="24"/>
          <w:szCs w:val="24"/>
          <w:vertAlign w:val="superscript"/>
          <w:lang w:val="en-US" w:eastAsia="zh-CN"/>
        </w:rPr>
        <w:t>,</w:t>
      </w:r>
      <w:r w:rsidR="00DF059D" w:rsidRPr="00841D2D">
        <w:rPr>
          <w:rFonts w:ascii="Book Antiqua" w:hAnsi="Book Antiqua"/>
          <w:sz w:val="24"/>
          <w:szCs w:val="24"/>
          <w:vertAlign w:val="superscript"/>
          <w:lang w:val="en-US"/>
        </w:rPr>
        <w:t>1</w:t>
      </w:r>
      <w:r w:rsidR="005B0959" w:rsidRPr="00841D2D">
        <w:rPr>
          <w:rFonts w:ascii="Book Antiqua" w:hAnsi="Book Antiqua"/>
          <w:sz w:val="24"/>
          <w:szCs w:val="24"/>
          <w:vertAlign w:val="superscript"/>
          <w:lang w:val="en-US"/>
        </w:rPr>
        <w:t>1</w:t>
      </w:r>
      <w:r w:rsidR="00DF059D" w:rsidRPr="00841D2D">
        <w:rPr>
          <w:rFonts w:ascii="Book Antiqua" w:hAnsi="Book Antiqua"/>
          <w:sz w:val="24"/>
          <w:szCs w:val="24"/>
          <w:vertAlign w:val="superscript"/>
          <w:lang w:val="en-US"/>
        </w:rPr>
        <w:t>,15</w:t>
      </w:r>
      <w:r w:rsidR="005B0959" w:rsidRPr="00841D2D">
        <w:rPr>
          <w:rFonts w:ascii="Book Antiqua" w:hAnsi="Book Antiqua"/>
          <w:sz w:val="24"/>
          <w:szCs w:val="24"/>
          <w:vertAlign w:val="superscript"/>
          <w:lang w:val="en-US"/>
        </w:rPr>
        <w:t>,</w:t>
      </w:r>
      <w:r w:rsidR="007873A5" w:rsidRPr="00841D2D">
        <w:rPr>
          <w:rFonts w:ascii="Book Antiqua" w:hAnsi="Book Antiqua"/>
          <w:sz w:val="24"/>
          <w:szCs w:val="24"/>
          <w:vertAlign w:val="superscript"/>
          <w:lang w:val="en-US"/>
        </w:rPr>
        <w:t>21,56]</w:t>
      </w:r>
      <w:r w:rsidR="00DF059D" w:rsidRPr="00841D2D">
        <w:rPr>
          <w:rFonts w:ascii="Book Antiqua" w:hAnsi="Book Antiqua"/>
          <w:sz w:val="24"/>
          <w:szCs w:val="24"/>
          <w:lang w:val="en-US"/>
        </w:rPr>
        <w:t>.</w:t>
      </w:r>
    </w:p>
    <w:p w:rsidR="00DF059D" w:rsidRPr="00841D2D" w:rsidRDefault="007873A5"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 </w:t>
      </w:r>
    </w:p>
    <w:p w:rsidR="00696E00" w:rsidRPr="00841D2D" w:rsidRDefault="00375683"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TREATMENT IMPACT ON LONG TERM EVOLUTION</w:t>
      </w:r>
    </w:p>
    <w:p w:rsidR="00B303C9" w:rsidRPr="00841D2D" w:rsidRDefault="0091173A"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In</w:t>
      </w:r>
      <w:r w:rsidR="00662A78" w:rsidRPr="00841D2D">
        <w:rPr>
          <w:rFonts w:ascii="Book Antiqua" w:hAnsi="Book Antiqua"/>
          <w:sz w:val="24"/>
          <w:szCs w:val="24"/>
          <w:lang w:val="en-US"/>
        </w:rPr>
        <w:t xml:space="preserve"> the last years, several </w:t>
      </w:r>
      <w:r w:rsidRPr="00841D2D">
        <w:rPr>
          <w:rFonts w:ascii="Book Antiqua" w:hAnsi="Book Antiqua"/>
          <w:sz w:val="24"/>
          <w:szCs w:val="24"/>
          <w:lang w:val="en-US"/>
        </w:rPr>
        <w:t>cohort studies</w:t>
      </w:r>
      <w:r w:rsidR="00662A78" w:rsidRPr="00841D2D">
        <w:rPr>
          <w:rFonts w:ascii="Book Antiqua" w:hAnsi="Book Antiqua"/>
          <w:sz w:val="24"/>
          <w:szCs w:val="24"/>
          <w:lang w:val="en-US"/>
        </w:rPr>
        <w:t xml:space="preserve"> had demonstrated that HBV infection is associated with </w:t>
      </w:r>
      <w:r w:rsidR="006341D4" w:rsidRPr="00841D2D">
        <w:rPr>
          <w:rFonts w:ascii="Book Antiqua" w:hAnsi="Book Antiqua"/>
          <w:sz w:val="24"/>
          <w:szCs w:val="24"/>
          <w:lang w:val="en-US"/>
        </w:rPr>
        <w:t>higher</w:t>
      </w:r>
      <w:r w:rsidR="00662A78" w:rsidRPr="00841D2D">
        <w:rPr>
          <w:rFonts w:ascii="Book Antiqua" w:hAnsi="Book Antiqua"/>
          <w:sz w:val="24"/>
          <w:szCs w:val="24"/>
          <w:lang w:val="en-US"/>
        </w:rPr>
        <w:t xml:space="preserve"> patient</w:t>
      </w:r>
      <w:r w:rsidR="006341D4" w:rsidRPr="00841D2D">
        <w:rPr>
          <w:rFonts w:ascii="Book Antiqua" w:hAnsi="Book Antiqua"/>
          <w:sz w:val="24"/>
          <w:szCs w:val="24"/>
          <w:lang w:val="en-US"/>
        </w:rPr>
        <w:t xml:space="preserve"> mortality</w:t>
      </w:r>
      <w:r w:rsidR="00662A78" w:rsidRPr="00841D2D">
        <w:rPr>
          <w:rFonts w:ascii="Book Antiqua" w:hAnsi="Book Antiqua"/>
          <w:sz w:val="24"/>
          <w:szCs w:val="24"/>
          <w:lang w:val="en-US"/>
        </w:rPr>
        <w:t xml:space="preserve"> and </w:t>
      </w:r>
      <w:r w:rsidR="006341D4" w:rsidRPr="00841D2D">
        <w:rPr>
          <w:rFonts w:ascii="Book Antiqua" w:hAnsi="Book Antiqua"/>
          <w:sz w:val="24"/>
          <w:szCs w:val="24"/>
          <w:lang w:val="en-US"/>
        </w:rPr>
        <w:t>risk of graft failure</w:t>
      </w:r>
      <w:r w:rsidR="00662A78" w:rsidRPr="00841D2D">
        <w:rPr>
          <w:rFonts w:ascii="Book Antiqua" w:hAnsi="Book Antiqua"/>
          <w:sz w:val="24"/>
          <w:szCs w:val="24"/>
          <w:lang w:val="en-US"/>
        </w:rPr>
        <w:t xml:space="preserve"> in RT </w:t>
      </w:r>
      <w:r w:rsidR="006341D4" w:rsidRPr="00841D2D">
        <w:rPr>
          <w:rFonts w:ascii="Book Antiqua" w:hAnsi="Book Antiqua"/>
          <w:sz w:val="24"/>
          <w:szCs w:val="24"/>
          <w:lang w:val="en-US"/>
        </w:rPr>
        <w:t>patients</w:t>
      </w:r>
      <w:r w:rsidRPr="00841D2D">
        <w:rPr>
          <w:rFonts w:ascii="Book Antiqua" w:hAnsi="Book Antiqua"/>
          <w:sz w:val="24"/>
          <w:szCs w:val="24"/>
          <w:vertAlign w:val="superscript"/>
          <w:lang w:val="en-US"/>
        </w:rPr>
        <w:t>[</w:t>
      </w:r>
      <w:r w:rsidR="004E2291" w:rsidRPr="00841D2D">
        <w:rPr>
          <w:rFonts w:ascii="Book Antiqua" w:hAnsi="Book Antiqua"/>
          <w:sz w:val="24"/>
          <w:szCs w:val="24"/>
          <w:vertAlign w:val="superscript"/>
          <w:lang w:val="en-US"/>
        </w:rPr>
        <w:t>15,40,50,</w:t>
      </w:r>
      <w:r w:rsidRPr="00841D2D">
        <w:rPr>
          <w:rFonts w:ascii="Book Antiqua" w:hAnsi="Book Antiqua"/>
          <w:sz w:val="24"/>
          <w:szCs w:val="24"/>
          <w:vertAlign w:val="superscript"/>
          <w:lang w:val="en-US"/>
        </w:rPr>
        <w:t>57]</w:t>
      </w:r>
      <w:r w:rsidR="00662A78" w:rsidRPr="00841D2D">
        <w:rPr>
          <w:rFonts w:ascii="Book Antiqua" w:hAnsi="Book Antiqua"/>
          <w:sz w:val="24"/>
          <w:szCs w:val="24"/>
          <w:lang w:val="en-US"/>
        </w:rPr>
        <w:t>.</w:t>
      </w:r>
      <w:r w:rsidRPr="00841D2D">
        <w:rPr>
          <w:rFonts w:ascii="Book Antiqua" w:hAnsi="Book Antiqua"/>
          <w:sz w:val="24"/>
          <w:szCs w:val="24"/>
          <w:lang w:val="en-US"/>
        </w:rPr>
        <w:t xml:space="preserve"> These results had been</w:t>
      </w:r>
      <w:r w:rsidR="0097500D">
        <w:rPr>
          <w:rFonts w:ascii="Book Antiqua" w:hAnsi="Book Antiqua"/>
          <w:sz w:val="24"/>
          <w:szCs w:val="24"/>
          <w:lang w:val="en-US"/>
        </w:rPr>
        <w:t xml:space="preserve"> validated in two meta-analysis</w:t>
      </w:r>
      <w:r w:rsidRPr="00841D2D">
        <w:rPr>
          <w:rFonts w:ascii="Book Antiqua" w:hAnsi="Book Antiqua"/>
          <w:sz w:val="24"/>
          <w:szCs w:val="24"/>
          <w:vertAlign w:val="superscript"/>
          <w:lang w:val="en-US"/>
        </w:rPr>
        <w:t>[58,59]</w:t>
      </w:r>
      <w:r w:rsidRPr="00841D2D">
        <w:rPr>
          <w:rFonts w:ascii="Book Antiqua" w:hAnsi="Book Antiqua"/>
          <w:sz w:val="24"/>
          <w:szCs w:val="24"/>
          <w:lang w:val="en-US"/>
        </w:rPr>
        <w:t xml:space="preserve">. </w:t>
      </w:r>
      <w:r w:rsidR="006341D4" w:rsidRPr="00841D2D">
        <w:rPr>
          <w:rFonts w:ascii="Book Antiqua" w:eastAsia="Times New Roman" w:hAnsi="Book Antiqua" w:cs="Times New Roman"/>
          <w:sz w:val="24"/>
          <w:szCs w:val="24"/>
          <w:lang w:val="en-US"/>
        </w:rPr>
        <w:t>The first meta-analysis was published in 2005 and included 6050 patients from six observational cohort retrospective studies.</w:t>
      </w:r>
      <w:r w:rsidR="00C84475" w:rsidRPr="00841D2D">
        <w:rPr>
          <w:rFonts w:ascii="Book Antiqua" w:hAnsi="Book Antiqua"/>
          <w:sz w:val="24"/>
          <w:szCs w:val="24"/>
          <w:lang w:val="en-US"/>
        </w:rPr>
        <w:t xml:space="preserve"> </w:t>
      </w:r>
      <w:r w:rsidR="00F042C3" w:rsidRPr="00841D2D">
        <w:rPr>
          <w:rFonts w:ascii="Book Antiqua" w:hAnsi="Book Antiqua"/>
          <w:sz w:val="24"/>
          <w:szCs w:val="24"/>
          <w:lang w:val="en-US"/>
        </w:rPr>
        <w:t xml:space="preserve">Pooled results showed that HBsAg positive status was a significant predictor for death </w:t>
      </w:r>
      <w:r w:rsidR="0097500D">
        <w:rPr>
          <w:rFonts w:ascii="Book Antiqua" w:hAnsi="Book Antiqua"/>
          <w:sz w:val="24"/>
          <w:szCs w:val="24"/>
          <w:lang w:val="en-US"/>
        </w:rPr>
        <w:t>(</w:t>
      </w:r>
      <w:r w:rsidR="0097500D">
        <w:rPr>
          <w:rFonts w:ascii="Book Antiqua" w:hAnsi="Book Antiqua" w:hint="eastAsia"/>
          <w:sz w:val="24"/>
          <w:szCs w:val="24"/>
          <w:lang w:val="en-US" w:eastAsia="zh-CN"/>
        </w:rPr>
        <w:t>RR</w:t>
      </w:r>
      <w:r w:rsidR="0097500D">
        <w:rPr>
          <w:rFonts w:ascii="Book Antiqua" w:hAnsi="Book Antiqua"/>
          <w:sz w:val="24"/>
          <w:szCs w:val="24"/>
          <w:lang w:val="en-US"/>
        </w:rPr>
        <w:t xml:space="preserve"> 2.49, 95%</w:t>
      </w:r>
      <w:r w:rsidR="00C84475" w:rsidRPr="00841D2D">
        <w:rPr>
          <w:rFonts w:ascii="Book Antiqua" w:hAnsi="Book Antiqua"/>
          <w:sz w:val="24"/>
          <w:szCs w:val="24"/>
          <w:lang w:val="en-US"/>
        </w:rPr>
        <w:t xml:space="preserve">CI: 1.64-3.78) and for graft </w:t>
      </w:r>
      <w:r w:rsidR="00F042C3" w:rsidRPr="00841D2D">
        <w:rPr>
          <w:rFonts w:ascii="Book Antiqua" w:hAnsi="Book Antiqua"/>
          <w:sz w:val="24"/>
          <w:szCs w:val="24"/>
          <w:lang w:val="en-US"/>
        </w:rPr>
        <w:t>loss</w:t>
      </w:r>
      <w:r w:rsidR="00C84475" w:rsidRPr="00841D2D">
        <w:rPr>
          <w:rFonts w:ascii="Book Antiqua" w:hAnsi="Book Antiqua"/>
          <w:sz w:val="24"/>
          <w:szCs w:val="24"/>
          <w:lang w:val="en-US"/>
        </w:rPr>
        <w:t xml:space="preserve"> after RT, when compared to seronegative pa</w:t>
      </w:r>
      <w:r w:rsidR="0097500D">
        <w:rPr>
          <w:rFonts w:ascii="Book Antiqua" w:hAnsi="Book Antiqua"/>
          <w:sz w:val="24"/>
          <w:szCs w:val="24"/>
          <w:lang w:val="en-US"/>
        </w:rPr>
        <w:t>tients (</w:t>
      </w:r>
      <w:r w:rsidR="0097500D">
        <w:rPr>
          <w:rFonts w:ascii="Book Antiqua" w:hAnsi="Book Antiqua" w:hint="eastAsia"/>
          <w:sz w:val="24"/>
          <w:szCs w:val="24"/>
          <w:lang w:val="en-US" w:eastAsia="zh-CN"/>
        </w:rPr>
        <w:t>RR</w:t>
      </w:r>
      <w:r w:rsidR="0097500D">
        <w:rPr>
          <w:rFonts w:ascii="Book Antiqua" w:hAnsi="Book Antiqua"/>
          <w:sz w:val="24"/>
          <w:szCs w:val="24"/>
          <w:lang w:val="en-US"/>
        </w:rPr>
        <w:t xml:space="preserve"> 1.44, 95%</w:t>
      </w:r>
      <w:r w:rsidR="00C84475" w:rsidRPr="00841D2D">
        <w:rPr>
          <w:rFonts w:ascii="Book Antiqua" w:hAnsi="Book Antiqua"/>
          <w:sz w:val="24"/>
          <w:szCs w:val="24"/>
          <w:lang w:val="en-US"/>
        </w:rPr>
        <w:t xml:space="preserve">CI: 1.02-2.04) (homogeneity test, </w:t>
      </w:r>
      <w:r w:rsidR="0097500D" w:rsidRPr="0097500D">
        <w:rPr>
          <w:rFonts w:ascii="Book Antiqua" w:hAnsi="Book Antiqua"/>
          <w:i/>
          <w:sz w:val="24"/>
          <w:szCs w:val="24"/>
          <w:lang w:val="en-US"/>
        </w:rPr>
        <w:t>P</w:t>
      </w:r>
      <w:r w:rsidR="00C84475" w:rsidRPr="00841D2D">
        <w:rPr>
          <w:rFonts w:ascii="Book Antiqua" w:hAnsi="Book Antiqua"/>
          <w:sz w:val="24"/>
          <w:szCs w:val="24"/>
          <w:lang w:val="en-US"/>
        </w:rPr>
        <w:t xml:space="preserve"> &lt;</w:t>
      </w:r>
      <w:r w:rsidR="0097500D">
        <w:rPr>
          <w:rFonts w:ascii="Book Antiqua" w:hAnsi="Book Antiqua" w:hint="eastAsia"/>
          <w:sz w:val="24"/>
          <w:szCs w:val="24"/>
          <w:lang w:val="en-US" w:eastAsia="zh-CN"/>
        </w:rPr>
        <w:t xml:space="preserve"> </w:t>
      </w:r>
      <w:r w:rsidR="00FA41C5">
        <w:rPr>
          <w:rFonts w:ascii="Book Antiqua" w:hAnsi="Book Antiqua"/>
          <w:sz w:val="24"/>
          <w:szCs w:val="24"/>
          <w:lang w:val="en-US"/>
        </w:rPr>
        <w:t>0.0001)</w:t>
      </w:r>
      <w:r w:rsidR="00C84475" w:rsidRPr="00841D2D">
        <w:rPr>
          <w:rFonts w:ascii="Book Antiqua" w:hAnsi="Book Antiqua"/>
          <w:sz w:val="24"/>
          <w:szCs w:val="24"/>
          <w:vertAlign w:val="superscript"/>
          <w:lang w:val="en-US"/>
        </w:rPr>
        <w:t>[58]</w:t>
      </w:r>
      <w:r w:rsidR="00C84475" w:rsidRPr="00841D2D">
        <w:rPr>
          <w:rFonts w:ascii="Book Antiqua" w:hAnsi="Book Antiqua"/>
          <w:sz w:val="24"/>
          <w:szCs w:val="24"/>
          <w:lang w:val="en-US"/>
        </w:rPr>
        <w:t xml:space="preserve">. These results have been updated in 2014: ten observational studies involving 82 690 unique RT recipients were included. </w:t>
      </w:r>
      <w:r w:rsidR="00F042C3" w:rsidRPr="00841D2D">
        <w:rPr>
          <w:rFonts w:ascii="Book Antiqua" w:hAnsi="Book Antiqua"/>
          <w:sz w:val="24"/>
          <w:szCs w:val="24"/>
          <w:lang w:val="en-US"/>
        </w:rPr>
        <w:t xml:space="preserve">In this study, HBsAg positive status was associated with an increase risk for all-cause mortality (adjusted RR 2.214, 95%CI: 1.56-3.137, </w:t>
      </w:r>
      <w:r w:rsidR="0097500D" w:rsidRPr="0097500D">
        <w:rPr>
          <w:rFonts w:ascii="Book Antiqua" w:hAnsi="Book Antiqua"/>
          <w:i/>
          <w:sz w:val="24"/>
          <w:szCs w:val="24"/>
          <w:lang w:val="en-US"/>
        </w:rPr>
        <w:t>P</w:t>
      </w:r>
      <w:r w:rsidR="00F042C3" w:rsidRPr="00841D2D">
        <w:rPr>
          <w:rFonts w:ascii="Book Antiqua" w:hAnsi="Book Antiqua"/>
          <w:sz w:val="24"/>
          <w:szCs w:val="24"/>
          <w:lang w:val="en-US"/>
        </w:rPr>
        <w:t xml:space="preserve"> &lt; 0.0001) and for all-cause graft failure (aRR 1.44, 95%CI: 1.26-1.63, </w:t>
      </w:r>
      <w:r w:rsidR="0097500D" w:rsidRPr="0097500D">
        <w:rPr>
          <w:rFonts w:ascii="Book Antiqua" w:hAnsi="Book Antiqua"/>
          <w:i/>
          <w:sz w:val="24"/>
          <w:szCs w:val="24"/>
          <w:lang w:val="en-US"/>
        </w:rPr>
        <w:t>P</w:t>
      </w:r>
      <w:r w:rsidR="0097500D">
        <w:rPr>
          <w:rFonts w:ascii="Book Antiqua" w:hAnsi="Book Antiqua"/>
          <w:sz w:val="24"/>
          <w:szCs w:val="24"/>
          <w:lang w:val="en-US"/>
        </w:rPr>
        <w:t xml:space="preserve"> &lt; 0.0001)</w:t>
      </w:r>
      <w:r w:rsidR="004E2291" w:rsidRPr="00841D2D">
        <w:rPr>
          <w:rFonts w:ascii="Book Antiqua" w:hAnsi="Book Antiqua"/>
          <w:sz w:val="24"/>
          <w:szCs w:val="24"/>
          <w:vertAlign w:val="superscript"/>
          <w:lang w:val="en-US"/>
        </w:rPr>
        <w:t>[59]</w:t>
      </w:r>
      <w:r w:rsidR="004E2291" w:rsidRPr="00841D2D">
        <w:rPr>
          <w:rFonts w:ascii="Book Antiqua" w:hAnsi="Book Antiqua"/>
          <w:sz w:val="24"/>
          <w:szCs w:val="24"/>
          <w:lang w:val="en-US"/>
        </w:rPr>
        <w:t xml:space="preserve">. </w:t>
      </w:r>
      <w:r w:rsidR="00B303C9" w:rsidRPr="00841D2D">
        <w:rPr>
          <w:rFonts w:ascii="Book Antiqua" w:hAnsi="Book Antiqua"/>
          <w:sz w:val="24"/>
          <w:szCs w:val="24"/>
          <w:lang w:val="en-US"/>
        </w:rPr>
        <w:t>Both meta-analyses of observational studies concluded that untreated RT HBsAg positive patients have an reduced patient and graft survival.</w:t>
      </w:r>
    </w:p>
    <w:p w:rsidR="00125D2E" w:rsidRPr="00841D2D" w:rsidRDefault="00E04DB8"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As previously mentioned oral NUC therapy safely and effectively can suppress HBV replication in RT recipients</w:t>
      </w:r>
      <w:r w:rsidR="0033438A" w:rsidRPr="00841D2D">
        <w:rPr>
          <w:rFonts w:ascii="Book Antiqua" w:hAnsi="Book Antiqua"/>
          <w:sz w:val="24"/>
          <w:szCs w:val="24"/>
          <w:lang w:val="en-US"/>
        </w:rPr>
        <w:t>.</w:t>
      </w:r>
      <w:r w:rsidRPr="00841D2D">
        <w:rPr>
          <w:rFonts w:ascii="Book Antiqua" w:hAnsi="Book Antiqua"/>
          <w:sz w:val="24"/>
          <w:szCs w:val="24"/>
          <w:lang w:val="en-US"/>
        </w:rPr>
        <w:t xml:space="preserve"> </w:t>
      </w:r>
      <w:r w:rsidR="0033438A" w:rsidRPr="00841D2D">
        <w:rPr>
          <w:rFonts w:ascii="Book Antiqua" w:hAnsi="Book Antiqua"/>
          <w:sz w:val="24"/>
          <w:szCs w:val="24"/>
          <w:lang w:val="en-US"/>
        </w:rPr>
        <w:t>Several studies had shown</w:t>
      </w:r>
      <w:r w:rsidRPr="00841D2D">
        <w:rPr>
          <w:rFonts w:ascii="Book Antiqua" w:hAnsi="Book Antiqua"/>
          <w:sz w:val="24"/>
          <w:szCs w:val="24"/>
          <w:lang w:val="en-US"/>
        </w:rPr>
        <w:t xml:space="preserve"> </w:t>
      </w:r>
      <w:r w:rsidR="0033438A" w:rsidRPr="00841D2D">
        <w:rPr>
          <w:rFonts w:ascii="Book Antiqua" w:hAnsi="Book Antiqua"/>
          <w:sz w:val="24"/>
          <w:szCs w:val="24"/>
          <w:lang w:val="en-US"/>
        </w:rPr>
        <w:t xml:space="preserve">that </w:t>
      </w:r>
      <w:r w:rsidRPr="00841D2D">
        <w:rPr>
          <w:rFonts w:ascii="Book Antiqua" w:hAnsi="Book Antiqua"/>
          <w:sz w:val="24"/>
          <w:szCs w:val="24"/>
          <w:lang w:val="en-US"/>
        </w:rPr>
        <w:t>this antiviral effect may impact on long term graft and patients outcome</w:t>
      </w:r>
      <w:r w:rsidR="0033438A" w:rsidRPr="00841D2D">
        <w:rPr>
          <w:rFonts w:ascii="Book Antiqua" w:hAnsi="Book Antiqua"/>
          <w:sz w:val="24"/>
          <w:szCs w:val="24"/>
          <w:vertAlign w:val="superscript"/>
          <w:lang w:val="en-US"/>
        </w:rPr>
        <w:t>[31,</w:t>
      </w:r>
      <w:r w:rsidR="00FA41C5">
        <w:rPr>
          <w:rFonts w:ascii="Book Antiqua" w:hAnsi="Book Antiqua" w:hint="eastAsia"/>
          <w:sz w:val="24"/>
          <w:szCs w:val="24"/>
          <w:vertAlign w:val="superscript"/>
          <w:lang w:val="en-US" w:eastAsia="zh-CN"/>
        </w:rPr>
        <w:t>54,</w:t>
      </w:r>
      <w:r w:rsidR="0033438A" w:rsidRPr="00841D2D">
        <w:rPr>
          <w:rFonts w:ascii="Book Antiqua" w:hAnsi="Book Antiqua"/>
          <w:sz w:val="24"/>
          <w:szCs w:val="24"/>
          <w:vertAlign w:val="superscript"/>
          <w:lang w:val="en-US"/>
        </w:rPr>
        <w:t>60</w:t>
      </w:r>
      <w:r w:rsidR="00F93520"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2</w:t>
      </w:r>
      <w:r w:rsidR="0033438A" w:rsidRPr="00841D2D">
        <w:rPr>
          <w:rFonts w:ascii="Book Antiqua" w:hAnsi="Book Antiqua"/>
          <w:sz w:val="24"/>
          <w:szCs w:val="24"/>
          <w:vertAlign w:val="superscript"/>
          <w:lang w:val="en-US"/>
        </w:rPr>
        <w:t>]</w:t>
      </w:r>
      <w:r w:rsidRPr="00841D2D">
        <w:rPr>
          <w:rFonts w:ascii="Book Antiqua" w:hAnsi="Book Antiqua"/>
          <w:sz w:val="24"/>
          <w:szCs w:val="24"/>
          <w:lang w:val="en-US"/>
        </w:rPr>
        <w:t xml:space="preserve">. </w:t>
      </w:r>
      <w:r w:rsidR="00681574" w:rsidRPr="00841D2D">
        <w:rPr>
          <w:rFonts w:ascii="Book Antiqua" w:hAnsi="Book Antiqua"/>
          <w:sz w:val="24"/>
          <w:szCs w:val="24"/>
          <w:lang w:val="en-US"/>
        </w:rPr>
        <w:t xml:space="preserve">In </w:t>
      </w:r>
      <w:r w:rsidR="0033438A" w:rsidRPr="00841D2D">
        <w:rPr>
          <w:rFonts w:ascii="Book Antiqua" w:hAnsi="Book Antiqua"/>
          <w:sz w:val="24"/>
          <w:szCs w:val="24"/>
          <w:lang w:val="en-US"/>
        </w:rPr>
        <w:t xml:space="preserve">63 </w:t>
      </w:r>
      <w:r w:rsidR="00681574" w:rsidRPr="00841D2D">
        <w:rPr>
          <w:rFonts w:ascii="Book Antiqua" w:hAnsi="Book Antiqua"/>
          <w:sz w:val="24"/>
          <w:szCs w:val="24"/>
          <w:lang w:val="en-US"/>
        </w:rPr>
        <w:t>LAM treated HBsAg positive RT recipients 10-year survival rate</w:t>
      </w:r>
      <w:r w:rsidR="0033438A" w:rsidRPr="00841D2D">
        <w:rPr>
          <w:rFonts w:ascii="Book Antiqua" w:hAnsi="Book Antiqua"/>
          <w:sz w:val="24"/>
          <w:szCs w:val="24"/>
          <w:lang w:val="en-US"/>
        </w:rPr>
        <w:t xml:space="preserve"> was 81%</w:t>
      </w:r>
      <w:r w:rsidR="00681574" w:rsidRPr="00841D2D">
        <w:rPr>
          <w:rFonts w:ascii="Book Antiqua" w:hAnsi="Book Antiqua"/>
          <w:sz w:val="24"/>
          <w:szCs w:val="24"/>
          <w:lang w:val="en-US"/>
        </w:rPr>
        <w:t xml:space="preserve"> and such results were nearly compar</w:t>
      </w:r>
      <w:r w:rsidR="0097500D">
        <w:rPr>
          <w:rFonts w:ascii="Book Antiqua" w:hAnsi="Book Antiqua"/>
          <w:sz w:val="24"/>
          <w:szCs w:val="24"/>
          <w:lang w:val="en-US"/>
        </w:rPr>
        <w:t>able to HBsAg negative patients</w:t>
      </w:r>
      <w:r w:rsidR="00681574" w:rsidRPr="00841D2D">
        <w:rPr>
          <w:rFonts w:ascii="Book Antiqua" w:hAnsi="Book Antiqua"/>
          <w:sz w:val="24"/>
          <w:szCs w:val="24"/>
          <w:vertAlign w:val="superscript"/>
          <w:lang w:val="en-US"/>
        </w:rPr>
        <w:t>[31]</w:t>
      </w:r>
      <w:r w:rsidR="00681574" w:rsidRPr="00841D2D">
        <w:rPr>
          <w:rFonts w:ascii="Book Antiqua" w:hAnsi="Book Antiqua"/>
          <w:sz w:val="24"/>
          <w:szCs w:val="24"/>
          <w:lang w:val="en-US"/>
        </w:rPr>
        <w:t xml:space="preserve">. </w:t>
      </w:r>
      <w:r w:rsidR="00125D2E" w:rsidRPr="00841D2D">
        <w:rPr>
          <w:rFonts w:ascii="Book Antiqua" w:hAnsi="Book Antiqua"/>
          <w:sz w:val="24"/>
          <w:szCs w:val="24"/>
          <w:lang w:val="en-US"/>
        </w:rPr>
        <w:t>Initiating treatment with LAM is associated with a 62% chance of developing drug resistance after 4 years of continuous therapy. Six months after beginning rescue therapy with ADV or ETV, HBV DNA decrease three-log in 75% of patients without significant adverse effects. When compared with untreated patients, those treated with NUCs showed a significant improvement in survival afte</w:t>
      </w:r>
      <w:r w:rsidR="0097500D">
        <w:rPr>
          <w:rFonts w:ascii="Book Antiqua" w:hAnsi="Book Antiqua"/>
          <w:sz w:val="24"/>
          <w:szCs w:val="24"/>
          <w:lang w:val="en-US"/>
        </w:rPr>
        <w:t xml:space="preserve">r 20 years of follow up (34% </w:t>
      </w:r>
      <w:r w:rsidR="0097500D" w:rsidRPr="0097500D">
        <w:rPr>
          <w:rFonts w:ascii="Book Antiqua" w:hAnsi="Book Antiqua"/>
          <w:i/>
          <w:sz w:val="24"/>
          <w:szCs w:val="24"/>
          <w:lang w:val="en-US"/>
        </w:rPr>
        <w:t>vs</w:t>
      </w:r>
      <w:r w:rsidR="00125D2E" w:rsidRPr="00841D2D">
        <w:rPr>
          <w:rFonts w:ascii="Book Antiqua" w:hAnsi="Book Antiqua"/>
          <w:sz w:val="24"/>
          <w:szCs w:val="24"/>
          <w:lang w:val="en-US"/>
        </w:rPr>
        <w:t xml:space="preserve"> 83% respectively, </w:t>
      </w:r>
      <w:r w:rsidR="0097500D" w:rsidRPr="0097500D">
        <w:rPr>
          <w:rFonts w:ascii="Book Antiqua" w:hAnsi="Book Antiqua"/>
          <w:i/>
          <w:sz w:val="24"/>
          <w:szCs w:val="24"/>
          <w:lang w:val="en-US"/>
        </w:rPr>
        <w:t>P</w:t>
      </w:r>
      <w:r w:rsidR="00125D2E" w:rsidRPr="00841D2D">
        <w:rPr>
          <w:rFonts w:ascii="Book Antiqua" w:hAnsi="Book Antiqua"/>
          <w:sz w:val="24"/>
          <w:szCs w:val="24"/>
          <w:lang w:val="en-US"/>
        </w:rPr>
        <w:t xml:space="preserve"> &lt; 0.006). Even though NUC therapy reduced overall mortality by reducing liver related disease (</w:t>
      </w:r>
      <w:r w:rsidR="0097500D" w:rsidRPr="0097500D">
        <w:rPr>
          <w:rFonts w:ascii="Book Antiqua" w:hAnsi="Book Antiqua"/>
          <w:i/>
          <w:sz w:val="24"/>
          <w:szCs w:val="24"/>
          <w:lang w:val="en-US"/>
        </w:rPr>
        <w:t>P</w:t>
      </w:r>
      <w:r w:rsidR="00125D2E" w:rsidRPr="00841D2D">
        <w:rPr>
          <w:rFonts w:ascii="Book Antiqua" w:hAnsi="Book Antiqua"/>
          <w:sz w:val="24"/>
          <w:szCs w:val="24"/>
          <w:lang w:val="en-US"/>
        </w:rPr>
        <w:t xml:space="preserve"> &lt; 0.036), 40% of death in chronic HBV infected patients are still related to liver complications and 22.2% of them deve</w:t>
      </w:r>
      <w:r w:rsidR="0097500D">
        <w:rPr>
          <w:rFonts w:ascii="Book Antiqua" w:hAnsi="Book Antiqua"/>
          <w:sz w:val="24"/>
          <w:szCs w:val="24"/>
          <w:lang w:val="en-US"/>
        </w:rPr>
        <w:t>loped in patients being treated</w:t>
      </w:r>
      <w:r w:rsidR="00125D2E" w:rsidRPr="00841D2D">
        <w:rPr>
          <w:rFonts w:ascii="Book Antiqua" w:hAnsi="Book Antiqua"/>
          <w:sz w:val="24"/>
          <w:szCs w:val="24"/>
          <w:vertAlign w:val="superscript"/>
          <w:lang w:val="en-US"/>
        </w:rPr>
        <w:t>[31]</w:t>
      </w:r>
      <w:r w:rsidR="00125D2E" w:rsidRPr="00841D2D">
        <w:rPr>
          <w:rFonts w:ascii="Book Antiqua" w:hAnsi="Book Antiqua"/>
          <w:sz w:val="24"/>
          <w:szCs w:val="24"/>
          <w:lang w:val="en-US"/>
        </w:rPr>
        <w:t>.</w:t>
      </w:r>
    </w:p>
    <w:p w:rsidR="00C27E25" w:rsidRPr="00841D2D" w:rsidRDefault="0033438A" w:rsidP="0097500D">
      <w:pPr>
        <w:spacing w:after="0" w:line="360" w:lineRule="auto"/>
        <w:ind w:firstLineChars="100" w:firstLine="240"/>
        <w:jc w:val="both"/>
        <w:rPr>
          <w:rFonts w:ascii="Book Antiqua" w:eastAsia="Times New Roman" w:hAnsi="Book Antiqua" w:cs="Times New Roman"/>
          <w:sz w:val="24"/>
          <w:szCs w:val="24"/>
          <w:lang w:val="en-US"/>
        </w:rPr>
      </w:pPr>
      <w:r w:rsidRPr="00841D2D">
        <w:rPr>
          <w:rFonts w:ascii="Book Antiqua" w:hAnsi="Book Antiqua"/>
          <w:sz w:val="24"/>
          <w:szCs w:val="24"/>
          <w:lang w:val="en-US"/>
        </w:rPr>
        <w:t xml:space="preserve">Forty two RT patients were treated for long term with different NUCs regimens: at the end of </w:t>
      </w:r>
      <w:r w:rsidR="000864AB" w:rsidRPr="00841D2D">
        <w:rPr>
          <w:rFonts w:ascii="Book Antiqua" w:hAnsi="Book Antiqua"/>
          <w:sz w:val="24"/>
          <w:szCs w:val="24"/>
          <w:lang w:val="en-US"/>
        </w:rPr>
        <w:t>follow up</w:t>
      </w:r>
      <w:r w:rsidRPr="00841D2D">
        <w:rPr>
          <w:rFonts w:ascii="Book Antiqua" w:hAnsi="Book Antiqua"/>
          <w:sz w:val="24"/>
          <w:szCs w:val="24"/>
          <w:lang w:val="en-US"/>
        </w:rPr>
        <w:t xml:space="preserve"> 18 patients were receiving </w:t>
      </w:r>
      <w:r w:rsidR="0097500D">
        <w:rPr>
          <w:rFonts w:ascii="Book Antiqua" w:hAnsi="Book Antiqua"/>
          <w:sz w:val="24"/>
          <w:szCs w:val="24"/>
          <w:lang w:val="en-US"/>
        </w:rPr>
        <w:t>monotherapy (9 LAM, 2 ADV, and</w:t>
      </w:r>
      <w:r w:rsidRPr="00841D2D">
        <w:rPr>
          <w:rFonts w:ascii="Book Antiqua" w:hAnsi="Book Antiqua"/>
          <w:sz w:val="24"/>
          <w:szCs w:val="24"/>
          <w:lang w:val="en-US"/>
        </w:rPr>
        <w:t xml:space="preserve"> ETV) and 24 combination therapy (11 LAM + ADV, 2 LAM + TDF, 4 ETV + ADV, 6 ETV + TDF </w:t>
      </w:r>
      <w:r w:rsidR="0097500D">
        <w:rPr>
          <w:rFonts w:ascii="Book Antiqua" w:hAnsi="Book Antiqua"/>
          <w:sz w:val="24"/>
          <w:szCs w:val="24"/>
          <w:lang w:val="en-US"/>
        </w:rPr>
        <w:t>and 1 TDF + emtricitabine, FTC)</w:t>
      </w:r>
      <w:r w:rsidRPr="00841D2D">
        <w:rPr>
          <w:rFonts w:ascii="Book Antiqua" w:hAnsi="Book Antiqua"/>
          <w:sz w:val="24"/>
          <w:szCs w:val="24"/>
          <w:vertAlign w:val="superscript"/>
          <w:lang w:val="en-US"/>
        </w:rPr>
        <w:t>[60]</w:t>
      </w:r>
      <w:r w:rsidRPr="00841D2D">
        <w:rPr>
          <w:rFonts w:ascii="Book Antiqua" w:hAnsi="Book Antiqua"/>
          <w:sz w:val="24"/>
          <w:szCs w:val="24"/>
          <w:lang w:val="en-US"/>
        </w:rPr>
        <w:t xml:space="preserve">. </w:t>
      </w:r>
      <w:r w:rsidR="00C27E25" w:rsidRPr="00841D2D">
        <w:rPr>
          <w:rFonts w:ascii="Book Antiqua" w:eastAsia="Times New Roman" w:hAnsi="Book Antiqua" w:cs="Times New Roman"/>
          <w:sz w:val="24"/>
          <w:szCs w:val="24"/>
          <w:lang w:val="en-US"/>
        </w:rPr>
        <w:t xml:space="preserve">At the end of the study 100% (18/18) of patients under monotherapy and 87.5% (21/24) of patients under combination therapy cleared HBV DNA. The 3 patients (12.5%) in the combination therapy group with detectable HBV DNA, had HBV DNA levels below300 IU/ml. At the end of follow up, 92.8% of the entire cohort had cleared HBV DNA. Patient survival was 97.6% at 10 years, 95.2% at 15 years, and 90.4% at 20 years after renal transplantation, while graft survival was 100% at 5 years, 97.6% at 10 years, 95.2% at 15 years, and 88.1% at 20 years after renal transplantation. At the end of the study, 8 patients (19.04%) died and 1 received a liver transplantation due to end stage liver disease. Four deaths were liver related: 4 patients (3 cirrhotics and 1 with only mild fibrosis at baseline) developed an hepatocellular carcinoma (HCC) despite complete virological response; three of the other patients died of non liver cancer </w:t>
      </w:r>
      <w:r w:rsidR="0097500D">
        <w:rPr>
          <w:rFonts w:ascii="Book Antiqua" w:eastAsia="Times New Roman" w:hAnsi="Book Antiqua" w:cs="Times New Roman"/>
          <w:sz w:val="24"/>
          <w:szCs w:val="24"/>
          <w:lang w:val="en-US"/>
        </w:rPr>
        <w:t>and the remaining from stroke</w:t>
      </w:r>
      <w:r w:rsidR="00C27E25" w:rsidRPr="00841D2D">
        <w:rPr>
          <w:rFonts w:ascii="Book Antiqua" w:eastAsia="Times New Roman" w:hAnsi="Book Antiqua" w:cs="Times New Roman"/>
          <w:sz w:val="24"/>
          <w:szCs w:val="24"/>
          <w:vertAlign w:val="superscript"/>
          <w:lang w:val="en-US"/>
        </w:rPr>
        <w:t>[60]</w:t>
      </w:r>
      <w:r w:rsidR="00C27E25" w:rsidRPr="00841D2D">
        <w:rPr>
          <w:rFonts w:ascii="Book Antiqua" w:eastAsia="Times New Roman" w:hAnsi="Book Antiqua" w:cs="Times New Roman"/>
          <w:sz w:val="24"/>
          <w:szCs w:val="24"/>
          <w:lang w:val="en-US"/>
        </w:rPr>
        <w:t xml:space="preserve">. During the study, 11.9% (6/42) of patients returned to dialysis due to chronic rejection leading to graft failure. The NUC dose was modified according to creatinine clearance </w:t>
      </w:r>
      <w:r w:rsidR="0097500D">
        <w:rPr>
          <w:rFonts w:ascii="Book Antiqua" w:eastAsia="Times New Roman" w:hAnsi="Book Antiqua" w:cs="Times New Roman"/>
          <w:sz w:val="24"/>
          <w:szCs w:val="24"/>
          <w:lang w:val="en-US"/>
        </w:rPr>
        <w:t>in 45.2%(19/42) of the patients</w:t>
      </w:r>
      <w:r w:rsidR="00C27E25" w:rsidRPr="00841D2D">
        <w:rPr>
          <w:rFonts w:ascii="Book Antiqua" w:eastAsia="Times New Roman" w:hAnsi="Book Antiqua" w:cs="Times New Roman"/>
          <w:sz w:val="24"/>
          <w:szCs w:val="24"/>
          <w:vertAlign w:val="superscript"/>
          <w:lang w:val="en-US"/>
        </w:rPr>
        <w:t>[60]</w:t>
      </w:r>
      <w:r w:rsidR="00C27E25" w:rsidRPr="00841D2D">
        <w:rPr>
          <w:rFonts w:ascii="Book Antiqua" w:eastAsia="Times New Roman" w:hAnsi="Book Antiqua" w:cs="Times New Roman"/>
          <w:sz w:val="24"/>
          <w:szCs w:val="24"/>
          <w:lang w:val="en-US"/>
        </w:rPr>
        <w:t>.</w:t>
      </w:r>
    </w:p>
    <w:p w:rsidR="002B03A6" w:rsidRPr="00841D2D" w:rsidRDefault="002B03A6"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Thirty RT patients underwent long term NUC therapy; at the end of follow up 25 were still alive and being treated and 24 were HBV DNA non detectable. Eight patients were receiving LAM monotherapy, 1 on ETV, 1 on TDF, 6 on LAM + </w:t>
      </w:r>
      <w:r w:rsidR="0097500D">
        <w:rPr>
          <w:rFonts w:ascii="Book Antiqua" w:hAnsi="Book Antiqua"/>
          <w:sz w:val="24"/>
          <w:szCs w:val="24"/>
          <w:lang w:val="en-US"/>
        </w:rPr>
        <w:t>ADV combination and 9 LAM + TDF</w:t>
      </w:r>
      <w:r w:rsidRPr="00841D2D">
        <w:rPr>
          <w:rFonts w:ascii="Book Antiqua" w:hAnsi="Book Antiqua"/>
          <w:sz w:val="24"/>
          <w:szCs w:val="24"/>
          <w:vertAlign w:val="superscript"/>
          <w:lang w:val="en-US"/>
        </w:rPr>
        <w:t>[61]</w:t>
      </w:r>
      <w:r w:rsidRPr="00841D2D">
        <w:rPr>
          <w:rFonts w:ascii="Book Antiqua" w:hAnsi="Book Antiqua"/>
          <w:sz w:val="24"/>
          <w:szCs w:val="24"/>
          <w:lang w:val="en-US"/>
        </w:rPr>
        <w:t>. Five patients died from no liver related disease and 9 returned to dialysis after graft failure due to chronic allograft nephropathy. In this cohort, 10 year patient survival was 92% and 10 year graft survival was 86%. There were no renal adverse effect</w:t>
      </w:r>
      <w:r w:rsidR="0097500D">
        <w:rPr>
          <w:rFonts w:ascii="Book Antiqua" w:hAnsi="Book Antiqua"/>
          <w:sz w:val="24"/>
          <w:szCs w:val="24"/>
          <w:lang w:val="en-US"/>
        </w:rPr>
        <w:t>s related to ADV/TDF therapy</w:t>
      </w:r>
      <w:r w:rsidRPr="00841D2D">
        <w:rPr>
          <w:rFonts w:ascii="Book Antiqua" w:hAnsi="Book Antiqua"/>
          <w:sz w:val="24"/>
          <w:szCs w:val="24"/>
          <w:vertAlign w:val="superscript"/>
          <w:lang w:val="en-US"/>
        </w:rPr>
        <w:t>[61]</w:t>
      </w:r>
      <w:r w:rsidRPr="00841D2D">
        <w:rPr>
          <w:rFonts w:ascii="Book Antiqua" w:hAnsi="Book Antiqua"/>
          <w:sz w:val="24"/>
          <w:szCs w:val="24"/>
          <w:lang w:val="en-US"/>
        </w:rPr>
        <w:t>.</w:t>
      </w:r>
    </w:p>
    <w:p w:rsidR="00045039" w:rsidRPr="00841D2D" w:rsidRDefault="00E24324"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Twenty five patients received pre-RT treatment with LAM (22 patients) and ETV (3 patients): 18 were HBV DNA </w:t>
      </w:r>
      <w:r w:rsidR="00A24A35" w:rsidRPr="00841D2D">
        <w:rPr>
          <w:rFonts w:ascii="Book Antiqua" w:hAnsi="Book Antiqua"/>
          <w:sz w:val="24"/>
          <w:szCs w:val="24"/>
          <w:lang w:val="en-US"/>
        </w:rPr>
        <w:t>undetectable</w:t>
      </w:r>
      <w:r w:rsidRPr="00841D2D">
        <w:rPr>
          <w:rFonts w:ascii="Book Antiqua" w:hAnsi="Book Antiqua"/>
          <w:sz w:val="24"/>
          <w:szCs w:val="24"/>
          <w:lang w:val="en-US"/>
        </w:rPr>
        <w:t xml:space="preserve"> (prophylactic group) and 8 were HBV DNA positive (preemptive group), and were compared to a historic</w:t>
      </w:r>
      <w:r w:rsidR="0097500D">
        <w:rPr>
          <w:rFonts w:ascii="Book Antiqua" w:hAnsi="Book Antiqua"/>
          <w:sz w:val="24"/>
          <w:szCs w:val="24"/>
          <w:lang w:val="en-US"/>
        </w:rPr>
        <w:t>al control group</w:t>
      </w:r>
      <w:r w:rsidRPr="00841D2D">
        <w:rPr>
          <w:rFonts w:ascii="Book Antiqua" w:hAnsi="Book Antiqua"/>
          <w:sz w:val="24"/>
          <w:szCs w:val="24"/>
          <w:vertAlign w:val="superscript"/>
          <w:lang w:val="en-US"/>
        </w:rPr>
        <w:t>[</w:t>
      </w:r>
      <w:r w:rsidR="00FA41C5">
        <w:rPr>
          <w:rFonts w:ascii="Book Antiqua" w:hAnsi="Book Antiqua" w:hint="eastAsia"/>
          <w:sz w:val="24"/>
          <w:szCs w:val="24"/>
          <w:vertAlign w:val="superscript"/>
          <w:lang w:val="en-US" w:eastAsia="zh-CN"/>
        </w:rPr>
        <w:t>54</w:t>
      </w:r>
      <w:r w:rsidRPr="00841D2D">
        <w:rPr>
          <w:rFonts w:ascii="Book Antiqua" w:hAnsi="Book Antiqua"/>
          <w:sz w:val="24"/>
          <w:szCs w:val="24"/>
          <w:vertAlign w:val="superscript"/>
          <w:lang w:val="en-US"/>
        </w:rPr>
        <w:t>]</w:t>
      </w:r>
      <w:r w:rsidRPr="00841D2D">
        <w:rPr>
          <w:rFonts w:ascii="Book Antiqua" w:hAnsi="Book Antiqua"/>
          <w:sz w:val="24"/>
          <w:szCs w:val="24"/>
          <w:lang w:val="en-US"/>
        </w:rPr>
        <w:t xml:space="preserve">. Unadjusted 10-year graft survival rates in the </w:t>
      </w:r>
      <w:r w:rsidR="00A24A35" w:rsidRPr="00841D2D">
        <w:rPr>
          <w:rFonts w:ascii="Book Antiqua" w:hAnsi="Book Antiqua"/>
          <w:sz w:val="24"/>
          <w:szCs w:val="24"/>
          <w:lang w:val="en-US"/>
        </w:rPr>
        <w:t>treatment cohort</w:t>
      </w:r>
      <w:r w:rsidRPr="00841D2D">
        <w:rPr>
          <w:rFonts w:ascii="Book Antiqua" w:hAnsi="Book Antiqua"/>
          <w:sz w:val="24"/>
          <w:szCs w:val="24"/>
          <w:lang w:val="en-US"/>
        </w:rPr>
        <w:t xml:space="preserve"> </w:t>
      </w:r>
      <w:r w:rsidR="00FF104C" w:rsidRPr="00841D2D">
        <w:rPr>
          <w:rFonts w:ascii="Book Antiqua" w:hAnsi="Book Antiqua"/>
          <w:i/>
          <w:iCs/>
          <w:sz w:val="24"/>
          <w:szCs w:val="24"/>
          <w:lang w:val="en-US"/>
        </w:rPr>
        <w:t>vs</w:t>
      </w:r>
      <w:r w:rsidRPr="00841D2D">
        <w:rPr>
          <w:rFonts w:ascii="Book Antiqua" w:hAnsi="Book Antiqua"/>
          <w:sz w:val="24"/>
          <w:szCs w:val="24"/>
          <w:lang w:val="en-US"/>
        </w:rPr>
        <w:t xml:space="preserve"> historical control </w:t>
      </w:r>
      <w:r w:rsidR="00A24A35" w:rsidRPr="00841D2D">
        <w:rPr>
          <w:rFonts w:ascii="Book Antiqua" w:hAnsi="Book Antiqua"/>
          <w:sz w:val="24"/>
          <w:szCs w:val="24"/>
          <w:lang w:val="en-US"/>
        </w:rPr>
        <w:t>cohort</w:t>
      </w:r>
      <w:r w:rsidRPr="00841D2D">
        <w:rPr>
          <w:rFonts w:ascii="Book Antiqua" w:hAnsi="Book Antiqua"/>
          <w:sz w:val="24"/>
          <w:szCs w:val="24"/>
          <w:lang w:val="en-US"/>
        </w:rPr>
        <w:t xml:space="preserve"> were 81.8% and 34.3%, respectively (</w:t>
      </w:r>
      <w:r w:rsidR="0097500D" w:rsidRPr="0097500D">
        <w:rPr>
          <w:rFonts w:ascii="Book Antiqua" w:hAnsi="Book Antiqua"/>
          <w:i/>
          <w:sz w:val="24"/>
          <w:szCs w:val="24"/>
          <w:lang w:val="en-US"/>
        </w:rPr>
        <w:t>P</w:t>
      </w:r>
      <w:r w:rsidRPr="00841D2D">
        <w:rPr>
          <w:rFonts w:ascii="Book Antiqua" w:hAnsi="Book Antiqua"/>
          <w:sz w:val="24"/>
          <w:szCs w:val="24"/>
          <w:lang w:val="en-US"/>
        </w:rPr>
        <w:t xml:space="preserve"> = 0.003). </w:t>
      </w:r>
      <w:r w:rsidR="00A24A35" w:rsidRPr="00841D2D">
        <w:rPr>
          <w:rFonts w:ascii="Book Antiqua" w:hAnsi="Book Antiqua"/>
          <w:sz w:val="24"/>
          <w:szCs w:val="24"/>
          <w:lang w:val="en-US"/>
        </w:rPr>
        <w:t>Graft lost occurred more frequently in the historical control than in the treated cohort</w:t>
      </w:r>
      <w:r w:rsidR="0097500D">
        <w:rPr>
          <w:rFonts w:ascii="Book Antiqua" w:hAnsi="Book Antiqua"/>
          <w:sz w:val="24"/>
          <w:szCs w:val="24"/>
          <w:lang w:val="en-US"/>
        </w:rPr>
        <w:t xml:space="preserve"> (70.3% </w:t>
      </w:r>
      <w:r w:rsidR="0097500D" w:rsidRPr="0097500D">
        <w:rPr>
          <w:rFonts w:ascii="Book Antiqua" w:hAnsi="Book Antiqua"/>
          <w:i/>
          <w:sz w:val="24"/>
          <w:szCs w:val="24"/>
          <w:lang w:val="en-US"/>
        </w:rPr>
        <w:t>vs</w:t>
      </w:r>
      <w:r w:rsidR="00A24A35" w:rsidRPr="00841D2D">
        <w:rPr>
          <w:rFonts w:ascii="Book Antiqua" w:hAnsi="Book Antiqua"/>
          <w:sz w:val="24"/>
          <w:szCs w:val="24"/>
          <w:lang w:val="en-US"/>
        </w:rPr>
        <w:t xml:space="preserve"> 4.3%, respectively); this was mainly related to patient death. </w:t>
      </w:r>
      <w:r w:rsidR="002E4E00" w:rsidRPr="00841D2D">
        <w:rPr>
          <w:rFonts w:ascii="Book Antiqua" w:hAnsi="Book Antiqua"/>
          <w:sz w:val="24"/>
          <w:szCs w:val="24"/>
          <w:lang w:val="en-US"/>
        </w:rPr>
        <w:t xml:space="preserve">Treated patients showed a better 10-year patient survival than the </w:t>
      </w:r>
      <w:r w:rsidR="00A24A35" w:rsidRPr="00841D2D">
        <w:rPr>
          <w:rFonts w:ascii="Book Antiqua" w:hAnsi="Book Antiqua"/>
          <w:sz w:val="24"/>
          <w:szCs w:val="24"/>
          <w:lang w:val="en-US"/>
        </w:rPr>
        <w:t>control group</w:t>
      </w:r>
      <w:r w:rsidR="0097500D">
        <w:rPr>
          <w:rFonts w:ascii="Book Antiqua" w:hAnsi="Book Antiqua"/>
          <w:sz w:val="24"/>
          <w:szCs w:val="24"/>
          <w:lang w:val="en-US"/>
        </w:rPr>
        <w:t xml:space="preserve">: 90.0% </w:t>
      </w:r>
      <w:r w:rsidR="0097500D" w:rsidRPr="0097500D">
        <w:rPr>
          <w:rFonts w:ascii="Book Antiqua" w:hAnsi="Book Antiqua"/>
          <w:i/>
          <w:sz w:val="24"/>
          <w:szCs w:val="24"/>
          <w:lang w:val="en-US"/>
        </w:rPr>
        <w:t>vs</w:t>
      </w:r>
      <w:r w:rsidR="002E4E00" w:rsidRPr="00841D2D">
        <w:rPr>
          <w:rFonts w:ascii="Book Antiqua" w:hAnsi="Book Antiqua"/>
          <w:sz w:val="24"/>
          <w:szCs w:val="24"/>
          <w:lang w:val="en-US"/>
        </w:rPr>
        <w:t xml:space="preserve"> 57.4%; </w:t>
      </w:r>
      <w:r w:rsidR="0097500D" w:rsidRPr="0097500D">
        <w:rPr>
          <w:rFonts w:ascii="Book Antiqua" w:hAnsi="Book Antiqua"/>
          <w:i/>
          <w:sz w:val="24"/>
          <w:szCs w:val="24"/>
          <w:lang w:val="en-US"/>
        </w:rPr>
        <w:t>P</w:t>
      </w:r>
      <w:r w:rsidR="002E4E00" w:rsidRPr="00841D2D">
        <w:rPr>
          <w:rFonts w:ascii="Book Antiqua" w:hAnsi="Book Antiqua"/>
          <w:sz w:val="24"/>
          <w:szCs w:val="24"/>
          <w:lang w:val="en-US"/>
        </w:rPr>
        <w:t xml:space="preserve"> = 0.013. Pre-transplantation </w:t>
      </w:r>
      <w:r w:rsidR="00A24A35" w:rsidRPr="00841D2D">
        <w:rPr>
          <w:rFonts w:ascii="Book Antiqua" w:hAnsi="Book Antiqua"/>
          <w:sz w:val="24"/>
          <w:szCs w:val="24"/>
          <w:lang w:val="en-US"/>
        </w:rPr>
        <w:t>NUC treatment</w:t>
      </w:r>
      <w:r w:rsidR="002E4E00" w:rsidRPr="00841D2D">
        <w:rPr>
          <w:rFonts w:ascii="Book Antiqua" w:hAnsi="Book Antiqua"/>
          <w:sz w:val="24"/>
          <w:szCs w:val="24"/>
          <w:lang w:val="en-US"/>
        </w:rPr>
        <w:t xml:space="preserve"> was an independent factor for the improved patient survival </w:t>
      </w:r>
      <w:r w:rsidR="0097500D">
        <w:rPr>
          <w:rFonts w:ascii="Book Antiqua" w:hAnsi="Book Antiqua" w:hint="eastAsia"/>
          <w:sz w:val="24"/>
          <w:szCs w:val="24"/>
          <w:lang w:val="en-US" w:eastAsia="zh-CN"/>
        </w:rPr>
        <w:t>[</w:t>
      </w:r>
      <w:r w:rsidR="00045039" w:rsidRPr="00841D2D">
        <w:rPr>
          <w:rFonts w:ascii="Book Antiqua" w:hAnsi="Book Antiqua"/>
          <w:sz w:val="24"/>
          <w:szCs w:val="24"/>
          <w:lang w:val="en-US"/>
        </w:rPr>
        <w:t>odds r</w:t>
      </w:r>
      <w:r w:rsidR="002E4E00" w:rsidRPr="00841D2D">
        <w:rPr>
          <w:rFonts w:ascii="Book Antiqua" w:hAnsi="Book Antiqua"/>
          <w:sz w:val="24"/>
          <w:szCs w:val="24"/>
          <w:lang w:val="en-US"/>
        </w:rPr>
        <w:t>atio</w:t>
      </w:r>
      <w:r w:rsidR="0097500D">
        <w:rPr>
          <w:rFonts w:ascii="Book Antiqua" w:hAnsi="Book Antiqua" w:hint="eastAsia"/>
          <w:sz w:val="24"/>
          <w:szCs w:val="24"/>
          <w:lang w:val="en-US" w:eastAsia="zh-CN"/>
        </w:rPr>
        <w:t xml:space="preserve"> (OR)</w:t>
      </w:r>
      <w:r w:rsidR="002E4E00" w:rsidRPr="00841D2D">
        <w:rPr>
          <w:rFonts w:ascii="Book Antiqua" w:hAnsi="Book Antiqua"/>
          <w:sz w:val="24"/>
          <w:szCs w:val="24"/>
          <w:lang w:val="en-US"/>
        </w:rPr>
        <w:t xml:space="preserve"> 0.052; </w:t>
      </w:r>
      <w:r w:rsidR="0097500D" w:rsidRPr="0097500D">
        <w:rPr>
          <w:rFonts w:ascii="Book Antiqua" w:hAnsi="Book Antiqua"/>
          <w:i/>
          <w:sz w:val="24"/>
          <w:szCs w:val="24"/>
          <w:lang w:val="en-US"/>
        </w:rPr>
        <w:t>P</w:t>
      </w:r>
      <w:r w:rsidR="002E4E00" w:rsidRPr="00841D2D">
        <w:rPr>
          <w:rFonts w:ascii="Book Antiqua" w:hAnsi="Book Antiqua"/>
          <w:sz w:val="24"/>
          <w:szCs w:val="24"/>
          <w:lang w:val="en-US"/>
        </w:rPr>
        <w:t xml:space="preserve"> = 0.005</w:t>
      </w:r>
      <w:r w:rsidR="0097500D">
        <w:rPr>
          <w:rFonts w:ascii="Book Antiqua" w:hAnsi="Book Antiqua" w:hint="eastAsia"/>
          <w:sz w:val="24"/>
          <w:szCs w:val="24"/>
          <w:lang w:val="en-US" w:eastAsia="zh-CN"/>
        </w:rPr>
        <w:t>]</w:t>
      </w:r>
      <w:r w:rsidR="002E4E00" w:rsidRPr="00841D2D">
        <w:rPr>
          <w:rFonts w:ascii="Book Antiqua" w:hAnsi="Book Antiqua"/>
          <w:sz w:val="24"/>
          <w:szCs w:val="24"/>
          <w:lang w:val="en-US"/>
        </w:rPr>
        <w:t xml:space="preserve">. </w:t>
      </w:r>
      <w:r w:rsidR="00A24A35" w:rsidRPr="00841D2D">
        <w:rPr>
          <w:rFonts w:ascii="Book Antiqua" w:hAnsi="Book Antiqua"/>
          <w:sz w:val="24"/>
          <w:szCs w:val="24"/>
          <w:lang w:val="en-US"/>
        </w:rPr>
        <w:t>Liver-related disease was the main cause of death in the historical control cohort (84.6% of the cases); sepsis was the second most freq</w:t>
      </w:r>
      <w:r w:rsidR="0097500D">
        <w:rPr>
          <w:rFonts w:ascii="Book Antiqua" w:hAnsi="Book Antiqua"/>
          <w:sz w:val="24"/>
          <w:szCs w:val="24"/>
          <w:lang w:val="en-US"/>
        </w:rPr>
        <w:t>uent cause (15.4% of the cases)</w:t>
      </w:r>
      <w:r w:rsidR="002E4E00" w:rsidRPr="00841D2D">
        <w:rPr>
          <w:rFonts w:ascii="Book Antiqua" w:hAnsi="Book Antiqua"/>
          <w:sz w:val="24"/>
          <w:szCs w:val="24"/>
          <w:vertAlign w:val="superscript"/>
          <w:lang w:val="en-US"/>
        </w:rPr>
        <w:t>[</w:t>
      </w:r>
      <w:r w:rsidR="00FA41C5">
        <w:rPr>
          <w:rFonts w:ascii="Book Antiqua" w:hAnsi="Book Antiqua" w:hint="eastAsia"/>
          <w:sz w:val="24"/>
          <w:szCs w:val="24"/>
          <w:vertAlign w:val="superscript"/>
          <w:lang w:val="en-US" w:eastAsia="zh-CN"/>
        </w:rPr>
        <w:t>54</w:t>
      </w:r>
      <w:r w:rsidR="002E4E00" w:rsidRPr="00841D2D">
        <w:rPr>
          <w:rFonts w:ascii="Book Antiqua" w:hAnsi="Book Antiqua"/>
          <w:sz w:val="24"/>
          <w:szCs w:val="24"/>
          <w:vertAlign w:val="superscript"/>
          <w:lang w:val="en-US"/>
        </w:rPr>
        <w:t>]</w:t>
      </w:r>
      <w:r w:rsidR="002E4E00" w:rsidRPr="00841D2D">
        <w:rPr>
          <w:rFonts w:ascii="Book Antiqua" w:hAnsi="Book Antiqua"/>
          <w:sz w:val="24"/>
          <w:szCs w:val="24"/>
          <w:lang w:val="en-US"/>
        </w:rPr>
        <w:t xml:space="preserve">. </w:t>
      </w:r>
      <w:r w:rsidR="0097500D">
        <w:rPr>
          <w:rFonts w:ascii="Book Antiqua" w:hAnsi="Book Antiqua"/>
          <w:sz w:val="24"/>
          <w:szCs w:val="24"/>
          <w:lang w:val="en-US"/>
        </w:rPr>
        <w:t xml:space="preserve">Overall, graft (100% </w:t>
      </w:r>
      <w:r w:rsidR="0097500D" w:rsidRPr="0097500D">
        <w:rPr>
          <w:rFonts w:ascii="Book Antiqua" w:hAnsi="Book Antiqua"/>
          <w:i/>
          <w:sz w:val="24"/>
          <w:szCs w:val="24"/>
          <w:lang w:val="en-US"/>
        </w:rPr>
        <w:t>vs</w:t>
      </w:r>
      <w:r w:rsidR="004005DF" w:rsidRPr="00841D2D">
        <w:rPr>
          <w:rFonts w:ascii="Book Antiqua" w:hAnsi="Book Antiqua"/>
          <w:sz w:val="24"/>
          <w:szCs w:val="24"/>
          <w:lang w:val="en-US"/>
        </w:rPr>
        <w:t xml:space="preserve"> 71.4%)</w:t>
      </w:r>
      <w:r w:rsidR="0097500D">
        <w:rPr>
          <w:rFonts w:ascii="Book Antiqua" w:hAnsi="Book Antiqua"/>
          <w:sz w:val="24"/>
          <w:szCs w:val="24"/>
          <w:lang w:val="en-US"/>
        </w:rPr>
        <w:t xml:space="preserve"> and patient survivals (100% </w:t>
      </w:r>
      <w:r w:rsidR="0097500D" w:rsidRPr="0097500D">
        <w:rPr>
          <w:rFonts w:ascii="Book Antiqua" w:hAnsi="Book Antiqua"/>
          <w:i/>
          <w:sz w:val="24"/>
          <w:szCs w:val="24"/>
          <w:lang w:val="en-US"/>
        </w:rPr>
        <w:t>vs</w:t>
      </w:r>
      <w:r w:rsidR="004005DF" w:rsidRPr="00841D2D">
        <w:rPr>
          <w:rFonts w:ascii="Book Antiqua" w:hAnsi="Book Antiqua"/>
          <w:sz w:val="24"/>
          <w:szCs w:val="24"/>
          <w:lang w:val="en-US"/>
        </w:rPr>
        <w:t xml:space="preserve"> 85.7%) were similar in the 2 treated cohorts (</w:t>
      </w:r>
      <w:r w:rsidR="0097500D" w:rsidRPr="0097500D">
        <w:rPr>
          <w:rFonts w:ascii="Book Antiqua" w:hAnsi="Book Antiqua"/>
          <w:i/>
          <w:sz w:val="24"/>
          <w:szCs w:val="24"/>
          <w:lang w:val="en-US"/>
        </w:rPr>
        <w:t>P</w:t>
      </w:r>
      <w:r w:rsidR="00FA41C5">
        <w:rPr>
          <w:rFonts w:ascii="Book Antiqua" w:hAnsi="Book Antiqua"/>
          <w:sz w:val="24"/>
          <w:szCs w:val="24"/>
          <w:lang w:val="en-US"/>
        </w:rPr>
        <w:t xml:space="preserve"> = 0.601)</w:t>
      </w:r>
      <w:r w:rsidR="002E4E00" w:rsidRPr="00841D2D">
        <w:rPr>
          <w:rFonts w:ascii="Book Antiqua" w:hAnsi="Book Antiqua"/>
          <w:sz w:val="24"/>
          <w:szCs w:val="24"/>
          <w:vertAlign w:val="superscript"/>
          <w:lang w:val="en-US"/>
        </w:rPr>
        <w:t>[</w:t>
      </w:r>
      <w:r w:rsidR="00FA41C5">
        <w:rPr>
          <w:rFonts w:ascii="Book Antiqua" w:hAnsi="Book Antiqua" w:hint="eastAsia"/>
          <w:sz w:val="24"/>
          <w:szCs w:val="24"/>
          <w:vertAlign w:val="superscript"/>
          <w:lang w:val="en-US" w:eastAsia="zh-CN"/>
        </w:rPr>
        <w:t>54</w:t>
      </w:r>
      <w:r w:rsidR="002E4E00" w:rsidRPr="00841D2D">
        <w:rPr>
          <w:rFonts w:ascii="Book Antiqua" w:hAnsi="Book Antiqua"/>
          <w:sz w:val="24"/>
          <w:szCs w:val="24"/>
          <w:vertAlign w:val="superscript"/>
          <w:lang w:val="en-US"/>
        </w:rPr>
        <w:t>]</w:t>
      </w:r>
      <w:r w:rsidR="002E4E00" w:rsidRPr="00841D2D">
        <w:rPr>
          <w:rFonts w:ascii="Book Antiqua" w:hAnsi="Book Antiqua"/>
          <w:sz w:val="24"/>
          <w:szCs w:val="24"/>
          <w:lang w:val="en-US"/>
        </w:rPr>
        <w:t xml:space="preserve">. </w:t>
      </w:r>
    </w:p>
    <w:p w:rsidR="00E62CCD" w:rsidRPr="00841D2D" w:rsidRDefault="00045039"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Only one study showed some conflicting results on NUC therapy impact in </w:t>
      </w:r>
      <w:r w:rsidR="00B94F35" w:rsidRPr="00841D2D">
        <w:rPr>
          <w:rFonts w:ascii="Book Antiqua" w:hAnsi="Book Antiqua"/>
          <w:sz w:val="24"/>
          <w:szCs w:val="24"/>
          <w:lang w:val="en-US"/>
        </w:rPr>
        <w:t>patients’</w:t>
      </w:r>
      <w:r w:rsidR="0097500D">
        <w:rPr>
          <w:rFonts w:ascii="Book Antiqua" w:hAnsi="Book Antiqua"/>
          <w:sz w:val="24"/>
          <w:szCs w:val="24"/>
          <w:lang w:val="en-US"/>
        </w:rPr>
        <w:t xml:space="preserve"> survival</w:t>
      </w:r>
      <w:r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2</w:t>
      </w:r>
      <w:r w:rsidRPr="00841D2D">
        <w:rPr>
          <w:rFonts w:ascii="Book Antiqua" w:hAnsi="Book Antiqua"/>
          <w:sz w:val="24"/>
          <w:szCs w:val="24"/>
          <w:vertAlign w:val="superscript"/>
          <w:lang w:val="en-US"/>
        </w:rPr>
        <w:t>]</w:t>
      </w:r>
      <w:r w:rsidRPr="00841D2D">
        <w:rPr>
          <w:rFonts w:ascii="Book Antiqua" w:hAnsi="Book Antiqua"/>
          <w:sz w:val="24"/>
          <w:szCs w:val="24"/>
          <w:lang w:val="en-US"/>
        </w:rPr>
        <w:t xml:space="preserve">. </w:t>
      </w:r>
      <w:r w:rsidR="00B94F35" w:rsidRPr="00841D2D">
        <w:rPr>
          <w:rFonts w:ascii="Book Antiqua" w:hAnsi="Book Antiqua"/>
          <w:sz w:val="24"/>
          <w:szCs w:val="24"/>
          <w:lang w:val="en-US"/>
        </w:rPr>
        <w:t>The study included 94 HBV-posit</w:t>
      </w:r>
      <w:r w:rsidR="009579E8" w:rsidRPr="00841D2D">
        <w:rPr>
          <w:rFonts w:ascii="Book Antiqua" w:hAnsi="Book Antiqua"/>
          <w:sz w:val="24"/>
          <w:szCs w:val="24"/>
          <w:lang w:val="en-US"/>
        </w:rPr>
        <w:t xml:space="preserve">ive and 282 age/sex-matched HBV </w:t>
      </w:r>
      <w:r w:rsidR="00B94F35" w:rsidRPr="00841D2D">
        <w:rPr>
          <w:rFonts w:ascii="Book Antiqua" w:hAnsi="Book Antiqua"/>
          <w:sz w:val="24"/>
          <w:szCs w:val="24"/>
          <w:lang w:val="en-US"/>
        </w:rPr>
        <w:t xml:space="preserve">negative </w:t>
      </w:r>
      <w:r w:rsidR="009579E8" w:rsidRPr="00841D2D">
        <w:rPr>
          <w:rFonts w:ascii="Book Antiqua" w:hAnsi="Book Antiqua"/>
          <w:sz w:val="24"/>
          <w:szCs w:val="24"/>
          <w:lang w:val="en-US"/>
        </w:rPr>
        <w:t xml:space="preserve">RT </w:t>
      </w:r>
      <w:r w:rsidR="00B94F35" w:rsidRPr="00841D2D">
        <w:rPr>
          <w:rFonts w:ascii="Book Antiqua" w:hAnsi="Book Antiqua"/>
          <w:sz w:val="24"/>
          <w:szCs w:val="24"/>
          <w:lang w:val="en-US"/>
        </w:rPr>
        <w:t>patients: 56 patients received an antiviral agent for prophylaxis (LAM 51, ETV 5), and other 18 for HBV reactivation. Although the patient survival rate was lower for HBV positive</w:t>
      </w:r>
      <w:r w:rsidR="0097500D">
        <w:rPr>
          <w:rFonts w:ascii="Book Antiqua" w:hAnsi="Book Antiqua"/>
          <w:sz w:val="24"/>
          <w:szCs w:val="24"/>
          <w:lang w:val="en-US"/>
        </w:rPr>
        <w:t xml:space="preserve"> than HBV negative RTRs (89% </w:t>
      </w:r>
      <w:r w:rsidR="0097500D" w:rsidRPr="0097500D">
        <w:rPr>
          <w:rFonts w:ascii="Book Antiqua" w:hAnsi="Book Antiqua"/>
          <w:i/>
          <w:sz w:val="24"/>
          <w:szCs w:val="24"/>
          <w:lang w:val="en-US"/>
        </w:rPr>
        <w:t>vs</w:t>
      </w:r>
      <w:r w:rsidR="0097500D">
        <w:rPr>
          <w:rFonts w:ascii="Book Antiqua" w:hAnsi="Book Antiqua"/>
          <w:sz w:val="24"/>
          <w:szCs w:val="24"/>
          <w:lang w:val="en-US"/>
        </w:rPr>
        <w:t xml:space="preserve"> 94% at 5 years, 78% </w:t>
      </w:r>
      <w:r w:rsidR="0097500D" w:rsidRPr="0097500D">
        <w:rPr>
          <w:rFonts w:ascii="Book Antiqua" w:hAnsi="Book Antiqua"/>
          <w:i/>
          <w:sz w:val="24"/>
          <w:szCs w:val="24"/>
          <w:lang w:val="en-US"/>
        </w:rPr>
        <w:t>vs</w:t>
      </w:r>
      <w:r w:rsidR="00B94F35" w:rsidRPr="00841D2D">
        <w:rPr>
          <w:rFonts w:ascii="Book Antiqua" w:hAnsi="Book Antiqua"/>
          <w:sz w:val="24"/>
          <w:szCs w:val="24"/>
          <w:lang w:val="en-US"/>
        </w:rPr>
        <w:t xml:space="preserve"> 88% at 10 years, </w:t>
      </w:r>
      <w:r w:rsidR="0097500D" w:rsidRPr="0097500D">
        <w:rPr>
          <w:rFonts w:ascii="Book Antiqua" w:hAnsi="Book Antiqua"/>
          <w:i/>
          <w:sz w:val="24"/>
          <w:szCs w:val="24"/>
          <w:lang w:val="en-US"/>
        </w:rPr>
        <w:t>P</w:t>
      </w:r>
      <w:r w:rsidR="00B94F35" w:rsidRPr="00841D2D">
        <w:rPr>
          <w:rFonts w:ascii="Book Antiqua" w:hAnsi="Book Antiqua"/>
          <w:sz w:val="24"/>
          <w:szCs w:val="24"/>
          <w:lang w:val="en-US"/>
        </w:rPr>
        <w:t xml:space="preserve"> = 0.031), </w:t>
      </w:r>
      <w:r w:rsidR="009579E8" w:rsidRPr="00841D2D">
        <w:rPr>
          <w:rFonts w:ascii="Book Antiqua" w:hAnsi="Book Antiqua"/>
          <w:sz w:val="24"/>
          <w:szCs w:val="24"/>
          <w:lang w:val="en-US"/>
        </w:rPr>
        <w:t xml:space="preserve">there was no difference in </w:t>
      </w:r>
      <w:r w:rsidR="00B94F35" w:rsidRPr="00841D2D">
        <w:rPr>
          <w:rFonts w:ascii="Book Antiqua" w:hAnsi="Book Antiqua"/>
          <w:sz w:val="24"/>
          <w:szCs w:val="24"/>
          <w:lang w:val="en-US"/>
        </w:rPr>
        <w:t xml:space="preserve">graft survival </w:t>
      </w:r>
      <w:r w:rsidR="009579E8" w:rsidRPr="00841D2D">
        <w:rPr>
          <w:rFonts w:ascii="Book Antiqua" w:hAnsi="Book Antiqua"/>
          <w:sz w:val="24"/>
          <w:szCs w:val="24"/>
          <w:lang w:val="en-US"/>
        </w:rPr>
        <w:t>between the two groups</w:t>
      </w:r>
      <w:r w:rsidR="0097500D">
        <w:rPr>
          <w:rFonts w:ascii="Book Antiqua" w:hAnsi="Book Antiqua"/>
          <w:sz w:val="24"/>
          <w:szCs w:val="24"/>
          <w:lang w:val="en-US"/>
        </w:rPr>
        <w:t xml:space="preserve"> (86% </w:t>
      </w:r>
      <w:r w:rsidR="0097500D" w:rsidRPr="0097500D">
        <w:rPr>
          <w:rFonts w:ascii="Book Antiqua" w:hAnsi="Book Antiqua"/>
          <w:i/>
          <w:sz w:val="24"/>
          <w:szCs w:val="24"/>
          <w:lang w:val="en-US"/>
        </w:rPr>
        <w:t>vs</w:t>
      </w:r>
      <w:r w:rsidR="0097500D">
        <w:rPr>
          <w:rFonts w:ascii="Book Antiqua" w:hAnsi="Book Antiqua"/>
          <w:sz w:val="24"/>
          <w:szCs w:val="24"/>
          <w:lang w:val="en-US"/>
        </w:rPr>
        <w:t xml:space="preserve"> 92% at 5 years, 73% </w:t>
      </w:r>
      <w:r w:rsidR="0097500D" w:rsidRPr="0097500D">
        <w:rPr>
          <w:rFonts w:ascii="Book Antiqua" w:hAnsi="Book Antiqua"/>
          <w:i/>
          <w:sz w:val="24"/>
          <w:szCs w:val="24"/>
          <w:lang w:val="en-US"/>
        </w:rPr>
        <w:t>vs</w:t>
      </w:r>
      <w:r w:rsidR="00B94F35" w:rsidRPr="00841D2D">
        <w:rPr>
          <w:rFonts w:ascii="Book Antiqua" w:hAnsi="Book Antiqua"/>
          <w:sz w:val="24"/>
          <w:szCs w:val="24"/>
          <w:lang w:val="en-US"/>
        </w:rPr>
        <w:t xml:space="preserve"> 81% at 10 years, </w:t>
      </w:r>
      <w:r w:rsidR="0097500D" w:rsidRPr="0097500D">
        <w:rPr>
          <w:rFonts w:ascii="Book Antiqua" w:hAnsi="Book Antiqua"/>
          <w:i/>
          <w:sz w:val="24"/>
          <w:szCs w:val="24"/>
          <w:lang w:val="en-US"/>
        </w:rPr>
        <w:t>P</w:t>
      </w:r>
      <w:r w:rsidR="00B94F35" w:rsidRPr="00841D2D">
        <w:rPr>
          <w:rFonts w:ascii="Book Antiqua" w:hAnsi="Book Antiqua"/>
          <w:sz w:val="24"/>
          <w:szCs w:val="24"/>
          <w:lang w:val="en-US"/>
        </w:rPr>
        <w:t xml:space="preserve"> = 0.113). In multivariate analysis, HBsAg positive status was a significant risk</w:t>
      </w:r>
      <w:r w:rsidR="0097500D">
        <w:rPr>
          <w:rFonts w:ascii="Book Antiqua" w:hAnsi="Book Antiqua"/>
          <w:sz w:val="24"/>
          <w:szCs w:val="24"/>
          <w:lang w:val="en-US"/>
        </w:rPr>
        <w:t xml:space="preserve"> factor for death (OR 2.19, 95%</w:t>
      </w:r>
      <w:r w:rsidR="00B94F35" w:rsidRPr="00841D2D">
        <w:rPr>
          <w:rFonts w:ascii="Book Antiqua" w:hAnsi="Book Antiqua"/>
          <w:sz w:val="24"/>
          <w:szCs w:val="24"/>
          <w:lang w:val="en-US"/>
        </w:rPr>
        <w:t>CI</w:t>
      </w:r>
      <w:r w:rsidR="0097500D">
        <w:rPr>
          <w:rFonts w:ascii="Book Antiqua" w:hAnsi="Book Antiqua" w:hint="eastAsia"/>
          <w:sz w:val="24"/>
          <w:szCs w:val="24"/>
          <w:lang w:val="en-US" w:eastAsia="zh-CN"/>
        </w:rPr>
        <w:t>:</w:t>
      </w:r>
      <w:r w:rsidR="00B94F35" w:rsidRPr="00841D2D">
        <w:rPr>
          <w:rFonts w:ascii="Book Antiqua" w:hAnsi="Book Antiqua"/>
          <w:sz w:val="24"/>
          <w:szCs w:val="24"/>
          <w:lang w:val="en-US"/>
        </w:rPr>
        <w:t xml:space="preserve"> 1.14-4.20, </w:t>
      </w:r>
      <w:r w:rsidR="0097500D" w:rsidRPr="0097500D">
        <w:rPr>
          <w:rFonts w:ascii="Book Antiqua" w:hAnsi="Book Antiqua"/>
          <w:i/>
          <w:sz w:val="24"/>
          <w:szCs w:val="24"/>
          <w:lang w:val="en-US"/>
        </w:rPr>
        <w:t>P</w:t>
      </w:r>
      <w:r w:rsidR="00B94F35" w:rsidRPr="00841D2D">
        <w:rPr>
          <w:rFonts w:ascii="Book Antiqua" w:hAnsi="Book Antiqua"/>
          <w:sz w:val="24"/>
          <w:szCs w:val="24"/>
          <w:lang w:val="en-US"/>
        </w:rPr>
        <w:t xml:space="preserve"> = 0.019), but not significa</w:t>
      </w:r>
      <w:r w:rsidR="0097500D">
        <w:rPr>
          <w:rFonts w:ascii="Book Antiqua" w:hAnsi="Book Antiqua"/>
          <w:sz w:val="24"/>
          <w:szCs w:val="24"/>
          <w:lang w:val="en-US"/>
        </w:rPr>
        <w:t>nt for graft loss (OR 1.64, 95%</w:t>
      </w:r>
      <w:r w:rsidR="00B94F35" w:rsidRPr="00841D2D">
        <w:rPr>
          <w:rFonts w:ascii="Book Antiqua" w:hAnsi="Book Antiqua"/>
          <w:sz w:val="24"/>
          <w:szCs w:val="24"/>
          <w:lang w:val="en-US"/>
        </w:rPr>
        <w:t>CI</w:t>
      </w:r>
      <w:r w:rsidR="0097500D">
        <w:rPr>
          <w:rFonts w:ascii="Book Antiqua" w:hAnsi="Book Antiqua" w:hint="eastAsia"/>
          <w:sz w:val="24"/>
          <w:szCs w:val="24"/>
          <w:lang w:val="en-US" w:eastAsia="zh-CN"/>
        </w:rPr>
        <w:t>:</w:t>
      </w:r>
      <w:r w:rsidR="00B94F35" w:rsidRPr="00841D2D">
        <w:rPr>
          <w:rFonts w:ascii="Book Antiqua" w:hAnsi="Book Antiqua"/>
          <w:sz w:val="24"/>
          <w:szCs w:val="24"/>
          <w:lang w:val="en-US"/>
        </w:rPr>
        <w:t xml:space="preserve"> 0.94-2.86, </w:t>
      </w:r>
      <w:r w:rsidR="0097500D" w:rsidRPr="0097500D">
        <w:rPr>
          <w:rFonts w:ascii="Book Antiqua" w:hAnsi="Book Antiqua"/>
          <w:i/>
          <w:sz w:val="24"/>
          <w:szCs w:val="24"/>
          <w:lang w:val="en-US"/>
        </w:rPr>
        <w:t>P</w:t>
      </w:r>
      <w:r w:rsidR="00B94F35" w:rsidRPr="00841D2D">
        <w:rPr>
          <w:rFonts w:ascii="Book Antiqua" w:hAnsi="Book Antiqua"/>
          <w:sz w:val="24"/>
          <w:szCs w:val="24"/>
          <w:lang w:val="en-US"/>
        </w:rPr>
        <w:t xml:space="preserve"> = 0.079)</w:t>
      </w:r>
      <w:r w:rsidR="00B94F35"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2</w:t>
      </w:r>
      <w:r w:rsidR="00B94F35" w:rsidRPr="00841D2D">
        <w:rPr>
          <w:rFonts w:ascii="Book Antiqua" w:hAnsi="Book Antiqua"/>
          <w:sz w:val="24"/>
          <w:szCs w:val="24"/>
          <w:vertAlign w:val="superscript"/>
          <w:lang w:val="en-US"/>
        </w:rPr>
        <w:t>]</w:t>
      </w:r>
      <w:r w:rsidR="00B94F35" w:rsidRPr="00841D2D">
        <w:rPr>
          <w:rFonts w:ascii="Book Antiqua" w:hAnsi="Book Antiqua"/>
          <w:sz w:val="24"/>
          <w:szCs w:val="24"/>
          <w:lang w:val="en-US"/>
        </w:rPr>
        <w:t xml:space="preserve">. </w:t>
      </w:r>
      <w:r w:rsidR="00E62CCD" w:rsidRPr="00841D2D">
        <w:rPr>
          <w:rFonts w:ascii="Book Antiqua" w:hAnsi="Book Antiqua"/>
          <w:sz w:val="24"/>
          <w:szCs w:val="24"/>
          <w:lang w:val="en-US"/>
        </w:rPr>
        <w:t xml:space="preserve">HBeAg and HBV DNA Pretransplant status was not available for all the patients. Of the 26 HBeAg-positive patients, 14 were receiving antiviral prophylaxis at transplantation: 8 showed reactivation while 6/12 of the untreated developed reactivation. All survived with stable liver chemistry, except for one </w:t>
      </w:r>
      <w:r w:rsidR="009579E8" w:rsidRPr="00841D2D">
        <w:rPr>
          <w:rFonts w:ascii="Book Antiqua" w:hAnsi="Book Antiqua"/>
          <w:sz w:val="24"/>
          <w:szCs w:val="24"/>
          <w:lang w:val="en-US"/>
        </w:rPr>
        <w:t>dying</w:t>
      </w:r>
      <w:r w:rsidR="00E62CCD" w:rsidRPr="00841D2D">
        <w:rPr>
          <w:rFonts w:ascii="Book Antiqua" w:hAnsi="Book Antiqua"/>
          <w:sz w:val="24"/>
          <w:szCs w:val="24"/>
          <w:lang w:val="en-US"/>
        </w:rPr>
        <w:t xml:space="preserve"> </w:t>
      </w:r>
      <w:r w:rsidR="009579E8" w:rsidRPr="00841D2D">
        <w:rPr>
          <w:rFonts w:ascii="Book Antiqua" w:hAnsi="Book Antiqua"/>
          <w:sz w:val="24"/>
          <w:szCs w:val="24"/>
          <w:lang w:val="en-US"/>
        </w:rPr>
        <w:t>form an HCC</w:t>
      </w:r>
      <w:r w:rsidR="00E62CCD" w:rsidRPr="00841D2D">
        <w:rPr>
          <w:rFonts w:ascii="Book Antiqua" w:hAnsi="Book Antiqua"/>
          <w:sz w:val="24"/>
          <w:szCs w:val="24"/>
          <w:lang w:val="en-US"/>
        </w:rPr>
        <w:t>. Of 57 HBeAg-negative patients, 35 were started on antiviral prophylaxis at transplantation: 14 showed reactivation while 14/22 of the untreated developed reactivation. Among them, 12 died, whereas the remaining 45 survi</w:t>
      </w:r>
      <w:r w:rsidR="0097500D">
        <w:rPr>
          <w:rFonts w:ascii="Book Antiqua" w:hAnsi="Book Antiqua"/>
          <w:sz w:val="24"/>
          <w:szCs w:val="24"/>
          <w:lang w:val="en-US"/>
        </w:rPr>
        <w:t>ved without hepatic dysfunction</w:t>
      </w:r>
      <w:r w:rsidR="00E62CCD"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2</w:t>
      </w:r>
      <w:r w:rsidR="00E62CCD" w:rsidRPr="00841D2D">
        <w:rPr>
          <w:rFonts w:ascii="Book Antiqua" w:hAnsi="Book Antiqua"/>
          <w:sz w:val="24"/>
          <w:szCs w:val="24"/>
          <w:vertAlign w:val="superscript"/>
          <w:lang w:val="en-US"/>
        </w:rPr>
        <w:t>]</w:t>
      </w:r>
      <w:r w:rsidR="00E62CCD" w:rsidRPr="00841D2D">
        <w:rPr>
          <w:rFonts w:ascii="Book Antiqua" w:hAnsi="Book Antiqua"/>
          <w:sz w:val="24"/>
          <w:szCs w:val="24"/>
          <w:lang w:val="en-US"/>
        </w:rPr>
        <w:t xml:space="preserve">. Even though treated patients showed a </w:t>
      </w:r>
      <w:r w:rsidR="00F93520" w:rsidRPr="00841D2D">
        <w:rPr>
          <w:rFonts w:ascii="Book Antiqua" w:hAnsi="Book Antiqua"/>
          <w:sz w:val="24"/>
          <w:szCs w:val="24"/>
          <w:lang w:val="en-US"/>
        </w:rPr>
        <w:t>reduced surv</w:t>
      </w:r>
      <w:r w:rsidR="009F102A" w:rsidRPr="00841D2D">
        <w:rPr>
          <w:rFonts w:ascii="Book Antiqua" w:hAnsi="Book Antiqua"/>
          <w:sz w:val="24"/>
          <w:szCs w:val="24"/>
          <w:lang w:val="en-US"/>
        </w:rPr>
        <w:t>ival, it appears to be better than</w:t>
      </w:r>
      <w:r w:rsidR="00F93520" w:rsidRPr="00841D2D">
        <w:rPr>
          <w:rFonts w:ascii="Book Antiqua" w:hAnsi="Book Antiqua"/>
          <w:sz w:val="24"/>
          <w:szCs w:val="24"/>
          <w:lang w:val="en-US"/>
        </w:rPr>
        <w:t xml:space="preserve"> the survival reported in untreated patients.</w:t>
      </w:r>
      <w:r w:rsidR="00E62CCD" w:rsidRPr="00841D2D">
        <w:rPr>
          <w:rFonts w:ascii="Book Antiqua" w:hAnsi="Book Antiqua"/>
          <w:sz w:val="24"/>
          <w:szCs w:val="24"/>
          <w:lang w:val="en-US"/>
        </w:rPr>
        <w:t xml:space="preserve"> </w:t>
      </w:r>
    </w:p>
    <w:p w:rsidR="00681574" w:rsidRDefault="009579E8" w:rsidP="0097500D">
      <w:pPr>
        <w:spacing w:after="0" w:line="360" w:lineRule="auto"/>
        <w:ind w:firstLineChars="100" w:firstLine="240"/>
        <w:jc w:val="both"/>
        <w:rPr>
          <w:rFonts w:ascii="Book Antiqua" w:hAnsi="Book Antiqua"/>
          <w:sz w:val="24"/>
          <w:szCs w:val="24"/>
          <w:lang w:val="en-US" w:eastAsia="zh-CN"/>
        </w:rPr>
      </w:pPr>
      <w:r w:rsidRPr="00841D2D">
        <w:rPr>
          <w:rFonts w:ascii="Book Antiqua" w:hAnsi="Book Antiqua"/>
          <w:sz w:val="24"/>
          <w:szCs w:val="24"/>
          <w:lang w:val="en-US"/>
        </w:rPr>
        <w:t>NUC therapy in HBsAg positive RT patients is associated with a higher long term patient and graft survival rate</w:t>
      </w:r>
      <w:r w:rsidR="00F93520" w:rsidRPr="00841D2D">
        <w:rPr>
          <w:rFonts w:ascii="Book Antiqua" w:hAnsi="Book Antiqua"/>
          <w:sz w:val="24"/>
          <w:szCs w:val="24"/>
          <w:lang w:val="en-US"/>
        </w:rPr>
        <w:t xml:space="preserve">. Studies have some limitations since most of the used LAM, which is not the best treatment option. More potent NUCs may add some benefit over LAM, but this still has to be demonstrated. </w:t>
      </w:r>
      <w:r w:rsidR="00681574" w:rsidRPr="00841D2D">
        <w:rPr>
          <w:rFonts w:ascii="Book Antiqua" w:hAnsi="Book Antiqua"/>
          <w:sz w:val="24"/>
          <w:szCs w:val="24"/>
          <w:lang w:val="en-US"/>
        </w:rPr>
        <w:t xml:space="preserve"> </w:t>
      </w:r>
      <w:r w:rsidRPr="00841D2D">
        <w:rPr>
          <w:rFonts w:ascii="Book Antiqua" w:hAnsi="Book Antiqua"/>
          <w:sz w:val="24"/>
          <w:szCs w:val="24"/>
          <w:lang w:val="en-US"/>
        </w:rPr>
        <w:t>Salvage</w:t>
      </w:r>
      <w:r w:rsidR="00681574" w:rsidRPr="00841D2D">
        <w:rPr>
          <w:rFonts w:ascii="Book Antiqua" w:hAnsi="Book Antiqua"/>
          <w:sz w:val="24"/>
          <w:szCs w:val="24"/>
          <w:lang w:val="en-US"/>
        </w:rPr>
        <w:t xml:space="preserve"> therapy with </w:t>
      </w:r>
      <w:r w:rsidR="00F93520" w:rsidRPr="00841D2D">
        <w:rPr>
          <w:rFonts w:ascii="Book Antiqua" w:hAnsi="Book Antiqua"/>
          <w:sz w:val="24"/>
          <w:szCs w:val="24"/>
          <w:lang w:val="en-US"/>
        </w:rPr>
        <w:t>TDF or ADV</w:t>
      </w:r>
      <w:r w:rsidR="00681574" w:rsidRPr="00841D2D">
        <w:rPr>
          <w:rFonts w:ascii="Book Antiqua" w:hAnsi="Book Antiqua"/>
          <w:sz w:val="24"/>
          <w:szCs w:val="24"/>
          <w:lang w:val="en-US"/>
        </w:rPr>
        <w:t xml:space="preserve"> is </w:t>
      </w:r>
      <w:r w:rsidRPr="00841D2D">
        <w:rPr>
          <w:rFonts w:ascii="Book Antiqua" w:hAnsi="Book Antiqua"/>
          <w:sz w:val="24"/>
          <w:szCs w:val="24"/>
          <w:lang w:val="en-US"/>
        </w:rPr>
        <w:t xml:space="preserve">safe and </w:t>
      </w:r>
      <w:r w:rsidR="00681574" w:rsidRPr="00841D2D">
        <w:rPr>
          <w:rFonts w:ascii="Book Antiqua" w:hAnsi="Book Antiqua"/>
          <w:sz w:val="24"/>
          <w:szCs w:val="24"/>
          <w:lang w:val="en-US"/>
        </w:rPr>
        <w:t xml:space="preserve">effective in patients </w:t>
      </w:r>
      <w:r w:rsidR="00880E64" w:rsidRPr="00841D2D">
        <w:rPr>
          <w:rFonts w:ascii="Book Antiqua" w:hAnsi="Book Antiqua"/>
          <w:sz w:val="24"/>
          <w:szCs w:val="24"/>
          <w:lang w:val="en-US"/>
        </w:rPr>
        <w:t>developing</w:t>
      </w:r>
      <w:r w:rsidR="00681574" w:rsidRPr="00841D2D">
        <w:rPr>
          <w:rFonts w:ascii="Book Antiqua" w:hAnsi="Book Antiqua"/>
          <w:sz w:val="24"/>
          <w:szCs w:val="24"/>
          <w:lang w:val="en-US"/>
        </w:rPr>
        <w:t xml:space="preserve"> </w:t>
      </w:r>
      <w:r w:rsidR="00F93520" w:rsidRPr="00841D2D">
        <w:rPr>
          <w:rFonts w:ascii="Book Antiqua" w:hAnsi="Book Antiqua"/>
          <w:sz w:val="24"/>
          <w:szCs w:val="24"/>
          <w:lang w:val="en-US"/>
        </w:rPr>
        <w:t>LAM-R</w:t>
      </w:r>
      <w:r w:rsidR="00681574" w:rsidRPr="00841D2D">
        <w:rPr>
          <w:rFonts w:ascii="Book Antiqua" w:hAnsi="Book Antiqua"/>
          <w:sz w:val="24"/>
          <w:szCs w:val="24"/>
          <w:lang w:val="en-US"/>
        </w:rPr>
        <w:t>.</w:t>
      </w:r>
      <w:r w:rsidR="00F93520" w:rsidRPr="00841D2D">
        <w:rPr>
          <w:rFonts w:ascii="Book Antiqua" w:hAnsi="Book Antiqua"/>
          <w:sz w:val="24"/>
          <w:szCs w:val="24"/>
          <w:lang w:val="en-US"/>
        </w:rPr>
        <w:t xml:space="preserve"> </w:t>
      </w:r>
      <w:r w:rsidR="00626079" w:rsidRPr="00841D2D">
        <w:rPr>
          <w:rFonts w:ascii="Book Antiqua" w:hAnsi="Book Antiqua"/>
          <w:sz w:val="24"/>
          <w:szCs w:val="24"/>
          <w:lang w:val="en-US"/>
        </w:rPr>
        <w:t xml:space="preserve">Despite this clear benefit, all HBV infected patients must be closely follow </w:t>
      </w:r>
      <w:r w:rsidR="009F102A" w:rsidRPr="00841D2D">
        <w:rPr>
          <w:rFonts w:ascii="Book Antiqua" w:hAnsi="Book Antiqua"/>
          <w:sz w:val="24"/>
          <w:szCs w:val="24"/>
          <w:lang w:val="en-US"/>
        </w:rPr>
        <w:t xml:space="preserve">up </w:t>
      </w:r>
      <w:r w:rsidR="00626079" w:rsidRPr="00841D2D">
        <w:rPr>
          <w:rFonts w:ascii="Book Antiqua" w:hAnsi="Book Antiqua"/>
          <w:sz w:val="24"/>
          <w:szCs w:val="24"/>
          <w:lang w:val="en-US"/>
        </w:rPr>
        <w:t xml:space="preserve">and HCC screening must be performed every six months, since </w:t>
      </w:r>
      <w:r w:rsidR="009F102A" w:rsidRPr="00841D2D">
        <w:rPr>
          <w:rFonts w:ascii="Book Antiqua" w:hAnsi="Book Antiqua"/>
          <w:sz w:val="24"/>
          <w:szCs w:val="24"/>
          <w:lang w:val="en-US"/>
        </w:rPr>
        <w:t>the</w:t>
      </w:r>
      <w:r w:rsidR="00626079" w:rsidRPr="00841D2D">
        <w:rPr>
          <w:rFonts w:ascii="Book Antiqua" w:hAnsi="Book Antiqua"/>
          <w:sz w:val="24"/>
          <w:szCs w:val="24"/>
          <w:lang w:val="en-US"/>
        </w:rPr>
        <w:t xml:space="preserve"> risk</w:t>
      </w:r>
      <w:r w:rsidR="009F102A" w:rsidRPr="00841D2D">
        <w:rPr>
          <w:rFonts w:ascii="Book Antiqua" w:hAnsi="Book Antiqua"/>
          <w:sz w:val="24"/>
          <w:szCs w:val="24"/>
          <w:lang w:val="en-US"/>
        </w:rPr>
        <w:t xml:space="preserve"> of HCC development</w:t>
      </w:r>
      <w:r w:rsidR="00626079" w:rsidRPr="00841D2D">
        <w:rPr>
          <w:rFonts w:ascii="Book Antiqua" w:hAnsi="Book Antiqua"/>
          <w:sz w:val="24"/>
          <w:szCs w:val="24"/>
          <w:lang w:val="en-US"/>
        </w:rPr>
        <w:t xml:space="preserve"> may not entirely disappears even in the p</w:t>
      </w:r>
      <w:r w:rsidR="0097500D">
        <w:rPr>
          <w:rFonts w:ascii="Book Antiqua" w:hAnsi="Book Antiqua"/>
          <w:sz w:val="24"/>
          <w:szCs w:val="24"/>
          <w:lang w:val="en-US"/>
        </w:rPr>
        <w:t>resence of virological response</w:t>
      </w:r>
      <w:r w:rsidR="00626079" w:rsidRPr="00841D2D">
        <w:rPr>
          <w:rFonts w:ascii="Book Antiqua" w:hAnsi="Book Antiqua"/>
          <w:sz w:val="24"/>
          <w:szCs w:val="24"/>
          <w:vertAlign w:val="superscript"/>
          <w:lang w:val="en-US"/>
        </w:rPr>
        <w:t>[60,6</w:t>
      </w:r>
      <w:r w:rsidR="00FA41C5">
        <w:rPr>
          <w:rFonts w:ascii="Book Antiqua" w:hAnsi="Book Antiqua" w:hint="eastAsia"/>
          <w:sz w:val="24"/>
          <w:szCs w:val="24"/>
          <w:vertAlign w:val="superscript"/>
          <w:lang w:val="en-US" w:eastAsia="zh-CN"/>
        </w:rPr>
        <w:t>3</w:t>
      </w:r>
      <w:r w:rsidR="00626079" w:rsidRPr="00841D2D">
        <w:rPr>
          <w:rFonts w:ascii="Book Antiqua" w:hAnsi="Book Antiqua"/>
          <w:sz w:val="24"/>
          <w:szCs w:val="24"/>
          <w:vertAlign w:val="superscript"/>
          <w:lang w:val="en-US"/>
        </w:rPr>
        <w:t>]</w:t>
      </w:r>
      <w:r w:rsidR="00626079" w:rsidRPr="00841D2D">
        <w:rPr>
          <w:rFonts w:ascii="Book Antiqua" w:hAnsi="Book Antiqua"/>
          <w:sz w:val="24"/>
          <w:szCs w:val="24"/>
          <w:lang w:val="en-US"/>
        </w:rPr>
        <w:t xml:space="preserve">. </w:t>
      </w:r>
    </w:p>
    <w:p w:rsidR="0097500D" w:rsidRPr="00841D2D" w:rsidRDefault="0097500D" w:rsidP="0097500D">
      <w:pPr>
        <w:spacing w:after="0" w:line="360" w:lineRule="auto"/>
        <w:ind w:firstLineChars="100" w:firstLine="240"/>
        <w:jc w:val="both"/>
        <w:rPr>
          <w:rFonts w:ascii="Book Antiqua" w:hAnsi="Book Antiqua"/>
          <w:sz w:val="24"/>
          <w:szCs w:val="24"/>
          <w:lang w:val="en-US" w:eastAsia="zh-CN"/>
        </w:rPr>
      </w:pPr>
    </w:p>
    <w:p w:rsidR="00EC7A4A" w:rsidRPr="00841D2D" w:rsidRDefault="00375683"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DURATION OF THERAPY AND EVALUATION OF RESPONSE</w:t>
      </w:r>
    </w:p>
    <w:p w:rsidR="00EC7A4A" w:rsidRPr="00841D2D" w:rsidRDefault="00880E64"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 xml:space="preserve">In RT patients it is unclear what is the optimal treatment extent that assures long term viral suppression, preserving adequate liver function with the minimal risk </w:t>
      </w:r>
      <w:r w:rsidR="0097500D">
        <w:rPr>
          <w:rFonts w:ascii="Book Antiqua" w:hAnsi="Book Antiqua"/>
          <w:sz w:val="24"/>
          <w:szCs w:val="24"/>
          <w:lang w:val="en-US"/>
        </w:rPr>
        <w:t>of viral resistance development</w:t>
      </w:r>
      <w:r w:rsidR="00EC7A4A" w:rsidRPr="00841D2D">
        <w:rPr>
          <w:rFonts w:ascii="Book Antiqua" w:hAnsi="Book Antiqua"/>
          <w:sz w:val="24"/>
          <w:szCs w:val="24"/>
          <w:vertAlign w:val="superscript"/>
          <w:lang w:val="en-US"/>
        </w:rPr>
        <w:t>[15]</w:t>
      </w:r>
      <w:r w:rsidR="00EC7A4A" w:rsidRPr="00841D2D">
        <w:rPr>
          <w:rFonts w:ascii="Book Antiqua" w:hAnsi="Book Antiqua"/>
          <w:sz w:val="24"/>
          <w:szCs w:val="24"/>
          <w:lang w:val="en-US"/>
        </w:rPr>
        <w:t>.</w:t>
      </w:r>
      <w:r w:rsidR="00B1782F" w:rsidRPr="00841D2D">
        <w:rPr>
          <w:rFonts w:ascii="Book Antiqua" w:hAnsi="Book Antiqua"/>
          <w:sz w:val="24"/>
          <w:szCs w:val="24"/>
          <w:lang w:val="en-US"/>
        </w:rPr>
        <w:t xml:space="preserve"> Current guidelines clearly define how to monitor on treatment response, what are the therapeutic endpoints and when it is possible to stop treatment</w:t>
      </w:r>
      <w:r w:rsidR="009E7B32" w:rsidRPr="00841D2D">
        <w:rPr>
          <w:rFonts w:ascii="Book Antiqua" w:hAnsi="Book Antiqua"/>
          <w:sz w:val="24"/>
          <w:szCs w:val="24"/>
          <w:lang w:val="en-US"/>
        </w:rPr>
        <w:t xml:space="preserve"> (Table 2)</w:t>
      </w:r>
      <w:r w:rsidR="00B1782F" w:rsidRPr="00841D2D">
        <w:rPr>
          <w:rFonts w:ascii="Book Antiqua" w:hAnsi="Book Antiqua"/>
          <w:sz w:val="24"/>
          <w:szCs w:val="24"/>
          <w:vertAlign w:val="superscript"/>
          <w:lang w:val="en-US"/>
        </w:rPr>
        <w:t>[9,10]</w:t>
      </w:r>
      <w:r w:rsidR="00B1782F" w:rsidRPr="00841D2D">
        <w:rPr>
          <w:rFonts w:ascii="Book Antiqua" w:hAnsi="Book Antiqua"/>
          <w:sz w:val="24"/>
          <w:szCs w:val="24"/>
          <w:lang w:val="en-US"/>
        </w:rPr>
        <w:t xml:space="preserve">. </w:t>
      </w:r>
      <w:r w:rsidR="009E7B32" w:rsidRPr="00841D2D">
        <w:rPr>
          <w:rFonts w:ascii="Book Antiqua" w:hAnsi="Book Antiqua"/>
          <w:sz w:val="24"/>
          <w:szCs w:val="24"/>
          <w:lang w:val="en-US"/>
        </w:rPr>
        <w:t>In the case of NUC therapy, there are some terms regarding resistance that have also been defined. These is particularly important in this population, since some patients had initiated treatment long time ago with</w:t>
      </w:r>
      <w:r w:rsidR="0097500D">
        <w:rPr>
          <w:rFonts w:ascii="Book Antiqua" w:hAnsi="Book Antiqua"/>
          <w:sz w:val="24"/>
          <w:szCs w:val="24"/>
          <w:lang w:val="en-US"/>
        </w:rPr>
        <w:t xml:space="preserve"> old NUCs such as LAM (Table 3)</w:t>
      </w:r>
      <w:r w:rsidR="009E7B32" w:rsidRPr="00841D2D">
        <w:rPr>
          <w:rFonts w:ascii="Book Antiqua" w:hAnsi="Book Antiqua"/>
          <w:sz w:val="24"/>
          <w:szCs w:val="24"/>
          <w:vertAlign w:val="superscript"/>
          <w:lang w:val="en-US"/>
        </w:rPr>
        <w:t>[9,10]</w:t>
      </w:r>
      <w:r w:rsidR="009E7B32" w:rsidRPr="00841D2D">
        <w:rPr>
          <w:rFonts w:ascii="Book Antiqua" w:hAnsi="Book Antiqua"/>
          <w:sz w:val="24"/>
          <w:szCs w:val="24"/>
          <w:lang w:val="en-US"/>
        </w:rPr>
        <w:t>.</w:t>
      </w:r>
      <w:r w:rsidR="00394663" w:rsidRPr="00841D2D">
        <w:rPr>
          <w:rFonts w:ascii="Book Antiqua" w:hAnsi="Book Antiqua"/>
          <w:sz w:val="24"/>
          <w:szCs w:val="24"/>
          <w:lang w:val="en-US"/>
        </w:rPr>
        <w:t xml:space="preserve"> </w:t>
      </w:r>
    </w:p>
    <w:p w:rsidR="00B1782F" w:rsidRPr="00841D2D" w:rsidRDefault="00394663"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The duration of treatment depends on HBeAg status. </w:t>
      </w:r>
      <w:r w:rsidR="00880E64" w:rsidRPr="00841D2D">
        <w:rPr>
          <w:rFonts w:ascii="Book Antiqua" w:hAnsi="Book Antiqua"/>
          <w:sz w:val="24"/>
          <w:szCs w:val="24"/>
          <w:lang w:val="en-US"/>
        </w:rPr>
        <w:t xml:space="preserve">HBeAg positive patients should be treated until HBV DNA and HBeAg are cleared and antiHBe seroconversion develops. Additional treatment, also known as </w:t>
      </w:r>
      <w:r w:rsidR="0097500D">
        <w:rPr>
          <w:rFonts w:ascii="Book Antiqua" w:hAnsi="Book Antiqua"/>
          <w:sz w:val="24"/>
          <w:szCs w:val="24"/>
          <w:lang w:val="en-US" w:eastAsia="zh-CN"/>
        </w:rPr>
        <w:t>“</w:t>
      </w:r>
      <w:r w:rsidR="00880E64" w:rsidRPr="00841D2D">
        <w:rPr>
          <w:rFonts w:ascii="Book Antiqua" w:hAnsi="Book Antiqua"/>
          <w:sz w:val="24"/>
          <w:szCs w:val="24"/>
          <w:lang w:val="en-US"/>
        </w:rPr>
        <w:t>consolidation therapy</w:t>
      </w:r>
      <w:r w:rsidR="0097500D">
        <w:rPr>
          <w:rFonts w:ascii="Book Antiqua" w:hAnsi="Book Antiqua"/>
          <w:sz w:val="24"/>
          <w:szCs w:val="24"/>
          <w:lang w:val="en-US" w:eastAsia="zh-CN"/>
        </w:rPr>
        <w:t>”</w:t>
      </w:r>
      <w:r w:rsidR="00880E64" w:rsidRPr="00841D2D">
        <w:rPr>
          <w:rFonts w:ascii="Book Antiqua" w:hAnsi="Book Antiqua"/>
          <w:sz w:val="24"/>
          <w:szCs w:val="24"/>
          <w:lang w:val="en-US"/>
        </w:rPr>
        <w:t>, is needed for at least 6 to 12 mo after antiHBe seroconversion to prevent virological relapse.</w:t>
      </w:r>
      <w:r w:rsidRPr="00841D2D">
        <w:rPr>
          <w:rFonts w:ascii="Book Antiqua" w:hAnsi="Book Antiqua"/>
          <w:sz w:val="24"/>
          <w:szCs w:val="24"/>
          <w:lang w:val="en-US"/>
        </w:rPr>
        <w:t xml:space="preserve"> It is recommended to</w:t>
      </w:r>
      <w:r w:rsidRPr="00841D2D">
        <w:rPr>
          <w:rFonts w:ascii="Book Antiqua" w:hAnsi="Book Antiqua" w:cs="Calibri"/>
          <w:sz w:val="24"/>
          <w:szCs w:val="24"/>
          <w:lang w:val="en-US"/>
        </w:rPr>
        <w:t xml:space="preserve"> closely monitoring for relapse after</w:t>
      </w:r>
      <w:r w:rsidRPr="00841D2D">
        <w:rPr>
          <w:rFonts w:ascii="Book Antiqua" w:hAnsi="Book Antiqua"/>
          <w:sz w:val="24"/>
          <w:szCs w:val="24"/>
          <w:lang w:val="en-US"/>
        </w:rPr>
        <w:t xml:space="preserve"> treatment withdrawal. </w:t>
      </w:r>
      <w:r w:rsidR="002A285D" w:rsidRPr="00841D2D">
        <w:rPr>
          <w:rFonts w:ascii="Book Antiqua" w:hAnsi="Book Antiqua"/>
          <w:sz w:val="24"/>
          <w:szCs w:val="24"/>
          <w:lang w:val="en-US"/>
        </w:rPr>
        <w:t>Relapse, even in patients achieving adequate virological response is a possibility,</w:t>
      </w:r>
      <w:r w:rsidR="0097500D">
        <w:rPr>
          <w:rFonts w:ascii="Book Antiqua" w:hAnsi="Book Antiqua"/>
          <w:sz w:val="24"/>
          <w:szCs w:val="24"/>
          <w:lang w:val="en-US"/>
        </w:rPr>
        <w:t xml:space="preserve"> but their rates tend to be low</w:t>
      </w:r>
      <w:r w:rsidR="002A285D"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4</w:t>
      </w:r>
      <w:r w:rsidR="002A285D" w:rsidRPr="00841D2D">
        <w:rPr>
          <w:rFonts w:ascii="Book Antiqua" w:hAnsi="Book Antiqua"/>
          <w:sz w:val="24"/>
          <w:szCs w:val="24"/>
          <w:lang w:val="en-US"/>
        </w:rPr>
        <w:t xml:space="preserve">. </w:t>
      </w:r>
      <w:r w:rsidR="00880E64" w:rsidRPr="00841D2D">
        <w:rPr>
          <w:rFonts w:ascii="Book Antiqua" w:hAnsi="Book Antiqua"/>
          <w:sz w:val="24"/>
          <w:szCs w:val="24"/>
          <w:lang w:val="en-US"/>
        </w:rPr>
        <w:t>HBeAg negative patients should treated until HBsAg clearance is achieve</w:t>
      </w:r>
      <w:r w:rsidRPr="00841D2D">
        <w:rPr>
          <w:rFonts w:ascii="Book Antiqua" w:hAnsi="Book Antiqua"/>
          <w:sz w:val="24"/>
          <w:szCs w:val="24"/>
          <w:vertAlign w:val="superscript"/>
          <w:lang w:val="en-US"/>
        </w:rPr>
        <w:t>[9,10]</w:t>
      </w:r>
      <w:r w:rsidRPr="00841D2D">
        <w:rPr>
          <w:rFonts w:ascii="Book Antiqua" w:hAnsi="Book Antiqua"/>
          <w:sz w:val="24"/>
          <w:szCs w:val="24"/>
          <w:lang w:val="en-US"/>
        </w:rPr>
        <w:t xml:space="preserve">. </w:t>
      </w:r>
      <w:r w:rsidR="002A285D" w:rsidRPr="00841D2D">
        <w:rPr>
          <w:rFonts w:ascii="Book Antiqua" w:hAnsi="Book Antiqua"/>
          <w:sz w:val="24"/>
          <w:szCs w:val="24"/>
          <w:lang w:val="en-US"/>
        </w:rPr>
        <w:t xml:space="preserve">These recommendations might be applied to treatment in RT recipients to ensure treatment success, but </w:t>
      </w:r>
      <w:r w:rsidR="007F2804" w:rsidRPr="00841D2D">
        <w:rPr>
          <w:rFonts w:ascii="Book Antiqua" w:hAnsi="Book Antiqua"/>
          <w:sz w:val="24"/>
          <w:szCs w:val="24"/>
          <w:lang w:val="en-US"/>
        </w:rPr>
        <w:t>outcomes after NUCs withdrawal in RT immunosuppressed patients is unknown.</w:t>
      </w:r>
    </w:p>
    <w:p w:rsidR="006B5F5D" w:rsidRPr="00841D2D" w:rsidRDefault="007A1859"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A small recent study evaluated the long term results in HBV positive RT patients afte</w:t>
      </w:r>
      <w:r w:rsidR="0097500D">
        <w:rPr>
          <w:rFonts w:ascii="Book Antiqua" w:hAnsi="Book Antiqua"/>
          <w:sz w:val="24"/>
          <w:szCs w:val="24"/>
          <w:lang w:val="en-US"/>
        </w:rPr>
        <w:t>r NUC treatment discontinuation</w:t>
      </w:r>
      <w:r w:rsidR="007F2804"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5</w:t>
      </w:r>
      <w:r w:rsidR="007F2804" w:rsidRPr="00841D2D">
        <w:rPr>
          <w:rFonts w:ascii="Book Antiqua" w:hAnsi="Book Antiqua"/>
          <w:sz w:val="24"/>
          <w:szCs w:val="24"/>
          <w:vertAlign w:val="superscript"/>
          <w:lang w:val="en-US"/>
        </w:rPr>
        <w:t>]</w:t>
      </w:r>
      <w:r w:rsidR="007F2804" w:rsidRPr="00841D2D">
        <w:rPr>
          <w:rFonts w:ascii="Book Antiqua" w:hAnsi="Book Antiqua"/>
          <w:sz w:val="24"/>
          <w:szCs w:val="24"/>
          <w:lang w:val="en-US"/>
        </w:rPr>
        <w:t xml:space="preserve">. Fourteen patients treated with LAM (11 patients), ADV (1 patient), ETV (1 patient), and LdT (1 patient) were included in this study. </w:t>
      </w:r>
      <w:r w:rsidR="00CC045E" w:rsidRPr="00841D2D">
        <w:rPr>
          <w:rFonts w:ascii="Book Antiqua" w:hAnsi="Book Antiqua"/>
          <w:sz w:val="24"/>
          <w:szCs w:val="24"/>
          <w:lang w:val="en-US"/>
        </w:rPr>
        <w:t>Patients were allowed to discontinue treatment if they have all of the following: (1) no clinical and histologic evidence of cirrhosis</w:t>
      </w:r>
      <w:r w:rsidR="0097500D">
        <w:rPr>
          <w:rFonts w:ascii="Book Antiqua" w:hAnsi="Book Antiqua" w:hint="eastAsia"/>
          <w:sz w:val="24"/>
          <w:szCs w:val="24"/>
          <w:lang w:val="en-US" w:eastAsia="zh-CN"/>
        </w:rPr>
        <w:t>;</w:t>
      </w:r>
      <w:r w:rsidR="00CC045E" w:rsidRPr="00841D2D">
        <w:rPr>
          <w:rFonts w:ascii="Book Antiqua" w:hAnsi="Book Antiqua"/>
          <w:sz w:val="24"/>
          <w:szCs w:val="24"/>
          <w:lang w:val="en-US"/>
        </w:rPr>
        <w:t xml:space="preserve"> (2) normal liver biochemistry</w:t>
      </w:r>
      <w:r w:rsidR="0097500D">
        <w:rPr>
          <w:rFonts w:ascii="Book Antiqua" w:hAnsi="Book Antiqua" w:hint="eastAsia"/>
          <w:sz w:val="24"/>
          <w:szCs w:val="24"/>
          <w:lang w:val="en-US" w:eastAsia="zh-CN"/>
        </w:rPr>
        <w:t>;</w:t>
      </w:r>
      <w:r w:rsidR="00CC045E" w:rsidRPr="00841D2D">
        <w:rPr>
          <w:rFonts w:ascii="Book Antiqua" w:hAnsi="Book Antiqua"/>
          <w:sz w:val="24"/>
          <w:szCs w:val="24"/>
          <w:lang w:val="en-US"/>
        </w:rPr>
        <w:t xml:space="preserve"> (3) negative for both HBV DNA and HBeAg</w:t>
      </w:r>
      <w:r w:rsidR="0097500D">
        <w:rPr>
          <w:rFonts w:ascii="Book Antiqua" w:hAnsi="Book Antiqua" w:hint="eastAsia"/>
          <w:sz w:val="24"/>
          <w:szCs w:val="24"/>
          <w:lang w:val="en-US" w:eastAsia="zh-CN"/>
        </w:rPr>
        <w:t>;</w:t>
      </w:r>
      <w:r w:rsidR="00CC045E" w:rsidRPr="00841D2D">
        <w:rPr>
          <w:rFonts w:ascii="Book Antiqua" w:hAnsi="Book Antiqua"/>
          <w:sz w:val="24"/>
          <w:szCs w:val="24"/>
          <w:lang w:val="en-US"/>
        </w:rPr>
        <w:t xml:space="preserve"> (4) no viral resistance</w:t>
      </w:r>
      <w:r w:rsidR="0097500D">
        <w:rPr>
          <w:rFonts w:ascii="Book Antiqua" w:hAnsi="Book Antiqua" w:hint="eastAsia"/>
          <w:sz w:val="24"/>
          <w:szCs w:val="24"/>
          <w:lang w:val="en-US" w:eastAsia="zh-CN"/>
        </w:rPr>
        <w:t>;</w:t>
      </w:r>
      <w:r w:rsidR="00CC045E" w:rsidRPr="00841D2D">
        <w:rPr>
          <w:rFonts w:ascii="Book Antiqua" w:hAnsi="Book Antiqua"/>
          <w:sz w:val="24"/>
          <w:szCs w:val="24"/>
          <w:lang w:val="en-US"/>
        </w:rPr>
        <w:t xml:space="preserve"> (5) antiviral therapy &gt; 9 mo</w:t>
      </w:r>
      <w:r w:rsidR="0097500D">
        <w:rPr>
          <w:rFonts w:ascii="Book Antiqua" w:hAnsi="Book Antiqua" w:hint="eastAsia"/>
          <w:sz w:val="24"/>
          <w:szCs w:val="24"/>
          <w:lang w:val="en-US" w:eastAsia="zh-CN"/>
        </w:rPr>
        <w:t>;</w:t>
      </w:r>
      <w:r w:rsidR="00CC045E" w:rsidRPr="00841D2D">
        <w:rPr>
          <w:rFonts w:ascii="Book Antiqua" w:hAnsi="Book Antiqua"/>
          <w:sz w:val="24"/>
          <w:szCs w:val="24"/>
          <w:lang w:val="en-US"/>
        </w:rPr>
        <w:t xml:space="preserve"> (6) maintenance dosage of immunosuppressant for &gt; 3 mo</w:t>
      </w:r>
      <w:r w:rsidR="0097500D">
        <w:rPr>
          <w:rFonts w:ascii="Book Antiqua" w:hAnsi="Book Antiqua" w:hint="eastAsia"/>
          <w:sz w:val="24"/>
          <w:szCs w:val="24"/>
          <w:lang w:val="en-US" w:eastAsia="zh-CN"/>
        </w:rPr>
        <w:t>;</w:t>
      </w:r>
      <w:r w:rsidR="00CC045E" w:rsidRPr="00841D2D">
        <w:rPr>
          <w:rFonts w:ascii="Book Antiqua" w:hAnsi="Book Antiqua"/>
          <w:sz w:val="24"/>
          <w:szCs w:val="24"/>
          <w:lang w:val="en-US"/>
        </w:rPr>
        <w:t xml:space="preserve"> and (7) no history of acute r</w:t>
      </w:r>
      <w:r w:rsidR="0097500D">
        <w:rPr>
          <w:rFonts w:ascii="Book Antiqua" w:hAnsi="Book Antiqua"/>
          <w:sz w:val="24"/>
          <w:szCs w:val="24"/>
          <w:lang w:val="en-US"/>
        </w:rPr>
        <w:t>ejection during recent 6 mo</w:t>
      </w:r>
      <w:r w:rsidR="00CC045E"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5</w:t>
      </w:r>
      <w:r w:rsidR="00CC045E" w:rsidRPr="00841D2D">
        <w:rPr>
          <w:rFonts w:ascii="Book Antiqua" w:hAnsi="Book Antiqua"/>
          <w:sz w:val="24"/>
          <w:szCs w:val="24"/>
          <w:vertAlign w:val="superscript"/>
          <w:lang w:val="en-US"/>
        </w:rPr>
        <w:t>]</w:t>
      </w:r>
      <w:r w:rsidR="00CC045E" w:rsidRPr="00841D2D">
        <w:rPr>
          <w:rFonts w:ascii="Book Antiqua" w:hAnsi="Book Antiqua"/>
          <w:sz w:val="24"/>
          <w:szCs w:val="24"/>
          <w:lang w:val="en-US"/>
        </w:rPr>
        <w:t xml:space="preserve">. All patients were followed at 3 to 6 mo interval for liver biochemistry, viral serology, and HBV DNA level after treatment discontinuation. </w:t>
      </w:r>
      <w:r w:rsidR="006C4144" w:rsidRPr="00841D2D">
        <w:rPr>
          <w:rFonts w:ascii="Book Antiqua" w:hAnsi="Book Antiqua"/>
          <w:sz w:val="24"/>
          <w:szCs w:val="24"/>
          <w:lang w:val="en-US"/>
        </w:rPr>
        <w:t>In 6 (42.9%) of 14 patients who meet the pre-specified criteria treatment was discontinued. In 4 of them (66.7%) it was successfully discontinued and HBV DNA was still undetectable for a median 60.5 mo (range, 47-82 mo). In the other 2 patients HBV reactivated, but HBV DNA was again cleared after i</w:t>
      </w:r>
      <w:r w:rsidR="0097500D">
        <w:rPr>
          <w:rFonts w:ascii="Book Antiqua" w:hAnsi="Book Antiqua"/>
          <w:sz w:val="24"/>
          <w:szCs w:val="24"/>
          <w:lang w:val="en-US"/>
        </w:rPr>
        <w:t>mmediately resuming NUC therapy</w:t>
      </w:r>
      <w:r w:rsidR="00620F5E"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5</w:t>
      </w:r>
      <w:r w:rsidR="00620F5E" w:rsidRPr="00841D2D">
        <w:rPr>
          <w:rFonts w:ascii="Book Antiqua" w:hAnsi="Book Antiqua"/>
          <w:sz w:val="24"/>
          <w:szCs w:val="24"/>
          <w:vertAlign w:val="superscript"/>
          <w:lang w:val="en-US"/>
        </w:rPr>
        <w:t>]</w:t>
      </w:r>
      <w:r w:rsidR="007F2804" w:rsidRPr="00841D2D">
        <w:rPr>
          <w:rFonts w:ascii="Book Antiqua" w:hAnsi="Book Antiqua"/>
          <w:sz w:val="24"/>
          <w:szCs w:val="24"/>
          <w:lang w:val="en-US"/>
        </w:rPr>
        <w:t xml:space="preserve">. On the contrary, </w:t>
      </w:r>
      <w:r w:rsidR="00620F5E" w:rsidRPr="00841D2D">
        <w:rPr>
          <w:rFonts w:ascii="Book Antiqua" w:hAnsi="Book Antiqua"/>
          <w:sz w:val="24"/>
          <w:szCs w:val="24"/>
          <w:lang w:val="en-US"/>
        </w:rPr>
        <w:t xml:space="preserve">in </w:t>
      </w:r>
      <w:r w:rsidR="007F2804" w:rsidRPr="00841D2D">
        <w:rPr>
          <w:rFonts w:ascii="Book Antiqua" w:hAnsi="Book Antiqua"/>
          <w:sz w:val="24"/>
          <w:szCs w:val="24"/>
          <w:lang w:val="en-US"/>
        </w:rPr>
        <w:t xml:space="preserve">LAM treatment discontinuation in 19 RT recipients after 2 years of treatment </w:t>
      </w:r>
      <w:r w:rsidR="00620F5E" w:rsidRPr="00841D2D">
        <w:rPr>
          <w:rFonts w:ascii="Book Antiqua" w:hAnsi="Book Antiqua"/>
          <w:sz w:val="24"/>
          <w:szCs w:val="24"/>
          <w:lang w:val="en-US"/>
        </w:rPr>
        <w:t>without adequate virological respon</w:t>
      </w:r>
      <w:r w:rsidR="0097500D">
        <w:rPr>
          <w:rFonts w:ascii="Book Antiqua" w:hAnsi="Book Antiqua"/>
          <w:sz w:val="24"/>
          <w:szCs w:val="24"/>
          <w:lang w:val="en-US"/>
        </w:rPr>
        <w:t>se, relapse rate was high (75%)</w:t>
      </w:r>
      <w:r w:rsidR="00620F5E"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6</w:t>
      </w:r>
      <w:r w:rsidR="00620F5E" w:rsidRPr="00841D2D">
        <w:rPr>
          <w:rFonts w:ascii="Book Antiqua" w:hAnsi="Book Antiqua"/>
          <w:sz w:val="24"/>
          <w:szCs w:val="24"/>
          <w:vertAlign w:val="superscript"/>
          <w:lang w:val="en-US"/>
        </w:rPr>
        <w:t>]</w:t>
      </w:r>
      <w:r w:rsidR="00620F5E" w:rsidRPr="00841D2D">
        <w:rPr>
          <w:rFonts w:ascii="Book Antiqua" w:hAnsi="Book Antiqua"/>
          <w:sz w:val="24"/>
          <w:szCs w:val="24"/>
          <w:lang w:val="en-US"/>
        </w:rPr>
        <w:t>. Even though evidence is scarce</w:t>
      </w:r>
      <w:r w:rsidR="006B5F5D" w:rsidRPr="00841D2D">
        <w:rPr>
          <w:rFonts w:ascii="Book Antiqua" w:hAnsi="Book Antiqua"/>
          <w:sz w:val="24"/>
          <w:szCs w:val="24"/>
          <w:lang w:val="en-US"/>
        </w:rPr>
        <w:t>, it seems that in certain RT patients, after complete viral suppression and sufficient duration, antiviral therapy can be successfully and safely withdrawn.</w:t>
      </w:r>
    </w:p>
    <w:p w:rsidR="007F2804" w:rsidRPr="00841D2D" w:rsidRDefault="007F2804" w:rsidP="00841D2D">
      <w:pPr>
        <w:spacing w:after="0" w:line="360" w:lineRule="auto"/>
        <w:jc w:val="both"/>
        <w:rPr>
          <w:rFonts w:ascii="Book Antiqua" w:hAnsi="Book Antiqua"/>
          <w:sz w:val="24"/>
          <w:szCs w:val="24"/>
          <w:lang w:val="en-US"/>
        </w:rPr>
      </w:pPr>
    </w:p>
    <w:p w:rsidR="00ED7449" w:rsidRPr="00841D2D" w:rsidRDefault="00375683" w:rsidP="00841D2D">
      <w:pPr>
        <w:spacing w:after="0" w:line="360" w:lineRule="auto"/>
        <w:jc w:val="both"/>
        <w:rPr>
          <w:rFonts w:ascii="Book Antiqua" w:hAnsi="Book Antiqua"/>
          <w:sz w:val="24"/>
          <w:szCs w:val="24"/>
          <w:lang w:val="en-US"/>
        </w:rPr>
      </w:pPr>
      <w:r w:rsidRPr="00841D2D">
        <w:rPr>
          <w:rFonts w:ascii="Book Antiqua" w:hAnsi="Book Antiqua"/>
          <w:b/>
          <w:sz w:val="24"/>
          <w:szCs w:val="24"/>
          <w:lang w:val="en-US"/>
        </w:rPr>
        <w:t xml:space="preserve">IMPACT OF NUCLEOS(T)IDE ANALOGUES ON RENAL FUNCTION </w:t>
      </w:r>
    </w:p>
    <w:p w:rsidR="00AC625E" w:rsidRPr="00841D2D" w:rsidRDefault="00AC625E"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 xml:space="preserve">Nucleos(t)ide analogues </w:t>
      </w:r>
      <w:r w:rsidR="007D5C71" w:rsidRPr="00841D2D">
        <w:rPr>
          <w:rFonts w:ascii="Book Antiqua" w:hAnsi="Book Antiqua"/>
          <w:sz w:val="24"/>
          <w:szCs w:val="24"/>
          <w:lang w:val="en-US"/>
        </w:rPr>
        <w:t xml:space="preserve">are primarily </w:t>
      </w:r>
      <w:r w:rsidR="003E439D" w:rsidRPr="00841D2D">
        <w:rPr>
          <w:rFonts w:ascii="Book Antiqua" w:hAnsi="Book Antiqua"/>
          <w:sz w:val="24"/>
          <w:szCs w:val="24"/>
          <w:lang w:val="en-US"/>
        </w:rPr>
        <w:t>elimina</w:t>
      </w:r>
      <w:r w:rsidR="007D5C71" w:rsidRPr="00841D2D">
        <w:rPr>
          <w:rFonts w:ascii="Book Antiqua" w:hAnsi="Book Antiqua"/>
          <w:sz w:val="24"/>
          <w:szCs w:val="24"/>
          <w:lang w:val="en-US"/>
        </w:rPr>
        <w:t xml:space="preserve">ted </w:t>
      </w:r>
      <w:r w:rsidR="003E439D" w:rsidRPr="00841D2D">
        <w:rPr>
          <w:rFonts w:ascii="Book Antiqua" w:hAnsi="Book Antiqua"/>
          <w:sz w:val="24"/>
          <w:szCs w:val="24"/>
          <w:lang w:val="en-US"/>
        </w:rPr>
        <w:t>without changes</w:t>
      </w:r>
      <w:r w:rsidR="007D5C71" w:rsidRPr="00841D2D">
        <w:rPr>
          <w:rFonts w:ascii="Book Antiqua" w:hAnsi="Book Antiqua"/>
          <w:sz w:val="24"/>
          <w:szCs w:val="24"/>
          <w:lang w:val="en-US"/>
        </w:rPr>
        <w:t xml:space="preserve"> in the urine following ingestion</w:t>
      </w:r>
      <w:r w:rsidRPr="00841D2D">
        <w:rPr>
          <w:rFonts w:ascii="Book Antiqua" w:hAnsi="Book Antiqua"/>
          <w:sz w:val="24"/>
          <w:szCs w:val="24"/>
          <w:lang w:val="en-US"/>
        </w:rPr>
        <w:t>, and appropriate dos</w:t>
      </w:r>
      <w:r w:rsidR="003E439D" w:rsidRPr="00841D2D">
        <w:rPr>
          <w:rFonts w:ascii="Book Antiqua" w:hAnsi="Book Antiqua"/>
          <w:sz w:val="24"/>
          <w:szCs w:val="24"/>
          <w:lang w:val="en-US"/>
        </w:rPr>
        <w:t>e</w:t>
      </w:r>
      <w:r w:rsidRPr="00841D2D">
        <w:rPr>
          <w:rFonts w:ascii="Book Antiqua" w:hAnsi="Book Antiqua"/>
          <w:sz w:val="24"/>
          <w:szCs w:val="24"/>
          <w:lang w:val="en-US"/>
        </w:rPr>
        <w:t xml:space="preserve"> </w:t>
      </w:r>
      <w:r w:rsidR="003E439D" w:rsidRPr="00841D2D">
        <w:rPr>
          <w:rFonts w:ascii="Book Antiqua" w:hAnsi="Book Antiqua"/>
          <w:sz w:val="24"/>
          <w:szCs w:val="24"/>
          <w:lang w:val="en-US"/>
        </w:rPr>
        <w:t>modification</w:t>
      </w:r>
      <w:r w:rsidRPr="00841D2D">
        <w:rPr>
          <w:rFonts w:ascii="Book Antiqua" w:hAnsi="Book Antiqua"/>
          <w:sz w:val="24"/>
          <w:szCs w:val="24"/>
          <w:lang w:val="en-US"/>
        </w:rPr>
        <w:t xml:space="preserve">s are </w:t>
      </w:r>
      <w:r w:rsidR="003E439D" w:rsidRPr="00841D2D">
        <w:rPr>
          <w:rFonts w:ascii="Book Antiqua" w:hAnsi="Book Antiqua"/>
          <w:sz w:val="24"/>
          <w:szCs w:val="24"/>
          <w:lang w:val="en-US"/>
        </w:rPr>
        <w:t>propos</w:t>
      </w:r>
      <w:r w:rsidRPr="00841D2D">
        <w:rPr>
          <w:rFonts w:ascii="Book Antiqua" w:hAnsi="Book Antiqua"/>
          <w:sz w:val="24"/>
          <w:szCs w:val="24"/>
          <w:lang w:val="en-US"/>
        </w:rPr>
        <w:t xml:space="preserve">ed for patients with </w:t>
      </w:r>
      <w:r w:rsidR="003E439D" w:rsidRPr="00841D2D">
        <w:rPr>
          <w:rFonts w:ascii="Book Antiqua" w:hAnsi="Book Antiqua"/>
          <w:sz w:val="24"/>
          <w:szCs w:val="24"/>
          <w:lang w:val="en-US"/>
        </w:rPr>
        <w:t>impaired renal function (eGFR</w:t>
      </w:r>
      <w:r w:rsidRPr="00841D2D">
        <w:rPr>
          <w:rFonts w:ascii="Book Antiqua" w:hAnsi="Book Antiqua"/>
          <w:sz w:val="24"/>
          <w:szCs w:val="24"/>
          <w:lang w:val="en-US"/>
        </w:rPr>
        <w:t xml:space="preserve"> &lt;</w:t>
      </w:r>
      <w:r w:rsidR="0097500D">
        <w:rPr>
          <w:rFonts w:ascii="Book Antiqua" w:hAnsi="Book Antiqua" w:hint="eastAsia"/>
          <w:sz w:val="24"/>
          <w:szCs w:val="24"/>
          <w:lang w:val="en-US" w:eastAsia="zh-CN"/>
        </w:rPr>
        <w:t xml:space="preserve"> </w:t>
      </w:r>
      <w:r w:rsidRPr="00841D2D">
        <w:rPr>
          <w:rFonts w:ascii="Book Antiqua" w:hAnsi="Book Antiqua"/>
          <w:sz w:val="24"/>
          <w:szCs w:val="24"/>
          <w:lang w:val="en-US"/>
        </w:rPr>
        <w:t>50 m</w:t>
      </w:r>
      <w:r w:rsidR="0097500D" w:rsidRPr="00841D2D">
        <w:rPr>
          <w:rFonts w:ascii="Book Antiqua" w:hAnsi="Book Antiqua"/>
          <w:sz w:val="24"/>
          <w:szCs w:val="24"/>
          <w:lang w:val="en-US"/>
        </w:rPr>
        <w:t>L</w:t>
      </w:r>
      <w:r w:rsidRPr="00841D2D">
        <w:rPr>
          <w:rFonts w:ascii="Book Antiqua" w:hAnsi="Book Antiqua"/>
          <w:sz w:val="24"/>
          <w:szCs w:val="24"/>
          <w:lang w:val="en-US"/>
        </w:rPr>
        <w:t>/min</w:t>
      </w:r>
      <w:r w:rsidR="003E439D" w:rsidRPr="00841D2D">
        <w:rPr>
          <w:rFonts w:ascii="Book Antiqua" w:hAnsi="Book Antiqua"/>
          <w:sz w:val="24"/>
          <w:szCs w:val="24"/>
          <w:lang w:val="en-US"/>
        </w:rPr>
        <w:t>)</w:t>
      </w:r>
      <w:r w:rsidRPr="00841D2D">
        <w:rPr>
          <w:rFonts w:ascii="Book Antiqua" w:hAnsi="Book Antiqua"/>
          <w:sz w:val="24"/>
          <w:szCs w:val="24"/>
          <w:lang w:val="en-US"/>
        </w:rPr>
        <w:t xml:space="preserve"> (Table 1). </w:t>
      </w:r>
      <w:r w:rsidR="00E611F2" w:rsidRPr="00841D2D">
        <w:rPr>
          <w:rFonts w:ascii="Book Antiqua" w:hAnsi="Book Antiqua"/>
          <w:sz w:val="24"/>
          <w:szCs w:val="24"/>
          <w:lang w:val="en-US"/>
        </w:rPr>
        <w:t>Treatment guidelines recommend that all patients initiating NUC treatment should be tested for serum creatinine levels and estimated creatinine clearance before therapy; and baseline renal risk sho</w:t>
      </w:r>
      <w:r w:rsidR="0097500D">
        <w:rPr>
          <w:rFonts w:ascii="Book Antiqua" w:hAnsi="Book Antiqua"/>
          <w:sz w:val="24"/>
          <w:szCs w:val="24"/>
          <w:lang w:val="en-US"/>
        </w:rPr>
        <w:t>uld be assessed for all of them</w:t>
      </w:r>
      <w:r w:rsidR="00E611F2" w:rsidRPr="00841D2D">
        <w:rPr>
          <w:rFonts w:ascii="Book Antiqua" w:hAnsi="Book Antiqua"/>
          <w:sz w:val="24"/>
          <w:szCs w:val="24"/>
          <w:vertAlign w:val="superscript"/>
          <w:lang w:val="en-US"/>
        </w:rPr>
        <w:t>[9,10]</w:t>
      </w:r>
      <w:r w:rsidR="00E611F2" w:rsidRPr="00841D2D">
        <w:rPr>
          <w:rFonts w:ascii="Book Antiqua" w:hAnsi="Book Antiqua"/>
          <w:sz w:val="24"/>
          <w:szCs w:val="24"/>
          <w:lang w:val="en-US"/>
        </w:rPr>
        <w:t>. High baseline renal risk includes one or more of the following clinical situations: decompensated cirrhosis, creatinine clearance &lt;</w:t>
      </w:r>
      <w:r w:rsidR="0097500D">
        <w:rPr>
          <w:rFonts w:ascii="Book Antiqua" w:hAnsi="Book Antiqua" w:hint="eastAsia"/>
          <w:sz w:val="24"/>
          <w:szCs w:val="24"/>
          <w:lang w:val="en-US" w:eastAsia="zh-CN"/>
        </w:rPr>
        <w:t xml:space="preserve"> </w:t>
      </w:r>
      <w:r w:rsidR="00E611F2" w:rsidRPr="00841D2D">
        <w:rPr>
          <w:rFonts w:ascii="Book Antiqua" w:hAnsi="Book Antiqua"/>
          <w:sz w:val="24"/>
          <w:szCs w:val="24"/>
          <w:lang w:val="en-US"/>
        </w:rPr>
        <w:t>60 m</w:t>
      </w:r>
      <w:r w:rsidR="0097500D" w:rsidRPr="00841D2D">
        <w:rPr>
          <w:rFonts w:ascii="Book Antiqua" w:hAnsi="Book Antiqua"/>
          <w:sz w:val="24"/>
          <w:szCs w:val="24"/>
          <w:lang w:val="en-US"/>
        </w:rPr>
        <w:t>L</w:t>
      </w:r>
      <w:r w:rsidR="00E611F2" w:rsidRPr="00841D2D">
        <w:rPr>
          <w:rFonts w:ascii="Book Antiqua" w:hAnsi="Book Antiqua"/>
          <w:sz w:val="24"/>
          <w:szCs w:val="24"/>
          <w:lang w:val="en-US"/>
        </w:rPr>
        <w:t>/min, poorly controlled hypertension, proteinuria, uncontrolled diabetes, active glomerulonephritis, concomitant nephrotoxic medications and solid organ transplantation. In consequence, RT recipients may have many of these basal renal risk factors</w:t>
      </w:r>
      <w:r w:rsidRPr="00841D2D">
        <w:rPr>
          <w:rFonts w:ascii="Book Antiqua" w:hAnsi="Book Antiqua"/>
          <w:sz w:val="24"/>
          <w:szCs w:val="24"/>
          <w:lang w:val="en-US"/>
        </w:rPr>
        <w:t xml:space="preserve">.  </w:t>
      </w:r>
    </w:p>
    <w:p w:rsidR="00963D87" w:rsidRPr="00841D2D" w:rsidRDefault="007C63C9"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In clinical trials outside renal transplant setting, minimal </w:t>
      </w:r>
      <w:r w:rsidR="006E6217" w:rsidRPr="00841D2D">
        <w:rPr>
          <w:rFonts w:ascii="Book Antiqua" w:hAnsi="Book Antiqua"/>
          <w:sz w:val="24"/>
          <w:szCs w:val="24"/>
          <w:lang w:val="en-US"/>
        </w:rPr>
        <w:t>decline</w:t>
      </w:r>
      <w:r w:rsidRPr="00841D2D">
        <w:rPr>
          <w:rFonts w:ascii="Book Antiqua" w:hAnsi="Book Antiqua"/>
          <w:sz w:val="24"/>
          <w:szCs w:val="24"/>
          <w:lang w:val="en-US"/>
        </w:rPr>
        <w:t xml:space="preserve"> </w:t>
      </w:r>
      <w:r w:rsidR="006E6217" w:rsidRPr="00841D2D">
        <w:rPr>
          <w:rFonts w:ascii="Book Antiqua" w:hAnsi="Book Antiqua"/>
          <w:sz w:val="24"/>
          <w:szCs w:val="24"/>
          <w:lang w:val="en-US"/>
        </w:rPr>
        <w:t>in</w:t>
      </w:r>
      <w:r w:rsidRPr="00841D2D">
        <w:rPr>
          <w:rFonts w:ascii="Book Antiqua" w:hAnsi="Book Antiqua"/>
          <w:sz w:val="24"/>
          <w:szCs w:val="24"/>
          <w:lang w:val="en-US"/>
        </w:rPr>
        <w:t xml:space="preserve"> renal function have been </w:t>
      </w:r>
      <w:r w:rsidR="006E6217" w:rsidRPr="00841D2D">
        <w:rPr>
          <w:rFonts w:ascii="Book Antiqua" w:hAnsi="Book Antiqua"/>
          <w:sz w:val="24"/>
          <w:szCs w:val="24"/>
          <w:lang w:val="en-US"/>
        </w:rPr>
        <w:t>show</w:t>
      </w:r>
      <w:r w:rsidRPr="00841D2D">
        <w:rPr>
          <w:rFonts w:ascii="Book Antiqua" w:hAnsi="Book Antiqua"/>
          <w:sz w:val="24"/>
          <w:szCs w:val="24"/>
          <w:lang w:val="en-US"/>
        </w:rPr>
        <w:t xml:space="preserve">ed with all NUCs, except for LdT which </w:t>
      </w:r>
      <w:r w:rsidR="006E6217" w:rsidRPr="00841D2D">
        <w:rPr>
          <w:rFonts w:ascii="Book Antiqua" w:hAnsi="Book Antiqua"/>
          <w:sz w:val="24"/>
          <w:szCs w:val="24"/>
          <w:lang w:val="en-US"/>
        </w:rPr>
        <w:t>appear</w:t>
      </w:r>
      <w:r w:rsidRPr="00841D2D">
        <w:rPr>
          <w:rFonts w:ascii="Book Antiqua" w:hAnsi="Book Antiqua"/>
          <w:sz w:val="24"/>
          <w:szCs w:val="24"/>
          <w:lang w:val="en-US"/>
        </w:rPr>
        <w:t xml:space="preserve">s to improve </w:t>
      </w:r>
      <w:r w:rsidR="006E6217" w:rsidRPr="00841D2D">
        <w:rPr>
          <w:rFonts w:ascii="Book Antiqua" w:hAnsi="Book Antiqua"/>
          <w:sz w:val="24"/>
          <w:szCs w:val="24"/>
          <w:lang w:val="en-US"/>
        </w:rPr>
        <w:t>renal function</w:t>
      </w:r>
      <w:r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7</w:t>
      </w:r>
      <w:r w:rsidR="008F2A78"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8</w:t>
      </w:r>
      <w:r w:rsidRPr="00841D2D">
        <w:rPr>
          <w:rFonts w:ascii="Book Antiqua" w:hAnsi="Book Antiqua"/>
          <w:sz w:val="24"/>
          <w:szCs w:val="24"/>
          <w:vertAlign w:val="superscript"/>
          <w:lang w:val="en-US"/>
        </w:rPr>
        <w:t>]</w:t>
      </w:r>
      <w:r w:rsidRPr="00841D2D">
        <w:rPr>
          <w:rFonts w:ascii="Book Antiqua" w:hAnsi="Book Antiqua"/>
          <w:sz w:val="24"/>
          <w:szCs w:val="24"/>
          <w:lang w:val="en-US"/>
        </w:rPr>
        <w:t>.</w:t>
      </w:r>
      <w:r w:rsidR="00DD2A27" w:rsidRPr="00841D2D">
        <w:rPr>
          <w:rFonts w:ascii="Book Antiqua" w:hAnsi="Book Antiqua"/>
          <w:sz w:val="24"/>
          <w:szCs w:val="24"/>
          <w:lang w:val="en-US"/>
        </w:rPr>
        <w:t xml:space="preserve">  </w:t>
      </w:r>
      <w:r w:rsidR="00FC76E2" w:rsidRPr="00841D2D">
        <w:rPr>
          <w:rFonts w:ascii="Book Antiqua" w:hAnsi="Book Antiqua"/>
          <w:sz w:val="24"/>
          <w:szCs w:val="24"/>
          <w:lang w:val="en-US"/>
        </w:rPr>
        <w:t xml:space="preserve">Impact of LdT on renal function was analyzed from a database including all patients treated in the GLOBE Study (2 </w:t>
      </w:r>
      <w:r w:rsidR="0097500D" w:rsidRPr="00841D2D">
        <w:rPr>
          <w:rFonts w:ascii="Book Antiqua" w:hAnsi="Book Antiqua"/>
          <w:sz w:val="24"/>
          <w:szCs w:val="24"/>
          <w:lang w:val="en-US"/>
        </w:rPr>
        <w:t>y</w:t>
      </w:r>
      <w:r w:rsidR="00FC76E2" w:rsidRPr="00841D2D">
        <w:rPr>
          <w:rFonts w:ascii="Book Antiqua" w:hAnsi="Book Antiqua"/>
          <w:sz w:val="24"/>
          <w:szCs w:val="24"/>
          <w:lang w:val="en-US"/>
        </w:rPr>
        <w:t xml:space="preserve">ears), </w:t>
      </w:r>
      <w:r w:rsidR="006E6217" w:rsidRPr="00841D2D">
        <w:rPr>
          <w:rFonts w:ascii="Book Antiqua" w:hAnsi="Book Antiqua"/>
          <w:sz w:val="24"/>
          <w:szCs w:val="24"/>
          <w:lang w:val="en-US"/>
        </w:rPr>
        <w:t xml:space="preserve">in the </w:t>
      </w:r>
      <w:r w:rsidR="00FC76E2" w:rsidRPr="00841D2D">
        <w:rPr>
          <w:rFonts w:ascii="Book Antiqua" w:hAnsi="Book Antiqua"/>
          <w:sz w:val="24"/>
          <w:szCs w:val="24"/>
          <w:lang w:val="en-US"/>
        </w:rPr>
        <w:t xml:space="preserve">long term extension study CN04E1 (4 to 6 years) </w:t>
      </w:r>
      <w:r w:rsidR="006E6217" w:rsidRPr="00841D2D">
        <w:rPr>
          <w:rFonts w:ascii="Book Antiqua" w:hAnsi="Book Antiqua"/>
          <w:sz w:val="24"/>
          <w:szCs w:val="24"/>
          <w:lang w:val="en-US"/>
        </w:rPr>
        <w:t>and</w:t>
      </w:r>
      <w:r w:rsidR="00FC76E2" w:rsidRPr="00841D2D">
        <w:rPr>
          <w:rFonts w:ascii="Book Antiqua" w:hAnsi="Book Antiqua"/>
          <w:sz w:val="24"/>
          <w:szCs w:val="24"/>
          <w:lang w:val="en-US"/>
        </w:rPr>
        <w:t xml:space="preserve"> in patients with decompensated cirrhosis (2 years)</w:t>
      </w:r>
      <w:r w:rsidR="00FC76E2" w:rsidRPr="00841D2D">
        <w:rPr>
          <w:rFonts w:ascii="Book Antiqua" w:hAnsi="Book Antiqua"/>
          <w:sz w:val="24"/>
          <w:szCs w:val="24"/>
          <w:vertAlign w:val="superscript"/>
          <w:lang w:val="en-US"/>
        </w:rPr>
        <w:t>[</w:t>
      </w:r>
      <w:r w:rsidR="00FA41C5">
        <w:rPr>
          <w:rFonts w:ascii="Book Antiqua" w:hAnsi="Book Antiqua" w:hint="eastAsia"/>
          <w:sz w:val="24"/>
          <w:szCs w:val="24"/>
          <w:vertAlign w:val="superscript"/>
          <w:lang w:val="en-US" w:eastAsia="zh-CN"/>
        </w:rPr>
        <w:t>69</w:t>
      </w:r>
      <w:r w:rsidR="00FC76E2" w:rsidRPr="00841D2D">
        <w:rPr>
          <w:rFonts w:ascii="Book Antiqua" w:hAnsi="Book Antiqua"/>
          <w:sz w:val="24"/>
          <w:szCs w:val="24"/>
          <w:vertAlign w:val="superscript"/>
          <w:lang w:val="en-US"/>
        </w:rPr>
        <w:t>]</w:t>
      </w:r>
      <w:r w:rsidR="00FC76E2" w:rsidRPr="00841D2D">
        <w:rPr>
          <w:rFonts w:ascii="Book Antiqua" w:hAnsi="Book Antiqua"/>
          <w:sz w:val="24"/>
          <w:szCs w:val="24"/>
          <w:lang w:val="en-US"/>
        </w:rPr>
        <w:t xml:space="preserve">. </w:t>
      </w:r>
      <w:r w:rsidRPr="00841D2D">
        <w:rPr>
          <w:rFonts w:ascii="Book Antiqua" w:hAnsi="Book Antiqua"/>
          <w:sz w:val="24"/>
          <w:szCs w:val="24"/>
          <w:lang w:val="en-US"/>
        </w:rPr>
        <w:t xml:space="preserve"> </w:t>
      </w:r>
      <w:r w:rsidR="00726EE9" w:rsidRPr="00841D2D">
        <w:rPr>
          <w:rFonts w:ascii="Book Antiqua" w:hAnsi="Book Antiqua"/>
          <w:sz w:val="24"/>
          <w:szCs w:val="24"/>
          <w:lang w:val="en-US"/>
        </w:rPr>
        <w:t>Renal function improved in LdT treated patients in GLOBE trial (+ 8.5% increase in mean eGFR,) and it was sustained for 4 to 6 years. Improvement in renal  function in LdT treated patients was also observed in those at increased risk for renal impairment: patients with baseline eGFRs of 60-89 mL/min</w:t>
      </w:r>
      <w:r w:rsidR="0097500D">
        <w:rPr>
          <w:rFonts w:ascii="Book Antiqua" w:hAnsi="Book Antiqua" w:hint="eastAsia"/>
          <w:sz w:val="24"/>
          <w:szCs w:val="24"/>
          <w:lang w:val="en-US" w:eastAsia="zh-CN"/>
        </w:rPr>
        <w:t xml:space="preserve"> </w:t>
      </w:r>
      <w:r w:rsidR="0097500D">
        <w:rPr>
          <w:rFonts w:ascii="Book Antiqua" w:hAnsi="Book Antiqua"/>
          <w:sz w:val="24"/>
          <w:szCs w:val="24"/>
          <w:lang w:val="en-US" w:eastAsia="zh-CN"/>
        </w:rPr>
        <w:t>per</w:t>
      </w:r>
      <w:r w:rsidR="0097500D">
        <w:rPr>
          <w:rFonts w:ascii="Book Antiqua" w:hAnsi="Book Antiqua" w:hint="eastAsia"/>
          <w:sz w:val="24"/>
          <w:szCs w:val="24"/>
          <w:lang w:val="en-US" w:eastAsia="zh-CN"/>
        </w:rPr>
        <w:t xml:space="preserve"> </w:t>
      </w:r>
      <w:r w:rsidR="00726EE9" w:rsidRPr="00841D2D">
        <w:rPr>
          <w:rFonts w:ascii="Book Antiqua" w:hAnsi="Book Antiqua"/>
          <w:sz w:val="24"/>
          <w:szCs w:val="24"/>
          <w:lang w:val="en-US"/>
        </w:rPr>
        <w:t>1.73 m</w:t>
      </w:r>
      <w:r w:rsidR="00726EE9" w:rsidRPr="00841D2D">
        <w:rPr>
          <w:rFonts w:ascii="Book Antiqua" w:hAnsi="Book Antiqua"/>
          <w:sz w:val="24"/>
          <w:szCs w:val="24"/>
          <w:vertAlign w:val="superscript"/>
          <w:lang w:val="en-US"/>
        </w:rPr>
        <w:t>2</w:t>
      </w:r>
      <w:r w:rsidR="00726EE9" w:rsidRPr="00841D2D">
        <w:rPr>
          <w:rFonts w:ascii="Book Antiqua" w:hAnsi="Book Antiqua"/>
          <w:sz w:val="24"/>
          <w:szCs w:val="24"/>
          <w:lang w:val="en-US"/>
        </w:rPr>
        <w:t xml:space="preserve"> (+17.2%), &gt; 50 years (+11.4%), and with advanced liver fibrosis or cirrhosis (+7.2% for patients with Ishak fibrosis score 5-6). In patients with the highest renal risk such as decompensated cirrhotics, eGFR was also improved with LdT (+2.0%). </w:t>
      </w:r>
      <w:r w:rsidR="00AB494E" w:rsidRPr="00841D2D">
        <w:rPr>
          <w:rFonts w:ascii="Book Antiqua" w:hAnsi="Book Antiqua"/>
          <w:sz w:val="24"/>
          <w:szCs w:val="24"/>
          <w:lang w:val="en-US"/>
        </w:rPr>
        <w:t>In patients who received 2 years of LAM in GLOBE/015 studies and rolled over to extension study to receive LdT for 2 additional years, eGFR also improved</w:t>
      </w:r>
      <w:r w:rsidR="0097500D">
        <w:rPr>
          <w:rFonts w:ascii="Book Antiqua" w:hAnsi="Book Antiqua"/>
          <w:sz w:val="24"/>
          <w:szCs w:val="24"/>
          <w:lang w:val="en-US"/>
        </w:rPr>
        <w:t xml:space="preserve"> after treatment switch (+8.9%)</w:t>
      </w:r>
      <w:r w:rsidR="008F2A78" w:rsidRPr="00841D2D">
        <w:rPr>
          <w:rFonts w:ascii="Book Antiqua" w:hAnsi="Book Antiqua"/>
          <w:sz w:val="24"/>
          <w:szCs w:val="24"/>
          <w:vertAlign w:val="superscript"/>
          <w:lang w:val="en-US"/>
        </w:rPr>
        <w:t>[</w:t>
      </w:r>
      <w:r w:rsidR="00FA41C5">
        <w:rPr>
          <w:rFonts w:ascii="Book Antiqua" w:hAnsi="Book Antiqua" w:hint="eastAsia"/>
          <w:sz w:val="24"/>
          <w:szCs w:val="24"/>
          <w:vertAlign w:val="superscript"/>
          <w:lang w:val="en-US" w:eastAsia="zh-CN"/>
        </w:rPr>
        <w:t>69</w:t>
      </w:r>
      <w:r w:rsidR="00AB494E" w:rsidRPr="00841D2D">
        <w:rPr>
          <w:rFonts w:ascii="Book Antiqua" w:hAnsi="Book Antiqua"/>
          <w:sz w:val="24"/>
          <w:szCs w:val="24"/>
          <w:vertAlign w:val="superscript"/>
          <w:lang w:val="en-US"/>
        </w:rPr>
        <w:t>]</w:t>
      </w:r>
      <w:r w:rsidR="00AB494E" w:rsidRPr="00841D2D">
        <w:rPr>
          <w:rFonts w:ascii="Book Antiqua" w:hAnsi="Book Antiqua"/>
          <w:sz w:val="24"/>
          <w:szCs w:val="24"/>
          <w:lang w:val="en-US"/>
        </w:rPr>
        <w:t>. Although this data may suggest that LdT may be renal protective, it is not clear whether this protective effect is specific to this NUC. This potential benefit</w:t>
      </w:r>
      <w:r w:rsidR="00963D87" w:rsidRPr="00841D2D">
        <w:rPr>
          <w:rFonts w:ascii="Book Antiqua" w:hAnsi="Book Antiqua"/>
          <w:sz w:val="24"/>
          <w:szCs w:val="24"/>
          <w:lang w:val="en-US"/>
        </w:rPr>
        <w:t xml:space="preserve">, particularly relevant in the RT population, does not </w:t>
      </w:r>
      <w:r w:rsidR="00726EE9" w:rsidRPr="00841D2D">
        <w:rPr>
          <w:rFonts w:ascii="Book Antiqua" w:hAnsi="Book Antiqua"/>
          <w:sz w:val="24"/>
          <w:szCs w:val="24"/>
          <w:lang w:val="en-US"/>
        </w:rPr>
        <w:t>overcome</w:t>
      </w:r>
      <w:r w:rsidR="00963D87" w:rsidRPr="00841D2D">
        <w:rPr>
          <w:rFonts w:ascii="Book Antiqua" w:hAnsi="Book Antiqua"/>
          <w:sz w:val="24"/>
          <w:szCs w:val="24"/>
          <w:lang w:val="en-US"/>
        </w:rPr>
        <w:t xml:space="preserve"> the high </w:t>
      </w:r>
      <w:r w:rsidR="00726EE9" w:rsidRPr="00841D2D">
        <w:rPr>
          <w:rFonts w:ascii="Book Antiqua" w:hAnsi="Book Antiqua"/>
          <w:sz w:val="24"/>
          <w:szCs w:val="24"/>
          <w:lang w:val="en-US"/>
        </w:rPr>
        <w:t>risk</w:t>
      </w:r>
      <w:r w:rsidR="00963D87" w:rsidRPr="00841D2D">
        <w:rPr>
          <w:rFonts w:ascii="Book Antiqua" w:hAnsi="Book Antiqua"/>
          <w:sz w:val="24"/>
          <w:szCs w:val="24"/>
          <w:lang w:val="en-US"/>
        </w:rPr>
        <w:t xml:space="preserve"> of </w:t>
      </w:r>
      <w:r w:rsidR="00726EE9" w:rsidRPr="00841D2D">
        <w:rPr>
          <w:rFonts w:ascii="Book Antiqua" w:hAnsi="Book Antiqua"/>
          <w:sz w:val="24"/>
          <w:szCs w:val="24"/>
          <w:lang w:val="en-US"/>
        </w:rPr>
        <w:t>treatment</w:t>
      </w:r>
      <w:r w:rsidR="00963D87" w:rsidRPr="00841D2D">
        <w:rPr>
          <w:rFonts w:ascii="Book Antiqua" w:hAnsi="Book Antiqua"/>
          <w:sz w:val="24"/>
          <w:szCs w:val="24"/>
          <w:lang w:val="en-US"/>
        </w:rPr>
        <w:t xml:space="preserve"> resistanc</w:t>
      </w:r>
      <w:r w:rsidR="00726EE9" w:rsidRPr="00841D2D">
        <w:rPr>
          <w:rFonts w:ascii="Book Antiqua" w:hAnsi="Book Antiqua"/>
          <w:sz w:val="24"/>
          <w:szCs w:val="24"/>
          <w:lang w:val="en-US"/>
        </w:rPr>
        <w:t>e and neuromuscular adverse even</w:t>
      </w:r>
      <w:r w:rsidR="00963D87" w:rsidRPr="00841D2D">
        <w:rPr>
          <w:rFonts w:ascii="Book Antiqua" w:hAnsi="Book Antiqua"/>
          <w:sz w:val="24"/>
          <w:szCs w:val="24"/>
          <w:lang w:val="en-US"/>
        </w:rPr>
        <w:t xml:space="preserve">ts. As previously mentioned, </w:t>
      </w:r>
      <w:r w:rsidR="00765323" w:rsidRPr="00841D2D">
        <w:rPr>
          <w:rFonts w:ascii="Book Antiqua" w:hAnsi="Book Antiqua"/>
          <w:sz w:val="24"/>
          <w:szCs w:val="24"/>
          <w:lang w:val="en-US"/>
        </w:rPr>
        <w:t>this beneficial safety profile does</w:t>
      </w:r>
      <w:r w:rsidR="00963D87" w:rsidRPr="00841D2D">
        <w:rPr>
          <w:rFonts w:ascii="Book Antiqua" w:hAnsi="Book Antiqua"/>
          <w:sz w:val="24"/>
          <w:szCs w:val="24"/>
          <w:lang w:val="en-US"/>
        </w:rPr>
        <w:t xml:space="preserve"> not support the use of LdT as a first-li</w:t>
      </w:r>
      <w:r w:rsidR="0097500D">
        <w:rPr>
          <w:rFonts w:ascii="Book Antiqua" w:hAnsi="Book Antiqua"/>
          <w:sz w:val="24"/>
          <w:szCs w:val="24"/>
          <w:lang w:val="en-US"/>
        </w:rPr>
        <w:t>ne NUC in hepatitis B treatment</w:t>
      </w:r>
      <w:r w:rsidR="00963D87" w:rsidRPr="00841D2D">
        <w:rPr>
          <w:rFonts w:ascii="Book Antiqua" w:hAnsi="Book Antiqua"/>
          <w:sz w:val="24"/>
          <w:szCs w:val="24"/>
          <w:vertAlign w:val="superscript"/>
          <w:lang w:val="en-US"/>
        </w:rPr>
        <w:t>[</w:t>
      </w:r>
      <w:r w:rsidR="00FA41C5">
        <w:rPr>
          <w:rFonts w:ascii="Book Antiqua" w:hAnsi="Book Antiqua" w:hint="eastAsia"/>
          <w:sz w:val="24"/>
          <w:szCs w:val="24"/>
          <w:vertAlign w:val="superscript"/>
          <w:lang w:val="en-US" w:eastAsia="zh-CN"/>
        </w:rPr>
        <w:t>69</w:t>
      </w:r>
      <w:r w:rsidR="00963D87" w:rsidRPr="00841D2D">
        <w:rPr>
          <w:rFonts w:ascii="Book Antiqua" w:hAnsi="Book Antiqua"/>
          <w:sz w:val="24"/>
          <w:szCs w:val="24"/>
          <w:vertAlign w:val="superscript"/>
          <w:lang w:val="en-US"/>
        </w:rPr>
        <w:t>]</w:t>
      </w:r>
      <w:r w:rsidR="00963D87" w:rsidRPr="00841D2D">
        <w:rPr>
          <w:rFonts w:ascii="Book Antiqua" w:hAnsi="Book Antiqua"/>
          <w:sz w:val="24"/>
          <w:szCs w:val="24"/>
          <w:lang w:val="en-US"/>
        </w:rPr>
        <w:t xml:space="preserve">. </w:t>
      </w:r>
    </w:p>
    <w:p w:rsidR="004A7EA7" w:rsidRPr="00841D2D" w:rsidRDefault="00730EFF"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Nucleotide, specially ADV, appear to be more nephro</w:t>
      </w:r>
      <w:r w:rsidR="0097500D">
        <w:rPr>
          <w:rFonts w:ascii="Book Antiqua" w:hAnsi="Book Antiqua"/>
          <w:sz w:val="24"/>
          <w:szCs w:val="24"/>
          <w:lang w:val="en-US"/>
        </w:rPr>
        <w:t>toxic than nucleoside analogues</w:t>
      </w:r>
      <w:r w:rsidR="007C63C9" w:rsidRPr="00841D2D">
        <w:rPr>
          <w:rFonts w:ascii="Book Antiqua" w:hAnsi="Book Antiqua"/>
          <w:sz w:val="24"/>
          <w:szCs w:val="24"/>
          <w:vertAlign w:val="superscript"/>
          <w:lang w:val="en-US"/>
        </w:rPr>
        <w:t>[</w:t>
      </w:r>
      <w:r w:rsidR="00AB494E"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0</w:t>
      </w:r>
      <w:r w:rsidR="00C5771B" w:rsidRPr="00841D2D">
        <w:rPr>
          <w:rFonts w:ascii="Book Antiqua" w:hAnsi="Book Antiqua"/>
          <w:sz w:val="24"/>
          <w:szCs w:val="24"/>
          <w:vertAlign w:val="superscript"/>
          <w:lang w:val="en-US"/>
        </w:rPr>
        <w:t>-</w:t>
      </w:r>
      <w:r w:rsidR="007C63C9"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4</w:t>
      </w:r>
      <w:r w:rsidR="007C63C9" w:rsidRPr="00841D2D">
        <w:rPr>
          <w:rFonts w:ascii="Book Antiqua" w:hAnsi="Book Antiqua"/>
          <w:sz w:val="24"/>
          <w:szCs w:val="24"/>
          <w:vertAlign w:val="superscript"/>
          <w:lang w:val="en-US"/>
        </w:rPr>
        <w:t>]</w:t>
      </w:r>
      <w:r w:rsidR="007C63C9" w:rsidRPr="00841D2D">
        <w:rPr>
          <w:rFonts w:ascii="Book Antiqua" w:hAnsi="Book Antiqua"/>
          <w:sz w:val="24"/>
          <w:szCs w:val="24"/>
          <w:lang w:val="en-US"/>
        </w:rPr>
        <w:t xml:space="preserve">. </w:t>
      </w:r>
      <w:r w:rsidRPr="00841D2D">
        <w:rPr>
          <w:rFonts w:ascii="Book Antiqua" w:hAnsi="Book Antiqua"/>
          <w:sz w:val="24"/>
          <w:szCs w:val="24"/>
          <w:lang w:val="en-US"/>
        </w:rPr>
        <w:t>In a real-life setting study, 145 patients ADV treated patients were compared with 145 untreated patients regardi</w:t>
      </w:r>
      <w:r w:rsidR="00FA41C5">
        <w:rPr>
          <w:rFonts w:ascii="Book Antiqua" w:hAnsi="Book Antiqua"/>
          <w:sz w:val="24"/>
          <w:szCs w:val="24"/>
          <w:lang w:val="en-US"/>
        </w:rPr>
        <w:t>ng its impact on renal function</w:t>
      </w:r>
      <w:r w:rsidR="008F2A78"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1</w:t>
      </w:r>
      <w:r w:rsidR="006A34F3" w:rsidRPr="00841D2D">
        <w:rPr>
          <w:rFonts w:ascii="Book Antiqua" w:hAnsi="Book Antiqua"/>
          <w:sz w:val="24"/>
          <w:szCs w:val="24"/>
          <w:vertAlign w:val="superscript"/>
          <w:lang w:val="en-US"/>
        </w:rPr>
        <w:t>]</w:t>
      </w:r>
      <w:r w:rsidR="006A34F3" w:rsidRPr="00841D2D">
        <w:rPr>
          <w:rFonts w:ascii="Book Antiqua" w:hAnsi="Book Antiqua"/>
          <w:sz w:val="24"/>
          <w:szCs w:val="24"/>
          <w:lang w:val="en-US"/>
        </w:rPr>
        <w:t xml:space="preserve">. </w:t>
      </w:r>
      <w:r w:rsidR="00B04831" w:rsidRPr="00841D2D">
        <w:rPr>
          <w:rFonts w:ascii="Book Antiqua" w:hAnsi="Book Antiqua"/>
          <w:sz w:val="24"/>
          <w:szCs w:val="24"/>
          <w:lang w:val="en-US"/>
        </w:rPr>
        <w:t>During follow-up, 30% of ADV treated patients show a mild decrease in renal function (10%-20% reduction in eGFR from baseline) compared with 16%</w:t>
      </w:r>
      <w:r w:rsidR="0097500D">
        <w:rPr>
          <w:rFonts w:ascii="Book Antiqua" w:hAnsi="Book Antiqua"/>
          <w:sz w:val="24"/>
          <w:szCs w:val="24"/>
          <w:lang w:val="en-US"/>
        </w:rPr>
        <w:t xml:space="preserve"> in the untreated group, 15% </w:t>
      </w:r>
      <w:r w:rsidR="0097500D" w:rsidRPr="0097500D">
        <w:rPr>
          <w:rFonts w:ascii="Book Antiqua" w:hAnsi="Book Antiqua"/>
          <w:i/>
          <w:sz w:val="24"/>
          <w:szCs w:val="24"/>
          <w:lang w:val="en-US"/>
        </w:rPr>
        <w:t>vs</w:t>
      </w:r>
      <w:r w:rsidR="00B04831" w:rsidRPr="00841D2D">
        <w:rPr>
          <w:rFonts w:ascii="Book Antiqua" w:hAnsi="Book Antiqua"/>
          <w:sz w:val="24"/>
          <w:szCs w:val="24"/>
          <w:lang w:val="en-US"/>
        </w:rPr>
        <w:t xml:space="preserve"> 6% showed a moderat</w:t>
      </w:r>
      <w:r w:rsidR="0097500D">
        <w:rPr>
          <w:rFonts w:ascii="Book Antiqua" w:hAnsi="Book Antiqua"/>
          <w:sz w:val="24"/>
          <w:szCs w:val="24"/>
          <w:lang w:val="en-US"/>
        </w:rPr>
        <w:t xml:space="preserve">e decrease (20%-30%), and 7% </w:t>
      </w:r>
      <w:r w:rsidR="0097500D" w:rsidRPr="0097500D">
        <w:rPr>
          <w:rFonts w:ascii="Book Antiqua" w:hAnsi="Book Antiqua"/>
          <w:i/>
          <w:sz w:val="24"/>
          <w:szCs w:val="24"/>
          <w:lang w:val="en-US"/>
        </w:rPr>
        <w:t>vs</w:t>
      </w:r>
      <w:r w:rsidR="00B04831" w:rsidRPr="00841D2D">
        <w:rPr>
          <w:rFonts w:ascii="Book Antiqua" w:hAnsi="Book Antiqua"/>
          <w:sz w:val="24"/>
          <w:szCs w:val="24"/>
          <w:lang w:val="en-US"/>
        </w:rPr>
        <w:t xml:space="preserve"> 1% showed a severe decrease (&gt;</w:t>
      </w:r>
      <w:r w:rsidR="0097500D">
        <w:rPr>
          <w:rFonts w:ascii="Book Antiqua" w:hAnsi="Book Antiqua" w:hint="eastAsia"/>
          <w:sz w:val="24"/>
          <w:szCs w:val="24"/>
          <w:lang w:val="en-US" w:eastAsia="zh-CN"/>
        </w:rPr>
        <w:t xml:space="preserve"> </w:t>
      </w:r>
      <w:r w:rsidR="00B04831" w:rsidRPr="00841D2D">
        <w:rPr>
          <w:rFonts w:ascii="Book Antiqua" w:hAnsi="Book Antiqua"/>
          <w:sz w:val="24"/>
          <w:szCs w:val="24"/>
          <w:lang w:val="en-US"/>
        </w:rPr>
        <w:t>30%) respectively (</w:t>
      </w:r>
      <w:r w:rsidR="0097500D" w:rsidRPr="0097500D">
        <w:rPr>
          <w:rFonts w:ascii="Book Antiqua" w:hAnsi="Book Antiqua"/>
          <w:i/>
          <w:sz w:val="24"/>
          <w:szCs w:val="24"/>
          <w:lang w:val="en-US"/>
        </w:rPr>
        <w:t>P</w:t>
      </w:r>
      <w:r w:rsidR="00B04831" w:rsidRPr="00841D2D">
        <w:rPr>
          <w:rFonts w:ascii="Book Antiqua" w:hAnsi="Book Antiqua"/>
          <w:sz w:val="24"/>
          <w:szCs w:val="24"/>
          <w:lang w:val="en-US"/>
        </w:rPr>
        <w:t xml:space="preserve"> &gt; 0.0001). In the ADV group 6.9% of the patients discontinued treatment (</w:t>
      </w:r>
      <w:r w:rsidR="0097500D" w:rsidRPr="0097500D">
        <w:rPr>
          <w:rFonts w:ascii="Book Antiqua" w:hAnsi="Book Antiqua"/>
          <w:i/>
          <w:sz w:val="24"/>
          <w:szCs w:val="24"/>
          <w:lang w:val="en-US"/>
        </w:rPr>
        <w:t>P</w:t>
      </w:r>
      <w:r w:rsidR="00B04831" w:rsidRPr="00841D2D">
        <w:rPr>
          <w:rFonts w:ascii="Book Antiqua" w:hAnsi="Book Antiqua"/>
          <w:sz w:val="24"/>
          <w:szCs w:val="24"/>
          <w:lang w:val="en-US"/>
        </w:rPr>
        <w:t xml:space="preserve"> &gt; 0.004). In a multivariate analysis ADV treatment significantly predicts renal dysfunction </w:t>
      </w:r>
      <w:r w:rsidR="0097500D">
        <w:rPr>
          <w:rFonts w:ascii="Book Antiqua" w:hAnsi="Book Antiqua" w:hint="eastAsia"/>
          <w:sz w:val="24"/>
          <w:szCs w:val="24"/>
          <w:lang w:val="en-US" w:eastAsia="zh-CN"/>
        </w:rPr>
        <w:t>[</w:t>
      </w:r>
      <w:r w:rsidR="00B04831" w:rsidRPr="00841D2D">
        <w:rPr>
          <w:rFonts w:ascii="Book Antiqua" w:hAnsi="Book Antiqua"/>
          <w:sz w:val="24"/>
          <w:szCs w:val="24"/>
          <w:lang w:val="en-US"/>
        </w:rPr>
        <w:t xml:space="preserve">hazard ratio </w:t>
      </w:r>
      <w:r w:rsidR="0097500D">
        <w:rPr>
          <w:rFonts w:ascii="Book Antiqua" w:hAnsi="Book Antiqua" w:hint="eastAsia"/>
          <w:sz w:val="24"/>
          <w:szCs w:val="24"/>
          <w:lang w:val="en-US" w:eastAsia="zh-CN"/>
        </w:rPr>
        <w:t>(</w:t>
      </w:r>
      <w:r w:rsidR="00B04831" w:rsidRPr="00841D2D">
        <w:rPr>
          <w:rFonts w:ascii="Book Antiqua" w:hAnsi="Book Antiqua"/>
          <w:sz w:val="24"/>
          <w:szCs w:val="24"/>
          <w:lang w:val="en-US"/>
        </w:rPr>
        <w:t>HR</w:t>
      </w:r>
      <w:r w:rsidR="0097500D">
        <w:rPr>
          <w:rFonts w:ascii="Book Antiqua" w:hAnsi="Book Antiqua" w:hint="eastAsia"/>
          <w:sz w:val="24"/>
          <w:szCs w:val="24"/>
          <w:lang w:val="en-US" w:eastAsia="zh-CN"/>
        </w:rPr>
        <w:t>)</w:t>
      </w:r>
      <w:r w:rsidR="00B04831" w:rsidRPr="00841D2D">
        <w:rPr>
          <w:rFonts w:ascii="Book Antiqua" w:hAnsi="Book Antiqua"/>
          <w:sz w:val="24"/>
          <w:szCs w:val="24"/>
          <w:lang w:val="en-US"/>
        </w:rPr>
        <w:t xml:space="preserve"> 3.94, </w:t>
      </w:r>
      <w:r w:rsidR="0097500D" w:rsidRPr="0097500D">
        <w:rPr>
          <w:rFonts w:ascii="Book Antiqua" w:hAnsi="Book Antiqua"/>
          <w:i/>
          <w:sz w:val="24"/>
          <w:szCs w:val="24"/>
          <w:lang w:val="en-US"/>
        </w:rPr>
        <w:t>P</w:t>
      </w:r>
      <w:r w:rsidR="00B04831" w:rsidRPr="00841D2D">
        <w:rPr>
          <w:rFonts w:ascii="Book Antiqua" w:hAnsi="Book Antiqua"/>
          <w:sz w:val="24"/>
          <w:szCs w:val="24"/>
          <w:lang w:val="en-US"/>
        </w:rPr>
        <w:t xml:space="preserve"> = 0.03</w:t>
      </w:r>
      <w:r w:rsidR="0097500D">
        <w:rPr>
          <w:rFonts w:ascii="Book Antiqua" w:hAnsi="Book Antiqua" w:hint="eastAsia"/>
          <w:sz w:val="24"/>
          <w:szCs w:val="24"/>
          <w:lang w:val="en-US" w:eastAsia="zh-CN"/>
        </w:rPr>
        <w:t>]</w:t>
      </w:r>
      <w:r w:rsidR="00B04831" w:rsidRPr="00841D2D">
        <w:rPr>
          <w:rFonts w:ascii="Book Antiqua" w:hAnsi="Book Antiqua"/>
          <w:sz w:val="24"/>
          <w:szCs w:val="24"/>
          <w:lang w:val="en-US"/>
        </w:rPr>
        <w:t>. In the same analysis, age &gt;</w:t>
      </w:r>
      <w:r w:rsidR="0097500D">
        <w:rPr>
          <w:rFonts w:ascii="Book Antiqua" w:hAnsi="Book Antiqua" w:hint="eastAsia"/>
          <w:sz w:val="24"/>
          <w:szCs w:val="24"/>
          <w:lang w:val="en-US" w:eastAsia="zh-CN"/>
        </w:rPr>
        <w:t xml:space="preserve"> </w:t>
      </w:r>
      <w:r w:rsidR="00B04831" w:rsidRPr="00841D2D">
        <w:rPr>
          <w:rFonts w:ascii="Book Antiqua" w:hAnsi="Book Antiqua"/>
          <w:sz w:val="24"/>
          <w:szCs w:val="24"/>
          <w:lang w:val="en-US"/>
        </w:rPr>
        <w:t xml:space="preserve">50 years (HR 3.49, p = 0.087), baseline mild renal dysfunction (HR 4.49, </w:t>
      </w:r>
      <w:r w:rsidR="0097500D" w:rsidRPr="0097500D">
        <w:rPr>
          <w:rFonts w:ascii="Book Antiqua" w:hAnsi="Book Antiqua"/>
          <w:i/>
          <w:sz w:val="24"/>
          <w:szCs w:val="24"/>
          <w:lang w:val="en-US"/>
        </w:rPr>
        <w:t>P</w:t>
      </w:r>
      <w:r w:rsidR="00B04831" w:rsidRPr="00841D2D">
        <w:rPr>
          <w:rFonts w:ascii="Book Antiqua" w:hAnsi="Book Antiqua"/>
          <w:sz w:val="24"/>
          <w:szCs w:val="24"/>
          <w:lang w:val="en-US"/>
        </w:rPr>
        <w:t xml:space="preserve"> = 0.073), and hypertension and/or diabetes mellitus (HR 2.36, </w:t>
      </w:r>
      <w:r w:rsidR="0097500D" w:rsidRPr="0097500D">
        <w:rPr>
          <w:rFonts w:ascii="Book Antiqua" w:hAnsi="Book Antiqua"/>
          <w:i/>
          <w:sz w:val="24"/>
          <w:szCs w:val="24"/>
          <w:lang w:val="en-US"/>
        </w:rPr>
        <w:t>P</w:t>
      </w:r>
      <w:r w:rsidR="00B04831" w:rsidRPr="00841D2D">
        <w:rPr>
          <w:rFonts w:ascii="Book Antiqua" w:hAnsi="Book Antiqua"/>
          <w:sz w:val="24"/>
          <w:szCs w:val="24"/>
          <w:lang w:val="en-US"/>
        </w:rPr>
        <w:t xml:space="preserve"> = 0.074) were not significant predictors</w:t>
      </w:r>
      <w:r w:rsidR="00765323"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1</w:t>
      </w:r>
      <w:r w:rsidR="006A34F3" w:rsidRPr="00841D2D">
        <w:rPr>
          <w:rFonts w:ascii="Book Antiqua" w:hAnsi="Book Antiqua"/>
          <w:sz w:val="24"/>
          <w:szCs w:val="24"/>
          <w:vertAlign w:val="superscript"/>
          <w:lang w:val="en-US"/>
        </w:rPr>
        <w:t>]</w:t>
      </w:r>
      <w:r w:rsidR="006A34F3" w:rsidRPr="00841D2D">
        <w:rPr>
          <w:rFonts w:ascii="Book Antiqua" w:hAnsi="Book Antiqua"/>
          <w:sz w:val="24"/>
          <w:szCs w:val="24"/>
          <w:lang w:val="en-US"/>
        </w:rPr>
        <w:t xml:space="preserve">. </w:t>
      </w:r>
      <w:r w:rsidR="007043DA" w:rsidRPr="00841D2D">
        <w:rPr>
          <w:rFonts w:ascii="Book Antiqua" w:hAnsi="Book Antiqua"/>
          <w:sz w:val="24"/>
          <w:szCs w:val="24"/>
          <w:lang w:val="en-US"/>
        </w:rPr>
        <w:t>In a retrospective study, 687 patients receiving ADV monotherapy (18.2%) or in combination with LAM (81.8%) for 1 year or more were enrolled to evaluate the incidence and r</w:t>
      </w:r>
      <w:r w:rsidR="0097500D">
        <w:rPr>
          <w:rFonts w:ascii="Book Antiqua" w:hAnsi="Book Antiqua"/>
          <w:sz w:val="24"/>
          <w:szCs w:val="24"/>
          <w:lang w:val="en-US"/>
        </w:rPr>
        <w:t>isk factors of renal impairment</w:t>
      </w:r>
      <w:r w:rsidR="00706E8F"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2</w:t>
      </w:r>
      <w:r w:rsidR="00706E8F" w:rsidRPr="00841D2D">
        <w:rPr>
          <w:rFonts w:ascii="Book Antiqua" w:hAnsi="Book Antiqua"/>
          <w:sz w:val="24"/>
          <w:szCs w:val="24"/>
          <w:vertAlign w:val="superscript"/>
          <w:lang w:val="en-US"/>
        </w:rPr>
        <w:t>]</w:t>
      </w:r>
      <w:r w:rsidR="00706E8F" w:rsidRPr="00841D2D">
        <w:rPr>
          <w:rFonts w:ascii="Book Antiqua" w:hAnsi="Book Antiqua"/>
          <w:sz w:val="24"/>
          <w:szCs w:val="24"/>
          <w:lang w:val="en-US"/>
        </w:rPr>
        <w:t xml:space="preserve">. </w:t>
      </w:r>
      <w:r w:rsidR="007043DA" w:rsidRPr="00841D2D">
        <w:rPr>
          <w:rFonts w:ascii="Book Antiqua" w:hAnsi="Book Antiqua"/>
          <w:sz w:val="24"/>
          <w:szCs w:val="24"/>
          <w:lang w:val="en-US"/>
        </w:rPr>
        <w:t>Renal dysfunction was defined as mild (20</w:t>
      </w:r>
      <w:r w:rsidR="0097500D">
        <w:rPr>
          <w:rFonts w:ascii="Book Antiqua" w:hAnsi="Book Antiqua" w:hint="eastAsia"/>
          <w:sz w:val="24"/>
          <w:szCs w:val="24"/>
          <w:lang w:val="en-US" w:eastAsia="zh-CN"/>
        </w:rPr>
        <w:t>%</w:t>
      </w:r>
      <w:r w:rsidR="007043DA" w:rsidRPr="00841D2D">
        <w:rPr>
          <w:rFonts w:ascii="Book Antiqua" w:hAnsi="Book Antiqua"/>
          <w:sz w:val="24"/>
          <w:szCs w:val="24"/>
          <w:lang w:val="en-US"/>
        </w:rPr>
        <w:t>-30% reduction in eGFR), moderate (30</w:t>
      </w:r>
      <w:r w:rsidR="0097500D">
        <w:rPr>
          <w:rFonts w:ascii="Book Antiqua" w:hAnsi="Book Antiqua" w:hint="eastAsia"/>
          <w:sz w:val="24"/>
          <w:szCs w:val="24"/>
          <w:lang w:val="en-US" w:eastAsia="zh-CN"/>
        </w:rPr>
        <w:t>%</w:t>
      </w:r>
      <w:r w:rsidR="007043DA" w:rsidRPr="00841D2D">
        <w:rPr>
          <w:rFonts w:ascii="Book Antiqua" w:hAnsi="Book Antiqua"/>
          <w:sz w:val="24"/>
          <w:szCs w:val="24"/>
          <w:lang w:val="en-US"/>
        </w:rPr>
        <w:t>-50%), or severe (more than 50%). Patients were treated for a median of 27 mo, 10.5% (</w:t>
      </w:r>
      <w:r w:rsidR="007043DA" w:rsidRPr="0097500D">
        <w:rPr>
          <w:rFonts w:ascii="Book Antiqua" w:hAnsi="Book Antiqua"/>
          <w:i/>
          <w:sz w:val="24"/>
          <w:szCs w:val="24"/>
          <w:lang w:val="en-US"/>
        </w:rPr>
        <w:t>n</w:t>
      </w:r>
      <w:r w:rsidR="0097500D">
        <w:rPr>
          <w:rFonts w:ascii="Book Antiqua" w:hAnsi="Book Antiqua" w:hint="eastAsia"/>
          <w:sz w:val="24"/>
          <w:szCs w:val="24"/>
          <w:lang w:val="en-US" w:eastAsia="zh-CN"/>
        </w:rPr>
        <w:t xml:space="preserve"> </w:t>
      </w:r>
      <w:r w:rsidR="007043DA" w:rsidRPr="00841D2D">
        <w:rPr>
          <w:rFonts w:ascii="Book Antiqua" w:hAnsi="Book Antiqua"/>
          <w:sz w:val="24"/>
          <w:szCs w:val="24"/>
          <w:lang w:val="en-US"/>
        </w:rPr>
        <w:t>=</w:t>
      </w:r>
      <w:r w:rsidR="0097500D">
        <w:rPr>
          <w:rFonts w:ascii="Book Antiqua" w:hAnsi="Book Antiqua" w:hint="eastAsia"/>
          <w:sz w:val="24"/>
          <w:szCs w:val="24"/>
          <w:lang w:val="en-US" w:eastAsia="zh-CN"/>
        </w:rPr>
        <w:t xml:space="preserve"> </w:t>
      </w:r>
      <w:r w:rsidR="007043DA" w:rsidRPr="00841D2D">
        <w:rPr>
          <w:rFonts w:ascii="Book Antiqua" w:hAnsi="Book Antiqua"/>
          <w:sz w:val="24"/>
          <w:szCs w:val="24"/>
          <w:lang w:val="en-US"/>
        </w:rPr>
        <w:t>72) developed renal dysfunction being mild in 77.8% of patients, moderate in 20.8% of patients, and severe in only 1 patient. The cumulative incidence of renal dysfunction at 1, 3, and 5 years was 2.6%, 14.8%, and 34.7%, respectively. ADV dose was modified in 7 patients and it was discontinued in 3 patients; after thes</w:t>
      </w:r>
      <w:r w:rsidR="0097500D">
        <w:rPr>
          <w:rFonts w:ascii="Book Antiqua" w:hAnsi="Book Antiqua"/>
          <w:sz w:val="24"/>
          <w:szCs w:val="24"/>
          <w:lang w:val="en-US"/>
        </w:rPr>
        <w:t>e changes, eGFR remained stable</w:t>
      </w:r>
      <w:r w:rsidR="00765323"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2</w:t>
      </w:r>
      <w:r w:rsidR="00706E8F" w:rsidRPr="00841D2D">
        <w:rPr>
          <w:rFonts w:ascii="Book Antiqua" w:hAnsi="Book Antiqua"/>
          <w:sz w:val="24"/>
          <w:szCs w:val="24"/>
          <w:vertAlign w:val="superscript"/>
          <w:lang w:val="en-US"/>
        </w:rPr>
        <w:t>]</w:t>
      </w:r>
      <w:r w:rsidR="00706E8F" w:rsidRPr="00841D2D">
        <w:rPr>
          <w:rFonts w:ascii="Book Antiqua" w:hAnsi="Book Antiqua"/>
          <w:sz w:val="24"/>
          <w:szCs w:val="24"/>
          <w:lang w:val="en-US"/>
        </w:rPr>
        <w:t xml:space="preserve">. </w:t>
      </w:r>
      <w:r w:rsidR="003F1CF7" w:rsidRPr="00841D2D">
        <w:rPr>
          <w:rFonts w:ascii="Book Antiqua" w:hAnsi="Book Antiqua"/>
          <w:sz w:val="24"/>
          <w:szCs w:val="24"/>
          <w:lang w:val="en-US"/>
        </w:rPr>
        <w:t>In 271 ADV treated patients, after 6 years of treatment GFR ≤</w:t>
      </w:r>
      <w:r w:rsidR="0097500D">
        <w:rPr>
          <w:rFonts w:ascii="Book Antiqua" w:hAnsi="Book Antiqua" w:hint="eastAsia"/>
          <w:sz w:val="24"/>
          <w:szCs w:val="24"/>
          <w:lang w:val="en-US" w:eastAsia="zh-CN"/>
        </w:rPr>
        <w:t xml:space="preserve"> </w:t>
      </w:r>
      <w:r w:rsidR="003F1CF7" w:rsidRPr="00841D2D">
        <w:rPr>
          <w:rFonts w:ascii="Book Antiqua" w:hAnsi="Book Antiqua"/>
          <w:sz w:val="24"/>
          <w:szCs w:val="24"/>
          <w:lang w:val="en-US"/>
        </w:rPr>
        <w:t>60 mL/min incidence was 38.3% and after 5 years, serum creatinine increased ≥</w:t>
      </w:r>
      <w:r w:rsidR="0097500D">
        <w:rPr>
          <w:rFonts w:ascii="Book Antiqua" w:hAnsi="Book Antiqua" w:hint="eastAsia"/>
          <w:sz w:val="24"/>
          <w:szCs w:val="24"/>
          <w:lang w:val="en-US" w:eastAsia="zh-CN"/>
        </w:rPr>
        <w:t xml:space="preserve"> </w:t>
      </w:r>
      <w:r w:rsidR="003F1CF7" w:rsidRPr="00841D2D">
        <w:rPr>
          <w:rFonts w:ascii="Book Antiqua" w:hAnsi="Book Antiqua"/>
          <w:sz w:val="24"/>
          <w:szCs w:val="24"/>
          <w:lang w:val="en-US"/>
        </w:rPr>
        <w:t xml:space="preserve">0.5 mg/dL in 21.48%. </w:t>
      </w:r>
      <w:r w:rsidR="0097500D" w:rsidRPr="00841D2D">
        <w:rPr>
          <w:rFonts w:ascii="Book Antiqua" w:hAnsi="Book Antiqua"/>
          <w:sz w:val="24"/>
          <w:szCs w:val="24"/>
          <w:lang w:val="en-US"/>
        </w:rPr>
        <w:t>S</w:t>
      </w:r>
      <w:r w:rsidR="003F1CF7" w:rsidRPr="00841D2D">
        <w:rPr>
          <w:rFonts w:ascii="Book Antiqua" w:hAnsi="Book Antiqua"/>
          <w:sz w:val="24"/>
          <w:szCs w:val="24"/>
          <w:lang w:val="en-US"/>
        </w:rPr>
        <w:t>witching ADV to other NUC or reducing its dose was associated with reversal of renal dysfunction in almost all patients; there were no differences between the two approaches (p = 0.737)</w:t>
      </w:r>
      <w:r w:rsidR="00765323"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3</w:t>
      </w:r>
      <w:r w:rsidR="005D4062" w:rsidRPr="00841D2D">
        <w:rPr>
          <w:rFonts w:ascii="Book Antiqua" w:hAnsi="Book Antiqua"/>
          <w:sz w:val="24"/>
          <w:szCs w:val="24"/>
          <w:vertAlign w:val="superscript"/>
          <w:lang w:val="en-US"/>
        </w:rPr>
        <w:t>]</w:t>
      </w:r>
      <w:r w:rsidR="005D4062" w:rsidRPr="00841D2D">
        <w:rPr>
          <w:rFonts w:ascii="Book Antiqua" w:hAnsi="Book Antiqua"/>
          <w:sz w:val="24"/>
          <w:szCs w:val="24"/>
          <w:lang w:val="en-US"/>
        </w:rPr>
        <w:t xml:space="preserve">. </w:t>
      </w:r>
      <w:r w:rsidR="003F1CF7" w:rsidRPr="00841D2D">
        <w:rPr>
          <w:rFonts w:ascii="Book Antiqua" w:hAnsi="Book Antiqua"/>
          <w:sz w:val="24"/>
          <w:szCs w:val="24"/>
          <w:lang w:val="en-US"/>
        </w:rPr>
        <w:t xml:space="preserve">On the contrary, a study including 46 HBeAg negative LAM-R patients treated with ADV add on for up to 90 mo found no impact on renal function when compared with a matched control group of </w:t>
      </w:r>
      <w:r w:rsidR="0097500D">
        <w:rPr>
          <w:rFonts w:ascii="Book Antiqua" w:hAnsi="Book Antiqua"/>
          <w:sz w:val="24"/>
          <w:szCs w:val="24"/>
          <w:lang w:val="en-US"/>
        </w:rPr>
        <w:t>untreated inactive HBV carriers</w:t>
      </w:r>
      <w:r w:rsidR="008F2A78"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4</w:t>
      </w:r>
      <w:r w:rsidR="00C5771B" w:rsidRPr="00841D2D">
        <w:rPr>
          <w:rFonts w:ascii="Book Antiqua" w:hAnsi="Book Antiqua"/>
          <w:sz w:val="24"/>
          <w:szCs w:val="24"/>
          <w:vertAlign w:val="superscript"/>
          <w:lang w:val="en-US"/>
        </w:rPr>
        <w:t>]</w:t>
      </w:r>
      <w:r w:rsidR="005D4062" w:rsidRPr="00841D2D">
        <w:rPr>
          <w:rFonts w:ascii="Book Antiqua" w:hAnsi="Book Antiqua"/>
          <w:sz w:val="24"/>
          <w:szCs w:val="24"/>
          <w:lang w:val="en-US"/>
        </w:rPr>
        <w:t>.</w:t>
      </w:r>
      <w:r w:rsidR="00C5771B" w:rsidRPr="00841D2D">
        <w:rPr>
          <w:rFonts w:ascii="Book Antiqua" w:hAnsi="Book Antiqua"/>
          <w:sz w:val="24"/>
          <w:szCs w:val="24"/>
          <w:lang w:val="en-US"/>
        </w:rPr>
        <w:t xml:space="preserve">  </w:t>
      </w:r>
    </w:p>
    <w:p w:rsidR="00A148DF" w:rsidRPr="00841D2D" w:rsidRDefault="00A148DF"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The number of patients treated with ADV in the RT setting is smaller than in the general population. In this subgroup, ADV treatment may also impact on renal function. A significant decrease of estimated GFR and an increase in serum creatinine from 1.42 (± 0.39) to 1.6 (± 0.36) mg/d</w:t>
      </w:r>
      <w:r w:rsidR="0097500D" w:rsidRPr="00841D2D">
        <w:rPr>
          <w:rFonts w:ascii="Book Antiqua" w:hAnsi="Book Antiqua"/>
          <w:sz w:val="24"/>
          <w:szCs w:val="24"/>
          <w:lang w:val="en-US"/>
        </w:rPr>
        <w:t>L</w:t>
      </w:r>
      <w:r w:rsidRPr="00841D2D">
        <w:rPr>
          <w:rFonts w:ascii="Book Antiqua" w:hAnsi="Book Antiqua"/>
          <w:sz w:val="24"/>
          <w:szCs w:val="24"/>
          <w:lang w:val="en-US"/>
        </w:rPr>
        <w:t>, (</w:t>
      </w:r>
      <w:r w:rsidR="0097500D" w:rsidRPr="0097500D">
        <w:rPr>
          <w:rFonts w:ascii="Book Antiqua" w:hAnsi="Book Antiqua"/>
          <w:i/>
          <w:sz w:val="24"/>
          <w:szCs w:val="24"/>
          <w:lang w:val="en-US"/>
        </w:rPr>
        <w:t>P</w:t>
      </w:r>
      <w:r w:rsidRPr="00841D2D">
        <w:rPr>
          <w:rFonts w:ascii="Book Antiqua" w:hAnsi="Book Antiqua"/>
          <w:sz w:val="24"/>
          <w:szCs w:val="24"/>
          <w:lang w:val="en-US"/>
        </w:rPr>
        <w:t xml:space="preserve"> = 0.02) was found in 11 patie</w:t>
      </w:r>
      <w:r w:rsidR="0097500D">
        <w:rPr>
          <w:rFonts w:ascii="Book Antiqua" w:hAnsi="Book Antiqua"/>
          <w:sz w:val="24"/>
          <w:szCs w:val="24"/>
          <w:lang w:val="en-US"/>
        </w:rPr>
        <w:t>nts treated for 2 or more years</w:t>
      </w:r>
      <w:r w:rsidRPr="00841D2D">
        <w:rPr>
          <w:rFonts w:ascii="Book Antiqua" w:hAnsi="Book Antiqua"/>
          <w:sz w:val="24"/>
          <w:szCs w:val="24"/>
          <w:vertAlign w:val="superscript"/>
          <w:lang w:val="en-US"/>
        </w:rPr>
        <w:t>[37]</w:t>
      </w:r>
      <w:r w:rsidRPr="00841D2D">
        <w:rPr>
          <w:rFonts w:ascii="Book Antiqua" w:hAnsi="Book Antiqua"/>
          <w:sz w:val="24"/>
          <w:szCs w:val="24"/>
          <w:lang w:val="en-US"/>
        </w:rPr>
        <w:t>. It was also associated with an increase in proteinuria, changes in renal tubular parameters and changes in phospho-calcic metabolism</w:t>
      </w:r>
      <w:r w:rsidR="0019042D" w:rsidRPr="00841D2D">
        <w:rPr>
          <w:rFonts w:ascii="Book Antiqua" w:hAnsi="Book Antiqua"/>
          <w:sz w:val="24"/>
          <w:szCs w:val="24"/>
          <w:vertAlign w:val="superscript"/>
          <w:lang w:val="en-US"/>
        </w:rPr>
        <w:t>[37]</w:t>
      </w:r>
      <w:r w:rsidR="0019042D" w:rsidRPr="00841D2D">
        <w:rPr>
          <w:rFonts w:ascii="Book Antiqua" w:hAnsi="Book Antiqua"/>
          <w:sz w:val="24"/>
          <w:szCs w:val="24"/>
          <w:lang w:val="en-US"/>
        </w:rPr>
        <w:t xml:space="preserve">. Another study including also 11 LAM-R patients did not </w:t>
      </w:r>
      <w:r w:rsidR="009F102A" w:rsidRPr="00841D2D">
        <w:rPr>
          <w:rFonts w:ascii="Book Antiqua" w:hAnsi="Book Antiqua"/>
          <w:sz w:val="24"/>
          <w:szCs w:val="24"/>
          <w:lang w:val="en-US"/>
        </w:rPr>
        <w:t xml:space="preserve">show </w:t>
      </w:r>
      <w:r w:rsidR="0019042D" w:rsidRPr="00841D2D">
        <w:rPr>
          <w:rFonts w:ascii="Book Antiqua" w:hAnsi="Book Antiqua"/>
          <w:sz w:val="24"/>
          <w:szCs w:val="24"/>
          <w:lang w:val="en-US"/>
        </w:rPr>
        <w:t>significant changes in median creatinine clearance (CLcr), in serum phosphorus or in urinary protein level from baseline to the last available visit</w:t>
      </w:r>
      <w:r w:rsidR="00326E9A" w:rsidRPr="00841D2D">
        <w:rPr>
          <w:rFonts w:ascii="Book Antiqua" w:hAnsi="Book Antiqua"/>
          <w:sz w:val="24"/>
          <w:szCs w:val="24"/>
          <w:lang w:val="en-US"/>
        </w:rPr>
        <w:t xml:space="preserve">. </w:t>
      </w:r>
      <w:r w:rsidR="009B6308" w:rsidRPr="00841D2D">
        <w:rPr>
          <w:rFonts w:ascii="Book Antiqua" w:hAnsi="Book Antiqua"/>
          <w:sz w:val="24"/>
          <w:szCs w:val="24"/>
          <w:lang w:val="en-US"/>
        </w:rPr>
        <w:t>However, after a median treatment time of 11 mo (range: 9</w:t>
      </w:r>
      <w:r w:rsidR="0097500D">
        <w:rPr>
          <w:rFonts w:ascii="Book Antiqua" w:hAnsi="Book Antiqua" w:hint="eastAsia"/>
          <w:sz w:val="24"/>
          <w:szCs w:val="24"/>
          <w:lang w:val="en-US" w:eastAsia="zh-CN"/>
        </w:rPr>
        <w:t>-</w:t>
      </w:r>
      <w:r w:rsidR="009B6308" w:rsidRPr="00841D2D">
        <w:rPr>
          <w:rFonts w:ascii="Book Antiqua" w:hAnsi="Book Antiqua"/>
          <w:sz w:val="24"/>
          <w:szCs w:val="24"/>
          <w:lang w:val="en-US"/>
        </w:rPr>
        <w:t>42), 54% (</w:t>
      </w:r>
      <w:r w:rsidR="009B6308" w:rsidRPr="0097500D">
        <w:rPr>
          <w:rFonts w:ascii="Book Antiqua" w:hAnsi="Book Antiqua"/>
          <w:i/>
          <w:sz w:val="24"/>
          <w:szCs w:val="24"/>
          <w:lang w:val="en-US"/>
        </w:rPr>
        <w:t>n</w:t>
      </w:r>
      <w:r w:rsidR="009B6308" w:rsidRPr="00841D2D">
        <w:rPr>
          <w:rFonts w:ascii="Book Antiqua" w:hAnsi="Book Antiqua"/>
          <w:sz w:val="24"/>
          <w:szCs w:val="24"/>
          <w:lang w:val="en-US"/>
        </w:rPr>
        <w:t xml:space="preserve"> = 6) of patients reduce ADV dose due to renal dysfunction. Renal function remained stable (</w:t>
      </w:r>
      <w:r w:rsidR="009B6308" w:rsidRPr="0097500D">
        <w:rPr>
          <w:rFonts w:ascii="Book Antiqua" w:hAnsi="Book Antiqua"/>
          <w:i/>
          <w:sz w:val="24"/>
          <w:szCs w:val="24"/>
          <w:lang w:val="en-US"/>
        </w:rPr>
        <w:t>n</w:t>
      </w:r>
      <w:r w:rsidR="009B6308" w:rsidRPr="00841D2D">
        <w:rPr>
          <w:rFonts w:ascii="Book Antiqua" w:hAnsi="Book Antiqua"/>
          <w:sz w:val="24"/>
          <w:szCs w:val="24"/>
          <w:lang w:val="en-US"/>
        </w:rPr>
        <w:t xml:space="preserve"> = 5) or improved (</w:t>
      </w:r>
      <w:r w:rsidR="009B6308" w:rsidRPr="0097500D">
        <w:rPr>
          <w:rFonts w:ascii="Book Antiqua" w:hAnsi="Book Antiqua"/>
          <w:i/>
          <w:sz w:val="24"/>
          <w:szCs w:val="24"/>
          <w:lang w:val="en-US"/>
        </w:rPr>
        <w:t>n</w:t>
      </w:r>
      <w:r w:rsidR="009B6308" w:rsidRPr="00841D2D">
        <w:rPr>
          <w:rFonts w:ascii="Book Antiqua" w:hAnsi="Book Antiqua"/>
          <w:sz w:val="24"/>
          <w:szCs w:val="24"/>
          <w:lang w:val="en-US"/>
        </w:rPr>
        <w:t xml:space="preserve"> = 1) 22 mo (range: 6–34) after dose modification</w:t>
      </w:r>
      <w:r w:rsidR="0019042D" w:rsidRPr="00841D2D">
        <w:rPr>
          <w:rFonts w:ascii="Book Antiqua" w:hAnsi="Book Antiqua"/>
          <w:sz w:val="24"/>
          <w:szCs w:val="24"/>
          <w:vertAlign w:val="superscript"/>
          <w:lang w:val="en-US"/>
        </w:rPr>
        <w:t>[38]</w:t>
      </w:r>
      <w:r w:rsidR="0019042D" w:rsidRPr="00841D2D">
        <w:rPr>
          <w:rFonts w:ascii="Book Antiqua" w:hAnsi="Book Antiqua"/>
          <w:sz w:val="24"/>
          <w:szCs w:val="24"/>
          <w:lang w:val="en-US"/>
        </w:rPr>
        <w:t>.</w:t>
      </w:r>
      <w:r w:rsidR="00326E9A" w:rsidRPr="00841D2D">
        <w:rPr>
          <w:rFonts w:ascii="Book Antiqua" w:hAnsi="Book Antiqua"/>
          <w:sz w:val="24"/>
          <w:szCs w:val="24"/>
          <w:lang w:val="en-US"/>
        </w:rPr>
        <w:t xml:space="preserve"> </w:t>
      </w:r>
    </w:p>
    <w:p w:rsidR="005D4062" w:rsidRPr="00841D2D" w:rsidRDefault="00F562FD"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Fourteen patients were treated with long term ADV (5 monotherapy, and 9 ADV + LAM combination therapy).</w:t>
      </w:r>
      <w:r w:rsidR="003B4605" w:rsidRPr="00841D2D">
        <w:rPr>
          <w:rFonts w:ascii="Book Antiqua" w:hAnsi="Book Antiqua"/>
          <w:sz w:val="24"/>
          <w:szCs w:val="24"/>
          <w:lang w:val="en-US"/>
        </w:rPr>
        <w:t xml:space="preserve"> </w:t>
      </w:r>
      <w:r w:rsidR="009D5429" w:rsidRPr="00841D2D">
        <w:rPr>
          <w:rFonts w:ascii="Book Antiqua" w:hAnsi="Book Antiqua"/>
          <w:sz w:val="24"/>
          <w:szCs w:val="24"/>
          <w:lang w:val="en-US"/>
        </w:rPr>
        <w:t>Eight patients (57.2%) developed impaired renal function; it was mild (5</w:t>
      </w:r>
      <w:r w:rsidR="0097500D">
        <w:rPr>
          <w:rFonts w:ascii="Book Antiqua" w:hAnsi="Book Antiqua" w:hint="eastAsia"/>
          <w:sz w:val="24"/>
          <w:szCs w:val="24"/>
          <w:lang w:val="en-US" w:eastAsia="zh-CN"/>
        </w:rPr>
        <w:t>%</w:t>
      </w:r>
      <w:r w:rsidR="009D5429" w:rsidRPr="00841D2D">
        <w:rPr>
          <w:rFonts w:ascii="Book Antiqua" w:hAnsi="Book Antiqua"/>
          <w:sz w:val="24"/>
          <w:szCs w:val="24"/>
          <w:lang w:val="en-US"/>
        </w:rPr>
        <w:t>-20% reduction in the eGFR compared to baseline values) in 4, moderate (20</w:t>
      </w:r>
      <w:r w:rsidR="0097500D">
        <w:rPr>
          <w:rFonts w:ascii="Book Antiqua" w:hAnsi="Book Antiqua" w:hint="eastAsia"/>
          <w:sz w:val="24"/>
          <w:szCs w:val="24"/>
          <w:lang w:val="en-US" w:eastAsia="zh-CN"/>
        </w:rPr>
        <w:t>%</w:t>
      </w:r>
      <w:r w:rsidR="009D5429" w:rsidRPr="00841D2D">
        <w:rPr>
          <w:rFonts w:ascii="Book Antiqua" w:hAnsi="Book Antiqua"/>
          <w:sz w:val="24"/>
          <w:szCs w:val="24"/>
          <w:lang w:val="en-US"/>
        </w:rPr>
        <w:t>-30%) in 2, and severe (&gt; 30%) in the 2 remaining patients. Acute graft rejection was diagnosed by kidney biopsy in 2 of these patients. Calcineurin inhibitors nephrotoxicity was presumed in 2 of these patients and their doses were accordingly adjusted. ADV dose was reduced in 3 patients due to severe renal dysfunction (eGFR 30-50 mL/min) and it was discontinued in 1 patient (eGFR &lt; 20 mL/min) without impact on virological response</w:t>
      </w:r>
      <w:r w:rsidR="003B4605" w:rsidRPr="00841D2D">
        <w:rPr>
          <w:rFonts w:ascii="Book Antiqua" w:hAnsi="Book Antiqua"/>
          <w:sz w:val="24"/>
          <w:szCs w:val="24"/>
          <w:vertAlign w:val="superscript"/>
          <w:lang w:val="en-US"/>
        </w:rPr>
        <w:t>[39]</w:t>
      </w:r>
      <w:r w:rsidRPr="00841D2D">
        <w:rPr>
          <w:rFonts w:ascii="Book Antiqua" w:hAnsi="Book Antiqua"/>
          <w:sz w:val="24"/>
          <w:szCs w:val="24"/>
          <w:lang w:val="en-US"/>
        </w:rPr>
        <w:t>.</w:t>
      </w:r>
      <w:r w:rsidR="003B4605" w:rsidRPr="00841D2D">
        <w:rPr>
          <w:rFonts w:ascii="Book Antiqua" w:hAnsi="Book Antiqua"/>
          <w:sz w:val="24"/>
          <w:szCs w:val="24"/>
          <w:lang w:val="en-US"/>
        </w:rPr>
        <w:t xml:space="preserve"> </w:t>
      </w:r>
      <w:r w:rsidR="00C5771B" w:rsidRPr="00841D2D">
        <w:rPr>
          <w:rFonts w:ascii="Book Antiqua" w:hAnsi="Book Antiqua"/>
          <w:sz w:val="24"/>
          <w:szCs w:val="24"/>
          <w:lang w:val="en-US"/>
        </w:rPr>
        <w:t xml:space="preserve">Renal </w:t>
      </w:r>
      <w:r w:rsidR="009D5429" w:rsidRPr="00841D2D">
        <w:rPr>
          <w:rFonts w:ascii="Book Antiqua" w:hAnsi="Book Antiqua"/>
          <w:sz w:val="24"/>
          <w:szCs w:val="24"/>
          <w:lang w:val="en-US"/>
        </w:rPr>
        <w:t>dysfunction</w:t>
      </w:r>
      <w:r w:rsidR="00C5771B" w:rsidRPr="00841D2D">
        <w:rPr>
          <w:rFonts w:ascii="Book Antiqua" w:hAnsi="Book Antiqua"/>
          <w:sz w:val="24"/>
          <w:szCs w:val="24"/>
          <w:lang w:val="en-US"/>
        </w:rPr>
        <w:t xml:space="preserve"> in long-term ADV </w:t>
      </w:r>
      <w:r w:rsidR="009D5429" w:rsidRPr="00841D2D">
        <w:rPr>
          <w:rFonts w:ascii="Book Antiqua" w:hAnsi="Book Antiqua"/>
          <w:sz w:val="24"/>
          <w:szCs w:val="24"/>
          <w:lang w:val="en-US"/>
        </w:rPr>
        <w:t>treated patients</w:t>
      </w:r>
      <w:r w:rsidR="00C5771B" w:rsidRPr="00841D2D">
        <w:rPr>
          <w:rFonts w:ascii="Book Antiqua" w:hAnsi="Book Antiqua"/>
          <w:sz w:val="24"/>
          <w:szCs w:val="24"/>
          <w:lang w:val="en-US"/>
        </w:rPr>
        <w:t xml:space="preserve"> appears relatively frequent, but serious </w:t>
      </w:r>
      <w:r w:rsidR="009D5429" w:rsidRPr="00841D2D">
        <w:rPr>
          <w:rFonts w:ascii="Book Antiqua" w:hAnsi="Book Antiqua"/>
          <w:sz w:val="24"/>
          <w:szCs w:val="24"/>
          <w:lang w:val="en-US"/>
        </w:rPr>
        <w:t xml:space="preserve">nephrotoxicity </w:t>
      </w:r>
      <w:r w:rsidR="00C5771B" w:rsidRPr="00841D2D">
        <w:rPr>
          <w:rFonts w:ascii="Book Antiqua" w:hAnsi="Book Antiqua"/>
          <w:sz w:val="24"/>
          <w:szCs w:val="24"/>
          <w:lang w:val="en-US"/>
        </w:rPr>
        <w:t xml:space="preserve">is </w:t>
      </w:r>
      <w:r w:rsidR="009D5429" w:rsidRPr="00841D2D">
        <w:rPr>
          <w:rFonts w:ascii="Book Antiqua" w:hAnsi="Book Antiqua"/>
          <w:sz w:val="24"/>
          <w:szCs w:val="24"/>
          <w:lang w:val="en-US"/>
        </w:rPr>
        <w:t>unusual.</w:t>
      </w:r>
      <w:r w:rsidR="00C5771B" w:rsidRPr="00841D2D">
        <w:rPr>
          <w:rFonts w:ascii="Book Antiqua" w:hAnsi="Book Antiqua"/>
          <w:sz w:val="24"/>
          <w:szCs w:val="24"/>
          <w:lang w:val="en-US"/>
        </w:rPr>
        <w:t xml:space="preserve"> Renal dysfunction can be safely managed by dose reduction or switching to another NUC without impact on virological response. </w:t>
      </w:r>
    </w:p>
    <w:p w:rsidR="008C5041" w:rsidRPr="00841D2D" w:rsidRDefault="008F2A78" w:rsidP="0097500D">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 xml:space="preserve">In TDF treated patients, also a nucleotide analogue, renal dysfunction is less frequently seen than with ADV. </w:t>
      </w:r>
      <w:r w:rsidR="009D5429" w:rsidRPr="00841D2D">
        <w:rPr>
          <w:rFonts w:ascii="Book Antiqua" w:hAnsi="Book Antiqua"/>
          <w:sz w:val="24"/>
          <w:szCs w:val="24"/>
          <w:lang w:val="en-US"/>
        </w:rPr>
        <w:t>The majority</w:t>
      </w:r>
      <w:r w:rsidRPr="00841D2D">
        <w:rPr>
          <w:rFonts w:ascii="Book Antiqua" w:hAnsi="Book Antiqua"/>
          <w:sz w:val="24"/>
          <w:szCs w:val="24"/>
          <w:lang w:val="en-US"/>
        </w:rPr>
        <w:t xml:space="preserve"> of previous</w:t>
      </w:r>
      <w:r w:rsidR="009D5429" w:rsidRPr="00841D2D">
        <w:rPr>
          <w:rFonts w:ascii="Book Antiqua" w:hAnsi="Book Antiqua"/>
          <w:sz w:val="24"/>
          <w:szCs w:val="24"/>
          <w:lang w:val="en-US"/>
        </w:rPr>
        <w:t>ly</w:t>
      </w:r>
      <w:r w:rsidRPr="00841D2D">
        <w:rPr>
          <w:rFonts w:ascii="Book Antiqua" w:hAnsi="Book Antiqua"/>
          <w:sz w:val="24"/>
          <w:szCs w:val="24"/>
          <w:lang w:val="en-US"/>
        </w:rPr>
        <w:t xml:space="preserve"> nephrotoxic events</w:t>
      </w:r>
      <w:r w:rsidR="009D5429" w:rsidRPr="00841D2D">
        <w:rPr>
          <w:rFonts w:ascii="Book Antiqua" w:hAnsi="Book Antiqua"/>
          <w:sz w:val="24"/>
          <w:szCs w:val="24"/>
          <w:lang w:val="en-US"/>
        </w:rPr>
        <w:t xml:space="preserve"> reported</w:t>
      </w:r>
      <w:r w:rsidRPr="00841D2D">
        <w:rPr>
          <w:rFonts w:ascii="Book Antiqua" w:hAnsi="Book Antiqua"/>
          <w:sz w:val="24"/>
          <w:szCs w:val="24"/>
          <w:lang w:val="en-US"/>
        </w:rPr>
        <w:t xml:space="preserve">, which were similar to those </w:t>
      </w:r>
      <w:r w:rsidR="009D5429" w:rsidRPr="00841D2D">
        <w:rPr>
          <w:rFonts w:ascii="Book Antiqua" w:hAnsi="Book Antiqua"/>
          <w:sz w:val="24"/>
          <w:szCs w:val="24"/>
          <w:lang w:val="en-US"/>
        </w:rPr>
        <w:t>report</w:t>
      </w:r>
      <w:r w:rsidRPr="00841D2D">
        <w:rPr>
          <w:rFonts w:ascii="Book Antiqua" w:hAnsi="Book Antiqua"/>
          <w:sz w:val="24"/>
          <w:szCs w:val="24"/>
          <w:lang w:val="en-US"/>
        </w:rPr>
        <w:t xml:space="preserve">ed </w:t>
      </w:r>
      <w:r w:rsidR="009D5429" w:rsidRPr="00841D2D">
        <w:rPr>
          <w:rFonts w:ascii="Book Antiqua" w:hAnsi="Book Antiqua"/>
          <w:sz w:val="24"/>
          <w:szCs w:val="24"/>
          <w:lang w:val="en-US"/>
        </w:rPr>
        <w:t>under</w:t>
      </w:r>
      <w:r w:rsidRPr="00841D2D">
        <w:rPr>
          <w:rFonts w:ascii="Book Antiqua" w:hAnsi="Book Antiqua"/>
          <w:sz w:val="24"/>
          <w:szCs w:val="24"/>
          <w:lang w:val="en-US"/>
        </w:rPr>
        <w:t xml:space="preserve"> ADV </w:t>
      </w:r>
      <w:r w:rsidR="009D5429" w:rsidRPr="00841D2D">
        <w:rPr>
          <w:rFonts w:ascii="Book Antiqua" w:hAnsi="Book Antiqua"/>
          <w:sz w:val="24"/>
          <w:szCs w:val="24"/>
          <w:lang w:val="en-US"/>
        </w:rPr>
        <w:t>treatment</w:t>
      </w:r>
      <w:r w:rsidR="0097500D">
        <w:rPr>
          <w:rFonts w:ascii="Book Antiqua" w:hAnsi="Book Antiqua"/>
          <w:sz w:val="24"/>
          <w:szCs w:val="24"/>
          <w:lang w:val="en-US"/>
        </w:rPr>
        <w:t>, were in HIV infected patients</w:t>
      </w:r>
      <w:r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8</w:t>
      </w:r>
      <w:r w:rsidRPr="00841D2D">
        <w:rPr>
          <w:rFonts w:ascii="Book Antiqua" w:hAnsi="Book Antiqua"/>
          <w:sz w:val="24"/>
          <w:szCs w:val="24"/>
          <w:vertAlign w:val="superscript"/>
          <w:lang w:val="en-US"/>
        </w:rPr>
        <w:t>]</w:t>
      </w:r>
      <w:r w:rsidRPr="00841D2D">
        <w:rPr>
          <w:rFonts w:ascii="Book Antiqua" w:hAnsi="Book Antiqua"/>
          <w:sz w:val="24"/>
          <w:szCs w:val="24"/>
          <w:lang w:val="en-US"/>
        </w:rPr>
        <w:t xml:space="preserve">. </w:t>
      </w:r>
      <w:r w:rsidR="00CF6D15" w:rsidRPr="00841D2D">
        <w:rPr>
          <w:rFonts w:ascii="Book Antiqua" w:hAnsi="Book Antiqua"/>
          <w:sz w:val="24"/>
          <w:szCs w:val="24"/>
          <w:lang w:val="en-US"/>
        </w:rPr>
        <w:t>There is recently presented data about TDF impact on renal function in HBV mono-infected patients</w:t>
      </w:r>
      <w:r w:rsidR="00FE423D"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5</w:t>
      </w:r>
      <w:r w:rsidR="00FE423D"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0</w:t>
      </w:r>
      <w:r w:rsidR="001F0918" w:rsidRPr="00841D2D">
        <w:rPr>
          <w:rFonts w:ascii="Book Antiqua" w:hAnsi="Book Antiqua"/>
          <w:sz w:val="24"/>
          <w:szCs w:val="24"/>
          <w:vertAlign w:val="superscript"/>
          <w:lang w:val="en-US"/>
        </w:rPr>
        <w:t>]</w:t>
      </w:r>
      <w:r w:rsidR="00CF6D15" w:rsidRPr="00841D2D">
        <w:rPr>
          <w:rFonts w:ascii="Book Antiqua" w:hAnsi="Book Antiqua"/>
          <w:sz w:val="24"/>
          <w:szCs w:val="24"/>
          <w:lang w:val="en-US"/>
        </w:rPr>
        <w:t xml:space="preserve">. </w:t>
      </w:r>
      <w:r w:rsidR="00BA4947" w:rsidRPr="00841D2D">
        <w:rPr>
          <w:rFonts w:ascii="Book Antiqua" w:hAnsi="Book Antiqua"/>
          <w:sz w:val="24"/>
          <w:szCs w:val="24"/>
          <w:lang w:val="en-US"/>
        </w:rPr>
        <w:t xml:space="preserve">A study evaluated the pooled results from three global randomized clinical trials including 426 </w:t>
      </w:r>
      <w:r w:rsidR="009D5429" w:rsidRPr="00841D2D">
        <w:rPr>
          <w:rFonts w:ascii="Book Antiqua" w:hAnsi="Book Antiqua"/>
          <w:sz w:val="24"/>
          <w:szCs w:val="24"/>
          <w:lang w:val="en-US"/>
        </w:rPr>
        <w:t xml:space="preserve">TDF treated </w:t>
      </w:r>
      <w:r w:rsidR="00BA4947" w:rsidRPr="00841D2D">
        <w:rPr>
          <w:rFonts w:ascii="Book Antiqua" w:hAnsi="Book Antiqua"/>
          <w:sz w:val="24"/>
          <w:szCs w:val="24"/>
          <w:lang w:val="en-US"/>
        </w:rPr>
        <w:t xml:space="preserve">patients </w:t>
      </w:r>
      <w:r w:rsidR="009D5429" w:rsidRPr="00841D2D">
        <w:rPr>
          <w:rFonts w:ascii="Book Antiqua" w:hAnsi="Book Antiqua"/>
          <w:sz w:val="24"/>
          <w:szCs w:val="24"/>
          <w:lang w:val="en-US"/>
        </w:rPr>
        <w:t>for</w:t>
      </w:r>
      <w:r w:rsidR="0097500D">
        <w:rPr>
          <w:rFonts w:ascii="Book Antiqua" w:hAnsi="Book Antiqua"/>
          <w:sz w:val="24"/>
          <w:szCs w:val="24"/>
          <w:lang w:val="en-US"/>
        </w:rPr>
        <w:t xml:space="preserve"> 144 wk</w:t>
      </w:r>
      <w:r w:rsidR="00BA4947" w:rsidRPr="00841D2D">
        <w:rPr>
          <w:rFonts w:ascii="Book Antiqua" w:hAnsi="Book Antiqua"/>
          <w:sz w:val="24"/>
          <w:szCs w:val="24"/>
          <w:lang w:val="en-US"/>
        </w:rPr>
        <w:t xml:space="preserve">. </w:t>
      </w:r>
      <w:r w:rsidR="0075635D" w:rsidRPr="00841D2D">
        <w:rPr>
          <w:rFonts w:ascii="Book Antiqua" w:hAnsi="Book Antiqua"/>
          <w:sz w:val="24"/>
          <w:szCs w:val="24"/>
          <w:lang w:val="en-US"/>
        </w:rPr>
        <w:t>In this study 0.5% (2/426) of patients developed a creatinine increase ≥ 0.5 mg/dL from pre-treatment values and none  showed an eGFR decrease &lt; 50 mL/min, showing a minimal impact of TDF on renal function even in high risk patients such as cirrhotics or diabetics</w:t>
      </w:r>
      <w:r w:rsidR="00BA4947"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5</w:t>
      </w:r>
      <w:r w:rsidR="00BA4947" w:rsidRPr="00841D2D">
        <w:rPr>
          <w:rFonts w:ascii="Book Antiqua" w:hAnsi="Book Antiqua"/>
          <w:sz w:val="24"/>
          <w:szCs w:val="24"/>
          <w:vertAlign w:val="superscript"/>
          <w:lang w:val="en-US"/>
        </w:rPr>
        <w:t>]</w:t>
      </w:r>
      <w:r w:rsidRPr="00841D2D">
        <w:rPr>
          <w:rFonts w:ascii="Book Antiqua" w:hAnsi="Book Antiqua"/>
          <w:sz w:val="24"/>
          <w:szCs w:val="24"/>
          <w:lang w:val="en-US"/>
        </w:rPr>
        <w:t xml:space="preserve">. </w:t>
      </w:r>
      <w:r w:rsidR="0075635D" w:rsidRPr="00841D2D">
        <w:rPr>
          <w:rFonts w:ascii="Book Antiqua" w:hAnsi="Book Antiqua"/>
          <w:sz w:val="24"/>
          <w:szCs w:val="24"/>
          <w:lang w:val="en-US"/>
        </w:rPr>
        <w:t>Moreover, when 74 patients with mild renal dysfunction (CrCl 50</w:t>
      </w:r>
      <w:r w:rsidR="0097500D">
        <w:rPr>
          <w:rFonts w:ascii="Book Antiqua" w:hAnsi="Book Antiqua" w:hint="eastAsia"/>
          <w:sz w:val="24"/>
          <w:szCs w:val="24"/>
          <w:lang w:val="en-US" w:eastAsia="zh-CN"/>
        </w:rPr>
        <w:t>-</w:t>
      </w:r>
      <w:r w:rsidR="0075635D" w:rsidRPr="00841D2D">
        <w:rPr>
          <w:rFonts w:ascii="Book Antiqua" w:hAnsi="Book Antiqua"/>
          <w:sz w:val="24"/>
          <w:szCs w:val="24"/>
          <w:lang w:val="en-US"/>
        </w:rPr>
        <w:t>80 mL/min) were compared with 206 with normal renal function (CrCl ≥ 80 mL/min), none of them showed signs of renal impairment defined as a creatinine increase</w:t>
      </w:r>
      <w:r w:rsidR="0097500D">
        <w:rPr>
          <w:rFonts w:ascii="Book Antiqua" w:hAnsi="Book Antiqua" w:hint="eastAsia"/>
          <w:sz w:val="24"/>
          <w:szCs w:val="24"/>
          <w:lang w:val="en-US" w:eastAsia="zh-CN"/>
        </w:rPr>
        <w:t xml:space="preserve"> </w:t>
      </w:r>
      <w:r w:rsidR="0075635D" w:rsidRPr="00841D2D">
        <w:rPr>
          <w:rFonts w:ascii="Book Antiqua" w:hAnsi="Book Antiqua"/>
          <w:sz w:val="24"/>
          <w:szCs w:val="24"/>
          <w:lang w:val="en-US"/>
        </w:rPr>
        <w:t>≥</w:t>
      </w:r>
      <w:r w:rsidR="0097500D">
        <w:rPr>
          <w:rFonts w:ascii="Book Antiqua" w:hAnsi="Book Antiqua" w:hint="eastAsia"/>
          <w:sz w:val="24"/>
          <w:szCs w:val="24"/>
          <w:lang w:val="en-US" w:eastAsia="zh-CN"/>
        </w:rPr>
        <w:t xml:space="preserve"> </w:t>
      </w:r>
      <w:r w:rsidR="0097500D">
        <w:rPr>
          <w:rFonts w:ascii="Book Antiqua" w:hAnsi="Book Antiqua"/>
          <w:sz w:val="24"/>
          <w:szCs w:val="24"/>
          <w:lang w:val="en-US"/>
        </w:rPr>
        <w:t>0.5 mg/dL after 96 wk</w:t>
      </w:r>
      <w:r w:rsidR="0075635D" w:rsidRPr="00841D2D">
        <w:rPr>
          <w:rFonts w:ascii="Book Antiqua" w:hAnsi="Book Antiqua"/>
          <w:sz w:val="24"/>
          <w:szCs w:val="24"/>
          <w:lang w:val="en-US"/>
        </w:rPr>
        <w:t xml:space="preserve"> of therapy</w:t>
      </w:r>
      <w:r w:rsidR="00BA4947"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6</w:t>
      </w:r>
      <w:r w:rsidR="00BA4947" w:rsidRPr="00841D2D">
        <w:rPr>
          <w:rFonts w:ascii="Book Antiqua" w:hAnsi="Book Antiqua"/>
          <w:sz w:val="24"/>
          <w:szCs w:val="24"/>
          <w:vertAlign w:val="superscript"/>
          <w:lang w:val="en-US"/>
        </w:rPr>
        <w:t>]</w:t>
      </w:r>
      <w:r w:rsidR="0006659F" w:rsidRPr="00841D2D">
        <w:rPr>
          <w:rFonts w:ascii="Book Antiqua" w:hAnsi="Book Antiqua"/>
          <w:sz w:val="24"/>
          <w:szCs w:val="24"/>
          <w:lang w:val="en-US"/>
        </w:rPr>
        <w:t>.</w:t>
      </w:r>
      <w:r w:rsidRPr="00841D2D">
        <w:rPr>
          <w:rFonts w:ascii="Book Antiqua" w:hAnsi="Book Antiqua"/>
          <w:sz w:val="24"/>
          <w:szCs w:val="24"/>
          <w:lang w:val="en-US"/>
        </w:rPr>
        <w:t xml:space="preserve"> </w:t>
      </w:r>
      <w:r w:rsidR="005A79CD" w:rsidRPr="00841D2D">
        <w:rPr>
          <w:rFonts w:ascii="Book Antiqua" w:hAnsi="Book Antiqua"/>
          <w:sz w:val="24"/>
          <w:szCs w:val="24"/>
          <w:lang w:val="en-US"/>
        </w:rPr>
        <w:t>Among 441</w:t>
      </w:r>
      <w:r w:rsidRPr="00841D2D">
        <w:rPr>
          <w:rFonts w:ascii="Book Antiqua" w:hAnsi="Book Antiqua"/>
          <w:sz w:val="24"/>
          <w:szCs w:val="24"/>
          <w:lang w:val="en-US"/>
        </w:rPr>
        <w:t xml:space="preserve"> patients </w:t>
      </w:r>
      <w:r w:rsidR="005A79CD" w:rsidRPr="00841D2D">
        <w:rPr>
          <w:rFonts w:ascii="Book Antiqua" w:hAnsi="Book Antiqua"/>
          <w:sz w:val="24"/>
          <w:szCs w:val="24"/>
          <w:lang w:val="en-US"/>
        </w:rPr>
        <w:t xml:space="preserve">from the Vireal cohort, 114 </w:t>
      </w:r>
      <w:r w:rsidRPr="00841D2D">
        <w:rPr>
          <w:rFonts w:ascii="Book Antiqua" w:hAnsi="Book Antiqua"/>
          <w:sz w:val="24"/>
          <w:szCs w:val="24"/>
          <w:lang w:val="en-US"/>
        </w:rPr>
        <w:t>with baseline</w:t>
      </w:r>
      <w:r w:rsidR="005A79CD" w:rsidRPr="00841D2D">
        <w:rPr>
          <w:rFonts w:ascii="Book Antiqua" w:hAnsi="Book Antiqua"/>
          <w:sz w:val="24"/>
          <w:szCs w:val="24"/>
          <w:lang w:val="en-US"/>
        </w:rPr>
        <w:t xml:space="preserve"> </w:t>
      </w:r>
      <w:r w:rsidR="0075635D" w:rsidRPr="00841D2D">
        <w:rPr>
          <w:rFonts w:ascii="Book Antiqua" w:hAnsi="Book Antiqua"/>
          <w:sz w:val="24"/>
          <w:szCs w:val="24"/>
          <w:lang w:val="en-US"/>
        </w:rPr>
        <w:t>impaired renal function</w:t>
      </w:r>
      <w:r w:rsidRPr="00841D2D">
        <w:rPr>
          <w:rFonts w:ascii="Book Antiqua" w:hAnsi="Book Antiqua"/>
          <w:sz w:val="24"/>
          <w:szCs w:val="24"/>
          <w:lang w:val="en-US"/>
        </w:rPr>
        <w:t xml:space="preserve"> </w:t>
      </w:r>
      <w:r w:rsidR="005A79CD" w:rsidRPr="00841D2D">
        <w:rPr>
          <w:rFonts w:ascii="Book Antiqua" w:hAnsi="Book Antiqua"/>
          <w:sz w:val="24"/>
          <w:szCs w:val="24"/>
          <w:lang w:val="en-US"/>
        </w:rPr>
        <w:t>were</w:t>
      </w:r>
      <w:r w:rsidRPr="00841D2D">
        <w:rPr>
          <w:rFonts w:ascii="Book Antiqua" w:hAnsi="Book Antiqua"/>
          <w:sz w:val="24"/>
          <w:szCs w:val="24"/>
          <w:lang w:val="en-US"/>
        </w:rPr>
        <w:t xml:space="preserve"> </w:t>
      </w:r>
      <w:r w:rsidR="005A79CD" w:rsidRPr="00841D2D">
        <w:rPr>
          <w:rFonts w:ascii="Book Antiqua" w:hAnsi="Book Antiqua"/>
          <w:sz w:val="24"/>
          <w:szCs w:val="24"/>
          <w:lang w:val="en-US"/>
        </w:rPr>
        <w:t>classified</w:t>
      </w:r>
      <w:r w:rsidRPr="00841D2D">
        <w:rPr>
          <w:rFonts w:ascii="Book Antiqua" w:hAnsi="Book Antiqua"/>
          <w:sz w:val="24"/>
          <w:szCs w:val="24"/>
          <w:lang w:val="en-US"/>
        </w:rPr>
        <w:t xml:space="preserve"> as stage 2 (GFR 60–89 mL/min), stage 3 (GFR 30–59 mL/min),</w:t>
      </w:r>
      <w:r w:rsidR="005A79CD" w:rsidRPr="00841D2D">
        <w:rPr>
          <w:rFonts w:ascii="Book Antiqua" w:hAnsi="Book Antiqua"/>
          <w:sz w:val="24"/>
          <w:szCs w:val="24"/>
          <w:lang w:val="en-US"/>
        </w:rPr>
        <w:t xml:space="preserve"> stage 4 (GFR 15</w:t>
      </w:r>
      <w:r w:rsidR="0097500D">
        <w:rPr>
          <w:rFonts w:ascii="Book Antiqua" w:hAnsi="Book Antiqua" w:hint="eastAsia"/>
          <w:sz w:val="24"/>
          <w:szCs w:val="24"/>
          <w:lang w:val="en-US" w:eastAsia="zh-CN"/>
        </w:rPr>
        <w:t>-</w:t>
      </w:r>
      <w:r w:rsidR="005A79CD" w:rsidRPr="00841D2D">
        <w:rPr>
          <w:rFonts w:ascii="Book Antiqua" w:hAnsi="Book Antiqua"/>
          <w:sz w:val="24"/>
          <w:szCs w:val="24"/>
          <w:lang w:val="en-US"/>
        </w:rPr>
        <w:t>29 mL/min) and stage 5 (GFR &lt;</w:t>
      </w:r>
      <w:r w:rsidR="0097500D">
        <w:rPr>
          <w:rFonts w:ascii="Book Antiqua" w:hAnsi="Book Antiqua" w:hint="eastAsia"/>
          <w:sz w:val="24"/>
          <w:szCs w:val="24"/>
          <w:lang w:val="en-US" w:eastAsia="zh-CN"/>
        </w:rPr>
        <w:t xml:space="preserve"> </w:t>
      </w:r>
      <w:r w:rsidR="005A79CD" w:rsidRPr="00841D2D">
        <w:rPr>
          <w:rFonts w:ascii="Book Antiqua" w:hAnsi="Book Antiqua"/>
          <w:sz w:val="24"/>
          <w:szCs w:val="24"/>
          <w:lang w:val="en-US"/>
        </w:rPr>
        <w:t xml:space="preserve">15 mL/min or dialysis) and included in the study. </w:t>
      </w:r>
      <w:r w:rsidR="00B82CCF" w:rsidRPr="00841D2D">
        <w:rPr>
          <w:rFonts w:ascii="Book Antiqua" w:hAnsi="Book Antiqua"/>
          <w:sz w:val="24"/>
          <w:szCs w:val="24"/>
          <w:lang w:val="en-US"/>
        </w:rPr>
        <w:t>When compar</w:t>
      </w:r>
      <w:r w:rsidR="00FF104C">
        <w:rPr>
          <w:rFonts w:ascii="Book Antiqua" w:hAnsi="Book Antiqua"/>
          <w:sz w:val="24"/>
          <w:szCs w:val="24"/>
          <w:lang w:val="en-US"/>
        </w:rPr>
        <w:t>ed from baseline, after 48 wk</w:t>
      </w:r>
      <w:r w:rsidR="00B82CCF" w:rsidRPr="00841D2D">
        <w:rPr>
          <w:rFonts w:ascii="Book Antiqua" w:hAnsi="Book Antiqua"/>
          <w:sz w:val="24"/>
          <w:szCs w:val="24"/>
          <w:lang w:val="en-US"/>
        </w:rPr>
        <w:t xml:space="preserve"> of treatment, TDF did not significantly modified GFR in patients with stage</w:t>
      </w:r>
      <w:r w:rsidR="0097500D">
        <w:rPr>
          <w:rFonts w:ascii="Book Antiqua" w:hAnsi="Book Antiqua"/>
          <w:sz w:val="24"/>
          <w:szCs w:val="24"/>
          <w:lang w:val="en-US"/>
        </w:rPr>
        <w:t xml:space="preserve"> 2 (76 </w:t>
      </w:r>
      <w:r w:rsidR="0097500D" w:rsidRPr="00841D2D">
        <w:rPr>
          <w:rFonts w:ascii="Book Antiqua" w:hAnsi="Book Antiqua"/>
          <w:sz w:val="24"/>
          <w:szCs w:val="24"/>
          <w:lang w:val="en-US"/>
        </w:rPr>
        <w:t>mL/min</w:t>
      </w:r>
      <w:r w:rsidR="0097500D" w:rsidRPr="0097500D">
        <w:rPr>
          <w:rFonts w:ascii="Book Antiqua" w:hAnsi="Book Antiqua"/>
          <w:i/>
          <w:sz w:val="24"/>
          <w:szCs w:val="24"/>
          <w:lang w:val="en-US"/>
        </w:rPr>
        <w:t xml:space="preserve"> vs</w:t>
      </w:r>
      <w:r w:rsidR="0097500D">
        <w:rPr>
          <w:rFonts w:ascii="Book Antiqua" w:hAnsi="Book Antiqua"/>
          <w:sz w:val="24"/>
          <w:szCs w:val="24"/>
          <w:lang w:val="en-US"/>
        </w:rPr>
        <w:t xml:space="preserve"> 77 mL/min), 3 (50 </w:t>
      </w:r>
      <w:r w:rsidR="0097500D" w:rsidRPr="00841D2D">
        <w:rPr>
          <w:rFonts w:ascii="Book Antiqua" w:hAnsi="Book Antiqua"/>
          <w:sz w:val="24"/>
          <w:szCs w:val="24"/>
          <w:lang w:val="en-US"/>
        </w:rPr>
        <w:t>mL/min</w:t>
      </w:r>
      <w:r w:rsidR="0097500D" w:rsidRPr="0097500D">
        <w:rPr>
          <w:rFonts w:ascii="Book Antiqua" w:hAnsi="Book Antiqua"/>
          <w:i/>
          <w:sz w:val="24"/>
          <w:szCs w:val="24"/>
          <w:lang w:val="en-US"/>
        </w:rPr>
        <w:t xml:space="preserve"> vs</w:t>
      </w:r>
      <w:r w:rsidR="0097500D">
        <w:rPr>
          <w:rFonts w:ascii="Book Antiqua" w:hAnsi="Book Antiqua"/>
          <w:sz w:val="24"/>
          <w:szCs w:val="24"/>
          <w:lang w:val="en-US"/>
        </w:rPr>
        <w:t xml:space="preserve"> 49 mL/min), or 4 (23 </w:t>
      </w:r>
      <w:r w:rsidR="0097500D" w:rsidRPr="00841D2D">
        <w:rPr>
          <w:rFonts w:ascii="Book Antiqua" w:hAnsi="Book Antiqua"/>
          <w:sz w:val="24"/>
          <w:szCs w:val="24"/>
          <w:lang w:val="en-US"/>
        </w:rPr>
        <w:t>mL/min</w:t>
      </w:r>
      <w:r w:rsidR="0097500D" w:rsidRPr="0097500D">
        <w:rPr>
          <w:rFonts w:ascii="Book Antiqua" w:hAnsi="Book Antiqua"/>
          <w:i/>
          <w:sz w:val="24"/>
          <w:szCs w:val="24"/>
          <w:lang w:val="en-US"/>
        </w:rPr>
        <w:t xml:space="preserve"> vs</w:t>
      </w:r>
      <w:r w:rsidR="00B82CCF" w:rsidRPr="00841D2D">
        <w:rPr>
          <w:rFonts w:ascii="Book Antiqua" w:hAnsi="Book Antiqua"/>
          <w:sz w:val="24"/>
          <w:szCs w:val="24"/>
          <w:lang w:val="en-US"/>
        </w:rPr>
        <w:t xml:space="preserve"> 23 mL/min) renal failure</w:t>
      </w:r>
      <w:r w:rsidR="00DF1E91"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7</w:t>
      </w:r>
      <w:r w:rsidR="00DF1E91" w:rsidRPr="00841D2D">
        <w:rPr>
          <w:rFonts w:ascii="Book Antiqua" w:hAnsi="Book Antiqua"/>
          <w:sz w:val="24"/>
          <w:szCs w:val="24"/>
          <w:vertAlign w:val="superscript"/>
          <w:lang w:val="en-US"/>
        </w:rPr>
        <w:t>]</w:t>
      </w:r>
      <w:r w:rsidR="00DF1E91" w:rsidRPr="00841D2D">
        <w:rPr>
          <w:rFonts w:ascii="Book Antiqua" w:hAnsi="Book Antiqua"/>
          <w:sz w:val="24"/>
          <w:szCs w:val="24"/>
          <w:lang w:val="en-US"/>
        </w:rPr>
        <w:t xml:space="preserve">. Two RT recipients were included and had </w:t>
      </w:r>
      <w:r w:rsidR="00B82CCF" w:rsidRPr="00841D2D">
        <w:rPr>
          <w:rFonts w:ascii="Book Antiqua" w:hAnsi="Book Antiqua"/>
          <w:sz w:val="24"/>
          <w:szCs w:val="24"/>
          <w:lang w:val="en-US"/>
        </w:rPr>
        <w:t>a stable</w:t>
      </w:r>
      <w:r w:rsidR="00DF1E91" w:rsidRPr="00841D2D">
        <w:rPr>
          <w:rFonts w:ascii="Book Antiqua" w:hAnsi="Book Antiqua"/>
          <w:sz w:val="24"/>
          <w:szCs w:val="24"/>
          <w:lang w:val="en-US"/>
        </w:rPr>
        <w:t xml:space="preserve"> GFR </w:t>
      </w:r>
      <w:r w:rsidR="00B82CCF" w:rsidRPr="00841D2D">
        <w:rPr>
          <w:rFonts w:ascii="Book Antiqua" w:hAnsi="Book Antiqua"/>
          <w:sz w:val="24"/>
          <w:szCs w:val="24"/>
          <w:lang w:val="en-US"/>
        </w:rPr>
        <w:t>under therapy</w:t>
      </w:r>
      <w:r w:rsidR="00DF1E91" w:rsidRPr="00841D2D">
        <w:rPr>
          <w:rFonts w:ascii="Book Antiqua" w:hAnsi="Book Antiqua"/>
          <w:sz w:val="24"/>
          <w:szCs w:val="24"/>
          <w:lang w:val="en-US"/>
        </w:rPr>
        <w:t xml:space="preserve">. </w:t>
      </w:r>
      <w:r w:rsidR="00B82CCF" w:rsidRPr="00841D2D">
        <w:rPr>
          <w:rFonts w:ascii="Book Antiqua" w:hAnsi="Book Antiqua"/>
          <w:sz w:val="24"/>
          <w:szCs w:val="24"/>
          <w:lang w:val="en-US"/>
        </w:rPr>
        <w:t xml:space="preserve">Nine patients needed to adjust </w:t>
      </w:r>
      <w:r w:rsidR="00DF1E91" w:rsidRPr="00841D2D">
        <w:rPr>
          <w:rFonts w:ascii="Book Antiqua" w:hAnsi="Book Antiqua"/>
          <w:sz w:val="24"/>
          <w:szCs w:val="24"/>
          <w:lang w:val="en-US"/>
        </w:rPr>
        <w:t xml:space="preserve">TDF dose. </w:t>
      </w:r>
      <w:r w:rsidR="00B82CCF" w:rsidRPr="00841D2D">
        <w:rPr>
          <w:rFonts w:ascii="Book Antiqua" w:hAnsi="Book Antiqua"/>
          <w:sz w:val="24"/>
          <w:szCs w:val="24"/>
          <w:lang w:val="en-US"/>
        </w:rPr>
        <w:t>At the end of the study, 67% had a stable renal failure stage, 22% had an improvement and 11% had a decreased in it</w:t>
      </w:r>
      <w:r w:rsidR="00DF1E91"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7</w:t>
      </w:r>
      <w:r w:rsidR="00DF1E91" w:rsidRPr="00841D2D">
        <w:rPr>
          <w:rFonts w:ascii="Book Antiqua" w:hAnsi="Book Antiqua"/>
          <w:sz w:val="24"/>
          <w:szCs w:val="24"/>
          <w:vertAlign w:val="superscript"/>
          <w:lang w:val="en-US"/>
        </w:rPr>
        <w:t>]</w:t>
      </w:r>
      <w:r w:rsidR="00DF1E91" w:rsidRPr="00841D2D">
        <w:rPr>
          <w:rFonts w:ascii="Book Antiqua" w:hAnsi="Book Antiqua"/>
          <w:sz w:val="24"/>
          <w:szCs w:val="24"/>
          <w:lang w:val="en-US"/>
        </w:rPr>
        <w:t>.</w:t>
      </w:r>
      <w:r w:rsidR="00FE0BAE" w:rsidRPr="00841D2D">
        <w:rPr>
          <w:rFonts w:ascii="Book Antiqua" w:hAnsi="Book Antiqua"/>
          <w:sz w:val="24"/>
          <w:szCs w:val="24"/>
          <w:lang w:val="en-US"/>
        </w:rPr>
        <w:t xml:space="preserve"> </w:t>
      </w:r>
      <w:r w:rsidR="00A06FEF" w:rsidRPr="00841D2D">
        <w:rPr>
          <w:rFonts w:ascii="Book Antiqua" w:hAnsi="Book Antiqua"/>
          <w:sz w:val="24"/>
          <w:szCs w:val="24"/>
          <w:lang w:val="en-US"/>
        </w:rPr>
        <w:t>In a retrospective study, 195 refractory patients were treated with TDF monotherapy for 30</w:t>
      </w:r>
      <w:r w:rsidR="0097500D">
        <w:rPr>
          <w:rFonts w:ascii="Book Antiqua" w:hAnsi="Book Antiqua" w:hint="eastAsia"/>
          <w:sz w:val="24"/>
          <w:szCs w:val="24"/>
          <w:lang w:val="en-US" w:eastAsia="zh-CN"/>
        </w:rPr>
        <w:t xml:space="preserve"> </w:t>
      </w:r>
      <w:r w:rsidR="00A06FEF" w:rsidRPr="00841D2D">
        <w:rPr>
          <w:rFonts w:ascii="Book Antiqua" w:hAnsi="Book Antiqua"/>
          <w:sz w:val="24"/>
          <w:szCs w:val="24"/>
          <w:lang w:val="en-US"/>
        </w:rPr>
        <w:t>±</w:t>
      </w:r>
      <w:r w:rsidR="0097500D">
        <w:rPr>
          <w:rFonts w:ascii="Book Antiqua" w:hAnsi="Book Antiqua" w:hint="eastAsia"/>
          <w:sz w:val="24"/>
          <w:szCs w:val="24"/>
          <w:lang w:val="en-US" w:eastAsia="zh-CN"/>
        </w:rPr>
        <w:t xml:space="preserve"> </w:t>
      </w:r>
      <w:r w:rsidR="00A06FEF" w:rsidRPr="00841D2D">
        <w:rPr>
          <w:rFonts w:ascii="Book Antiqua" w:hAnsi="Book Antiqua"/>
          <w:sz w:val="24"/>
          <w:szCs w:val="24"/>
          <w:lang w:val="en-US"/>
        </w:rPr>
        <w:t xml:space="preserve">16 (6-90) mo were compared with 89 asymptomatic </w:t>
      </w:r>
      <w:r w:rsidR="0097500D">
        <w:rPr>
          <w:rFonts w:ascii="Book Antiqua" w:hAnsi="Book Antiqua"/>
          <w:sz w:val="24"/>
          <w:szCs w:val="24"/>
          <w:lang w:val="en-US"/>
        </w:rPr>
        <w:t>HBsAg carriers</w:t>
      </w:r>
      <w:r w:rsidR="00A06FEF"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8</w:t>
      </w:r>
      <w:r w:rsidR="00A06FEF" w:rsidRPr="00841D2D">
        <w:rPr>
          <w:rFonts w:ascii="Book Antiqua" w:hAnsi="Book Antiqua"/>
          <w:sz w:val="24"/>
          <w:szCs w:val="24"/>
          <w:vertAlign w:val="superscript"/>
          <w:lang w:val="en-US"/>
        </w:rPr>
        <w:t>]</w:t>
      </w:r>
      <w:r w:rsidR="00A06FEF" w:rsidRPr="00841D2D">
        <w:rPr>
          <w:rFonts w:ascii="Book Antiqua" w:hAnsi="Book Antiqua"/>
          <w:sz w:val="24"/>
          <w:szCs w:val="24"/>
          <w:lang w:val="en-US"/>
        </w:rPr>
        <w:t xml:space="preserve">. </w:t>
      </w:r>
      <w:r w:rsidR="0016284A">
        <w:rPr>
          <w:rFonts w:ascii="Book Antiqua" w:hAnsi="Book Antiqua"/>
          <w:sz w:val="24"/>
          <w:szCs w:val="24"/>
          <w:lang w:val="en-US"/>
        </w:rPr>
        <w:t>After 48 mo</w:t>
      </w:r>
      <w:r w:rsidR="00A06FEF" w:rsidRPr="00841D2D">
        <w:rPr>
          <w:rFonts w:ascii="Book Antiqua" w:hAnsi="Book Antiqua"/>
          <w:sz w:val="24"/>
          <w:szCs w:val="24"/>
          <w:lang w:val="en-US"/>
        </w:rPr>
        <w:t xml:space="preserve">, TDF treated patients in showed a significantly greater reduction in eGFR when compared to untreated patients </w:t>
      </w:r>
      <w:r w:rsidR="0016284A">
        <w:rPr>
          <w:rFonts w:ascii="Book Antiqua" w:hAnsi="Book Antiqua" w:hint="eastAsia"/>
          <w:sz w:val="24"/>
          <w:szCs w:val="24"/>
          <w:lang w:val="en-US" w:eastAsia="zh-CN"/>
        </w:rPr>
        <w:t>[</w:t>
      </w:r>
      <w:r w:rsidR="00A06FEF" w:rsidRPr="00841D2D">
        <w:rPr>
          <w:rFonts w:ascii="Book Antiqua" w:hAnsi="Book Antiqua"/>
          <w:sz w:val="24"/>
          <w:szCs w:val="24"/>
          <w:lang w:val="en-US"/>
        </w:rPr>
        <w:t>−16</w:t>
      </w:r>
      <w:r w:rsidR="0016284A">
        <w:rPr>
          <w:rFonts w:ascii="Book Antiqua" w:hAnsi="Book Antiqua" w:hint="eastAsia"/>
          <w:sz w:val="24"/>
          <w:szCs w:val="24"/>
          <w:lang w:val="en-US" w:eastAsia="zh-CN"/>
        </w:rPr>
        <w:t xml:space="preserve"> </w:t>
      </w:r>
      <w:r w:rsidR="00A06FEF" w:rsidRPr="00841D2D">
        <w:rPr>
          <w:rFonts w:ascii="Book Antiqua" w:hAnsi="Book Antiqua"/>
          <w:sz w:val="24"/>
          <w:szCs w:val="24"/>
          <w:lang w:val="en-US"/>
        </w:rPr>
        <w:t>±</w:t>
      </w:r>
      <w:r w:rsidR="0016284A">
        <w:rPr>
          <w:rFonts w:ascii="Book Antiqua" w:hAnsi="Book Antiqua" w:hint="eastAsia"/>
          <w:sz w:val="24"/>
          <w:szCs w:val="24"/>
          <w:lang w:val="en-US" w:eastAsia="zh-CN"/>
        </w:rPr>
        <w:t xml:space="preserve"> </w:t>
      </w:r>
      <w:r w:rsidR="00A06FEF" w:rsidRPr="00841D2D">
        <w:rPr>
          <w:rFonts w:ascii="Book Antiqua" w:hAnsi="Book Antiqua"/>
          <w:sz w:val="24"/>
          <w:szCs w:val="24"/>
          <w:lang w:val="en-US"/>
        </w:rPr>
        <w:t xml:space="preserve">36 </w:t>
      </w:r>
      <w:r w:rsidR="0016284A">
        <w:rPr>
          <w:rFonts w:ascii="Book Antiqua" w:hAnsi="Book Antiqua" w:hint="eastAsia"/>
          <w:sz w:val="24"/>
          <w:szCs w:val="24"/>
          <w:lang w:val="en-US" w:eastAsia="zh-CN"/>
        </w:rPr>
        <w:t>(</w:t>
      </w:r>
      <w:r w:rsidR="00A06FEF" w:rsidRPr="00841D2D">
        <w:rPr>
          <w:rFonts w:ascii="Book Antiqua" w:hAnsi="Book Antiqua"/>
          <w:sz w:val="24"/>
          <w:szCs w:val="24"/>
          <w:lang w:val="en-US"/>
        </w:rPr>
        <w:t>−48 – +23</w:t>
      </w:r>
      <w:r w:rsidR="0016284A">
        <w:rPr>
          <w:rFonts w:ascii="Book Antiqua" w:hAnsi="Book Antiqua" w:hint="eastAsia"/>
          <w:sz w:val="24"/>
          <w:szCs w:val="24"/>
          <w:lang w:val="en-US" w:eastAsia="zh-CN"/>
        </w:rPr>
        <w:t>)</w:t>
      </w:r>
      <w:r w:rsidR="00A06FEF" w:rsidRPr="00841D2D">
        <w:rPr>
          <w:rFonts w:ascii="Book Antiqua" w:hAnsi="Book Antiqua"/>
          <w:sz w:val="24"/>
          <w:szCs w:val="24"/>
          <w:lang w:val="en-US"/>
        </w:rPr>
        <w:t xml:space="preserve"> and −9.6</w:t>
      </w:r>
      <w:r w:rsidR="0016284A">
        <w:rPr>
          <w:rFonts w:ascii="Book Antiqua" w:hAnsi="Book Antiqua" w:hint="eastAsia"/>
          <w:sz w:val="24"/>
          <w:szCs w:val="24"/>
          <w:lang w:val="en-US" w:eastAsia="zh-CN"/>
        </w:rPr>
        <w:t xml:space="preserve"> </w:t>
      </w:r>
      <w:r w:rsidR="00A06FEF" w:rsidRPr="00841D2D">
        <w:rPr>
          <w:rFonts w:ascii="Book Antiqua" w:hAnsi="Book Antiqua"/>
          <w:sz w:val="24"/>
          <w:szCs w:val="24"/>
          <w:lang w:val="en-US"/>
        </w:rPr>
        <w:t>±</w:t>
      </w:r>
      <w:r w:rsidR="0016284A">
        <w:rPr>
          <w:rFonts w:ascii="Book Antiqua" w:hAnsi="Book Antiqua" w:hint="eastAsia"/>
          <w:sz w:val="24"/>
          <w:szCs w:val="24"/>
          <w:lang w:val="en-US" w:eastAsia="zh-CN"/>
        </w:rPr>
        <w:t xml:space="preserve"> </w:t>
      </w:r>
      <w:r w:rsidR="00A06FEF" w:rsidRPr="00841D2D">
        <w:rPr>
          <w:rFonts w:ascii="Book Antiqua" w:hAnsi="Book Antiqua"/>
          <w:sz w:val="24"/>
          <w:szCs w:val="24"/>
          <w:lang w:val="en-US"/>
        </w:rPr>
        <w:t xml:space="preserve">36 </w:t>
      </w:r>
      <w:r w:rsidR="0016284A">
        <w:rPr>
          <w:rFonts w:ascii="Book Antiqua" w:hAnsi="Book Antiqua" w:hint="eastAsia"/>
          <w:sz w:val="24"/>
          <w:szCs w:val="24"/>
          <w:lang w:val="en-US" w:eastAsia="zh-CN"/>
        </w:rPr>
        <w:t>(</w:t>
      </w:r>
      <w:r w:rsidR="00A06FEF" w:rsidRPr="00841D2D">
        <w:rPr>
          <w:rFonts w:ascii="Book Antiqua" w:hAnsi="Book Antiqua"/>
          <w:sz w:val="24"/>
          <w:szCs w:val="24"/>
          <w:lang w:val="en-US"/>
        </w:rPr>
        <w:t>−21 – +22</w:t>
      </w:r>
      <w:r w:rsidR="0016284A">
        <w:rPr>
          <w:rFonts w:ascii="Book Antiqua" w:hAnsi="Book Antiqua" w:hint="eastAsia"/>
          <w:sz w:val="24"/>
          <w:szCs w:val="24"/>
          <w:lang w:val="en-US" w:eastAsia="zh-CN"/>
        </w:rPr>
        <w:t xml:space="preserve">) </w:t>
      </w:r>
      <w:r w:rsidR="00A06FEF" w:rsidRPr="00841D2D">
        <w:rPr>
          <w:rFonts w:ascii="Book Antiqua" w:hAnsi="Book Antiqua"/>
          <w:sz w:val="24"/>
          <w:szCs w:val="24"/>
          <w:lang w:val="en-US"/>
        </w:rPr>
        <w:t xml:space="preserve">mL/min, respectively, </w:t>
      </w:r>
      <w:r w:rsidR="0097500D" w:rsidRPr="0097500D">
        <w:rPr>
          <w:rFonts w:ascii="Book Antiqua" w:hAnsi="Book Antiqua"/>
          <w:i/>
          <w:sz w:val="24"/>
          <w:szCs w:val="24"/>
          <w:lang w:val="en-US"/>
        </w:rPr>
        <w:t>P</w:t>
      </w:r>
      <w:r w:rsidR="00A06FEF" w:rsidRPr="00841D2D">
        <w:rPr>
          <w:rFonts w:ascii="Book Antiqua" w:hAnsi="Book Antiqua"/>
          <w:sz w:val="24"/>
          <w:szCs w:val="24"/>
          <w:lang w:val="en-US"/>
        </w:rPr>
        <w:t xml:space="preserve"> = 0.03</w:t>
      </w:r>
      <w:r w:rsidR="0016284A">
        <w:rPr>
          <w:rFonts w:ascii="Book Antiqua" w:hAnsi="Book Antiqua" w:hint="eastAsia"/>
          <w:sz w:val="24"/>
          <w:szCs w:val="24"/>
          <w:lang w:val="en-US" w:eastAsia="zh-CN"/>
        </w:rPr>
        <w:t>]</w:t>
      </w:r>
      <w:r w:rsidR="00A06FEF" w:rsidRPr="00841D2D">
        <w:rPr>
          <w:rFonts w:ascii="Book Antiqua" w:hAnsi="Book Antiqua"/>
          <w:sz w:val="24"/>
          <w:szCs w:val="24"/>
          <w:lang w:val="en-US"/>
        </w:rPr>
        <w:t>. TDF dose was reduced in only 1 patient after 15 mo of treatment due to a 0.38 mg/d</w:t>
      </w:r>
      <w:r w:rsidR="0016284A">
        <w:rPr>
          <w:rFonts w:ascii="Book Antiqua" w:hAnsi="Book Antiqua"/>
          <w:sz w:val="24"/>
          <w:szCs w:val="24"/>
          <w:lang w:val="en-US"/>
        </w:rPr>
        <w:t>L increase in creatinine levels</w:t>
      </w:r>
      <w:r w:rsidR="00FE0BAE" w:rsidRPr="00841D2D">
        <w:rPr>
          <w:rFonts w:ascii="Book Antiqua" w:hAnsi="Book Antiqua"/>
          <w:sz w:val="24"/>
          <w:szCs w:val="24"/>
          <w:vertAlign w:val="superscript"/>
          <w:lang w:val="en-US"/>
        </w:rPr>
        <w:t>[7</w:t>
      </w:r>
      <w:r w:rsidR="00FA41C5">
        <w:rPr>
          <w:rFonts w:ascii="Book Antiqua" w:hAnsi="Book Antiqua" w:hint="eastAsia"/>
          <w:sz w:val="24"/>
          <w:szCs w:val="24"/>
          <w:vertAlign w:val="superscript"/>
          <w:lang w:val="en-US" w:eastAsia="zh-CN"/>
        </w:rPr>
        <w:t>8</w:t>
      </w:r>
      <w:r w:rsidR="00FE0BAE" w:rsidRPr="00841D2D">
        <w:rPr>
          <w:rFonts w:ascii="Book Antiqua" w:hAnsi="Book Antiqua"/>
          <w:sz w:val="24"/>
          <w:szCs w:val="24"/>
          <w:vertAlign w:val="superscript"/>
          <w:lang w:val="en-US"/>
        </w:rPr>
        <w:t>]</w:t>
      </w:r>
      <w:r w:rsidR="00FE0BAE" w:rsidRPr="00841D2D">
        <w:rPr>
          <w:rFonts w:ascii="Book Antiqua" w:hAnsi="Book Antiqua"/>
          <w:sz w:val="24"/>
          <w:szCs w:val="24"/>
          <w:lang w:val="en-US"/>
        </w:rPr>
        <w:t>.</w:t>
      </w:r>
      <w:r w:rsidR="00243EB5" w:rsidRPr="00841D2D">
        <w:rPr>
          <w:rFonts w:ascii="Book Antiqua" w:hAnsi="Book Antiqua"/>
          <w:sz w:val="24"/>
          <w:szCs w:val="24"/>
          <w:lang w:val="en-US"/>
        </w:rPr>
        <w:t xml:space="preserve"> In 26 LAM-R patients treated with TDF, there were no significant </w:t>
      </w:r>
      <w:r w:rsidR="00A06FEF" w:rsidRPr="00841D2D">
        <w:rPr>
          <w:rFonts w:ascii="Book Antiqua" w:hAnsi="Book Antiqua"/>
          <w:sz w:val="24"/>
          <w:szCs w:val="24"/>
          <w:lang w:val="en-US"/>
        </w:rPr>
        <w:t>variations</w:t>
      </w:r>
      <w:r w:rsidR="00243EB5" w:rsidRPr="00841D2D">
        <w:rPr>
          <w:rFonts w:ascii="Book Antiqua" w:hAnsi="Book Antiqua"/>
          <w:sz w:val="24"/>
          <w:szCs w:val="24"/>
          <w:lang w:val="en-US"/>
        </w:rPr>
        <w:t xml:space="preserve"> in phosphatemia and GFR </w:t>
      </w:r>
      <w:r w:rsidR="00A06FEF" w:rsidRPr="00841D2D">
        <w:rPr>
          <w:rFonts w:ascii="Book Antiqua" w:hAnsi="Book Antiqua"/>
          <w:sz w:val="24"/>
          <w:szCs w:val="24"/>
          <w:lang w:val="en-US"/>
        </w:rPr>
        <w:t xml:space="preserve">from baseline </w:t>
      </w:r>
      <w:r w:rsidR="0016284A">
        <w:rPr>
          <w:rFonts w:ascii="Book Antiqua" w:hAnsi="Book Antiqua"/>
          <w:sz w:val="24"/>
          <w:szCs w:val="24"/>
          <w:lang w:val="en-US"/>
        </w:rPr>
        <w:t>after one year of treatment</w:t>
      </w:r>
      <w:r w:rsidR="00243EB5" w:rsidRPr="00841D2D">
        <w:rPr>
          <w:rFonts w:ascii="Book Antiqua" w:hAnsi="Book Antiqua"/>
          <w:sz w:val="24"/>
          <w:szCs w:val="24"/>
          <w:vertAlign w:val="superscript"/>
          <w:lang w:val="en-US"/>
        </w:rPr>
        <w:t>[</w:t>
      </w:r>
      <w:r w:rsidR="00FA41C5">
        <w:rPr>
          <w:rFonts w:ascii="Book Antiqua" w:hAnsi="Book Antiqua" w:hint="eastAsia"/>
          <w:sz w:val="24"/>
          <w:szCs w:val="24"/>
          <w:vertAlign w:val="superscript"/>
          <w:lang w:val="en-US" w:eastAsia="zh-CN"/>
        </w:rPr>
        <w:t>79</w:t>
      </w:r>
      <w:r w:rsidR="00243EB5" w:rsidRPr="00841D2D">
        <w:rPr>
          <w:rFonts w:ascii="Book Antiqua" w:hAnsi="Book Antiqua"/>
          <w:sz w:val="24"/>
          <w:szCs w:val="24"/>
          <w:vertAlign w:val="superscript"/>
          <w:lang w:val="en-US"/>
        </w:rPr>
        <w:t>]</w:t>
      </w:r>
      <w:r w:rsidR="00243EB5" w:rsidRPr="00841D2D">
        <w:rPr>
          <w:rFonts w:ascii="Book Antiqua" w:hAnsi="Book Antiqua"/>
          <w:sz w:val="24"/>
          <w:szCs w:val="24"/>
          <w:lang w:val="en-US"/>
        </w:rPr>
        <w:t xml:space="preserve">. </w:t>
      </w:r>
      <w:r w:rsidR="00A06FEF" w:rsidRPr="00841D2D">
        <w:rPr>
          <w:rFonts w:ascii="Book Antiqua" w:hAnsi="Book Antiqua"/>
          <w:sz w:val="24"/>
          <w:szCs w:val="24"/>
          <w:lang w:val="en-US"/>
        </w:rPr>
        <w:t xml:space="preserve">Even if there is no impairment on renal function, TDF may have some potential effects on the proximal tubule. </w:t>
      </w:r>
      <w:r w:rsidR="00586D7B" w:rsidRPr="00841D2D">
        <w:rPr>
          <w:rFonts w:ascii="Book Antiqua" w:hAnsi="Book Antiqua"/>
          <w:sz w:val="24"/>
          <w:szCs w:val="24"/>
          <w:lang w:val="en-US"/>
        </w:rPr>
        <w:t>In 61 TDF treated patients for a mean time of 29 mo, there were no significant change in mean GFR in the overall population but 58% of patients showed an impairment in GFR (median 8.1%, range 0.01% to 20.5%) and two patients developed an GFR to &lt; 60 m</w:t>
      </w:r>
      <w:r w:rsidR="0016284A" w:rsidRPr="00841D2D">
        <w:rPr>
          <w:rFonts w:ascii="Book Antiqua" w:hAnsi="Book Antiqua"/>
          <w:sz w:val="24"/>
          <w:szCs w:val="24"/>
          <w:lang w:val="en-US"/>
        </w:rPr>
        <w:t>L</w:t>
      </w:r>
      <w:r w:rsidR="00586D7B" w:rsidRPr="00841D2D">
        <w:rPr>
          <w:rFonts w:ascii="Book Antiqua" w:hAnsi="Book Antiqua"/>
          <w:sz w:val="24"/>
          <w:szCs w:val="24"/>
          <w:lang w:val="en-US"/>
        </w:rPr>
        <w:t>/min</w:t>
      </w:r>
      <w:r w:rsidR="00380DAB"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0</w:t>
      </w:r>
      <w:r w:rsidR="00380DAB" w:rsidRPr="00841D2D">
        <w:rPr>
          <w:rFonts w:ascii="Book Antiqua" w:hAnsi="Book Antiqua"/>
          <w:sz w:val="24"/>
          <w:szCs w:val="24"/>
          <w:vertAlign w:val="superscript"/>
          <w:lang w:val="en-US"/>
        </w:rPr>
        <w:t>]</w:t>
      </w:r>
      <w:r w:rsidR="00380DAB" w:rsidRPr="00841D2D">
        <w:rPr>
          <w:rFonts w:ascii="Book Antiqua" w:hAnsi="Book Antiqua"/>
          <w:sz w:val="24"/>
          <w:szCs w:val="24"/>
          <w:lang w:val="en-US"/>
        </w:rPr>
        <w:t xml:space="preserve">. At least one sign of proximal tubular damage appeared in 26 (42%) individuals:  </w:t>
      </w:r>
      <w:r w:rsidR="00FE423D" w:rsidRPr="00841D2D">
        <w:rPr>
          <w:rFonts w:ascii="Book Antiqua" w:hAnsi="Book Antiqua"/>
          <w:sz w:val="24"/>
          <w:szCs w:val="24"/>
          <w:lang w:val="en-US"/>
        </w:rPr>
        <w:t xml:space="preserve">glucosuria without </w:t>
      </w:r>
      <w:r w:rsidR="00C6572C" w:rsidRPr="00841D2D">
        <w:rPr>
          <w:rFonts w:ascii="Book Antiqua" w:hAnsi="Book Antiqua"/>
          <w:sz w:val="24"/>
          <w:szCs w:val="24"/>
          <w:lang w:val="en-US"/>
        </w:rPr>
        <w:t>diabetes mellitus</w:t>
      </w:r>
      <w:r w:rsidR="00FE423D" w:rsidRPr="00841D2D">
        <w:rPr>
          <w:rFonts w:ascii="Book Antiqua" w:hAnsi="Book Antiqua"/>
          <w:sz w:val="24"/>
          <w:szCs w:val="24"/>
          <w:lang w:val="en-US"/>
        </w:rPr>
        <w:t>, increased alpha1-microglobulinuria/creatinine ratio, hypophosphatemia, reduced</w:t>
      </w:r>
      <w:r w:rsidR="00380DAB" w:rsidRPr="00841D2D">
        <w:rPr>
          <w:rFonts w:ascii="Book Antiqua" w:hAnsi="Book Antiqua"/>
          <w:sz w:val="24"/>
          <w:szCs w:val="24"/>
          <w:lang w:val="en-US"/>
        </w:rPr>
        <w:t xml:space="preserve"> tubular resorption of phosphate rate and </w:t>
      </w:r>
      <w:r w:rsidR="00FE423D" w:rsidRPr="00841D2D">
        <w:rPr>
          <w:rFonts w:ascii="Book Antiqua" w:hAnsi="Book Antiqua"/>
          <w:sz w:val="24"/>
          <w:szCs w:val="24"/>
          <w:lang w:val="en-US"/>
        </w:rPr>
        <w:t>reduced</w:t>
      </w:r>
      <w:r w:rsidR="00380DAB" w:rsidRPr="00841D2D">
        <w:rPr>
          <w:rFonts w:ascii="Book Antiqua" w:hAnsi="Book Antiqua"/>
          <w:sz w:val="24"/>
          <w:szCs w:val="24"/>
          <w:lang w:val="en-US"/>
        </w:rPr>
        <w:t xml:space="preserve"> tu</w:t>
      </w:r>
      <w:r w:rsidR="0016284A">
        <w:rPr>
          <w:rFonts w:ascii="Book Antiqua" w:hAnsi="Book Antiqua"/>
          <w:sz w:val="24"/>
          <w:szCs w:val="24"/>
          <w:lang w:val="en-US"/>
        </w:rPr>
        <w:t>bular maximum reabsorption rate</w:t>
      </w:r>
      <w:r w:rsidR="00FE423D"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0</w:t>
      </w:r>
      <w:r w:rsidR="00FE423D" w:rsidRPr="00841D2D">
        <w:rPr>
          <w:rFonts w:ascii="Book Antiqua" w:hAnsi="Book Antiqua"/>
          <w:sz w:val="24"/>
          <w:szCs w:val="24"/>
          <w:vertAlign w:val="superscript"/>
          <w:lang w:val="en-US"/>
        </w:rPr>
        <w:t>]</w:t>
      </w:r>
      <w:r w:rsidR="00FE423D" w:rsidRPr="00841D2D">
        <w:rPr>
          <w:rFonts w:ascii="Book Antiqua" w:hAnsi="Book Antiqua"/>
          <w:sz w:val="24"/>
          <w:szCs w:val="24"/>
          <w:lang w:val="en-US"/>
        </w:rPr>
        <w:t>.</w:t>
      </w:r>
      <w:r w:rsidR="008C5041" w:rsidRPr="00841D2D">
        <w:rPr>
          <w:rFonts w:ascii="Book Antiqua" w:hAnsi="Book Antiqua"/>
          <w:sz w:val="24"/>
          <w:szCs w:val="24"/>
          <w:lang w:val="en-US"/>
        </w:rPr>
        <w:t xml:space="preserve"> </w:t>
      </w:r>
      <w:r w:rsidR="00DE18CD" w:rsidRPr="00841D2D">
        <w:rPr>
          <w:rFonts w:ascii="Book Antiqua" w:hAnsi="Book Antiqua"/>
          <w:sz w:val="24"/>
          <w:szCs w:val="24"/>
          <w:lang w:val="en-US"/>
        </w:rPr>
        <w:t>The effects of TDF on renal function were evaluated in 321 naïve patients treated f</w:t>
      </w:r>
      <w:r w:rsidR="0016284A">
        <w:rPr>
          <w:rFonts w:ascii="Book Antiqua" w:hAnsi="Book Antiqua"/>
          <w:sz w:val="24"/>
          <w:szCs w:val="24"/>
          <w:lang w:val="en-US"/>
        </w:rPr>
        <w:t>or 4 years in clinical practice</w:t>
      </w:r>
      <w:r w:rsidR="00DE18CD"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1</w:t>
      </w:r>
      <w:r w:rsidR="00DE18CD" w:rsidRPr="00841D2D">
        <w:rPr>
          <w:rFonts w:ascii="Book Antiqua" w:hAnsi="Book Antiqua"/>
          <w:sz w:val="24"/>
          <w:szCs w:val="24"/>
          <w:vertAlign w:val="superscript"/>
          <w:lang w:val="en-US"/>
        </w:rPr>
        <w:t>]</w:t>
      </w:r>
      <w:r w:rsidR="00DE18CD" w:rsidRPr="00841D2D">
        <w:rPr>
          <w:rFonts w:ascii="Book Antiqua" w:hAnsi="Book Antiqua"/>
          <w:sz w:val="24"/>
          <w:szCs w:val="24"/>
          <w:lang w:val="en-US"/>
        </w:rPr>
        <w:t xml:space="preserve">. </w:t>
      </w:r>
      <w:r w:rsidR="008C5041" w:rsidRPr="00841D2D">
        <w:rPr>
          <w:rFonts w:ascii="Book Antiqua" w:hAnsi="Book Antiqua"/>
          <w:sz w:val="24"/>
          <w:szCs w:val="24"/>
          <w:lang w:val="en-US"/>
        </w:rPr>
        <w:t xml:space="preserve">In this large European cohort, </w:t>
      </w:r>
      <w:r w:rsidR="00A43588" w:rsidRPr="00841D2D">
        <w:rPr>
          <w:rFonts w:ascii="Book Antiqua" w:hAnsi="Book Antiqua"/>
          <w:sz w:val="24"/>
          <w:szCs w:val="24"/>
          <w:lang w:val="en-US"/>
        </w:rPr>
        <w:t>there were no modifications in creatinine and phosphorus serum levels and eGFR was reduced from 84 to 80 m</w:t>
      </w:r>
      <w:r w:rsidR="0016284A" w:rsidRPr="00841D2D">
        <w:rPr>
          <w:rFonts w:ascii="Book Antiqua" w:hAnsi="Book Antiqua"/>
          <w:sz w:val="24"/>
          <w:szCs w:val="24"/>
          <w:lang w:val="en-US"/>
        </w:rPr>
        <w:t>L</w:t>
      </w:r>
      <w:r w:rsidR="00A43588" w:rsidRPr="00841D2D">
        <w:rPr>
          <w:rFonts w:ascii="Book Antiqua" w:hAnsi="Book Antiqua"/>
          <w:sz w:val="24"/>
          <w:szCs w:val="24"/>
          <w:lang w:val="en-US"/>
        </w:rPr>
        <w:t>/min. At year 4, patients with eGFR &lt;</w:t>
      </w:r>
      <w:r w:rsidR="0016284A">
        <w:rPr>
          <w:rFonts w:ascii="Book Antiqua" w:hAnsi="Book Antiqua" w:hint="eastAsia"/>
          <w:sz w:val="24"/>
          <w:szCs w:val="24"/>
          <w:lang w:val="en-US" w:eastAsia="zh-CN"/>
        </w:rPr>
        <w:t xml:space="preserve"> </w:t>
      </w:r>
      <w:r w:rsidR="00A43588" w:rsidRPr="00841D2D">
        <w:rPr>
          <w:rFonts w:ascii="Book Antiqua" w:hAnsi="Book Antiqua"/>
          <w:sz w:val="24"/>
          <w:szCs w:val="24"/>
          <w:lang w:val="en-US"/>
        </w:rPr>
        <w:t>50 increased from 2% to 3% and those with eGFR &lt;</w:t>
      </w:r>
      <w:r w:rsidR="0016284A">
        <w:rPr>
          <w:rFonts w:ascii="Book Antiqua" w:hAnsi="Book Antiqua" w:hint="eastAsia"/>
          <w:sz w:val="24"/>
          <w:szCs w:val="24"/>
          <w:lang w:val="en-US" w:eastAsia="zh-CN"/>
        </w:rPr>
        <w:t xml:space="preserve"> </w:t>
      </w:r>
      <w:r w:rsidR="00A43588" w:rsidRPr="00841D2D">
        <w:rPr>
          <w:rFonts w:ascii="Book Antiqua" w:hAnsi="Book Antiqua"/>
          <w:sz w:val="24"/>
          <w:szCs w:val="24"/>
          <w:lang w:val="en-US"/>
        </w:rPr>
        <w:t>60 m</w:t>
      </w:r>
      <w:r w:rsidR="0016284A" w:rsidRPr="00841D2D">
        <w:rPr>
          <w:rFonts w:ascii="Book Antiqua" w:hAnsi="Book Antiqua"/>
          <w:sz w:val="24"/>
          <w:szCs w:val="24"/>
          <w:lang w:val="en-US"/>
        </w:rPr>
        <w:t>L</w:t>
      </w:r>
      <w:r w:rsidR="00A43588" w:rsidRPr="00841D2D">
        <w:rPr>
          <w:rFonts w:ascii="Book Antiqua" w:hAnsi="Book Antiqua"/>
          <w:sz w:val="24"/>
          <w:szCs w:val="24"/>
          <w:lang w:val="en-US"/>
        </w:rPr>
        <w:t>/min increased from7% to 11%. At the same time point, hypophosphatemia (serum phosphate &lt;</w:t>
      </w:r>
      <w:r w:rsidR="0016284A">
        <w:rPr>
          <w:rFonts w:ascii="Book Antiqua" w:hAnsi="Book Antiqua" w:hint="eastAsia"/>
          <w:sz w:val="24"/>
          <w:szCs w:val="24"/>
          <w:lang w:val="en-US" w:eastAsia="zh-CN"/>
        </w:rPr>
        <w:t xml:space="preserve"> </w:t>
      </w:r>
      <w:r w:rsidR="00A43588" w:rsidRPr="00841D2D">
        <w:rPr>
          <w:rFonts w:ascii="Book Antiqua" w:hAnsi="Book Antiqua"/>
          <w:sz w:val="24"/>
          <w:szCs w:val="24"/>
          <w:lang w:val="en-US"/>
        </w:rPr>
        <w:t>2.3 mg/d</w:t>
      </w:r>
      <w:r w:rsidR="0016284A" w:rsidRPr="00841D2D">
        <w:rPr>
          <w:rFonts w:ascii="Book Antiqua" w:hAnsi="Book Antiqua"/>
          <w:sz w:val="24"/>
          <w:szCs w:val="24"/>
          <w:lang w:val="en-US"/>
        </w:rPr>
        <w:t>L</w:t>
      </w:r>
      <w:r w:rsidR="00A43588" w:rsidRPr="00841D2D">
        <w:rPr>
          <w:rFonts w:ascii="Book Antiqua" w:hAnsi="Book Antiqua"/>
          <w:sz w:val="24"/>
          <w:szCs w:val="24"/>
          <w:lang w:val="en-US"/>
        </w:rPr>
        <w:t>) increased from 2% to 5.1 %, while 1% of the patients had phosphate levels &lt;</w:t>
      </w:r>
      <w:r w:rsidR="0016284A">
        <w:rPr>
          <w:rFonts w:ascii="Book Antiqua" w:hAnsi="Book Antiqua" w:hint="eastAsia"/>
          <w:sz w:val="24"/>
          <w:szCs w:val="24"/>
          <w:lang w:val="en-US" w:eastAsia="zh-CN"/>
        </w:rPr>
        <w:t xml:space="preserve"> </w:t>
      </w:r>
      <w:r w:rsidR="00A43588" w:rsidRPr="00841D2D">
        <w:rPr>
          <w:rFonts w:ascii="Book Antiqua" w:hAnsi="Book Antiqua"/>
          <w:sz w:val="24"/>
          <w:szCs w:val="24"/>
          <w:lang w:val="en-US"/>
        </w:rPr>
        <w:t>2.0 along the study period. TDF dose was reduced in 17 patients due to reduction in eGFR and in 2 due to hypophosphatemia. Seven patients had to withdraw treatment and were switched to ETV. Overall, some renal adverse effect was reported in 26 patients (7%)</w:t>
      </w:r>
      <w:r w:rsidR="008C5041"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1</w:t>
      </w:r>
      <w:r w:rsidR="008C5041" w:rsidRPr="00841D2D">
        <w:rPr>
          <w:rFonts w:ascii="Book Antiqua" w:hAnsi="Book Antiqua"/>
          <w:sz w:val="24"/>
          <w:szCs w:val="24"/>
          <w:vertAlign w:val="superscript"/>
          <w:lang w:val="en-US"/>
        </w:rPr>
        <w:t>]</w:t>
      </w:r>
      <w:r w:rsidR="008C5041" w:rsidRPr="00841D2D">
        <w:rPr>
          <w:rFonts w:ascii="Book Antiqua" w:hAnsi="Book Antiqua"/>
          <w:sz w:val="24"/>
          <w:szCs w:val="24"/>
          <w:lang w:val="en-US"/>
        </w:rPr>
        <w:t>.</w:t>
      </w:r>
    </w:p>
    <w:p w:rsidR="0029299B" w:rsidRPr="00841D2D" w:rsidRDefault="005C2519" w:rsidP="0016284A">
      <w:pPr>
        <w:spacing w:after="0" w:line="360" w:lineRule="auto"/>
        <w:ind w:firstLineChars="100" w:firstLine="240"/>
        <w:jc w:val="both"/>
        <w:rPr>
          <w:rFonts w:ascii="Book Antiqua" w:hAnsi="Book Antiqua"/>
          <w:sz w:val="24"/>
          <w:szCs w:val="24"/>
          <w:lang w:val="en-US"/>
        </w:rPr>
      </w:pPr>
      <w:r w:rsidRPr="00841D2D">
        <w:rPr>
          <w:rFonts w:ascii="Book Antiqua" w:hAnsi="Book Antiqua"/>
          <w:sz w:val="24"/>
          <w:szCs w:val="24"/>
          <w:lang w:val="en-US"/>
        </w:rPr>
        <w:t>In co</w:t>
      </w:r>
      <w:r w:rsidR="00BC73CE" w:rsidRPr="00841D2D">
        <w:rPr>
          <w:rFonts w:ascii="Book Antiqua" w:hAnsi="Book Antiqua"/>
          <w:sz w:val="24"/>
          <w:szCs w:val="24"/>
          <w:lang w:val="en-US"/>
        </w:rPr>
        <w:t>mparison</w:t>
      </w:r>
      <w:r w:rsidRPr="00841D2D">
        <w:rPr>
          <w:rFonts w:ascii="Book Antiqua" w:hAnsi="Book Antiqua"/>
          <w:sz w:val="24"/>
          <w:szCs w:val="24"/>
          <w:lang w:val="en-US"/>
        </w:rPr>
        <w:t xml:space="preserve"> to nucleotide analogues, nucleoside analogues, </w:t>
      </w:r>
      <w:r w:rsidR="00BC73CE" w:rsidRPr="00841D2D">
        <w:rPr>
          <w:rFonts w:ascii="Book Antiqua" w:hAnsi="Book Antiqua"/>
          <w:sz w:val="24"/>
          <w:szCs w:val="24"/>
          <w:lang w:val="en-US"/>
        </w:rPr>
        <w:t>such as</w:t>
      </w:r>
      <w:r w:rsidRPr="00841D2D">
        <w:rPr>
          <w:rFonts w:ascii="Book Antiqua" w:hAnsi="Book Antiqua"/>
          <w:sz w:val="24"/>
          <w:szCs w:val="24"/>
          <w:lang w:val="en-US"/>
        </w:rPr>
        <w:t xml:space="preserve"> ETV and LdT, show </w:t>
      </w:r>
      <w:r w:rsidR="00BC73CE" w:rsidRPr="00841D2D">
        <w:rPr>
          <w:rFonts w:ascii="Book Antiqua" w:hAnsi="Book Antiqua"/>
          <w:sz w:val="24"/>
          <w:szCs w:val="24"/>
          <w:lang w:val="en-US"/>
        </w:rPr>
        <w:t xml:space="preserve">not </w:t>
      </w:r>
      <w:r w:rsidRPr="00841D2D">
        <w:rPr>
          <w:rFonts w:ascii="Book Antiqua" w:hAnsi="Book Antiqua"/>
          <w:sz w:val="24"/>
          <w:szCs w:val="24"/>
          <w:lang w:val="en-US"/>
        </w:rPr>
        <w:t>significant renal toxicity</w:t>
      </w:r>
      <w:r w:rsidR="00087E23"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7</w:t>
      </w:r>
      <w:r w:rsidR="00087E23" w:rsidRPr="00841D2D">
        <w:rPr>
          <w:rFonts w:ascii="Book Antiqua" w:hAnsi="Book Antiqua"/>
          <w:sz w:val="24"/>
          <w:szCs w:val="24"/>
          <w:vertAlign w:val="superscript"/>
          <w:lang w:val="en-US"/>
        </w:rPr>
        <w:t>,6</w:t>
      </w:r>
      <w:r w:rsidR="00FA41C5">
        <w:rPr>
          <w:rFonts w:ascii="Book Antiqua" w:hAnsi="Book Antiqua" w:hint="eastAsia"/>
          <w:sz w:val="24"/>
          <w:szCs w:val="24"/>
          <w:vertAlign w:val="superscript"/>
          <w:lang w:val="en-US" w:eastAsia="zh-CN"/>
        </w:rPr>
        <w:t>8</w:t>
      </w:r>
      <w:r w:rsidR="00087E23" w:rsidRPr="00841D2D">
        <w:rPr>
          <w:rFonts w:ascii="Book Antiqua" w:hAnsi="Book Antiqua"/>
          <w:sz w:val="24"/>
          <w:szCs w:val="24"/>
          <w:vertAlign w:val="superscript"/>
          <w:lang w:val="en-US"/>
        </w:rPr>
        <w:t>]</w:t>
      </w:r>
      <w:r w:rsidRPr="00841D2D">
        <w:rPr>
          <w:rFonts w:ascii="Book Antiqua" w:hAnsi="Book Antiqua"/>
          <w:sz w:val="24"/>
          <w:szCs w:val="24"/>
          <w:lang w:val="en-US"/>
        </w:rPr>
        <w:t xml:space="preserve">. </w:t>
      </w:r>
      <w:r w:rsidR="00087E23" w:rsidRPr="00841D2D">
        <w:rPr>
          <w:rFonts w:ascii="Book Antiqua" w:hAnsi="Book Antiqua"/>
          <w:sz w:val="24"/>
          <w:szCs w:val="24"/>
          <w:lang w:val="en-US"/>
        </w:rPr>
        <w:t>Studies have been performed compa</w:t>
      </w:r>
      <w:r w:rsidR="0016284A">
        <w:rPr>
          <w:rFonts w:ascii="Book Antiqua" w:hAnsi="Book Antiqua"/>
          <w:sz w:val="24"/>
          <w:szCs w:val="24"/>
          <w:lang w:val="en-US"/>
        </w:rPr>
        <w:t>ring ETV and TDF nephrotoxicity</w:t>
      </w:r>
      <w:r w:rsidR="00DE18CD"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2</w:t>
      </w:r>
      <w:r w:rsidR="00BF47EE" w:rsidRPr="00841D2D">
        <w:rPr>
          <w:rFonts w:ascii="Book Antiqua" w:hAnsi="Book Antiqua"/>
          <w:sz w:val="24"/>
          <w:szCs w:val="24"/>
          <w:vertAlign w:val="superscript"/>
          <w:lang w:val="en-US"/>
        </w:rPr>
        <w:t>-</w:t>
      </w:r>
      <w:r w:rsidR="0029299B"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6</w:t>
      </w:r>
      <w:r w:rsidR="00F95D9A" w:rsidRPr="00841D2D">
        <w:rPr>
          <w:rFonts w:ascii="Book Antiqua" w:hAnsi="Book Antiqua"/>
          <w:sz w:val="24"/>
          <w:szCs w:val="24"/>
          <w:vertAlign w:val="superscript"/>
          <w:lang w:val="en-US"/>
        </w:rPr>
        <w:t>]</w:t>
      </w:r>
      <w:r w:rsidR="00087E23" w:rsidRPr="00841D2D">
        <w:rPr>
          <w:rFonts w:ascii="Book Antiqua" w:hAnsi="Book Antiqua"/>
          <w:sz w:val="24"/>
          <w:szCs w:val="24"/>
          <w:lang w:val="en-US"/>
        </w:rPr>
        <w:t>.</w:t>
      </w:r>
      <w:r w:rsidR="00F95D9A" w:rsidRPr="00841D2D">
        <w:rPr>
          <w:rFonts w:ascii="Book Antiqua" w:hAnsi="Book Antiqua"/>
          <w:sz w:val="24"/>
          <w:szCs w:val="24"/>
          <w:lang w:val="en-US"/>
        </w:rPr>
        <w:t xml:space="preserve"> </w:t>
      </w:r>
      <w:r w:rsidR="00236FA4" w:rsidRPr="00841D2D">
        <w:rPr>
          <w:rFonts w:ascii="Book Antiqua" w:hAnsi="Book Antiqua"/>
          <w:sz w:val="24"/>
          <w:szCs w:val="24"/>
          <w:lang w:val="en-US"/>
        </w:rPr>
        <w:t>After 2 years of treatment, there was no significant modifications in eGFR in 74 ETV an</w:t>
      </w:r>
      <w:r w:rsidR="0016284A">
        <w:rPr>
          <w:rFonts w:ascii="Book Antiqua" w:hAnsi="Book Antiqua"/>
          <w:sz w:val="24"/>
          <w:szCs w:val="24"/>
          <w:lang w:val="en-US"/>
        </w:rPr>
        <w:t>d 50 TDF ± LAM treated patients</w:t>
      </w:r>
      <w:r w:rsidR="00236FA4"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2</w:t>
      </w:r>
      <w:r w:rsidR="00236FA4" w:rsidRPr="00841D2D">
        <w:rPr>
          <w:rFonts w:ascii="Book Antiqua" w:hAnsi="Book Antiqua"/>
          <w:sz w:val="24"/>
          <w:szCs w:val="24"/>
          <w:vertAlign w:val="superscript"/>
          <w:lang w:val="en-US"/>
        </w:rPr>
        <w:t>]</w:t>
      </w:r>
      <w:r w:rsidR="00236FA4" w:rsidRPr="00841D2D">
        <w:rPr>
          <w:rFonts w:ascii="Book Antiqua" w:hAnsi="Book Antiqua"/>
          <w:sz w:val="24"/>
          <w:szCs w:val="24"/>
          <w:lang w:val="en-US"/>
        </w:rPr>
        <w:t xml:space="preserve">. In the ETV group 2.7% showed a reduction ≥40% in eGFR </w:t>
      </w:r>
      <w:r w:rsidR="00FF104C" w:rsidRPr="00841D2D">
        <w:rPr>
          <w:rFonts w:ascii="Book Antiqua" w:hAnsi="Book Antiqua"/>
          <w:i/>
          <w:iCs/>
          <w:sz w:val="24"/>
          <w:szCs w:val="24"/>
          <w:lang w:val="en-US"/>
        </w:rPr>
        <w:t>vs</w:t>
      </w:r>
      <w:r w:rsidR="00236FA4" w:rsidRPr="00841D2D">
        <w:rPr>
          <w:rFonts w:ascii="Book Antiqua" w:hAnsi="Book Antiqua"/>
          <w:sz w:val="24"/>
          <w:szCs w:val="24"/>
          <w:lang w:val="en-US"/>
        </w:rPr>
        <w:t xml:space="preserve"> 3.92% in the TDF ± LMV group (</w:t>
      </w:r>
      <w:r w:rsidR="0016284A" w:rsidRPr="0016284A">
        <w:rPr>
          <w:rFonts w:ascii="Book Antiqua" w:hAnsi="Book Antiqua"/>
          <w:i/>
          <w:sz w:val="24"/>
          <w:szCs w:val="24"/>
          <w:lang w:val="en-US"/>
        </w:rPr>
        <w:t>P</w:t>
      </w:r>
      <w:r w:rsidR="0016284A">
        <w:rPr>
          <w:rFonts w:ascii="Book Antiqua" w:hAnsi="Book Antiqua" w:hint="eastAsia"/>
          <w:sz w:val="24"/>
          <w:szCs w:val="24"/>
          <w:lang w:val="en-US" w:eastAsia="zh-CN"/>
        </w:rPr>
        <w:t xml:space="preserve"> </w:t>
      </w:r>
      <w:r w:rsidR="00236FA4" w:rsidRPr="00841D2D">
        <w:rPr>
          <w:rFonts w:ascii="Book Antiqua" w:hAnsi="Book Antiqua"/>
          <w:sz w:val="24"/>
          <w:szCs w:val="24"/>
          <w:lang w:val="en-US"/>
        </w:rPr>
        <w:t>=</w:t>
      </w:r>
      <w:r w:rsidR="0016284A">
        <w:rPr>
          <w:rFonts w:ascii="Book Antiqua" w:hAnsi="Book Antiqua" w:hint="eastAsia"/>
          <w:sz w:val="24"/>
          <w:szCs w:val="24"/>
          <w:lang w:val="en-US" w:eastAsia="zh-CN"/>
        </w:rPr>
        <w:t xml:space="preserve"> </w:t>
      </w:r>
      <w:r w:rsidR="00236FA4" w:rsidRPr="00841D2D">
        <w:rPr>
          <w:rFonts w:ascii="Book Antiqua" w:hAnsi="Book Antiqua"/>
          <w:sz w:val="24"/>
          <w:szCs w:val="24"/>
          <w:lang w:val="en-US"/>
        </w:rPr>
        <w:t xml:space="preserve">NS).When compared with an untreated control group, in ETV treated patients eGFR </w:t>
      </w:r>
      <w:r w:rsidR="0016284A">
        <w:rPr>
          <w:rFonts w:ascii="Book Antiqua" w:hAnsi="Book Antiqua"/>
          <w:sz w:val="24"/>
          <w:szCs w:val="24"/>
          <w:lang w:val="en-US"/>
        </w:rPr>
        <w:t>was reduced by -7.6 ml/min (95%</w:t>
      </w:r>
      <w:r w:rsidR="00236FA4" w:rsidRPr="00841D2D">
        <w:rPr>
          <w:rFonts w:ascii="Book Antiqua" w:hAnsi="Book Antiqua"/>
          <w:sz w:val="24"/>
          <w:szCs w:val="24"/>
          <w:lang w:val="en-US"/>
        </w:rPr>
        <w:t>CI</w:t>
      </w:r>
      <w:r w:rsidR="0016284A">
        <w:rPr>
          <w:rFonts w:ascii="Book Antiqua" w:hAnsi="Book Antiqua" w:hint="eastAsia"/>
          <w:sz w:val="24"/>
          <w:szCs w:val="24"/>
          <w:lang w:val="en-US" w:eastAsia="zh-CN"/>
        </w:rPr>
        <w:t>:</w:t>
      </w:r>
      <w:r w:rsidR="00236FA4" w:rsidRPr="00841D2D">
        <w:rPr>
          <w:rFonts w:ascii="Book Antiqua" w:hAnsi="Book Antiqua"/>
          <w:sz w:val="24"/>
          <w:szCs w:val="24"/>
          <w:lang w:val="en-US"/>
        </w:rPr>
        <w:t xml:space="preserve"> -15.8-+0.6, </w:t>
      </w:r>
      <w:r w:rsidR="0016284A" w:rsidRPr="0016284A">
        <w:rPr>
          <w:rFonts w:ascii="Book Antiqua" w:hAnsi="Book Antiqua"/>
          <w:i/>
          <w:sz w:val="24"/>
          <w:szCs w:val="24"/>
          <w:lang w:val="en-US"/>
        </w:rPr>
        <w:t>P</w:t>
      </w:r>
      <w:r w:rsidR="0016284A" w:rsidRPr="00841D2D">
        <w:rPr>
          <w:rFonts w:ascii="Book Antiqua" w:hAnsi="Book Antiqua"/>
          <w:sz w:val="24"/>
          <w:szCs w:val="24"/>
          <w:lang w:val="en-US"/>
        </w:rPr>
        <w:t xml:space="preserve"> </w:t>
      </w:r>
      <w:r w:rsidR="00236FA4" w:rsidRPr="00841D2D">
        <w:rPr>
          <w:rFonts w:ascii="Book Antiqua" w:hAnsi="Book Antiqua"/>
          <w:sz w:val="24"/>
          <w:szCs w:val="24"/>
          <w:lang w:val="en-US"/>
        </w:rPr>
        <w:t>=</w:t>
      </w:r>
      <w:r w:rsidR="0016284A">
        <w:rPr>
          <w:rFonts w:ascii="Book Antiqua" w:hAnsi="Book Antiqua" w:hint="eastAsia"/>
          <w:sz w:val="24"/>
          <w:szCs w:val="24"/>
          <w:lang w:val="en-US" w:eastAsia="zh-CN"/>
        </w:rPr>
        <w:t xml:space="preserve"> </w:t>
      </w:r>
      <w:r w:rsidR="00236FA4" w:rsidRPr="00841D2D">
        <w:rPr>
          <w:rFonts w:ascii="Book Antiqua" w:hAnsi="Book Antiqua"/>
          <w:sz w:val="24"/>
          <w:szCs w:val="24"/>
          <w:lang w:val="en-US"/>
        </w:rPr>
        <w:t>0.07) and by -8.7 m</w:t>
      </w:r>
      <w:r w:rsidR="0016284A" w:rsidRPr="00841D2D">
        <w:rPr>
          <w:rFonts w:ascii="Book Antiqua" w:hAnsi="Book Antiqua"/>
          <w:sz w:val="24"/>
          <w:szCs w:val="24"/>
          <w:lang w:val="en-US"/>
        </w:rPr>
        <w:t>L</w:t>
      </w:r>
      <w:r w:rsidR="00236FA4" w:rsidRPr="00841D2D">
        <w:rPr>
          <w:rFonts w:ascii="Book Antiqua" w:hAnsi="Book Antiqua"/>
          <w:sz w:val="24"/>
          <w:szCs w:val="24"/>
          <w:lang w:val="en-US"/>
        </w:rPr>
        <w:t>/min (CI</w:t>
      </w:r>
      <w:r w:rsidR="0016284A">
        <w:rPr>
          <w:rFonts w:ascii="Book Antiqua" w:hAnsi="Book Antiqua" w:hint="eastAsia"/>
          <w:sz w:val="24"/>
          <w:szCs w:val="24"/>
          <w:lang w:val="en-US" w:eastAsia="zh-CN"/>
        </w:rPr>
        <w:t>:</w:t>
      </w:r>
      <w:r w:rsidR="00236FA4" w:rsidRPr="00841D2D">
        <w:rPr>
          <w:rFonts w:ascii="Book Antiqua" w:hAnsi="Book Antiqua"/>
          <w:sz w:val="24"/>
          <w:szCs w:val="24"/>
          <w:lang w:val="en-US"/>
        </w:rPr>
        <w:t xml:space="preserve"> -18.3-+1.0,</w:t>
      </w:r>
      <w:r w:rsidR="0016284A" w:rsidRPr="0016284A">
        <w:rPr>
          <w:rFonts w:ascii="Book Antiqua" w:hAnsi="Book Antiqua"/>
          <w:i/>
          <w:sz w:val="24"/>
          <w:szCs w:val="24"/>
          <w:lang w:val="en-US"/>
        </w:rPr>
        <w:t xml:space="preserve"> P</w:t>
      </w:r>
      <w:r w:rsidR="0016284A" w:rsidRPr="00841D2D">
        <w:rPr>
          <w:rFonts w:ascii="Book Antiqua" w:hAnsi="Book Antiqua"/>
          <w:sz w:val="24"/>
          <w:szCs w:val="24"/>
          <w:lang w:val="en-US"/>
        </w:rPr>
        <w:t xml:space="preserve"> </w:t>
      </w:r>
      <w:r w:rsidR="00236FA4" w:rsidRPr="00841D2D">
        <w:rPr>
          <w:rFonts w:ascii="Book Antiqua" w:hAnsi="Book Antiqua"/>
          <w:sz w:val="24"/>
          <w:szCs w:val="24"/>
          <w:lang w:val="en-US"/>
        </w:rPr>
        <w:t>=</w:t>
      </w:r>
      <w:r w:rsidR="0016284A">
        <w:rPr>
          <w:rFonts w:ascii="Book Antiqua" w:hAnsi="Book Antiqua" w:hint="eastAsia"/>
          <w:sz w:val="24"/>
          <w:szCs w:val="24"/>
          <w:lang w:val="en-US" w:eastAsia="zh-CN"/>
        </w:rPr>
        <w:t xml:space="preserve"> </w:t>
      </w:r>
      <w:r w:rsidR="00236FA4" w:rsidRPr="00841D2D">
        <w:rPr>
          <w:rFonts w:ascii="Book Antiqua" w:hAnsi="Book Antiqua"/>
          <w:sz w:val="24"/>
          <w:szCs w:val="24"/>
          <w:lang w:val="en-US"/>
        </w:rPr>
        <w:t>0.08) in TDF ± LMV treated patients. In untreated controls, eGFR remained stable or even improved by +7.4 m</w:t>
      </w:r>
      <w:r w:rsidR="0016284A" w:rsidRPr="00841D2D">
        <w:rPr>
          <w:rFonts w:ascii="Book Antiqua" w:hAnsi="Book Antiqua"/>
          <w:sz w:val="24"/>
          <w:szCs w:val="24"/>
          <w:lang w:val="en-US"/>
        </w:rPr>
        <w:t>L</w:t>
      </w:r>
      <w:r w:rsidR="00236FA4" w:rsidRPr="00841D2D">
        <w:rPr>
          <w:rFonts w:ascii="Book Antiqua" w:hAnsi="Book Antiqua"/>
          <w:sz w:val="24"/>
          <w:szCs w:val="24"/>
          <w:lang w:val="en-US"/>
        </w:rPr>
        <w:t>/min (CI</w:t>
      </w:r>
      <w:r w:rsidR="0016284A">
        <w:rPr>
          <w:rFonts w:ascii="Book Antiqua" w:hAnsi="Book Antiqua" w:hint="eastAsia"/>
          <w:sz w:val="24"/>
          <w:szCs w:val="24"/>
          <w:lang w:val="en-US" w:eastAsia="zh-CN"/>
        </w:rPr>
        <w:t>:</w:t>
      </w:r>
      <w:r w:rsidR="00236FA4" w:rsidRPr="00841D2D">
        <w:rPr>
          <w:rFonts w:ascii="Book Antiqua" w:hAnsi="Book Antiqua"/>
          <w:sz w:val="24"/>
          <w:szCs w:val="24"/>
          <w:lang w:val="en-US"/>
        </w:rPr>
        <w:t xml:space="preserve"> 0.78-14.1,</w:t>
      </w:r>
      <w:r w:rsidR="0016284A" w:rsidRPr="0016284A">
        <w:rPr>
          <w:rFonts w:ascii="Book Antiqua" w:hAnsi="Book Antiqua"/>
          <w:i/>
          <w:sz w:val="24"/>
          <w:szCs w:val="24"/>
          <w:lang w:val="en-US"/>
        </w:rPr>
        <w:t xml:space="preserve"> P</w:t>
      </w:r>
      <w:r w:rsidR="0016284A" w:rsidRPr="00841D2D">
        <w:rPr>
          <w:rFonts w:ascii="Book Antiqua" w:hAnsi="Book Antiqua"/>
          <w:sz w:val="24"/>
          <w:szCs w:val="24"/>
          <w:lang w:val="en-US"/>
        </w:rPr>
        <w:t xml:space="preserve"> </w:t>
      </w:r>
      <w:r w:rsidR="00236FA4" w:rsidRPr="00841D2D">
        <w:rPr>
          <w:rFonts w:ascii="Book Antiqua" w:hAnsi="Book Antiqua"/>
          <w:sz w:val="24"/>
          <w:szCs w:val="24"/>
          <w:lang w:val="en-US"/>
        </w:rPr>
        <w:t>=</w:t>
      </w:r>
      <w:r w:rsidR="0016284A">
        <w:rPr>
          <w:rFonts w:ascii="Book Antiqua" w:hAnsi="Book Antiqua" w:hint="eastAsia"/>
          <w:sz w:val="24"/>
          <w:szCs w:val="24"/>
          <w:lang w:val="en-US" w:eastAsia="zh-CN"/>
        </w:rPr>
        <w:t xml:space="preserve"> </w:t>
      </w:r>
      <w:r w:rsidR="00236FA4" w:rsidRPr="00841D2D">
        <w:rPr>
          <w:rFonts w:ascii="Book Antiqua" w:hAnsi="Book Antiqua"/>
          <w:sz w:val="24"/>
          <w:szCs w:val="24"/>
          <w:lang w:val="en-US"/>
        </w:rPr>
        <w:t>0.03)</w:t>
      </w:r>
      <w:r w:rsidR="00BF47EE"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2</w:t>
      </w:r>
      <w:r w:rsidR="00BF47EE" w:rsidRPr="00841D2D">
        <w:rPr>
          <w:rFonts w:ascii="Book Antiqua" w:hAnsi="Book Antiqua"/>
          <w:sz w:val="24"/>
          <w:szCs w:val="24"/>
          <w:vertAlign w:val="superscript"/>
          <w:lang w:val="en-US"/>
        </w:rPr>
        <w:t>]</w:t>
      </w:r>
      <w:r w:rsidR="00BF47EE" w:rsidRPr="00841D2D">
        <w:rPr>
          <w:rFonts w:ascii="Book Antiqua" w:hAnsi="Book Antiqua"/>
          <w:sz w:val="24"/>
          <w:szCs w:val="24"/>
          <w:lang w:val="en-US"/>
        </w:rPr>
        <w:t xml:space="preserve">. </w:t>
      </w:r>
      <w:r w:rsidR="00030A14" w:rsidRPr="00841D2D">
        <w:rPr>
          <w:rFonts w:ascii="Book Antiqua" w:hAnsi="Book Antiqua"/>
          <w:sz w:val="24"/>
          <w:szCs w:val="24"/>
          <w:lang w:val="en-US"/>
        </w:rPr>
        <w:t>In another real-life cohort of 212 patients were treated with TDF and 79 with ETV and its impact on renal fu</w:t>
      </w:r>
      <w:r w:rsidR="0016284A">
        <w:rPr>
          <w:rFonts w:ascii="Book Antiqua" w:hAnsi="Book Antiqua"/>
          <w:sz w:val="24"/>
          <w:szCs w:val="24"/>
          <w:lang w:val="en-US"/>
        </w:rPr>
        <w:t>nction was evaluated</w:t>
      </w:r>
      <w:r w:rsidR="00030A14" w:rsidRPr="00841D2D">
        <w:rPr>
          <w:rFonts w:ascii="Book Antiqua" w:hAnsi="Book Antiqua"/>
          <w:sz w:val="24"/>
          <w:szCs w:val="24"/>
          <w:vertAlign w:val="superscript"/>
          <w:lang w:val="en-US"/>
        </w:rPr>
        <w:t>[8</w:t>
      </w:r>
      <w:r w:rsidR="00FA41C5">
        <w:rPr>
          <w:rFonts w:ascii="Book Antiqua" w:hAnsi="Book Antiqua" w:hint="eastAsia"/>
          <w:sz w:val="24"/>
          <w:szCs w:val="24"/>
          <w:vertAlign w:val="superscript"/>
          <w:lang w:val="en-US" w:eastAsia="zh-CN"/>
        </w:rPr>
        <w:t>3</w:t>
      </w:r>
      <w:r w:rsidR="00030A14" w:rsidRPr="00841D2D">
        <w:rPr>
          <w:rFonts w:ascii="Book Antiqua" w:hAnsi="Book Antiqua"/>
          <w:sz w:val="24"/>
          <w:szCs w:val="24"/>
          <w:vertAlign w:val="superscript"/>
          <w:lang w:val="en-US"/>
        </w:rPr>
        <w:t>]</w:t>
      </w:r>
      <w:r w:rsidR="00030A14" w:rsidRPr="00841D2D">
        <w:rPr>
          <w:rFonts w:ascii="Book Antiqua" w:hAnsi="Book Antiqua"/>
          <w:sz w:val="24"/>
          <w:szCs w:val="24"/>
          <w:lang w:val="en-US"/>
        </w:rPr>
        <w:t>.  No significant differences were found in urea, creatinine and phosphorus levels and in eGFR after 12 mo of TDF treatment. Also in the same group, there was no differenc</w:t>
      </w:r>
      <w:r w:rsidR="0016284A">
        <w:rPr>
          <w:rFonts w:ascii="Book Antiqua" w:hAnsi="Book Antiqua"/>
          <w:sz w:val="24"/>
          <w:szCs w:val="24"/>
          <w:lang w:val="en-US"/>
        </w:rPr>
        <w:t>e in the proportion of patients</w:t>
      </w:r>
      <w:r w:rsidR="00030A14" w:rsidRPr="00841D2D">
        <w:rPr>
          <w:rFonts w:ascii="Book Antiqua" w:hAnsi="Book Antiqua"/>
          <w:sz w:val="24"/>
          <w:szCs w:val="24"/>
          <w:lang w:val="en-US"/>
        </w:rPr>
        <w:t xml:space="preserve"> with eGFR &lt;</w:t>
      </w:r>
      <w:r w:rsidR="0016284A">
        <w:rPr>
          <w:rFonts w:ascii="Book Antiqua" w:hAnsi="Book Antiqua" w:hint="eastAsia"/>
          <w:sz w:val="24"/>
          <w:szCs w:val="24"/>
          <w:lang w:val="en-US" w:eastAsia="zh-CN"/>
        </w:rPr>
        <w:t xml:space="preserve"> </w:t>
      </w:r>
      <w:r w:rsidR="00030A14" w:rsidRPr="00841D2D">
        <w:rPr>
          <w:rFonts w:ascii="Book Antiqua" w:hAnsi="Book Antiqua"/>
          <w:sz w:val="24"/>
          <w:szCs w:val="24"/>
          <w:lang w:val="en-US"/>
        </w:rPr>
        <w:t>60 m</w:t>
      </w:r>
      <w:r w:rsidR="0016284A" w:rsidRPr="00841D2D">
        <w:rPr>
          <w:rFonts w:ascii="Book Antiqua" w:hAnsi="Book Antiqua"/>
          <w:sz w:val="24"/>
          <w:szCs w:val="24"/>
          <w:lang w:val="en-US"/>
        </w:rPr>
        <w:t>L</w:t>
      </w:r>
      <w:r w:rsidR="00030A14" w:rsidRPr="00841D2D">
        <w:rPr>
          <w:rFonts w:ascii="Book Antiqua" w:hAnsi="Book Antiqua"/>
          <w:sz w:val="24"/>
          <w:szCs w:val="24"/>
          <w:lang w:val="en-US"/>
        </w:rPr>
        <w:t>/min when compared with baseline levels. In ETV treated patients, there was a significantly reducti</w:t>
      </w:r>
      <w:r w:rsidR="0016284A">
        <w:rPr>
          <w:rFonts w:ascii="Book Antiqua" w:hAnsi="Book Antiqua"/>
          <w:sz w:val="24"/>
          <w:szCs w:val="24"/>
          <w:lang w:val="en-US"/>
        </w:rPr>
        <w:t xml:space="preserve">on in serum phosphorus (0.96 </w:t>
      </w:r>
      <w:r w:rsidR="0016284A" w:rsidRPr="0016284A">
        <w:rPr>
          <w:rFonts w:ascii="Book Antiqua" w:hAnsi="Book Antiqua"/>
          <w:i/>
          <w:sz w:val="24"/>
          <w:szCs w:val="24"/>
          <w:lang w:val="en-US"/>
        </w:rPr>
        <w:t>vs</w:t>
      </w:r>
      <w:r w:rsidR="00030A14" w:rsidRPr="0016284A">
        <w:rPr>
          <w:rFonts w:ascii="Book Antiqua" w:hAnsi="Book Antiqua"/>
          <w:i/>
          <w:sz w:val="24"/>
          <w:szCs w:val="24"/>
          <w:lang w:val="en-US"/>
        </w:rPr>
        <w:t xml:space="preserve"> </w:t>
      </w:r>
      <w:r w:rsidR="00030A14" w:rsidRPr="00841D2D">
        <w:rPr>
          <w:rFonts w:ascii="Book Antiqua" w:hAnsi="Book Antiqua"/>
          <w:sz w:val="24"/>
          <w:szCs w:val="24"/>
          <w:lang w:val="en-US"/>
        </w:rPr>
        <w:t xml:space="preserve">1.06, </w:t>
      </w:r>
      <w:r w:rsidR="0016284A" w:rsidRPr="0016284A">
        <w:rPr>
          <w:rFonts w:ascii="Book Antiqua" w:hAnsi="Book Antiqua"/>
          <w:i/>
          <w:sz w:val="24"/>
          <w:szCs w:val="24"/>
          <w:lang w:val="en-US"/>
        </w:rPr>
        <w:t>P</w:t>
      </w:r>
      <w:r w:rsidR="0016284A" w:rsidRPr="00841D2D">
        <w:rPr>
          <w:rFonts w:ascii="Book Antiqua" w:hAnsi="Book Antiqua"/>
          <w:sz w:val="24"/>
          <w:szCs w:val="24"/>
          <w:lang w:val="en-US"/>
        </w:rPr>
        <w:t xml:space="preserve"> </w:t>
      </w:r>
      <w:r w:rsidR="00030A14" w:rsidRPr="00841D2D">
        <w:rPr>
          <w:rFonts w:ascii="Book Antiqua" w:hAnsi="Book Antiqua"/>
          <w:sz w:val="24"/>
          <w:szCs w:val="24"/>
          <w:lang w:val="en-US"/>
        </w:rPr>
        <w:t>=</w:t>
      </w:r>
      <w:r w:rsidR="0016284A">
        <w:rPr>
          <w:rFonts w:ascii="Book Antiqua" w:hAnsi="Book Antiqua" w:hint="eastAsia"/>
          <w:sz w:val="24"/>
          <w:szCs w:val="24"/>
          <w:lang w:val="en-US" w:eastAsia="zh-CN"/>
        </w:rPr>
        <w:t xml:space="preserve"> </w:t>
      </w:r>
      <w:r w:rsidR="00030A14" w:rsidRPr="00841D2D">
        <w:rPr>
          <w:rFonts w:ascii="Book Antiqua" w:hAnsi="Book Antiqua"/>
          <w:sz w:val="24"/>
          <w:szCs w:val="24"/>
          <w:lang w:val="en-US"/>
        </w:rPr>
        <w:t>0.016), increas</w:t>
      </w:r>
      <w:r w:rsidR="0016284A">
        <w:rPr>
          <w:rFonts w:ascii="Book Antiqua" w:hAnsi="Book Antiqua"/>
          <w:sz w:val="24"/>
          <w:szCs w:val="24"/>
          <w:lang w:val="en-US"/>
        </w:rPr>
        <w:t xml:space="preserve">ed in creatinine levels (1.0 </w:t>
      </w:r>
      <w:r w:rsidR="0016284A" w:rsidRPr="0016284A">
        <w:rPr>
          <w:rFonts w:ascii="Book Antiqua" w:hAnsi="Book Antiqua"/>
          <w:i/>
          <w:sz w:val="24"/>
          <w:szCs w:val="24"/>
          <w:lang w:val="en-US"/>
        </w:rPr>
        <w:t>vs</w:t>
      </w:r>
      <w:r w:rsidR="00030A14" w:rsidRPr="00841D2D">
        <w:rPr>
          <w:rFonts w:ascii="Book Antiqua" w:hAnsi="Book Antiqua"/>
          <w:sz w:val="24"/>
          <w:szCs w:val="24"/>
          <w:lang w:val="en-US"/>
        </w:rPr>
        <w:t xml:space="preserve"> 0.89, </w:t>
      </w:r>
      <w:r w:rsidR="0016284A" w:rsidRPr="0016284A">
        <w:rPr>
          <w:rFonts w:ascii="Book Antiqua" w:hAnsi="Book Antiqua"/>
          <w:i/>
          <w:sz w:val="24"/>
          <w:szCs w:val="24"/>
          <w:lang w:val="en-US"/>
        </w:rPr>
        <w:t>P</w:t>
      </w:r>
      <w:r w:rsidR="0016284A" w:rsidRPr="00841D2D">
        <w:rPr>
          <w:rFonts w:ascii="Book Antiqua" w:hAnsi="Book Antiqua"/>
          <w:sz w:val="24"/>
          <w:szCs w:val="24"/>
          <w:lang w:val="en-US"/>
        </w:rPr>
        <w:t xml:space="preserve"> </w:t>
      </w:r>
      <w:r w:rsidR="00030A14" w:rsidRPr="00841D2D">
        <w:rPr>
          <w:rFonts w:ascii="Book Antiqua" w:hAnsi="Book Antiqua"/>
          <w:sz w:val="24"/>
          <w:szCs w:val="24"/>
          <w:lang w:val="en-US"/>
        </w:rPr>
        <w:t>&lt;</w:t>
      </w:r>
      <w:r w:rsidR="0016284A">
        <w:rPr>
          <w:rFonts w:ascii="Book Antiqua" w:hAnsi="Book Antiqua" w:hint="eastAsia"/>
          <w:sz w:val="24"/>
          <w:szCs w:val="24"/>
          <w:lang w:val="en-US" w:eastAsia="zh-CN"/>
        </w:rPr>
        <w:t xml:space="preserve"> </w:t>
      </w:r>
      <w:r w:rsidR="00030A14" w:rsidRPr="00841D2D">
        <w:rPr>
          <w:rFonts w:ascii="Book Antiqua" w:hAnsi="Book Antiqua"/>
          <w:sz w:val="24"/>
          <w:szCs w:val="24"/>
          <w:lang w:val="en-US"/>
        </w:rPr>
        <w:t>0.0</w:t>
      </w:r>
      <w:r w:rsidR="0016284A">
        <w:rPr>
          <w:rFonts w:ascii="Book Antiqua" w:hAnsi="Book Antiqua"/>
          <w:sz w:val="24"/>
          <w:szCs w:val="24"/>
          <w:lang w:val="en-US"/>
        </w:rPr>
        <w:t xml:space="preserve">5) and reduction in eGFR (80 </w:t>
      </w:r>
      <w:r w:rsidR="0016284A" w:rsidRPr="0016284A">
        <w:rPr>
          <w:rFonts w:ascii="Book Antiqua" w:hAnsi="Book Antiqua"/>
          <w:i/>
          <w:sz w:val="24"/>
          <w:szCs w:val="24"/>
          <w:lang w:val="en-US"/>
        </w:rPr>
        <w:t>vs</w:t>
      </w:r>
      <w:r w:rsidR="00030A14" w:rsidRPr="00841D2D">
        <w:rPr>
          <w:rFonts w:ascii="Book Antiqua" w:hAnsi="Book Antiqua"/>
          <w:sz w:val="24"/>
          <w:szCs w:val="24"/>
          <w:lang w:val="en-US"/>
        </w:rPr>
        <w:t xml:space="preserve"> 89, </w:t>
      </w:r>
      <w:r w:rsidR="0016284A" w:rsidRPr="0016284A">
        <w:rPr>
          <w:rFonts w:ascii="Book Antiqua" w:hAnsi="Book Antiqua"/>
          <w:i/>
          <w:sz w:val="24"/>
          <w:szCs w:val="24"/>
          <w:lang w:val="en-US"/>
        </w:rPr>
        <w:t>P</w:t>
      </w:r>
      <w:r w:rsidR="0016284A" w:rsidRPr="00841D2D">
        <w:rPr>
          <w:rFonts w:ascii="Book Antiqua" w:hAnsi="Book Antiqua"/>
          <w:sz w:val="24"/>
          <w:szCs w:val="24"/>
          <w:lang w:val="en-US"/>
        </w:rPr>
        <w:t xml:space="preserve"> </w:t>
      </w:r>
      <w:r w:rsidR="00030A14" w:rsidRPr="00841D2D">
        <w:rPr>
          <w:rFonts w:ascii="Book Antiqua" w:hAnsi="Book Antiqua"/>
          <w:sz w:val="24"/>
          <w:szCs w:val="24"/>
          <w:lang w:val="en-US"/>
        </w:rPr>
        <w:t>&lt;</w:t>
      </w:r>
      <w:r w:rsidR="0016284A">
        <w:rPr>
          <w:rFonts w:ascii="Book Antiqua" w:hAnsi="Book Antiqua" w:hint="eastAsia"/>
          <w:sz w:val="24"/>
          <w:szCs w:val="24"/>
          <w:lang w:val="en-US" w:eastAsia="zh-CN"/>
        </w:rPr>
        <w:t xml:space="preserve"> </w:t>
      </w:r>
      <w:r w:rsidR="00030A14" w:rsidRPr="00841D2D">
        <w:rPr>
          <w:rFonts w:ascii="Book Antiqua" w:hAnsi="Book Antiqua"/>
          <w:sz w:val="24"/>
          <w:szCs w:val="24"/>
          <w:lang w:val="en-US"/>
        </w:rPr>
        <w:t>0.05) after 12 mo of treatment. In ETV treated patients, 3.8% of patients had a 25% increase in creatinine levels while 0.47% of TDF treated patients had a 25% decrease in eGFR after 12 mo</w:t>
      </w:r>
      <w:r w:rsidR="0016284A">
        <w:rPr>
          <w:rFonts w:ascii="Book Antiqua" w:hAnsi="Book Antiqua"/>
          <w:sz w:val="24"/>
          <w:szCs w:val="24"/>
          <w:lang w:val="en-US"/>
        </w:rPr>
        <w:t xml:space="preserve"> of treatment</w:t>
      </w:r>
      <w:r w:rsidR="00030A14" w:rsidRPr="00841D2D">
        <w:rPr>
          <w:rFonts w:ascii="Book Antiqua" w:hAnsi="Book Antiqua"/>
          <w:sz w:val="24"/>
          <w:szCs w:val="24"/>
          <w:vertAlign w:val="superscript"/>
          <w:lang w:val="en-US"/>
        </w:rPr>
        <w:t>[8</w:t>
      </w:r>
      <w:r w:rsidR="00FF104C">
        <w:rPr>
          <w:rFonts w:ascii="Book Antiqua" w:hAnsi="Book Antiqua" w:hint="eastAsia"/>
          <w:sz w:val="24"/>
          <w:szCs w:val="24"/>
          <w:vertAlign w:val="superscript"/>
          <w:lang w:val="en-US" w:eastAsia="zh-CN"/>
        </w:rPr>
        <w:t>3</w:t>
      </w:r>
      <w:r w:rsidR="00030A14" w:rsidRPr="00841D2D">
        <w:rPr>
          <w:rFonts w:ascii="Book Antiqua" w:hAnsi="Book Antiqua"/>
          <w:sz w:val="24"/>
          <w:szCs w:val="24"/>
          <w:vertAlign w:val="superscript"/>
          <w:lang w:val="en-US"/>
        </w:rPr>
        <w:t>]</w:t>
      </w:r>
      <w:r w:rsidR="00030A14" w:rsidRPr="00841D2D">
        <w:rPr>
          <w:rFonts w:ascii="Book Antiqua" w:hAnsi="Book Antiqua"/>
          <w:sz w:val="24"/>
          <w:szCs w:val="24"/>
          <w:lang w:val="en-US"/>
        </w:rPr>
        <w:t xml:space="preserve">. </w:t>
      </w:r>
      <w:r w:rsidR="00297771" w:rsidRPr="00841D2D">
        <w:rPr>
          <w:rFonts w:ascii="Book Antiqua" w:hAnsi="Book Antiqua"/>
          <w:sz w:val="24"/>
          <w:szCs w:val="24"/>
          <w:lang w:val="en-US"/>
        </w:rPr>
        <w:t>In a community-based retrospective cohort study, 80 patients treated with TDF monotherapy or in combination with other NUCs were matched with 80 ETV treated patients and incidences of serum creatinine increments a</w:t>
      </w:r>
      <w:r w:rsidR="0016284A">
        <w:rPr>
          <w:rFonts w:ascii="Book Antiqua" w:hAnsi="Book Antiqua"/>
          <w:sz w:val="24"/>
          <w:szCs w:val="24"/>
          <w:lang w:val="en-US"/>
        </w:rPr>
        <w:t>nd eGFR decrease were evaluated</w:t>
      </w:r>
      <w:r w:rsidR="00297771" w:rsidRPr="00841D2D">
        <w:rPr>
          <w:rFonts w:ascii="Book Antiqua" w:hAnsi="Book Antiqua"/>
          <w:sz w:val="24"/>
          <w:szCs w:val="24"/>
          <w:vertAlign w:val="superscript"/>
          <w:lang w:val="en-US"/>
        </w:rPr>
        <w:t>[8</w:t>
      </w:r>
      <w:r w:rsidR="00FF104C">
        <w:rPr>
          <w:rFonts w:ascii="Book Antiqua" w:hAnsi="Book Antiqua" w:hint="eastAsia"/>
          <w:sz w:val="24"/>
          <w:szCs w:val="24"/>
          <w:vertAlign w:val="superscript"/>
          <w:lang w:val="en-US" w:eastAsia="zh-CN"/>
        </w:rPr>
        <w:t>4,</w:t>
      </w:r>
      <w:r w:rsidR="00297771" w:rsidRPr="00841D2D">
        <w:rPr>
          <w:rFonts w:ascii="Book Antiqua" w:hAnsi="Book Antiqua"/>
          <w:sz w:val="24"/>
          <w:szCs w:val="24"/>
          <w:vertAlign w:val="superscript"/>
          <w:lang w:val="en-US"/>
        </w:rPr>
        <w:t>8</w:t>
      </w:r>
      <w:r w:rsidR="00FF104C">
        <w:rPr>
          <w:rFonts w:ascii="Book Antiqua" w:hAnsi="Book Antiqua" w:hint="eastAsia"/>
          <w:sz w:val="24"/>
          <w:szCs w:val="24"/>
          <w:vertAlign w:val="superscript"/>
          <w:lang w:val="en-US" w:eastAsia="zh-CN"/>
        </w:rPr>
        <w:t>5</w:t>
      </w:r>
      <w:r w:rsidR="00297771" w:rsidRPr="00841D2D">
        <w:rPr>
          <w:rFonts w:ascii="Book Antiqua" w:hAnsi="Book Antiqua"/>
          <w:sz w:val="24"/>
          <w:szCs w:val="24"/>
          <w:vertAlign w:val="superscript"/>
          <w:lang w:val="en-US"/>
        </w:rPr>
        <w:t>]</w:t>
      </w:r>
      <w:r w:rsidR="00297771" w:rsidRPr="00841D2D">
        <w:rPr>
          <w:rFonts w:ascii="Book Antiqua" w:hAnsi="Book Antiqua"/>
          <w:sz w:val="24"/>
          <w:szCs w:val="24"/>
          <w:lang w:val="en-US"/>
        </w:rPr>
        <w:t>. More patients in the ETV group had creatinine increments ≥</w:t>
      </w:r>
      <w:r w:rsidR="0016284A">
        <w:rPr>
          <w:rFonts w:ascii="Book Antiqua" w:hAnsi="Book Antiqua" w:hint="eastAsia"/>
          <w:sz w:val="24"/>
          <w:szCs w:val="24"/>
          <w:lang w:val="en-US" w:eastAsia="zh-CN"/>
        </w:rPr>
        <w:t xml:space="preserve"> </w:t>
      </w:r>
      <w:r w:rsidR="00297771" w:rsidRPr="00841D2D">
        <w:rPr>
          <w:rFonts w:ascii="Book Antiqua" w:hAnsi="Book Antiqua"/>
          <w:sz w:val="24"/>
          <w:szCs w:val="24"/>
          <w:lang w:val="en-US"/>
        </w:rPr>
        <w:t>0.5 mg/dL</w:t>
      </w:r>
      <w:r w:rsidR="0016284A">
        <w:rPr>
          <w:rFonts w:ascii="Book Antiqua" w:hAnsi="Book Antiqua"/>
          <w:sz w:val="24"/>
          <w:szCs w:val="24"/>
          <w:lang w:val="en-US"/>
        </w:rPr>
        <w:t xml:space="preserve"> (3 </w:t>
      </w:r>
      <w:r w:rsidR="0016284A" w:rsidRPr="0016284A">
        <w:rPr>
          <w:rFonts w:ascii="Book Antiqua" w:hAnsi="Book Antiqua"/>
          <w:i/>
          <w:sz w:val="24"/>
          <w:szCs w:val="24"/>
          <w:lang w:val="en-US"/>
        </w:rPr>
        <w:t>vs</w:t>
      </w:r>
      <w:r w:rsidR="00297771" w:rsidRPr="00841D2D">
        <w:rPr>
          <w:rFonts w:ascii="Book Antiqua" w:hAnsi="Book Antiqua"/>
          <w:sz w:val="24"/>
          <w:szCs w:val="24"/>
          <w:lang w:val="en-US"/>
        </w:rPr>
        <w:t xml:space="preserve"> 11; </w:t>
      </w:r>
      <w:r w:rsidR="0016284A" w:rsidRPr="0016284A">
        <w:rPr>
          <w:rFonts w:ascii="Book Antiqua" w:hAnsi="Book Antiqua"/>
          <w:i/>
          <w:sz w:val="24"/>
          <w:szCs w:val="24"/>
          <w:lang w:val="en-US"/>
        </w:rPr>
        <w:t>P</w:t>
      </w:r>
      <w:r w:rsidR="00297771" w:rsidRPr="00841D2D">
        <w:rPr>
          <w:rFonts w:ascii="Book Antiqua" w:hAnsi="Book Antiqua"/>
          <w:sz w:val="24"/>
          <w:szCs w:val="24"/>
          <w:lang w:val="en-US"/>
        </w:rPr>
        <w:t xml:space="preserve"> = 0.025), whereas more patients treated with TDF had eGFR </w:t>
      </w:r>
      <w:r w:rsidR="0016284A">
        <w:rPr>
          <w:rFonts w:ascii="Book Antiqua" w:hAnsi="Book Antiqua"/>
          <w:sz w:val="24"/>
          <w:szCs w:val="24"/>
          <w:lang w:val="en-US"/>
        </w:rPr>
        <w:t>reductions of &lt;</w:t>
      </w:r>
      <w:r w:rsidR="0016284A">
        <w:rPr>
          <w:rFonts w:ascii="Book Antiqua" w:hAnsi="Book Antiqua" w:hint="eastAsia"/>
          <w:sz w:val="24"/>
          <w:szCs w:val="24"/>
          <w:lang w:val="en-US" w:eastAsia="zh-CN"/>
        </w:rPr>
        <w:t xml:space="preserve"> </w:t>
      </w:r>
      <w:r w:rsidR="0016284A">
        <w:rPr>
          <w:rFonts w:ascii="Book Antiqua" w:hAnsi="Book Antiqua"/>
          <w:sz w:val="24"/>
          <w:szCs w:val="24"/>
          <w:lang w:val="en-US"/>
        </w:rPr>
        <w:t>60 mL/min (15</w:t>
      </w:r>
      <w:r w:rsidR="0016284A" w:rsidRPr="0016284A">
        <w:rPr>
          <w:rFonts w:ascii="Book Antiqua" w:hAnsi="Book Antiqua"/>
          <w:i/>
          <w:sz w:val="24"/>
          <w:szCs w:val="24"/>
          <w:lang w:val="en-US"/>
        </w:rPr>
        <w:t xml:space="preserve"> vs</w:t>
      </w:r>
      <w:r w:rsidR="00297771" w:rsidRPr="00841D2D">
        <w:rPr>
          <w:rFonts w:ascii="Book Antiqua" w:hAnsi="Book Antiqua"/>
          <w:sz w:val="24"/>
          <w:szCs w:val="24"/>
          <w:lang w:val="en-US"/>
        </w:rPr>
        <w:t xml:space="preserve"> 6; </w:t>
      </w:r>
      <w:r w:rsidR="0016284A" w:rsidRPr="0016284A">
        <w:rPr>
          <w:rFonts w:ascii="Book Antiqua" w:hAnsi="Book Antiqua"/>
          <w:i/>
          <w:sz w:val="24"/>
          <w:szCs w:val="24"/>
          <w:lang w:val="en-US"/>
        </w:rPr>
        <w:t>P</w:t>
      </w:r>
      <w:r w:rsidR="00297771" w:rsidRPr="00841D2D">
        <w:rPr>
          <w:rFonts w:ascii="Book Antiqua" w:hAnsi="Book Antiqua"/>
          <w:sz w:val="24"/>
          <w:szCs w:val="24"/>
          <w:lang w:val="en-US"/>
        </w:rPr>
        <w:t xml:space="preserve"> = 0.022) and at l</w:t>
      </w:r>
      <w:r w:rsidR="0016284A">
        <w:rPr>
          <w:rFonts w:ascii="Book Antiqua" w:hAnsi="Book Antiqua"/>
          <w:sz w:val="24"/>
          <w:szCs w:val="24"/>
          <w:lang w:val="en-US"/>
        </w:rPr>
        <w:t xml:space="preserve">east 1 dose modification (13 </w:t>
      </w:r>
      <w:r w:rsidR="0016284A" w:rsidRPr="0016284A">
        <w:rPr>
          <w:rFonts w:ascii="Book Antiqua" w:hAnsi="Book Antiqua"/>
          <w:i/>
          <w:sz w:val="24"/>
          <w:szCs w:val="24"/>
          <w:lang w:val="en-US"/>
        </w:rPr>
        <w:t>vs</w:t>
      </w:r>
      <w:r w:rsidR="00297771" w:rsidRPr="00841D2D">
        <w:rPr>
          <w:rFonts w:ascii="Book Antiqua" w:hAnsi="Book Antiqua"/>
          <w:sz w:val="24"/>
          <w:szCs w:val="24"/>
          <w:lang w:val="en-US"/>
        </w:rPr>
        <w:t xml:space="preserve"> 4; </w:t>
      </w:r>
      <w:r w:rsidR="0016284A" w:rsidRPr="0016284A">
        <w:rPr>
          <w:rFonts w:ascii="Book Antiqua" w:hAnsi="Book Antiqua"/>
          <w:i/>
          <w:sz w:val="24"/>
          <w:szCs w:val="24"/>
          <w:lang w:val="en-US"/>
        </w:rPr>
        <w:t>P</w:t>
      </w:r>
      <w:r w:rsidR="00297771" w:rsidRPr="00841D2D">
        <w:rPr>
          <w:rFonts w:ascii="Book Antiqua" w:hAnsi="Book Antiqua"/>
          <w:sz w:val="24"/>
          <w:szCs w:val="24"/>
          <w:lang w:val="en-US"/>
        </w:rPr>
        <w:t xml:space="preserve"> = </w:t>
      </w:r>
      <w:r w:rsidR="0016284A">
        <w:rPr>
          <w:rFonts w:ascii="Book Antiqua" w:hAnsi="Book Antiqua" w:hint="eastAsia"/>
          <w:sz w:val="24"/>
          <w:szCs w:val="24"/>
          <w:lang w:val="en-US" w:eastAsia="zh-CN"/>
        </w:rPr>
        <w:t>0</w:t>
      </w:r>
      <w:r w:rsidR="00297771" w:rsidRPr="00841D2D">
        <w:rPr>
          <w:rFonts w:ascii="Book Antiqua" w:hAnsi="Book Antiqua"/>
          <w:sz w:val="24"/>
          <w:szCs w:val="24"/>
          <w:lang w:val="en-US"/>
        </w:rPr>
        <w:t>.021). In a multivariate analysis, previous organ t</w:t>
      </w:r>
      <w:r w:rsidR="0016284A">
        <w:rPr>
          <w:rFonts w:ascii="Book Antiqua" w:hAnsi="Book Antiqua"/>
          <w:sz w:val="24"/>
          <w:szCs w:val="24"/>
          <w:lang w:val="en-US"/>
        </w:rPr>
        <w:t>ransplantation (aOR, 6.740; 95%</w:t>
      </w:r>
      <w:r w:rsidR="00297771" w:rsidRPr="00841D2D">
        <w:rPr>
          <w:rFonts w:ascii="Book Antiqua" w:hAnsi="Book Antiqua"/>
          <w:sz w:val="24"/>
          <w:szCs w:val="24"/>
          <w:lang w:val="en-US"/>
        </w:rPr>
        <w:t>CI</w:t>
      </w:r>
      <w:r w:rsidR="0016284A">
        <w:rPr>
          <w:rFonts w:ascii="Book Antiqua" w:hAnsi="Book Antiqua" w:hint="eastAsia"/>
          <w:sz w:val="24"/>
          <w:szCs w:val="24"/>
          <w:lang w:val="en-US" w:eastAsia="zh-CN"/>
        </w:rPr>
        <w:t>:</w:t>
      </w:r>
      <w:r w:rsidR="00297771" w:rsidRPr="00841D2D">
        <w:rPr>
          <w:rFonts w:ascii="Book Antiqua" w:hAnsi="Book Antiqua"/>
          <w:sz w:val="24"/>
          <w:szCs w:val="24"/>
          <w:lang w:val="en-US"/>
        </w:rPr>
        <w:t xml:space="preserve"> 1.799-28.250; </w:t>
      </w:r>
      <w:r w:rsidR="0016284A" w:rsidRPr="0016284A">
        <w:rPr>
          <w:rFonts w:ascii="Book Antiqua" w:hAnsi="Book Antiqua"/>
          <w:i/>
          <w:sz w:val="24"/>
          <w:szCs w:val="24"/>
          <w:lang w:val="en-US"/>
        </w:rPr>
        <w:t>P</w:t>
      </w:r>
      <w:r w:rsidR="00297771" w:rsidRPr="00841D2D">
        <w:rPr>
          <w:rFonts w:ascii="Book Antiqua" w:hAnsi="Book Antiqua"/>
          <w:sz w:val="24"/>
          <w:szCs w:val="24"/>
          <w:lang w:val="en-US"/>
        </w:rPr>
        <w:t xml:space="preserve"> = 0.005) and pre-treatment </w:t>
      </w:r>
      <w:r w:rsidR="0016284A">
        <w:rPr>
          <w:rFonts w:ascii="Book Antiqua" w:hAnsi="Book Antiqua"/>
          <w:sz w:val="24"/>
          <w:szCs w:val="24"/>
          <w:lang w:val="en-US"/>
        </w:rPr>
        <w:t>renal failure (aOR, 10.960; 95%</w:t>
      </w:r>
      <w:r w:rsidR="00297771" w:rsidRPr="00841D2D">
        <w:rPr>
          <w:rFonts w:ascii="Book Antiqua" w:hAnsi="Book Antiqua"/>
          <w:sz w:val="24"/>
          <w:szCs w:val="24"/>
          <w:lang w:val="en-US"/>
        </w:rPr>
        <w:t>CI</w:t>
      </w:r>
      <w:r w:rsidR="0016284A">
        <w:rPr>
          <w:rFonts w:ascii="Book Antiqua" w:hAnsi="Book Antiqua" w:hint="eastAsia"/>
          <w:sz w:val="24"/>
          <w:szCs w:val="24"/>
          <w:lang w:val="en-US" w:eastAsia="zh-CN"/>
        </w:rPr>
        <w:t>:</w:t>
      </w:r>
      <w:r w:rsidR="00297771" w:rsidRPr="00841D2D">
        <w:rPr>
          <w:rFonts w:ascii="Book Antiqua" w:hAnsi="Book Antiqua"/>
          <w:sz w:val="24"/>
          <w:szCs w:val="24"/>
          <w:lang w:val="en-US"/>
        </w:rPr>
        <w:t xml:space="preserve"> 2.419-48.850; </w:t>
      </w:r>
      <w:r w:rsidR="0016284A" w:rsidRPr="0016284A">
        <w:rPr>
          <w:rFonts w:ascii="Book Antiqua" w:hAnsi="Book Antiqua"/>
          <w:i/>
          <w:sz w:val="24"/>
          <w:szCs w:val="24"/>
          <w:lang w:val="en-US"/>
        </w:rPr>
        <w:t>P</w:t>
      </w:r>
      <w:r w:rsidR="00297771" w:rsidRPr="00841D2D">
        <w:rPr>
          <w:rFonts w:ascii="Book Antiqua" w:hAnsi="Book Antiqua"/>
          <w:sz w:val="24"/>
          <w:szCs w:val="24"/>
          <w:lang w:val="en-US"/>
        </w:rPr>
        <w:t xml:space="preserve"> = 0.002) were significantly associated with increases in serum creatinine levels</w:t>
      </w:r>
      <w:r w:rsidR="000A1E17" w:rsidRPr="00841D2D">
        <w:rPr>
          <w:rFonts w:ascii="Book Antiqua" w:hAnsi="Book Antiqua"/>
          <w:sz w:val="24"/>
          <w:szCs w:val="24"/>
          <w:vertAlign w:val="superscript"/>
          <w:lang w:val="en-US"/>
        </w:rPr>
        <w:t>[8</w:t>
      </w:r>
      <w:r w:rsidR="00FF104C">
        <w:rPr>
          <w:rFonts w:ascii="Book Antiqua" w:hAnsi="Book Antiqua" w:hint="eastAsia"/>
          <w:sz w:val="24"/>
          <w:szCs w:val="24"/>
          <w:vertAlign w:val="superscript"/>
          <w:lang w:val="en-US" w:eastAsia="zh-CN"/>
        </w:rPr>
        <w:t>4</w:t>
      </w:r>
      <w:r w:rsidR="000A1E17" w:rsidRPr="00841D2D">
        <w:rPr>
          <w:rFonts w:ascii="Book Antiqua" w:hAnsi="Book Antiqua"/>
          <w:sz w:val="24"/>
          <w:szCs w:val="24"/>
          <w:vertAlign w:val="superscript"/>
          <w:lang w:val="en-US"/>
        </w:rPr>
        <w:t>]</w:t>
      </w:r>
      <w:r w:rsidR="000A1E17" w:rsidRPr="00841D2D">
        <w:rPr>
          <w:rFonts w:ascii="Book Antiqua" w:hAnsi="Book Antiqua"/>
          <w:sz w:val="24"/>
          <w:szCs w:val="24"/>
          <w:lang w:val="en-US"/>
        </w:rPr>
        <w:t>.</w:t>
      </w:r>
      <w:r w:rsidR="00FE4EF2" w:rsidRPr="00841D2D">
        <w:rPr>
          <w:rFonts w:ascii="Book Antiqua" w:hAnsi="Book Antiqua"/>
          <w:sz w:val="24"/>
          <w:szCs w:val="24"/>
          <w:lang w:val="en-US"/>
        </w:rPr>
        <w:t xml:space="preserve"> </w:t>
      </w:r>
      <w:r w:rsidR="0029299B" w:rsidRPr="00841D2D">
        <w:rPr>
          <w:rFonts w:ascii="Book Antiqua" w:hAnsi="Book Antiqua"/>
          <w:sz w:val="24"/>
          <w:szCs w:val="24"/>
          <w:lang w:val="en-US"/>
        </w:rPr>
        <w:t xml:space="preserve">Renal function was evaluated in 197 </w:t>
      </w:r>
      <w:r w:rsidR="00FE4EF2" w:rsidRPr="00841D2D">
        <w:rPr>
          <w:rFonts w:ascii="Book Antiqua" w:hAnsi="Book Antiqua"/>
          <w:sz w:val="24"/>
          <w:szCs w:val="24"/>
          <w:lang w:val="en-US"/>
        </w:rPr>
        <w:t xml:space="preserve">HBV </w:t>
      </w:r>
      <w:r w:rsidR="0029299B" w:rsidRPr="00841D2D">
        <w:rPr>
          <w:rFonts w:ascii="Book Antiqua" w:hAnsi="Book Antiqua"/>
          <w:sz w:val="24"/>
          <w:szCs w:val="24"/>
          <w:lang w:val="en-US"/>
        </w:rPr>
        <w:t>mono-infected</w:t>
      </w:r>
      <w:r w:rsidR="00FE4EF2" w:rsidRPr="00841D2D">
        <w:rPr>
          <w:rFonts w:ascii="Book Antiqua" w:hAnsi="Book Antiqua"/>
          <w:sz w:val="24"/>
          <w:szCs w:val="24"/>
          <w:lang w:val="en-US"/>
        </w:rPr>
        <w:t xml:space="preserve"> </w:t>
      </w:r>
      <w:r w:rsidR="0029299B" w:rsidRPr="00841D2D">
        <w:rPr>
          <w:rFonts w:ascii="Book Antiqua" w:hAnsi="Book Antiqua"/>
          <w:sz w:val="24"/>
          <w:szCs w:val="24"/>
          <w:lang w:val="en-US"/>
        </w:rPr>
        <w:t>patients from two outpatient clinics</w:t>
      </w:r>
      <w:r w:rsidR="00FE4EF2" w:rsidRPr="00841D2D">
        <w:rPr>
          <w:rFonts w:ascii="Book Antiqua" w:hAnsi="Book Antiqua"/>
          <w:sz w:val="24"/>
          <w:szCs w:val="24"/>
          <w:lang w:val="en-US"/>
        </w:rPr>
        <w:t xml:space="preserve"> </w:t>
      </w:r>
      <w:r w:rsidR="0029299B" w:rsidRPr="00841D2D">
        <w:rPr>
          <w:rFonts w:ascii="Book Antiqua" w:hAnsi="Book Antiqua"/>
          <w:sz w:val="24"/>
          <w:szCs w:val="24"/>
          <w:lang w:val="en-US"/>
        </w:rPr>
        <w:t xml:space="preserve">and who </w:t>
      </w:r>
      <w:r w:rsidR="00FE4EF2" w:rsidRPr="00841D2D">
        <w:rPr>
          <w:rFonts w:ascii="Book Antiqua" w:hAnsi="Book Antiqua"/>
          <w:sz w:val="24"/>
          <w:szCs w:val="24"/>
          <w:lang w:val="en-US"/>
        </w:rPr>
        <w:t xml:space="preserve">were </w:t>
      </w:r>
      <w:r w:rsidR="00297771" w:rsidRPr="00841D2D">
        <w:rPr>
          <w:rFonts w:ascii="Book Antiqua" w:hAnsi="Book Antiqua"/>
          <w:sz w:val="24"/>
          <w:szCs w:val="24"/>
          <w:lang w:val="en-US"/>
        </w:rPr>
        <w:t>classified</w:t>
      </w:r>
      <w:r w:rsidR="00FE4EF2" w:rsidRPr="00841D2D">
        <w:rPr>
          <w:rFonts w:ascii="Book Antiqua" w:hAnsi="Book Antiqua"/>
          <w:sz w:val="24"/>
          <w:szCs w:val="24"/>
          <w:lang w:val="en-US"/>
        </w:rPr>
        <w:t xml:space="preserve"> according to </w:t>
      </w:r>
      <w:r w:rsidR="00297771" w:rsidRPr="00841D2D">
        <w:rPr>
          <w:rFonts w:ascii="Book Antiqua" w:hAnsi="Book Antiqua"/>
          <w:sz w:val="24"/>
          <w:szCs w:val="24"/>
          <w:lang w:val="en-US"/>
        </w:rPr>
        <w:t>the received treatment</w:t>
      </w:r>
      <w:r w:rsidR="00FE4EF2" w:rsidRPr="00841D2D">
        <w:rPr>
          <w:rFonts w:ascii="Book Antiqua" w:hAnsi="Book Antiqua"/>
          <w:sz w:val="24"/>
          <w:szCs w:val="24"/>
          <w:lang w:val="en-US"/>
        </w:rPr>
        <w:t xml:space="preserve">: </w:t>
      </w:r>
      <w:r w:rsidR="0029299B" w:rsidRPr="00841D2D">
        <w:rPr>
          <w:rFonts w:ascii="Book Antiqua" w:hAnsi="Book Antiqua"/>
          <w:sz w:val="24"/>
          <w:szCs w:val="24"/>
          <w:lang w:val="en-US"/>
        </w:rPr>
        <w:t>LAM</w:t>
      </w:r>
      <w:r w:rsidR="00FE4EF2" w:rsidRPr="00841D2D">
        <w:rPr>
          <w:rFonts w:ascii="Book Antiqua" w:hAnsi="Book Antiqua"/>
          <w:sz w:val="24"/>
          <w:szCs w:val="24"/>
          <w:lang w:val="en-US"/>
        </w:rPr>
        <w:t xml:space="preserve"> (</w:t>
      </w:r>
      <w:r w:rsidR="00FE4EF2" w:rsidRPr="0016284A">
        <w:rPr>
          <w:rFonts w:ascii="Book Antiqua" w:hAnsi="Book Antiqua"/>
          <w:i/>
          <w:sz w:val="24"/>
          <w:szCs w:val="24"/>
          <w:lang w:val="en-US"/>
        </w:rPr>
        <w:t>n</w:t>
      </w:r>
      <w:r w:rsidR="00FE4EF2" w:rsidRPr="00841D2D">
        <w:rPr>
          <w:rFonts w:ascii="Book Antiqua" w:hAnsi="Book Antiqua"/>
          <w:sz w:val="24"/>
          <w:szCs w:val="24"/>
          <w:lang w:val="en-US"/>
        </w:rPr>
        <w:t xml:space="preserve"> = 36), </w:t>
      </w:r>
      <w:r w:rsidR="0029299B" w:rsidRPr="00841D2D">
        <w:rPr>
          <w:rFonts w:ascii="Book Antiqua" w:hAnsi="Book Antiqua"/>
          <w:sz w:val="24"/>
          <w:szCs w:val="24"/>
          <w:lang w:val="en-US"/>
        </w:rPr>
        <w:t>ADV</w:t>
      </w:r>
      <w:r w:rsidR="00FE4EF2" w:rsidRPr="00841D2D">
        <w:rPr>
          <w:rFonts w:ascii="Book Antiqua" w:hAnsi="Book Antiqua"/>
          <w:sz w:val="24"/>
          <w:szCs w:val="24"/>
          <w:lang w:val="en-US"/>
        </w:rPr>
        <w:t xml:space="preserve"> (</w:t>
      </w:r>
      <w:r w:rsidR="00FE4EF2" w:rsidRPr="0016284A">
        <w:rPr>
          <w:rFonts w:ascii="Book Antiqua" w:hAnsi="Book Antiqua"/>
          <w:i/>
          <w:sz w:val="24"/>
          <w:szCs w:val="24"/>
          <w:lang w:val="en-US"/>
        </w:rPr>
        <w:t>n</w:t>
      </w:r>
      <w:r w:rsidR="00FE4EF2" w:rsidRPr="00841D2D">
        <w:rPr>
          <w:rFonts w:ascii="Book Antiqua" w:hAnsi="Book Antiqua"/>
          <w:sz w:val="24"/>
          <w:szCs w:val="24"/>
          <w:lang w:val="en-US"/>
        </w:rPr>
        <w:t xml:space="preserve"> = 32),</w:t>
      </w:r>
      <w:r w:rsidR="0029299B" w:rsidRPr="00841D2D">
        <w:rPr>
          <w:rFonts w:ascii="Book Antiqua" w:hAnsi="Book Antiqua"/>
          <w:sz w:val="24"/>
          <w:szCs w:val="24"/>
          <w:lang w:val="en-US"/>
        </w:rPr>
        <w:t xml:space="preserve"> ETV</w:t>
      </w:r>
      <w:r w:rsidR="00FE4EF2" w:rsidRPr="00841D2D">
        <w:rPr>
          <w:rFonts w:ascii="Book Antiqua" w:hAnsi="Book Antiqua"/>
          <w:sz w:val="24"/>
          <w:szCs w:val="24"/>
          <w:lang w:val="en-US"/>
        </w:rPr>
        <w:t xml:space="preserve"> (</w:t>
      </w:r>
      <w:r w:rsidR="00FE4EF2" w:rsidRPr="0016284A">
        <w:rPr>
          <w:rFonts w:ascii="Book Antiqua" w:hAnsi="Book Antiqua"/>
          <w:i/>
          <w:sz w:val="24"/>
          <w:szCs w:val="24"/>
          <w:lang w:val="en-US"/>
        </w:rPr>
        <w:t>n</w:t>
      </w:r>
      <w:r w:rsidR="00FE4EF2" w:rsidRPr="00841D2D">
        <w:rPr>
          <w:rFonts w:ascii="Book Antiqua" w:hAnsi="Book Antiqua"/>
          <w:sz w:val="24"/>
          <w:szCs w:val="24"/>
          <w:lang w:val="en-US"/>
        </w:rPr>
        <w:t xml:space="preserve"> = 32), </w:t>
      </w:r>
      <w:r w:rsidR="0029299B" w:rsidRPr="00841D2D">
        <w:rPr>
          <w:rFonts w:ascii="Book Antiqua" w:hAnsi="Book Antiqua"/>
          <w:sz w:val="24"/>
          <w:szCs w:val="24"/>
          <w:lang w:val="en-US"/>
        </w:rPr>
        <w:t>TDF</w:t>
      </w:r>
      <w:r w:rsidR="00FE4EF2" w:rsidRPr="00841D2D">
        <w:rPr>
          <w:rFonts w:ascii="Book Antiqua" w:hAnsi="Book Antiqua"/>
          <w:sz w:val="24"/>
          <w:szCs w:val="24"/>
          <w:lang w:val="en-US"/>
        </w:rPr>
        <w:t xml:space="preserve"> (</w:t>
      </w:r>
      <w:r w:rsidR="00FE4EF2" w:rsidRPr="0016284A">
        <w:rPr>
          <w:rFonts w:ascii="Book Antiqua" w:hAnsi="Book Antiqua"/>
          <w:i/>
          <w:sz w:val="24"/>
          <w:szCs w:val="24"/>
          <w:lang w:val="en-US"/>
        </w:rPr>
        <w:t>n</w:t>
      </w:r>
      <w:r w:rsidR="00FE4EF2" w:rsidRPr="00841D2D">
        <w:rPr>
          <w:rFonts w:ascii="Book Antiqua" w:hAnsi="Book Antiqua"/>
          <w:sz w:val="24"/>
          <w:szCs w:val="24"/>
          <w:lang w:val="en-US"/>
        </w:rPr>
        <w:t xml:space="preserve"> = 37), and untreated HBsAg-positive patients</w:t>
      </w:r>
      <w:r w:rsidR="0029299B" w:rsidRPr="00841D2D">
        <w:rPr>
          <w:rFonts w:ascii="Book Antiqua" w:hAnsi="Book Antiqua"/>
          <w:sz w:val="24"/>
          <w:szCs w:val="24"/>
          <w:lang w:val="en-US"/>
        </w:rPr>
        <w:t xml:space="preserve"> </w:t>
      </w:r>
      <w:r w:rsidR="00FE4EF2" w:rsidRPr="00841D2D">
        <w:rPr>
          <w:rFonts w:ascii="Book Antiqua" w:hAnsi="Book Antiqua"/>
          <w:sz w:val="24"/>
          <w:szCs w:val="24"/>
          <w:lang w:val="en-US"/>
        </w:rPr>
        <w:t>(</w:t>
      </w:r>
      <w:r w:rsidR="00FE4EF2" w:rsidRPr="0016284A">
        <w:rPr>
          <w:rFonts w:ascii="Book Antiqua" w:hAnsi="Book Antiqua"/>
          <w:i/>
          <w:sz w:val="24"/>
          <w:szCs w:val="24"/>
          <w:lang w:val="en-US"/>
        </w:rPr>
        <w:t>n</w:t>
      </w:r>
      <w:r w:rsidR="00FE4EF2" w:rsidRPr="00841D2D">
        <w:rPr>
          <w:rFonts w:ascii="Book Antiqua" w:hAnsi="Book Antiqua"/>
          <w:sz w:val="24"/>
          <w:szCs w:val="24"/>
          <w:lang w:val="en-US"/>
        </w:rPr>
        <w:t xml:space="preserve"> = 60)</w:t>
      </w:r>
      <w:r w:rsidR="0029299B" w:rsidRPr="00841D2D">
        <w:rPr>
          <w:rFonts w:ascii="Book Antiqua" w:hAnsi="Book Antiqua"/>
          <w:sz w:val="24"/>
          <w:szCs w:val="24"/>
          <w:vertAlign w:val="superscript"/>
          <w:lang w:val="en-US"/>
        </w:rPr>
        <w:t>[8</w:t>
      </w:r>
      <w:r w:rsidR="00FF104C">
        <w:rPr>
          <w:rFonts w:ascii="Book Antiqua" w:hAnsi="Book Antiqua" w:hint="eastAsia"/>
          <w:sz w:val="24"/>
          <w:szCs w:val="24"/>
          <w:vertAlign w:val="superscript"/>
          <w:lang w:val="en-US" w:eastAsia="zh-CN"/>
        </w:rPr>
        <w:t>6</w:t>
      </w:r>
      <w:r w:rsidR="0029299B" w:rsidRPr="00841D2D">
        <w:rPr>
          <w:rFonts w:ascii="Book Antiqua" w:hAnsi="Book Antiqua"/>
          <w:sz w:val="24"/>
          <w:szCs w:val="24"/>
          <w:vertAlign w:val="superscript"/>
          <w:lang w:val="en-US"/>
        </w:rPr>
        <w:t>]</w:t>
      </w:r>
      <w:r w:rsidR="00FE4EF2" w:rsidRPr="00841D2D">
        <w:rPr>
          <w:rFonts w:ascii="Book Antiqua" w:hAnsi="Book Antiqua"/>
          <w:sz w:val="24"/>
          <w:szCs w:val="24"/>
          <w:lang w:val="en-US"/>
        </w:rPr>
        <w:t>.</w:t>
      </w:r>
      <w:r w:rsidR="0029299B" w:rsidRPr="00841D2D">
        <w:rPr>
          <w:rFonts w:ascii="Book Antiqua" w:hAnsi="Book Antiqua"/>
          <w:sz w:val="24"/>
          <w:szCs w:val="24"/>
          <w:lang w:val="en-US"/>
        </w:rPr>
        <w:t xml:space="preserve"> The CKD-EPI equation was used to calculate eGFR and the individual change in eGFR over time was modeled with linear mixed effects models. </w:t>
      </w:r>
      <w:r w:rsidR="00DA46F9" w:rsidRPr="00841D2D">
        <w:rPr>
          <w:rFonts w:ascii="Book Antiqua" w:hAnsi="Book Antiqua"/>
          <w:sz w:val="24"/>
          <w:szCs w:val="24"/>
          <w:lang w:val="en-US"/>
        </w:rPr>
        <w:t xml:space="preserve">Patients with </w:t>
      </w:r>
      <w:r w:rsidR="00297771" w:rsidRPr="00841D2D">
        <w:rPr>
          <w:rFonts w:ascii="Book Antiqua" w:hAnsi="Book Antiqua"/>
          <w:sz w:val="24"/>
          <w:szCs w:val="24"/>
          <w:lang w:val="en-US"/>
        </w:rPr>
        <w:t>previous</w:t>
      </w:r>
      <w:r w:rsidR="00DA46F9" w:rsidRPr="00841D2D">
        <w:rPr>
          <w:rFonts w:ascii="Book Antiqua" w:hAnsi="Book Antiqua"/>
          <w:sz w:val="24"/>
          <w:szCs w:val="24"/>
          <w:lang w:val="en-US"/>
        </w:rPr>
        <w:t xml:space="preserve"> renal d</w:t>
      </w:r>
      <w:r w:rsidR="00297771" w:rsidRPr="00841D2D">
        <w:rPr>
          <w:rFonts w:ascii="Book Antiqua" w:hAnsi="Book Antiqua"/>
          <w:sz w:val="24"/>
          <w:szCs w:val="24"/>
          <w:lang w:val="en-US"/>
        </w:rPr>
        <w:t>ysfunction, d</w:t>
      </w:r>
      <w:r w:rsidR="00DA46F9" w:rsidRPr="00841D2D">
        <w:rPr>
          <w:rFonts w:ascii="Book Antiqua" w:hAnsi="Book Antiqua"/>
          <w:sz w:val="24"/>
          <w:szCs w:val="24"/>
          <w:lang w:val="en-US"/>
        </w:rPr>
        <w:t xml:space="preserve">iabetes mellitus, or arterial hypertension were excluded from the analysis. </w:t>
      </w:r>
      <w:r w:rsidR="00297771" w:rsidRPr="00841D2D">
        <w:rPr>
          <w:rFonts w:ascii="Book Antiqua" w:hAnsi="Book Antiqua"/>
          <w:sz w:val="24"/>
          <w:szCs w:val="24"/>
          <w:lang w:val="en-US"/>
        </w:rPr>
        <w:t>The yearly predicted median individual changes in eGFR according to this model were: -2.05 m</w:t>
      </w:r>
      <w:r w:rsidR="0016284A" w:rsidRPr="00841D2D">
        <w:rPr>
          <w:rFonts w:ascii="Book Antiqua" w:hAnsi="Book Antiqua"/>
          <w:sz w:val="24"/>
          <w:szCs w:val="24"/>
          <w:lang w:val="en-US"/>
        </w:rPr>
        <w:t>L</w:t>
      </w:r>
      <w:r w:rsidR="00297771" w:rsidRPr="00841D2D">
        <w:rPr>
          <w:rFonts w:ascii="Book Antiqua" w:hAnsi="Book Antiqua"/>
          <w:sz w:val="24"/>
          <w:szCs w:val="24"/>
          <w:lang w:val="en-US"/>
        </w:rPr>
        <w:t>/min in untreated patients, and -0.92 m</w:t>
      </w:r>
      <w:r w:rsidR="0016284A" w:rsidRPr="00841D2D">
        <w:rPr>
          <w:rFonts w:ascii="Book Antiqua" w:hAnsi="Book Antiqua"/>
          <w:sz w:val="24"/>
          <w:szCs w:val="24"/>
          <w:lang w:val="en-US"/>
        </w:rPr>
        <w:t>L</w:t>
      </w:r>
      <w:r w:rsidR="00297771" w:rsidRPr="00841D2D">
        <w:rPr>
          <w:rFonts w:ascii="Book Antiqua" w:hAnsi="Book Antiqua"/>
          <w:sz w:val="24"/>
          <w:szCs w:val="24"/>
          <w:lang w:val="en-US"/>
        </w:rPr>
        <w:t>/min, -1.02 m</w:t>
      </w:r>
      <w:r w:rsidR="0016284A" w:rsidRPr="00841D2D">
        <w:rPr>
          <w:rFonts w:ascii="Book Antiqua" w:hAnsi="Book Antiqua"/>
          <w:sz w:val="24"/>
          <w:szCs w:val="24"/>
          <w:lang w:val="en-US"/>
        </w:rPr>
        <w:t>L</w:t>
      </w:r>
      <w:r w:rsidR="00297771" w:rsidRPr="00841D2D">
        <w:rPr>
          <w:rFonts w:ascii="Book Antiqua" w:hAnsi="Book Antiqua"/>
          <w:sz w:val="24"/>
          <w:szCs w:val="24"/>
          <w:lang w:val="en-US"/>
        </w:rPr>
        <w:t>/min, -1.00 m</w:t>
      </w:r>
      <w:r w:rsidR="0016284A" w:rsidRPr="00841D2D">
        <w:rPr>
          <w:rFonts w:ascii="Book Antiqua" w:hAnsi="Book Antiqua"/>
          <w:sz w:val="24"/>
          <w:szCs w:val="24"/>
          <w:lang w:val="en-US"/>
        </w:rPr>
        <w:t>L</w:t>
      </w:r>
      <w:r w:rsidR="00297771" w:rsidRPr="00841D2D">
        <w:rPr>
          <w:rFonts w:ascii="Book Antiqua" w:hAnsi="Book Antiqua"/>
          <w:sz w:val="24"/>
          <w:szCs w:val="24"/>
          <w:lang w:val="en-US"/>
        </w:rPr>
        <w:t>/min, and -0.92 m</w:t>
      </w:r>
      <w:r w:rsidR="0016284A" w:rsidRPr="00841D2D">
        <w:rPr>
          <w:rFonts w:ascii="Book Antiqua" w:hAnsi="Book Antiqua"/>
          <w:sz w:val="24"/>
          <w:szCs w:val="24"/>
          <w:lang w:val="en-US"/>
        </w:rPr>
        <w:t>L</w:t>
      </w:r>
      <w:r w:rsidR="00297771" w:rsidRPr="00841D2D">
        <w:rPr>
          <w:rFonts w:ascii="Book Antiqua" w:hAnsi="Book Antiqua"/>
          <w:sz w:val="24"/>
          <w:szCs w:val="24"/>
          <w:lang w:val="en-US"/>
        </w:rPr>
        <w:t>/min in LAM, ADV, ETV and TDF treated patients, respectively. A decrease of eGFR &gt;</w:t>
      </w:r>
      <w:r w:rsidR="0016284A">
        <w:rPr>
          <w:rFonts w:ascii="Book Antiqua" w:hAnsi="Book Antiqua" w:hint="eastAsia"/>
          <w:sz w:val="24"/>
          <w:szCs w:val="24"/>
          <w:lang w:val="en-US" w:eastAsia="zh-CN"/>
        </w:rPr>
        <w:t xml:space="preserve"> </w:t>
      </w:r>
      <w:r w:rsidR="00297771" w:rsidRPr="00841D2D">
        <w:rPr>
          <w:rFonts w:ascii="Book Antiqua" w:hAnsi="Book Antiqua"/>
          <w:sz w:val="24"/>
          <w:szCs w:val="24"/>
          <w:lang w:val="en-US"/>
        </w:rPr>
        <w:t>20 m</w:t>
      </w:r>
      <w:r w:rsidR="0016284A" w:rsidRPr="00841D2D">
        <w:rPr>
          <w:rFonts w:ascii="Book Antiqua" w:hAnsi="Book Antiqua"/>
          <w:sz w:val="24"/>
          <w:szCs w:val="24"/>
          <w:lang w:val="en-US"/>
        </w:rPr>
        <w:t>L</w:t>
      </w:r>
      <w:r w:rsidR="00297771" w:rsidRPr="00841D2D">
        <w:rPr>
          <w:rFonts w:ascii="Book Antiqua" w:hAnsi="Book Antiqua"/>
          <w:sz w:val="24"/>
          <w:szCs w:val="24"/>
          <w:lang w:val="en-US"/>
        </w:rPr>
        <w:t>/min from baseline developed in 3.3% of untreated patients, and in 5.5%, 0%, 6.25%, and 2.7% in LAM, ADV, ETV and TDF treated patients, respectively. Renal insufficiency stage 3 (eGFR of &lt;</w:t>
      </w:r>
      <w:r w:rsidR="0016284A">
        <w:rPr>
          <w:rFonts w:ascii="Book Antiqua" w:hAnsi="Book Antiqua" w:hint="eastAsia"/>
          <w:sz w:val="24"/>
          <w:szCs w:val="24"/>
          <w:lang w:val="en-US" w:eastAsia="zh-CN"/>
        </w:rPr>
        <w:t xml:space="preserve"> </w:t>
      </w:r>
      <w:r w:rsidR="00297771" w:rsidRPr="00841D2D">
        <w:rPr>
          <w:rFonts w:ascii="Book Antiqua" w:hAnsi="Book Antiqua"/>
          <w:sz w:val="24"/>
          <w:szCs w:val="24"/>
          <w:lang w:val="en-US"/>
        </w:rPr>
        <w:t>60 m</w:t>
      </w:r>
      <w:r w:rsidR="0016284A" w:rsidRPr="00841D2D">
        <w:rPr>
          <w:rFonts w:ascii="Book Antiqua" w:hAnsi="Book Antiqua"/>
          <w:sz w:val="24"/>
          <w:szCs w:val="24"/>
          <w:lang w:val="en-US"/>
        </w:rPr>
        <w:t>L</w:t>
      </w:r>
      <w:r w:rsidR="00297771" w:rsidRPr="00841D2D">
        <w:rPr>
          <w:rFonts w:ascii="Book Antiqua" w:hAnsi="Book Antiqua"/>
          <w:sz w:val="24"/>
          <w:szCs w:val="24"/>
          <w:lang w:val="en-US"/>
        </w:rPr>
        <w:t>/min) was uncommon and not different between all patient groups</w:t>
      </w:r>
      <w:r w:rsidR="00DE18CD" w:rsidRPr="00841D2D">
        <w:rPr>
          <w:rFonts w:ascii="Book Antiqua" w:hAnsi="Book Antiqua"/>
          <w:sz w:val="24"/>
          <w:szCs w:val="24"/>
          <w:vertAlign w:val="superscript"/>
          <w:lang w:val="en-US"/>
        </w:rPr>
        <w:t>[8</w:t>
      </w:r>
      <w:r w:rsidR="00FF104C">
        <w:rPr>
          <w:rFonts w:ascii="Book Antiqua" w:hAnsi="Book Antiqua" w:hint="eastAsia"/>
          <w:sz w:val="24"/>
          <w:szCs w:val="24"/>
          <w:vertAlign w:val="superscript"/>
          <w:lang w:val="en-US" w:eastAsia="zh-CN"/>
        </w:rPr>
        <w:t>6</w:t>
      </w:r>
      <w:r w:rsidR="00DA46F9" w:rsidRPr="00841D2D">
        <w:rPr>
          <w:rFonts w:ascii="Book Antiqua" w:hAnsi="Book Antiqua"/>
          <w:sz w:val="24"/>
          <w:szCs w:val="24"/>
          <w:vertAlign w:val="superscript"/>
          <w:lang w:val="en-US"/>
        </w:rPr>
        <w:t>]</w:t>
      </w:r>
      <w:r w:rsidR="00DA46F9" w:rsidRPr="00841D2D">
        <w:rPr>
          <w:rFonts w:ascii="Book Antiqua" w:hAnsi="Book Antiqua"/>
          <w:sz w:val="24"/>
          <w:szCs w:val="24"/>
          <w:lang w:val="en-US"/>
        </w:rPr>
        <w:t>.</w:t>
      </w:r>
    </w:p>
    <w:p w:rsidR="006A34F3" w:rsidRDefault="00DA46F9" w:rsidP="0016284A">
      <w:pPr>
        <w:spacing w:after="0" w:line="360" w:lineRule="auto"/>
        <w:ind w:firstLineChars="100" w:firstLine="240"/>
        <w:jc w:val="both"/>
        <w:rPr>
          <w:rFonts w:ascii="Book Antiqua" w:hAnsi="Book Antiqua"/>
          <w:sz w:val="24"/>
          <w:szCs w:val="24"/>
          <w:lang w:val="en-US" w:eastAsia="zh-CN"/>
        </w:rPr>
      </w:pPr>
      <w:r w:rsidRPr="00841D2D">
        <w:rPr>
          <w:rFonts w:ascii="Book Antiqua" w:hAnsi="Book Antiqua"/>
          <w:sz w:val="24"/>
          <w:szCs w:val="24"/>
          <w:lang w:val="en-US"/>
        </w:rPr>
        <w:t xml:space="preserve">First line NUCs, ETV and TDF, appears to have little impact on renal function in the general population when compared with untreated controls and with the others NUCs. </w:t>
      </w:r>
      <w:r w:rsidR="00297771" w:rsidRPr="00841D2D">
        <w:rPr>
          <w:rFonts w:ascii="Book Antiqua" w:hAnsi="Book Antiqua"/>
          <w:sz w:val="24"/>
          <w:szCs w:val="24"/>
          <w:lang w:val="en-US"/>
        </w:rPr>
        <w:t>Markers of renal function indicated that TDF treated patients, suspected to be more nephrotoxic, have similar risks of developing changes in renal function than ETV treated patients.</w:t>
      </w:r>
      <w:r w:rsidRPr="00841D2D">
        <w:rPr>
          <w:rFonts w:ascii="Book Antiqua" w:hAnsi="Book Antiqua"/>
          <w:sz w:val="24"/>
          <w:szCs w:val="24"/>
          <w:lang w:val="en-US"/>
        </w:rPr>
        <w:t xml:space="preserve"> </w:t>
      </w:r>
      <w:r w:rsidR="00297771" w:rsidRPr="00841D2D">
        <w:rPr>
          <w:rFonts w:ascii="Book Antiqua" w:hAnsi="Book Antiqua"/>
          <w:sz w:val="24"/>
          <w:szCs w:val="24"/>
          <w:lang w:val="en-US"/>
        </w:rPr>
        <w:t xml:space="preserve">Although there is some evidence showing some </w:t>
      </w:r>
      <w:r w:rsidR="0016284A">
        <w:rPr>
          <w:rFonts w:ascii="Book Antiqua" w:hAnsi="Book Antiqua"/>
          <w:sz w:val="24"/>
          <w:szCs w:val="24"/>
          <w:lang w:val="en-US"/>
        </w:rPr>
        <w:t xml:space="preserve">degree of renal dysfunction in </w:t>
      </w:r>
      <w:r w:rsidR="00297771" w:rsidRPr="00841D2D">
        <w:rPr>
          <w:rFonts w:ascii="Book Antiqua" w:hAnsi="Book Antiqua"/>
          <w:sz w:val="24"/>
          <w:szCs w:val="24"/>
          <w:lang w:val="en-US"/>
        </w:rPr>
        <w:t>ETV treated patients, its clinical significance remains unclear and it may represent a physiological decrease in renal function in this group and/or reflect the potential limitations of standard biochemical tests of renal function</w:t>
      </w:r>
      <w:r w:rsidR="0016284A">
        <w:rPr>
          <w:rFonts w:ascii="Book Antiqua" w:hAnsi="Book Antiqua"/>
          <w:sz w:val="24"/>
          <w:szCs w:val="24"/>
          <w:lang w:val="en-US"/>
        </w:rPr>
        <w:t xml:space="preserve"> in patients with liver disease</w:t>
      </w:r>
      <w:r w:rsidR="00DE18CD" w:rsidRPr="00841D2D">
        <w:rPr>
          <w:rFonts w:ascii="Book Antiqua" w:hAnsi="Book Antiqua"/>
          <w:sz w:val="24"/>
          <w:szCs w:val="24"/>
          <w:vertAlign w:val="superscript"/>
          <w:lang w:val="en-US"/>
        </w:rPr>
        <w:t>[8</w:t>
      </w:r>
      <w:r w:rsidR="00FF104C">
        <w:rPr>
          <w:rFonts w:ascii="Book Antiqua" w:hAnsi="Book Antiqua" w:hint="eastAsia"/>
          <w:sz w:val="24"/>
          <w:szCs w:val="24"/>
          <w:vertAlign w:val="superscript"/>
          <w:lang w:val="en-US" w:eastAsia="zh-CN"/>
        </w:rPr>
        <w:t>3</w:t>
      </w:r>
      <w:r w:rsidR="00FE4EF2" w:rsidRPr="00841D2D">
        <w:rPr>
          <w:rFonts w:ascii="Book Antiqua" w:hAnsi="Book Antiqua"/>
          <w:sz w:val="24"/>
          <w:szCs w:val="24"/>
          <w:vertAlign w:val="superscript"/>
          <w:lang w:val="en-US"/>
        </w:rPr>
        <w:t>]</w:t>
      </w:r>
      <w:r w:rsidR="00FE4EF2" w:rsidRPr="00841D2D">
        <w:rPr>
          <w:rFonts w:ascii="Book Antiqua" w:hAnsi="Book Antiqua"/>
          <w:sz w:val="24"/>
          <w:szCs w:val="24"/>
          <w:lang w:val="en-US"/>
        </w:rPr>
        <w:t xml:space="preserve">. </w:t>
      </w:r>
      <w:r w:rsidR="003C14E0" w:rsidRPr="00841D2D">
        <w:rPr>
          <w:rFonts w:ascii="Book Antiqua" w:hAnsi="Book Antiqua"/>
          <w:sz w:val="24"/>
          <w:szCs w:val="24"/>
          <w:lang w:val="en-US"/>
        </w:rPr>
        <w:t>Baseline renal risk factors may play a role in the</w:t>
      </w:r>
      <w:r w:rsidR="00FE4EF2" w:rsidRPr="00841D2D">
        <w:rPr>
          <w:rFonts w:ascii="Book Antiqua" w:hAnsi="Book Antiqua"/>
          <w:sz w:val="24"/>
          <w:szCs w:val="24"/>
          <w:lang w:val="en-US"/>
        </w:rPr>
        <w:t xml:space="preserve"> </w:t>
      </w:r>
      <w:r w:rsidR="003C14E0" w:rsidRPr="00841D2D">
        <w:rPr>
          <w:rFonts w:ascii="Book Antiqua" w:hAnsi="Book Antiqua"/>
          <w:sz w:val="24"/>
          <w:szCs w:val="24"/>
          <w:lang w:val="en-US"/>
        </w:rPr>
        <w:t xml:space="preserve">nephrotoxic effects of NUCs. </w:t>
      </w:r>
      <w:r w:rsidR="007E74FB" w:rsidRPr="00841D2D">
        <w:rPr>
          <w:rFonts w:ascii="Book Antiqua" w:hAnsi="Book Antiqua"/>
          <w:sz w:val="24"/>
          <w:szCs w:val="24"/>
          <w:lang w:val="en-US"/>
        </w:rPr>
        <w:t xml:space="preserve">Data on RT patients is limited but these results can be extrapolated to this population, taking into account that these RT recipients can be considered within the high renal risk group. </w:t>
      </w:r>
      <w:r w:rsidR="009C759E" w:rsidRPr="00841D2D">
        <w:rPr>
          <w:rFonts w:ascii="Book Antiqua" w:hAnsi="Book Antiqua"/>
          <w:sz w:val="24"/>
          <w:szCs w:val="24"/>
          <w:lang w:val="en-US"/>
        </w:rPr>
        <w:t>Therefore, it is recommended in all HBV treated patients to measure serum creatinine levels and estimated creatinine clearance, and in ADV or TDF treated patients it is also recommended to measure serum phosphate levels, especially in patients at high renal risk. In patients at low renal risk these tests can be performed every 3 mo during the first year and every 6 mo thereafter, in case of no renal adverse events. In patients at high renal risk these tests can be performed every month for the first 3 mo, every 3 mo until the end of the first year and every 6 mo thereafter, in case of no renal adverse events. Closer renal monitoring is required in patients who develop reductions in creatinine clearance &lt;</w:t>
      </w:r>
      <w:r w:rsidR="0016284A">
        <w:rPr>
          <w:rFonts w:ascii="Book Antiqua" w:hAnsi="Book Antiqua" w:hint="eastAsia"/>
          <w:sz w:val="24"/>
          <w:szCs w:val="24"/>
          <w:lang w:val="en-US" w:eastAsia="zh-CN"/>
        </w:rPr>
        <w:t xml:space="preserve"> </w:t>
      </w:r>
      <w:r w:rsidR="009C759E" w:rsidRPr="00841D2D">
        <w:rPr>
          <w:rFonts w:ascii="Book Antiqua" w:hAnsi="Book Antiqua"/>
          <w:sz w:val="24"/>
          <w:szCs w:val="24"/>
          <w:lang w:val="en-US"/>
        </w:rPr>
        <w:t>60 m</w:t>
      </w:r>
      <w:r w:rsidR="0016284A" w:rsidRPr="00841D2D">
        <w:rPr>
          <w:rFonts w:ascii="Book Antiqua" w:hAnsi="Book Antiqua"/>
          <w:sz w:val="24"/>
          <w:szCs w:val="24"/>
          <w:lang w:val="en-US"/>
        </w:rPr>
        <w:t>L</w:t>
      </w:r>
      <w:r w:rsidR="009C759E" w:rsidRPr="00841D2D">
        <w:rPr>
          <w:rFonts w:ascii="Book Antiqua" w:hAnsi="Book Antiqua"/>
          <w:sz w:val="24"/>
          <w:szCs w:val="24"/>
          <w:lang w:val="en-US"/>
        </w:rPr>
        <w:t>/min or reductions in serum phosphate levels &lt;</w:t>
      </w:r>
      <w:r w:rsidR="0016284A">
        <w:rPr>
          <w:rFonts w:ascii="Book Antiqua" w:hAnsi="Book Antiqua" w:hint="eastAsia"/>
          <w:sz w:val="24"/>
          <w:szCs w:val="24"/>
          <w:lang w:val="en-US" w:eastAsia="zh-CN"/>
        </w:rPr>
        <w:t xml:space="preserve"> </w:t>
      </w:r>
      <w:r w:rsidR="009C759E" w:rsidRPr="00841D2D">
        <w:rPr>
          <w:rFonts w:ascii="Book Antiqua" w:hAnsi="Book Antiqua"/>
          <w:sz w:val="24"/>
          <w:szCs w:val="24"/>
          <w:lang w:val="en-US"/>
        </w:rPr>
        <w:t>2 mg/d</w:t>
      </w:r>
      <w:r w:rsidR="0016284A" w:rsidRPr="00841D2D">
        <w:rPr>
          <w:rFonts w:ascii="Book Antiqua" w:hAnsi="Book Antiqua"/>
          <w:sz w:val="24"/>
          <w:szCs w:val="24"/>
          <w:lang w:val="en-US"/>
        </w:rPr>
        <w:t>L</w:t>
      </w:r>
      <w:r w:rsidR="002630C9" w:rsidRPr="00841D2D">
        <w:rPr>
          <w:rFonts w:ascii="Book Antiqua" w:hAnsi="Book Antiqua"/>
          <w:sz w:val="24"/>
          <w:szCs w:val="24"/>
          <w:vertAlign w:val="superscript"/>
          <w:lang w:val="en-US"/>
        </w:rPr>
        <w:t>[9,10,15,8</w:t>
      </w:r>
      <w:r w:rsidR="00FF104C">
        <w:rPr>
          <w:rFonts w:ascii="Book Antiqua" w:hAnsi="Book Antiqua" w:hint="eastAsia"/>
          <w:sz w:val="24"/>
          <w:szCs w:val="24"/>
          <w:vertAlign w:val="superscript"/>
          <w:lang w:val="en-US" w:eastAsia="zh-CN"/>
        </w:rPr>
        <w:t>7</w:t>
      </w:r>
      <w:r w:rsidR="002630C9" w:rsidRPr="00841D2D">
        <w:rPr>
          <w:rFonts w:ascii="Book Antiqua" w:hAnsi="Book Antiqua"/>
          <w:sz w:val="24"/>
          <w:szCs w:val="24"/>
          <w:vertAlign w:val="superscript"/>
          <w:lang w:val="en-US"/>
        </w:rPr>
        <w:t>]</w:t>
      </w:r>
      <w:r w:rsidR="006A34F3" w:rsidRPr="00841D2D">
        <w:rPr>
          <w:rFonts w:ascii="Book Antiqua" w:hAnsi="Book Antiqua"/>
          <w:sz w:val="24"/>
          <w:szCs w:val="24"/>
          <w:lang w:val="en-US"/>
        </w:rPr>
        <w:t>.</w:t>
      </w:r>
    </w:p>
    <w:p w:rsidR="0016284A" w:rsidRPr="00841D2D" w:rsidRDefault="0016284A" w:rsidP="0016284A">
      <w:pPr>
        <w:spacing w:after="0" w:line="360" w:lineRule="auto"/>
        <w:ind w:firstLineChars="100" w:firstLine="240"/>
        <w:jc w:val="both"/>
        <w:rPr>
          <w:rFonts w:ascii="Book Antiqua" w:hAnsi="Book Antiqua"/>
          <w:sz w:val="24"/>
          <w:szCs w:val="24"/>
          <w:lang w:val="en-US" w:eastAsia="zh-CN"/>
        </w:rPr>
      </w:pPr>
    </w:p>
    <w:p w:rsidR="0066217B" w:rsidRPr="00841D2D" w:rsidRDefault="0016284A" w:rsidP="00841D2D">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375683" w:rsidRDefault="00E97C9D" w:rsidP="00841D2D">
      <w:pPr>
        <w:spacing w:after="0" w:line="360" w:lineRule="auto"/>
        <w:jc w:val="both"/>
        <w:rPr>
          <w:rFonts w:ascii="Book Antiqua" w:hAnsi="Book Antiqua"/>
          <w:sz w:val="24"/>
          <w:szCs w:val="24"/>
          <w:lang w:val="en-US" w:eastAsia="zh-CN"/>
        </w:rPr>
      </w:pPr>
      <w:r w:rsidRPr="00841D2D">
        <w:rPr>
          <w:rFonts w:ascii="Book Antiqua" w:hAnsi="Book Antiqua"/>
          <w:sz w:val="24"/>
          <w:szCs w:val="24"/>
          <w:lang w:val="en-US"/>
        </w:rPr>
        <w:t xml:space="preserve">Current guidelines clearly define </w:t>
      </w:r>
      <w:r w:rsidR="00E953E5" w:rsidRPr="00841D2D">
        <w:rPr>
          <w:rFonts w:ascii="Book Antiqua" w:hAnsi="Book Antiqua"/>
          <w:sz w:val="24"/>
          <w:szCs w:val="24"/>
          <w:lang w:val="en-US"/>
        </w:rPr>
        <w:t>who needs treatment, when to start, what is the first line therapy, how to monitor treatment response, when to stop, and how patients must be controlled for its safety.</w:t>
      </w:r>
      <w:r w:rsidR="00CA0BC6" w:rsidRPr="00841D2D">
        <w:rPr>
          <w:rFonts w:ascii="Book Antiqua" w:hAnsi="Book Antiqua"/>
          <w:sz w:val="24"/>
          <w:szCs w:val="24"/>
          <w:lang w:val="en-US"/>
        </w:rPr>
        <w:t xml:space="preserve"> There is </w:t>
      </w:r>
      <w:r w:rsidR="006B65C9" w:rsidRPr="00841D2D">
        <w:rPr>
          <w:rFonts w:ascii="Book Antiqua" w:hAnsi="Book Antiqua"/>
          <w:sz w:val="24"/>
          <w:szCs w:val="24"/>
          <w:lang w:val="en-US"/>
        </w:rPr>
        <w:t xml:space="preserve">some </w:t>
      </w:r>
      <w:r w:rsidR="00CA0BC6" w:rsidRPr="00841D2D">
        <w:rPr>
          <w:rFonts w:ascii="Book Antiqua" w:hAnsi="Book Antiqua"/>
          <w:sz w:val="24"/>
          <w:szCs w:val="24"/>
          <w:lang w:val="en-US"/>
        </w:rPr>
        <w:t xml:space="preserve">data </w:t>
      </w:r>
      <w:r w:rsidR="006B65C9" w:rsidRPr="00841D2D">
        <w:rPr>
          <w:rFonts w:ascii="Book Antiqua" w:hAnsi="Book Antiqua"/>
          <w:sz w:val="24"/>
          <w:szCs w:val="24"/>
          <w:lang w:val="en-US"/>
        </w:rPr>
        <w:t>show</w:t>
      </w:r>
      <w:r w:rsidR="00CA0BC6" w:rsidRPr="00841D2D">
        <w:rPr>
          <w:rFonts w:ascii="Book Antiqua" w:hAnsi="Book Antiqua"/>
          <w:sz w:val="24"/>
          <w:szCs w:val="24"/>
          <w:lang w:val="en-US"/>
        </w:rPr>
        <w:t xml:space="preserve">ing </w:t>
      </w:r>
      <w:r w:rsidR="006B65C9" w:rsidRPr="00841D2D">
        <w:rPr>
          <w:rFonts w:ascii="Book Antiqua" w:hAnsi="Book Antiqua"/>
          <w:sz w:val="24"/>
          <w:szCs w:val="24"/>
          <w:lang w:val="en-US"/>
        </w:rPr>
        <w:t xml:space="preserve">a favorable </w:t>
      </w:r>
      <w:r w:rsidR="00CA0BC6" w:rsidRPr="00841D2D">
        <w:rPr>
          <w:rFonts w:ascii="Book Antiqua" w:hAnsi="Book Antiqua"/>
          <w:sz w:val="24"/>
          <w:szCs w:val="24"/>
          <w:lang w:val="en-US"/>
        </w:rPr>
        <w:t xml:space="preserve">safety and efficacy </w:t>
      </w:r>
      <w:r w:rsidR="006B65C9" w:rsidRPr="00841D2D">
        <w:rPr>
          <w:rFonts w:ascii="Book Antiqua" w:hAnsi="Book Antiqua"/>
          <w:sz w:val="24"/>
          <w:szCs w:val="24"/>
          <w:lang w:val="en-US"/>
        </w:rPr>
        <w:t xml:space="preserve">profile </w:t>
      </w:r>
      <w:r w:rsidR="00CA0BC6" w:rsidRPr="00841D2D">
        <w:rPr>
          <w:rFonts w:ascii="Book Antiqua" w:hAnsi="Book Antiqua"/>
          <w:sz w:val="24"/>
          <w:szCs w:val="24"/>
          <w:lang w:val="en-US"/>
        </w:rPr>
        <w:t xml:space="preserve">of NUC treatment in the renal transplant setting. </w:t>
      </w:r>
      <w:r w:rsidR="006B65C9" w:rsidRPr="00841D2D">
        <w:rPr>
          <w:rFonts w:ascii="Book Antiqua" w:hAnsi="Book Antiqua"/>
          <w:sz w:val="24"/>
          <w:szCs w:val="24"/>
          <w:lang w:val="en-US"/>
        </w:rPr>
        <w:t xml:space="preserve">ETV, an agent without signs of major nephrotoxicity, appears to be the </w:t>
      </w:r>
      <w:r w:rsidR="00DC5880" w:rsidRPr="00841D2D">
        <w:rPr>
          <w:rFonts w:ascii="Book Antiqua" w:hAnsi="Book Antiqua"/>
          <w:sz w:val="24"/>
          <w:szCs w:val="24"/>
          <w:lang w:val="en-US"/>
        </w:rPr>
        <w:t>best</w:t>
      </w:r>
      <w:r w:rsidR="006B65C9" w:rsidRPr="00841D2D">
        <w:rPr>
          <w:rFonts w:ascii="Book Antiqua" w:hAnsi="Book Antiqua"/>
          <w:sz w:val="24"/>
          <w:szCs w:val="24"/>
          <w:lang w:val="en-US"/>
        </w:rPr>
        <w:t xml:space="preserve"> option for NUC naïve patients and TDF </w:t>
      </w:r>
      <w:r w:rsidR="00DC5880" w:rsidRPr="00841D2D">
        <w:rPr>
          <w:rFonts w:ascii="Book Antiqua" w:hAnsi="Book Antiqua"/>
          <w:sz w:val="24"/>
          <w:szCs w:val="24"/>
          <w:lang w:val="en-US"/>
        </w:rPr>
        <w:t>is still</w:t>
      </w:r>
      <w:r w:rsidR="006B65C9" w:rsidRPr="00841D2D">
        <w:rPr>
          <w:rFonts w:ascii="Book Antiqua" w:hAnsi="Book Antiqua"/>
          <w:sz w:val="24"/>
          <w:szCs w:val="24"/>
          <w:lang w:val="en-US"/>
        </w:rPr>
        <w:t xml:space="preserve"> the </w:t>
      </w:r>
      <w:r w:rsidR="00DC5880" w:rsidRPr="00841D2D">
        <w:rPr>
          <w:rFonts w:ascii="Book Antiqua" w:hAnsi="Book Antiqua"/>
          <w:sz w:val="24"/>
          <w:szCs w:val="24"/>
          <w:lang w:val="en-US"/>
        </w:rPr>
        <w:t xml:space="preserve">preferred </w:t>
      </w:r>
      <w:r w:rsidR="006B65C9" w:rsidRPr="00841D2D">
        <w:rPr>
          <w:rFonts w:ascii="Book Antiqua" w:hAnsi="Book Antiqua"/>
          <w:sz w:val="24"/>
          <w:szCs w:val="24"/>
          <w:lang w:val="en-US"/>
        </w:rPr>
        <w:t xml:space="preserve">agent </w:t>
      </w:r>
      <w:r w:rsidR="00DC5880" w:rsidRPr="00841D2D">
        <w:rPr>
          <w:rFonts w:ascii="Book Antiqua" w:hAnsi="Book Antiqua"/>
          <w:sz w:val="24"/>
          <w:szCs w:val="24"/>
          <w:lang w:val="en-US"/>
        </w:rPr>
        <w:t>in</w:t>
      </w:r>
      <w:r w:rsidR="006B65C9" w:rsidRPr="00841D2D">
        <w:rPr>
          <w:rFonts w:ascii="Book Antiqua" w:hAnsi="Book Antiqua"/>
          <w:sz w:val="24"/>
          <w:szCs w:val="24"/>
          <w:lang w:val="en-US"/>
        </w:rPr>
        <w:t xml:space="preserve"> patients with resistance to LAM or any other NUC. </w:t>
      </w:r>
      <w:r w:rsidR="00015A5A" w:rsidRPr="00841D2D">
        <w:rPr>
          <w:rFonts w:ascii="Book Antiqua" w:hAnsi="Book Antiqua"/>
          <w:sz w:val="24"/>
          <w:szCs w:val="24"/>
          <w:lang w:val="en-US"/>
        </w:rPr>
        <w:t xml:space="preserve">Renal transplant recipients under antiHBV treatment should be closely monitored for its efficacy against HBV and for its safety, especially regarding its impact on renal function. </w:t>
      </w:r>
      <w:r w:rsidR="00E74090" w:rsidRPr="00841D2D">
        <w:rPr>
          <w:rFonts w:ascii="Book Antiqua" w:hAnsi="Book Antiqua"/>
          <w:sz w:val="24"/>
          <w:szCs w:val="24"/>
          <w:lang w:val="en-US"/>
        </w:rPr>
        <w:t>S</w:t>
      </w:r>
      <w:r w:rsidR="006B65C9" w:rsidRPr="00841D2D">
        <w:rPr>
          <w:rFonts w:ascii="Book Antiqua" w:hAnsi="Book Antiqua"/>
          <w:sz w:val="24"/>
          <w:szCs w:val="24"/>
          <w:lang w:val="en-US"/>
        </w:rPr>
        <w:t xml:space="preserve">tudies including a large number of patients with long term treatment and follow up are still needed to better demonstrate the safety and efficacy of newer NUCs </w:t>
      </w:r>
      <w:r w:rsidR="00E74090" w:rsidRPr="00841D2D">
        <w:rPr>
          <w:rFonts w:ascii="Book Antiqua" w:hAnsi="Book Antiqua"/>
          <w:sz w:val="24"/>
          <w:szCs w:val="24"/>
          <w:lang w:val="en-US"/>
        </w:rPr>
        <w:t>i</w:t>
      </w:r>
      <w:r w:rsidR="006B65C9" w:rsidRPr="00841D2D">
        <w:rPr>
          <w:rFonts w:ascii="Book Antiqua" w:hAnsi="Book Antiqua"/>
          <w:sz w:val="24"/>
          <w:szCs w:val="24"/>
          <w:lang w:val="en-US"/>
        </w:rPr>
        <w:t>n this population</w:t>
      </w:r>
      <w:r w:rsidR="00E74090" w:rsidRPr="00841D2D">
        <w:rPr>
          <w:rFonts w:ascii="Book Antiqua" w:hAnsi="Book Antiqua"/>
          <w:sz w:val="24"/>
          <w:szCs w:val="24"/>
          <w:lang w:val="en-US"/>
        </w:rPr>
        <w:t>.</w:t>
      </w:r>
    </w:p>
    <w:p w:rsidR="0016284A" w:rsidRPr="00841D2D" w:rsidRDefault="0016284A" w:rsidP="00841D2D">
      <w:pPr>
        <w:spacing w:after="0" w:line="360" w:lineRule="auto"/>
        <w:jc w:val="both"/>
        <w:rPr>
          <w:rFonts w:ascii="Book Antiqua" w:hAnsi="Book Antiqua"/>
          <w:sz w:val="24"/>
          <w:szCs w:val="24"/>
          <w:lang w:val="en-US" w:eastAsia="zh-CN"/>
        </w:rPr>
      </w:pPr>
    </w:p>
    <w:p w:rsidR="00375683" w:rsidRPr="00841D2D" w:rsidRDefault="00375683" w:rsidP="00841D2D">
      <w:pPr>
        <w:spacing w:after="0" w:line="360" w:lineRule="auto"/>
        <w:jc w:val="both"/>
        <w:rPr>
          <w:rFonts w:ascii="Book Antiqua" w:hAnsi="Book Antiqua"/>
          <w:b/>
          <w:sz w:val="24"/>
          <w:szCs w:val="24"/>
          <w:lang w:val="en-US"/>
        </w:rPr>
      </w:pPr>
      <w:r w:rsidRPr="00841D2D">
        <w:rPr>
          <w:rFonts w:ascii="Book Antiqua" w:hAnsi="Book Antiqua"/>
          <w:b/>
          <w:sz w:val="24"/>
          <w:szCs w:val="24"/>
          <w:lang w:val="en-US"/>
        </w:rPr>
        <w:t>ACKNOWLEDGEMENTS</w:t>
      </w:r>
    </w:p>
    <w:p w:rsidR="00E74090" w:rsidRPr="00841D2D" w:rsidRDefault="00375683" w:rsidP="00841D2D">
      <w:pPr>
        <w:spacing w:after="0" w:line="360" w:lineRule="auto"/>
        <w:jc w:val="both"/>
        <w:rPr>
          <w:rFonts w:ascii="Book Antiqua" w:hAnsi="Book Antiqua"/>
          <w:sz w:val="24"/>
          <w:szCs w:val="24"/>
          <w:lang w:val="en-US"/>
        </w:rPr>
      </w:pPr>
      <w:r w:rsidRPr="00841D2D">
        <w:rPr>
          <w:rFonts w:ascii="Book Antiqua" w:hAnsi="Book Antiqua"/>
          <w:sz w:val="24"/>
          <w:szCs w:val="24"/>
          <w:lang w:val="en-US"/>
        </w:rPr>
        <w:t xml:space="preserve">Declaration of personal interests: </w:t>
      </w:r>
      <w:r w:rsidR="00E74090" w:rsidRPr="00841D2D">
        <w:rPr>
          <w:rFonts w:ascii="Book Antiqua" w:hAnsi="Book Antiqua"/>
          <w:sz w:val="24"/>
          <w:szCs w:val="24"/>
          <w:lang w:val="en-US"/>
        </w:rPr>
        <w:t>Ezequiel Ridruejo</w:t>
      </w:r>
      <w:r w:rsidRPr="00841D2D">
        <w:rPr>
          <w:rFonts w:ascii="Book Antiqua" w:hAnsi="Book Antiqua"/>
          <w:sz w:val="24"/>
          <w:szCs w:val="24"/>
          <w:lang w:val="en-US"/>
        </w:rPr>
        <w:t xml:space="preserve"> has served as an advisor/lecturer for Bristol-Meier Squibb, Gilead, Merck Sharp </w:t>
      </w:r>
      <w:r w:rsidR="0016284A">
        <w:rPr>
          <w:rFonts w:ascii="Book Antiqua" w:hAnsi="Book Antiqua" w:hint="eastAsia"/>
          <w:sz w:val="24"/>
          <w:szCs w:val="24"/>
          <w:lang w:val="en-US" w:eastAsia="zh-CN"/>
        </w:rPr>
        <w:t>and</w:t>
      </w:r>
      <w:r w:rsidRPr="00841D2D">
        <w:rPr>
          <w:rFonts w:ascii="Book Antiqua" w:hAnsi="Book Antiqua"/>
          <w:sz w:val="24"/>
          <w:szCs w:val="24"/>
          <w:lang w:val="en-US"/>
        </w:rPr>
        <w:t xml:space="preserve"> Dohme, </w:t>
      </w:r>
      <w:r w:rsidR="00E74090" w:rsidRPr="00841D2D">
        <w:rPr>
          <w:rFonts w:ascii="Book Antiqua" w:hAnsi="Book Antiqua"/>
          <w:sz w:val="24"/>
          <w:szCs w:val="24"/>
          <w:lang w:val="en-US"/>
        </w:rPr>
        <w:t>GlaxoSmithKline</w:t>
      </w:r>
      <w:r w:rsidRPr="00841D2D">
        <w:rPr>
          <w:rFonts w:ascii="Book Antiqua" w:hAnsi="Book Antiqua"/>
          <w:sz w:val="24"/>
          <w:szCs w:val="24"/>
          <w:lang w:val="en-US"/>
        </w:rPr>
        <w:t xml:space="preserve"> and Roche</w:t>
      </w:r>
      <w:r w:rsidR="00E74090" w:rsidRPr="00841D2D">
        <w:rPr>
          <w:rFonts w:ascii="Book Antiqua" w:hAnsi="Book Antiqua"/>
          <w:sz w:val="24"/>
          <w:szCs w:val="24"/>
          <w:lang w:val="en-US"/>
        </w:rPr>
        <w:t>.</w:t>
      </w:r>
    </w:p>
    <w:p w:rsidR="003A0D5B" w:rsidRPr="00AE2402" w:rsidRDefault="003A0D5B" w:rsidP="00AE2402">
      <w:pPr>
        <w:spacing w:after="0" w:line="360" w:lineRule="auto"/>
        <w:jc w:val="both"/>
        <w:rPr>
          <w:rFonts w:ascii="Book Antiqua" w:hAnsi="Book Antiqua"/>
          <w:b/>
          <w:sz w:val="24"/>
          <w:szCs w:val="24"/>
          <w:lang w:val="en-US" w:eastAsia="zh-CN"/>
        </w:rPr>
      </w:pPr>
    </w:p>
    <w:p w:rsidR="00E12526" w:rsidRPr="00AE2402" w:rsidRDefault="00375683" w:rsidP="00AE2402">
      <w:pPr>
        <w:spacing w:after="0" w:line="360" w:lineRule="auto"/>
        <w:jc w:val="both"/>
        <w:rPr>
          <w:rFonts w:ascii="Book Antiqua" w:hAnsi="Book Antiqua"/>
          <w:b/>
          <w:sz w:val="24"/>
          <w:szCs w:val="24"/>
          <w:lang w:val="en-US" w:eastAsia="zh-CN"/>
        </w:rPr>
      </w:pPr>
      <w:r w:rsidRPr="00AE2402">
        <w:rPr>
          <w:rFonts w:ascii="Book Antiqua" w:hAnsi="Book Antiqua"/>
          <w:b/>
          <w:sz w:val="24"/>
          <w:szCs w:val="24"/>
          <w:lang w:val="en-US"/>
        </w:rPr>
        <w:t>REFERENCES</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1 </w:t>
      </w:r>
      <w:r w:rsidRPr="00AE2402">
        <w:rPr>
          <w:rFonts w:ascii="Book Antiqua" w:eastAsia="宋体" w:hAnsi="Book Antiqua" w:cs="宋体"/>
          <w:b/>
          <w:bCs/>
          <w:color w:val="000000"/>
          <w:sz w:val="24"/>
          <w:szCs w:val="24"/>
          <w:lang w:val="en-US" w:eastAsia="zh-CN"/>
        </w:rPr>
        <w:t>McDonald SP</w:t>
      </w:r>
      <w:r w:rsidRPr="00AE2402">
        <w:rPr>
          <w:rFonts w:ascii="Book Antiqua" w:eastAsia="宋体" w:hAnsi="Book Antiqua" w:cs="宋体"/>
          <w:color w:val="000000"/>
          <w:sz w:val="24"/>
          <w:szCs w:val="24"/>
          <w:lang w:val="en-US" w:eastAsia="zh-CN"/>
        </w:rPr>
        <w:t>, Russ GR. Survival of recipients of cadaveric kidney transplants compared with those receiving dialysis treatment in Australia and New Zealand, 1991-2001. </w:t>
      </w:r>
      <w:r w:rsidRPr="00AE2402">
        <w:rPr>
          <w:rFonts w:ascii="Book Antiqua" w:eastAsia="宋体" w:hAnsi="Book Antiqua" w:cs="宋体"/>
          <w:i/>
          <w:iCs/>
          <w:color w:val="000000"/>
          <w:sz w:val="24"/>
          <w:szCs w:val="24"/>
          <w:lang w:val="en-US" w:eastAsia="zh-CN"/>
        </w:rPr>
        <w:t>Nephrol Dial Transplant</w:t>
      </w:r>
      <w:r w:rsidRPr="00AE2402">
        <w:rPr>
          <w:rFonts w:ascii="Book Antiqua" w:eastAsia="宋体" w:hAnsi="Book Antiqua" w:cs="宋体"/>
          <w:color w:val="000000"/>
          <w:sz w:val="24"/>
          <w:szCs w:val="24"/>
          <w:lang w:val="en-US" w:eastAsia="zh-CN"/>
        </w:rPr>
        <w:t> 2002; </w:t>
      </w:r>
      <w:r w:rsidRPr="00AE2402">
        <w:rPr>
          <w:rFonts w:ascii="Book Antiqua" w:eastAsia="宋体" w:hAnsi="Book Antiqua" w:cs="宋体"/>
          <w:b/>
          <w:bCs/>
          <w:color w:val="000000"/>
          <w:sz w:val="24"/>
          <w:szCs w:val="24"/>
          <w:lang w:val="en-US" w:eastAsia="zh-CN"/>
        </w:rPr>
        <w:t>17</w:t>
      </w:r>
      <w:r w:rsidRPr="00AE2402">
        <w:rPr>
          <w:rFonts w:ascii="Book Antiqua" w:eastAsia="宋体" w:hAnsi="Book Antiqua" w:cs="宋体"/>
          <w:color w:val="000000"/>
          <w:sz w:val="24"/>
          <w:szCs w:val="24"/>
          <w:lang w:val="en-US" w:eastAsia="zh-CN"/>
        </w:rPr>
        <w:t>: 2212-2219 [PMID: 12454235 DOI: 10.1093/ndt/17.12.2212]</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2 </w:t>
      </w:r>
      <w:r w:rsidRPr="00AE2402">
        <w:rPr>
          <w:rFonts w:ascii="Book Antiqua" w:eastAsia="宋体" w:hAnsi="Book Antiqua" w:cs="宋体"/>
          <w:b/>
          <w:bCs/>
          <w:color w:val="000000"/>
          <w:sz w:val="24"/>
          <w:szCs w:val="24"/>
          <w:lang w:val="en-US" w:eastAsia="zh-CN"/>
        </w:rPr>
        <w:t>Pascual M</w:t>
      </w:r>
      <w:r w:rsidRPr="00AE2402">
        <w:rPr>
          <w:rFonts w:ascii="Book Antiqua" w:eastAsia="宋体" w:hAnsi="Book Antiqua" w:cs="宋体"/>
          <w:color w:val="000000"/>
          <w:sz w:val="24"/>
          <w:szCs w:val="24"/>
          <w:lang w:val="en-US" w:eastAsia="zh-CN"/>
        </w:rPr>
        <w:t>, Theruvath T, Kawai T, Tolkoff-Rubin N, Cosimi AB. Strategies to improve long-term outcomes after renal transplantation. </w:t>
      </w:r>
      <w:r w:rsidRPr="00AE2402">
        <w:rPr>
          <w:rFonts w:ascii="Book Antiqua" w:eastAsia="宋体" w:hAnsi="Book Antiqua" w:cs="宋体"/>
          <w:i/>
          <w:iCs/>
          <w:color w:val="000000"/>
          <w:sz w:val="24"/>
          <w:szCs w:val="24"/>
          <w:lang w:val="en-US" w:eastAsia="zh-CN"/>
        </w:rPr>
        <w:t>N Engl J Med</w:t>
      </w:r>
      <w:r w:rsidRPr="00AE2402">
        <w:rPr>
          <w:rFonts w:ascii="Book Antiqua" w:eastAsia="宋体" w:hAnsi="Book Antiqua" w:cs="宋体"/>
          <w:color w:val="000000"/>
          <w:sz w:val="24"/>
          <w:szCs w:val="24"/>
          <w:lang w:val="en-US" w:eastAsia="zh-CN"/>
        </w:rPr>
        <w:t> 2002; </w:t>
      </w:r>
      <w:r w:rsidRPr="00AE2402">
        <w:rPr>
          <w:rFonts w:ascii="Book Antiqua" w:eastAsia="宋体" w:hAnsi="Book Antiqua" w:cs="宋体"/>
          <w:b/>
          <w:bCs/>
          <w:color w:val="000000"/>
          <w:sz w:val="24"/>
          <w:szCs w:val="24"/>
          <w:lang w:val="en-US" w:eastAsia="zh-CN"/>
        </w:rPr>
        <w:t>346</w:t>
      </w:r>
      <w:r w:rsidRPr="00AE2402">
        <w:rPr>
          <w:rFonts w:ascii="Book Antiqua" w:eastAsia="宋体" w:hAnsi="Book Antiqua" w:cs="宋体"/>
          <w:color w:val="000000"/>
          <w:sz w:val="24"/>
          <w:szCs w:val="24"/>
          <w:lang w:val="en-US" w:eastAsia="zh-CN"/>
        </w:rPr>
        <w:t>: 580-590 [PMID: 11856798 DOI: 10.1056/NEJMra011295]</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3 </w:t>
      </w:r>
      <w:r w:rsidRPr="00AE2402">
        <w:rPr>
          <w:rFonts w:ascii="Book Antiqua" w:eastAsia="宋体" w:hAnsi="Book Antiqua" w:cs="宋体"/>
          <w:b/>
          <w:bCs/>
          <w:color w:val="000000"/>
          <w:sz w:val="24"/>
          <w:szCs w:val="24"/>
          <w:lang w:val="en-US" w:eastAsia="zh-CN"/>
        </w:rPr>
        <w:t>Morales JM</w:t>
      </w:r>
      <w:r w:rsidRPr="00AE2402">
        <w:rPr>
          <w:rFonts w:ascii="Book Antiqua" w:eastAsia="宋体" w:hAnsi="Book Antiqua" w:cs="宋体"/>
          <w:color w:val="000000"/>
          <w:sz w:val="24"/>
          <w:szCs w:val="24"/>
          <w:lang w:val="en-US" w:eastAsia="zh-CN"/>
        </w:rPr>
        <w:t>, Marcén R, del Castillo D, Andres A, Gonzalez-Molina M, Oppenheimer F, Serón D, Gil-Vernet S, Lampreave I, Gainza FJ, Valdés F, Cabello M, Anaya F, Escuin F, Arias M, Pallardó L, Bustamante J. Risk factors for graft loss and mortality after renal transplantation according to recipient age: a prospective multicentre study. </w:t>
      </w:r>
      <w:r w:rsidRPr="00AE2402">
        <w:rPr>
          <w:rFonts w:ascii="Book Antiqua" w:eastAsia="宋体" w:hAnsi="Book Antiqua" w:cs="宋体"/>
          <w:i/>
          <w:iCs/>
          <w:color w:val="000000"/>
          <w:sz w:val="24"/>
          <w:szCs w:val="24"/>
          <w:lang w:val="en-US" w:eastAsia="zh-CN"/>
        </w:rPr>
        <w:t>Nephrol Dial Transplant</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 xml:space="preserve">27 </w:t>
      </w:r>
      <w:r w:rsidRPr="00AE2402">
        <w:rPr>
          <w:rFonts w:ascii="Book Antiqua" w:eastAsia="宋体" w:hAnsi="Book Antiqua" w:cs="宋体"/>
          <w:bCs/>
          <w:color w:val="000000"/>
          <w:sz w:val="24"/>
          <w:szCs w:val="24"/>
          <w:lang w:val="en-US" w:eastAsia="zh-CN"/>
        </w:rPr>
        <w:t>Suppl 4</w:t>
      </w:r>
      <w:r w:rsidRPr="00AE2402">
        <w:rPr>
          <w:rFonts w:ascii="Book Antiqua" w:eastAsia="宋体" w:hAnsi="Book Antiqua" w:cs="宋体"/>
          <w:color w:val="000000"/>
          <w:sz w:val="24"/>
          <w:szCs w:val="24"/>
          <w:lang w:val="en-US" w:eastAsia="zh-CN"/>
        </w:rPr>
        <w:t>: iv39-iv46 [PMID: 232</w:t>
      </w:r>
      <w:r>
        <w:rPr>
          <w:rFonts w:ascii="Book Antiqua" w:eastAsia="宋体" w:hAnsi="Book Antiqua" w:cs="宋体"/>
          <w:color w:val="000000"/>
          <w:sz w:val="24"/>
          <w:szCs w:val="24"/>
          <w:lang w:val="en-US" w:eastAsia="zh-CN"/>
        </w:rPr>
        <w:t>58810 DOI: 10.1093/ndt/gfs544]</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4 </w:t>
      </w:r>
      <w:r w:rsidRPr="00AE2402">
        <w:rPr>
          <w:rFonts w:ascii="Book Antiqua" w:eastAsia="宋体" w:hAnsi="Book Antiqua" w:cs="宋体"/>
          <w:b/>
          <w:bCs/>
          <w:color w:val="000000"/>
          <w:sz w:val="24"/>
          <w:szCs w:val="24"/>
          <w:lang w:val="en-US" w:eastAsia="zh-CN"/>
        </w:rPr>
        <w:t>Howard RJ</w:t>
      </w:r>
      <w:r w:rsidRPr="00AE2402">
        <w:rPr>
          <w:rFonts w:ascii="Book Antiqua" w:eastAsia="宋体" w:hAnsi="Book Antiqua" w:cs="宋体"/>
          <w:color w:val="000000"/>
          <w:sz w:val="24"/>
          <w:szCs w:val="24"/>
          <w:lang w:val="en-US" w:eastAsia="zh-CN"/>
        </w:rPr>
        <w:t>, Patton PR, Reed AI, Hemming AW, Van der Werf WJ, Pfaff WW, Srinivas TR, Scornik JC. The changing causes of graft loss and death after kidney transplantation. </w:t>
      </w:r>
      <w:r w:rsidRPr="00AE2402">
        <w:rPr>
          <w:rFonts w:ascii="Book Antiqua" w:eastAsia="宋体" w:hAnsi="Book Antiqua" w:cs="宋体"/>
          <w:i/>
          <w:iCs/>
          <w:color w:val="000000"/>
          <w:sz w:val="24"/>
          <w:szCs w:val="24"/>
          <w:lang w:val="en-US" w:eastAsia="zh-CN"/>
        </w:rPr>
        <w:t>Transplantation</w:t>
      </w:r>
      <w:r w:rsidRPr="00AE2402">
        <w:rPr>
          <w:rFonts w:ascii="Book Antiqua" w:eastAsia="宋体" w:hAnsi="Book Antiqua" w:cs="宋体"/>
          <w:color w:val="000000"/>
          <w:sz w:val="24"/>
          <w:szCs w:val="24"/>
          <w:lang w:val="en-US" w:eastAsia="zh-CN"/>
        </w:rPr>
        <w:t> 2002; </w:t>
      </w:r>
      <w:r w:rsidRPr="00AE2402">
        <w:rPr>
          <w:rFonts w:ascii="Book Antiqua" w:eastAsia="宋体" w:hAnsi="Book Antiqua" w:cs="宋体"/>
          <w:b/>
          <w:bCs/>
          <w:color w:val="000000"/>
          <w:sz w:val="24"/>
          <w:szCs w:val="24"/>
          <w:lang w:val="en-US" w:eastAsia="zh-CN"/>
        </w:rPr>
        <w:t>73</w:t>
      </w:r>
      <w:r w:rsidRPr="00AE2402">
        <w:rPr>
          <w:rFonts w:ascii="Book Antiqua" w:eastAsia="宋体" w:hAnsi="Book Antiqua" w:cs="宋体"/>
          <w:color w:val="000000"/>
          <w:sz w:val="24"/>
          <w:szCs w:val="24"/>
          <w:lang w:val="en-US" w:eastAsia="zh-CN"/>
        </w:rPr>
        <w:t>: 1923-1928 [PMID: 12131689]</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5 </w:t>
      </w:r>
      <w:r w:rsidRPr="00AE2402">
        <w:rPr>
          <w:rFonts w:ascii="Book Antiqua" w:eastAsia="宋体" w:hAnsi="Book Antiqua" w:cs="宋体"/>
          <w:b/>
          <w:bCs/>
          <w:color w:val="000000"/>
          <w:sz w:val="24"/>
          <w:szCs w:val="24"/>
          <w:lang w:val="en-US" w:eastAsia="zh-CN"/>
        </w:rPr>
        <w:t>Shu KH</w:t>
      </w:r>
      <w:r w:rsidRPr="00AE2402">
        <w:rPr>
          <w:rFonts w:ascii="Book Antiqua" w:eastAsia="宋体" w:hAnsi="Book Antiqua" w:cs="宋体"/>
          <w:color w:val="000000"/>
          <w:sz w:val="24"/>
          <w:szCs w:val="24"/>
          <w:lang w:val="en-US" w:eastAsia="zh-CN"/>
        </w:rPr>
        <w:t>, Ho HC, Wen MC, Wu MJ, Chen CH, Cheng CH, Yu TM, Chuang YW, Huang ST, Tsai SF, Lo YC, Weng SC. Changing pattern of mortality in renal transplant recipients: a single-center, 30-year experience. </w:t>
      </w:r>
      <w:r w:rsidRPr="00AE2402">
        <w:rPr>
          <w:rFonts w:ascii="Book Antiqua" w:eastAsia="宋体" w:hAnsi="Book Antiqua" w:cs="宋体"/>
          <w:i/>
          <w:iCs/>
          <w:color w:val="000000"/>
          <w:sz w:val="24"/>
          <w:szCs w:val="24"/>
          <w:lang w:val="en-US" w:eastAsia="zh-CN"/>
        </w:rPr>
        <w:t>Transplant Proc</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46</w:t>
      </w:r>
      <w:r w:rsidRPr="00AE2402">
        <w:rPr>
          <w:rFonts w:ascii="Book Antiqua" w:eastAsia="宋体" w:hAnsi="Book Antiqua" w:cs="宋体"/>
          <w:color w:val="000000"/>
          <w:sz w:val="24"/>
          <w:szCs w:val="24"/>
          <w:lang w:val="en-US" w:eastAsia="zh-CN"/>
        </w:rPr>
        <w:t>: 442-444 [PMID: 24655983 DOI: 10.10</w:t>
      </w:r>
      <w:r>
        <w:rPr>
          <w:rFonts w:ascii="Book Antiqua" w:eastAsia="宋体" w:hAnsi="Book Antiqua" w:cs="宋体"/>
          <w:color w:val="000000"/>
          <w:sz w:val="24"/>
          <w:szCs w:val="24"/>
          <w:lang w:val="en-US" w:eastAsia="zh-CN"/>
        </w:rPr>
        <w:t>16/j.transproceed.2013.11.032]</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6 </w:t>
      </w:r>
      <w:r w:rsidRPr="00AE2402">
        <w:rPr>
          <w:rFonts w:ascii="Book Antiqua" w:eastAsia="宋体" w:hAnsi="Book Antiqua" w:cs="宋体"/>
          <w:b/>
          <w:color w:val="000000"/>
          <w:sz w:val="24"/>
          <w:szCs w:val="24"/>
          <w:lang w:val="en-US" w:eastAsia="zh-CN"/>
        </w:rPr>
        <w:t>Fabrizi F</w:t>
      </w:r>
      <w:r>
        <w:rPr>
          <w:rFonts w:ascii="Book Antiqua" w:eastAsia="宋体" w:hAnsi="Book Antiqua" w:cs="宋体" w:hint="eastAsia"/>
          <w:color w:val="000000"/>
          <w:sz w:val="24"/>
          <w:szCs w:val="24"/>
          <w:lang w:val="en-US" w:eastAsia="zh-CN"/>
        </w:rPr>
        <w:t>,</w:t>
      </w:r>
      <w:r w:rsidRPr="00AE2402">
        <w:rPr>
          <w:rFonts w:ascii="Book Antiqua" w:eastAsia="宋体" w:hAnsi="Book Antiqua" w:cs="宋体"/>
          <w:color w:val="000000"/>
          <w:sz w:val="24"/>
          <w:szCs w:val="24"/>
          <w:lang w:val="en-US" w:eastAsia="zh-CN"/>
        </w:rPr>
        <w:t xml:space="preserve"> Martin P. Management of hepatitis B and C virus infection before and after renal transplantation. </w:t>
      </w:r>
      <w:r w:rsidRPr="00AE2402">
        <w:rPr>
          <w:rFonts w:ascii="Book Antiqua" w:eastAsia="宋体" w:hAnsi="Book Antiqua" w:cs="宋体"/>
          <w:i/>
          <w:color w:val="000000"/>
          <w:sz w:val="24"/>
          <w:szCs w:val="24"/>
          <w:lang w:val="en-US" w:eastAsia="zh-CN"/>
        </w:rPr>
        <w:t xml:space="preserve">Curr Opin Organ Transplant </w:t>
      </w:r>
      <w:r w:rsidRPr="00AE2402">
        <w:rPr>
          <w:rFonts w:ascii="Book Antiqua" w:eastAsia="宋体" w:hAnsi="Book Antiqua" w:cs="宋体"/>
          <w:color w:val="000000"/>
          <w:sz w:val="24"/>
          <w:szCs w:val="24"/>
          <w:lang w:val="en-US" w:eastAsia="zh-CN"/>
        </w:rPr>
        <w:t>2006;</w:t>
      </w:r>
      <w:r w:rsidRPr="00AE2402">
        <w:rPr>
          <w:rFonts w:ascii="Book Antiqua" w:eastAsia="宋体" w:hAnsi="Book Antiqua" w:cs="宋体"/>
          <w:b/>
          <w:color w:val="000000"/>
          <w:sz w:val="24"/>
          <w:szCs w:val="24"/>
          <w:lang w:val="en-US" w:eastAsia="zh-CN"/>
        </w:rPr>
        <w:t xml:space="preserve"> 11</w:t>
      </w:r>
      <w:r w:rsidRPr="00AE2402">
        <w:rPr>
          <w:rFonts w:ascii="Book Antiqua" w:eastAsia="宋体" w:hAnsi="Book Antiqua" w:cs="宋体"/>
          <w:color w:val="000000"/>
          <w:sz w:val="24"/>
          <w:szCs w:val="24"/>
          <w:lang w:val="en-US" w:eastAsia="zh-CN"/>
        </w:rPr>
        <w:t>: 583-588. [DOI</w:t>
      </w:r>
      <w:r>
        <w:rPr>
          <w:rFonts w:ascii="Book Antiqua" w:eastAsia="宋体" w:hAnsi="Book Antiqua" w:cs="宋体"/>
          <w:color w:val="000000"/>
          <w:sz w:val="24"/>
          <w:szCs w:val="24"/>
          <w:lang w:val="en-US" w:eastAsia="zh-CN"/>
        </w:rPr>
        <w:t>: 10.1097/MOT.0b013e3280105c5c]</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7 </w:t>
      </w:r>
      <w:r w:rsidRPr="00AE2402">
        <w:rPr>
          <w:rFonts w:ascii="Book Antiqua" w:eastAsia="宋体" w:hAnsi="Book Antiqua" w:cs="宋体"/>
          <w:b/>
          <w:bCs/>
          <w:color w:val="000000"/>
          <w:sz w:val="24"/>
          <w:szCs w:val="24"/>
          <w:lang w:val="en-US" w:eastAsia="zh-CN"/>
        </w:rPr>
        <w:t>Burdick RA</w:t>
      </w:r>
      <w:r w:rsidRPr="00AE2402">
        <w:rPr>
          <w:rFonts w:ascii="Book Antiqua" w:eastAsia="宋体" w:hAnsi="Book Antiqua" w:cs="宋体"/>
          <w:color w:val="000000"/>
          <w:sz w:val="24"/>
          <w:szCs w:val="24"/>
          <w:lang w:val="en-US" w:eastAsia="zh-CN"/>
        </w:rPr>
        <w:t>, Bragg-Gresham JL, Woods JD, Hedderwick SA, Kurokawa K, Combe C, Saito A, LaBrecque J, Port FK, Young EW. Patterns of hepatitis B prevalence and seroconversion in hemodialysis units from three continents: the DOPPS. </w:t>
      </w:r>
      <w:r w:rsidRPr="00AE2402">
        <w:rPr>
          <w:rFonts w:ascii="Book Antiqua" w:eastAsia="宋体" w:hAnsi="Book Antiqua" w:cs="宋体"/>
          <w:i/>
          <w:iCs/>
          <w:color w:val="000000"/>
          <w:sz w:val="24"/>
          <w:szCs w:val="24"/>
          <w:lang w:val="en-US" w:eastAsia="zh-CN"/>
        </w:rPr>
        <w:t>Kidney Int</w:t>
      </w:r>
      <w:r w:rsidRPr="00AE2402">
        <w:rPr>
          <w:rFonts w:ascii="Book Antiqua" w:eastAsia="宋体" w:hAnsi="Book Antiqua" w:cs="宋体"/>
          <w:color w:val="000000"/>
          <w:sz w:val="24"/>
          <w:szCs w:val="24"/>
          <w:lang w:val="en-US" w:eastAsia="zh-CN"/>
        </w:rPr>
        <w:t> 2003; </w:t>
      </w:r>
      <w:r w:rsidRPr="00AE2402">
        <w:rPr>
          <w:rFonts w:ascii="Book Antiqua" w:eastAsia="宋体" w:hAnsi="Book Antiqua" w:cs="宋体"/>
          <w:b/>
          <w:bCs/>
          <w:color w:val="000000"/>
          <w:sz w:val="24"/>
          <w:szCs w:val="24"/>
          <w:lang w:val="en-US" w:eastAsia="zh-CN"/>
        </w:rPr>
        <w:t>63</w:t>
      </w:r>
      <w:r w:rsidRPr="00AE2402">
        <w:rPr>
          <w:rFonts w:ascii="Book Antiqua" w:eastAsia="宋体" w:hAnsi="Book Antiqua" w:cs="宋体"/>
          <w:color w:val="000000"/>
          <w:sz w:val="24"/>
          <w:szCs w:val="24"/>
          <w:lang w:val="en-US" w:eastAsia="zh-CN"/>
        </w:rPr>
        <w:t>: 2222-2229 [PMID: 12753311 DOI: 10.</w:t>
      </w:r>
      <w:r>
        <w:rPr>
          <w:rFonts w:ascii="Book Antiqua" w:eastAsia="宋体" w:hAnsi="Book Antiqua" w:cs="宋体"/>
          <w:color w:val="000000"/>
          <w:sz w:val="24"/>
          <w:szCs w:val="24"/>
          <w:lang w:val="en-US" w:eastAsia="zh-CN"/>
        </w:rPr>
        <w:t>1046/j.1523-1755.2003.00017.x]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8 </w:t>
      </w:r>
      <w:r w:rsidRPr="00AE2402">
        <w:rPr>
          <w:rFonts w:ascii="Book Antiqua" w:eastAsia="宋体" w:hAnsi="Book Antiqua" w:cs="宋体"/>
          <w:b/>
          <w:bCs/>
          <w:color w:val="000000"/>
          <w:sz w:val="24"/>
          <w:szCs w:val="24"/>
          <w:lang w:val="en-US" w:eastAsia="zh-CN"/>
        </w:rPr>
        <w:t>Urbánek P</w:t>
      </w:r>
      <w:r w:rsidRPr="00AE2402">
        <w:rPr>
          <w:rFonts w:ascii="Book Antiqua" w:eastAsia="宋体" w:hAnsi="Book Antiqua" w:cs="宋体"/>
          <w:color w:val="000000"/>
          <w:sz w:val="24"/>
          <w:szCs w:val="24"/>
          <w:lang w:val="en-US" w:eastAsia="zh-CN"/>
        </w:rPr>
        <w:t>. Viral hepatitis infections in chronic kidney disease patients and renal transplant recipients. </w:t>
      </w:r>
      <w:r w:rsidRPr="00AE2402">
        <w:rPr>
          <w:rFonts w:ascii="Book Antiqua" w:eastAsia="宋体" w:hAnsi="Book Antiqua" w:cs="宋体"/>
          <w:i/>
          <w:iCs/>
          <w:color w:val="000000"/>
          <w:sz w:val="24"/>
          <w:szCs w:val="24"/>
          <w:lang w:val="en-US" w:eastAsia="zh-CN"/>
        </w:rPr>
        <w:t>Kidney Blood Press Res</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35</w:t>
      </w:r>
      <w:r w:rsidRPr="00AE2402">
        <w:rPr>
          <w:rFonts w:ascii="Book Antiqua" w:eastAsia="宋体" w:hAnsi="Book Antiqua" w:cs="宋体"/>
          <w:color w:val="000000"/>
          <w:sz w:val="24"/>
          <w:szCs w:val="24"/>
          <w:lang w:val="en-US" w:eastAsia="zh-CN"/>
        </w:rPr>
        <w:t>: 454-467 [PMID: 22</w:t>
      </w:r>
      <w:r>
        <w:rPr>
          <w:rFonts w:ascii="Book Antiqua" w:eastAsia="宋体" w:hAnsi="Book Antiqua" w:cs="宋体"/>
          <w:color w:val="000000"/>
          <w:sz w:val="24"/>
          <w:szCs w:val="24"/>
          <w:lang w:val="en-US" w:eastAsia="zh-CN"/>
        </w:rPr>
        <w:t>677941 DOI: 10.1159/000338309]</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9 </w:t>
      </w:r>
      <w:r w:rsidRPr="00AE2402">
        <w:rPr>
          <w:rFonts w:ascii="Book Antiqua" w:eastAsia="宋体" w:hAnsi="Book Antiqua" w:cs="宋体"/>
          <w:b/>
          <w:bCs/>
          <w:color w:val="000000"/>
          <w:sz w:val="24"/>
          <w:szCs w:val="24"/>
          <w:lang w:val="en-US" w:eastAsia="zh-CN"/>
        </w:rPr>
        <w:t>Lok AS</w:t>
      </w:r>
      <w:r w:rsidRPr="00AE2402">
        <w:rPr>
          <w:rFonts w:ascii="Book Antiqua" w:eastAsia="宋体" w:hAnsi="Book Antiqua" w:cs="宋体"/>
          <w:color w:val="000000"/>
          <w:sz w:val="24"/>
          <w:szCs w:val="24"/>
          <w:lang w:val="en-US" w:eastAsia="zh-CN"/>
        </w:rPr>
        <w:t>, McMahon BJ. Chronic hepatitis B: update 2009. </w:t>
      </w:r>
      <w:r w:rsidRPr="00AE2402">
        <w:rPr>
          <w:rFonts w:ascii="Book Antiqua" w:eastAsia="宋体" w:hAnsi="Book Antiqua" w:cs="宋体"/>
          <w:i/>
          <w:iCs/>
          <w:color w:val="000000"/>
          <w:sz w:val="24"/>
          <w:szCs w:val="24"/>
          <w:lang w:val="en-US" w:eastAsia="zh-CN"/>
        </w:rPr>
        <w:t>Hepatology</w:t>
      </w:r>
      <w:r w:rsidRPr="00AE2402">
        <w:rPr>
          <w:rFonts w:ascii="Book Antiqua" w:eastAsia="宋体" w:hAnsi="Book Antiqua" w:cs="宋体"/>
          <w:color w:val="000000"/>
          <w:sz w:val="24"/>
          <w:szCs w:val="24"/>
          <w:lang w:val="en-US" w:eastAsia="zh-CN"/>
        </w:rPr>
        <w:t> 2009; </w:t>
      </w:r>
      <w:r w:rsidRPr="00AE2402">
        <w:rPr>
          <w:rFonts w:ascii="Book Antiqua" w:eastAsia="宋体" w:hAnsi="Book Antiqua" w:cs="宋体"/>
          <w:b/>
          <w:bCs/>
          <w:color w:val="000000"/>
          <w:sz w:val="24"/>
          <w:szCs w:val="24"/>
          <w:lang w:val="en-US" w:eastAsia="zh-CN"/>
        </w:rPr>
        <w:t>50</w:t>
      </w:r>
      <w:r w:rsidRPr="00AE2402">
        <w:rPr>
          <w:rFonts w:ascii="Book Antiqua" w:eastAsia="宋体" w:hAnsi="Book Antiqua" w:cs="宋体"/>
          <w:color w:val="000000"/>
          <w:sz w:val="24"/>
          <w:szCs w:val="24"/>
          <w:lang w:val="en-US" w:eastAsia="zh-CN"/>
        </w:rPr>
        <w:t>: 661-662 [PMID: 19</w:t>
      </w:r>
      <w:r>
        <w:rPr>
          <w:rFonts w:ascii="Book Antiqua" w:eastAsia="宋体" w:hAnsi="Book Antiqua" w:cs="宋体"/>
          <w:color w:val="000000"/>
          <w:sz w:val="24"/>
          <w:szCs w:val="24"/>
          <w:lang w:val="en-US" w:eastAsia="zh-CN"/>
        </w:rPr>
        <w:t>714720 DOI: 10.1002/hep.23190]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 xml:space="preserve">10 </w:t>
      </w:r>
      <w:r w:rsidRPr="00841D2D">
        <w:rPr>
          <w:rFonts w:ascii="Book Antiqua" w:hAnsi="Book Antiqua"/>
          <w:b/>
          <w:sz w:val="24"/>
          <w:szCs w:val="24"/>
          <w:lang w:val="en-US"/>
        </w:rPr>
        <w:t>European Association for the Study of the Liver</w:t>
      </w:r>
      <w:r w:rsidRPr="00AE2402">
        <w:rPr>
          <w:rFonts w:ascii="Book Antiqua" w:eastAsia="宋体" w:hAnsi="Book Antiqua" w:cs="宋体"/>
          <w:color w:val="000000"/>
          <w:sz w:val="24"/>
          <w:szCs w:val="24"/>
          <w:lang w:val="en-US" w:eastAsia="zh-CN"/>
        </w:rPr>
        <w:t>. EASL clinical practice guidelines: Management of chronic hepatitis B virus infection. </w:t>
      </w:r>
      <w:r w:rsidRPr="00AE2402">
        <w:rPr>
          <w:rFonts w:ascii="Book Antiqua" w:eastAsia="宋体" w:hAnsi="Book Antiqua" w:cs="宋体"/>
          <w:i/>
          <w:iCs/>
          <w:color w:val="000000"/>
          <w:sz w:val="24"/>
          <w:szCs w:val="24"/>
          <w:lang w:val="en-US" w:eastAsia="zh-CN"/>
        </w:rPr>
        <w:t>J Hepatol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57</w:t>
      </w:r>
      <w:r w:rsidRPr="00AE2402">
        <w:rPr>
          <w:rFonts w:ascii="Book Antiqua" w:eastAsia="宋体" w:hAnsi="Book Antiqua" w:cs="宋体"/>
          <w:color w:val="000000"/>
          <w:sz w:val="24"/>
          <w:szCs w:val="24"/>
          <w:lang w:val="en-US" w:eastAsia="zh-CN"/>
        </w:rPr>
        <w:t>: 167-185 [PMID: 22436845 DO</w:t>
      </w:r>
      <w:r>
        <w:rPr>
          <w:rFonts w:ascii="Book Antiqua" w:eastAsia="宋体" w:hAnsi="Book Antiqua" w:cs="宋体"/>
          <w:color w:val="000000"/>
          <w:sz w:val="24"/>
          <w:szCs w:val="24"/>
          <w:lang w:val="en-US" w:eastAsia="zh-CN"/>
        </w:rPr>
        <w:t>I: 10.1016/j.jhep.2012.02.010]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11 </w:t>
      </w:r>
      <w:r w:rsidRPr="00AE2402">
        <w:rPr>
          <w:rFonts w:ascii="Book Antiqua" w:eastAsia="宋体" w:hAnsi="Book Antiqua" w:cs="宋体"/>
          <w:b/>
          <w:bCs/>
          <w:color w:val="000000"/>
          <w:sz w:val="24"/>
          <w:szCs w:val="24"/>
          <w:lang w:val="en-US" w:eastAsia="zh-CN"/>
        </w:rPr>
        <w:t>Pipili C</w:t>
      </w:r>
      <w:r w:rsidRPr="00AE2402">
        <w:rPr>
          <w:rFonts w:ascii="Book Antiqua" w:eastAsia="宋体" w:hAnsi="Book Antiqua" w:cs="宋体"/>
          <w:color w:val="000000"/>
          <w:sz w:val="24"/>
          <w:szCs w:val="24"/>
          <w:lang w:val="en-US" w:eastAsia="zh-CN"/>
        </w:rPr>
        <w:t>, Cholongitas E, Papatheodoridis G. Review article: nucleos(t)ide analogues in patients with chronic hepatitis B virus infection and chronic kidney disease. </w:t>
      </w:r>
      <w:r w:rsidRPr="00AE2402">
        <w:rPr>
          <w:rFonts w:ascii="Book Antiqua" w:eastAsia="宋体" w:hAnsi="Book Antiqua" w:cs="宋体"/>
          <w:i/>
          <w:iCs/>
          <w:color w:val="000000"/>
          <w:sz w:val="24"/>
          <w:szCs w:val="24"/>
          <w:lang w:val="en-US" w:eastAsia="zh-CN"/>
        </w:rPr>
        <w:t>Aliment Pharmacol Ther</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39</w:t>
      </w:r>
      <w:r w:rsidRPr="00AE2402">
        <w:rPr>
          <w:rFonts w:ascii="Book Antiqua" w:eastAsia="宋体" w:hAnsi="Book Antiqua" w:cs="宋体"/>
          <w:color w:val="000000"/>
          <w:sz w:val="24"/>
          <w:szCs w:val="24"/>
          <w:lang w:val="en-US" w:eastAsia="zh-CN"/>
        </w:rPr>
        <w:t>: 35-46 [PMID: 24</w:t>
      </w:r>
      <w:r>
        <w:rPr>
          <w:rFonts w:ascii="Book Antiqua" w:eastAsia="宋体" w:hAnsi="Book Antiqua" w:cs="宋体"/>
          <w:color w:val="000000"/>
          <w:sz w:val="24"/>
          <w:szCs w:val="24"/>
          <w:lang w:val="en-US" w:eastAsia="zh-CN"/>
        </w:rPr>
        <w:t>299322 DOI: 10.1111/apt.12538]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12 </w:t>
      </w:r>
      <w:r w:rsidRPr="00AE2402">
        <w:rPr>
          <w:rFonts w:ascii="Book Antiqua" w:eastAsia="宋体" w:hAnsi="Book Antiqua" w:cs="宋体"/>
          <w:b/>
          <w:bCs/>
          <w:color w:val="000000"/>
          <w:sz w:val="24"/>
          <w:szCs w:val="24"/>
          <w:lang w:val="en-US" w:eastAsia="zh-CN"/>
        </w:rPr>
        <w:t>Ahmad A</w:t>
      </w:r>
      <w:r w:rsidRPr="00AE2402">
        <w:rPr>
          <w:rFonts w:ascii="Book Antiqua" w:eastAsia="宋体" w:hAnsi="Book Antiqua" w:cs="宋体"/>
          <w:color w:val="000000"/>
          <w:sz w:val="24"/>
          <w:szCs w:val="24"/>
          <w:lang w:val="en-US" w:eastAsia="zh-CN"/>
        </w:rPr>
        <w:t>, Hasan F, Abdeen S, Sheikh M, Kodaj J, Nampoory MR, Johny KV, Asker H, Siddique I, Thalib L, Al-Nakib B. Transjugular liver biopsy in patients with end-stage renal disease. </w:t>
      </w:r>
      <w:r w:rsidRPr="00AE2402">
        <w:rPr>
          <w:rFonts w:ascii="Book Antiqua" w:eastAsia="宋体" w:hAnsi="Book Antiqua" w:cs="宋体"/>
          <w:i/>
          <w:iCs/>
          <w:color w:val="000000"/>
          <w:sz w:val="24"/>
          <w:szCs w:val="24"/>
          <w:lang w:val="en-US" w:eastAsia="zh-CN"/>
        </w:rPr>
        <w:t>J Vasc Interv Radiol</w:t>
      </w:r>
      <w:r w:rsidRPr="00AE2402">
        <w:rPr>
          <w:rFonts w:ascii="Book Antiqua" w:eastAsia="宋体" w:hAnsi="Book Antiqua" w:cs="宋体"/>
          <w:color w:val="000000"/>
          <w:sz w:val="24"/>
          <w:szCs w:val="24"/>
          <w:lang w:val="en-US" w:eastAsia="zh-CN"/>
        </w:rPr>
        <w:t> 2004; </w:t>
      </w:r>
      <w:r w:rsidRPr="00AE2402">
        <w:rPr>
          <w:rFonts w:ascii="Book Antiqua" w:eastAsia="宋体" w:hAnsi="Book Antiqua" w:cs="宋体"/>
          <w:b/>
          <w:bCs/>
          <w:color w:val="000000"/>
          <w:sz w:val="24"/>
          <w:szCs w:val="24"/>
          <w:lang w:val="en-US" w:eastAsia="zh-CN"/>
        </w:rPr>
        <w:t>15</w:t>
      </w:r>
      <w:r w:rsidRPr="00AE2402">
        <w:rPr>
          <w:rFonts w:ascii="Book Antiqua" w:eastAsia="宋体" w:hAnsi="Book Antiqua" w:cs="宋体"/>
          <w:color w:val="000000"/>
          <w:sz w:val="24"/>
          <w:szCs w:val="24"/>
          <w:lang w:val="en-US" w:eastAsia="zh-CN"/>
        </w:rPr>
        <w:t>: 257-260 [PMID: 15028810 DOI: 10.1097/01.RVI.0000109403.5276</w:t>
      </w:r>
      <w:r>
        <w:rPr>
          <w:rFonts w:ascii="Book Antiqua" w:eastAsia="宋体" w:hAnsi="Book Antiqua" w:cs="宋体"/>
          <w:color w:val="000000"/>
          <w:sz w:val="24"/>
          <w:szCs w:val="24"/>
          <w:lang w:val="en-US" w:eastAsia="zh-CN"/>
        </w:rPr>
        <w:t>2.C4]</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13 </w:t>
      </w:r>
      <w:r w:rsidRPr="00AE2402">
        <w:rPr>
          <w:rFonts w:ascii="Book Antiqua" w:eastAsia="宋体" w:hAnsi="Book Antiqua" w:cs="宋体"/>
          <w:b/>
          <w:bCs/>
          <w:color w:val="000000"/>
          <w:sz w:val="24"/>
          <w:szCs w:val="24"/>
          <w:lang w:val="en-US" w:eastAsia="zh-CN"/>
        </w:rPr>
        <w:t>García Agudo R</w:t>
      </w:r>
      <w:r w:rsidRPr="00AE2402">
        <w:rPr>
          <w:rFonts w:ascii="Book Antiqua" w:eastAsia="宋体" w:hAnsi="Book Antiqua" w:cs="宋体"/>
          <w:color w:val="000000"/>
          <w:sz w:val="24"/>
          <w:szCs w:val="24"/>
          <w:lang w:val="en-US" w:eastAsia="zh-CN"/>
        </w:rPr>
        <w:t>, Aoufi Rabih S, Pérez Roldán F, Guzmán Ames F, González Carro P, Ruiz Carrillo F, Cuesta Domínguez R. Hepatic venous pressure gradient and transjugular liver biopsy to assess patients with kidney failure and chronic liver disease. </w:t>
      </w:r>
      <w:r w:rsidRPr="00AE2402">
        <w:rPr>
          <w:rFonts w:ascii="Book Antiqua" w:eastAsia="宋体" w:hAnsi="Book Antiqua" w:cs="宋体"/>
          <w:i/>
          <w:iCs/>
          <w:color w:val="000000"/>
          <w:sz w:val="24"/>
          <w:szCs w:val="24"/>
          <w:lang w:val="en-US" w:eastAsia="zh-CN"/>
        </w:rPr>
        <w:t>Nefrologia</w:t>
      </w:r>
      <w:r w:rsidRPr="00AE2402">
        <w:rPr>
          <w:rFonts w:ascii="Book Antiqua" w:eastAsia="宋体" w:hAnsi="Book Antiqua" w:cs="宋体"/>
          <w:color w:val="000000"/>
          <w:sz w:val="24"/>
          <w:szCs w:val="24"/>
          <w:lang w:val="en-US" w:eastAsia="zh-CN"/>
        </w:rPr>
        <w:t> 2011; </w:t>
      </w:r>
      <w:r w:rsidRPr="00AE2402">
        <w:rPr>
          <w:rFonts w:ascii="Book Antiqua" w:eastAsia="宋体" w:hAnsi="Book Antiqua" w:cs="宋体"/>
          <w:b/>
          <w:bCs/>
          <w:color w:val="000000"/>
          <w:sz w:val="24"/>
          <w:szCs w:val="24"/>
          <w:lang w:val="en-US" w:eastAsia="zh-CN"/>
        </w:rPr>
        <w:t>31</w:t>
      </w:r>
      <w:r w:rsidRPr="00AE2402">
        <w:rPr>
          <w:rFonts w:ascii="Book Antiqua" w:eastAsia="宋体" w:hAnsi="Book Antiqua" w:cs="宋体"/>
          <w:color w:val="000000"/>
          <w:sz w:val="24"/>
          <w:szCs w:val="24"/>
          <w:lang w:val="en-US" w:eastAsia="zh-CN"/>
        </w:rPr>
        <w:t>: 490-492 [PMID: 21738254 DOI: 10.3265</w:t>
      </w:r>
      <w:r>
        <w:rPr>
          <w:rFonts w:ascii="Book Antiqua" w:eastAsia="宋体" w:hAnsi="Book Antiqua" w:cs="宋体"/>
          <w:color w:val="000000"/>
          <w:sz w:val="24"/>
          <w:szCs w:val="24"/>
          <w:lang w:val="en-US" w:eastAsia="zh-CN"/>
        </w:rPr>
        <w:t>/Nefrologia.pre2011.May.10878]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 xml:space="preserve">14 </w:t>
      </w:r>
      <w:r w:rsidRPr="00841D2D">
        <w:rPr>
          <w:rFonts w:ascii="Book Antiqua" w:hAnsi="Book Antiqua"/>
          <w:b/>
          <w:sz w:val="24"/>
          <w:szCs w:val="24"/>
          <w:lang w:val="en-US"/>
        </w:rPr>
        <w:t>Kidney Disease: Improving Global Outcomes (KDIGO)</w:t>
      </w:r>
      <w:r w:rsidRPr="00841D2D">
        <w:rPr>
          <w:rFonts w:ascii="Book Antiqua" w:hAnsi="Book Antiqua"/>
          <w:sz w:val="24"/>
          <w:szCs w:val="24"/>
          <w:lang w:val="en-US"/>
        </w:rPr>
        <w:t>.</w:t>
      </w:r>
      <w:r w:rsidRPr="00AE2402">
        <w:rPr>
          <w:rFonts w:ascii="Book Antiqua" w:eastAsia="宋体" w:hAnsi="Book Antiqua" w:cs="宋体"/>
          <w:color w:val="000000"/>
          <w:sz w:val="24"/>
          <w:szCs w:val="24"/>
          <w:lang w:val="en-US" w:eastAsia="zh-CN"/>
        </w:rPr>
        <w:t xml:space="preserve"> KDIGO clinical practice guidelines for the prevention, diagnosis, evaluation, and treatment of hepatitis C in chronic kidney disease. </w:t>
      </w:r>
      <w:r w:rsidRPr="00AE2402">
        <w:rPr>
          <w:rFonts w:ascii="Book Antiqua" w:eastAsia="宋体" w:hAnsi="Book Antiqua" w:cs="宋体"/>
          <w:i/>
          <w:iCs/>
          <w:color w:val="000000"/>
          <w:sz w:val="24"/>
          <w:szCs w:val="24"/>
          <w:lang w:val="en-US" w:eastAsia="zh-CN"/>
        </w:rPr>
        <w:t>Kidney Int Suppl</w:t>
      </w:r>
      <w:r w:rsidRPr="00AE2402">
        <w:rPr>
          <w:rFonts w:ascii="Book Antiqua" w:eastAsia="宋体" w:hAnsi="Book Antiqua" w:cs="宋体"/>
          <w:color w:val="000000"/>
          <w:sz w:val="24"/>
          <w:szCs w:val="24"/>
          <w:lang w:val="en-US" w:eastAsia="zh-CN"/>
        </w:rPr>
        <w:t> 2008; </w:t>
      </w:r>
      <w:r>
        <w:rPr>
          <w:rFonts w:ascii="Book Antiqua" w:eastAsia="宋体" w:hAnsi="Book Antiqua" w:cs="宋体" w:hint="eastAsia"/>
          <w:b/>
          <w:color w:val="000000"/>
          <w:sz w:val="24"/>
          <w:szCs w:val="24"/>
          <w:lang w:val="en-US" w:eastAsia="zh-CN"/>
        </w:rPr>
        <w:t xml:space="preserve">73 </w:t>
      </w:r>
      <w:r w:rsidRPr="00841D2D">
        <w:rPr>
          <w:rFonts w:ascii="Book Antiqua" w:hAnsi="Book Antiqua"/>
          <w:sz w:val="24"/>
          <w:szCs w:val="24"/>
          <w:lang w:val="en-US"/>
        </w:rPr>
        <w:t>(Suppl 109)</w:t>
      </w:r>
      <w:r w:rsidRPr="00AE2402">
        <w:rPr>
          <w:rFonts w:ascii="Book Antiqua" w:eastAsia="宋体" w:hAnsi="Book Antiqua" w:cs="宋体"/>
          <w:color w:val="000000"/>
          <w:sz w:val="24"/>
          <w:szCs w:val="24"/>
          <w:lang w:val="en-US" w:eastAsia="zh-CN"/>
        </w:rPr>
        <w:t>: S1-99 [PMID: 183</w:t>
      </w:r>
      <w:r>
        <w:rPr>
          <w:rFonts w:ascii="Book Antiqua" w:eastAsia="宋体" w:hAnsi="Book Antiqua" w:cs="宋体"/>
          <w:color w:val="000000"/>
          <w:sz w:val="24"/>
          <w:szCs w:val="24"/>
          <w:lang w:val="en-US" w:eastAsia="zh-CN"/>
        </w:rPr>
        <w:t>82440 DOI: 10.1038/ki.2008.81]</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 xml:space="preserve">15 </w:t>
      </w:r>
      <w:r w:rsidRPr="00841D2D">
        <w:rPr>
          <w:rFonts w:ascii="Book Antiqua" w:hAnsi="Book Antiqua"/>
          <w:b/>
          <w:sz w:val="24"/>
          <w:szCs w:val="24"/>
          <w:lang w:val="en-US"/>
        </w:rPr>
        <w:t>Kidney Disease: Improving Global Outcomes (KDIGO)</w:t>
      </w:r>
      <w:r w:rsidRPr="00841D2D">
        <w:rPr>
          <w:rFonts w:ascii="Book Antiqua" w:hAnsi="Book Antiqua"/>
          <w:sz w:val="24"/>
          <w:szCs w:val="24"/>
          <w:lang w:val="en-US"/>
        </w:rPr>
        <w:t>.</w:t>
      </w:r>
      <w:r w:rsidRPr="00AE2402">
        <w:rPr>
          <w:rFonts w:ascii="Book Antiqua" w:eastAsia="宋体" w:hAnsi="Book Antiqua" w:cs="宋体"/>
          <w:color w:val="000000"/>
          <w:sz w:val="24"/>
          <w:szCs w:val="24"/>
          <w:lang w:val="en-US" w:eastAsia="zh-CN"/>
        </w:rPr>
        <w:t xml:space="preserve"> KDIGO clinical practice guideline for the care of kidney transplant recipients. </w:t>
      </w:r>
      <w:r w:rsidRPr="00AE2402">
        <w:rPr>
          <w:rFonts w:ascii="Book Antiqua" w:eastAsia="宋体" w:hAnsi="Book Antiqua" w:cs="宋体"/>
          <w:i/>
          <w:iCs/>
          <w:color w:val="000000"/>
          <w:sz w:val="24"/>
          <w:szCs w:val="24"/>
          <w:lang w:val="en-US" w:eastAsia="zh-CN"/>
        </w:rPr>
        <w:t>Am J Transplant</w:t>
      </w:r>
      <w:r w:rsidRPr="00AE2402">
        <w:rPr>
          <w:rFonts w:ascii="Book Antiqua" w:eastAsia="宋体" w:hAnsi="Book Antiqua" w:cs="宋体"/>
          <w:color w:val="000000"/>
          <w:sz w:val="24"/>
          <w:szCs w:val="24"/>
          <w:lang w:val="en-US" w:eastAsia="zh-CN"/>
        </w:rPr>
        <w:t> 2009; </w:t>
      </w:r>
      <w:r w:rsidRPr="00AE2402">
        <w:rPr>
          <w:rFonts w:ascii="Book Antiqua" w:eastAsia="宋体" w:hAnsi="Book Antiqua" w:cs="宋体"/>
          <w:b/>
          <w:bCs/>
          <w:color w:val="000000"/>
          <w:sz w:val="24"/>
          <w:szCs w:val="24"/>
          <w:lang w:val="en-US" w:eastAsia="zh-CN"/>
        </w:rPr>
        <w:t>9</w:t>
      </w:r>
      <w:r w:rsidRPr="00AE2402">
        <w:rPr>
          <w:rFonts w:ascii="Book Antiqua" w:eastAsia="宋体" w:hAnsi="Book Antiqua" w:cs="宋体"/>
          <w:bCs/>
          <w:color w:val="000000"/>
          <w:sz w:val="24"/>
          <w:szCs w:val="24"/>
          <w:lang w:val="en-US" w:eastAsia="zh-CN"/>
        </w:rPr>
        <w:t xml:space="preserve"> Suppl 3</w:t>
      </w:r>
      <w:r w:rsidRPr="00AE2402">
        <w:rPr>
          <w:rFonts w:ascii="Book Antiqua" w:eastAsia="宋体" w:hAnsi="Book Antiqua" w:cs="宋体"/>
          <w:color w:val="000000"/>
          <w:sz w:val="24"/>
          <w:szCs w:val="24"/>
          <w:lang w:val="en-US" w:eastAsia="zh-CN"/>
        </w:rPr>
        <w:t>: S1-155 [PMID: 19845597 DOI: 10.</w:t>
      </w:r>
      <w:r>
        <w:rPr>
          <w:rFonts w:ascii="Book Antiqua" w:eastAsia="宋体" w:hAnsi="Book Antiqua" w:cs="宋体"/>
          <w:color w:val="000000"/>
          <w:sz w:val="24"/>
          <w:szCs w:val="24"/>
          <w:lang w:val="en-US" w:eastAsia="zh-CN"/>
        </w:rPr>
        <w:t>1111/j.1600-6143.2009.02834.x]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16 </w:t>
      </w:r>
      <w:r w:rsidRPr="00AE2402">
        <w:rPr>
          <w:rFonts w:ascii="Book Antiqua" w:eastAsia="宋体" w:hAnsi="Book Antiqua" w:cs="宋体"/>
          <w:b/>
          <w:bCs/>
          <w:color w:val="000000"/>
          <w:sz w:val="24"/>
          <w:szCs w:val="24"/>
          <w:lang w:val="en-US" w:eastAsia="zh-CN"/>
        </w:rPr>
        <w:t>Alric L</w:t>
      </w:r>
      <w:r w:rsidRPr="00AE2402">
        <w:rPr>
          <w:rFonts w:ascii="Book Antiqua" w:eastAsia="宋体" w:hAnsi="Book Antiqua" w:cs="宋体"/>
          <w:color w:val="000000"/>
          <w:sz w:val="24"/>
          <w:szCs w:val="24"/>
          <w:lang w:val="en-US" w:eastAsia="zh-CN"/>
        </w:rPr>
        <w:t>, Kamar N, Bonnet D, Danjoux M, Abravanel F, Lauwers-Cances V, Rostaing L. Comparison of liver stiffness, fibrotest and liver biopsy for assessment of liver fibrosis in kidney-transplant patients with chronic viral hepatitis. </w:t>
      </w:r>
      <w:r w:rsidRPr="00AE2402">
        <w:rPr>
          <w:rFonts w:ascii="Book Antiqua" w:eastAsia="宋体" w:hAnsi="Book Antiqua" w:cs="宋体"/>
          <w:i/>
          <w:iCs/>
          <w:color w:val="000000"/>
          <w:sz w:val="24"/>
          <w:szCs w:val="24"/>
          <w:lang w:val="en-US" w:eastAsia="zh-CN"/>
        </w:rPr>
        <w:t>Transpl Int</w:t>
      </w:r>
      <w:r w:rsidRPr="00AE2402">
        <w:rPr>
          <w:rFonts w:ascii="Book Antiqua" w:eastAsia="宋体" w:hAnsi="Book Antiqua" w:cs="宋体"/>
          <w:color w:val="000000"/>
          <w:sz w:val="24"/>
          <w:szCs w:val="24"/>
          <w:lang w:val="en-US" w:eastAsia="zh-CN"/>
        </w:rPr>
        <w:t> 2009; </w:t>
      </w:r>
      <w:r w:rsidRPr="00AE2402">
        <w:rPr>
          <w:rFonts w:ascii="Book Antiqua" w:eastAsia="宋体" w:hAnsi="Book Antiqua" w:cs="宋体"/>
          <w:b/>
          <w:bCs/>
          <w:color w:val="000000"/>
          <w:sz w:val="24"/>
          <w:szCs w:val="24"/>
          <w:lang w:val="en-US" w:eastAsia="zh-CN"/>
        </w:rPr>
        <w:t>22</w:t>
      </w:r>
      <w:r w:rsidRPr="00AE2402">
        <w:rPr>
          <w:rFonts w:ascii="Book Antiqua" w:eastAsia="宋体" w:hAnsi="Book Antiqua" w:cs="宋体"/>
          <w:color w:val="000000"/>
          <w:sz w:val="24"/>
          <w:szCs w:val="24"/>
          <w:lang w:val="en-US" w:eastAsia="zh-CN"/>
        </w:rPr>
        <w:t>: 568-573 [PMID: 19196449 DOI: 10.</w:t>
      </w:r>
      <w:r>
        <w:rPr>
          <w:rFonts w:ascii="Book Antiqua" w:eastAsia="宋体" w:hAnsi="Book Antiqua" w:cs="宋体"/>
          <w:color w:val="000000"/>
          <w:sz w:val="24"/>
          <w:szCs w:val="24"/>
          <w:lang w:val="en-US" w:eastAsia="zh-CN"/>
        </w:rPr>
        <w:t>1111/j.1432-2277.2009.00834.x]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 xml:space="preserve">17 </w:t>
      </w:r>
      <w:r w:rsidRPr="00841D2D">
        <w:rPr>
          <w:rFonts w:ascii="Book Antiqua" w:hAnsi="Book Antiqua"/>
          <w:b/>
          <w:sz w:val="24"/>
          <w:szCs w:val="24"/>
          <w:lang w:val="en-US"/>
        </w:rPr>
        <w:t>Ruhi C</w:t>
      </w:r>
      <w:r w:rsidRPr="00841D2D">
        <w:rPr>
          <w:rFonts w:ascii="Book Antiqua" w:hAnsi="Book Antiqua"/>
          <w:sz w:val="24"/>
          <w:szCs w:val="24"/>
          <w:lang w:val="en-US"/>
        </w:rPr>
        <w:t>, Süleymanlar I, Koçak H, Dinçkan A, Ersoy F, Süleymanlar G.</w:t>
      </w:r>
      <w:r w:rsidRPr="00AE2402">
        <w:rPr>
          <w:rFonts w:ascii="Book Antiqua" w:eastAsia="宋体" w:hAnsi="Book Antiqua" w:cs="宋体"/>
          <w:color w:val="000000"/>
          <w:sz w:val="24"/>
          <w:szCs w:val="24"/>
          <w:lang w:val="en-US" w:eastAsia="zh-CN"/>
        </w:rPr>
        <w:t xml:space="preserve"> Effect of Prophylactic Versus Preemptive Lamivudine Treatment and Tenofovir on HBsAg (+) Kidney Transplant Recipients. </w:t>
      </w:r>
      <w:r w:rsidRPr="00AE2402">
        <w:rPr>
          <w:rFonts w:ascii="Book Antiqua" w:eastAsia="宋体" w:hAnsi="Book Antiqua" w:cs="宋体"/>
          <w:i/>
          <w:iCs/>
          <w:color w:val="000000"/>
          <w:sz w:val="24"/>
          <w:szCs w:val="24"/>
          <w:lang w:val="en-US" w:eastAsia="zh-CN"/>
        </w:rPr>
        <w:t>Exp Clin Transplant</w:t>
      </w:r>
      <w:r w:rsidRPr="00AE2402">
        <w:rPr>
          <w:rFonts w:ascii="Book Antiqua" w:eastAsia="宋体" w:hAnsi="Book Antiqua" w:cs="宋体"/>
          <w:color w:val="000000"/>
          <w:sz w:val="24"/>
          <w:szCs w:val="24"/>
          <w:lang w:val="en-US" w:eastAsia="zh-CN"/>
        </w:rPr>
        <w:t> 2014; </w:t>
      </w:r>
      <w:r w:rsidRPr="00841D2D">
        <w:rPr>
          <w:rFonts w:ascii="Book Antiqua" w:hAnsi="Book Antiqua"/>
          <w:sz w:val="24"/>
          <w:szCs w:val="24"/>
          <w:lang w:val="en-US"/>
        </w:rPr>
        <w:t>Epub ahead of print</w:t>
      </w:r>
      <w:r w:rsidRPr="00AE2402">
        <w:rPr>
          <w:rFonts w:ascii="Book Antiqua" w:eastAsia="宋体" w:hAnsi="Book Antiqua" w:cs="宋体"/>
          <w:color w:val="000000"/>
          <w:sz w:val="24"/>
          <w:szCs w:val="24"/>
          <w:lang w:val="en-US" w:eastAsia="zh-CN"/>
        </w:rPr>
        <w:t xml:space="preserve"> [PMID: 25019317 DOI: 10.6002/ect.2013.0280]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18 </w:t>
      </w:r>
      <w:r w:rsidRPr="00AE2402">
        <w:rPr>
          <w:rFonts w:ascii="Book Antiqua" w:eastAsia="宋体" w:hAnsi="Book Antiqua" w:cs="宋体"/>
          <w:b/>
          <w:bCs/>
          <w:color w:val="000000"/>
          <w:sz w:val="24"/>
          <w:szCs w:val="24"/>
          <w:lang w:val="en-US" w:eastAsia="zh-CN"/>
        </w:rPr>
        <w:t>Berger A</w:t>
      </w:r>
      <w:r w:rsidRPr="00AE2402">
        <w:rPr>
          <w:rFonts w:ascii="Book Antiqua" w:eastAsia="宋体" w:hAnsi="Book Antiqua" w:cs="宋体"/>
          <w:color w:val="000000"/>
          <w:sz w:val="24"/>
          <w:szCs w:val="24"/>
          <w:lang w:val="en-US" w:eastAsia="zh-CN"/>
        </w:rPr>
        <w:t>, Preiser W, Kachel HG, Stürmer M, Doerr HW. HBV reactivation after kidney transplantation. </w:t>
      </w:r>
      <w:r w:rsidRPr="00AE2402">
        <w:rPr>
          <w:rFonts w:ascii="Book Antiqua" w:eastAsia="宋体" w:hAnsi="Book Antiqua" w:cs="宋体"/>
          <w:i/>
          <w:iCs/>
          <w:color w:val="000000"/>
          <w:sz w:val="24"/>
          <w:szCs w:val="24"/>
          <w:lang w:val="en-US" w:eastAsia="zh-CN"/>
        </w:rPr>
        <w:t>J Clin Virol</w:t>
      </w:r>
      <w:r w:rsidRPr="00AE2402">
        <w:rPr>
          <w:rFonts w:ascii="Book Antiqua" w:eastAsia="宋体" w:hAnsi="Book Antiqua" w:cs="宋体"/>
          <w:color w:val="000000"/>
          <w:sz w:val="24"/>
          <w:szCs w:val="24"/>
          <w:lang w:val="en-US" w:eastAsia="zh-CN"/>
        </w:rPr>
        <w:t> 2005; </w:t>
      </w:r>
      <w:r w:rsidRPr="00AE2402">
        <w:rPr>
          <w:rFonts w:ascii="Book Antiqua" w:eastAsia="宋体" w:hAnsi="Book Antiqua" w:cs="宋体"/>
          <w:b/>
          <w:bCs/>
          <w:color w:val="000000"/>
          <w:sz w:val="24"/>
          <w:szCs w:val="24"/>
          <w:lang w:val="en-US" w:eastAsia="zh-CN"/>
        </w:rPr>
        <w:t>32</w:t>
      </w:r>
      <w:r w:rsidRPr="00AE2402">
        <w:rPr>
          <w:rFonts w:ascii="Book Antiqua" w:eastAsia="宋体" w:hAnsi="Book Antiqua" w:cs="宋体"/>
          <w:color w:val="000000"/>
          <w:sz w:val="24"/>
          <w:szCs w:val="24"/>
          <w:lang w:val="en-US" w:eastAsia="zh-CN"/>
        </w:rPr>
        <w:t>: 162-165 [PMID: 15653420 D</w:t>
      </w:r>
      <w:r>
        <w:rPr>
          <w:rFonts w:ascii="Book Antiqua" w:eastAsia="宋体" w:hAnsi="Book Antiqua" w:cs="宋体"/>
          <w:color w:val="000000"/>
          <w:sz w:val="24"/>
          <w:szCs w:val="24"/>
          <w:lang w:val="en-US" w:eastAsia="zh-CN"/>
        </w:rPr>
        <w:t>OI: 10.1016/j.jcv.2004.10.006]</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19 </w:t>
      </w:r>
      <w:r w:rsidRPr="00AE2402">
        <w:rPr>
          <w:rFonts w:ascii="Book Antiqua" w:eastAsia="宋体" w:hAnsi="Book Antiqua" w:cs="宋体"/>
          <w:b/>
          <w:bCs/>
          <w:color w:val="000000"/>
          <w:sz w:val="24"/>
          <w:szCs w:val="24"/>
          <w:lang w:val="en-US" w:eastAsia="zh-CN"/>
        </w:rPr>
        <w:t>Kanaan N</w:t>
      </w:r>
      <w:r w:rsidRPr="00AE2402">
        <w:rPr>
          <w:rFonts w:ascii="Book Antiqua" w:eastAsia="宋体" w:hAnsi="Book Antiqua" w:cs="宋体"/>
          <w:color w:val="000000"/>
          <w:sz w:val="24"/>
          <w:szCs w:val="24"/>
          <w:lang w:val="en-US" w:eastAsia="zh-CN"/>
        </w:rPr>
        <w:t>, Kabamba B, Maréchal C, Pirson Y, Beguin C, Goffin E, Hassoun Z. Significant rate of hepatitis B reactivation following kidney transplantation in patients with resolved infection. </w:t>
      </w:r>
      <w:r w:rsidRPr="00AE2402">
        <w:rPr>
          <w:rFonts w:ascii="Book Antiqua" w:eastAsia="宋体" w:hAnsi="Book Antiqua" w:cs="宋体"/>
          <w:i/>
          <w:iCs/>
          <w:color w:val="000000"/>
          <w:sz w:val="24"/>
          <w:szCs w:val="24"/>
          <w:lang w:val="en-US" w:eastAsia="zh-CN"/>
        </w:rPr>
        <w:t>J Clin Virol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55</w:t>
      </w:r>
      <w:r w:rsidRPr="00AE2402">
        <w:rPr>
          <w:rFonts w:ascii="Book Antiqua" w:eastAsia="宋体" w:hAnsi="Book Antiqua" w:cs="宋体"/>
          <w:color w:val="000000"/>
          <w:sz w:val="24"/>
          <w:szCs w:val="24"/>
          <w:lang w:val="en-US" w:eastAsia="zh-CN"/>
        </w:rPr>
        <w:t>: 233-238 [PMID: 22921412 D</w:t>
      </w:r>
      <w:r>
        <w:rPr>
          <w:rFonts w:ascii="Book Antiqua" w:eastAsia="宋体" w:hAnsi="Book Antiqua" w:cs="宋体"/>
          <w:color w:val="000000"/>
          <w:sz w:val="24"/>
          <w:szCs w:val="24"/>
          <w:lang w:val="en-US" w:eastAsia="zh-CN"/>
        </w:rPr>
        <w:t>OI: 10.1016/j.jcv.2012.07.015]</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20 </w:t>
      </w:r>
      <w:r w:rsidRPr="00AE2402">
        <w:rPr>
          <w:rFonts w:ascii="Book Antiqua" w:eastAsia="宋体" w:hAnsi="Book Antiqua" w:cs="宋体"/>
          <w:b/>
          <w:bCs/>
          <w:color w:val="000000"/>
          <w:sz w:val="24"/>
          <w:szCs w:val="24"/>
          <w:lang w:val="en-US" w:eastAsia="zh-CN"/>
        </w:rPr>
        <w:t>Duhart BT</w:t>
      </w:r>
      <w:r w:rsidRPr="00AE2402">
        <w:rPr>
          <w:rFonts w:ascii="Book Antiqua" w:eastAsia="宋体" w:hAnsi="Book Antiqua" w:cs="宋体"/>
          <w:color w:val="000000"/>
          <w:sz w:val="24"/>
          <w:szCs w:val="24"/>
          <w:lang w:val="en-US" w:eastAsia="zh-CN"/>
        </w:rPr>
        <w:t>, Honaker MR, Shokouh-Amiri MH, Riely CA, Vera SR, Taylor SL, Al-jedai AH, Gaber AO. Retrospective evaluation of the risk of hepatitis B virus reactivation after transplantation. </w:t>
      </w:r>
      <w:r w:rsidRPr="00AE2402">
        <w:rPr>
          <w:rFonts w:ascii="Book Antiqua" w:eastAsia="宋体" w:hAnsi="Book Antiqua" w:cs="宋体"/>
          <w:i/>
          <w:iCs/>
          <w:color w:val="000000"/>
          <w:sz w:val="24"/>
          <w:szCs w:val="24"/>
          <w:lang w:val="en-US" w:eastAsia="zh-CN"/>
        </w:rPr>
        <w:t>Transpl Infect Dis</w:t>
      </w:r>
      <w:r w:rsidRPr="00AE2402">
        <w:rPr>
          <w:rFonts w:ascii="Book Antiqua" w:eastAsia="宋体" w:hAnsi="Book Antiqua" w:cs="宋体"/>
          <w:color w:val="000000"/>
          <w:sz w:val="24"/>
          <w:szCs w:val="24"/>
          <w:lang w:val="en-US" w:eastAsia="zh-CN"/>
        </w:rPr>
        <w:t> 2003; </w:t>
      </w:r>
      <w:r w:rsidRPr="00AE2402">
        <w:rPr>
          <w:rFonts w:ascii="Book Antiqua" w:eastAsia="宋体" w:hAnsi="Book Antiqua" w:cs="宋体"/>
          <w:b/>
          <w:bCs/>
          <w:color w:val="000000"/>
          <w:sz w:val="24"/>
          <w:szCs w:val="24"/>
          <w:lang w:val="en-US" w:eastAsia="zh-CN"/>
        </w:rPr>
        <w:t>5</w:t>
      </w:r>
      <w:r w:rsidRPr="00AE2402">
        <w:rPr>
          <w:rFonts w:ascii="Book Antiqua" w:eastAsia="宋体" w:hAnsi="Book Antiqua" w:cs="宋体"/>
          <w:color w:val="000000"/>
          <w:sz w:val="24"/>
          <w:szCs w:val="24"/>
          <w:lang w:val="en-US" w:eastAsia="zh-CN"/>
        </w:rPr>
        <w:t>: 126-131 [PMID: 14617300 DOI: 10.1034/j.1399-3062.</w:t>
      </w:r>
      <w:r>
        <w:rPr>
          <w:rFonts w:ascii="Book Antiqua" w:eastAsia="宋体" w:hAnsi="Book Antiqua" w:cs="宋体"/>
          <w:color w:val="000000"/>
          <w:sz w:val="24"/>
          <w:szCs w:val="24"/>
          <w:lang w:val="en-US" w:eastAsia="zh-CN"/>
        </w:rPr>
        <w:t>2003.00021.x]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21 </w:t>
      </w:r>
      <w:r w:rsidRPr="00AE2402">
        <w:rPr>
          <w:rFonts w:ascii="Book Antiqua" w:eastAsia="宋体" w:hAnsi="Book Antiqua" w:cs="宋体"/>
          <w:b/>
          <w:bCs/>
          <w:color w:val="000000"/>
          <w:sz w:val="24"/>
          <w:szCs w:val="24"/>
          <w:lang w:val="en-US" w:eastAsia="zh-CN"/>
        </w:rPr>
        <w:t>Barclay S</w:t>
      </w:r>
      <w:r w:rsidRPr="00AE2402">
        <w:rPr>
          <w:rFonts w:ascii="Book Antiqua" w:eastAsia="宋体" w:hAnsi="Book Antiqua" w:cs="宋体"/>
          <w:color w:val="000000"/>
          <w:sz w:val="24"/>
          <w:szCs w:val="24"/>
          <w:lang w:val="en-US" w:eastAsia="zh-CN"/>
        </w:rPr>
        <w:t>, Pol S, Mutimer D, Benhamou Y, Mills PR, Hayes PC, Cameron S, Carman W. The management of chronic hepatitis B in the immunocompromised patient: recommendations from a single topic meeting. </w:t>
      </w:r>
      <w:r w:rsidRPr="00AE2402">
        <w:rPr>
          <w:rFonts w:ascii="Book Antiqua" w:eastAsia="宋体" w:hAnsi="Book Antiqua" w:cs="宋体"/>
          <w:i/>
          <w:iCs/>
          <w:color w:val="000000"/>
          <w:sz w:val="24"/>
          <w:szCs w:val="24"/>
          <w:lang w:val="en-US" w:eastAsia="zh-CN"/>
        </w:rPr>
        <w:t>J Clin Virol</w:t>
      </w:r>
      <w:r w:rsidRPr="00AE2402">
        <w:rPr>
          <w:rFonts w:ascii="Book Antiqua" w:eastAsia="宋体" w:hAnsi="Book Antiqua" w:cs="宋体"/>
          <w:color w:val="000000"/>
          <w:sz w:val="24"/>
          <w:szCs w:val="24"/>
          <w:lang w:val="en-US" w:eastAsia="zh-CN"/>
        </w:rPr>
        <w:t> 2008; </w:t>
      </w:r>
      <w:r w:rsidRPr="00AE2402">
        <w:rPr>
          <w:rFonts w:ascii="Book Antiqua" w:eastAsia="宋体" w:hAnsi="Book Antiqua" w:cs="宋体"/>
          <w:b/>
          <w:bCs/>
          <w:color w:val="000000"/>
          <w:sz w:val="24"/>
          <w:szCs w:val="24"/>
          <w:lang w:val="en-US" w:eastAsia="zh-CN"/>
        </w:rPr>
        <w:t>41</w:t>
      </w:r>
      <w:r w:rsidRPr="00AE2402">
        <w:rPr>
          <w:rFonts w:ascii="Book Antiqua" w:eastAsia="宋体" w:hAnsi="Book Antiqua" w:cs="宋体"/>
          <w:color w:val="000000"/>
          <w:sz w:val="24"/>
          <w:szCs w:val="24"/>
          <w:lang w:val="en-US" w:eastAsia="zh-CN"/>
        </w:rPr>
        <w:t>: 243-254 [PMID: 18203658 D</w:t>
      </w:r>
      <w:r>
        <w:rPr>
          <w:rFonts w:ascii="Book Antiqua" w:eastAsia="宋体" w:hAnsi="Book Antiqua" w:cs="宋体"/>
          <w:color w:val="000000"/>
          <w:sz w:val="24"/>
          <w:szCs w:val="24"/>
          <w:lang w:val="en-US" w:eastAsia="zh-CN"/>
        </w:rPr>
        <w:t>OI: 10.1016/j.jcv.2007.11.017]</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22 </w:t>
      </w:r>
      <w:r w:rsidRPr="00AE2402">
        <w:rPr>
          <w:rFonts w:ascii="Book Antiqua" w:eastAsia="宋体" w:hAnsi="Book Antiqua" w:cs="宋体"/>
          <w:b/>
          <w:bCs/>
          <w:color w:val="000000"/>
          <w:sz w:val="24"/>
          <w:szCs w:val="24"/>
          <w:lang w:val="en-US" w:eastAsia="zh-CN"/>
        </w:rPr>
        <w:t>Gane E</w:t>
      </w:r>
      <w:r w:rsidRPr="00AE2402">
        <w:rPr>
          <w:rFonts w:ascii="Book Antiqua" w:eastAsia="宋体" w:hAnsi="Book Antiqua" w:cs="宋体"/>
          <w:color w:val="000000"/>
          <w:sz w:val="24"/>
          <w:szCs w:val="24"/>
          <w:lang w:val="en-US" w:eastAsia="zh-CN"/>
        </w:rPr>
        <w:t>, Pilmore H. Management of chronic viral hepatitis before and after renal transplantation. </w:t>
      </w:r>
      <w:r w:rsidRPr="00AE2402">
        <w:rPr>
          <w:rFonts w:ascii="Book Antiqua" w:eastAsia="宋体" w:hAnsi="Book Antiqua" w:cs="宋体"/>
          <w:i/>
          <w:iCs/>
          <w:color w:val="000000"/>
          <w:sz w:val="24"/>
          <w:szCs w:val="24"/>
          <w:lang w:val="en-US" w:eastAsia="zh-CN"/>
        </w:rPr>
        <w:t>Transplantation</w:t>
      </w:r>
      <w:r w:rsidRPr="00AE2402">
        <w:rPr>
          <w:rFonts w:ascii="Book Antiqua" w:eastAsia="宋体" w:hAnsi="Book Antiqua" w:cs="宋体"/>
          <w:color w:val="000000"/>
          <w:sz w:val="24"/>
          <w:szCs w:val="24"/>
          <w:lang w:val="en-US" w:eastAsia="zh-CN"/>
        </w:rPr>
        <w:t> 2002; </w:t>
      </w:r>
      <w:r w:rsidRPr="00AE2402">
        <w:rPr>
          <w:rFonts w:ascii="Book Antiqua" w:eastAsia="宋体" w:hAnsi="Book Antiqua" w:cs="宋体"/>
          <w:b/>
          <w:bCs/>
          <w:color w:val="000000"/>
          <w:sz w:val="24"/>
          <w:szCs w:val="24"/>
          <w:lang w:val="en-US" w:eastAsia="zh-CN"/>
        </w:rPr>
        <w:t>74</w:t>
      </w:r>
      <w:r w:rsidRPr="00AE2402">
        <w:rPr>
          <w:rFonts w:ascii="Book Antiqua" w:eastAsia="宋体" w:hAnsi="Book Antiqua" w:cs="宋体"/>
          <w:color w:val="000000"/>
          <w:sz w:val="24"/>
          <w:szCs w:val="24"/>
          <w:lang w:val="en-US" w:eastAsia="zh-CN"/>
        </w:rPr>
        <w:t>: 427-437 [PMID: 12352899]</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23 </w:t>
      </w:r>
      <w:r w:rsidRPr="00AE2402">
        <w:rPr>
          <w:rFonts w:ascii="Book Antiqua" w:eastAsia="宋体" w:hAnsi="Book Antiqua" w:cs="宋体"/>
          <w:b/>
          <w:bCs/>
          <w:color w:val="000000"/>
          <w:sz w:val="24"/>
          <w:szCs w:val="24"/>
          <w:lang w:val="en-US" w:eastAsia="zh-CN"/>
        </w:rPr>
        <w:t>Kasiske BL</w:t>
      </w:r>
      <w:r w:rsidRPr="00AE2402">
        <w:rPr>
          <w:rFonts w:ascii="Book Antiqua" w:eastAsia="宋体" w:hAnsi="Book Antiqua" w:cs="宋体"/>
          <w:color w:val="000000"/>
          <w:sz w:val="24"/>
          <w:szCs w:val="24"/>
          <w:lang w:val="en-US" w:eastAsia="zh-CN"/>
        </w:rPr>
        <w:t>, Zeier MG, Chapman JR, Craig JC, Ekberg H, Garvey CA, Green MD, Jha V, Josephson MA, Kiberd BA, Kreis HA, McDonald RA, Newmann JM, Obrador GT, Vincenti FG, Cheung M, Earley A, Raman G, Abariga S, Wagner M, Balk EM. KDIGO clinical practice guideline for the care of kidney transplant recipients: a summary. </w:t>
      </w:r>
      <w:r w:rsidRPr="00AE2402">
        <w:rPr>
          <w:rFonts w:ascii="Book Antiqua" w:eastAsia="宋体" w:hAnsi="Book Antiqua" w:cs="宋体"/>
          <w:i/>
          <w:iCs/>
          <w:color w:val="000000"/>
          <w:sz w:val="24"/>
          <w:szCs w:val="24"/>
          <w:lang w:val="en-US" w:eastAsia="zh-CN"/>
        </w:rPr>
        <w:t>Kidney Int</w:t>
      </w:r>
      <w:r w:rsidRPr="00AE2402">
        <w:rPr>
          <w:rFonts w:ascii="Book Antiqua" w:eastAsia="宋体" w:hAnsi="Book Antiqua" w:cs="宋体"/>
          <w:color w:val="000000"/>
          <w:sz w:val="24"/>
          <w:szCs w:val="24"/>
          <w:lang w:val="en-US" w:eastAsia="zh-CN"/>
        </w:rPr>
        <w:t> 2010; </w:t>
      </w:r>
      <w:r w:rsidRPr="00AE2402">
        <w:rPr>
          <w:rFonts w:ascii="Book Antiqua" w:eastAsia="宋体" w:hAnsi="Book Antiqua" w:cs="宋体"/>
          <w:b/>
          <w:bCs/>
          <w:color w:val="000000"/>
          <w:sz w:val="24"/>
          <w:szCs w:val="24"/>
          <w:lang w:val="en-US" w:eastAsia="zh-CN"/>
        </w:rPr>
        <w:t>77</w:t>
      </w:r>
      <w:r w:rsidRPr="00AE2402">
        <w:rPr>
          <w:rFonts w:ascii="Book Antiqua" w:eastAsia="宋体" w:hAnsi="Book Antiqua" w:cs="宋体"/>
          <w:color w:val="000000"/>
          <w:sz w:val="24"/>
          <w:szCs w:val="24"/>
          <w:lang w:val="en-US" w:eastAsia="zh-CN"/>
        </w:rPr>
        <w:t>: 299-311 [PMID: 19847156]</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24 </w:t>
      </w:r>
      <w:r w:rsidRPr="00AE2402">
        <w:rPr>
          <w:rFonts w:ascii="Book Antiqua" w:eastAsia="宋体" w:hAnsi="Book Antiqua" w:cs="宋体"/>
          <w:b/>
          <w:bCs/>
          <w:color w:val="000000"/>
          <w:sz w:val="24"/>
          <w:szCs w:val="24"/>
          <w:lang w:val="en-US" w:eastAsia="zh-CN"/>
        </w:rPr>
        <w:t>Durlik M</w:t>
      </w:r>
      <w:r w:rsidRPr="00AE2402">
        <w:rPr>
          <w:rFonts w:ascii="Book Antiqua" w:eastAsia="宋体" w:hAnsi="Book Antiqua" w:cs="宋体"/>
          <w:color w:val="000000"/>
          <w:sz w:val="24"/>
          <w:szCs w:val="24"/>
          <w:lang w:val="en-US" w:eastAsia="zh-CN"/>
        </w:rPr>
        <w:t>, Gaciong Z, Rowińska D, Rancewicz Z, Lewandowska D, Koz</w:t>
      </w:r>
      <w:r w:rsidRPr="00AE2402">
        <w:rPr>
          <w:rFonts w:ascii="Book Antiqua" w:eastAsia="MS Mincho" w:hAnsi="Book Antiqua" w:cs="MS Mincho"/>
          <w:color w:val="000000"/>
          <w:sz w:val="24"/>
          <w:szCs w:val="24"/>
          <w:lang w:val="en-US" w:eastAsia="zh-CN"/>
        </w:rPr>
        <w:t>ł</w:t>
      </w:r>
      <w:r w:rsidRPr="00AE2402">
        <w:rPr>
          <w:rFonts w:ascii="Book Antiqua" w:eastAsia="宋体" w:hAnsi="Book Antiqua" w:cs="宋体"/>
          <w:color w:val="000000"/>
          <w:sz w:val="24"/>
          <w:szCs w:val="24"/>
          <w:lang w:val="en-US" w:eastAsia="zh-CN"/>
        </w:rPr>
        <w:t>owska B, Wyzga</w:t>
      </w:r>
      <w:r w:rsidRPr="00AE2402">
        <w:rPr>
          <w:rFonts w:ascii="Book Antiqua" w:eastAsia="MS Mincho" w:hAnsi="Book Antiqua" w:cs="MS Mincho"/>
          <w:color w:val="000000"/>
          <w:sz w:val="24"/>
          <w:szCs w:val="24"/>
          <w:lang w:val="en-US" w:eastAsia="zh-CN"/>
        </w:rPr>
        <w:t>ł</w:t>
      </w:r>
      <w:r w:rsidRPr="00AE2402">
        <w:rPr>
          <w:rFonts w:ascii="Book Antiqua" w:eastAsia="宋体" w:hAnsi="Book Antiqua" w:cs="宋体"/>
          <w:color w:val="000000"/>
          <w:sz w:val="24"/>
          <w:szCs w:val="24"/>
          <w:lang w:val="en-US" w:eastAsia="zh-CN"/>
        </w:rPr>
        <w:t xml:space="preserve"> J, Soluch L, Walewska-Zielecka B, Rowiński W, Lao M. Long-term results of treatment of chronic hepatitis B, C and D with interferon-alpha in renal allograft recipients. </w:t>
      </w:r>
      <w:r w:rsidRPr="00AE2402">
        <w:rPr>
          <w:rFonts w:ascii="Book Antiqua" w:eastAsia="宋体" w:hAnsi="Book Antiqua" w:cs="宋体"/>
          <w:i/>
          <w:iCs/>
          <w:color w:val="000000"/>
          <w:sz w:val="24"/>
          <w:szCs w:val="24"/>
          <w:lang w:val="en-US" w:eastAsia="zh-CN"/>
        </w:rPr>
        <w:t>Transpl Int</w:t>
      </w:r>
      <w:r w:rsidRPr="00AE2402">
        <w:rPr>
          <w:rFonts w:ascii="Book Antiqua" w:eastAsia="宋体" w:hAnsi="Book Antiqua" w:cs="宋体"/>
          <w:color w:val="000000"/>
          <w:sz w:val="24"/>
          <w:szCs w:val="24"/>
          <w:lang w:val="en-US" w:eastAsia="zh-CN"/>
        </w:rPr>
        <w:t> 1998; </w:t>
      </w:r>
      <w:r w:rsidRPr="00AE2402">
        <w:rPr>
          <w:rFonts w:ascii="Book Antiqua" w:eastAsia="宋体" w:hAnsi="Book Antiqua" w:cs="宋体"/>
          <w:b/>
          <w:bCs/>
          <w:color w:val="000000"/>
          <w:sz w:val="24"/>
          <w:szCs w:val="24"/>
          <w:lang w:val="en-US" w:eastAsia="zh-CN"/>
        </w:rPr>
        <w:t xml:space="preserve">11 </w:t>
      </w:r>
      <w:r w:rsidRPr="00AE2402">
        <w:rPr>
          <w:rFonts w:ascii="Book Antiqua" w:eastAsia="宋体" w:hAnsi="Book Antiqua" w:cs="宋体"/>
          <w:bCs/>
          <w:color w:val="000000"/>
          <w:sz w:val="24"/>
          <w:szCs w:val="24"/>
          <w:lang w:val="en-US" w:eastAsia="zh-CN"/>
        </w:rPr>
        <w:t>Suppl 1</w:t>
      </w:r>
      <w:r w:rsidRPr="00AE2402">
        <w:rPr>
          <w:rFonts w:ascii="Book Antiqua" w:eastAsia="宋体" w:hAnsi="Book Antiqua" w:cs="宋体"/>
          <w:color w:val="000000"/>
          <w:sz w:val="24"/>
          <w:szCs w:val="24"/>
          <w:lang w:val="en-US" w:eastAsia="zh-CN"/>
        </w:rPr>
        <w:t>: S135-S139 [PMID: 9664963]</w:t>
      </w:r>
    </w:p>
    <w:p w:rsidR="00AE2402" w:rsidRPr="00841D2D" w:rsidRDefault="00AE2402" w:rsidP="00AE2402">
      <w:pPr>
        <w:pStyle w:val="ListParagraph"/>
        <w:spacing w:after="0" w:line="360" w:lineRule="auto"/>
        <w:ind w:left="0"/>
        <w:jc w:val="both"/>
        <w:rPr>
          <w:rFonts w:ascii="Book Antiqua" w:hAnsi="Book Antiqua"/>
          <w:sz w:val="24"/>
          <w:szCs w:val="24"/>
          <w:lang w:val="en-US" w:eastAsia="zh-CN"/>
        </w:rPr>
      </w:pPr>
      <w:r w:rsidRPr="00AE2402">
        <w:rPr>
          <w:rFonts w:ascii="Book Antiqua" w:hAnsi="Book Antiqua" w:hint="eastAsia"/>
          <w:sz w:val="24"/>
          <w:szCs w:val="24"/>
          <w:lang w:val="en-US" w:eastAsia="zh-CN"/>
        </w:rPr>
        <w:t>25</w:t>
      </w:r>
      <w:r>
        <w:rPr>
          <w:rFonts w:ascii="Book Antiqua" w:hAnsi="Book Antiqua" w:hint="eastAsia"/>
          <w:b/>
          <w:sz w:val="24"/>
          <w:szCs w:val="24"/>
          <w:lang w:val="en-US" w:eastAsia="zh-CN"/>
        </w:rPr>
        <w:t xml:space="preserve"> </w:t>
      </w:r>
      <w:r w:rsidRPr="00841D2D">
        <w:rPr>
          <w:rFonts w:ascii="Book Antiqua" w:hAnsi="Book Antiqua"/>
          <w:b/>
          <w:sz w:val="24"/>
          <w:szCs w:val="24"/>
          <w:lang w:val="en-US"/>
        </w:rPr>
        <w:t>Lamivudine (Epivir®)</w:t>
      </w:r>
      <w:r w:rsidRPr="00841D2D">
        <w:rPr>
          <w:rFonts w:ascii="Book Antiqua" w:hAnsi="Book Antiqua"/>
          <w:sz w:val="24"/>
          <w:szCs w:val="24"/>
          <w:lang w:val="en-US"/>
        </w:rPr>
        <w:t xml:space="preserve"> prescribing information. GlaxoSmithKline Research Triangle Park, NC 27709</w:t>
      </w:r>
      <w:r>
        <w:rPr>
          <w:rFonts w:ascii="Book Antiqua" w:hAnsi="Book Antiqua" w:hint="eastAsia"/>
          <w:sz w:val="24"/>
          <w:szCs w:val="24"/>
          <w:lang w:val="en-US" w:eastAsia="zh-CN"/>
        </w:rPr>
        <w:t>,</w:t>
      </w:r>
      <w:r w:rsidRPr="00841D2D">
        <w:rPr>
          <w:rFonts w:ascii="Book Antiqua" w:hAnsi="Book Antiqua"/>
          <w:sz w:val="24"/>
          <w:szCs w:val="24"/>
          <w:lang w:val="en-US"/>
        </w:rPr>
        <w:t xml:space="preserve"> USA</w:t>
      </w:r>
      <w:r>
        <w:rPr>
          <w:rFonts w:ascii="Book Antiqua" w:hAnsi="Book Antiqua" w:hint="eastAsia"/>
          <w:sz w:val="24"/>
          <w:szCs w:val="24"/>
          <w:lang w:val="en-US" w:eastAsia="zh-CN"/>
        </w:rPr>
        <w:t>,</w:t>
      </w:r>
      <w:r>
        <w:rPr>
          <w:rFonts w:ascii="Book Antiqua" w:hAnsi="Book Antiqua"/>
          <w:sz w:val="24"/>
          <w:szCs w:val="24"/>
          <w:lang w:val="en-US"/>
        </w:rPr>
        <w:t xml:space="preserve"> December 2013</w:t>
      </w:r>
    </w:p>
    <w:p w:rsidR="00AE2402" w:rsidRPr="00841D2D" w:rsidRDefault="00AE2402" w:rsidP="00AE2402">
      <w:pPr>
        <w:pStyle w:val="ListParagraph"/>
        <w:spacing w:after="0" w:line="360" w:lineRule="auto"/>
        <w:ind w:left="0"/>
        <w:jc w:val="both"/>
        <w:rPr>
          <w:rFonts w:ascii="Book Antiqua" w:hAnsi="Book Antiqua"/>
          <w:sz w:val="24"/>
          <w:szCs w:val="24"/>
          <w:lang w:val="en-US" w:eastAsia="zh-CN"/>
        </w:rPr>
      </w:pPr>
      <w:r w:rsidRPr="00AE2402">
        <w:rPr>
          <w:rFonts w:ascii="Book Antiqua" w:hAnsi="Book Antiqua" w:hint="eastAsia"/>
          <w:sz w:val="24"/>
          <w:szCs w:val="24"/>
          <w:lang w:val="en-US" w:eastAsia="zh-CN"/>
        </w:rPr>
        <w:t>26</w:t>
      </w:r>
      <w:r>
        <w:rPr>
          <w:rFonts w:ascii="Book Antiqua" w:hAnsi="Book Antiqua" w:hint="eastAsia"/>
          <w:b/>
          <w:sz w:val="24"/>
          <w:szCs w:val="24"/>
          <w:lang w:val="en-US" w:eastAsia="zh-CN"/>
        </w:rPr>
        <w:t xml:space="preserve"> </w:t>
      </w:r>
      <w:r w:rsidRPr="00841D2D">
        <w:rPr>
          <w:rFonts w:ascii="Book Antiqua" w:hAnsi="Book Antiqua"/>
          <w:b/>
          <w:sz w:val="24"/>
          <w:szCs w:val="24"/>
          <w:lang w:val="en-US"/>
        </w:rPr>
        <w:t>Adefovir (Hepsera®)</w:t>
      </w:r>
      <w:r w:rsidRPr="00841D2D">
        <w:rPr>
          <w:rFonts w:ascii="Book Antiqua" w:hAnsi="Book Antiqua"/>
          <w:sz w:val="24"/>
          <w:szCs w:val="24"/>
          <w:lang w:val="en-US"/>
        </w:rPr>
        <w:t xml:space="preserve"> prescribing information. Gilead Sciences, Inc. Foster City, CA 94404</w:t>
      </w:r>
      <w:r w:rsidR="00D037A7">
        <w:rPr>
          <w:rFonts w:ascii="Book Antiqua" w:hAnsi="Book Antiqua"/>
          <w:sz w:val="24"/>
          <w:szCs w:val="24"/>
          <w:lang w:val="en-US" w:eastAsia="zh-CN"/>
        </w:rPr>
        <w:t>,</w:t>
      </w:r>
      <w:r w:rsidRPr="00841D2D">
        <w:rPr>
          <w:rFonts w:ascii="Book Antiqua" w:hAnsi="Book Antiqua"/>
          <w:sz w:val="24"/>
          <w:szCs w:val="24"/>
          <w:lang w:val="en-US"/>
        </w:rPr>
        <w:t xml:space="preserve"> USA</w:t>
      </w:r>
      <w:r>
        <w:rPr>
          <w:rFonts w:ascii="Book Antiqua" w:hAnsi="Book Antiqua" w:hint="eastAsia"/>
          <w:sz w:val="24"/>
          <w:szCs w:val="24"/>
          <w:lang w:val="en-US" w:eastAsia="zh-CN"/>
        </w:rPr>
        <w:t>,</w:t>
      </w:r>
      <w:r>
        <w:rPr>
          <w:rFonts w:ascii="Book Antiqua" w:hAnsi="Book Antiqua"/>
          <w:sz w:val="24"/>
          <w:szCs w:val="24"/>
          <w:lang w:val="en-US"/>
        </w:rPr>
        <w:t xml:space="preserve"> November 2012</w:t>
      </w:r>
    </w:p>
    <w:p w:rsidR="00AE2402" w:rsidRPr="00841D2D" w:rsidRDefault="00AE2402" w:rsidP="00AE2402">
      <w:pPr>
        <w:pStyle w:val="ListParagraph"/>
        <w:spacing w:after="0" w:line="360" w:lineRule="auto"/>
        <w:ind w:left="0"/>
        <w:jc w:val="both"/>
        <w:rPr>
          <w:rFonts w:ascii="Book Antiqua" w:hAnsi="Book Antiqua"/>
          <w:sz w:val="24"/>
          <w:szCs w:val="24"/>
          <w:lang w:val="en-US" w:eastAsia="zh-CN"/>
        </w:rPr>
      </w:pPr>
      <w:r w:rsidRPr="00AE2402">
        <w:rPr>
          <w:rFonts w:ascii="Book Antiqua" w:hAnsi="Book Antiqua" w:hint="eastAsia"/>
          <w:sz w:val="24"/>
          <w:szCs w:val="24"/>
          <w:lang w:val="en-US" w:eastAsia="zh-CN"/>
        </w:rPr>
        <w:t xml:space="preserve">27 </w:t>
      </w:r>
      <w:r w:rsidRPr="00841D2D">
        <w:rPr>
          <w:rFonts w:ascii="Book Antiqua" w:hAnsi="Book Antiqua"/>
          <w:b/>
          <w:sz w:val="24"/>
          <w:szCs w:val="24"/>
          <w:lang w:val="en-US"/>
        </w:rPr>
        <w:t>Telbivudine (Tyzeka®)</w:t>
      </w:r>
      <w:r w:rsidRPr="00841D2D">
        <w:rPr>
          <w:rFonts w:ascii="Book Antiqua" w:hAnsi="Book Antiqua"/>
          <w:sz w:val="24"/>
          <w:szCs w:val="24"/>
          <w:lang w:val="en-US"/>
        </w:rPr>
        <w:t xml:space="preserve"> Novartis Pharmaceuticals Corporation, East Hanover, New </w:t>
      </w:r>
      <w:r>
        <w:rPr>
          <w:rFonts w:ascii="Book Antiqua" w:hAnsi="Book Antiqua"/>
          <w:sz w:val="24"/>
          <w:szCs w:val="24"/>
          <w:lang w:val="en-US"/>
        </w:rPr>
        <w:t>Jersey 07936</w:t>
      </w:r>
      <w:r>
        <w:rPr>
          <w:rFonts w:ascii="Book Antiqua" w:hAnsi="Book Antiqua" w:hint="eastAsia"/>
          <w:sz w:val="24"/>
          <w:szCs w:val="24"/>
          <w:lang w:val="en-US" w:eastAsia="zh-CN"/>
        </w:rPr>
        <w:t>,</w:t>
      </w:r>
      <w:r>
        <w:rPr>
          <w:rFonts w:ascii="Book Antiqua" w:hAnsi="Book Antiqua"/>
          <w:sz w:val="24"/>
          <w:szCs w:val="24"/>
          <w:lang w:val="en-US"/>
        </w:rPr>
        <w:t xml:space="preserve"> USA</w:t>
      </w:r>
      <w:r>
        <w:rPr>
          <w:rFonts w:ascii="Book Antiqua" w:hAnsi="Book Antiqua" w:hint="eastAsia"/>
          <w:sz w:val="24"/>
          <w:szCs w:val="24"/>
          <w:lang w:val="en-US" w:eastAsia="zh-CN"/>
        </w:rPr>
        <w:t>,</w:t>
      </w:r>
      <w:r>
        <w:rPr>
          <w:rFonts w:ascii="Book Antiqua" w:hAnsi="Book Antiqua"/>
          <w:sz w:val="24"/>
          <w:szCs w:val="24"/>
          <w:lang w:val="en-US"/>
        </w:rPr>
        <w:t xml:space="preserve"> January 2013</w:t>
      </w:r>
    </w:p>
    <w:p w:rsidR="00AE2402" w:rsidRPr="00841D2D" w:rsidRDefault="00AE2402" w:rsidP="00AE2402">
      <w:pPr>
        <w:pStyle w:val="ListParagraph"/>
        <w:spacing w:after="0" w:line="360" w:lineRule="auto"/>
        <w:ind w:left="0"/>
        <w:jc w:val="both"/>
        <w:rPr>
          <w:rFonts w:ascii="Book Antiqua" w:hAnsi="Book Antiqua"/>
          <w:sz w:val="24"/>
          <w:szCs w:val="24"/>
          <w:lang w:val="en-US"/>
        </w:rPr>
      </w:pPr>
      <w:r w:rsidRPr="00AE2402">
        <w:rPr>
          <w:rFonts w:ascii="Book Antiqua" w:hAnsi="Book Antiqua" w:hint="eastAsia"/>
          <w:sz w:val="24"/>
          <w:szCs w:val="24"/>
          <w:lang w:val="en-US" w:eastAsia="zh-CN"/>
        </w:rPr>
        <w:t>28</w:t>
      </w:r>
      <w:r>
        <w:rPr>
          <w:rFonts w:ascii="Book Antiqua" w:hAnsi="Book Antiqua" w:hint="eastAsia"/>
          <w:b/>
          <w:sz w:val="24"/>
          <w:szCs w:val="24"/>
          <w:lang w:val="en-US" w:eastAsia="zh-CN"/>
        </w:rPr>
        <w:t xml:space="preserve"> </w:t>
      </w:r>
      <w:r w:rsidRPr="00841D2D">
        <w:rPr>
          <w:rFonts w:ascii="Book Antiqua" w:hAnsi="Book Antiqua"/>
          <w:b/>
          <w:sz w:val="24"/>
          <w:szCs w:val="24"/>
          <w:lang w:val="en-US"/>
        </w:rPr>
        <w:t>Entecavir (Baraclude®)</w:t>
      </w:r>
      <w:r w:rsidRPr="00841D2D">
        <w:rPr>
          <w:rFonts w:ascii="Book Antiqua" w:hAnsi="Book Antiqua"/>
          <w:sz w:val="24"/>
          <w:szCs w:val="24"/>
          <w:lang w:val="en-US"/>
        </w:rPr>
        <w:t xml:space="preserve"> Bristol-Myers Squibb Company, Princeton, NJ 08543</w:t>
      </w:r>
      <w:r w:rsidR="00D037A7">
        <w:rPr>
          <w:rFonts w:ascii="Book Antiqua" w:hAnsi="Book Antiqua"/>
          <w:sz w:val="24"/>
          <w:szCs w:val="24"/>
          <w:lang w:val="en-US" w:eastAsia="zh-CN"/>
        </w:rPr>
        <w:t>,</w:t>
      </w:r>
      <w:r w:rsidRPr="00841D2D">
        <w:rPr>
          <w:rFonts w:ascii="Book Antiqua" w:hAnsi="Book Antiqua"/>
          <w:sz w:val="24"/>
          <w:szCs w:val="24"/>
          <w:lang w:val="en-US"/>
        </w:rPr>
        <w:t xml:space="preserve"> USA</w:t>
      </w:r>
      <w:r>
        <w:rPr>
          <w:rFonts w:ascii="Book Antiqua" w:hAnsi="Book Antiqua" w:hint="eastAsia"/>
          <w:sz w:val="24"/>
          <w:szCs w:val="24"/>
          <w:lang w:val="en-US" w:eastAsia="zh-CN"/>
        </w:rPr>
        <w:t>,</w:t>
      </w:r>
      <w:r w:rsidRPr="00841D2D">
        <w:rPr>
          <w:rFonts w:ascii="Book Antiqua" w:hAnsi="Book Antiqua"/>
          <w:sz w:val="24"/>
          <w:szCs w:val="24"/>
          <w:lang w:val="en-US"/>
        </w:rPr>
        <w:t xml:space="preserve"> May 2014</w:t>
      </w:r>
    </w:p>
    <w:p w:rsidR="00AE2402" w:rsidRPr="00841D2D" w:rsidRDefault="00AE2402" w:rsidP="00AE2402">
      <w:pPr>
        <w:pStyle w:val="ListParagraph"/>
        <w:spacing w:after="0" w:line="360" w:lineRule="auto"/>
        <w:ind w:left="0"/>
        <w:jc w:val="both"/>
        <w:rPr>
          <w:rFonts w:ascii="Book Antiqua" w:hAnsi="Book Antiqua"/>
          <w:sz w:val="24"/>
          <w:szCs w:val="24"/>
          <w:lang w:val="en-US"/>
        </w:rPr>
      </w:pPr>
      <w:r w:rsidRPr="00AE2402">
        <w:rPr>
          <w:rFonts w:ascii="Book Antiqua" w:hAnsi="Book Antiqua" w:hint="eastAsia"/>
          <w:sz w:val="24"/>
          <w:szCs w:val="24"/>
          <w:lang w:val="en-US" w:eastAsia="zh-CN"/>
        </w:rPr>
        <w:t>29</w:t>
      </w:r>
      <w:r>
        <w:rPr>
          <w:rFonts w:ascii="Book Antiqua" w:hAnsi="Book Antiqua" w:hint="eastAsia"/>
          <w:b/>
          <w:sz w:val="24"/>
          <w:szCs w:val="24"/>
          <w:lang w:val="en-US" w:eastAsia="zh-CN"/>
        </w:rPr>
        <w:t xml:space="preserve"> </w:t>
      </w:r>
      <w:r w:rsidRPr="00841D2D">
        <w:rPr>
          <w:rFonts w:ascii="Book Antiqua" w:hAnsi="Book Antiqua"/>
          <w:b/>
          <w:sz w:val="24"/>
          <w:szCs w:val="24"/>
          <w:lang w:val="en-US"/>
        </w:rPr>
        <w:t>Tenofovir (Viread®)</w:t>
      </w:r>
      <w:r w:rsidRPr="00841D2D">
        <w:rPr>
          <w:rFonts w:ascii="Book Antiqua" w:hAnsi="Book Antiqua"/>
          <w:sz w:val="24"/>
          <w:szCs w:val="24"/>
          <w:lang w:val="en-US"/>
        </w:rPr>
        <w:t xml:space="preserve"> prescribing information. Gilead Sciences, Inc. Foster City, CA 94404</w:t>
      </w:r>
      <w:r w:rsidR="00D037A7">
        <w:rPr>
          <w:rFonts w:ascii="Book Antiqua" w:hAnsi="Book Antiqua"/>
          <w:sz w:val="24"/>
          <w:szCs w:val="24"/>
          <w:lang w:val="en-US" w:eastAsia="zh-CN"/>
        </w:rPr>
        <w:t>,</w:t>
      </w:r>
      <w:bookmarkStart w:id="58" w:name="_GoBack"/>
      <w:bookmarkEnd w:id="58"/>
      <w:r w:rsidRPr="00841D2D">
        <w:rPr>
          <w:rFonts w:ascii="Book Antiqua" w:hAnsi="Book Antiqua"/>
          <w:sz w:val="24"/>
          <w:szCs w:val="24"/>
          <w:lang w:val="en-US"/>
        </w:rPr>
        <w:t xml:space="preserve"> USA</w:t>
      </w:r>
      <w:r>
        <w:rPr>
          <w:rFonts w:ascii="Book Antiqua" w:hAnsi="Book Antiqua" w:hint="eastAsia"/>
          <w:sz w:val="24"/>
          <w:szCs w:val="24"/>
          <w:lang w:val="en-US" w:eastAsia="zh-CN"/>
        </w:rPr>
        <w:t>,</w:t>
      </w:r>
      <w:r w:rsidRPr="00841D2D">
        <w:rPr>
          <w:rFonts w:ascii="Book Antiqua" w:hAnsi="Book Antiqua"/>
          <w:sz w:val="24"/>
          <w:szCs w:val="24"/>
          <w:lang w:val="en-US"/>
        </w:rPr>
        <w:t xml:space="preserve"> October 2013</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30 </w:t>
      </w:r>
      <w:r w:rsidRPr="00AE2402">
        <w:rPr>
          <w:rFonts w:ascii="Book Antiqua" w:eastAsia="宋体" w:hAnsi="Book Antiqua" w:cs="宋体"/>
          <w:b/>
          <w:bCs/>
          <w:color w:val="000000"/>
          <w:sz w:val="24"/>
          <w:szCs w:val="24"/>
          <w:lang w:val="en-US" w:eastAsia="zh-CN"/>
        </w:rPr>
        <w:t>Fabrizi F</w:t>
      </w:r>
      <w:r w:rsidRPr="00AE2402">
        <w:rPr>
          <w:rFonts w:ascii="Book Antiqua" w:eastAsia="宋体" w:hAnsi="Book Antiqua" w:cs="宋体"/>
          <w:color w:val="000000"/>
          <w:sz w:val="24"/>
          <w:szCs w:val="24"/>
          <w:lang w:val="en-US" w:eastAsia="zh-CN"/>
        </w:rPr>
        <w:t>, Dulai G, Dixit V, Bunnapradist S, Martin P. Lamivudine for the treatment of hepatitis B virus-related liver disease after renal transplantation: meta-analysis of clinical trials. </w:t>
      </w:r>
      <w:r w:rsidRPr="00AE2402">
        <w:rPr>
          <w:rFonts w:ascii="Book Antiqua" w:eastAsia="宋体" w:hAnsi="Book Antiqua" w:cs="宋体"/>
          <w:i/>
          <w:iCs/>
          <w:color w:val="000000"/>
          <w:sz w:val="24"/>
          <w:szCs w:val="24"/>
          <w:lang w:val="en-US" w:eastAsia="zh-CN"/>
        </w:rPr>
        <w:t>Transplantation</w:t>
      </w:r>
      <w:r w:rsidRPr="00AE2402">
        <w:rPr>
          <w:rFonts w:ascii="Book Antiqua" w:eastAsia="宋体" w:hAnsi="Book Antiqua" w:cs="宋体"/>
          <w:color w:val="000000"/>
          <w:sz w:val="24"/>
          <w:szCs w:val="24"/>
          <w:lang w:val="en-US" w:eastAsia="zh-CN"/>
        </w:rPr>
        <w:t> 2004; </w:t>
      </w:r>
      <w:r w:rsidRPr="00AE2402">
        <w:rPr>
          <w:rFonts w:ascii="Book Antiqua" w:eastAsia="宋体" w:hAnsi="Book Antiqua" w:cs="宋体"/>
          <w:b/>
          <w:bCs/>
          <w:color w:val="000000"/>
          <w:sz w:val="24"/>
          <w:szCs w:val="24"/>
          <w:lang w:val="en-US" w:eastAsia="zh-CN"/>
        </w:rPr>
        <w:t>77</w:t>
      </w:r>
      <w:r w:rsidRPr="00AE2402">
        <w:rPr>
          <w:rFonts w:ascii="Book Antiqua" w:eastAsia="宋体" w:hAnsi="Book Antiqua" w:cs="宋体"/>
          <w:color w:val="000000"/>
          <w:sz w:val="24"/>
          <w:szCs w:val="24"/>
          <w:lang w:val="en-US" w:eastAsia="zh-CN"/>
        </w:rPr>
        <w:t>: 859-864 [PMID: 15077027]</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31 </w:t>
      </w:r>
      <w:r w:rsidRPr="00AE2402">
        <w:rPr>
          <w:rFonts w:ascii="Book Antiqua" w:eastAsia="宋体" w:hAnsi="Book Antiqua" w:cs="宋体"/>
          <w:b/>
          <w:bCs/>
          <w:color w:val="000000"/>
          <w:sz w:val="24"/>
          <w:szCs w:val="24"/>
          <w:lang w:val="en-US" w:eastAsia="zh-CN"/>
        </w:rPr>
        <w:t>Yap DY</w:t>
      </w:r>
      <w:r w:rsidRPr="00AE2402">
        <w:rPr>
          <w:rFonts w:ascii="Book Antiqua" w:eastAsia="宋体" w:hAnsi="Book Antiqua" w:cs="宋体"/>
          <w:color w:val="000000"/>
          <w:sz w:val="24"/>
          <w:szCs w:val="24"/>
          <w:lang w:val="en-US" w:eastAsia="zh-CN"/>
        </w:rPr>
        <w:t>, Tang CS, Yung S, Choy BY, Yuen MF, Chan TM. Long-term outcome of renal transplant recipients with chronic hepatitis B infection-impact of antiviral treatments. </w:t>
      </w:r>
      <w:r w:rsidRPr="00AE2402">
        <w:rPr>
          <w:rFonts w:ascii="Book Antiqua" w:eastAsia="宋体" w:hAnsi="Book Antiqua" w:cs="宋体"/>
          <w:i/>
          <w:iCs/>
          <w:color w:val="000000"/>
          <w:sz w:val="24"/>
          <w:szCs w:val="24"/>
          <w:lang w:val="en-US" w:eastAsia="zh-CN"/>
        </w:rPr>
        <w:t>Transplantation</w:t>
      </w:r>
      <w:r w:rsidRPr="00AE2402">
        <w:rPr>
          <w:rFonts w:ascii="Book Antiqua" w:eastAsia="宋体" w:hAnsi="Book Antiqua" w:cs="宋体"/>
          <w:color w:val="000000"/>
          <w:sz w:val="24"/>
          <w:szCs w:val="24"/>
          <w:lang w:val="en-US" w:eastAsia="zh-CN"/>
        </w:rPr>
        <w:t> 2010; </w:t>
      </w:r>
      <w:r w:rsidRPr="00AE2402">
        <w:rPr>
          <w:rFonts w:ascii="Book Antiqua" w:eastAsia="宋体" w:hAnsi="Book Antiqua" w:cs="宋体"/>
          <w:b/>
          <w:bCs/>
          <w:color w:val="000000"/>
          <w:sz w:val="24"/>
          <w:szCs w:val="24"/>
          <w:lang w:val="en-US" w:eastAsia="zh-CN"/>
        </w:rPr>
        <w:t>90</w:t>
      </w:r>
      <w:r w:rsidRPr="00AE2402">
        <w:rPr>
          <w:rFonts w:ascii="Book Antiqua" w:eastAsia="宋体" w:hAnsi="Book Antiqua" w:cs="宋体"/>
          <w:color w:val="000000"/>
          <w:sz w:val="24"/>
          <w:szCs w:val="24"/>
          <w:lang w:val="en-US" w:eastAsia="zh-CN"/>
        </w:rPr>
        <w:t>: 325-330 [PMID: 20562676 DOI</w:t>
      </w:r>
      <w:r>
        <w:rPr>
          <w:rFonts w:ascii="Book Antiqua" w:eastAsia="宋体" w:hAnsi="Book Antiqua" w:cs="宋体"/>
          <w:color w:val="000000"/>
          <w:sz w:val="24"/>
          <w:szCs w:val="24"/>
          <w:lang w:val="en-US" w:eastAsia="zh-CN"/>
        </w:rPr>
        <w:t>: 10.1097/TP.0b013e3181e5b811]</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32 </w:t>
      </w:r>
      <w:r w:rsidRPr="00AE2402">
        <w:rPr>
          <w:rFonts w:ascii="Book Antiqua" w:eastAsia="宋体" w:hAnsi="Book Antiqua" w:cs="宋体"/>
          <w:b/>
          <w:bCs/>
          <w:color w:val="000000"/>
          <w:sz w:val="24"/>
          <w:szCs w:val="24"/>
          <w:lang w:val="en-US" w:eastAsia="zh-CN"/>
        </w:rPr>
        <w:t>Thabut D</w:t>
      </w:r>
      <w:r w:rsidRPr="00AE2402">
        <w:rPr>
          <w:rFonts w:ascii="Book Antiqua" w:eastAsia="宋体" w:hAnsi="Book Antiqua" w:cs="宋体"/>
          <w:color w:val="000000"/>
          <w:sz w:val="24"/>
          <w:szCs w:val="24"/>
          <w:lang w:val="en-US" w:eastAsia="zh-CN"/>
        </w:rPr>
        <w:t>, Thibault V, Bernard-Chabert B, Mouquet C, Di Martino V, Le Calvez S, Opolon P, Benhamou Y, Bitker MO, Poynard T. Long-term therapy with lamivudine in renal transplant recipients with chronic hepatitis B. </w:t>
      </w:r>
      <w:r w:rsidRPr="00AE2402">
        <w:rPr>
          <w:rFonts w:ascii="Book Antiqua" w:eastAsia="宋体" w:hAnsi="Book Antiqua" w:cs="宋体"/>
          <w:i/>
          <w:iCs/>
          <w:color w:val="000000"/>
          <w:sz w:val="24"/>
          <w:szCs w:val="24"/>
          <w:lang w:val="en-US" w:eastAsia="zh-CN"/>
        </w:rPr>
        <w:t>Eur J Gastroenterol Hepatol</w:t>
      </w:r>
      <w:r w:rsidRPr="00AE2402">
        <w:rPr>
          <w:rFonts w:ascii="Book Antiqua" w:eastAsia="宋体" w:hAnsi="Book Antiqua" w:cs="宋体"/>
          <w:color w:val="000000"/>
          <w:sz w:val="24"/>
          <w:szCs w:val="24"/>
          <w:lang w:val="en-US" w:eastAsia="zh-CN"/>
        </w:rPr>
        <w:t> 2004; </w:t>
      </w:r>
      <w:r w:rsidRPr="00AE2402">
        <w:rPr>
          <w:rFonts w:ascii="Book Antiqua" w:eastAsia="宋体" w:hAnsi="Book Antiqua" w:cs="宋体"/>
          <w:b/>
          <w:bCs/>
          <w:color w:val="000000"/>
          <w:sz w:val="24"/>
          <w:szCs w:val="24"/>
          <w:lang w:val="en-US" w:eastAsia="zh-CN"/>
        </w:rPr>
        <w:t>16</w:t>
      </w:r>
      <w:r w:rsidRPr="00AE2402">
        <w:rPr>
          <w:rFonts w:ascii="Book Antiqua" w:eastAsia="宋体" w:hAnsi="Book Antiqua" w:cs="宋体"/>
          <w:color w:val="000000"/>
          <w:sz w:val="24"/>
          <w:szCs w:val="24"/>
          <w:lang w:val="en-US" w:eastAsia="zh-CN"/>
        </w:rPr>
        <w:t>: 1367-1373 [PMID: 15618847]</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33 </w:t>
      </w:r>
      <w:r w:rsidRPr="00AE2402">
        <w:rPr>
          <w:rFonts w:ascii="Book Antiqua" w:eastAsia="宋体" w:hAnsi="Book Antiqua" w:cs="宋体"/>
          <w:b/>
          <w:bCs/>
          <w:color w:val="000000"/>
          <w:sz w:val="24"/>
          <w:szCs w:val="24"/>
          <w:lang w:val="en-US" w:eastAsia="zh-CN"/>
        </w:rPr>
        <w:t>Chan TM</w:t>
      </w:r>
      <w:r w:rsidRPr="00AE2402">
        <w:rPr>
          <w:rFonts w:ascii="Book Antiqua" w:eastAsia="宋体" w:hAnsi="Book Antiqua" w:cs="宋体"/>
          <w:color w:val="000000"/>
          <w:sz w:val="24"/>
          <w:szCs w:val="24"/>
          <w:lang w:val="en-US" w:eastAsia="zh-CN"/>
        </w:rPr>
        <w:t>, Tse KC, Tang CS, Lai KN, Ho SK. Prospective study on lamivudine-resistant hepatitis B in renal allograft recipients. </w:t>
      </w:r>
      <w:r w:rsidRPr="00AE2402">
        <w:rPr>
          <w:rFonts w:ascii="Book Antiqua" w:eastAsia="宋体" w:hAnsi="Book Antiqua" w:cs="宋体"/>
          <w:i/>
          <w:iCs/>
          <w:color w:val="000000"/>
          <w:sz w:val="24"/>
          <w:szCs w:val="24"/>
          <w:lang w:val="en-US" w:eastAsia="zh-CN"/>
        </w:rPr>
        <w:t>Am J Transplant</w:t>
      </w:r>
      <w:r w:rsidRPr="00AE2402">
        <w:rPr>
          <w:rFonts w:ascii="Book Antiqua" w:eastAsia="宋体" w:hAnsi="Book Antiqua" w:cs="宋体"/>
          <w:color w:val="000000"/>
          <w:sz w:val="24"/>
          <w:szCs w:val="24"/>
          <w:lang w:val="en-US" w:eastAsia="zh-CN"/>
        </w:rPr>
        <w:t> 2004; </w:t>
      </w:r>
      <w:r w:rsidRPr="00AE2402">
        <w:rPr>
          <w:rFonts w:ascii="Book Antiqua" w:eastAsia="宋体" w:hAnsi="Book Antiqua" w:cs="宋体"/>
          <w:b/>
          <w:bCs/>
          <w:color w:val="000000"/>
          <w:sz w:val="24"/>
          <w:szCs w:val="24"/>
          <w:lang w:val="en-US" w:eastAsia="zh-CN"/>
        </w:rPr>
        <w:t>4</w:t>
      </w:r>
      <w:r w:rsidRPr="00AE2402">
        <w:rPr>
          <w:rFonts w:ascii="Book Antiqua" w:eastAsia="宋体" w:hAnsi="Book Antiqua" w:cs="宋体"/>
          <w:color w:val="000000"/>
          <w:sz w:val="24"/>
          <w:szCs w:val="24"/>
          <w:lang w:val="en-US" w:eastAsia="zh-CN"/>
        </w:rPr>
        <w:t>: 1103-1109 [PMID: 15196068 DOI: 10.</w:t>
      </w:r>
      <w:r>
        <w:rPr>
          <w:rFonts w:ascii="Book Antiqua" w:eastAsia="宋体" w:hAnsi="Book Antiqua" w:cs="宋体"/>
          <w:color w:val="000000"/>
          <w:sz w:val="24"/>
          <w:szCs w:val="24"/>
          <w:lang w:val="en-US" w:eastAsia="zh-CN"/>
        </w:rPr>
        <w:t>1111/j.1600-6143.2004.00467.x]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34 </w:t>
      </w:r>
      <w:r w:rsidRPr="00AE2402">
        <w:rPr>
          <w:rFonts w:ascii="Book Antiqua" w:eastAsia="宋体" w:hAnsi="Book Antiqua" w:cs="宋体"/>
          <w:b/>
          <w:bCs/>
          <w:color w:val="000000"/>
          <w:sz w:val="24"/>
          <w:szCs w:val="24"/>
          <w:lang w:val="en-US" w:eastAsia="zh-CN"/>
        </w:rPr>
        <w:t>Fontaine H</w:t>
      </w:r>
      <w:r w:rsidRPr="00AE2402">
        <w:rPr>
          <w:rFonts w:ascii="Book Antiqua" w:eastAsia="宋体" w:hAnsi="Book Antiqua" w:cs="宋体"/>
          <w:color w:val="000000"/>
          <w:sz w:val="24"/>
          <w:szCs w:val="24"/>
          <w:lang w:val="en-US" w:eastAsia="zh-CN"/>
        </w:rPr>
        <w:t>, Vallet-Pichard A, Chaix ML, Currie G, Serpaggi J, Verkarre V, Varaut A, Morales E, Nalpas B, Brosgart C, Pol S. Efficacy and safety of adefovir dipivoxil in kidney recipients, hemodialysis patients, and patients with renal insufficiency. </w:t>
      </w:r>
      <w:r w:rsidRPr="00AE2402">
        <w:rPr>
          <w:rFonts w:ascii="Book Antiqua" w:eastAsia="宋体" w:hAnsi="Book Antiqua" w:cs="宋体"/>
          <w:i/>
          <w:iCs/>
          <w:color w:val="000000"/>
          <w:sz w:val="24"/>
          <w:szCs w:val="24"/>
          <w:lang w:val="en-US" w:eastAsia="zh-CN"/>
        </w:rPr>
        <w:t>Transplantation</w:t>
      </w:r>
      <w:r w:rsidRPr="00AE2402">
        <w:rPr>
          <w:rFonts w:ascii="Book Antiqua" w:eastAsia="宋体" w:hAnsi="Book Antiqua" w:cs="宋体"/>
          <w:color w:val="000000"/>
          <w:sz w:val="24"/>
          <w:szCs w:val="24"/>
          <w:lang w:val="en-US" w:eastAsia="zh-CN"/>
        </w:rPr>
        <w:t> 2005; </w:t>
      </w:r>
      <w:r w:rsidRPr="00AE2402">
        <w:rPr>
          <w:rFonts w:ascii="Book Antiqua" w:eastAsia="宋体" w:hAnsi="Book Antiqua" w:cs="宋体"/>
          <w:b/>
          <w:bCs/>
          <w:color w:val="000000"/>
          <w:sz w:val="24"/>
          <w:szCs w:val="24"/>
          <w:lang w:val="en-US" w:eastAsia="zh-CN"/>
        </w:rPr>
        <w:t>80</w:t>
      </w:r>
      <w:r w:rsidRPr="00AE2402">
        <w:rPr>
          <w:rFonts w:ascii="Book Antiqua" w:eastAsia="宋体" w:hAnsi="Book Antiqua" w:cs="宋体"/>
          <w:color w:val="000000"/>
          <w:sz w:val="24"/>
          <w:szCs w:val="24"/>
          <w:lang w:val="en-US" w:eastAsia="zh-CN"/>
        </w:rPr>
        <w:t>: 1086-1092 [PMID: 16278590 DOI: 10.1097/01.tp.0000178305.39231.a2]</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35 </w:t>
      </w:r>
      <w:r w:rsidRPr="00AE2402">
        <w:rPr>
          <w:rFonts w:ascii="Book Antiqua" w:eastAsia="宋体" w:hAnsi="Book Antiqua" w:cs="宋体"/>
          <w:b/>
          <w:bCs/>
          <w:color w:val="000000"/>
          <w:sz w:val="24"/>
          <w:szCs w:val="24"/>
          <w:lang w:val="en-US" w:eastAsia="zh-CN"/>
        </w:rPr>
        <w:t>Garcia A</w:t>
      </w:r>
      <w:r w:rsidRPr="00AE2402">
        <w:rPr>
          <w:rFonts w:ascii="Book Antiqua" w:eastAsia="宋体" w:hAnsi="Book Antiqua" w:cs="宋体"/>
          <w:color w:val="000000"/>
          <w:sz w:val="24"/>
          <w:szCs w:val="24"/>
          <w:lang w:val="en-US" w:eastAsia="zh-CN"/>
        </w:rPr>
        <w:t>, Mazuecos A, González P, Diaz F, Garcia T, Ceballos M, Rivero M. Treatment with adefovir dipivoxil in a renal transplant patient with renal insufficiency and lamivudine-resistant hepatitis B infection. </w:t>
      </w:r>
      <w:r w:rsidRPr="00AE2402">
        <w:rPr>
          <w:rFonts w:ascii="Book Antiqua" w:eastAsia="宋体" w:hAnsi="Book Antiqua" w:cs="宋体"/>
          <w:i/>
          <w:iCs/>
          <w:color w:val="000000"/>
          <w:sz w:val="24"/>
          <w:szCs w:val="24"/>
          <w:lang w:val="en-US" w:eastAsia="zh-CN"/>
        </w:rPr>
        <w:t>Transplant Proc</w:t>
      </w:r>
      <w:r w:rsidRPr="00AE2402">
        <w:rPr>
          <w:rFonts w:ascii="Book Antiqua" w:eastAsia="宋体" w:hAnsi="Book Antiqua" w:cs="宋体"/>
          <w:color w:val="000000"/>
          <w:sz w:val="24"/>
          <w:szCs w:val="24"/>
          <w:lang w:val="en-US" w:eastAsia="zh-CN"/>
        </w:rPr>
        <w:t> 2005; </w:t>
      </w:r>
      <w:r w:rsidRPr="00AE2402">
        <w:rPr>
          <w:rFonts w:ascii="Book Antiqua" w:eastAsia="宋体" w:hAnsi="Book Antiqua" w:cs="宋体"/>
          <w:b/>
          <w:bCs/>
          <w:color w:val="000000"/>
          <w:sz w:val="24"/>
          <w:szCs w:val="24"/>
          <w:lang w:val="en-US" w:eastAsia="zh-CN"/>
        </w:rPr>
        <w:t>37</w:t>
      </w:r>
      <w:r w:rsidRPr="00AE2402">
        <w:rPr>
          <w:rFonts w:ascii="Book Antiqua" w:eastAsia="宋体" w:hAnsi="Book Antiqua" w:cs="宋体"/>
          <w:color w:val="000000"/>
          <w:sz w:val="24"/>
          <w:szCs w:val="24"/>
          <w:lang w:val="en-US" w:eastAsia="zh-CN"/>
        </w:rPr>
        <w:t>: 1462-1463 [PMID: 15866639 DOI: 10.1016/j.transproceed.2005.02.010]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36 </w:t>
      </w:r>
      <w:r w:rsidRPr="00AE2402">
        <w:rPr>
          <w:rFonts w:ascii="Book Antiqua" w:eastAsia="宋体" w:hAnsi="Book Antiqua" w:cs="宋体"/>
          <w:b/>
          <w:bCs/>
          <w:color w:val="000000"/>
          <w:sz w:val="24"/>
          <w:szCs w:val="24"/>
          <w:lang w:val="en-US" w:eastAsia="zh-CN"/>
        </w:rPr>
        <w:t>de Silva HJ</w:t>
      </w:r>
      <w:r w:rsidRPr="00AE2402">
        <w:rPr>
          <w:rFonts w:ascii="Book Antiqua" w:eastAsia="宋体" w:hAnsi="Book Antiqua" w:cs="宋体"/>
          <w:color w:val="000000"/>
          <w:sz w:val="24"/>
          <w:szCs w:val="24"/>
          <w:lang w:val="en-US" w:eastAsia="zh-CN"/>
        </w:rPr>
        <w:t>, Dassanayake AS, Manamperi A, de Silva AP. Treatment of lamivudine-resistant hepatitis B infection in post-renal transplant patients with adefovir dipivoxil: preliminary results. </w:t>
      </w:r>
      <w:r w:rsidRPr="00AE2402">
        <w:rPr>
          <w:rFonts w:ascii="Book Antiqua" w:eastAsia="宋体" w:hAnsi="Book Antiqua" w:cs="宋体"/>
          <w:i/>
          <w:iCs/>
          <w:color w:val="000000"/>
          <w:sz w:val="24"/>
          <w:szCs w:val="24"/>
          <w:lang w:val="en-US" w:eastAsia="zh-CN"/>
        </w:rPr>
        <w:t>Transplant Proc</w:t>
      </w:r>
      <w:r w:rsidRPr="00AE2402">
        <w:rPr>
          <w:rFonts w:ascii="Book Antiqua" w:eastAsia="宋体" w:hAnsi="Book Antiqua" w:cs="宋体"/>
          <w:color w:val="000000"/>
          <w:sz w:val="24"/>
          <w:szCs w:val="24"/>
          <w:lang w:val="en-US" w:eastAsia="zh-CN"/>
        </w:rPr>
        <w:t> 2006; </w:t>
      </w:r>
      <w:r w:rsidRPr="00AE2402">
        <w:rPr>
          <w:rFonts w:ascii="Book Antiqua" w:eastAsia="宋体" w:hAnsi="Book Antiqua" w:cs="宋体"/>
          <w:b/>
          <w:bCs/>
          <w:color w:val="000000"/>
          <w:sz w:val="24"/>
          <w:szCs w:val="24"/>
          <w:lang w:val="en-US" w:eastAsia="zh-CN"/>
        </w:rPr>
        <w:t>38</w:t>
      </w:r>
      <w:r w:rsidRPr="00AE2402">
        <w:rPr>
          <w:rFonts w:ascii="Book Antiqua" w:eastAsia="宋体" w:hAnsi="Book Antiqua" w:cs="宋体"/>
          <w:color w:val="000000"/>
          <w:sz w:val="24"/>
          <w:szCs w:val="24"/>
          <w:lang w:val="en-US" w:eastAsia="zh-CN"/>
        </w:rPr>
        <w:t>: 3118-3120 [PMID: 17112914 DOI: 10.1016/j.transproceed.2006.08.186]</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37 </w:t>
      </w:r>
      <w:r w:rsidRPr="00AE2402">
        <w:rPr>
          <w:rFonts w:ascii="Book Antiqua" w:eastAsia="宋体" w:hAnsi="Book Antiqua" w:cs="宋体"/>
          <w:b/>
          <w:bCs/>
          <w:color w:val="000000"/>
          <w:sz w:val="24"/>
          <w:szCs w:val="24"/>
          <w:lang w:val="en-US" w:eastAsia="zh-CN"/>
        </w:rPr>
        <w:t>Kamar N</w:t>
      </w:r>
      <w:r w:rsidRPr="00AE2402">
        <w:rPr>
          <w:rFonts w:ascii="Book Antiqua" w:eastAsia="宋体" w:hAnsi="Book Antiqua" w:cs="宋体"/>
          <w:color w:val="000000"/>
          <w:sz w:val="24"/>
          <w:szCs w:val="24"/>
          <w:lang w:val="en-US" w:eastAsia="zh-CN"/>
        </w:rPr>
        <w:t>, Huart A, Tack I, Alric L, Izopet J, Rostaing L. Renal side effects of adefovir in hepatitis B virus-(HBV) positive kidney allograft recipients. </w:t>
      </w:r>
      <w:r w:rsidRPr="00AE2402">
        <w:rPr>
          <w:rFonts w:ascii="Book Antiqua" w:eastAsia="宋体" w:hAnsi="Book Antiqua" w:cs="宋体"/>
          <w:i/>
          <w:iCs/>
          <w:color w:val="000000"/>
          <w:sz w:val="24"/>
          <w:szCs w:val="24"/>
          <w:lang w:val="en-US" w:eastAsia="zh-CN"/>
        </w:rPr>
        <w:t>Clin Nephrol</w:t>
      </w:r>
      <w:r w:rsidRPr="00AE2402">
        <w:rPr>
          <w:rFonts w:ascii="Book Antiqua" w:eastAsia="宋体" w:hAnsi="Book Antiqua" w:cs="宋体"/>
          <w:color w:val="000000"/>
          <w:sz w:val="24"/>
          <w:szCs w:val="24"/>
          <w:lang w:val="en-US" w:eastAsia="zh-CN"/>
        </w:rPr>
        <w:t> 2009; </w:t>
      </w:r>
      <w:r w:rsidRPr="00AE2402">
        <w:rPr>
          <w:rFonts w:ascii="Book Antiqua" w:eastAsia="宋体" w:hAnsi="Book Antiqua" w:cs="宋体"/>
          <w:b/>
          <w:bCs/>
          <w:color w:val="000000"/>
          <w:sz w:val="24"/>
          <w:szCs w:val="24"/>
          <w:lang w:val="en-US" w:eastAsia="zh-CN"/>
        </w:rPr>
        <w:t>71</w:t>
      </w:r>
      <w:r w:rsidRPr="00AE2402">
        <w:rPr>
          <w:rFonts w:ascii="Book Antiqua" w:eastAsia="宋体" w:hAnsi="Book Antiqua" w:cs="宋体"/>
          <w:color w:val="000000"/>
          <w:sz w:val="24"/>
          <w:szCs w:val="24"/>
          <w:lang w:val="en-US" w:eastAsia="zh-CN"/>
        </w:rPr>
        <w:t>: 36-42 [PMID: 19203548]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38 </w:t>
      </w:r>
      <w:r w:rsidRPr="00AE2402">
        <w:rPr>
          <w:rFonts w:ascii="Book Antiqua" w:eastAsia="宋体" w:hAnsi="Book Antiqua" w:cs="宋体"/>
          <w:b/>
          <w:bCs/>
          <w:color w:val="000000"/>
          <w:sz w:val="24"/>
          <w:szCs w:val="24"/>
          <w:lang w:val="en-US" w:eastAsia="zh-CN"/>
        </w:rPr>
        <w:t>Lampertico P</w:t>
      </w:r>
      <w:r w:rsidRPr="00AE2402">
        <w:rPr>
          <w:rFonts w:ascii="Book Antiqua" w:eastAsia="宋体" w:hAnsi="Book Antiqua" w:cs="宋体"/>
          <w:color w:val="000000"/>
          <w:sz w:val="24"/>
          <w:szCs w:val="24"/>
          <w:lang w:val="en-US" w:eastAsia="zh-CN"/>
        </w:rPr>
        <w:t>, Viganò M, Facchetti F, Invernizzi F, Aroldi A, Lunghi G, Messa PG, Colombo M. Long-term add-on therapy with adefovir in lamivudine-resistant kidney graft recipients with chronic hepatitis B. </w:t>
      </w:r>
      <w:r w:rsidRPr="00AE2402">
        <w:rPr>
          <w:rFonts w:ascii="Book Antiqua" w:eastAsia="宋体" w:hAnsi="Book Antiqua" w:cs="宋体"/>
          <w:i/>
          <w:iCs/>
          <w:color w:val="000000"/>
          <w:sz w:val="24"/>
          <w:szCs w:val="24"/>
          <w:lang w:val="en-US" w:eastAsia="zh-CN"/>
        </w:rPr>
        <w:t>Nephrol Dial Transplant</w:t>
      </w:r>
      <w:r w:rsidRPr="00AE2402">
        <w:rPr>
          <w:rFonts w:ascii="Book Antiqua" w:eastAsia="宋体" w:hAnsi="Book Antiqua" w:cs="宋体"/>
          <w:color w:val="000000"/>
          <w:sz w:val="24"/>
          <w:szCs w:val="24"/>
          <w:lang w:val="en-US" w:eastAsia="zh-CN"/>
        </w:rPr>
        <w:t> 2011; </w:t>
      </w:r>
      <w:r w:rsidRPr="00AE2402">
        <w:rPr>
          <w:rFonts w:ascii="Book Antiqua" w:eastAsia="宋体" w:hAnsi="Book Antiqua" w:cs="宋体"/>
          <w:b/>
          <w:bCs/>
          <w:color w:val="000000"/>
          <w:sz w:val="24"/>
          <w:szCs w:val="24"/>
          <w:lang w:val="en-US" w:eastAsia="zh-CN"/>
        </w:rPr>
        <w:t>26</w:t>
      </w:r>
      <w:r w:rsidRPr="00AE2402">
        <w:rPr>
          <w:rFonts w:ascii="Book Antiqua" w:eastAsia="宋体" w:hAnsi="Book Antiqua" w:cs="宋体"/>
          <w:color w:val="000000"/>
          <w:sz w:val="24"/>
          <w:szCs w:val="24"/>
          <w:lang w:val="en-US" w:eastAsia="zh-CN"/>
        </w:rPr>
        <w:t>: 2037-2041 [PMID: 21486869 DOI: 10.1093/ndt/gfr174]</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39 </w:t>
      </w:r>
      <w:r w:rsidRPr="00AE2402">
        <w:rPr>
          <w:rFonts w:ascii="Book Antiqua" w:eastAsia="宋体" w:hAnsi="Book Antiqua" w:cs="宋体"/>
          <w:b/>
          <w:bCs/>
          <w:color w:val="000000"/>
          <w:sz w:val="24"/>
          <w:szCs w:val="24"/>
          <w:lang w:val="en-US" w:eastAsia="zh-CN"/>
        </w:rPr>
        <w:t>Lai HW</w:t>
      </w:r>
      <w:r w:rsidRPr="00AE2402">
        <w:rPr>
          <w:rFonts w:ascii="Book Antiqua" w:eastAsia="宋体" w:hAnsi="Book Antiqua" w:cs="宋体"/>
          <w:color w:val="000000"/>
          <w:sz w:val="24"/>
          <w:szCs w:val="24"/>
          <w:lang w:val="en-US" w:eastAsia="zh-CN"/>
        </w:rPr>
        <w:t>, Chang CC, Chen TH, Tsai MC, Chen TY, Lin CC. Safety and efficacy of adefovir therapy for lamivudine-resistant hepatitis B virus infection in renal transplant recipients. </w:t>
      </w:r>
      <w:r w:rsidRPr="00AE2402">
        <w:rPr>
          <w:rFonts w:ascii="Book Antiqua" w:eastAsia="宋体" w:hAnsi="Book Antiqua" w:cs="宋体"/>
          <w:i/>
          <w:iCs/>
          <w:color w:val="000000"/>
          <w:sz w:val="24"/>
          <w:szCs w:val="24"/>
          <w:lang w:val="en-US" w:eastAsia="zh-CN"/>
        </w:rPr>
        <w:t>J Formos Med Assoc</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111</w:t>
      </w:r>
      <w:r w:rsidRPr="00AE2402">
        <w:rPr>
          <w:rFonts w:ascii="Book Antiqua" w:eastAsia="宋体" w:hAnsi="Book Antiqua" w:cs="宋体"/>
          <w:color w:val="000000"/>
          <w:sz w:val="24"/>
          <w:szCs w:val="24"/>
          <w:lang w:val="en-US" w:eastAsia="zh-CN"/>
        </w:rPr>
        <w:t>: 439-444 [PMID: 22939662 DOI: 10.1016/j.jfma.2011.05.010]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40 </w:t>
      </w:r>
      <w:r w:rsidRPr="00AE2402">
        <w:rPr>
          <w:rFonts w:ascii="Book Antiqua" w:eastAsia="宋体" w:hAnsi="Book Antiqua" w:cs="宋体"/>
          <w:b/>
          <w:bCs/>
          <w:color w:val="000000"/>
          <w:sz w:val="24"/>
          <w:szCs w:val="24"/>
          <w:lang w:val="en-US" w:eastAsia="zh-CN"/>
        </w:rPr>
        <w:t>Yap DY</w:t>
      </w:r>
      <w:r w:rsidRPr="00AE2402">
        <w:rPr>
          <w:rFonts w:ascii="Book Antiqua" w:eastAsia="宋体" w:hAnsi="Book Antiqua" w:cs="宋体"/>
          <w:color w:val="000000"/>
          <w:sz w:val="24"/>
          <w:szCs w:val="24"/>
          <w:lang w:val="en-US" w:eastAsia="zh-CN"/>
        </w:rPr>
        <w:t>, Chan TM. Evolution of hepatitis B management in kidney transplantation. </w:t>
      </w:r>
      <w:r w:rsidRPr="00AE2402">
        <w:rPr>
          <w:rFonts w:ascii="Book Antiqua" w:eastAsia="宋体" w:hAnsi="Book Antiqua" w:cs="宋体"/>
          <w:i/>
          <w:iCs/>
          <w:color w:val="000000"/>
          <w:sz w:val="24"/>
          <w:szCs w:val="24"/>
          <w:lang w:val="en-US" w:eastAsia="zh-CN"/>
        </w:rPr>
        <w:t>World J Gastroenterol</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20</w:t>
      </w:r>
      <w:r w:rsidRPr="00AE2402">
        <w:rPr>
          <w:rFonts w:ascii="Book Antiqua" w:eastAsia="宋体" w:hAnsi="Book Antiqua" w:cs="宋体"/>
          <w:color w:val="000000"/>
          <w:sz w:val="24"/>
          <w:szCs w:val="24"/>
          <w:lang w:val="en-US" w:eastAsia="zh-CN"/>
        </w:rPr>
        <w:t>: 468-474 [PMID: 2457471</w:t>
      </w:r>
      <w:r>
        <w:rPr>
          <w:rFonts w:ascii="Book Antiqua" w:eastAsia="宋体" w:hAnsi="Book Antiqua" w:cs="宋体"/>
          <w:color w:val="000000"/>
          <w:sz w:val="24"/>
          <w:szCs w:val="24"/>
          <w:lang w:val="en-US" w:eastAsia="zh-CN"/>
        </w:rPr>
        <w:t>5 DOI: 10.3748/wjg.v20.i2.468]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41 </w:t>
      </w:r>
      <w:r w:rsidRPr="00AE2402">
        <w:rPr>
          <w:rFonts w:ascii="Book Antiqua" w:eastAsia="宋体" w:hAnsi="Book Antiqua" w:cs="宋体"/>
          <w:b/>
          <w:bCs/>
          <w:color w:val="000000"/>
          <w:sz w:val="24"/>
          <w:szCs w:val="24"/>
          <w:lang w:val="en-US" w:eastAsia="zh-CN"/>
        </w:rPr>
        <w:t>Hu TH</w:t>
      </w:r>
      <w:r w:rsidRPr="00AE2402">
        <w:rPr>
          <w:rFonts w:ascii="Book Antiqua" w:eastAsia="宋体" w:hAnsi="Book Antiqua" w:cs="宋体"/>
          <w:color w:val="000000"/>
          <w:sz w:val="24"/>
          <w:szCs w:val="24"/>
          <w:lang w:val="en-US" w:eastAsia="zh-CN"/>
        </w:rPr>
        <w:t>, Tsai MC, Chien YS, Chen YT, Chen TC, Lin MT, Chang KC, Chiu KW. A novel experience of antiviral therapy for chronic hepatitis B in renal transplant recipients. </w:t>
      </w:r>
      <w:r w:rsidRPr="00AE2402">
        <w:rPr>
          <w:rFonts w:ascii="Book Antiqua" w:eastAsia="宋体" w:hAnsi="Book Antiqua" w:cs="宋体"/>
          <w:i/>
          <w:iCs/>
          <w:color w:val="000000"/>
          <w:sz w:val="24"/>
          <w:szCs w:val="24"/>
          <w:lang w:val="en-US" w:eastAsia="zh-CN"/>
        </w:rPr>
        <w:t>Antivir Ther</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17</w:t>
      </w:r>
      <w:r w:rsidRPr="00AE2402">
        <w:rPr>
          <w:rFonts w:ascii="Book Antiqua" w:eastAsia="宋体" w:hAnsi="Book Antiqua" w:cs="宋体"/>
          <w:color w:val="000000"/>
          <w:sz w:val="24"/>
          <w:szCs w:val="24"/>
          <w:lang w:val="en-US" w:eastAsia="zh-CN"/>
        </w:rPr>
        <w:t>: 745-753 [PMID: 22522918 DOI: 10.3851/IMP2097]</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42 </w:t>
      </w:r>
      <w:r w:rsidRPr="00AE2402">
        <w:rPr>
          <w:rFonts w:ascii="Book Antiqua" w:eastAsia="宋体" w:hAnsi="Book Antiqua" w:cs="宋体"/>
          <w:b/>
          <w:bCs/>
          <w:color w:val="000000"/>
          <w:sz w:val="24"/>
          <w:szCs w:val="24"/>
          <w:lang w:val="en-US" w:eastAsia="zh-CN"/>
        </w:rPr>
        <w:t>Kamar N</w:t>
      </w:r>
      <w:r w:rsidRPr="00AE2402">
        <w:rPr>
          <w:rFonts w:ascii="Book Antiqua" w:eastAsia="宋体" w:hAnsi="Book Antiqua" w:cs="宋体"/>
          <w:color w:val="000000"/>
          <w:sz w:val="24"/>
          <w:szCs w:val="24"/>
          <w:lang w:val="en-US" w:eastAsia="zh-CN"/>
        </w:rPr>
        <w:t>, Milioto O, Alric L, El Kahwaji L, Cointault O, Lavayssière L, Sauné K, Izopet J, Rostaing L. Entecavir therapy for adefovir-resistant hepatitis B virus infection in kidney and liver allograft recipients. </w:t>
      </w:r>
      <w:r w:rsidRPr="00AE2402">
        <w:rPr>
          <w:rFonts w:ascii="Book Antiqua" w:eastAsia="宋体" w:hAnsi="Book Antiqua" w:cs="宋体"/>
          <w:i/>
          <w:iCs/>
          <w:color w:val="000000"/>
          <w:sz w:val="24"/>
          <w:szCs w:val="24"/>
          <w:lang w:val="en-US" w:eastAsia="zh-CN"/>
        </w:rPr>
        <w:t>Transplantation</w:t>
      </w:r>
      <w:r w:rsidRPr="00AE2402">
        <w:rPr>
          <w:rFonts w:ascii="Book Antiqua" w:eastAsia="宋体" w:hAnsi="Book Antiqua" w:cs="宋体"/>
          <w:color w:val="000000"/>
          <w:sz w:val="24"/>
          <w:szCs w:val="24"/>
          <w:lang w:val="en-US" w:eastAsia="zh-CN"/>
        </w:rPr>
        <w:t> 2008; </w:t>
      </w:r>
      <w:r w:rsidRPr="00AE2402">
        <w:rPr>
          <w:rFonts w:ascii="Book Antiqua" w:eastAsia="宋体" w:hAnsi="Book Antiqua" w:cs="宋体"/>
          <w:b/>
          <w:bCs/>
          <w:color w:val="000000"/>
          <w:sz w:val="24"/>
          <w:szCs w:val="24"/>
          <w:lang w:val="en-US" w:eastAsia="zh-CN"/>
        </w:rPr>
        <w:t>86</w:t>
      </w:r>
      <w:r w:rsidRPr="00AE2402">
        <w:rPr>
          <w:rFonts w:ascii="Book Antiqua" w:eastAsia="宋体" w:hAnsi="Book Antiqua" w:cs="宋体"/>
          <w:color w:val="000000"/>
          <w:sz w:val="24"/>
          <w:szCs w:val="24"/>
          <w:lang w:val="en-US" w:eastAsia="zh-CN"/>
        </w:rPr>
        <w:t>: 611-614 [PMID: 18724232 DOI: 10.1097/TP.0b013e3181806c8c]</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43 </w:t>
      </w:r>
      <w:r w:rsidRPr="00AE2402">
        <w:rPr>
          <w:rFonts w:ascii="Book Antiqua" w:eastAsia="宋体" w:hAnsi="Book Antiqua" w:cs="宋体"/>
          <w:b/>
          <w:color w:val="000000"/>
          <w:sz w:val="24"/>
          <w:szCs w:val="24"/>
          <w:lang w:val="en-US" w:eastAsia="zh-CN"/>
        </w:rPr>
        <w:t>Ridruejo E</w:t>
      </w:r>
      <w:r w:rsidRPr="00AE2402">
        <w:rPr>
          <w:rFonts w:ascii="Book Antiqua" w:eastAsia="宋体" w:hAnsi="Book Antiqua" w:cs="宋体"/>
          <w:color w:val="000000"/>
          <w:sz w:val="24"/>
          <w:szCs w:val="24"/>
          <w:lang w:val="en-US" w:eastAsia="zh-CN"/>
        </w:rPr>
        <w:t xml:space="preserve">, Adrover R, Alonso C, Mando OG, Silva MO. Entecavir in the treatment of chronic hepatitis B in end stage renal disease and kidney transplantation. </w:t>
      </w:r>
      <w:r w:rsidRPr="00AE2402">
        <w:rPr>
          <w:rFonts w:ascii="Book Antiqua" w:eastAsia="宋体" w:hAnsi="Book Antiqua" w:cs="宋体"/>
          <w:i/>
          <w:color w:val="000000"/>
          <w:sz w:val="24"/>
          <w:szCs w:val="24"/>
          <w:lang w:val="en-US" w:eastAsia="zh-CN"/>
        </w:rPr>
        <w:t>Dial Transplant</w:t>
      </w:r>
      <w:r w:rsidRPr="00AE2402">
        <w:rPr>
          <w:rFonts w:ascii="Book Antiqua" w:eastAsia="宋体" w:hAnsi="Book Antiqua" w:cs="宋体"/>
          <w:color w:val="000000"/>
          <w:sz w:val="24"/>
          <w:szCs w:val="24"/>
          <w:lang w:val="en-US" w:eastAsia="zh-CN"/>
        </w:rPr>
        <w:t xml:space="preserve"> 2010; </w:t>
      </w:r>
      <w:r w:rsidRPr="00AE2402">
        <w:rPr>
          <w:rFonts w:ascii="Book Antiqua" w:eastAsia="宋体" w:hAnsi="Book Antiqua" w:cs="宋体"/>
          <w:b/>
          <w:color w:val="000000"/>
          <w:sz w:val="24"/>
          <w:szCs w:val="24"/>
          <w:lang w:val="en-US" w:eastAsia="zh-CN"/>
        </w:rPr>
        <w:t>39</w:t>
      </w:r>
      <w:r>
        <w:rPr>
          <w:rFonts w:ascii="Book Antiqua" w:eastAsia="宋体" w:hAnsi="Book Antiqua" w:cs="宋体"/>
          <w:color w:val="000000"/>
          <w:sz w:val="24"/>
          <w:szCs w:val="24"/>
          <w:lang w:val="en-US" w:eastAsia="zh-CN"/>
        </w:rPr>
        <w:t>: 397-400</w:t>
      </w:r>
      <w:r w:rsidRPr="00AE2402">
        <w:rPr>
          <w:rFonts w:ascii="Book Antiqua" w:eastAsia="宋体" w:hAnsi="Book Antiqua" w:cs="宋体"/>
          <w:color w:val="000000"/>
          <w:sz w:val="24"/>
          <w:szCs w:val="24"/>
          <w:lang w:val="en-US" w:eastAsia="zh-CN"/>
        </w:rPr>
        <w:t xml:space="preserve"> [DOI: 10.1002/dat.20485]</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44 </w:t>
      </w:r>
      <w:r w:rsidRPr="00AE2402">
        <w:rPr>
          <w:rFonts w:ascii="Book Antiqua" w:eastAsia="宋体" w:hAnsi="Book Antiqua" w:cs="宋体"/>
          <w:b/>
          <w:bCs/>
          <w:color w:val="000000"/>
          <w:sz w:val="24"/>
          <w:szCs w:val="24"/>
          <w:lang w:val="en-US" w:eastAsia="zh-CN"/>
        </w:rPr>
        <w:t>Ridruejo E</w:t>
      </w:r>
      <w:r w:rsidRPr="00AE2402">
        <w:rPr>
          <w:rFonts w:ascii="Book Antiqua" w:eastAsia="宋体" w:hAnsi="Book Antiqua" w:cs="宋体"/>
          <w:color w:val="000000"/>
          <w:sz w:val="24"/>
          <w:szCs w:val="24"/>
          <w:lang w:val="en-US" w:eastAsia="zh-CN"/>
        </w:rPr>
        <w:t>, Adrover R, Mandó OG, Silva MO. Entecavir in the treatment of chronic hepatitis B in kidney transplantation. </w:t>
      </w:r>
      <w:r w:rsidRPr="00AE2402">
        <w:rPr>
          <w:rFonts w:ascii="Book Antiqua" w:eastAsia="宋体" w:hAnsi="Book Antiqua" w:cs="宋体"/>
          <w:i/>
          <w:iCs/>
          <w:color w:val="000000"/>
          <w:sz w:val="24"/>
          <w:szCs w:val="24"/>
          <w:lang w:val="en-US" w:eastAsia="zh-CN"/>
        </w:rPr>
        <w:t>J Hepatol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56</w:t>
      </w:r>
      <w:r w:rsidRPr="00AE2402">
        <w:rPr>
          <w:rFonts w:ascii="Book Antiqua" w:eastAsia="宋体" w:hAnsi="Book Antiqua" w:cs="宋体"/>
          <w:color w:val="000000"/>
          <w:sz w:val="24"/>
          <w:szCs w:val="24"/>
          <w:lang w:val="en-US" w:eastAsia="zh-CN"/>
        </w:rPr>
        <w:t>: 997-98; author reply 999 [PMID: 22075262 DO</w:t>
      </w:r>
      <w:r>
        <w:rPr>
          <w:rFonts w:ascii="Book Antiqua" w:eastAsia="宋体" w:hAnsi="Book Antiqua" w:cs="宋体"/>
          <w:color w:val="000000"/>
          <w:sz w:val="24"/>
          <w:szCs w:val="24"/>
          <w:lang w:val="en-US" w:eastAsia="zh-CN"/>
        </w:rPr>
        <w:t>I: 10.1016/j.jhep.2011.09.019]</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45 </w:t>
      </w:r>
      <w:r w:rsidRPr="00AE2402">
        <w:rPr>
          <w:rFonts w:ascii="Book Antiqua" w:eastAsia="宋体" w:hAnsi="Book Antiqua" w:cs="宋体"/>
          <w:b/>
          <w:bCs/>
          <w:color w:val="000000"/>
          <w:sz w:val="24"/>
          <w:szCs w:val="24"/>
          <w:lang w:val="en-US" w:eastAsia="zh-CN"/>
        </w:rPr>
        <w:t>Yap DY</w:t>
      </w:r>
      <w:r w:rsidRPr="00AE2402">
        <w:rPr>
          <w:rFonts w:ascii="Book Antiqua" w:eastAsia="宋体" w:hAnsi="Book Antiqua" w:cs="宋体"/>
          <w:color w:val="000000"/>
          <w:sz w:val="24"/>
          <w:szCs w:val="24"/>
          <w:lang w:val="en-US" w:eastAsia="zh-CN"/>
        </w:rPr>
        <w:t>, Yung S, Tang CS, Seto WK, Ma MK, Mok MM, Kwan LP, Chan GC, Choy BY, Yuen MF, Chan TM. Entecavir treatment in kidney transplant recipients infected with hepatitis B. </w:t>
      </w:r>
      <w:r w:rsidRPr="00AE2402">
        <w:rPr>
          <w:rFonts w:ascii="Book Antiqua" w:eastAsia="宋体" w:hAnsi="Book Antiqua" w:cs="宋体"/>
          <w:i/>
          <w:iCs/>
          <w:color w:val="000000"/>
          <w:sz w:val="24"/>
          <w:szCs w:val="24"/>
          <w:lang w:val="en-US" w:eastAsia="zh-CN"/>
        </w:rPr>
        <w:t>Clin Transplant</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28</w:t>
      </w:r>
      <w:r w:rsidRPr="00AE2402">
        <w:rPr>
          <w:rFonts w:ascii="Book Antiqua" w:eastAsia="宋体" w:hAnsi="Book Antiqua" w:cs="宋体"/>
          <w:color w:val="000000"/>
          <w:sz w:val="24"/>
          <w:szCs w:val="24"/>
          <w:lang w:val="en-US" w:eastAsia="zh-CN"/>
        </w:rPr>
        <w:t>: 1010-1015 [PMID: 24</w:t>
      </w:r>
      <w:r>
        <w:rPr>
          <w:rFonts w:ascii="Book Antiqua" w:eastAsia="宋体" w:hAnsi="Book Antiqua" w:cs="宋体"/>
          <w:color w:val="000000"/>
          <w:sz w:val="24"/>
          <w:szCs w:val="24"/>
          <w:lang w:val="en-US" w:eastAsia="zh-CN"/>
        </w:rPr>
        <w:t>974788 DOI: 10.1111/ctr.12410]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46 </w:t>
      </w:r>
      <w:r w:rsidRPr="00AE2402">
        <w:rPr>
          <w:rFonts w:ascii="Book Antiqua" w:eastAsia="宋体" w:hAnsi="Book Antiqua" w:cs="宋体"/>
          <w:b/>
          <w:bCs/>
          <w:color w:val="000000"/>
          <w:sz w:val="24"/>
          <w:szCs w:val="24"/>
          <w:lang w:val="en-US" w:eastAsia="zh-CN"/>
        </w:rPr>
        <w:t>Tse KC</w:t>
      </w:r>
      <w:r w:rsidRPr="00AE2402">
        <w:rPr>
          <w:rFonts w:ascii="Book Antiqua" w:eastAsia="宋体" w:hAnsi="Book Antiqua" w:cs="宋体"/>
          <w:color w:val="000000"/>
          <w:sz w:val="24"/>
          <w:szCs w:val="24"/>
          <w:lang w:val="en-US" w:eastAsia="zh-CN"/>
        </w:rPr>
        <w:t>, Yap DY, Tang CS, Yung S, Chan TM. Response to adefovir or entecavir in renal allograft recipients with hepatitic flare due to lamivudine-resistant hepatitis B. </w:t>
      </w:r>
      <w:r w:rsidRPr="00AE2402">
        <w:rPr>
          <w:rFonts w:ascii="Book Antiqua" w:eastAsia="宋体" w:hAnsi="Book Antiqua" w:cs="宋体"/>
          <w:i/>
          <w:iCs/>
          <w:color w:val="000000"/>
          <w:sz w:val="24"/>
          <w:szCs w:val="24"/>
          <w:lang w:val="en-US" w:eastAsia="zh-CN"/>
        </w:rPr>
        <w:t>Clin Transplant</w:t>
      </w:r>
      <w:r w:rsidRPr="00AE240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2010</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24</w:t>
      </w:r>
      <w:r w:rsidRPr="00AE2402">
        <w:rPr>
          <w:rFonts w:ascii="Book Antiqua" w:eastAsia="宋体" w:hAnsi="Book Antiqua" w:cs="宋体"/>
          <w:color w:val="000000"/>
          <w:sz w:val="24"/>
          <w:szCs w:val="24"/>
          <w:lang w:val="en-US" w:eastAsia="zh-CN"/>
        </w:rPr>
        <w:t>: 207-212 [PMID: 19758269 DOI: 10.1111/j.1399-0012.2009.01090.x]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47 </w:t>
      </w:r>
      <w:r w:rsidRPr="00AE2402">
        <w:rPr>
          <w:rFonts w:ascii="Book Antiqua" w:eastAsia="宋体" w:hAnsi="Book Antiqua" w:cs="宋体"/>
          <w:b/>
          <w:bCs/>
          <w:color w:val="000000"/>
          <w:sz w:val="24"/>
          <w:szCs w:val="24"/>
          <w:lang w:val="en-US" w:eastAsia="zh-CN"/>
        </w:rPr>
        <w:t>Tourret J</w:t>
      </w:r>
      <w:r w:rsidRPr="00AE2402">
        <w:rPr>
          <w:rFonts w:ascii="Book Antiqua" w:eastAsia="宋体" w:hAnsi="Book Antiqua" w:cs="宋体"/>
          <w:color w:val="000000"/>
          <w:sz w:val="24"/>
          <w:szCs w:val="24"/>
          <w:lang w:val="en-US" w:eastAsia="zh-CN"/>
        </w:rPr>
        <w:t>, Deray G, Isnard-Bagnis C. Tenofovir effect on the kidneys of HIV-infected patients: a double-edged sword? </w:t>
      </w:r>
      <w:r w:rsidRPr="00AE2402">
        <w:rPr>
          <w:rFonts w:ascii="Book Antiqua" w:eastAsia="宋体" w:hAnsi="Book Antiqua" w:cs="宋体"/>
          <w:i/>
          <w:iCs/>
          <w:color w:val="000000"/>
          <w:sz w:val="24"/>
          <w:szCs w:val="24"/>
          <w:lang w:val="en-US" w:eastAsia="zh-CN"/>
        </w:rPr>
        <w:t>J Am Soc Nephrol</w:t>
      </w:r>
      <w:r w:rsidRPr="00AE2402">
        <w:rPr>
          <w:rFonts w:ascii="Book Antiqua" w:eastAsia="宋体" w:hAnsi="Book Antiqua" w:cs="宋体"/>
          <w:color w:val="000000"/>
          <w:sz w:val="24"/>
          <w:szCs w:val="24"/>
          <w:lang w:val="en-US" w:eastAsia="zh-CN"/>
        </w:rPr>
        <w:t> 2013; </w:t>
      </w:r>
      <w:r w:rsidRPr="00AE2402">
        <w:rPr>
          <w:rFonts w:ascii="Book Antiqua" w:eastAsia="宋体" w:hAnsi="Book Antiqua" w:cs="宋体"/>
          <w:b/>
          <w:bCs/>
          <w:color w:val="000000"/>
          <w:sz w:val="24"/>
          <w:szCs w:val="24"/>
          <w:lang w:val="en-US" w:eastAsia="zh-CN"/>
        </w:rPr>
        <w:t>24</w:t>
      </w:r>
      <w:r w:rsidRPr="00AE2402">
        <w:rPr>
          <w:rFonts w:ascii="Book Antiqua" w:eastAsia="宋体" w:hAnsi="Book Antiqua" w:cs="宋体"/>
          <w:color w:val="000000"/>
          <w:sz w:val="24"/>
          <w:szCs w:val="24"/>
          <w:lang w:val="en-US" w:eastAsia="zh-CN"/>
        </w:rPr>
        <w:t>: 1519-1527 [PMID: 24052</w:t>
      </w:r>
      <w:r>
        <w:rPr>
          <w:rFonts w:ascii="Book Antiqua" w:eastAsia="宋体" w:hAnsi="Book Antiqua" w:cs="宋体"/>
          <w:color w:val="000000"/>
          <w:sz w:val="24"/>
          <w:szCs w:val="24"/>
          <w:lang w:val="en-US" w:eastAsia="zh-CN"/>
        </w:rPr>
        <w:t>632 DOI: 10.1681/ASN.2012080857</w:t>
      </w:r>
      <w:r w:rsidRPr="00AE2402">
        <w:rPr>
          <w:rFonts w:ascii="Book Antiqua" w:eastAsia="宋体" w:hAnsi="Book Antiqua" w:cs="宋体"/>
          <w:color w:val="000000"/>
          <w:sz w:val="24"/>
          <w:szCs w:val="24"/>
          <w:lang w:val="en-US" w:eastAsia="zh-CN"/>
        </w:rPr>
        <w:t>]</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48 </w:t>
      </w:r>
      <w:r w:rsidRPr="00AE2402">
        <w:rPr>
          <w:rFonts w:ascii="Book Antiqua" w:eastAsia="宋体" w:hAnsi="Book Antiqua" w:cs="宋体"/>
          <w:b/>
          <w:bCs/>
          <w:color w:val="000000"/>
          <w:sz w:val="24"/>
          <w:szCs w:val="24"/>
          <w:lang w:val="en-US" w:eastAsia="zh-CN"/>
        </w:rPr>
        <w:t>Daudé M</w:t>
      </w:r>
      <w:r w:rsidRPr="00AE2402">
        <w:rPr>
          <w:rFonts w:ascii="Book Antiqua" w:eastAsia="宋体" w:hAnsi="Book Antiqua" w:cs="宋体"/>
          <w:color w:val="000000"/>
          <w:sz w:val="24"/>
          <w:szCs w:val="24"/>
          <w:lang w:val="en-US" w:eastAsia="zh-CN"/>
        </w:rPr>
        <w:t>, Rostaing L, Sauné K, Lavayssière L, Basse G, Esposito L, Guitard J, Izopet J, Alric L, Kamar N. Tenofovir therapy in hepatitis B virus-positive solid-organ transplant recipients. </w:t>
      </w:r>
      <w:r w:rsidRPr="00AE2402">
        <w:rPr>
          <w:rFonts w:ascii="Book Antiqua" w:eastAsia="宋体" w:hAnsi="Book Antiqua" w:cs="宋体"/>
          <w:i/>
          <w:iCs/>
          <w:color w:val="000000"/>
          <w:sz w:val="24"/>
          <w:szCs w:val="24"/>
          <w:lang w:val="en-US" w:eastAsia="zh-CN"/>
        </w:rPr>
        <w:t>Transplantation</w:t>
      </w:r>
      <w:r w:rsidRPr="00AE2402">
        <w:rPr>
          <w:rFonts w:ascii="Book Antiqua" w:eastAsia="宋体" w:hAnsi="Book Antiqua" w:cs="宋体"/>
          <w:color w:val="000000"/>
          <w:sz w:val="24"/>
          <w:szCs w:val="24"/>
          <w:lang w:val="en-US" w:eastAsia="zh-CN"/>
        </w:rPr>
        <w:t> 2011; </w:t>
      </w:r>
      <w:r w:rsidRPr="00AE2402">
        <w:rPr>
          <w:rFonts w:ascii="Book Antiqua" w:eastAsia="宋体" w:hAnsi="Book Antiqua" w:cs="宋体"/>
          <w:b/>
          <w:bCs/>
          <w:color w:val="000000"/>
          <w:sz w:val="24"/>
          <w:szCs w:val="24"/>
          <w:lang w:val="en-US" w:eastAsia="zh-CN"/>
        </w:rPr>
        <w:t>91</w:t>
      </w:r>
      <w:r w:rsidRPr="00AE2402">
        <w:rPr>
          <w:rFonts w:ascii="Book Antiqua" w:eastAsia="宋体" w:hAnsi="Book Antiqua" w:cs="宋体"/>
          <w:color w:val="000000"/>
          <w:sz w:val="24"/>
          <w:szCs w:val="24"/>
          <w:lang w:val="en-US" w:eastAsia="zh-CN"/>
        </w:rPr>
        <w:t>: 916-920 [PMID: 21325995 DOI</w:t>
      </w:r>
      <w:r>
        <w:rPr>
          <w:rFonts w:ascii="Book Antiqua" w:eastAsia="宋体" w:hAnsi="Book Antiqua" w:cs="宋体"/>
          <w:color w:val="000000"/>
          <w:sz w:val="24"/>
          <w:szCs w:val="24"/>
          <w:lang w:val="en-US" w:eastAsia="zh-CN"/>
        </w:rPr>
        <w:t>: 10.1097/TP.0b013e3182100f59]</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49 </w:t>
      </w:r>
      <w:r w:rsidRPr="00AE2402">
        <w:rPr>
          <w:rFonts w:ascii="Book Antiqua" w:eastAsia="宋体" w:hAnsi="Book Antiqua" w:cs="宋体"/>
          <w:b/>
          <w:bCs/>
          <w:color w:val="000000"/>
          <w:sz w:val="24"/>
          <w:szCs w:val="24"/>
          <w:lang w:val="en-US" w:eastAsia="zh-CN"/>
        </w:rPr>
        <w:t>Olsen SK</w:t>
      </w:r>
      <w:r w:rsidRPr="00AE2402">
        <w:rPr>
          <w:rFonts w:ascii="Book Antiqua" w:eastAsia="宋体" w:hAnsi="Book Antiqua" w:cs="宋体"/>
          <w:color w:val="000000"/>
          <w:sz w:val="24"/>
          <w:szCs w:val="24"/>
          <w:lang w:val="en-US" w:eastAsia="zh-CN"/>
        </w:rPr>
        <w:t>, Brown RS. Hepatitis B treatment: Lessons for the nephrologist. </w:t>
      </w:r>
      <w:r w:rsidRPr="00AE2402">
        <w:rPr>
          <w:rFonts w:ascii="Book Antiqua" w:eastAsia="宋体" w:hAnsi="Book Antiqua" w:cs="宋体"/>
          <w:i/>
          <w:iCs/>
          <w:color w:val="000000"/>
          <w:sz w:val="24"/>
          <w:szCs w:val="24"/>
          <w:lang w:val="en-US" w:eastAsia="zh-CN"/>
        </w:rPr>
        <w:t>Kidney Int</w:t>
      </w:r>
      <w:r w:rsidRPr="00AE2402">
        <w:rPr>
          <w:rFonts w:ascii="Book Antiqua" w:eastAsia="宋体" w:hAnsi="Book Antiqua" w:cs="宋体"/>
          <w:color w:val="000000"/>
          <w:sz w:val="24"/>
          <w:szCs w:val="24"/>
          <w:lang w:val="en-US" w:eastAsia="zh-CN"/>
        </w:rPr>
        <w:t> 2006; </w:t>
      </w:r>
      <w:r w:rsidRPr="00AE2402">
        <w:rPr>
          <w:rFonts w:ascii="Book Antiqua" w:eastAsia="宋体" w:hAnsi="Book Antiqua" w:cs="宋体"/>
          <w:b/>
          <w:bCs/>
          <w:color w:val="000000"/>
          <w:sz w:val="24"/>
          <w:szCs w:val="24"/>
          <w:lang w:val="en-US" w:eastAsia="zh-CN"/>
        </w:rPr>
        <w:t>70</w:t>
      </w:r>
      <w:r w:rsidRPr="00AE2402">
        <w:rPr>
          <w:rFonts w:ascii="Book Antiqua" w:eastAsia="宋体" w:hAnsi="Book Antiqua" w:cs="宋体"/>
          <w:color w:val="000000"/>
          <w:sz w:val="24"/>
          <w:szCs w:val="24"/>
          <w:lang w:val="en-US" w:eastAsia="zh-CN"/>
        </w:rPr>
        <w:t>: 1897-1904 [PMID: 170216</w:t>
      </w:r>
      <w:r>
        <w:rPr>
          <w:rFonts w:ascii="Book Antiqua" w:eastAsia="宋体" w:hAnsi="Book Antiqua" w:cs="宋体"/>
          <w:color w:val="000000"/>
          <w:sz w:val="24"/>
          <w:szCs w:val="24"/>
          <w:lang w:val="en-US" w:eastAsia="zh-CN"/>
        </w:rPr>
        <w:t>02 DOI: 10.1038/sj.ki.5001908]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50 </w:t>
      </w:r>
      <w:r w:rsidRPr="00AE2402">
        <w:rPr>
          <w:rFonts w:ascii="Book Antiqua" w:eastAsia="宋体" w:hAnsi="Book Antiqua" w:cs="宋体"/>
          <w:b/>
          <w:bCs/>
          <w:color w:val="000000"/>
          <w:sz w:val="24"/>
          <w:szCs w:val="24"/>
          <w:lang w:val="en-US" w:eastAsia="zh-CN"/>
        </w:rPr>
        <w:t>Pipili C</w:t>
      </w:r>
      <w:r w:rsidRPr="00AE2402">
        <w:rPr>
          <w:rFonts w:ascii="Book Antiqua" w:eastAsia="宋体" w:hAnsi="Book Antiqua" w:cs="宋体"/>
          <w:color w:val="000000"/>
          <w:sz w:val="24"/>
          <w:szCs w:val="24"/>
          <w:lang w:val="en-US" w:eastAsia="zh-CN"/>
        </w:rPr>
        <w:t>, Cholongitas E. Μanagement of patients with hepatitis B and C before and after liver and kidney transplantation. </w:t>
      </w:r>
      <w:r w:rsidRPr="00AE2402">
        <w:rPr>
          <w:rFonts w:ascii="Book Antiqua" w:eastAsia="宋体" w:hAnsi="Book Antiqua" w:cs="宋体"/>
          <w:i/>
          <w:iCs/>
          <w:color w:val="000000"/>
          <w:sz w:val="24"/>
          <w:szCs w:val="24"/>
          <w:lang w:val="en-US" w:eastAsia="zh-CN"/>
        </w:rPr>
        <w:t>World J Hepatol</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6</w:t>
      </w:r>
      <w:r w:rsidRPr="00AE2402">
        <w:rPr>
          <w:rFonts w:ascii="Book Antiqua" w:eastAsia="宋体" w:hAnsi="Book Antiqua" w:cs="宋体"/>
          <w:color w:val="000000"/>
          <w:sz w:val="24"/>
          <w:szCs w:val="24"/>
          <w:lang w:val="en-US" w:eastAsia="zh-CN"/>
        </w:rPr>
        <w:t>: 315-325 [PMID: 248683</w:t>
      </w:r>
      <w:r>
        <w:rPr>
          <w:rFonts w:ascii="Book Antiqua" w:eastAsia="宋体" w:hAnsi="Book Antiqua" w:cs="宋体"/>
          <w:color w:val="000000"/>
          <w:sz w:val="24"/>
          <w:szCs w:val="24"/>
          <w:lang w:val="en-US" w:eastAsia="zh-CN"/>
        </w:rPr>
        <w:t>25 DOI: 10.4254/wjh.v6.i5.315]</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51 </w:t>
      </w:r>
      <w:r w:rsidRPr="00AE2402">
        <w:rPr>
          <w:rFonts w:ascii="Book Antiqua" w:hAnsi="Book Antiqua"/>
          <w:b/>
          <w:bCs/>
          <w:color w:val="000000"/>
          <w:sz w:val="24"/>
          <w:szCs w:val="24"/>
        </w:rPr>
        <w:t>Han DJ</w:t>
      </w:r>
      <w:r w:rsidRPr="00AE2402">
        <w:rPr>
          <w:rFonts w:ascii="Book Antiqua" w:hAnsi="Book Antiqua"/>
          <w:color w:val="000000"/>
          <w:sz w:val="24"/>
          <w:szCs w:val="24"/>
        </w:rPr>
        <w:t>, Kim TH, Park SK, Lee SK, Kim SB, Yang WS, Park JS, Jung JG, Yu ES, Kim SC. Results on preemptive or prophylactic treatment of lamivudine in HBsAg (+) renal allograft recipients: comparison with salvage treatment after hepatic dysfunction with HBV recurrence.</w:t>
      </w:r>
      <w:r w:rsidRPr="00AE2402">
        <w:rPr>
          <w:rStyle w:val="apple-converted-space"/>
          <w:rFonts w:ascii="Book Antiqua" w:hAnsi="Book Antiqua"/>
          <w:color w:val="000000"/>
          <w:sz w:val="24"/>
          <w:szCs w:val="24"/>
        </w:rPr>
        <w:t> </w:t>
      </w:r>
      <w:r w:rsidRPr="00AE2402">
        <w:rPr>
          <w:rFonts w:ascii="Book Antiqua" w:hAnsi="Book Antiqua"/>
          <w:i/>
          <w:iCs/>
          <w:color w:val="000000"/>
          <w:sz w:val="24"/>
          <w:szCs w:val="24"/>
        </w:rPr>
        <w:t>Transplantation</w:t>
      </w:r>
      <w:r w:rsidRPr="00AE2402">
        <w:rPr>
          <w:rStyle w:val="apple-converted-space"/>
          <w:rFonts w:ascii="Book Antiqua" w:hAnsi="Book Antiqua"/>
          <w:color w:val="000000"/>
          <w:sz w:val="24"/>
          <w:szCs w:val="24"/>
        </w:rPr>
        <w:t> </w:t>
      </w:r>
      <w:r w:rsidRPr="00AE2402">
        <w:rPr>
          <w:rFonts w:ascii="Book Antiqua" w:hAnsi="Book Antiqua"/>
          <w:color w:val="000000"/>
          <w:sz w:val="24"/>
          <w:szCs w:val="24"/>
        </w:rPr>
        <w:t>2001;</w:t>
      </w:r>
      <w:r w:rsidRPr="00AE2402">
        <w:rPr>
          <w:rStyle w:val="apple-converted-space"/>
          <w:rFonts w:ascii="Book Antiqua" w:hAnsi="Book Antiqua"/>
          <w:color w:val="000000"/>
          <w:sz w:val="24"/>
          <w:szCs w:val="24"/>
        </w:rPr>
        <w:t> </w:t>
      </w:r>
      <w:r w:rsidRPr="00AE2402">
        <w:rPr>
          <w:rFonts w:ascii="Book Antiqua" w:hAnsi="Book Antiqua"/>
          <w:b/>
          <w:bCs/>
          <w:color w:val="000000"/>
          <w:sz w:val="24"/>
          <w:szCs w:val="24"/>
        </w:rPr>
        <w:t>71</w:t>
      </w:r>
      <w:r w:rsidRPr="00AE2402">
        <w:rPr>
          <w:rFonts w:ascii="Book Antiqua" w:hAnsi="Book Antiqua"/>
          <w:color w:val="000000"/>
          <w:sz w:val="24"/>
          <w:szCs w:val="24"/>
        </w:rPr>
        <w:t>: 387-394 [PMID: 11233898]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52 </w:t>
      </w:r>
      <w:r w:rsidRPr="00AE2402">
        <w:rPr>
          <w:rFonts w:ascii="Book Antiqua" w:eastAsia="宋体" w:hAnsi="Book Antiqua" w:cs="宋体"/>
          <w:b/>
          <w:bCs/>
          <w:color w:val="000000"/>
          <w:sz w:val="24"/>
          <w:szCs w:val="24"/>
          <w:lang w:val="en-US" w:eastAsia="zh-CN"/>
        </w:rPr>
        <w:t>Filik L</w:t>
      </w:r>
      <w:r w:rsidRPr="00AE2402">
        <w:rPr>
          <w:rFonts w:ascii="Book Antiqua" w:eastAsia="宋体" w:hAnsi="Book Antiqua" w:cs="宋体"/>
          <w:color w:val="000000"/>
          <w:sz w:val="24"/>
          <w:szCs w:val="24"/>
          <w:lang w:val="en-US" w:eastAsia="zh-CN"/>
        </w:rPr>
        <w:t>, Karakayali H, Moray G, Dalgiç A, Emiro</w:t>
      </w:r>
      <w:r w:rsidRPr="00AE2402">
        <w:rPr>
          <w:rFonts w:ascii="Book Antiqua" w:eastAsia="MS Mincho" w:hAnsi="Book Antiqua" w:cs="MS Mincho"/>
          <w:color w:val="000000"/>
          <w:sz w:val="24"/>
          <w:szCs w:val="24"/>
          <w:lang w:val="en-US" w:eastAsia="zh-CN"/>
        </w:rPr>
        <w:t>ğ</w:t>
      </w:r>
      <w:r w:rsidRPr="00AE2402">
        <w:rPr>
          <w:rFonts w:ascii="Book Antiqua" w:eastAsia="宋体" w:hAnsi="Book Antiqua" w:cs="宋体"/>
          <w:color w:val="000000"/>
          <w:sz w:val="24"/>
          <w:szCs w:val="24"/>
          <w:lang w:val="en-US" w:eastAsia="zh-CN"/>
        </w:rPr>
        <w:t>lu R, Ozdemir N, Colak T, Gür G, Yilmaz U, Haberal M. Lamivudine therapy in kidney allograft recipients who are seropositive for hepatitis B surface antigen. </w:t>
      </w:r>
      <w:r w:rsidRPr="00AE2402">
        <w:rPr>
          <w:rFonts w:ascii="Book Antiqua" w:eastAsia="宋体" w:hAnsi="Book Antiqua" w:cs="宋体"/>
          <w:i/>
          <w:iCs/>
          <w:color w:val="000000"/>
          <w:sz w:val="24"/>
          <w:szCs w:val="24"/>
          <w:lang w:val="en-US" w:eastAsia="zh-CN"/>
        </w:rPr>
        <w:t>Transplant Proc</w:t>
      </w:r>
      <w:r w:rsidRPr="00AE2402">
        <w:rPr>
          <w:rFonts w:ascii="Book Antiqua" w:eastAsia="宋体" w:hAnsi="Book Antiqua" w:cs="宋体"/>
          <w:color w:val="000000"/>
          <w:sz w:val="24"/>
          <w:szCs w:val="24"/>
          <w:lang w:val="en-US" w:eastAsia="zh-CN"/>
        </w:rPr>
        <w:t> 2006; </w:t>
      </w:r>
      <w:r w:rsidRPr="00AE2402">
        <w:rPr>
          <w:rFonts w:ascii="Book Antiqua" w:eastAsia="宋体" w:hAnsi="Book Antiqua" w:cs="宋体"/>
          <w:b/>
          <w:bCs/>
          <w:color w:val="000000"/>
          <w:sz w:val="24"/>
          <w:szCs w:val="24"/>
          <w:lang w:val="en-US" w:eastAsia="zh-CN"/>
        </w:rPr>
        <w:t>38</w:t>
      </w:r>
      <w:r w:rsidRPr="00AE2402">
        <w:rPr>
          <w:rFonts w:ascii="Book Antiqua" w:eastAsia="宋体" w:hAnsi="Book Antiqua" w:cs="宋体"/>
          <w:color w:val="000000"/>
          <w:sz w:val="24"/>
          <w:szCs w:val="24"/>
          <w:lang w:val="en-US" w:eastAsia="zh-CN"/>
        </w:rPr>
        <w:t>: 496-498 [PMID: 16549158 DOI: 10.1016/j.transproceed.2005.12.047]</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53 </w:t>
      </w:r>
      <w:r w:rsidRPr="00AE2402">
        <w:rPr>
          <w:rFonts w:ascii="Book Antiqua" w:eastAsia="宋体" w:hAnsi="Book Antiqua" w:cs="宋体"/>
          <w:b/>
          <w:bCs/>
          <w:color w:val="000000"/>
          <w:sz w:val="24"/>
          <w:szCs w:val="24"/>
          <w:lang w:val="en-US" w:eastAsia="zh-CN"/>
        </w:rPr>
        <w:t>Chan TM</w:t>
      </w:r>
      <w:r w:rsidRPr="00AE2402">
        <w:rPr>
          <w:rFonts w:ascii="Book Antiqua" w:eastAsia="宋体" w:hAnsi="Book Antiqua" w:cs="宋体"/>
          <w:color w:val="000000"/>
          <w:sz w:val="24"/>
          <w:szCs w:val="24"/>
          <w:lang w:val="en-US" w:eastAsia="zh-CN"/>
        </w:rPr>
        <w:t>, Fang GX, Tang CS, Cheng IK, Lai KN, Ho SK. Preemptive lamivudine therapy based on HBV DNA level in HBsAg-positive kidney allograft recipients. </w:t>
      </w:r>
      <w:r w:rsidRPr="00AE2402">
        <w:rPr>
          <w:rFonts w:ascii="Book Antiqua" w:eastAsia="宋体" w:hAnsi="Book Antiqua" w:cs="宋体"/>
          <w:i/>
          <w:iCs/>
          <w:color w:val="000000"/>
          <w:sz w:val="24"/>
          <w:szCs w:val="24"/>
          <w:lang w:val="en-US" w:eastAsia="zh-CN"/>
        </w:rPr>
        <w:t>Hepatology</w:t>
      </w:r>
      <w:r w:rsidRPr="00AE2402">
        <w:rPr>
          <w:rFonts w:ascii="Book Antiqua" w:eastAsia="宋体" w:hAnsi="Book Antiqua" w:cs="宋体"/>
          <w:color w:val="000000"/>
          <w:sz w:val="24"/>
          <w:szCs w:val="24"/>
          <w:lang w:val="en-US" w:eastAsia="zh-CN"/>
        </w:rPr>
        <w:t> 2002; </w:t>
      </w:r>
      <w:r w:rsidRPr="00AE2402">
        <w:rPr>
          <w:rFonts w:ascii="Book Antiqua" w:eastAsia="宋体" w:hAnsi="Book Antiqua" w:cs="宋体"/>
          <w:b/>
          <w:bCs/>
          <w:color w:val="000000"/>
          <w:sz w:val="24"/>
          <w:szCs w:val="24"/>
          <w:lang w:val="en-US" w:eastAsia="zh-CN"/>
        </w:rPr>
        <w:t>36</w:t>
      </w:r>
      <w:r w:rsidRPr="00AE2402">
        <w:rPr>
          <w:rFonts w:ascii="Book Antiqua" w:eastAsia="宋体" w:hAnsi="Book Antiqua" w:cs="宋体"/>
          <w:color w:val="000000"/>
          <w:sz w:val="24"/>
          <w:szCs w:val="24"/>
          <w:lang w:val="en-US" w:eastAsia="zh-CN"/>
        </w:rPr>
        <w:t>: 1246-1252 [PMID: 12395336 DOI: 10.1053/jhep.2002.36156]</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54 </w:t>
      </w:r>
      <w:r w:rsidRPr="00AE2402">
        <w:rPr>
          <w:rFonts w:ascii="Book Antiqua" w:eastAsia="宋体" w:hAnsi="Book Antiqua" w:cs="宋体"/>
          <w:b/>
          <w:bCs/>
          <w:color w:val="000000"/>
          <w:sz w:val="24"/>
          <w:szCs w:val="24"/>
          <w:lang w:val="en-US" w:eastAsia="zh-CN"/>
        </w:rPr>
        <w:t>Kim HG</w:t>
      </w:r>
      <w:r w:rsidRPr="00AE2402">
        <w:rPr>
          <w:rFonts w:ascii="Book Antiqua" w:eastAsia="宋体" w:hAnsi="Book Antiqua" w:cs="宋体"/>
          <w:color w:val="000000"/>
          <w:sz w:val="24"/>
          <w:szCs w:val="24"/>
          <w:lang w:val="en-US" w:eastAsia="zh-CN"/>
        </w:rPr>
        <w:t>, Kim EY, Yu YJ, Kim GH, Jeong JW, Byeon JH, Chung BH, Yang CW. Comparison of clinical outcomes in hepatitis B virus-positive kidney transplant recipients with or without pretransplantation antiviral therapy. </w:t>
      </w:r>
      <w:r w:rsidRPr="00AE2402">
        <w:rPr>
          <w:rFonts w:ascii="Book Antiqua" w:eastAsia="宋体" w:hAnsi="Book Antiqua" w:cs="宋体"/>
          <w:i/>
          <w:iCs/>
          <w:color w:val="000000"/>
          <w:sz w:val="24"/>
          <w:szCs w:val="24"/>
          <w:lang w:val="en-US" w:eastAsia="zh-CN"/>
        </w:rPr>
        <w:t>Transplant Proc</w:t>
      </w:r>
      <w:r w:rsidRPr="00AE2402">
        <w:rPr>
          <w:rFonts w:ascii="Book Antiqua" w:eastAsia="宋体" w:hAnsi="Book Antiqua" w:cs="宋体"/>
          <w:color w:val="000000"/>
          <w:sz w:val="24"/>
          <w:szCs w:val="24"/>
          <w:lang w:val="en-US" w:eastAsia="zh-CN"/>
        </w:rPr>
        <w:t> 2013; </w:t>
      </w:r>
      <w:r w:rsidRPr="00AE2402">
        <w:rPr>
          <w:rFonts w:ascii="Book Antiqua" w:eastAsia="宋体" w:hAnsi="Book Antiqua" w:cs="宋体"/>
          <w:b/>
          <w:bCs/>
          <w:color w:val="000000"/>
          <w:sz w:val="24"/>
          <w:szCs w:val="24"/>
          <w:lang w:val="en-US" w:eastAsia="zh-CN"/>
        </w:rPr>
        <w:t>45</w:t>
      </w:r>
      <w:r w:rsidRPr="00AE2402">
        <w:rPr>
          <w:rFonts w:ascii="Book Antiqua" w:eastAsia="宋体" w:hAnsi="Book Antiqua" w:cs="宋体"/>
          <w:color w:val="000000"/>
          <w:sz w:val="24"/>
          <w:szCs w:val="24"/>
          <w:lang w:val="en-US" w:eastAsia="zh-CN"/>
        </w:rPr>
        <w:t>: 1374-1378 [PMID: 23726576 DOI: 10.10</w:t>
      </w:r>
      <w:r>
        <w:rPr>
          <w:rFonts w:ascii="Book Antiqua" w:eastAsia="宋体" w:hAnsi="Book Antiqua" w:cs="宋体"/>
          <w:color w:val="000000"/>
          <w:sz w:val="24"/>
          <w:szCs w:val="24"/>
          <w:lang w:val="en-US" w:eastAsia="zh-CN"/>
        </w:rPr>
        <w:t>16/j.transproceed.2013.01.088]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55 </w:t>
      </w:r>
      <w:r w:rsidRPr="00AE2402">
        <w:rPr>
          <w:rFonts w:ascii="Book Antiqua" w:eastAsia="宋体" w:hAnsi="Book Antiqua" w:cs="宋体"/>
          <w:b/>
          <w:bCs/>
          <w:color w:val="000000"/>
          <w:sz w:val="24"/>
          <w:szCs w:val="24"/>
          <w:lang w:val="en-US" w:eastAsia="zh-CN"/>
        </w:rPr>
        <w:t>Park KS</w:t>
      </w:r>
      <w:r w:rsidRPr="00AE2402">
        <w:rPr>
          <w:rFonts w:ascii="Book Antiqua" w:eastAsia="宋体" w:hAnsi="Book Antiqua" w:cs="宋体"/>
          <w:color w:val="000000"/>
          <w:sz w:val="24"/>
          <w:szCs w:val="24"/>
          <w:lang w:val="en-US" w:eastAsia="zh-CN"/>
        </w:rPr>
        <w:t>, Yang WS, Han DJ, Park JB, Park JS, Park SK. Long-term impact of prophylactic antiviral treatment in Hepatitis B surface antigen positive renal allograft recipients. </w:t>
      </w:r>
      <w:r w:rsidRPr="00AE2402">
        <w:rPr>
          <w:rFonts w:ascii="Book Antiqua" w:eastAsia="宋体" w:hAnsi="Book Antiqua" w:cs="宋体"/>
          <w:i/>
          <w:iCs/>
          <w:color w:val="000000"/>
          <w:sz w:val="24"/>
          <w:szCs w:val="24"/>
          <w:lang w:val="en-US" w:eastAsia="zh-CN"/>
        </w:rPr>
        <w:t>Clin Nephrol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78</w:t>
      </w:r>
      <w:r w:rsidRPr="00AE2402">
        <w:rPr>
          <w:rFonts w:ascii="Book Antiqua" w:eastAsia="宋体" w:hAnsi="Book Antiqua" w:cs="宋体"/>
          <w:color w:val="000000"/>
          <w:sz w:val="24"/>
          <w:szCs w:val="24"/>
          <w:lang w:val="en-US" w:eastAsia="zh-CN"/>
        </w:rPr>
        <w:t>: 303-311 [PMID:</w:t>
      </w:r>
      <w:r>
        <w:rPr>
          <w:rFonts w:ascii="Book Antiqua" w:eastAsia="宋体" w:hAnsi="Book Antiqua" w:cs="宋体"/>
          <w:color w:val="000000"/>
          <w:sz w:val="24"/>
          <w:szCs w:val="24"/>
          <w:lang w:val="en-US" w:eastAsia="zh-CN"/>
        </w:rPr>
        <w:t xml:space="preserve"> 22541690 DOI: 10.5414/CN107617</w:t>
      </w:r>
      <w:r w:rsidRPr="00AE2402">
        <w:rPr>
          <w:rFonts w:ascii="Book Antiqua" w:eastAsia="宋体" w:hAnsi="Book Antiqua" w:cs="宋体"/>
          <w:color w:val="000000"/>
          <w:sz w:val="24"/>
          <w:szCs w:val="24"/>
          <w:lang w:val="en-US" w:eastAsia="zh-CN"/>
        </w:rPr>
        <w:t>]</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56 </w:t>
      </w:r>
      <w:r w:rsidRPr="00AE2402">
        <w:rPr>
          <w:rFonts w:ascii="Book Antiqua" w:eastAsia="宋体" w:hAnsi="Book Antiqua" w:cs="宋体"/>
          <w:b/>
          <w:bCs/>
          <w:color w:val="000000"/>
          <w:sz w:val="24"/>
          <w:szCs w:val="24"/>
          <w:lang w:val="en-US" w:eastAsia="zh-CN"/>
        </w:rPr>
        <w:t>Hoofnagle JH</w:t>
      </w:r>
      <w:r w:rsidRPr="00AE2402">
        <w:rPr>
          <w:rFonts w:ascii="Book Antiqua" w:eastAsia="宋体" w:hAnsi="Book Antiqua" w:cs="宋体"/>
          <w:color w:val="000000"/>
          <w:sz w:val="24"/>
          <w:szCs w:val="24"/>
          <w:lang w:val="en-US" w:eastAsia="zh-CN"/>
        </w:rPr>
        <w:t>. Reactivation of hepatitis B. </w:t>
      </w:r>
      <w:r w:rsidRPr="00AE2402">
        <w:rPr>
          <w:rFonts w:ascii="Book Antiqua" w:eastAsia="宋体" w:hAnsi="Book Antiqua" w:cs="宋体"/>
          <w:i/>
          <w:iCs/>
          <w:color w:val="000000"/>
          <w:sz w:val="24"/>
          <w:szCs w:val="24"/>
          <w:lang w:val="en-US" w:eastAsia="zh-CN"/>
        </w:rPr>
        <w:t>Hepatology</w:t>
      </w:r>
      <w:r w:rsidRPr="00AE2402">
        <w:rPr>
          <w:rFonts w:ascii="Book Antiqua" w:eastAsia="宋体" w:hAnsi="Book Antiqua" w:cs="宋体"/>
          <w:color w:val="000000"/>
          <w:sz w:val="24"/>
          <w:szCs w:val="24"/>
          <w:lang w:val="en-US" w:eastAsia="zh-CN"/>
        </w:rPr>
        <w:t> 2009; </w:t>
      </w:r>
      <w:r w:rsidRPr="00AE2402">
        <w:rPr>
          <w:rFonts w:ascii="Book Antiqua" w:eastAsia="宋体" w:hAnsi="Book Antiqua" w:cs="宋体"/>
          <w:b/>
          <w:bCs/>
          <w:color w:val="000000"/>
          <w:sz w:val="24"/>
          <w:szCs w:val="24"/>
          <w:lang w:val="en-US" w:eastAsia="zh-CN"/>
        </w:rPr>
        <w:t>49</w:t>
      </w:r>
      <w:r w:rsidRPr="00AE2402">
        <w:rPr>
          <w:rFonts w:ascii="Book Antiqua" w:eastAsia="宋体" w:hAnsi="Book Antiqua" w:cs="宋体"/>
          <w:color w:val="000000"/>
          <w:sz w:val="24"/>
          <w:szCs w:val="24"/>
          <w:lang w:val="en-US" w:eastAsia="zh-CN"/>
        </w:rPr>
        <w:t>: S156-S165 [PMID: 19</w:t>
      </w:r>
      <w:r>
        <w:rPr>
          <w:rFonts w:ascii="Book Antiqua" w:eastAsia="宋体" w:hAnsi="Book Antiqua" w:cs="宋体"/>
          <w:color w:val="000000"/>
          <w:sz w:val="24"/>
          <w:szCs w:val="24"/>
          <w:lang w:val="en-US" w:eastAsia="zh-CN"/>
        </w:rPr>
        <w:t>399803 DOI: 10.1002/hep.22945]</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57 </w:t>
      </w:r>
      <w:r w:rsidRPr="00AE2402">
        <w:rPr>
          <w:rFonts w:ascii="Book Antiqua" w:eastAsia="宋体" w:hAnsi="Book Antiqua" w:cs="宋体"/>
          <w:b/>
          <w:bCs/>
          <w:color w:val="000000"/>
          <w:sz w:val="24"/>
          <w:szCs w:val="24"/>
          <w:lang w:val="en-US" w:eastAsia="zh-CN"/>
        </w:rPr>
        <w:t>Ridruejo E</w:t>
      </w:r>
      <w:r w:rsidRPr="00AE2402">
        <w:rPr>
          <w:rFonts w:ascii="Book Antiqua" w:eastAsia="宋体" w:hAnsi="Book Antiqua" w:cs="宋体"/>
          <w:color w:val="000000"/>
          <w:sz w:val="24"/>
          <w:szCs w:val="24"/>
          <w:lang w:val="en-US" w:eastAsia="zh-CN"/>
        </w:rPr>
        <w:t>, Díaz C, Michel MD, Soler Pujol G, Martínez A, Marciano S, Mandó OG, Vilches A. Short and long term outcome of kidney transplanted patients with chronic viral hepatitis B and C. </w:t>
      </w:r>
      <w:r w:rsidRPr="00AE2402">
        <w:rPr>
          <w:rFonts w:ascii="Book Antiqua" w:eastAsia="宋体" w:hAnsi="Book Antiqua" w:cs="宋体"/>
          <w:i/>
          <w:iCs/>
          <w:color w:val="000000"/>
          <w:sz w:val="24"/>
          <w:szCs w:val="24"/>
          <w:lang w:val="en-US" w:eastAsia="zh-CN"/>
        </w:rPr>
        <w:t>Ann Hepatol</w:t>
      </w:r>
      <w:r w:rsidRPr="00AE240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2010</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9</w:t>
      </w:r>
      <w:r w:rsidRPr="00AE2402">
        <w:rPr>
          <w:rFonts w:ascii="Book Antiqua" w:eastAsia="宋体" w:hAnsi="Book Antiqua" w:cs="宋体"/>
          <w:color w:val="000000"/>
          <w:sz w:val="24"/>
          <w:szCs w:val="24"/>
          <w:lang w:val="en-US" w:eastAsia="zh-CN"/>
        </w:rPr>
        <w:t>: 271-277 [PMID: 20720267]</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58 </w:t>
      </w:r>
      <w:r w:rsidRPr="00AE2402">
        <w:rPr>
          <w:rFonts w:ascii="Book Antiqua" w:eastAsia="宋体" w:hAnsi="Book Antiqua" w:cs="宋体"/>
          <w:b/>
          <w:bCs/>
          <w:color w:val="000000"/>
          <w:sz w:val="24"/>
          <w:szCs w:val="24"/>
          <w:lang w:val="en-US" w:eastAsia="zh-CN"/>
        </w:rPr>
        <w:t>Fabrizi F</w:t>
      </w:r>
      <w:r w:rsidRPr="00AE2402">
        <w:rPr>
          <w:rFonts w:ascii="Book Antiqua" w:eastAsia="宋体" w:hAnsi="Book Antiqua" w:cs="宋体"/>
          <w:color w:val="000000"/>
          <w:sz w:val="24"/>
          <w:szCs w:val="24"/>
          <w:lang w:val="en-US" w:eastAsia="zh-CN"/>
        </w:rPr>
        <w:t>, Martin P, Dixit V, Kanwal F, Dulai G. HBsAg seropositive status and survival after renal transplantation: meta-analysis of observational studies. </w:t>
      </w:r>
      <w:r w:rsidRPr="00AE2402">
        <w:rPr>
          <w:rFonts w:ascii="Book Antiqua" w:eastAsia="宋体" w:hAnsi="Book Antiqua" w:cs="宋体"/>
          <w:i/>
          <w:iCs/>
          <w:color w:val="000000"/>
          <w:sz w:val="24"/>
          <w:szCs w:val="24"/>
          <w:lang w:val="en-US" w:eastAsia="zh-CN"/>
        </w:rPr>
        <w:t>Am J Transplant</w:t>
      </w:r>
      <w:r w:rsidRPr="00AE2402">
        <w:rPr>
          <w:rFonts w:ascii="Book Antiqua" w:eastAsia="宋体" w:hAnsi="Book Antiqua" w:cs="宋体"/>
          <w:color w:val="000000"/>
          <w:sz w:val="24"/>
          <w:szCs w:val="24"/>
          <w:lang w:val="en-US" w:eastAsia="zh-CN"/>
        </w:rPr>
        <w:t> 2005; </w:t>
      </w:r>
      <w:r w:rsidRPr="00AE2402">
        <w:rPr>
          <w:rFonts w:ascii="Book Antiqua" w:eastAsia="宋体" w:hAnsi="Book Antiqua" w:cs="宋体"/>
          <w:b/>
          <w:bCs/>
          <w:color w:val="000000"/>
          <w:sz w:val="24"/>
          <w:szCs w:val="24"/>
          <w:lang w:val="en-US" w:eastAsia="zh-CN"/>
        </w:rPr>
        <w:t>5</w:t>
      </w:r>
      <w:r w:rsidRPr="00AE2402">
        <w:rPr>
          <w:rFonts w:ascii="Book Antiqua" w:eastAsia="宋体" w:hAnsi="Book Antiqua" w:cs="宋体"/>
          <w:color w:val="000000"/>
          <w:sz w:val="24"/>
          <w:szCs w:val="24"/>
          <w:lang w:val="en-US" w:eastAsia="zh-CN"/>
        </w:rPr>
        <w:t>: 2913-2921 [PMID: 16303005 DOI: 10.1111/j.1600-6143.2005.01113.x]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59 </w:t>
      </w:r>
      <w:r w:rsidRPr="00AE2402">
        <w:rPr>
          <w:rFonts w:ascii="Book Antiqua" w:eastAsia="宋体" w:hAnsi="Book Antiqua" w:cs="宋体"/>
          <w:b/>
          <w:color w:val="000000"/>
          <w:sz w:val="24"/>
          <w:szCs w:val="24"/>
          <w:lang w:val="en-US" w:eastAsia="zh-CN"/>
        </w:rPr>
        <w:t>Fabrizi F,</w:t>
      </w:r>
      <w:r w:rsidRPr="00AE2402">
        <w:rPr>
          <w:rFonts w:ascii="Book Antiqua" w:eastAsia="宋体" w:hAnsi="Book Antiqua" w:cs="宋体"/>
          <w:color w:val="000000"/>
          <w:sz w:val="24"/>
          <w:szCs w:val="24"/>
          <w:lang w:val="en-US" w:eastAsia="zh-CN"/>
        </w:rPr>
        <w:t xml:space="preserve"> Dixit V, Martin P, Messa P. Hepatitis B and survival after renal transplant: meta-analysis of observational studies. </w:t>
      </w:r>
      <w:r w:rsidRPr="00AE2402">
        <w:rPr>
          <w:rFonts w:ascii="Book Antiqua" w:eastAsia="宋体" w:hAnsi="Book Antiqua" w:cs="宋体"/>
          <w:i/>
          <w:color w:val="000000"/>
          <w:sz w:val="24"/>
          <w:szCs w:val="24"/>
          <w:lang w:val="en-US" w:eastAsia="zh-CN"/>
        </w:rPr>
        <w:t>J Viral Hepat</w:t>
      </w:r>
      <w:r w:rsidRPr="00AE2402">
        <w:rPr>
          <w:rFonts w:ascii="Book Antiqua" w:eastAsia="宋体" w:hAnsi="Book Antiqua" w:cs="宋体"/>
          <w:color w:val="000000"/>
          <w:sz w:val="24"/>
          <w:szCs w:val="24"/>
          <w:lang w:val="en-US" w:eastAsia="zh-CN"/>
        </w:rPr>
        <w:t xml:space="preserve"> 2014; </w:t>
      </w:r>
      <w:r w:rsidRPr="00AE2402">
        <w:rPr>
          <w:rFonts w:ascii="Book Antiqua" w:eastAsia="宋体" w:hAnsi="Book Antiqua" w:cs="宋体"/>
          <w:b/>
          <w:color w:val="000000"/>
          <w:sz w:val="24"/>
          <w:szCs w:val="24"/>
          <w:lang w:val="en-US" w:eastAsia="zh-CN"/>
        </w:rPr>
        <w:t>21</w:t>
      </w:r>
      <w:r>
        <w:rPr>
          <w:rFonts w:ascii="Book Antiqua" w:eastAsia="宋体" w:hAnsi="Book Antiqua" w:cs="宋体"/>
          <w:color w:val="000000"/>
          <w:sz w:val="24"/>
          <w:szCs w:val="24"/>
          <w:lang w:val="en-US" w:eastAsia="zh-CN"/>
        </w:rPr>
        <w:t>: 542-550 [DOI: 10.1111/jvh.12184]</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60 </w:t>
      </w:r>
      <w:r w:rsidRPr="00AE2402">
        <w:rPr>
          <w:rFonts w:ascii="Book Antiqua" w:eastAsia="宋体" w:hAnsi="Book Antiqua" w:cs="宋体"/>
          <w:b/>
          <w:bCs/>
          <w:color w:val="000000"/>
          <w:sz w:val="24"/>
          <w:szCs w:val="24"/>
          <w:lang w:val="en-US" w:eastAsia="zh-CN"/>
        </w:rPr>
        <w:t>Cosconea S</w:t>
      </w:r>
      <w:r w:rsidRPr="00AE2402">
        <w:rPr>
          <w:rFonts w:ascii="Book Antiqua" w:eastAsia="宋体" w:hAnsi="Book Antiqua" w:cs="宋体"/>
          <w:color w:val="000000"/>
          <w:sz w:val="24"/>
          <w:szCs w:val="24"/>
          <w:lang w:val="en-US" w:eastAsia="zh-CN"/>
        </w:rPr>
        <w:t>, Fontaine H, Méritet JF, Corouge M, Sogni P, Vallet-Pichard A, Mallet V, Legendre C, Pol S. Benefits associated with antiviral treatment in kidney allograft recipients with chronic hepatitis B virus infection. </w:t>
      </w:r>
      <w:r w:rsidRPr="00AE2402">
        <w:rPr>
          <w:rFonts w:ascii="Book Antiqua" w:eastAsia="宋体" w:hAnsi="Book Antiqua" w:cs="宋体"/>
          <w:i/>
          <w:iCs/>
          <w:color w:val="000000"/>
          <w:sz w:val="24"/>
          <w:szCs w:val="24"/>
          <w:lang w:val="en-US" w:eastAsia="zh-CN"/>
        </w:rPr>
        <w:t>J Hepatol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57</w:t>
      </w:r>
      <w:r w:rsidRPr="00AE2402">
        <w:rPr>
          <w:rFonts w:ascii="Book Antiqua" w:eastAsia="宋体" w:hAnsi="Book Antiqua" w:cs="宋体"/>
          <w:color w:val="000000"/>
          <w:sz w:val="24"/>
          <w:szCs w:val="24"/>
          <w:lang w:val="en-US" w:eastAsia="zh-CN"/>
        </w:rPr>
        <w:t xml:space="preserve">: 55-60 [PMID: 22414762 </w:t>
      </w:r>
      <w:r>
        <w:rPr>
          <w:rFonts w:ascii="Book Antiqua" w:eastAsia="宋体" w:hAnsi="Book Antiqua" w:cs="宋体"/>
          <w:color w:val="000000"/>
          <w:sz w:val="24"/>
          <w:szCs w:val="24"/>
          <w:lang w:val="en-US" w:eastAsia="zh-CN"/>
        </w:rPr>
        <w:t>DOI: 10.1016/j.jhep.2012.02.020</w:t>
      </w:r>
      <w:r w:rsidRPr="00AE2402">
        <w:rPr>
          <w:rFonts w:ascii="Book Antiqua" w:eastAsia="宋体" w:hAnsi="Book Antiqua" w:cs="宋体"/>
          <w:color w:val="000000"/>
          <w:sz w:val="24"/>
          <w:szCs w:val="24"/>
          <w:lang w:val="en-US" w:eastAsia="zh-CN"/>
        </w:rPr>
        <w:t>]</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61 </w:t>
      </w:r>
      <w:r w:rsidRPr="00AE2402">
        <w:rPr>
          <w:rFonts w:ascii="Book Antiqua" w:eastAsia="宋体" w:hAnsi="Book Antiqua" w:cs="宋体"/>
          <w:b/>
          <w:bCs/>
          <w:color w:val="000000"/>
          <w:sz w:val="24"/>
          <w:szCs w:val="24"/>
          <w:lang w:val="en-US" w:eastAsia="zh-CN"/>
        </w:rPr>
        <w:t>Sperl J</w:t>
      </w:r>
      <w:r w:rsidRPr="00AE2402">
        <w:rPr>
          <w:rFonts w:ascii="Book Antiqua" w:eastAsia="宋体" w:hAnsi="Book Antiqua" w:cs="宋体"/>
          <w:color w:val="000000"/>
          <w:sz w:val="24"/>
          <w:szCs w:val="24"/>
          <w:lang w:val="en-US" w:eastAsia="zh-CN"/>
        </w:rPr>
        <w:t>, Frankova S, Spicak J, Viklicky O. Further evidence of the benefits associated with antiviral treatment in kidney allograft recipients with chronic hepatitis B virus infection. </w:t>
      </w:r>
      <w:r w:rsidRPr="00AE2402">
        <w:rPr>
          <w:rFonts w:ascii="Book Antiqua" w:eastAsia="宋体" w:hAnsi="Book Antiqua" w:cs="宋体"/>
          <w:i/>
          <w:iCs/>
          <w:color w:val="000000"/>
          <w:sz w:val="24"/>
          <w:szCs w:val="24"/>
          <w:lang w:val="en-US" w:eastAsia="zh-CN"/>
        </w:rPr>
        <w:t>J Hepatol</w:t>
      </w:r>
      <w:r w:rsidRPr="00AE2402">
        <w:rPr>
          <w:rFonts w:ascii="Book Antiqua" w:eastAsia="宋体" w:hAnsi="Book Antiqua" w:cs="宋体"/>
          <w:color w:val="000000"/>
          <w:sz w:val="24"/>
          <w:szCs w:val="24"/>
          <w:lang w:val="en-US" w:eastAsia="zh-CN"/>
        </w:rPr>
        <w:t> 2013; </w:t>
      </w:r>
      <w:r w:rsidRPr="00AE2402">
        <w:rPr>
          <w:rFonts w:ascii="Book Antiqua" w:eastAsia="宋体" w:hAnsi="Book Antiqua" w:cs="宋体"/>
          <w:b/>
          <w:bCs/>
          <w:color w:val="000000"/>
          <w:sz w:val="24"/>
          <w:szCs w:val="24"/>
          <w:lang w:val="en-US" w:eastAsia="zh-CN"/>
        </w:rPr>
        <w:t>58</w:t>
      </w:r>
      <w:r w:rsidRPr="00AE2402">
        <w:rPr>
          <w:rFonts w:ascii="Book Antiqua" w:eastAsia="宋体" w:hAnsi="Book Antiqua" w:cs="宋体"/>
          <w:color w:val="000000"/>
          <w:sz w:val="24"/>
          <w:szCs w:val="24"/>
          <w:lang w:val="en-US" w:eastAsia="zh-CN"/>
        </w:rPr>
        <w:t>: 833-835 [PMID: 23207145 DO</w:t>
      </w:r>
      <w:r>
        <w:rPr>
          <w:rFonts w:ascii="Book Antiqua" w:eastAsia="宋体" w:hAnsi="Book Antiqua" w:cs="宋体"/>
          <w:color w:val="000000"/>
          <w:sz w:val="24"/>
          <w:szCs w:val="24"/>
          <w:lang w:val="en-US" w:eastAsia="zh-CN"/>
        </w:rPr>
        <w:t>I: 10.1016/j.jhep.2012.11.032]</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w:t>
      </w:r>
      <w:r>
        <w:rPr>
          <w:rFonts w:ascii="Book Antiqua" w:eastAsia="宋体" w:hAnsi="Book Antiqua" w:cs="宋体" w:hint="eastAsia"/>
          <w:color w:val="000000"/>
          <w:sz w:val="24"/>
          <w:szCs w:val="24"/>
          <w:lang w:val="en-US" w:eastAsia="zh-CN"/>
        </w:rPr>
        <w:t>2</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Park KS</w:t>
      </w:r>
      <w:r w:rsidRPr="00AE2402">
        <w:rPr>
          <w:rFonts w:ascii="Book Antiqua" w:eastAsia="宋体" w:hAnsi="Book Antiqua" w:cs="宋体"/>
          <w:color w:val="000000"/>
          <w:sz w:val="24"/>
          <w:szCs w:val="24"/>
          <w:lang w:val="en-US" w:eastAsia="zh-CN"/>
        </w:rPr>
        <w:t>, Han DJ, Park JB, Park JS, Park S. Long-term outcome of Hepatitis B-positive renal allograft recipients after development of antiviral treatment. </w:t>
      </w:r>
      <w:r w:rsidRPr="00AE2402">
        <w:rPr>
          <w:rFonts w:ascii="Book Antiqua" w:eastAsia="宋体" w:hAnsi="Book Antiqua" w:cs="宋体"/>
          <w:i/>
          <w:iCs/>
          <w:color w:val="000000"/>
          <w:sz w:val="24"/>
          <w:szCs w:val="24"/>
          <w:lang w:val="en-US" w:eastAsia="zh-CN"/>
        </w:rPr>
        <w:t>Clin Nephrol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78</w:t>
      </w:r>
      <w:r w:rsidRPr="00AE2402">
        <w:rPr>
          <w:rFonts w:ascii="Book Antiqua" w:eastAsia="宋体" w:hAnsi="Book Antiqua" w:cs="宋体"/>
          <w:color w:val="000000"/>
          <w:sz w:val="24"/>
          <w:szCs w:val="24"/>
          <w:lang w:val="en-US" w:eastAsia="zh-CN"/>
        </w:rPr>
        <w:t>: 391-398 [PMID: 2</w:t>
      </w:r>
      <w:r>
        <w:rPr>
          <w:rFonts w:ascii="Book Antiqua" w:eastAsia="宋体" w:hAnsi="Book Antiqua" w:cs="宋体"/>
          <w:color w:val="000000"/>
          <w:sz w:val="24"/>
          <w:szCs w:val="24"/>
          <w:lang w:val="en-US" w:eastAsia="zh-CN"/>
        </w:rPr>
        <w:t>2541689 DOI: 10.5414/CN107565]</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w:t>
      </w:r>
      <w:r w:rsidR="00FA41C5">
        <w:rPr>
          <w:rFonts w:ascii="Book Antiqua" w:eastAsia="宋体" w:hAnsi="Book Antiqua" w:cs="宋体" w:hint="eastAsia"/>
          <w:color w:val="000000"/>
          <w:sz w:val="24"/>
          <w:szCs w:val="24"/>
          <w:lang w:val="en-US" w:eastAsia="zh-CN"/>
        </w:rPr>
        <w:t>3</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Ridruejo E</w:t>
      </w:r>
      <w:r w:rsidRPr="00AE2402">
        <w:rPr>
          <w:rFonts w:ascii="Book Antiqua" w:eastAsia="宋体" w:hAnsi="Book Antiqua" w:cs="宋体"/>
          <w:color w:val="000000"/>
          <w:sz w:val="24"/>
          <w:szCs w:val="24"/>
          <w:lang w:val="en-US" w:eastAsia="zh-CN"/>
        </w:rPr>
        <w:t>, Mandó OG, Dávalos M, Díaz C, Vilches A. Hepatocellular carcinoma in renal transplant patients. </w:t>
      </w:r>
      <w:r w:rsidRPr="00AE2402">
        <w:rPr>
          <w:rFonts w:ascii="Book Antiqua" w:eastAsia="宋体" w:hAnsi="Book Antiqua" w:cs="宋体"/>
          <w:i/>
          <w:iCs/>
          <w:color w:val="000000"/>
          <w:sz w:val="24"/>
          <w:szCs w:val="24"/>
          <w:lang w:val="en-US" w:eastAsia="zh-CN"/>
        </w:rPr>
        <w:t>Transplant Proc</w:t>
      </w:r>
      <w:r w:rsidRPr="00AE2402">
        <w:rPr>
          <w:rFonts w:ascii="Book Antiqua" w:eastAsia="宋体" w:hAnsi="Book Antiqua" w:cs="宋体"/>
          <w:color w:val="000000"/>
          <w:sz w:val="24"/>
          <w:szCs w:val="24"/>
          <w:lang w:val="en-US" w:eastAsia="zh-CN"/>
        </w:rPr>
        <w:t> 2005; </w:t>
      </w:r>
      <w:r w:rsidRPr="00AE2402">
        <w:rPr>
          <w:rFonts w:ascii="Book Antiqua" w:eastAsia="宋体" w:hAnsi="Book Antiqua" w:cs="宋体"/>
          <w:b/>
          <w:bCs/>
          <w:color w:val="000000"/>
          <w:sz w:val="24"/>
          <w:szCs w:val="24"/>
          <w:lang w:val="en-US" w:eastAsia="zh-CN"/>
        </w:rPr>
        <w:t>37</w:t>
      </w:r>
      <w:r w:rsidRPr="00AE2402">
        <w:rPr>
          <w:rFonts w:ascii="Book Antiqua" w:eastAsia="宋体" w:hAnsi="Book Antiqua" w:cs="宋体"/>
          <w:color w:val="000000"/>
          <w:sz w:val="24"/>
          <w:szCs w:val="24"/>
          <w:lang w:val="en-US" w:eastAsia="zh-CN"/>
        </w:rPr>
        <w:t>: 2086-2088 [PMID: 15964346 DOI: 10.1016/j.transproceed.20</w:t>
      </w:r>
      <w:r w:rsidR="00FA41C5">
        <w:rPr>
          <w:rFonts w:ascii="Book Antiqua" w:eastAsia="宋体" w:hAnsi="Book Antiqua" w:cs="宋体"/>
          <w:color w:val="000000"/>
          <w:sz w:val="24"/>
          <w:szCs w:val="24"/>
          <w:lang w:val="en-US" w:eastAsia="zh-CN"/>
        </w:rPr>
        <w:t>05.03.010]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w:t>
      </w:r>
      <w:r w:rsidR="00FA41C5">
        <w:rPr>
          <w:rFonts w:ascii="Book Antiqua" w:eastAsia="宋体" w:hAnsi="Book Antiqua" w:cs="宋体" w:hint="eastAsia"/>
          <w:color w:val="000000"/>
          <w:sz w:val="24"/>
          <w:szCs w:val="24"/>
          <w:lang w:val="en-US" w:eastAsia="zh-CN"/>
        </w:rPr>
        <w:t>4</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Ridruejo E</w:t>
      </w:r>
      <w:r w:rsidRPr="00AE2402">
        <w:rPr>
          <w:rFonts w:ascii="Book Antiqua" w:eastAsia="宋体" w:hAnsi="Book Antiqua" w:cs="宋体"/>
          <w:color w:val="000000"/>
          <w:sz w:val="24"/>
          <w:szCs w:val="24"/>
          <w:lang w:val="en-US" w:eastAsia="zh-CN"/>
        </w:rPr>
        <w:t>, Marciano S, Galdame O, Reggiardo MV, Muñoz AE, Adrover R, Cocozzella D, Fernandez N, Estepo C, Mendizábal M, Romero GA, Levi D, Schroder T, Paz S, Fainboim H, Mandó OG, Gadano AC, Silva MO. Relapse rates in chronic hepatitis B naïve patients after discontinuation of antiviral therapy with entecavir. </w:t>
      </w:r>
      <w:r w:rsidRPr="00AE2402">
        <w:rPr>
          <w:rFonts w:ascii="Book Antiqua" w:eastAsia="宋体" w:hAnsi="Book Antiqua" w:cs="宋体"/>
          <w:i/>
          <w:iCs/>
          <w:color w:val="000000"/>
          <w:sz w:val="24"/>
          <w:szCs w:val="24"/>
          <w:lang w:val="en-US" w:eastAsia="zh-CN"/>
        </w:rPr>
        <w:t>J Viral Hepat</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21</w:t>
      </w:r>
      <w:r w:rsidRPr="00AE2402">
        <w:rPr>
          <w:rFonts w:ascii="Book Antiqua" w:eastAsia="宋体" w:hAnsi="Book Antiqua" w:cs="宋体"/>
          <w:color w:val="000000"/>
          <w:sz w:val="24"/>
          <w:szCs w:val="24"/>
          <w:lang w:val="en-US" w:eastAsia="zh-CN"/>
        </w:rPr>
        <w:t>: 590-596 [PMID: 24</w:t>
      </w:r>
      <w:r w:rsidR="00FA41C5">
        <w:rPr>
          <w:rFonts w:ascii="Book Antiqua" w:eastAsia="宋体" w:hAnsi="Book Antiqua" w:cs="宋体"/>
          <w:color w:val="000000"/>
          <w:sz w:val="24"/>
          <w:szCs w:val="24"/>
          <w:lang w:val="en-US" w:eastAsia="zh-CN"/>
        </w:rPr>
        <w:t>188363 DOI: 10.1111/jvh.12200]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w:t>
      </w:r>
      <w:r w:rsidR="00FA41C5">
        <w:rPr>
          <w:rFonts w:ascii="Book Antiqua" w:eastAsia="宋体" w:hAnsi="Book Antiqua" w:cs="宋体" w:hint="eastAsia"/>
          <w:color w:val="000000"/>
          <w:sz w:val="24"/>
          <w:szCs w:val="24"/>
          <w:lang w:val="en-US" w:eastAsia="zh-CN"/>
        </w:rPr>
        <w:t>5</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Cho JH</w:t>
      </w:r>
      <w:r w:rsidRPr="00AE2402">
        <w:rPr>
          <w:rFonts w:ascii="Book Antiqua" w:eastAsia="宋体" w:hAnsi="Book Antiqua" w:cs="宋体"/>
          <w:color w:val="000000"/>
          <w:sz w:val="24"/>
          <w:szCs w:val="24"/>
          <w:lang w:val="en-US" w:eastAsia="zh-CN"/>
        </w:rPr>
        <w:t>, Lim JH, Park GY, Kim JS, Kang YJ, Kwon O, Choi JY, Park SH, Kim YL, Kim HK, Huh S, Kim CD. Successful withdrawal of antiviral treatment in kidney transplant recipients with chronic hepatitis B viral infection. </w:t>
      </w:r>
      <w:r w:rsidRPr="00AE2402">
        <w:rPr>
          <w:rFonts w:ascii="Book Antiqua" w:eastAsia="宋体" w:hAnsi="Book Antiqua" w:cs="宋体"/>
          <w:i/>
          <w:iCs/>
          <w:color w:val="000000"/>
          <w:sz w:val="24"/>
          <w:szCs w:val="24"/>
          <w:lang w:val="en-US" w:eastAsia="zh-CN"/>
        </w:rPr>
        <w:t>Transpl Infect Dis</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16</w:t>
      </w:r>
      <w:r w:rsidRPr="00AE2402">
        <w:rPr>
          <w:rFonts w:ascii="Book Antiqua" w:eastAsia="宋体" w:hAnsi="Book Antiqua" w:cs="宋体"/>
          <w:color w:val="000000"/>
          <w:sz w:val="24"/>
          <w:szCs w:val="24"/>
          <w:lang w:val="en-US" w:eastAsia="zh-CN"/>
        </w:rPr>
        <w:t>: 295-303 [PMID: 24</w:t>
      </w:r>
      <w:r w:rsidR="00FA41C5">
        <w:rPr>
          <w:rFonts w:ascii="Book Antiqua" w:eastAsia="宋体" w:hAnsi="Book Antiqua" w:cs="宋体"/>
          <w:color w:val="000000"/>
          <w:sz w:val="24"/>
          <w:szCs w:val="24"/>
          <w:lang w:val="en-US" w:eastAsia="zh-CN"/>
        </w:rPr>
        <w:t>628837 DOI: 10.1111/tid.12202]</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w:t>
      </w:r>
      <w:r w:rsidR="00FA41C5">
        <w:rPr>
          <w:rFonts w:ascii="Book Antiqua" w:eastAsia="宋体" w:hAnsi="Book Antiqua" w:cs="宋体" w:hint="eastAsia"/>
          <w:color w:val="000000"/>
          <w:sz w:val="24"/>
          <w:szCs w:val="24"/>
          <w:lang w:val="en-US" w:eastAsia="zh-CN"/>
        </w:rPr>
        <w:t>6</w:t>
      </w:r>
      <w:r w:rsidRPr="00AE2402">
        <w:rPr>
          <w:rFonts w:ascii="Book Antiqua" w:eastAsia="宋体" w:hAnsi="Book Antiqua" w:cs="宋体"/>
          <w:color w:val="000000"/>
          <w:sz w:val="24"/>
          <w:szCs w:val="24"/>
          <w:lang w:val="en-US" w:eastAsia="zh-CN"/>
        </w:rPr>
        <w:t xml:space="preserve"> </w:t>
      </w:r>
      <w:r w:rsidR="00FA41C5" w:rsidRPr="00841D2D">
        <w:rPr>
          <w:rFonts w:ascii="Book Antiqua" w:hAnsi="Book Antiqua"/>
          <w:b/>
          <w:sz w:val="24"/>
          <w:szCs w:val="24"/>
          <w:lang w:val="en-US"/>
        </w:rPr>
        <w:t>Hu TH</w:t>
      </w:r>
      <w:r w:rsidR="00FA41C5" w:rsidRPr="00841D2D">
        <w:rPr>
          <w:rFonts w:ascii="Book Antiqua" w:hAnsi="Book Antiqua"/>
          <w:sz w:val="24"/>
          <w:szCs w:val="24"/>
          <w:lang w:val="en-US"/>
        </w:rPr>
        <w:t>, Tsai MC, Chen YT, Chien YS, Hung CH, Chen TC, Tseng PL, Chang KC, Yen YH.</w:t>
      </w:r>
      <w:r w:rsidR="00FA41C5">
        <w:rPr>
          <w:rFonts w:ascii="Book Antiqua" w:hAnsi="Book Antiqua" w:hint="eastAsia"/>
          <w:sz w:val="24"/>
          <w:szCs w:val="24"/>
          <w:lang w:val="en-US" w:eastAsia="zh-CN"/>
        </w:rPr>
        <w:t xml:space="preserve"> </w:t>
      </w:r>
      <w:r w:rsidRPr="00AE2402">
        <w:rPr>
          <w:rFonts w:ascii="Book Antiqua" w:eastAsia="宋体" w:hAnsi="Book Antiqua" w:cs="宋体"/>
          <w:color w:val="000000"/>
          <w:sz w:val="24"/>
          <w:szCs w:val="24"/>
          <w:lang w:val="en-US" w:eastAsia="zh-CN"/>
        </w:rPr>
        <w:t>The therapeutic response of antiviral therapy in HBsAg-positive renal transplant recipients and a long-term follow-up. </w:t>
      </w:r>
      <w:r w:rsidRPr="00AE2402">
        <w:rPr>
          <w:rFonts w:ascii="Book Antiqua" w:eastAsia="宋体" w:hAnsi="Book Antiqua" w:cs="宋体"/>
          <w:i/>
          <w:iCs/>
          <w:color w:val="000000"/>
          <w:sz w:val="24"/>
          <w:szCs w:val="24"/>
          <w:lang w:val="en-US" w:eastAsia="zh-CN"/>
        </w:rPr>
        <w:t>Hepatol Int</w:t>
      </w:r>
      <w:r w:rsidRPr="00AE2402">
        <w:rPr>
          <w:rFonts w:ascii="Book Antiqua" w:eastAsia="宋体" w:hAnsi="Book Antiqua" w:cs="宋体"/>
          <w:color w:val="000000"/>
          <w:sz w:val="24"/>
          <w:szCs w:val="24"/>
          <w:lang w:val="en-US" w:eastAsia="zh-CN"/>
        </w:rPr>
        <w:t> 2011; </w:t>
      </w:r>
      <w:r w:rsidR="00FF104C">
        <w:rPr>
          <w:rFonts w:ascii="Book Antiqua" w:eastAsia="宋体" w:hAnsi="Book Antiqua" w:cs="宋体" w:hint="eastAsia"/>
          <w:b/>
          <w:color w:val="000000"/>
          <w:sz w:val="24"/>
          <w:szCs w:val="24"/>
          <w:lang w:val="en-US" w:eastAsia="zh-CN"/>
        </w:rPr>
        <w:t>16</w:t>
      </w:r>
      <w:r w:rsidRPr="00AE2402">
        <w:rPr>
          <w:rFonts w:ascii="Book Antiqua" w:eastAsia="宋体" w:hAnsi="Book Antiqua" w:cs="宋体"/>
          <w:color w:val="000000"/>
          <w:sz w:val="24"/>
          <w:szCs w:val="24"/>
          <w:lang w:val="en-US" w:eastAsia="zh-CN"/>
        </w:rPr>
        <w:t>: [PMID: 21744310 D</w:t>
      </w:r>
      <w:r w:rsidR="00FA41C5">
        <w:rPr>
          <w:rFonts w:ascii="Book Antiqua" w:eastAsia="宋体" w:hAnsi="Book Antiqua" w:cs="宋体"/>
          <w:color w:val="000000"/>
          <w:sz w:val="24"/>
          <w:szCs w:val="24"/>
          <w:lang w:val="en-US" w:eastAsia="zh-CN"/>
        </w:rPr>
        <w:t>OI: 10.1007/s12072-011-9295-6]</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w:t>
      </w:r>
      <w:r w:rsidR="00FA41C5">
        <w:rPr>
          <w:rFonts w:ascii="Book Antiqua" w:eastAsia="宋体" w:hAnsi="Book Antiqua" w:cs="宋体" w:hint="eastAsia"/>
          <w:color w:val="000000"/>
          <w:sz w:val="24"/>
          <w:szCs w:val="24"/>
          <w:lang w:val="en-US" w:eastAsia="zh-CN"/>
        </w:rPr>
        <w:t>7</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Fontana RJ</w:t>
      </w:r>
      <w:r w:rsidRPr="00AE2402">
        <w:rPr>
          <w:rFonts w:ascii="Book Antiqua" w:eastAsia="宋体" w:hAnsi="Book Antiqua" w:cs="宋体"/>
          <w:color w:val="000000"/>
          <w:sz w:val="24"/>
          <w:szCs w:val="24"/>
          <w:lang w:val="en-US" w:eastAsia="zh-CN"/>
        </w:rPr>
        <w:t>. Side effects of long-term oral antiviral therapy for hepatitis B. </w:t>
      </w:r>
      <w:r w:rsidRPr="00AE2402">
        <w:rPr>
          <w:rFonts w:ascii="Book Antiqua" w:eastAsia="宋体" w:hAnsi="Book Antiqua" w:cs="宋体"/>
          <w:i/>
          <w:iCs/>
          <w:color w:val="000000"/>
          <w:sz w:val="24"/>
          <w:szCs w:val="24"/>
          <w:lang w:val="en-US" w:eastAsia="zh-CN"/>
        </w:rPr>
        <w:t>Hepatology</w:t>
      </w:r>
      <w:r w:rsidRPr="00AE2402">
        <w:rPr>
          <w:rFonts w:ascii="Book Antiqua" w:eastAsia="宋体" w:hAnsi="Book Antiqua" w:cs="宋体"/>
          <w:color w:val="000000"/>
          <w:sz w:val="24"/>
          <w:szCs w:val="24"/>
          <w:lang w:val="en-US" w:eastAsia="zh-CN"/>
        </w:rPr>
        <w:t> 2009; </w:t>
      </w:r>
      <w:r w:rsidRPr="00AE2402">
        <w:rPr>
          <w:rFonts w:ascii="Book Antiqua" w:eastAsia="宋体" w:hAnsi="Book Antiqua" w:cs="宋体"/>
          <w:b/>
          <w:bCs/>
          <w:color w:val="000000"/>
          <w:sz w:val="24"/>
          <w:szCs w:val="24"/>
          <w:lang w:val="en-US" w:eastAsia="zh-CN"/>
        </w:rPr>
        <w:t>49</w:t>
      </w:r>
      <w:r w:rsidRPr="00AE2402">
        <w:rPr>
          <w:rFonts w:ascii="Book Antiqua" w:eastAsia="宋体" w:hAnsi="Book Antiqua" w:cs="宋体"/>
          <w:color w:val="000000"/>
          <w:sz w:val="24"/>
          <w:szCs w:val="24"/>
          <w:lang w:val="en-US" w:eastAsia="zh-CN"/>
        </w:rPr>
        <w:t>: S185-S195 [PMID: 19399802</w:t>
      </w:r>
      <w:r w:rsidR="00FA41C5">
        <w:rPr>
          <w:rFonts w:ascii="Book Antiqua" w:eastAsia="宋体" w:hAnsi="Book Antiqua" w:cs="宋体"/>
          <w:color w:val="000000"/>
          <w:sz w:val="24"/>
          <w:szCs w:val="24"/>
          <w:lang w:val="en-US" w:eastAsia="zh-CN"/>
        </w:rPr>
        <w:t xml:space="preserve"> DOI: 10.1002/hep.22885]</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6</w:t>
      </w:r>
      <w:r w:rsidR="00FA41C5">
        <w:rPr>
          <w:rFonts w:ascii="Book Antiqua" w:eastAsia="宋体" w:hAnsi="Book Antiqua" w:cs="宋体" w:hint="eastAsia"/>
          <w:color w:val="000000"/>
          <w:sz w:val="24"/>
          <w:szCs w:val="24"/>
          <w:lang w:val="en-US" w:eastAsia="zh-CN"/>
        </w:rPr>
        <w:t>8</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Fung J</w:t>
      </w:r>
      <w:r w:rsidRPr="00AE2402">
        <w:rPr>
          <w:rFonts w:ascii="Book Antiqua" w:eastAsia="宋体" w:hAnsi="Book Antiqua" w:cs="宋体"/>
          <w:color w:val="000000"/>
          <w:sz w:val="24"/>
          <w:szCs w:val="24"/>
          <w:lang w:val="en-US" w:eastAsia="zh-CN"/>
        </w:rPr>
        <w:t>, Seto WK, Lai CL, Yuen MF. Extrahepatic effects of nucleoside and nucleotide analogues in chronic hepatitis B treatment. </w:t>
      </w:r>
      <w:r w:rsidRPr="00AE2402">
        <w:rPr>
          <w:rFonts w:ascii="Book Antiqua" w:eastAsia="宋体" w:hAnsi="Book Antiqua" w:cs="宋体"/>
          <w:i/>
          <w:iCs/>
          <w:color w:val="000000"/>
          <w:sz w:val="24"/>
          <w:szCs w:val="24"/>
          <w:lang w:val="en-US" w:eastAsia="zh-CN"/>
        </w:rPr>
        <w:t>J Gastroenterol Hepatol</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29</w:t>
      </w:r>
      <w:r w:rsidRPr="00AE2402">
        <w:rPr>
          <w:rFonts w:ascii="Book Antiqua" w:eastAsia="宋体" w:hAnsi="Book Antiqua" w:cs="宋体"/>
          <w:color w:val="000000"/>
          <w:sz w:val="24"/>
          <w:szCs w:val="24"/>
          <w:lang w:val="en-US" w:eastAsia="zh-CN"/>
        </w:rPr>
        <w:t>: 428-434 [PMID: 24</w:t>
      </w:r>
      <w:r w:rsidR="00FA41C5">
        <w:rPr>
          <w:rFonts w:ascii="Book Antiqua" w:eastAsia="宋体" w:hAnsi="Book Antiqua" w:cs="宋体"/>
          <w:color w:val="000000"/>
          <w:sz w:val="24"/>
          <w:szCs w:val="24"/>
          <w:lang w:val="en-US" w:eastAsia="zh-CN"/>
        </w:rPr>
        <w:t>372662 DOI: 10.1111/jgh.12499]</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69</w:t>
      </w:r>
      <w:r w:rsidR="00AE2402" w:rsidRPr="00AE2402">
        <w:rPr>
          <w:rFonts w:ascii="Book Antiqua" w:eastAsia="宋体" w:hAnsi="Book Antiqua" w:cs="宋体"/>
          <w:color w:val="000000"/>
          <w:sz w:val="24"/>
          <w:szCs w:val="24"/>
          <w:lang w:val="en-US" w:eastAsia="zh-CN"/>
        </w:rPr>
        <w:t> </w:t>
      </w:r>
      <w:r w:rsidR="00AE2402" w:rsidRPr="00AE2402">
        <w:rPr>
          <w:rFonts w:ascii="Book Antiqua" w:eastAsia="宋体" w:hAnsi="Book Antiqua" w:cs="宋体"/>
          <w:b/>
          <w:bCs/>
          <w:color w:val="000000"/>
          <w:sz w:val="24"/>
          <w:szCs w:val="24"/>
          <w:lang w:val="en-US" w:eastAsia="zh-CN"/>
        </w:rPr>
        <w:t>Gane EJ</w:t>
      </w:r>
      <w:r w:rsidR="00AE2402" w:rsidRPr="00AE2402">
        <w:rPr>
          <w:rFonts w:ascii="Book Antiqua" w:eastAsia="宋体" w:hAnsi="Book Antiqua" w:cs="宋体"/>
          <w:color w:val="000000"/>
          <w:sz w:val="24"/>
          <w:szCs w:val="24"/>
          <w:lang w:val="en-US" w:eastAsia="zh-CN"/>
        </w:rPr>
        <w:t>, Deray G, Liaw YF, Lim SG, Lai CL, Rasenack J, Wang Y, Papatheodoridis G, Di Bisceglie A, Buti M, Samuel D, Uddin A, Bosset S, Trylesinski A. Telbivudine improves renal function in patients with chronic hepatitis B. </w:t>
      </w:r>
      <w:r w:rsidR="00AE2402" w:rsidRPr="00AE2402">
        <w:rPr>
          <w:rFonts w:ascii="Book Antiqua" w:eastAsia="宋体" w:hAnsi="Book Antiqua" w:cs="宋体"/>
          <w:i/>
          <w:iCs/>
          <w:color w:val="000000"/>
          <w:sz w:val="24"/>
          <w:szCs w:val="24"/>
          <w:lang w:val="en-US" w:eastAsia="zh-CN"/>
        </w:rPr>
        <w:t>Gastroenterology</w:t>
      </w:r>
      <w:r w:rsidR="00AE2402" w:rsidRPr="00AE2402">
        <w:rPr>
          <w:rFonts w:ascii="Book Antiqua" w:eastAsia="宋体" w:hAnsi="Book Antiqua" w:cs="宋体"/>
          <w:color w:val="000000"/>
          <w:sz w:val="24"/>
          <w:szCs w:val="24"/>
          <w:lang w:val="en-US" w:eastAsia="zh-CN"/>
        </w:rPr>
        <w:t> 2014; </w:t>
      </w:r>
      <w:r w:rsidR="00AE2402" w:rsidRPr="00AE2402">
        <w:rPr>
          <w:rFonts w:ascii="Book Antiqua" w:eastAsia="宋体" w:hAnsi="Book Antiqua" w:cs="宋体"/>
          <w:b/>
          <w:bCs/>
          <w:color w:val="000000"/>
          <w:sz w:val="24"/>
          <w:szCs w:val="24"/>
          <w:lang w:val="en-US" w:eastAsia="zh-CN"/>
        </w:rPr>
        <w:t>146</w:t>
      </w:r>
      <w:r w:rsidR="00AE2402" w:rsidRPr="00AE2402">
        <w:rPr>
          <w:rFonts w:ascii="Book Antiqua" w:eastAsia="宋体" w:hAnsi="Book Antiqua" w:cs="宋体"/>
          <w:color w:val="000000"/>
          <w:sz w:val="24"/>
          <w:szCs w:val="24"/>
          <w:lang w:val="en-US" w:eastAsia="zh-CN"/>
        </w:rPr>
        <w:t>: 138-146.e5 [PMID: 24067879 DOI:</w:t>
      </w:r>
      <w:r>
        <w:rPr>
          <w:rFonts w:ascii="Book Antiqua" w:eastAsia="宋体" w:hAnsi="Book Antiqua" w:cs="宋体"/>
          <w:color w:val="000000"/>
          <w:sz w:val="24"/>
          <w:szCs w:val="24"/>
          <w:lang w:val="en-US" w:eastAsia="zh-CN"/>
        </w:rPr>
        <w:t xml:space="preserve"> 10.1053/j.gastro.2013.09.031]</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7</w:t>
      </w:r>
      <w:r w:rsidR="00FA41C5">
        <w:rPr>
          <w:rFonts w:ascii="Book Antiqua" w:eastAsia="宋体" w:hAnsi="Book Antiqua" w:cs="宋体" w:hint="eastAsia"/>
          <w:color w:val="000000"/>
          <w:sz w:val="24"/>
          <w:szCs w:val="24"/>
          <w:lang w:val="en-US" w:eastAsia="zh-CN"/>
        </w:rPr>
        <w:t>0</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Yapali S</w:t>
      </w:r>
      <w:r w:rsidRPr="00AE2402">
        <w:rPr>
          <w:rFonts w:ascii="Book Antiqua" w:eastAsia="宋体" w:hAnsi="Book Antiqua" w:cs="宋体"/>
          <w:color w:val="000000"/>
          <w:sz w:val="24"/>
          <w:szCs w:val="24"/>
          <w:lang w:val="en-US" w:eastAsia="zh-CN"/>
        </w:rPr>
        <w:t>, Lok AS. Potential benefit of telbivudine on renal function does not outweigh its high rate of antiviral drug resistance and other adverse effects. </w:t>
      </w:r>
      <w:r w:rsidRPr="00AE2402">
        <w:rPr>
          <w:rFonts w:ascii="Book Antiqua" w:eastAsia="宋体" w:hAnsi="Book Antiqua" w:cs="宋体"/>
          <w:i/>
          <w:iCs/>
          <w:color w:val="000000"/>
          <w:sz w:val="24"/>
          <w:szCs w:val="24"/>
          <w:lang w:val="en-US" w:eastAsia="zh-CN"/>
        </w:rPr>
        <w:t>Gastroenterology</w:t>
      </w:r>
      <w:r w:rsidRPr="00AE2402">
        <w:rPr>
          <w:rFonts w:ascii="Book Antiqua" w:eastAsia="宋体" w:hAnsi="Book Antiqua" w:cs="宋体"/>
          <w:color w:val="000000"/>
          <w:sz w:val="24"/>
          <w:szCs w:val="24"/>
          <w:lang w:val="en-US" w:eastAsia="zh-CN"/>
        </w:rPr>
        <w:t> 2014; </w:t>
      </w:r>
      <w:r w:rsidRPr="00AE2402">
        <w:rPr>
          <w:rFonts w:ascii="Book Antiqua" w:eastAsia="宋体" w:hAnsi="Book Antiqua" w:cs="宋体"/>
          <w:b/>
          <w:bCs/>
          <w:color w:val="000000"/>
          <w:sz w:val="24"/>
          <w:szCs w:val="24"/>
          <w:lang w:val="en-US" w:eastAsia="zh-CN"/>
        </w:rPr>
        <w:t>146</w:t>
      </w:r>
      <w:r w:rsidRPr="00AE2402">
        <w:rPr>
          <w:rFonts w:ascii="Book Antiqua" w:eastAsia="宋体" w:hAnsi="Book Antiqua" w:cs="宋体"/>
          <w:color w:val="000000"/>
          <w:sz w:val="24"/>
          <w:szCs w:val="24"/>
          <w:lang w:val="en-US" w:eastAsia="zh-CN"/>
        </w:rPr>
        <w:t>: 15-19 [PMID: 24275236 DOI:</w:t>
      </w:r>
      <w:r w:rsidR="00FA41C5">
        <w:rPr>
          <w:rFonts w:ascii="Book Antiqua" w:eastAsia="宋体" w:hAnsi="Book Antiqua" w:cs="宋体"/>
          <w:color w:val="000000"/>
          <w:sz w:val="24"/>
          <w:szCs w:val="24"/>
          <w:lang w:val="en-US" w:eastAsia="zh-CN"/>
        </w:rPr>
        <w:t xml:space="preserve"> 10.1053/j.gastro.2013.11.028]</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7</w:t>
      </w:r>
      <w:r w:rsidR="00FA41C5">
        <w:rPr>
          <w:rFonts w:ascii="Book Antiqua" w:eastAsia="宋体" w:hAnsi="Book Antiqua" w:cs="宋体" w:hint="eastAsia"/>
          <w:color w:val="000000"/>
          <w:sz w:val="24"/>
          <w:szCs w:val="24"/>
          <w:lang w:val="en-US" w:eastAsia="zh-CN"/>
        </w:rPr>
        <w:t>1</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Ha NB</w:t>
      </w:r>
      <w:r w:rsidRPr="00AE2402">
        <w:rPr>
          <w:rFonts w:ascii="Book Antiqua" w:eastAsia="宋体" w:hAnsi="Book Antiqua" w:cs="宋体"/>
          <w:color w:val="000000"/>
          <w:sz w:val="24"/>
          <w:szCs w:val="24"/>
          <w:lang w:val="en-US" w:eastAsia="zh-CN"/>
        </w:rPr>
        <w:t>, Ha NB, Garcia RT, Trinh HN, Vu AA, Nguyen HA, Nguyen KK, Levitt BS, Nguyen MH. Renal dysfunction in chronic hepatitis B patients treated with adefovir dipivoxil. </w:t>
      </w:r>
      <w:r w:rsidRPr="00AE2402">
        <w:rPr>
          <w:rFonts w:ascii="Book Antiqua" w:eastAsia="宋体" w:hAnsi="Book Antiqua" w:cs="宋体"/>
          <w:i/>
          <w:iCs/>
          <w:color w:val="000000"/>
          <w:sz w:val="24"/>
          <w:szCs w:val="24"/>
          <w:lang w:val="en-US" w:eastAsia="zh-CN"/>
        </w:rPr>
        <w:t>Hepatology</w:t>
      </w:r>
      <w:r w:rsidRPr="00AE2402">
        <w:rPr>
          <w:rFonts w:ascii="Book Antiqua" w:eastAsia="宋体" w:hAnsi="Book Antiqua" w:cs="宋体"/>
          <w:color w:val="000000"/>
          <w:sz w:val="24"/>
          <w:szCs w:val="24"/>
          <w:lang w:val="en-US" w:eastAsia="zh-CN"/>
        </w:rPr>
        <w:t> 2009; </w:t>
      </w:r>
      <w:r w:rsidRPr="00AE2402">
        <w:rPr>
          <w:rFonts w:ascii="Book Antiqua" w:eastAsia="宋体" w:hAnsi="Book Antiqua" w:cs="宋体"/>
          <w:b/>
          <w:bCs/>
          <w:color w:val="000000"/>
          <w:sz w:val="24"/>
          <w:szCs w:val="24"/>
          <w:lang w:val="en-US" w:eastAsia="zh-CN"/>
        </w:rPr>
        <w:t>50</w:t>
      </w:r>
      <w:r w:rsidRPr="00AE2402">
        <w:rPr>
          <w:rFonts w:ascii="Book Antiqua" w:eastAsia="宋体" w:hAnsi="Book Antiqua" w:cs="宋体"/>
          <w:color w:val="000000"/>
          <w:sz w:val="24"/>
          <w:szCs w:val="24"/>
          <w:lang w:val="en-US" w:eastAsia="zh-CN"/>
        </w:rPr>
        <w:t>: 727-734 [PMID: 19517525</w:t>
      </w:r>
      <w:r w:rsidR="00FA41C5">
        <w:rPr>
          <w:rFonts w:ascii="Book Antiqua" w:eastAsia="宋体" w:hAnsi="Book Antiqua" w:cs="宋体"/>
          <w:color w:val="000000"/>
          <w:sz w:val="24"/>
          <w:szCs w:val="24"/>
          <w:lang w:val="en-US" w:eastAsia="zh-CN"/>
        </w:rPr>
        <w:t xml:space="preserve"> DOI: 10.1002/hep.23044]</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7</w:t>
      </w:r>
      <w:r w:rsidR="00FA41C5">
        <w:rPr>
          <w:rFonts w:ascii="Book Antiqua" w:eastAsia="宋体" w:hAnsi="Book Antiqua" w:cs="宋体" w:hint="eastAsia"/>
          <w:color w:val="000000"/>
          <w:sz w:val="24"/>
          <w:szCs w:val="24"/>
          <w:lang w:val="en-US" w:eastAsia="zh-CN"/>
        </w:rPr>
        <w:t>2</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Kim YJ</w:t>
      </w:r>
      <w:r w:rsidRPr="00AE2402">
        <w:rPr>
          <w:rFonts w:ascii="Book Antiqua" w:eastAsia="宋体" w:hAnsi="Book Antiqua" w:cs="宋体"/>
          <w:color w:val="000000"/>
          <w:sz w:val="24"/>
          <w:szCs w:val="24"/>
          <w:lang w:val="en-US" w:eastAsia="zh-CN"/>
        </w:rPr>
        <w:t>, Cho HC, Sinn DH, Gwak GY, Choi MS, Koh KC, Paik SW, Yoo BC, Lee JH. Frequency and risk factors of renal impairment during long-term adefovir dipivoxil treatment in chronic hepatitis B patients. </w:t>
      </w:r>
      <w:r w:rsidRPr="00AE2402">
        <w:rPr>
          <w:rFonts w:ascii="Book Antiqua" w:eastAsia="宋体" w:hAnsi="Book Antiqua" w:cs="宋体"/>
          <w:i/>
          <w:iCs/>
          <w:color w:val="000000"/>
          <w:sz w:val="24"/>
          <w:szCs w:val="24"/>
          <w:lang w:val="en-US" w:eastAsia="zh-CN"/>
        </w:rPr>
        <w:t>J Gastroenterol Hepatol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27</w:t>
      </w:r>
      <w:r w:rsidRPr="00AE2402">
        <w:rPr>
          <w:rFonts w:ascii="Book Antiqua" w:eastAsia="宋体" w:hAnsi="Book Antiqua" w:cs="宋体"/>
          <w:color w:val="000000"/>
          <w:sz w:val="24"/>
          <w:szCs w:val="24"/>
          <w:lang w:val="en-US" w:eastAsia="zh-CN"/>
        </w:rPr>
        <w:t>: 306-312 [PMID: 21777281 DOI: 10.</w:t>
      </w:r>
      <w:r w:rsidR="00FA41C5">
        <w:rPr>
          <w:rFonts w:ascii="Book Antiqua" w:eastAsia="宋体" w:hAnsi="Book Antiqua" w:cs="宋体"/>
          <w:color w:val="000000"/>
          <w:sz w:val="24"/>
          <w:szCs w:val="24"/>
          <w:lang w:val="en-US" w:eastAsia="zh-CN"/>
        </w:rPr>
        <w:t>1111/j.1440-1746.2011.06852.x]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7</w:t>
      </w:r>
      <w:r w:rsidR="00FA41C5">
        <w:rPr>
          <w:rFonts w:ascii="Book Antiqua" w:eastAsia="宋体" w:hAnsi="Book Antiqua" w:cs="宋体" w:hint="eastAsia"/>
          <w:color w:val="000000"/>
          <w:sz w:val="24"/>
          <w:szCs w:val="24"/>
          <w:lang w:val="en-US" w:eastAsia="zh-CN"/>
        </w:rPr>
        <w:t>3</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Hartono JL</w:t>
      </w:r>
      <w:r w:rsidRPr="00AE2402">
        <w:rPr>
          <w:rFonts w:ascii="Book Antiqua" w:eastAsia="宋体" w:hAnsi="Book Antiqua" w:cs="宋体"/>
          <w:color w:val="000000"/>
          <w:sz w:val="24"/>
          <w:szCs w:val="24"/>
          <w:lang w:val="en-US" w:eastAsia="zh-CN"/>
        </w:rPr>
        <w:t>, Aung MO, Dan YY, Gowans M, Lim K, Lee YM, Lee GH, Low HC, Tan PS, Thwin MA, Soon C, Chiu LL, Khoo MJ, Koay E, Lim SG. Resolution of adefovir-related nephrotoxicity by adefovir dose-reduction in patients with chronic hepatitis B. </w:t>
      </w:r>
      <w:r w:rsidRPr="00AE2402">
        <w:rPr>
          <w:rFonts w:ascii="Book Antiqua" w:eastAsia="宋体" w:hAnsi="Book Antiqua" w:cs="宋体"/>
          <w:i/>
          <w:iCs/>
          <w:color w:val="000000"/>
          <w:sz w:val="24"/>
          <w:szCs w:val="24"/>
          <w:lang w:val="en-US" w:eastAsia="zh-CN"/>
        </w:rPr>
        <w:t>Aliment Pharmacol Ther</w:t>
      </w:r>
      <w:r w:rsidRPr="00AE2402">
        <w:rPr>
          <w:rFonts w:ascii="Book Antiqua" w:eastAsia="宋体" w:hAnsi="Book Antiqua" w:cs="宋体"/>
          <w:color w:val="000000"/>
          <w:sz w:val="24"/>
          <w:szCs w:val="24"/>
          <w:lang w:val="en-US" w:eastAsia="zh-CN"/>
        </w:rPr>
        <w:t> 2013; </w:t>
      </w:r>
      <w:r w:rsidRPr="00AE2402">
        <w:rPr>
          <w:rFonts w:ascii="Book Antiqua" w:eastAsia="宋体" w:hAnsi="Book Antiqua" w:cs="宋体"/>
          <w:b/>
          <w:bCs/>
          <w:color w:val="000000"/>
          <w:sz w:val="24"/>
          <w:szCs w:val="24"/>
          <w:lang w:val="en-US" w:eastAsia="zh-CN"/>
        </w:rPr>
        <w:t>37</w:t>
      </w:r>
      <w:r w:rsidRPr="00AE2402">
        <w:rPr>
          <w:rFonts w:ascii="Book Antiqua" w:eastAsia="宋体" w:hAnsi="Book Antiqua" w:cs="宋体"/>
          <w:color w:val="000000"/>
          <w:sz w:val="24"/>
          <w:szCs w:val="24"/>
          <w:lang w:val="en-US" w:eastAsia="zh-CN"/>
        </w:rPr>
        <w:t>: 710-719 [PMID: 23</w:t>
      </w:r>
      <w:r w:rsidR="00FA41C5">
        <w:rPr>
          <w:rFonts w:ascii="Book Antiqua" w:eastAsia="宋体" w:hAnsi="Book Antiqua" w:cs="宋体"/>
          <w:color w:val="000000"/>
          <w:sz w:val="24"/>
          <w:szCs w:val="24"/>
          <w:lang w:val="en-US" w:eastAsia="zh-CN"/>
        </w:rPr>
        <w:t>432107 DOI: 10.1111/apt.12251]</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7</w:t>
      </w:r>
      <w:r w:rsidR="00FA41C5">
        <w:rPr>
          <w:rFonts w:ascii="Book Antiqua" w:eastAsia="宋体" w:hAnsi="Book Antiqua" w:cs="宋体" w:hint="eastAsia"/>
          <w:color w:val="000000"/>
          <w:sz w:val="24"/>
          <w:szCs w:val="24"/>
          <w:lang w:val="en-US" w:eastAsia="zh-CN"/>
        </w:rPr>
        <w:t>4</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Manolakopoulos S</w:t>
      </w:r>
      <w:r w:rsidRPr="00AE2402">
        <w:rPr>
          <w:rFonts w:ascii="Book Antiqua" w:eastAsia="宋体" w:hAnsi="Book Antiqua" w:cs="宋体"/>
          <w:color w:val="000000"/>
          <w:sz w:val="24"/>
          <w:szCs w:val="24"/>
          <w:lang w:val="en-US" w:eastAsia="zh-CN"/>
        </w:rPr>
        <w:t>, Striki A, Deutsch M, Mela M, Ketikoglou I, Tzourmakliotis D, Manesis EK, Papatheodoridis GV. Long-term adefovir plus lamivudine therapy does not decrease creatinine clearance in HBeAg-negative chronic hepatitis B patients. </w:t>
      </w:r>
      <w:r w:rsidRPr="00AE2402">
        <w:rPr>
          <w:rFonts w:ascii="Book Antiqua" w:eastAsia="宋体" w:hAnsi="Book Antiqua" w:cs="宋体"/>
          <w:i/>
          <w:iCs/>
          <w:color w:val="000000"/>
          <w:sz w:val="24"/>
          <w:szCs w:val="24"/>
          <w:lang w:val="en-US" w:eastAsia="zh-CN"/>
        </w:rPr>
        <w:t>Liver Int</w:t>
      </w:r>
      <w:r w:rsidRPr="00AE2402">
        <w:rPr>
          <w:rFonts w:ascii="Book Antiqua" w:eastAsia="宋体" w:hAnsi="Book Antiqua" w:cs="宋体"/>
          <w:color w:val="000000"/>
          <w:sz w:val="24"/>
          <w:szCs w:val="24"/>
          <w:lang w:val="en-US" w:eastAsia="zh-CN"/>
        </w:rPr>
        <w:t> 2011; </w:t>
      </w:r>
      <w:r w:rsidRPr="00AE2402">
        <w:rPr>
          <w:rFonts w:ascii="Book Antiqua" w:eastAsia="宋体" w:hAnsi="Book Antiqua" w:cs="宋体"/>
          <w:b/>
          <w:bCs/>
          <w:color w:val="000000"/>
          <w:sz w:val="24"/>
          <w:szCs w:val="24"/>
          <w:lang w:val="en-US" w:eastAsia="zh-CN"/>
        </w:rPr>
        <w:t>31</w:t>
      </w:r>
      <w:r w:rsidRPr="00AE2402">
        <w:rPr>
          <w:rFonts w:ascii="Book Antiqua" w:eastAsia="宋体" w:hAnsi="Book Antiqua" w:cs="宋体"/>
          <w:color w:val="000000"/>
          <w:sz w:val="24"/>
          <w:szCs w:val="24"/>
          <w:lang w:val="en-US" w:eastAsia="zh-CN"/>
        </w:rPr>
        <w:t>: 1525-1532 [PMID: 22093327 DOI: 10.</w:t>
      </w:r>
      <w:r w:rsidR="00FA41C5">
        <w:rPr>
          <w:rFonts w:ascii="Book Antiqua" w:eastAsia="宋体" w:hAnsi="Book Antiqua" w:cs="宋体"/>
          <w:color w:val="000000"/>
          <w:sz w:val="24"/>
          <w:szCs w:val="24"/>
          <w:lang w:val="en-US" w:eastAsia="zh-CN"/>
        </w:rPr>
        <w:t>1111/j.1478-3231.2011.02616.x]</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7</w:t>
      </w:r>
      <w:r w:rsidR="00FA41C5">
        <w:rPr>
          <w:rFonts w:ascii="Book Antiqua" w:eastAsia="宋体" w:hAnsi="Book Antiqua" w:cs="宋体" w:hint="eastAsia"/>
          <w:color w:val="000000"/>
          <w:sz w:val="24"/>
          <w:szCs w:val="24"/>
          <w:lang w:val="en-US" w:eastAsia="zh-CN"/>
        </w:rPr>
        <w:t>5</w:t>
      </w:r>
      <w:r w:rsidRPr="00AE2402">
        <w:rPr>
          <w:rFonts w:ascii="Book Antiqua" w:eastAsia="宋体" w:hAnsi="Book Antiqua" w:cs="宋体"/>
          <w:color w:val="000000"/>
          <w:sz w:val="24"/>
          <w:szCs w:val="24"/>
          <w:lang w:val="en-US" w:eastAsia="zh-CN"/>
        </w:rPr>
        <w:t xml:space="preserve"> </w:t>
      </w:r>
      <w:r w:rsidRPr="00FA41C5">
        <w:rPr>
          <w:rFonts w:ascii="Book Antiqua" w:eastAsia="宋体" w:hAnsi="Book Antiqua" w:cs="宋体"/>
          <w:b/>
          <w:color w:val="000000"/>
          <w:sz w:val="24"/>
          <w:szCs w:val="24"/>
          <w:lang w:val="en-US" w:eastAsia="zh-CN"/>
        </w:rPr>
        <w:t xml:space="preserve">Marcellin P, </w:t>
      </w:r>
      <w:r w:rsidRPr="00AE2402">
        <w:rPr>
          <w:rFonts w:ascii="Book Antiqua" w:eastAsia="宋体" w:hAnsi="Book Antiqua" w:cs="宋体"/>
          <w:color w:val="000000"/>
          <w:sz w:val="24"/>
          <w:szCs w:val="24"/>
          <w:lang w:val="en-US" w:eastAsia="zh-CN"/>
        </w:rPr>
        <w:t>Heathcote EJ, Berg T, Anderson J, Mondou E, Coombs D, Ebrahimi R, Reddy S, Lopatin U, McNally J, Ng C. Effects of tenofovir disoproxil fumarate on renal function in chronic HBV patients in three global randomized studies.</w:t>
      </w:r>
      <w:r w:rsidR="00FA41C5">
        <w:rPr>
          <w:rFonts w:ascii="Book Antiqua" w:eastAsia="宋体" w:hAnsi="Book Antiqua" w:cs="宋体"/>
          <w:i/>
          <w:color w:val="000000"/>
          <w:sz w:val="24"/>
          <w:szCs w:val="24"/>
          <w:lang w:val="en-US" w:eastAsia="zh-CN"/>
        </w:rPr>
        <w:t xml:space="preserve"> J</w:t>
      </w:r>
      <w:r w:rsidRPr="00FA41C5">
        <w:rPr>
          <w:rFonts w:ascii="Book Antiqua" w:eastAsia="宋体" w:hAnsi="Book Antiqua" w:cs="宋体"/>
          <w:i/>
          <w:color w:val="000000"/>
          <w:sz w:val="24"/>
          <w:szCs w:val="24"/>
          <w:lang w:val="en-US" w:eastAsia="zh-CN"/>
        </w:rPr>
        <w:t xml:space="preserve"> Hepato</w:t>
      </w:r>
      <w:r w:rsidR="00FA41C5" w:rsidRPr="00FA41C5">
        <w:rPr>
          <w:rFonts w:ascii="Book Antiqua" w:eastAsia="宋体" w:hAnsi="Book Antiqua" w:cs="宋体"/>
          <w:i/>
          <w:color w:val="000000"/>
          <w:sz w:val="24"/>
          <w:szCs w:val="24"/>
          <w:lang w:val="en-US" w:eastAsia="zh-CN"/>
        </w:rPr>
        <w:t>l</w:t>
      </w:r>
      <w:r w:rsidR="00FA41C5">
        <w:rPr>
          <w:rFonts w:ascii="Book Antiqua" w:eastAsia="宋体" w:hAnsi="Book Antiqua" w:cs="宋体"/>
          <w:color w:val="000000"/>
          <w:sz w:val="24"/>
          <w:szCs w:val="24"/>
          <w:lang w:val="en-US" w:eastAsia="zh-CN"/>
        </w:rPr>
        <w:t xml:space="preserve"> 2011;</w:t>
      </w:r>
      <w:r w:rsidR="00FA41C5" w:rsidRPr="00FA41C5">
        <w:rPr>
          <w:rFonts w:ascii="Book Antiqua" w:eastAsia="宋体" w:hAnsi="Book Antiqua" w:cs="宋体"/>
          <w:b/>
          <w:color w:val="000000"/>
          <w:sz w:val="24"/>
          <w:szCs w:val="24"/>
          <w:lang w:val="en-US" w:eastAsia="zh-CN"/>
        </w:rPr>
        <w:t xml:space="preserve"> 54</w:t>
      </w:r>
      <w:r w:rsidR="00FA41C5">
        <w:rPr>
          <w:rFonts w:ascii="Book Antiqua" w:eastAsia="宋体" w:hAnsi="Book Antiqua" w:cs="宋体"/>
          <w:color w:val="000000"/>
          <w:sz w:val="24"/>
          <w:szCs w:val="24"/>
          <w:lang w:val="en-US" w:eastAsia="zh-CN"/>
        </w:rPr>
        <w:t xml:space="preserve"> (Suppl 1): S296-297</w:t>
      </w:r>
      <w:r w:rsidRPr="00AE2402">
        <w:rPr>
          <w:rFonts w:ascii="Book Antiqua" w:eastAsia="宋体" w:hAnsi="Book Antiqua" w:cs="宋体"/>
          <w:color w:val="000000"/>
          <w:sz w:val="24"/>
          <w:szCs w:val="24"/>
          <w:lang w:val="en-US" w:eastAsia="zh-CN"/>
        </w:rPr>
        <w:t xml:space="preserve"> [DOI: 10.</w:t>
      </w:r>
      <w:r w:rsidR="00FA41C5">
        <w:rPr>
          <w:rFonts w:ascii="Book Antiqua" w:eastAsia="宋体" w:hAnsi="Book Antiqua" w:cs="宋体"/>
          <w:color w:val="000000"/>
          <w:sz w:val="24"/>
          <w:szCs w:val="24"/>
          <w:lang w:val="en-US" w:eastAsia="zh-CN"/>
        </w:rPr>
        <w:t>1016/S0168-8278(11)60741-1]</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Pr>
          <w:rFonts w:ascii="Book Antiqua" w:eastAsia="宋体" w:hAnsi="Book Antiqua" w:cs="宋体" w:hint="eastAsia"/>
          <w:color w:val="000000"/>
          <w:sz w:val="24"/>
          <w:szCs w:val="24"/>
          <w:lang w:val="en-US" w:eastAsia="zh-CN"/>
        </w:rPr>
        <w:t>6</w:t>
      </w:r>
      <w:r>
        <w:rPr>
          <w:rFonts w:ascii="Book Antiqua" w:eastAsia="宋体" w:hAnsi="Book Antiqua" w:cs="宋体"/>
          <w:color w:val="000000"/>
          <w:sz w:val="24"/>
          <w:szCs w:val="24"/>
          <w:lang w:val="en-US" w:eastAsia="zh-CN"/>
        </w:rPr>
        <w:t xml:space="preserve"> </w:t>
      </w:r>
      <w:r w:rsidR="00AE2402" w:rsidRPr="00FA41C5">
        <w:rPr>
          <w:rFonts w:ascii="Book Antiqua" w:eastAsia="宋体" w:hAnsi="Book Antiqua" w:cs="宋体"/>
          <w:b/>
          <w:color w:val="000000"/>
          <w:sz w:val="24"/>
          <w:szCs w:val="24"/>
          <w:lang w:val="en-US" w:eastAsia="zh-CN"/>
        </w:rPr>
        <w:t>Fung S,</w:t>
      </w:r>
      <w:r w:rsidR="00AE2402" w:rsidRPr="00AE2402">
        <w:rPr>
          <w:rFonts w:ascii="Book Antiqua" w:eastAsia="宋体" w:hAnsi="Book Antiqua" w:cs="宋体"/>
          <w:color w:val="000000"/>
          <w:sz w:val="24"/>
          <w:szCs w:val="24"/>
          <w:lang w:val="en-US" w:eastAsia="zh-CN"/>
        </w:rPr>
        <w:t xml:space="preserve"> Kwan P, Horban A, Pelemis M, Husa P, Hann HW, Flaherty J, Massetto B, Dinh P, Custodio J, Subramanian GM, Fabri M, Gane E. Tenofovir DF (TDF) is safe and well tolerated in chronic hepatitis B (CHB) patients with pre-existing mi</w:t>
      </w:r>
      <w:r>
        <w:rPr>
          <w:rFonts w:ascii="Book Antiqua" w:eastAsia="宋体" w:hAnsi="Book Antiqua" w:cs="宋体"/>
          <w:color w:val="000000"/>
          <w:sz w:val="24"/>
          <w:szCs w:val="24"/>
          <w:lang w:val="en-US" w:eastAsia="zh-CN"/>
        </w:rPr>
        <w:t xml:space="preserve">ld renal impairment. </w:t>
      </w:r>
      <w:r w:rsidRPr="00FA41C5">
        <w:rPr>
          <w:rFonts w:ascii="Book Antiqua" w:eastAsia="宋体" w:hAnsi="Book Antiqua" w:cs="宋体"/>
          <w:i/>
          <w:color w:val="000000"/>
          <w:sz w:val="24"/>
          <w:szCs w:val="24"/>
          <w:lang w:val="en-US" w:eastAsia="zh-CN"/>
        </w:rPr>
        <w:t>J Hepatol</w:t>
      </w:r>
      <w:r w:rsidR="00AE2402" w:rsidRPr="00FA41C5">
        <w:rPr>
          <w:rFonts w:ascii="Book Antiqua" w:eastAsia="宋体" w:hAnsi="Book Antiqua" w:cs="宋体"/>
          <w:i/>
          <w:color w:val="000000"/>
          <w:sz w:val="24"/>
          <w:szCs w:val="24"/>
          <w:lang w:val="en-US" w:eastAsia="zh-CN"/>
        </w:rPr>
        <w:t xml:space="preserve"> </w:t>
      </w:r>
      <w:r w:rsidR="00AE2402" w:rsidRPr="00AE2402">
        <w:rPr>
          <w:rFonts w:ascii="Book Antiqua" w:eastAsia="宋体" w:hAnsi="Book Antiqua" w:cs="宋体"/>
          <w:color w:val="000000"/>
          <w:sz w:val="24"/>
          <w:szCs w:val="24"/>
          <w:lang w:val="en-US" w:eastAsia="zh-CN"/>
        </w:rPr>
        <w:t xml:space="preserve">2013; </w:t>
      </w:r>
      <w:r w:rsidR="00AE2402" w:rsidRPr="00FA41C5">
        <w:rPr>
          <w:rFonts w:ascii="Book Antiqua" w:eastAsia="宋体" w:hAnsi="Book Antiqua" w:cs="宋体"/>
          <w:b/>
          <w:color w:val="000000"/>
          <w:sz w:val="24"/>
          <w:szCs w:val="24"/>
          <w:lang w:val="en-US" w:eastAsia="zh-CN"/>
        </w:rPr>
        <w:t>58</w:t>
      </w:r>
      <w:r w:rsidR="00AE2402" w:rsidRPr="00AE2402">
        <w:rPr>
          <w:rFonts w:ascii="Book Antiqua" w:eastAsia="宋体" w:hAnsi="Book Antiqua" w:cs="宋体"/>
          <w:color w:val="000000"/>
          <w:sz w:val="24"/>
          <w:szCs w:val="24"/>
          <w:lang w:val="en-US" w:eastAsia="zh-CN"/>
        </w:rPr>
        <w:t xml:space="preserve"> (Suppl 1): S301-302. [DOI: 10.1016/S0168-8278(13)60746-1]</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Pr>
          <w:rFonts w:ascii="Book Antiqua" w:eastAsia="宋体" w:hAnsi="Book Antiqua" w:cs="宋体" w:hint="eastAsia"/>
          <w:color w:val="000000"/>
          <w:sz w:val="24"/>
          <w:szCs w:val="24"/>
          <w:lang w:val="en-US" w:eastAsia="zh-CN"/>
        </w:rPr>
        <w:t>7</w:t>
      </w:r>
      <w:r>
        <w:rPr>
          <w:rFonts w:ascii="Book Antiqua" w:eastAsia="宋体" w:hAnsi="Book Antiqua" w:cs="宋体"/>
          <w:color w:val="000000"/>
          <w:sz w:val="24"/>
          <w:szCs w:val="24"/>
          <w:lang w:val="en-US" w:eastAsia="zh-CN"/>
        </w:rPr>
        <w:t xml:space="preserve"> </w:t>
      </w:r>
      <w:r w:rsidR="00AE2402" w:rsidRPr="00FA41C5">
        <w:rPr>
          <w:rFonts w:ascii="Book Antiqua" w:eastAsia="宋体" w:hAnsi="Book Antiqua" w:cs="宋体"/>
          <w:b/>
          <w:color w:val="000000"/>
          <w:sz w:val="24"/>
          <w:szCs w:val="24"/>
          <w:lang w:val="en-US" w:eastAsia="zh-CN"/>
        </w:rPr>
        <w:t>Marcellin P</w:t>
      </w:r>
      <w:r w:rsidR="00AE2402" w:rsidRPr="00AE2402">
        <w:rPr>
          <w:rFonts w:ascii="Book Antiqua" w:eastAsia="宋体" w:hAnsi="Book Antiqua" w:cs="宋体"/>
          <w:color w:val="000000"/>
          <w:sz w:val="24"/>
          <w:szCs w:val="24"/>
          <w:lang w:val="en-US" w:eastAsia="zh-CN"/>
        </w:rPr>
        <w:t>, Zoulim F, Causse X, H</w:t>
      </w:r>
      <w:r w:rsidRPr="00841D2D">
        <w:rPr>
          <w:rFonts w:ascii="Book Antiqua" w:hAnsi="Book Antiqua"/>
          <w:sz w:val="24"/>
          <w:szCs w:val="24"/>
          <w:lang w:val="en-US"/>
        </w:rPr>
        <w:t>é</w:t>
      </w:r>
      <w:r w:rsidR="00AE2402" w:rsidRPr="00AE2402">
        <w:rPr>
          <w:rFonts w:ascii="Book Antiqua" w:eastAsia="宋体" w:hAnsi="Book Antiqua" w:cs="宋体"/>
          <w:color w:val="000000"/>
          <w:sz w:val="24"/>
          <w:szCs w:val="24"/>
          <w:lang w:val="en-US" w:eastAsia="zh-CN"/>
        </w:rPr>
        <w:t>zode C, Larrey D, Pageaux G, Roche B, Truchi R, Ouzan D, Pauwels A, Dumortier J, Stern C, Libert O, Cadranel JF, Zarski JP, Vireal Group. Tenofovir DF treatment is safe and well tolerated in chronic hepatitis B (CHB) patients with baseline decrease</w:t>
      </w:r>
      <w:r>
        <w:rPr>
          <w:rFonts w:ascii="Book Antiqua" w:eastAsia="宋体" w:hAnsi="Book Antiqua" w:cs="宋体"/>
          <w:color w:val="000000"/>
          <w:sz w:val="24"/>
          <w:szCs w:val="24"/>
          <w:lang w:val="en-US" w:eastAsia="zh-CN"/>
        </w:rPr>
        <w:t xml:space="preserve">d glomerular filtration rate. </w:t>
      </w:r>
      <w:r w:rsidRPr="00FA41C5">
        <w:rPr>
          <w:rFonts w:ascii="Book Antiqua" w:eastAsia="宋体" w:hAnsi="Book Antiqua" w:cs="宋体"/>
          <w:i/>
          <w:color w:val="000000"/>
          <w:sz w:val="24"/>
          <w:szCs w:val="24"/>
          <w:lang w:val="en-US" w:eastAsia="zh-CN"/>
        </w:rPr>
        <w:t>J</w:t>
      </w:r>
      <w:r w:rsidR="00AE2402" w:rsidRPr="00FA41C5">
        <w:rPr>
          <w:rFonts w:ascii="Book Antiqua" w:eastAsia="宋体" w:hAnsi="Book Antiqua" w:cs="宋体"/>
          <w:i/>
          <w:color w:val="000000"/>
          <w:sz w:val="24"/>
          <w:szCs w:val="24"/>
          <w:lang w:val="en-US" w:eastAsia="zh-CN"/>
        </w:rPr>
        <w:t xml:space="preserve"> He</w:t>
      </w:r>
      <w:r w:rsidRPr="00FA41C5">
        <w:rPr>
          <w:rFonts w:ascii="Book Antiqua" w:eastAsia="宋体" w:hAnsi="Book Antiqua" w:cs="宋体"/>
          <w:i/>
          <w:color w:val="000000"/>
          <w:sz w:val="24"/>
          <w:szCs w:val="24"/>
          <w:lang w:val="en-US" w:eastAsia="zh-CN"/>
        </w:rPr>
        <w:t xml:space="preserve">patol </w:t>
      </w:r>
      <w:r>
        <w:rPr>
          <w:rFonts w:ascii="Book Antiqua" w:eastAsia="宋体" w:hAnsi="Book Antiqua" w:cs="宋体"/>
          <w:color w:val="000000"/>
          <w:sz w:val="24"/>
          <w:szCs w:val="24"/>
          <w:lang w:val="en-US" w:eastAsia="zh-CN"/>
        </w:rPr>
        <w:t xml:space="preserve">2012; </w:t>
      </w:r>
      <w:r w:rsidRPr="00FA41C5">
        <w:rPr>
          <w:rFonts w:ascii="Book Antiqua" w:eastAsia="宋体" w:hAnsi="Book Antiqua" w:cs="宋体"/>
          <w:b/>
          <w:color w:val="000000"/>
          <w:sz w:val="24"/>
          <w:szCs w:val="24"/>
          <w:lang w:val="en-US" w:eastAsia="zh-CN"/>
        </w:rPr>
        <w:t>56</w:t>
      </w:r>
      <w:r>
        <w:rPr>
          <w:rFonts w:ascii="Book Antiqua" w:eastAsia="宋体" w:hAnsi="Book Antiqua" w:cs="宋体"/>
          <w:color w:val="000000"/>
          <w:sz w:val="24"/>
          <w:szCs w:val="24"/>
          <w:lang w:val="en-US" w:eastAsia="zh-CN"/>
        </w:rPr>
        <w:t xml:space="preserve"> (Suppl 1): S210</w:t>
      </w:r>
      <w:r w:rsidR="00AE2402" w:rsidRPr="00AE2402">
        <w:rPr>
          <w:rFonts w:ascii="Book Antiqua" w:eastAsia="宋体" w:hAnsi="Book Antiqua" w:cs="宋体"/>
          <w:color w:val="000000"/>
          <w:sz w:val="24"/>
          <w:szCs w:val="24"/>
          <w:lang w:val="en-US" w:eastAsia="zh-CN"/>
        </w:rPr>
        <w:t xml:space="preserve"> [DOI: 10.1016/S0168-8278(12)60544-3]</w:t>
      </w:r>
    </w:p>
    <w:p w:rsidR="00FA41C5" w:rsidRPr="00841D2D" w:rsidRDefault="00FA41C5" w:rsidP="00FA41C5">
      <w:pPr>
        <w:pStyle w:val="ListParagraph"/>
        <w:spacing w:after="0" w:line="360" w:lineRule="auto"/>
        <w:ind w:left="0"/>
        <w:jc w:val="both"/>
        <w:rPr>
          <w:rFonts w:ascii="Book Antiqua" w:hAnsi="Book Antiqua"/>
          <w:sz w:val="24"/>
          <w:szCs w:val="24"/>
          <w:lang w:val="en-US" w:eastAsia="zh-CN"/>
        </w:rPr>
      </w:pPr>
      <w:r>
        <w:rPr>
          <w:rFonts w:ascii="Book Antiqua" w:eastAsia="宋体" w:hAnsi="Book Antiqua" w:cs="宋体"/>
          <w:color w:val="000000"/>
          <w:sz w:val="24"/>
          <w:szCs w:val="24"/>
          <w:lang w:val="en-US" w:eastAsia="zh-CN"/>
        </w:rPr>
        <w:t>7</w:t>
      </w:r>
      <w:r>
        <w:rPr>
          <w:rFonts w:ascii="Book Antiqua" w:eastAsia="宋体" w:hAnsi="Book Antiqua" w:cs="宋体" w:hint="eastAsia"/>
          <w:color w:val="000000"/>
          <w:sz w:val="24"/>
          <w:szCs w:val="24"/>
          <w:lang w:val="en-US" w:eastAsia="zh-CN"/>
        </w:rPr>
        <w:t>8</w:t>
      </w:r>
      <w:r>
        <w:rPr>
          <w:rFonts w:ascii="Book Antiqua" w:eastAsia="宋体" w:hAnsi="Book Antiqua" w:cs="宋体"/>
          <w:color w:val="000000"/>
          <w:sz w:val="24"/>
          <w:szCs w:val="24"/>
          <w:lang w:val="en-US" w:eastAsia="zh-CN"/>
        </w:rPr>
        <w:t xml:space="preserve"> </w:t>
      </w:r>
      <w:r w:rsidRPr="00841D2D">
        <w:rPr>
          <w:rFonts w:ascii="Book Antiqua" w:hAnsi="Book Antiqua"/>
          <w:b/>
          <w:sz w:val="24"/>
          <w:szCs w:val="24"/>
          <w:lang w:val="en-US"/>
        </w:rPr>
        <w:t>van Bommel F</w:t>
      </w:r>
      <w:r w:rsidRPr="00841D2D">
        <w:rPr>
          <w:rFonts w:ascii="Book Antiqua" w:hAnsi="Book Antiqua"/>
          <w:sz w:val="24"/>
          <w:szCs w:val="24"/>
          <w:lang w:val="en-US"/>
        </w:rPr>
        <w:t xml:space="preserve">, De Man RA, Ferenci P, Reijnders JG, Bronowicki JP, Wedemeyer H, Brodzinski A, Fülöp B, Deterding K, Erhardt A, Hüppe D, Bourlière M, Sarrazin C, Trojan J, Buggisch PB, Petersen J, Spengler U, Pariente A, Schuchmann M, Wasmuth H, Stein K, Rutter K, Feucht HH, Wiedenmann B, Berg T. Renal safety and antiviral efficacy of tenofovir disoproxil fumarate (TDF) monotherapy in nucleos(t)ide analogue refractory patients with hepatitis B virus (HBV) mono-infection. </w:t>
      </w:r>
      <w:r>
        <w:rPr>
          <w:rFonts w:ascii="Book Antiqua" w:hAnsi="Book Antiqua"/>
          <w:i/>
          <w:sz w:val="24"/>
          <w:szCs w:val="24"/>
          <w:lang w:val="en-US"/>
        </w:rPr>
        <w:t>J</w:t>
      </w:r>
      <w:r w:rsidRPr="00841D2D">
        <w:rPr>
          <w:rFonts w:ascii="Book Antiqua" w:hAnsi="Book Antiqua"/>
          <w:i/>
          <w:sz w:val="24"/>
          <w:szCs w:val="24"/>
          <w:lang w:val="en-US"/>
        </w:rPr>
        <w:t xml:space="preserve"> Hepatol</w:t>
      </w:r>
      <w:r w:rsidRPr="00841D2D">
        <w:rPr>
          <w:rFonts w:ascii="Book Antiqua" w:hAnsi="Book Antiqua"/>
          <w:sz w:val="24"/>
          <w:szCs w:val="24"/>
          <w:lang w:val="en-US"/>
        </w:rPr>
        <w:t xml:space="preserve"> 2010; </w:t>
      </w:r>
      <w:r w:rsidRPr="00841D2D">
        <w:rPr>
          <w:rFonts w:ascii="Book Antiqua" w:hAnsi="Book Antiqua"/>
          <w:b/>
          <w:sz w:val="24"/>
          <w:szCs w:val="24"/>
          <w:lang w:val="en-US"/>
        </w:rPr>
        <w:t xml:space="preserve">52 </w:t>
      </w:r>
      <w:r w:rsidRPr="00FA41C5">
        <w:rPr>
          <w:rFonts w:ascii="Book Antiqua" w:hAnsi="Book Antiqua"/>
          <w:sz w:val="24"/>
          <w:szCs w:val="24"/>
          <w:lang w:val="en-US"/>
        </w:rPr>
        <w:t>(Suppl 1):</w:t>
      </w:r>
      <w:r>
        <w:rPr>
          <w:rFonts w:ascii="Book Antiqua" w:hAnsi="Book Antiqua"/>
          <w:sz w:val="24"/>
          <w:szCs w:val="24"/>
          <w:lang w:val="en-US"/>
        </w:rPr>
        <w:t xml:space="preserve"> S398</w:t>
      </w:r>
      <w:r w:rsidRPr="00841D2D">
        <w:rPr>
          <w:rFonts w:ascii="Book Antiqua" w:hAnsi="Book Antiqua"/>
          <w:sz w:val="24"/>
          <w:szCs w:val="24"/>
          <w:lang w:val="en-US"/>
        </w:rPr>
        <w:t xml:space="preserve"> [DOI:</w:t>
      </w:r>
      <w:r>
        <w:rPr>
          <w:rFonts w:ascii="Book Antiqua" w:hAnsi="Book Antiqua"/>
          <w:sz w:val="24"/>
          <w:szCs w:val="24"/>
          <w:lang w:val="en-US"/>
        </w:rPr>
        <w:t xml:space="preserve"> 10.1016/S0168-8278(10)61029-X]</w:t>
      </w:r>
    </w:p>
    <w:p w:rsidR="00FA41C5" w:rsidRPr="00841D2D" w:rsidRDefault="00FA41C5" w:rsidP="00FA41C5">
      <w:pPr>
        <w:pStyle w:val="ListParagraph"/>
        <w:spacing w:after="0" w:line="360" w:lineRule="auto"/>
        <w:ind w:left="0"/>
        <w:jc w:val="both"/>
        <w:rPr>
          <w:rFonts w:ascii="Book Antiqua" w:hAnsi="Book Antiqua"/>
          <w:sz w:val="24"/>
          <w:szCs w:val="24"/>
          <w:lang w:val="en-US" w:eastAsia="zh-CN"/>
        </w:rPr>
      </w:pPr>
      <w:r>
        <w:rPr>
          <w:rFonts w:ascii="Book Antiqua" w:eastAsia="宋体" w:hAnsi="Book Antiqua" w:cs="宋体" w:hint="eastAsia"/>
          <w:color w:val="000000"/>
          <w:sz w:val="24"/>
          <w:szCs w:val="24"/>
          <w:lang w:val="en-US" w:eastAsia="zh-CN"/>
        </w:rPr>
        <w:t>79</w:t>
      </w:r>
      <w:r w:rsidR="00AE2402" w:rsidRPr="00AE2402">
        <w:rPr>
          <w:rFonts w:ascii="Book Antiqua" w:eastAsia="宋体" w:hAnsi="Book Antiqua" w:cs="宋体"/>
          <w:color w:val="000000"/>
          <w:sz w:val="24"/>
          <w:szCs w:val="24"/>
          <w:lang w:val="en-US" w:eastAsia="zh-CN"/>
        </w:rPr>
        <w:t xml:space="preserve"> </w:t>
      </w:r>
      <w:r w:rsidRPr="00841D2D">
        <w:rPr>
          <w:rFonts w:ascii="Book Antiqua" w:hAnsi="Book Antiqua"/>
          <w:b/>
          <w:sz w:val="24"/>
          <w:szCs w:val="24"/>
          <w:lang w:val="en-US"/>
        </w:rPr>
        <w:t>Jorquera F</w:t>
      </w:r>
      <w:r w:rsidRPr="00841D2D">
        <w:rPr>
          <w:rFonts w:ascii="Book Antiqua" w:hAnsi="Book Antiqua"/>
          <w:sz w:val="24"/>
          <w:szCs w:val="24"/>
          <w:lang w:val="en-US"/>
        </w:rPr>
        <w:t xml:space="preserve">, Pascasio JM, Fraga E, Fuentes J, Prieto M, Sánchez-Antolín G, Calleja JL, Molina E,  Tomé S, Bonet L, Blanco MA, García-Buey ML, Salmerón J, Pons JA, González JM, Rodríguez M. Tenofovir monotherapy versus lamivudine plus adefovir in lamivudine-failure patients rescued with lamivudine plus adefovir combination: interim analysis of the TENOSIMP-B clinical trial. </w:t>
      </w:r>
      <w:r>
        <w:rPr>
          <w:rFonts w:ascii="Book Antiqua" w:hAnsi="Book Antiqua"/>
          <w:i/>
          <w:sz w:val="24"/>
          <w:szCs w:val="24"/>
          <w:lang w:val="en-US"/>
        </w:rPr>
        <w:t>J</w:t>
      </w:r>
      <w:r w:rsidRPr="00841D2D">
        <w:rPr>
          <w:rFonts w:ascii="Book Antiqua" w:hAnsi="Book Antiqua"/>
          <w:i/>
          <w:sz w:val="24"/>
          <w:szCs w:val="24"/>
          <w:lang w:val="en-US"/>
        </w:rPr>
        <w:t xml:space="preserve"> Hepatol</w:t>
      </w:r>
      <w:r w:rsidRPr="00841D2D">
        <w:rPr>
          <w:rFonts w:ascii="Book Antiqua" w:hAnsi="Book Antiqua"/>
          <w:sz w:val="24"/>
          <w:szCs w:val="24"/>
          <w:lang w:val="en-US"/>
        </w:rPr>
        <w:t xml:space="preserve"> 2014; </w:t>
      </w:r>
      <w:r w:rsidRPr="00FA41C5">
        <w:rPr>
          <w:rFonts w:ascii="Book Antiqua" w:hAnsi="Book Antiqua"/>
          <w:b/>
          <w:sz w:val="24"/>
          <w:szCs w:val="24"/>
          <w:lang w:val="en-US"/>
        </w:rPr>
        <w:t>60</w:t>
      </w:r>
      <w:r w:rsidRPr="00841D2D">
        <w:rPr>
          <w:rFonts w:ascii="Book Antiqua" w:hAnsi="Book Antiqua"/>
          <w:b/>
          <w:sz w:val="24"/>
          <w:szCs w:val="24"/>
          <w:lang w:val="en-US"/>
        </w:rPr>
        <w:t xml:space="preserve"> </w:t>
      </w:r>
      <w:r w:rsidRPr="00FA41C5">
        <w:rPr>
          <w:rFonts w:ascii="Book Antiqua" w:hAnsi="Book Antiqua"/>
          <w:sz w:val="24"/>
          <w:szCs w:val="24"/>
          <w:lang w:val="en-US"/>
        </w:rPr>
        <w:t>(Suppl 1)</w:t>
      </w:r>
      <w:r>
        <w:rPr>
          <w:rFonts w:ascii="Book Antiqua" w:hAnsi="Book Antiqua"/>
          <w:sz w:val="24"/>
          <w:szCs w:val="24"/>
          <w:lang w:val="en-US"/>
        </w:rPr>
        <w:t>: S422</w:t>
      </w:r>
      <w:r w:rsidRPr="00841D2D">
        <w:rPr>
          <w:rFonts w:ascii="Book Antiqua" w:hAnsi="Book Antiqua"/>
          <w:sz w:val="24"/>
          <w:szCs w:val="24"/>
          <w:lang w:val="en-US"/>
        </w:rPr>
        <w:t xml:space="preserve"> [DOI:</w:t>
      </w:r>
      <w:r>
        <w:rPr>
          <w:rFonts w:ascii="Book Antiqua" w:hAnsi="Book Antiqua"/>
          <w:sz w:val="24"/>
          <w:szCs w:val="24"/>
          <w:lang w:val="en-US"/>
        </w:rPr>
        <w:t xml:space="preserve"> 10.1016/S0168-8278(14)61201-0]</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Pr>
          <w:rFonts w:ascii="Book Antiqua" w:eastAsia="宋体" w:hAnsi="Book Antiqua" w:cs="宋体" w:hint="eastAsia"/>
          <w:color w:val="000000"/>
          <w:sz w:val="24"/>
          <w:szCs w:val="24"/>
          <w:lang w:val="en-US" w:eastAsia="zh-CN"/>
        </w:rPr>
        <w:t>0</w:t>
      </w:r>
      <w:r>
        <w:rPr>
          <w:rFonts w:ascii="Book Antiqua" w:eastAsia="宋体" w:hAnsi="Book Antiqua" w:cs="宋体"/>
          <w:color w:val="000000"/>
          <w:sz w:val="24"/>
          <w:szCs w:val="24"/>
          <w:lang w:val="en-US" w:eastAsia="zh-CN"/>
        </w:rPr>
        <w:t xml:space="preserve"> </w:t>
      </w:r>
      <w:r w:rsidR="00AE2402" w:rsidRPr="00FA41C5">
        <w:rPr>
          <w:rFonts w:ascii="Book Antiqua" w:eastAsia="宋体" w:hAnsi="Book Antiqua" w:cs="宋体"/>
          <w:b/>
          <w:color w:val="000000"/>
          <w:sz w:val="24"/>
          <w:szCs w:val="24"/>
          <w:lang w:val="en-US" w:eastAsia="zh-CN"/>
        </w:rPr>
        <w:t>Brodzinski A</w:t>
      </w:r>
      <w:r w:rsidR="00AE2402" w:rsidRPr="00AE2402">
        <w:rPr>
          <w:rFonts w:ascii="Book Antiqua" w:eastAsia="宋体" w:hAnsi="Book Antiqua" w:cs="宋体"/>
          <w:color w:val="000000"/>
          <w:sz w:val="24"/>
          <w:szCs w:val="24"/>
          <w:lang w:val="en-US" w:eastAsia="zh-CN"/>
        </w:rPr>
        <w:t xml:space="preserve">, Fueloep B, Schlosser B, Biermer M, Wiegand J, Berg T, van Bommel F. Prevalence of renal alterations indicative for proximal tubular damage (PTD) in patients with chronic hepatitis B virus (HBV) infection during long-term treatment with tenofovir disoproxil fumarate (TDF). </w:t>
      </w:r>
      <w:r w:rsidR="00AE2402" w:rsidRPr="00FA41C5">
        <w:rPr>
          <w:rFonts w:ascii="Book Antiqua" w:eastAsia="宋体" w:hAnsi="Book Antiqua" w:cs="宋体"/>
          <w:i/>
          <w:color w:val="000000"/>
          <w:sz w:val="24"/>
          <w:szCs w:val="24"/>
          <w:lang w:val="en-US" w:eastAsia="zh-CN"/>
        </w:rPr>
        <w:t>Hepatology</w:t>
      </w:r>
      <w:r w:rsidR="00AE2402" w:rsidRPr="00AE2402">
        <w:rPr>
          <w:rFonts w:ascii="Book Antiqua" w:eastAsia="宋体" w:hAnsi="Book Antiqua" w:cs="宋体"/>
          <w:color w:val="000000"/>
          <w:sz w:val="24"/>
          <w:szCs w:val="24"/>
          <w:lang w:val="en-US" w:eastAsia="zh-CN"/>
        </w:rPr>
        <w:t xml:space="preserve"> 2010; </w:t>
      </w:r>
      <w:r w:rsidR="00AE2402" w:rsidRPr="00FA41C5">
        <w:rPr>
          <w:rFonts w:ascii="Book Antiqua" w:eastAsia="宋体" w:hAnsi="Book Antiqua" w:cs="宋体"/>
          <w:b/>
          <w:color w:val="000000"/>
          <w:sz w:val="24"/>
          <w:szCs w:val="24"/>
          <w:lang w:val="en-US" w:eastAsia="zh-CN"/>
        </w:rPr>
        <w:t>52</w:t>
      </w:r>
      <w:r>
        <w:rPr>
          <w:rFonts w:ascii="Book Antiqua" w:eastAsia="宋体" w:hAnsi="Book Antiqua" w:cs="宋体"/>
          <w:color w:val="000000"/>
          <w:sz w:val="24"/>
          <w:szCs w:val="24"/>
          <w:lang w:val="en-US" w:eastAsia="zh-CN"/>
        </w:rPr>
        <w:t xml:space="preserve"> (Suppl 1): 515–6A</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Pr>
          <w:rFonts w:ascii="Book Antiqua" w:eastAsia="宋体" w:hAnsi="Book Antiqua" w:cs="宋体" w:hint="eastAsia"/>
          <w:color w:val="000000"/>
          <w:sz w:val="24"/>
          <w:szCs w:val="24"/>
          <w:lang w:val="en-US" w:eastAsia="zh-CN"/>
        </w:rPr>
        <w:t>1</w:t>
      </w:r>
      <w:r>
        <w:rPr>
          <w:rFonts w:ascii="Book Antiqua" w:eastAsia="宋体" w:hAnsi="Book Antiqua" w:cs="宋体"/>
          <w:color w:val="000000"/>
          <w:sz w:val="24"/>
          <w:szCs w:val="24"/>
          <w:lang w:val="en-US" w:eastAsia="zh-CN"/>
        </w:rPr>
        <w:t xml:space="preserve"> </w:t>
      </w:r>
      <w:r w:rsidR="00AE2402" w:rsidRPr="00FA41C5">
        <w:rPr>
          <w:rFonts w:ascii="Book Antiqua" w:eastAsia="宋体" w:hAnsi="Book Antiqua" w:cs="宋体"/>
          <w:b/>
          <w:color w:val="000000"/>
          <w:sz w:val="24"/>
          <w:szCs w:val="24"/>
          <w:lang w:val="en-US" w:eastAsia="zh-CN"/>
        </w:rPr>
        <w:t>Lampertico P,</w:t>
      </w:r>
      <w:r w:rsidR="00AE2402" w:rsidRPr="00AE2402">
        <w:rPr>
          <w:rFonts w:ascii="Book Antiqua" w:eastAsia="宋体" w:hAnsi="Book Antiqua" w:cs="宋体"/>
          <w:color w:val="000000"/>
          <w:sz w:val="24"/>
          <w:szCs w:val="24"/>
          <w:lang w:val="en-US" w:eastAsia="zh-CN"/>
        </w:rPr>
        <w:t xml:space="preserve"> Soffredini R, Yurdaydin C, Idilman R, Papatheodoridis GV, Margariti E, Buti M, Esteban R, Zaltron S, Vavassori A, Castelli C, Vigan</w:t>
      </w:r>
      <w:r w:rsidRPr="00841D2D">
        <w:rPr>
          <w:rFonts w:ascii="Book Antiqua" w:hAnsi="Book Antiqua"/>
          <w:sz w:val="24"/>
          <w:szCs w:val="24"/>
          <w:lang w:val="en-US"/>
        </w:rPr>
        <w:t>ò</w:t>
      </w:r>
      <w:r w:rsidR="00AE2402" w:rsidRPr="00AE2402">
        <w:rPr>
          <w:rFonts w:ascii="Book Antiqua" w:eastAsia="宋体" w:hAnsi="Book Antiqua" w:cs="宋体"/>
          <w:color w:val="000000"/>
          <w:sz w:val="24"/>
          <w:szCs w:val="24"/>
          <w:lang w:val="en-US" w:eastAsia="zh-CN"/>
        </w:rPr>
        <w:t xml:space="preserve"> M, Rumi MG, Vinci M, Belli LS, Cologni G, Rizzi M, Milanese M, Strazzabosco M, Minola E, Giorgini AM, Zuin M, Salmi A, Colombo S, Fracassetti O, Del Poggio P, Bruno S, Fagiuoli S, Andreoletti M, Colli A, Colombo AE, Bellati GA, Magni CF, Angeli E, Gubertini GA, Fasano M, Santantonio TA, Terreni NM, Mangia G, Colombo M. Four years of tenofovir monotherapy for NUC na</w:t>
      </w:r>
      <w:r w:rsidRPr="00841D2D">
        <w:rPr>
          <w:rFonts w:ascii="Book Antiqua" w:hAnsi="Book Antiqua"/>
          <w:sz w:val="24"/>
          <w:szCs w:val="24"/>
          <w:lang w:val="en-US"/>
        </w:rPr>
        <w:t>ï</w:t>
      </w:r>
      <w:r w:rsidR="00AE2402" w:rsidRPr="00AE2402">
        <w:rPr>
          <w:rFonts w:ascii="Book Antiqua" w:eastAsia="宋体" w:hAnsi="Book Antiqua" w:cs="宋体"/>
          <w:color w:val="000000"/>
          <w:sz w:val="24"/>
          <w:szCs w:val="24"/>
          <w:lang w:val="en-US" w:eastAsia="zh-CN"/>
        </w:rPr>
        <w:t xml:space="preserve">ve field practice European patients suppresses HBV replication in most patients with a favorable renal safety profile but does not prevent HCC in patients with or without cirrhosis. </w:t>
      </w:r>
      <w:r w:rsidR="00AE2402" w:rsidRPr="00FA41C5">
        <w:rPr>
          <w:rFonts w:ascii="Book Antiqua" w:eastAsia="宋体" w:hAnsi="Book Antiqua" w:cs="宋体"/>
          <w:i/>
          <w:color w:val="000000"/>
          <w:sz w:val="24"/>
          <w:szCs w:val="24"/>
          <w:lang w:val="en-US" w:eastAsia="zh-CN"/>
        </w:rPr>
        <w:t>Hepa</w:t>
      </w:r>
      <w:r w:rsidRPr="00FA41C5">
        <w:rPr>
          <w:rFonts w:ascii="Book Antiqua" w:eastAsia="宋体" w:hAnsi="Book Antiqua" w:cs="宋体"/>
          <w:i/>
          <w:color w:val="000000"/>
          <w:sz w:val="24"/>
          <w:szCs w:val="24"/>
          <w:lang w:val="en-US" w:eastAsia="zh-CN"/>
        </w:rPr>
        <w:t>tology</w:t>
      </w:r>
      <w:r>
        <w:rPr>
          <w:rFonts w:ascii="Book Antiqua" w:eastAsia="宋体" w:hAnsi="Book Antiqua" w:cs="宋体"/>
          <w:color w:val="000000"/>
          <w:sz w:val="24"/>
          <w:szCs w:val="24"/>
          <w:lang w:val="en-US" w:eastAsia="zh-CN"/>
        </w:rPr>
        <w:t xml:space="preserve"> 2013; </w:t>
      </w:r>
      <w:r w:rsidRPr="00FA41C5">
        <w:rPr>
          <w:rFonts w:ascii="Book Antiqua" w:eastAsia="宋体" w:hAnsi="Book Antiqua" w:cs="宋体"/>
          <w:b/>
          <w:color w:val="000000"/>
          <w:sz w:val="24"/>
          <w:szCs w:val="24"/>
          <w:lang w:val="en-US" w:eastAsia="zh-CN"/>
        </w:rPr>
        <w:t>58</w:t>
      </w:r>
      <w:r>
        <w:rPr>
          <w:rFonts w:ascii="Book Antiqua" w:eastAsia="宋体" w:hAnsi="Book Antiqua" w:cs="宋体"/>
          <w:color w:val="000000"/>
          <w:sz w:val="24"/>
          <w:szCs w:val="24"/>
          <w:lang w:val="en-US" w:eastAsia="zh-CN"/>
        </w:rPr>
        <w:t xml:space="preserve"> (Suppl 1): 653A</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Pr>
          <w:rFonts w:ascii="Book Antiqua" w:eastAsia="宋体" w:hAnsi="Book Antiqua" w:cs="宋体" w:hint="eastAsia"/>
          <w:color w:val="000000"/>
          <w:sz w:val="24"/>
          <w:szCs w:val="24"/>
          <w:lang w:val="en-US" w:eastAsia="zh-CN"/>
        </w:rPr>
        <w:t>2</w:t>
      </w:r>
      <w:r>
        <w:rPr>
          <w:rFonts w:ascii="Book Antiqua" w:eastAsia="宋体" w:hAnsi="Book Antiqua" w:cs="宋体"/>
          <w:color w:val="000000"/>
          <w:sz w:val="24"/>
          <w:szCs w:val="24"/>
          <w:lang w:val="en-US" w:eastAsia="zh-CN"/>
        </w:rPr>
        <w:t xml:space="preserve"> </w:t>
      </w:r>
      <w:r w:rsidR="00AE2402" w:rsidRPr="00FA41C5">
        <w:rPr>
          <w:rFonts w:ascii="Book Antiqua" w:eastAsia="宋体" w:hAnsi="Book Antiqua" w:cs="宋体"/>
          <w:b/>
          <w:color w:val="000000"/>
          <w:sz w:val="24"/>
          <w:szCs w:val="24"/>
          <w:lang w:val="en-US" w:eastAsia="zh-CN"/>
        </w:rPr>
        <w:t>Le ST</w:t>
      </w:r>
      <w:r w:rsidR="00AE2402" w:rsidRPr="00AE2402">
        <w:rPr>
          <w:rFonts w:ascii="Book Antiqua" w:eastAsia="宋体" w:hAnsi="Book Antiqua" w:cs="宋体"/>
          <w:color w:val="000000"/>
          <w:sz w:val="24"/>
          <w:szCs w:val="24"/>
          <w:lang w:val="en-US" w:eastAsia="zh-CN"/>
        </w:rPr>
        <w:t xml:space="preserve">, Sahhar L, Lim J, He T, Ha P, Rusli F, Ratnam D, Moore GT, Pianko S, Dev A, Polkinghorne K, Sievert W. Do tenofovir and entecavir affect renal function in patients with chronic hepatitis B (CHB)? A two-year observational study from a single Australian centre. </w:t>
      </w:r>
      <w:r w:rsidR="00AE2402" w:rsidRPr="00FA41C5">
        <w:rPr>
          <w:rFonts w:ascii="Book Antiqua" w:eastAsia="宋体" w:hAnsi="Book Antiqua" w:cs="宋体"/>
          <w:i/>
          <w:color w:val="000000"/>
          <w:sz w:val="24"/>
          <w:szCs w:val="24"/>
          <w:lang w:val="en-US" w:eastAsia="zh-CN"/>
        </w:rPr>
        <w:t>Hepatology</w:t>
      </w:r>
      <w:r w:rsidR="00AE2402" w:rsidRPr="00AE2402">
        <w:rPr>
          <w:rFonts w:ascii="Book Antiqua" w:eastAsia="宋体" w:hAnsi="Book Antiqua" w:cs="宋体"/>
          <w:color w:val="000000"/>
          <w:sz w:val="24"/>
          <w:szCs w:val="24"/>
          <w:lang w:val="en-US" w:eastAsia="zh-CN"/>
        </w:rPr>
        <w:t xml:space="preserve"> 2012; </w:t>
      </w:r>
      <w:r w:rsidR="00AE2402" w:rsidRPr="00FA41C5">
        <w:rPr>
          <w:rFonts w:ascii="Book Antiqua" w:eastAsia="宋体" w:hAnsi="Book Antiqua" w:cs="宋体"/>
          <w:b/>
          <w:color w:val="000000"/>
          <w:sz w:val="24"/>
          <w:szCs w:val="24"/>
          <w:lang w:val="en-US" w:eastAsia="zh-CN"/>
        </w:rPr>
        <w:t>56</w:t>
      </w:r>
      <w:r>
        <w:rPr>
          <w:rFonts w:ascii="Book Antiqua" w:eastAsia="宋体" w:hAnsi="Book Antiqua" w:cs="宋体"/>
          <w:color w:val="000000"/>
          <w:sz w:val="24"/>
          <w:szCs w:val="24"/>
          <w:lang w:val="en-US" w:eastAsia="zh-CN"/>
        </w:rPr>
        <w:t xml:space="preserve"> (Suppl 1): 410A</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Pr>
          <w:rFonts w:ascii="Book Antiqua" w:eastAsia="宋体" w:hAnsi="Book Antiqua" w:cs="宋体" w:hint="eastAsia"/>
          <w:color w:val="000000"/>
          <w:sz w:val="24"/>
          <w:szCs w:val="24"/>
          <w:lang w:val="en-US" w:eastAsia="zh-CN"/>
        </w:rPr>
        <w:t>3</w:t>
      </w:r>
      <w:r>
        <w:rPr>
          <w:rFonts w:ascii="Book Antiqua" w:eastAsia="宋体" w:hAnsi="Book Antiqua" w:cs="宋体"/>
          <w:color w:val="000000"/>
          <w:sz w:val="24"/>
          <w:szCs w:val="24"/>
          <w:lang w:val="en-US" w:eastAsia="zh-CN"/>
        </w:rPr>
        <w:t xml:space="preserve"> </w:t>
      </w:r>
      <w:r w:rsidR="00AE2402" w:rsidRPr="00FA41C5">
        <w:rPr>
          <w:rFonts w:ascii="Book Antiqua" w:eastAsia="宋体" w:hAnsi="Book Antiqua" w:cs="宋体"/>
          <w:b/>
          <w:color w:val="000000"/>
          <w:sz w:val="24"/>
          <w:szCs w:val="24"/>
          <w:lang w:val="en-US" w:eastAsia="zh-CN"/>
        </w:rPr>
        <w:t>Nguyen HL</w:t>
      </w:r>
      <w:r w:rsidR="00AE2402" w:rsidRPr="00AE2402">
        <w:rPr>
          <w:rFonts w:ascii="Book Antiqua" w:eastAsia="宋体" w:hAnsi="Book Antiqua" w:cs="宋体"/>
          <w:color w:val="000000"/>
          <w:sz w:val="24"/>
          <w:szCs w:val="24"/>
          <w:lang w:val="en-US" w:eastAsia="zh-CN"/>
        </w:rPr>
        <w:t xml:space="preserve">, Al-Freah MA, Joe D, Carey I, Boyer T, Suddle A, Harrison PM, Agarwal K. A single centre, large “real-life” cohort treated with tenofovir versus entecavir: no deterioration in renal function in tenofovir cohort over 12 months of therapy. </w:t>
      </w:r>
      <w:r w:rsidR="00AE2402" w:rsidRPr="00FA41C5">
        <w:rPr>
          <w:rFonts w:ascii="Book Antiqua" w:eastAsia="宋体" w:hAnsi="Book Antiqua" w:cs="宋体"/>
          <w:i/>
          <w:color w:val="000000"/>
          <w:sz w:val="24"/>
          <w:szCs w:val="24"/>
          <w:lang w:val="en-US" w:eastAsia="zh-CN"/>
        </w:rPr>
        <w:t>Hepatology</w:t>
      </w:r>
      <w:r w:rsidR="00AE2402" w:rsidRPr="00AE2402">
        <w:rPr>
          <w:rFonts w:ascii="Book Antiqua" w:eastAsia="宋体" w:hAnsi="Book Antiqua" w:cs="宋体"/>
          <w:color w:val="000000"/>
          <w:sz w:val="24"/>
          <w:szCs w:val="24"/>
          <w:lang w:val="en-US" w:eastAsia="zh-CN"/>
        </w:rPr>
        <w:t xml:space="preserve"> 2011; </w:t>
      </w:r>
      <w:r w:rsidR="00AE2402" w:rsidRPr="00FA41C5">
        <w:rPr>
          <w:rFonts w:ascii="Book Antiqua" w:eastAsia="宋体" w:hAnsi="Book Antiqua" w:cs="宋体"/>
          <w:b/>
          <w:color w:val="000000"/>
          <w:sz w:val="24"/>
          <w:szCs w:val="24"/>
          <w:lang w:val="en-US" w:eastAsia="zh-CN"/>
        </w:rPr>
        <w:t>54</w:t>
      </w:r>
      <w:r w:rsidR="00AE2402" w:rsidRPr="00AE2402">
        <w:rPr>
          <w:rFonts w:ascii="Book Antiqua" w:eastAsia="宋体" w:hAnsi="Book Antiqua" w:cs="宋体"/>
          <w:color w:val="000000"/>
          <w:sz w:val="24"/>
          <w:szCs w:val="24"/>
          <w:lang w:val="en-US" w:eastAsia="zh-CN"/>
        </w:rPr>
        <w:t xml:space="preserve"> (Su</w:t>
      </w:r>
      <w:r>
        <w:rPr>
          <w:rFonts w:ascii="Book Antiqua" w:eastAsia="宋体" w:hAnsi="Book Antiqua" w:cs="宋体"/>
          <w:color w:val="000000"/>
          <w:sz w:val="24"/>
          <w:szCs w:val="24"/>
          <w:lang w:val="en-US" w:eastAsia="zh-CN"/>
        </w:rPr>
        <w:t>ppl 1): 604A</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8</w:t>
      </w:r>
      <w:r w:rsidR="00FA41C5">
        <w:rPr>
          <w:rFonts w:ascii="Book Antiqua" w:eastAsia="宋体" w:hAnsi="Book Antiqua" w:cs="宋体" w:hint="eastAsia"/>
          <w:color w:val="000000"/>
          <w:sz w:val="24"/>
          <w:szCs w:val="24"/>
          <w:lang w:val="en-US" w:eastAsia="zh-CN"/>
        </w:rPr>
        <w:t>4</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Gish RG</w:t>
      </w:r>
      <w:r w:rsidRPr="00AE2402">
        <w:rPr>
          <w:rFonts w:ascii="Book Antiqua" w:eastAsia="宋体" w:hAnsi="Book Antiqua" w:cs="宋体"/>
          <w:color w:val="000000"/>
          <w:sz w:val="24"/>
          <w:szCs w:val="24"/>
          <w:lang w:val="en-US" w:eastAsia="zh-CN"/>
        </w:rPr>
        <w:t>, Clark MD, Kane SD, Shaw RE, Mangahas MF, Baqai S. Similar risk of renal events among patients treated with tenofovir or entecavir for chronic hepatitis B. </w:t>
      </w:r>
      <w:r w:rsidRPr="00AE2402">
        <w:rPr>
          <w:rFonts w:ascii="Book Antiqua" w:eastAsia="宋体" w:hAnsi="Book Antiqua" w:cs="宋体"/>
          <w:i/>
          <w:iCs/>
          <w:color w:val="000000"/>
          <w:sz w:val="24"/>
          <w:szCs w:val="24"/>
          <w:lang w:val="en-US" w:eastAsia="zh-CN"/>
        </w:rPr>
        <w:t>Clin Gastroenterol Hepatol</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10</w:t>
      </w:r>
      <w:r w:rsidRPr="00AE2402">
        <w:rPr>
          <w:rFonts w:ascii="Book Antiqua" w:eastAsia="宋体" w:hAnsi="Book Antiqua" w:cs="宋体"/>
          <w:color w:val="000000"/>
          <w:sz w:val="24"/>
          <w:szCs w:val="24"/>
          <w:lang w:val="en-US" w:eastAsia="zh-CN"/>
        </w:rPr>
        <w:t xml:space="preserve">: 941-96; quiz e68 [PMID: 22507876 DOI: </w:t>
      </w:r>
      <w:r w:rsidR="00FA41C5">
        <w:rPr>
          <w:rFonts w:ascii="Book Antiqua" w:eastAsia="宋体" w:hAnsi="Book Antiqua" w:cs="宋体"/>
          <w:color w:val="000000"/>
          <w:sz w:val="24"/>
          <w:szCs w:val="24"/>
          <w:lang w:val="en-US" w:eastAsia="zh-CN"/>
        </w:rPr>
        <w:t>10.1016/j.cgh.2012.04.008]</w:t>
      </w:r>
    </w:p>
    <w:p w:rsidR="00AE2402" w:rsidRPr="00AE2402" w:rsidRDefault="00FA41C5" w:rsidP="00AE240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Pr>
          <w:rFonts w:ascii="Book Antiqua" w:eastAsia="宋体" w:hAnsi="Book Antiqua" w:cs="宋体" w:hint="eastAsia"/>
          <w:color w:val="000000"/>
          <w:sz w:val="24"/>
          <w:szCs w:val="24"/>
          <w:lang w:val="en-US" w:eastAsia="zh-CN"/>
        </w:rPr>
        <w:t>5</w:t>
      </w:r>
      <w:r>
        <w:rPr>
          <w:rFonts w:ascii="Book Antiqua" w:eastAsia="宋体" w:hAnsi="Book Antiqua" w:cs="宋体"/>
          <w:color w:val="000000"/>
          <w:sz w:val="24"/>
          <w:szCs w:val="24"/>
          <w:lang w:val="en-US" w:eastAsia="zh-CN"/>
        </w:rPr>
        <w:t xml:space="preserve"> </w:t>
      </w:r>
      <w:r w:rsidR="00AE2402" w:rsidRPr="00FA41C5">
        <w:rPr>
          <w:rFonts w:ascii="Book Antiqua" w:eastAsia="宋体" w:hAnsi="Book Antiqua" w:cs="宋体"/>
          <w:b/>
          <w:color w:val="000000"/>
          <w:sz w:val="24"/>
          <w:szCs w:val="24"/>
          <w:lang w:val="en-US" w:eastAsia="zh-CN"/>
        </w:rPr>
        <w:t>Gish R</w:t>
      </w:r>
      <w:r w:rsidR="00AE2402" w:rsidRPr="00AE2402">
        <w:rPr>
          <w:rFonts w:ascii="Book Antiqua" w:eastAsia="宋体" w:hAnsi="Book Antiqua" w:cs="宋体"/>
          <w:color w:val="000000"/>
          <w:sz w:val="24"/>
          <w:szCs w:val="24"/>
          <w:lang w:val="en-US" w:eastAsia="zh-CN"/>
        </w:rPr>
        <w:t>, Mangahas M, Baqai S, Shaw R. Risk of renal toxicity with tenofovir DF (TDF) f</w:t>
      </w:r>
      <w:r>
        <w:rPr>
          <w:rFonts w:ascii="Book Antiqua" w:eastAsia="宋体" w:hAnsi="Book Antiqua" w:cs="宋体"/>
          <w:color w:val="000000"/>
          <w:sz w:val="24"/>
          <w:szCs w:val="24"/>
          <w:lang w:val="en-US" w:eastAsia="zh-CN"/>
        </w:rPr>
        <w:t>or chronic hepatitis B (CHB).</w:t>
      </w:r>
      <w:r w:rsidRPr="00FA41C5">
        <w:rPr>
          <w:rFonts w:ascii="Book Antiqua" w:eastAsia="宋体" w:hAnsi="Book Antiqua" w:cs="宋体"/>
          <w:i/>
          <w:color w:val="000000"/>
          <w:sz w:val="24"/>
          <w:szCs w:val="24"/>
          <w:lang w:val="en-US" w:eastAsia="zh-CN"/>
        </w:rPr>
        <w:t xml:space="preserve"> J</w:t>
      </w:r>
      <w:r w:rsidR="00AE2402" w:rsidRPr="00FA41C5">
        <w:rPr>
          <w:rFonts w:ascii="Book Antiqua" w:eastAsia="宋体" w:hAnsi="Book Antiqua" w:cs="宋体"/>
          <w:i/>
          <w:color w:val="000000"/>
          <w:sz w:val="24"/>
          <w:szCs w:val="24"/>
          <w:lang w:val="en-US" w:eastAsia="zh-CN"/>
        </w:rPr>
        <w:t xml:space="preserve"> Hepato</w:t>
      </w:r>
      <w:r w:rsidRPr="00FA41C5">
        <w:rPr>
          <w:rFonts w:ascii="Book Antiqua" w:eastAsia="宋体" w:hAnsi="Book Antiqua" w:cs="宋体"/>
          <w:i/>
          <w:color w:val="000000"/>
          <w:sz w:val="24"/>
          <w:szCs w:val="24"/>
          <w:lang w:val="en-US" w:eastAsia="zh-CN"/>
        </w:rPr>
        <w:t xml:space="preserve">l </w:t>
      </w:r>
      <w:r>
        <w:rPr>
          <w:rFonts w:ascii="Book Antiqua" w:eastAsia="宋体" w:hAnsi="Book Antiqua" w:cs="宋体"/>
          <w:color w:val="000000"/>
          <w:sz w:val="24"/>
          <w:szCs w:val="24"/>
          <w:lang w:val="en-US" w:eastAsia="zh-CN"/>
        </w:rPr>
        <w:t>2010;</w:t>
      </w:r>
      <w:r w:rsidRPr="00FA41C5">
        <w:rPr>
          <w:rFonts w:ascii="Book Antiqua" w:eastAsia="宋体" w:hAnsi="Book Antiqua" w:cs="宋体"/>
          <w:b/>
          <w:color w:val="000000"/>
          <w:sz w:val="24"/>
          <w:szCs w:val="24"/>
          <w:lang w:val="en-US" w:eastAsia="zh-CN"/>
        </w:rPr>
        <w:t xml:space="preserve"> 52</w:t>
      </w:r>
      <w:r>
        <w:rPr>
          <w:rFonts w:ascii="Book Antiqua" w:eastAsia="宋体" w:hAnsi="Book Antiqua" w:cs="宋体"/>
          <w:color w:val="000000"/>
          <w:sz w:val="24"/>
          <w:szCs w:val="24"/>
          <w:lang w:val="en-US" w:eastAsia="zh-CN"/>
        </w:rPr>
        <w:t xml:space="preserve"> (Suppl 1): S388-389</w:t>
      </w:r>
      <w:r w:rsidR="00AE2402" w:rsidRPr="00AE2402">
        <w:rPr>
          <w:rFonts w:ascii="Book Antiqua" w:eastAsia="宋体" w:hAnsi="Book Antiqua" w:cs="宋体"/>
          <w:color w:val="000000"/>
          <w:sz w:val="24"/>
          <w:szCs w:val="24"/>
          <w:lang w:val="en-US" w:eastAsia="zh-CN"/>
        </w:rPr>
        <w:t xml:space="preserve"> [DOI:</w:t>
      </w:r>
      <w:r>
        <w:rPr>
          <w:rFonts w:ascii="Book Antiqua" w:eastAsia="宋体" w:hAnsi="Book Antiqua" w:cs="宋体"/>
          <w:color w:val="000000"/>
          <w:sz w:val="24"/>
          <w:szCs w:val="24"/>
          <w:lang w:val="en-US" w:eastAsia="zh-CN"/>
        </w:rPr>
        <w:t xml:space="preserve"> 10.1016/S0168-8278(10)61008-2]</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8</w:t>
      </w:r>
      <w:r w:rsidR="00FA41C5">
        <w:rPr>
          <w:rFonts w:ascii="Book Antiqua" w:eastAsia="宋体" w:hAnsi="Book Antiqua" w:cs="宋体" w:hint="eastAsia"/>
          <w:color w:val="000000"/>
          <w:sz w:val="24"/>
          <w:szCs w:val="24"/>
          <w:lang w:val="en-US" w:eastAsia="zh-CN"/>
        </w:rPr>
        <w:t>6</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Mauss S</w:t>
      </w:r>
      <w:r w:rsidRPr="00AE2402">
        <w:rPr>
          <w:rFonts w:ascii="Book Antiqua" w:eastAsia="宋体" w:hAnsi="Book Antiqua" w:cs="宋体"/>
          <w:color w:val="000000"/>
          <w:sz w:val="24"/>
          <w:szCs w:val="24"/>
          <w:lang w:val="en-US" w:eastAsia="zh-CN"/>
        </w:rPr>
        <w:t>, Berger F, Filmann N, Hueppe D, Henke J, Hegener P, Athmann C, Schmutz G, Herrmann E. Effect of HBV polymerase inhibitors on renal function in patients with chronic hepatitis B. </w:t>
      </w:r>
      <w:r w:rsidRPr="00AE2402">
        <w:rPr>
          <w:rFonts w:ascii="Book Antiqua" w:eastAsia="宋体" w:hAnsi="Book Antiqua" w:cs="宋体"/>
          <w:i/>
          <w:iCs/>
          <w:color w:val="000000"/>
          <w:sz w:val="24"/>
          <w:szCs w:val="24"/>
          <w:lang w:val="en-US" w:eastAsia="zh-CN"/>
        </w:rPr>
        <w:t>J Hepatol</w:t>
      </w:r>
      <w:r w:rsidRPr="00AE2402">
        <w:rPr>
          <w:rFonts w:ascii="Book Antiqua" w:eastAsia="宋体" w:hAnsi="Book Antiqua" w:cs="宋体"/>
          <w:color w:val="000000"/>
          <w:sz w:val="24"/>
          <w:szCs w:val="24"/>
          <w:lang w:val="en-US" w:eastAsia="zh-CN"/>
        </w:rPr>
        <w:t> 2011; </w:t>
      </w:r>
      <w:r w:rsidRPr="00AE2402">
        <w:rPr>
          <w:rFonts w:ascii="Book Antiqua" w:eastAsia="宋体" w:hAnsi="Book Antiqua" w:cs="宋体"/>
          <w:b/>
          <w:bCs/>
          <w:color w:val="000000"/>
          <w:sz w:val="24"/>
          <w:szCs w:val="24"/>
          <w:lang w:val="en-US" w:eastAsia="zh-CN"/>
        </w:rPr>
        <w:t>55</w:t>
      </w:r>
      <w:r w:rsidRPr="00AE2402">
        <w:rPr>
          <w:rFonts w:ascii="Book Antiqua" w:eastAsia="宋体" w:hAnsi="Book Antiqua" w:cs="宋体"/>
          <w:color w:val="000000"/>
          <w:sz w:val="24"/>
          <w:szCs w:val="24"/>
          <w:lang w:val="en-US" w:eastAsia="zh-CN"/>
        </w:rPr>
        <w:t>: 1235-1240 [PMID: 21703180 DO</w:t>
      </w:r>
      <w:r w:rsidR="00FA41C5">
        <w:rPr>
          <w:rFonts w:ascii="Book Antiqua" w:eastAsia="宋体" w:hAnsi="Book Antiqua" w:cs="宋体"/>
          <w:color w:val="000000"/>
          <w:sz w:val="24"/>
          <w:szCs w:val="24"/>
          <w:lang w:val="en-US" w:eastAsia="zh-CN"/>
        </w:rPr>
        <w:t>I: 10.1016/j.jhep.2011.03.030]</w:t>
      </w:r>
    </w:p>
    <w:p w:rsidR="00AE2402" w:rsidRPr="00AE2402" w:rsidRDefault="00AE2402" w:rsidP="00AE2402">
      <w:pPr>
        <w:spacing w:after="0" w:line="360" w:lineRule="auto"/>
        <w:jc w:val="both"/>
        <w:rPr>
          <w:rFonts w:ascii="Book Antiqua" w:eastAsia="宋体" w:hAnsi="Book Antiqua" w:cs="宋体"/>
          <w:color w:val="000000"/>
          <w:sz w:val="24"/>
          <w:szCs w:val="24"/>
          <w:lang w:val="en-US" w:eastAsia="zh-CN"/>
        </w:rPr>
      </w:pPr>
      <w:r w:rsidRPr="00AE2402">
        <w:rPr>
          <w:rFonts w:ascii="Book Antiqua" w:eastAsia="宋体" w:hAnsi="Book Antiqua" w:cs="宋体"/>
          <w:color w:val="000000"/>
          <w:sz w:val="24"/>
          <w:szCs w:val="24"/>
          <w:lang w:val="en-US" w:eastAsia="zh-CN"/>
        </w:rPr>
        <w:t>8</w:t>
      </w:r>
      <w:r w:rsidR="00FA41C5">
        <w:rPr>
          <w:rFonts w:ascii="Book Antiqua" w:eastAsia="宋体" w:hAnsi="Book Antiqua" w:cs="宋体" w:hint="eastAsia"/>
          <w:color w:val="000000"/>
          <w:sz w:val="24"/>
          <w:szCs w:val="24"/>
          <w:lang w:val="en-US" w:eastAsia="zh-CN"/>
        </w:rPr>
        <w:t>7</w:t>
      </w:r>
      <w:r w:rsidRPr="00AE2402">
        <w:rPr>
          <w:rFonts w:ascii="Book Antiqua" w:eastAsia="宋体" w:hAnsi="Book Antiqua" w:cs="宋体"/>
          <w:color w:val="000000"/>
          <w:sz w:val="24"/>
          <w:szCs w:val="24"/>
          <w:lang w:val="en-US" w:eastAsia="zh-CN"/>
        </w:rPr>
        <w:t> </w:t>
      </w:r>
      <w:r w:rsidRPr="00AE2402">
        <w:rPr>
          <w:rFonts w:ascii="Book Antiqua" w:eastAsia="宋体" w:hAnsi="Book Antiqua" w:cs="宋体"/>
          <w:b/>
          <w:bCs/>
          <w:color w:val="000000"/>
          <w:sz w:val="24"/>
          <w:szCs w:val="24"/>
          <w:lang w:val="en-US" w:eastAsia="zh-CN"/>
        </w:rPr>
        <w:t>Ridruejo E</w:t>
      </w:r>
      <w:r w:rsidRPr="00AE2402">
        <w:rPr>
          <w:rFonts w:ascii="Book Antiqua" w:eastAsia="宋体" w:hAnsi="Book Antiqua" w:cs="宋体"/>
          <w:color w:val="000000"/>
          <w:sz w:val="24"/>
          <w:szCs w:val="24"/>
          <w:lang w:val="en-US" w:eastAsia="zh-CN"/>
        </w:rPr>
        <w:t>, Silva MO. Safety of long-term nucleos(t)ide treatment in chronic hepatitis B. </w:t>
      </w:r>
      <w:r w:rsidRPr="00AE2402">
        <w:rPr>
          <w:rFonts w:ascii="Book Antiqua" w:eastAsia="宋体" w:hAnsi="Book Antiqua" w:cs="宋体"/>
          <w:i/>
          <w:iCs/>
          <w:color w:val="000000"/>
          <w:sz w:val="24"/>
          <w:szCs w:val="24"/>
          <w:lang w:val="en-US" w:eastAsia="zh-CN"/>
        </w:rPr>
        <w:t>Expert Opin Drug Saf</w:t>
      </w:r>
      <w:r w:rsidRPr="00AE2402">
        <w:rPr>
          <w:rFonts w:ascii="Book Antiqua" w:eastAsia="宋体" w:hAnsi="Book Antiqua" w:cs="宋体"/>
          <w:color w:val="000000"/>
          <w:sz w:val="24"/>
          <w:szCs w:val="24"/>
          <w:lang w:val="en-US" w:eastAsia="zh-CN"/>
        </w:rPr>
        <w:t> 2012; </w:t>
      </w:r>
      <w:r w:rsidRPr="00AE2402">
        <w:rPr>
          <w:rFonts w:ascii="Book Antiqua" w:eastAsia="宋体" w:hAnsi="Book Antiqua" w:cs="宋体"/>
          <w:b/>
          <w:bCs/>
          <w:color w:val="000000"/>
          <w:sz w:val="24"/>
          <w:szCs w:val="24"/>
          <w:lang w:val="en-US" w:eastAsia="zh-CN"/>
        </w:rPr>
        <w:t>11</w:t>
      </w:r>
      <w:r w:rsidRPr="00AE2402">
        <w:rPr>
          <w:rFonts w:ascii="Book Antiqua" w:eastAsia="宋体" w:hAnsi="Book Antiqua" w:cs="宋体"/>
          <w:color w:val="000000"/>
          <w:sz w:val="24"/>
          <w:szCs w:val="24"/>
          <w:lang w:val="en-US" w:eastAsia="zh-CN"/>
        </w:rPr>
        <w:t>: 357-360 [PMID: 22417072 DOI:</w:t>
      </w:r>
      <w:r w:rsidR="00FA41C5">
        <w:rPr>
          <w:rFonts w:ascii="Book Antiqua" w:eastAsia="宋体" w:hAnsi="Book Antiqua" w:cs="宋体"/>
          <w:color w:val="000000"/>
          <w:sz w:val="24"/>
          <w:szCs w:val="24"/>
          <w:lang w:val="en-US" w:eastAsia="zh-CN"/>
        </w:rPr>
        <w:t xml:space="preserve"> 10.1517/14740338.2012.672972]</w:t>
      </w:r>
    </w:p>
    <w:p w:rsidR="0016284A" w:rsidRPr="00AE2402" w:rsidRDefault="0016284A" w:rsidP="00AE2402">
      <w:pPr>
        <w:spacing w:after="0" w:line="360" w:lineRule="auto"/>
        <w:jc w:val="both"/>
        <w:rPr>
          <w:rFonts w:ascii="Book Antiqua" w:hAnsi="Book Antiqua"/>
          <w:b/>
          <w:sz w:val="24"/>
          <w:szCs w:val="24"/>
          <w:lang w:val="en-US" w:eastAsia="zh-CN"/>
        </w:rPr>
      </w:pPr>
    </w:p>
    <w:p w:rsidR="0016284A" w:rsidRPr="00FA41C5" w:rsidRDefault="0016284A" w:rsidP="00FA41C5">
      <w:pPr>
        <w:pStyle w:val="PlainText"/>
        <w:spacing w:line="360" w:lineRule="auto"/>
        <w:jc w:val="right"/>
        <w:rPr>
          <w:rFonts w:ascii="Book Antiqua" w:hAnsi="Book Antiqua"/>
          <w:b/>
          <w:sz w:val="24"/>
          <w:szCs w:val="24"/>
        </w:rPr>
      </w:pPr>
      <w:r w:rsidRPr="00FA41C5">
        <w:rPr>
          <w:rFonts w:ascii="Book Antiqua" w:hAnsi="Book Antiqua"/>
          <w:b/>
          <w:sz w:val="24"/>
          <w:szCs w:val="24"/>
        </w:rPr>
        <w:t xml:space="preserve">P-Reviewer: </w:t>
      </w:r>
      <w:r w:rsidRPr="00FA41C5">
        <w:rPr>
          <w:rFonts w:ascii="Book Antiqua" w:hAnsi="Book Antiqua" w:cs="Tahoma"/>
          <w:color w:val="000000"/>
          <w:sz w:val="24"/>
          <w:szCs w:val="24"/>
        </w:rPr>
        <w:t>Andreone P, Cantarovich F, Mahmoud KM, Medeiros M</w:t>
      </w:r>
      <w:r w:rsidRPr="00FA41C5">
        <w:rPr>
          <w:rFonts w:ascii="Book Antiqua" w:hAnsi="Book Antiqua"/>
          <w:b/>
          <w:sz w:val="24"/>
          <w:szCs w:val="24"/>
        </w:rPr>
        <w:t xml:space="preserve"> S-Editor: </w:t>
      </w:r>
      <w:r w:rsidRPr="00FA41C5">
        <w:rPr>
          <w:rFonts w:ascii="Book Antiqua" w:hAnsi="Book Antiqua"/>
          <w:sz w:val="24"/>
          <w:szCs w:val="24"/>
        </w:rPr>
        <w:t>Ji FF</w:t>
      </w:r>
      <w:r w:rsidRPr="00FA41C5">
        <w:rPr>
          <w:rFonts w:ascii="Book Antiqua" w:hAnsi="Book Antiqua"/>
          <w:b/>
          <w:sz w:val="24"/>
          <w:szCs w:val="24"/>
        </w:rPr>
        <w:t xml:space="preserve"> L-Editor:  E-Editor:</w:t>
      </w: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Default="003A0D5B" w:rsidP="0016284A">
      <w:pPr>
        <w:pStyle w:val="PlainText"/>
        <w:spacing w:line="360" w:lineRule="auto"/>
        <w:rPr>
          <w:rFonts w:ascii="Book Antiqua" w:hAnsi="Book Antiqua"/>
          <w:b/>
          <w:sz w:val="24"/>
          <w:szCs w:val="24"/>
        </w:rPr>
      </w:pPr>
    </w:p>
    <w:p w:rsidR="003A0D5B" w:rsidRPr="004E1F0C" w:rsidRDefault="003A0D5B" w:rsidP="0016284A">
      <w:pPr>
        <w:pStyle w:val="PlainText"/>
        <w:spacing w:line="360" w:lineRule="auto"/>
        <w:rPr>
          <w:rFonts w:ascii="Book Antiqua" w:hAnsi="Book Antiqua"/>
          <w:b/>
          <w:sz w:val="24"/>
          <w:szCs w:val="24"/>
        </w:rPr>
      </w:pPr>
    </w:p>
    <w:p w:rsidR="003A0D5B" w:rsidRPr="00841D2D" w:rsidRDefault="003A0D5B" w:rsidP="003A0D5B">
      <w:pPr>
        <w:spacing w:after="0" w:line="360" w:lineRule="auto"/>
        <w:jc w:val="both"/>
        <w:rPr>
          <w:rFonts w:ascii="Book Antiqua" w:hAnsi="Book Antiqua"/>
          <w:sz w:val="24"/>
          <w:szCs w:val="24"/>
          <w:lang w:val="en-US"/>
        </w:rPr>
      </w:pPr>
      <w:r>
        <w:rPr>
          <w:rFonts w:ascii="Book Antiqua" w:hAnsi="Book Antiqua"/>
          <w:b/>
          <w:sz w:val="24"/>
          <w:szCs w:val="24"/>
          <w:lang w:val="en-US"/>
        </w:rPr>
        <w:t>Table 1</w:t>
      </w:r>
      <w:r w:rsidRPr="00841D2D">
        <w:rPr>
          <w:rFonts w:ascii="Book Antiqua" w:hAnsi="Book Antiqua"/>
          <w:sz w:val="24"/>
          <w:szCs w:val="24"/>
          <w:lang w:val="en-US"/>
        </w:rPr>
        <w:t xml:space="preserve"> </w:t>
      </w:r>
      <w:r w:rsidRPr="00841D2D">
        <w:rPr>
          <w:rFonts w:ascii="Book Antiqua" w:hAnsi="Book Antiqua"/>
          <w:b/>
          <w:bCs/>
          <w:sz w:val="24"/>
          <w:szCs w:val="24"/>
          <w:lang w:val="en-US"/>
        </w:rPr>
        <w:t>Dosage adjustment of nucleos(t)ide analogue for patients with reduced creatinine clearance</w:t>
      </w:r>
    </w:p>
    <w:p w:rsidR="0016284A" w:rsidRPr="003A0D5B" w:rsidRDefault="0016284A" w:rsidP="00841D2D">
      <w:pPr>
        <w:spacing w:after="0" w:line="360" w:lineRule="auto"/>
        <w:jc w:val="both"/>
        <w:rPr>
          <w:rFonts w:ascii="Book Antiqua" w:hAnsi="Book Antiqua"/>
          <w:b/>
          <w:sz w:val="24"/>
          <w:szCs w:val="24"/>
          <w:lang w:val="en-US" w:eastAsia="zh-CN"/>
        </w:rPr>
      </w:pPr>
    </w:p>
    <w:tbl>
      <w:tblPr>
        <w:tblStyle w:val="TableGrid"/>
        <w:tblW w:w="0" w:type="auto"/>
        <w:tblLayout w:type="fixed"/>
        <w:tblLook w:val="04A0" w:firstRow="1" w:lastRow="0" w:firstColumn="1" w:lastColumn="0" w:noHBand="0" w:noVBand="1"/>
      </w:tblPr>
      <w:tblGrid>
        <w:gridCol w:w="1688"/>
        <w:gridCol w:w="2077"/>
        <w:gridCol w:w="2401"/>
        <w:gridCol w:w="2888"/>
      </w:tblGrid>
      <w:tr w:rsidR="00E12526" w:rsidRPr="00841D2D" w:rsidTr="003A0D5B">
        <w:tc>
          <w:tcPr>
            <w:tcW w:w="1688" w:type="dxa"/>
            <w:tcBorders>
              <w:top w:val="single" w:sz="4" w:space="0" w:color="auto"/>
              <w:left w:val="nil"/>
              <w:bottom w:val="single" w:sz="4" w:space="0" w:color="auto"/>
              <w:right w:val="nil"/>
            </w:tcBorders>
          </w:tcPr>
          <w:p w:rsidR="00E12526" w:rsidRPr="00841D2D" w:rsidRDefault="00E12526" w:rsidP="00841D2D">
            <w:pPr>
              <w:spacing w:line="360" w:lineRule="auto"/>
              <w:jc w:val="both"/>
              <w:rPr>
                <w:rFonts w:ascii="Book Antiqua" w:hAnsi="Book Antiqua"/>
                <w:b/>
                <w:sz w:val="24"/>
                <w:szCs w:val="24"/>
                <w:lang w:val="en-US"/>
              </w:rPr>
            </w:pPr>
          </w:p>
        </w:tc>
        <w:tc>
          <w:tcPr>
            <w:tcW w:w="4478" w:type="dxa"/>
            <w:gridSpan w:val="2"/>
            <w:tcBorders>
              <w:top w:val="single" w:sz="4" w:space="0" w:color="auto"/>
              <w:left w:val="nil"/>
              <w:bottom w:val="single" w:sz="4" w:space="0" w:color="auto"/>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 xml:space="preserve">Recommended </w:t>
            </w:r>
            <w:r w:rsidR="003A0D5B" w:rsidRPr="00841D2D">
              <w:rPr>
                <w:rFonts w:ascii="Book Antiqua" w:hAnsi="Book Antiqua"/>
                <w:b/>
                <w:sz w:val="24"/>
                <w:szCs w:val="24"/>
                <w:lang w:val="en-US"/>
              </w:rPr>
              <w:t>d</w:t>
            </w:r>
            <w:r w:rsidRPr="00841D2D">
              <w:rPr>
                <w:rFonts w:ascii="Book Antiqua" w:hAnsi="Book Antiqua"/>
                <w:b/>
                <w:sz w:val="24"/>
                <w:szCs w:val="24"/>
                <w:lang w:val="en-US"/>
              </w:rPr>
              <w:t>osage</w:t>
            </w:r>
          </w:p>
        </w:tc>
        <w:tc>
          <w:tcPr>
            <w:tcW w:w="2888" w:type="dxa"/>
            <w:tcBorders>
              <w:top w:val="single" w:sz="4" w:space="0" w:color="auto"/>
              <w:left w:val="nil"/>
              <w:bottom w:val="single" w:sz="4" w:space="0" w:color="auto"/>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 xml:space="preserve">Dosage </w:t>
            </w:r>
            <w:r w:rsidR="003A0D5B" w:rsidRPr="00841D2D">
              <w:rPr>
                <w:rFonts w:ascii="Book Antiqua" w:hAnsi="Book Antiqua"/>
                <w:b/>
                <w:sz w:val="24"/>
                <w:szCs w:val="24"/>
                <w:lang w:val="en-US"/>
              </w:rPr>
              <w:t>f</w:t>
            </w:r>
            <w:r w:rsidRPr="00841D2D">
              <w:rPr>
                <w:rFonts w:ascii="Book Antiqua" w:hAnsi="Book Antiqua"/>
                <w:b/>
                <w:sz w:val="24"/>
                <w:szCs w:val="24"/>
                <w:lang w:val="en-US"/>
              </w:rPr>
              <w:t>orms</w:t>
            </w:r>
          </w:p>
        </w:tc>
      </w:tr>
      <w:tr w:rsidR="00E12526" w:rsidRPr="00841D2D" w:rsidTr="003A0D5B">
        <w:tc>
          <w:tcPr>
            <w:tcW w:w="1688" w:type="dxa"/>
            <w:tcBorders>
              <w:top w:val="single" w:sz="4" w:space="0" w:color="auto"/>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Creatinine Clearance</w:t>
            </w:r>
          </w:p>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(mL/min)</w:t>
            </w:r>
          </w:p>
        </w:tc>
        <w:tc>
          <w:tcPr>
            <w:tcW w:w="4478" w:type="dxa"/>
            <w:gridSpan w:val="2"/>
            <w:tcBorders>
              <w:top w:val="single" w:sz="4" w:space="0" w:color="auto"/>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Lamivudine</w:t>
            </w:r>
            <w:r w:rsidRPr="00841D2D">
              <w:rPr>
                <w:rFonts w:ascii="Book Antiqua" w:hAnsi="Book Antiqua"/>
                <w:b/>
                <w:sz w:val="24"/>
                <w:szCs w:val="24"/>
                <w:vertAlign w:val="superscript"/>
                <w:lang w:val="en-US"/>
              </w:rPr>
              <w:t>[25]</w:t>
            </w:r>
          </w:p>
        </w:tc>
        <w:tc>
          <w:tcPr>
            <w:tcW w:w="2888" w:type="dxa"/>
            <w:tcBorders>
              <w:top w:val="single" w:sz="4" w:space="0" w:color="auto"/>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Lamivudine</w:t>
            </w:r>
            <w:r w:rsidRPr="00841D2D">
              <w:rPr>
                <w:rFonts w:ascii="Book Antiqua" w:hAnsi="Book Antiqua"/>
                <w:b/>
                <w:sz w:val="24"/>
                <w:szCs w:val="24"/>
                <w:vertAlign w:val="superscript"/>
                <w:lang w:val="en-US"/>
              </w:rPr>
              <w:t>[25]</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&gt;</w:t>
            </w:r>
            <w:r w:rsidR="003A0D5B">
              <w:rPr>
                <w:rFonts w:ascii="Book Antiqua" w:eastAsiaTheme="minorEastAsia" w:hAnsi="Book Antiqua" w:hint="eastAsia"/>
                <w:color w:val="000000"/>
                <w:kern w:val="24"/>
                <w:lang w:val="en-US" w:eastAsia="zh-CN"/>
              </w:rPr>
              <w:t xml:space="preserve"> </w:t>
            </w:r>
            <w:r w:rsidRPr="00841D2D">
              <w:rPr>
                <w:rFonts w:ascii="Book Antiqua" w:eastAsia="Calibri" w:hAnsi="Book Antiqua"/>
                <w:color w:val="000000"/>
                <w:kern w:val="24"/>
                <w:lang w:val="en-US"/>
              </w:rPr>
              <w:t>50</w:t>
            </w:r>
          </w:p>
        </w:tc>
        <w:tc>
          <w:tcPr>
            <w:tcW w:w="4478" w:type="dxa"/>
            <w:gridSpan w:val="2"/>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cs="Times New Roman"/>
                <w:sz w:val="24"/>
                <w:szCs w:val="24"/>
                <w:lang w:val="en-US"/>
              </w:rPr>
              <w:t>100 mg once daily</w:t>
            </w:r>
          </w:p>
        </w:tc>
        <w:tc>
          <w:tcPr>
            <w:tcW w:w="2888" w:type="dxa"/>
            <w:vMerge w:val="restart"/>
            <w:tcBorders>
              <w:top w:val="nil"/>
              <w:left w:val="nil"/>
              <w:bottom w:val="nil"/>
              <w:right w:val="nil"/>
            </w:tcBorders>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 xml:space="preserve">Tablets: 100 mg, </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Oral solution: 10 mg/mL</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30-49</w:t>
            </w:r>
          </w:p>
        </w:tc>
        <w:tc>
          <w:tcPr>
            <w:tcW w:w="4478" w:type="dxa"/>
            <w:gridSpan w:val="2"/>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cs="Times New Roman"/>
                <w:sz w:val="24"/>
                <w:szCs w:val="24"/>
                <w:lang w:val="en-US"/>
              </w:rPr>
              <w:t>100 mg first dose, then 50 mg once daily</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hAnsi="Book Antiqua" w:cs="Times New Roman"/>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15-29</w:t>
            </w:r>
          </w:p>
        </w:tc>
        <w:tc>
          <w:tcPr>
            <w:tcW w:w="4478" w:type="dxa"/>
            <w:gridSpan w:val="2"/>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cs="Times New Roman"/>
                <w:sz w:val="24"/>
                <w:szCs w:val="24"/>
                <w:lang w:val="en-US"/>
              </w:rPr>
              <w:t>100 mg first dose, then 25 mg once daily</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hAnsi="Book Antiqua" w:cs="Times New Roman"/>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5-14</w:t>
            </w:r>
          </w:p>
        </w:tc>
        <w:tc>
          <w:tcPr>
            <w:tcW w:w="4478" w:type="dxa"/>
            <w:gridSpan w:val="2"/>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cs="Times New Roman"/>
                <w:sz w:val="24"/>
                <w:szCs w:val="24"/>
                <w:lang w:val="en-US"/>
              </w:rPr>
              <w:t>35 mg first dose, then 15 mg once daily</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hAnsi="Book Antiqua" w:cs="Times New Roman"/>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&lt;</w:t>
            </w:r>
            <w:r w:rsidR="003A0D5B">
              <w:rPr>
                <w:rFonts w:ascii="Book Antiqua" w:eastAsiaTheme="minorEastAsia" w:hAnsi="Book Antiqua" w:hint="eastAsia"/>
                <w:color w:val="000000"/>
                <w:kern w:val="24"/>
                <w:lang w:val="en-US" w:eastAsia="zh-CN"/>
              </w:rPr>
              <w:t xml:space="preserve"> </w:t>
            </w:r>
            <w:r w:rsidRPr="00841D2D">
              <w:rPr>
                <w:rFonts w:ascii="Book Antiqua" w:eastAsia="Calibri" w:hAnsi="Book Antiqua"/>
                <w:color w:val="000000"/>
                <w:kern w:val="24"/>
                <w:lang w:val="en-US"/>
              </w:rPr>
              <w:t xml:space="preserve">5 </w:t>
            </w:r>
          </w:p>
        </w:tc>
        <w:tc>
          <w:tcPr>
            <w:tcW w:w="4478" w:type="dxa"/>
            <w:gridSpan w:val="2"/>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cs="Times New Roman"/>
                <w:sz w:val="24"/>
                <w:szCs w:val="24"/>
                <w:lang w:val="en-US"/>
              </w:rPr>
              <w:t>35 mg first dose, then 10 mg once daily</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hAnsi="Book Antiqua" w:cs="Times New Roman"/>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p>
        </w:tc>
        <w:tc>
          <w:tcPr>
            <w:tcW w:w="4478" w:type="dxa"/>
            <w:gridSpan w:val="2"/>
            <w:tcBorders>
              <w:top w:val="nil"/>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Adefovir</w:t>
            </w:r>
            <w:r w:rsidRPr="00841D2D">
              <w:rPr>
                <w:rFonts w:ascii="Book Antiqua" w:hAnsi="Book Antiqua"/>
                <w:b/>
                <w:sz w:val="24"/>
                <w:szCs w:val="24"/>
                <w:vertAlign w:val="superscript"/>
                <w:lang w:val="en-US"/>
              </w:rPr>
              <w:t>[26]</w:t>
            </w:r>
          </w:p>
        </w:tc>
        <w:tc>
          <w:tcPr>
            <w:tcW w:w="2888" w:type="dxa"/>
            <w:tcBorders>
              <w:top w:val="nil"/>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Adefovir</w:t>
            </w:r>
            <w:r w:rsidRPr="00841D2D">
              <w:rPr>
                <w:rFonts w:ascii="Book Antiqua" w:hAnsi="Book Antiqua"/>
                <w:b/>
                <w:sz w:val="24"/>
                <w:szCs w:val="24"/>
                <w:vertAlign w:val="superscript"/>
                <w:lang w:val="en-US"/>
              </w:rPr>
              <w:t>[26]</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&gt;</w:t>
            </w:r>
            <w:r w:rsidR="003A0D5B">
              <w:rPr>
                <w:rFonts w:ascii="Book Antiqua" w:eastAsiaTheme="minorEastAsia" w:hAnsi="Book Antiqua" w:hint="eastAsia"/>
                <w:color w:val="000000"/>
                <w:kern w:val="24"/>
                <w:lang w:val="en-US" w:eastAsia="zh-CN"/>
              </w:rPr>
              <w:t xml:space="preserve"> </w:t>
            </w:r>
            <w:r w:rsidRPr="00841D2D">
              <w:rPr>
                <w:rFonts w:ascii="Book Antiqua" w:eastAsia="Calibri" w:hAnsi="Book Antiqua"/>
                <w:color w:val="000000"/>
                <w:kern w:val="24"/>
                <w:lang w:val="en-US"/>
              </w:rPr>
              <w:t>50</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10 mg every 24 h</w:t>
            </w:r>
          </w:p>
        </w:tc>
        <w:tc>
          <w:tcPr>
            <w:tcW w:w="2888" w:type="dxa"/>
            <w:vMerge w:val="restart"/>
            <w:tcBorders>
              <w:top w:val="nil"/>
              <w:left w:val="nil"/>
              <w:bottom w:val="nil"/>
              <w:right w:val="nil"/>
            </w:tcBorders>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 xml:space="preserve">Tablets: 10 mg, </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Oral solution: not available</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30-49</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10 mg every 48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10-29</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10 mg every 72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Hemodialysis</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 xml:space="preserve">10 mg </w:t>
            </w:r>
            <w:r w:rsidRPr="00841D2D">
              <w:rPr>
                <w:rFonts w:ascii="Book Antiqua" w:hAnsi="Book Antiqua"/>
                <w:sz w:val="24"/>
                <w:szCs w:val="24"/>
                <w:lang w:val="en-US"/>
              </w:rPr>
              <w:t xml:space="preserve">every 7 d following dialysis </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p>
        </w:tc>
        <w:tc>
          <w:tcPr>
            <w:tcW w:w="4478" w:type="dxa"/>
            <w:gridSpan w:val="2"/>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b/>
                <w:sz w:val="24"/>
                <w:szCs w:val="24"/>
                <w:lang w:val="en-US"/>
              </w:rPr>
              <w:t>Telbivudine</w:t>
            </w:r>
            <w:r w:rsidRPr="00841D2D">
              <w:rPr>
                <w:rFonts w:ascii="Book Antiqua" w:hAnsi="Book Antiqua"/>
                <w:b/>
                <w:sz w:val="24"/>
                <w:szCs w:val="24"/>
                <w:vertAlign w:val="superscript"/>
                <w:lang w:val="en-US"/>
              </w:rPr>
              <w:t>[27]</w:t>
            </w:r>
          </w:p>
        </w:tc>
        <w:tc>
          <w:tcPr>
            <w:tcW w:w="2888" w:type="dxa"/>
            <w:tcBorders>
              <w:top w:val="nil"/>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Telbivudine</w:t>
            </w:r>
            <w:r w:rsidRPr="00841D2D">
              <w:rPr>
                <w:rFonts w:ascii="Book Antiqua" w:hAnsi="Book Antiqua"/>
                <w:b/>
                <w:sz w:val="24"/>
                <w:szCs w:val="24"/>
                <w:vertAlign w:val="superscript"/>
                <w:lang w:val="en-US"/>
              </w:rPr>
              <w:t>[27]</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&gt;</w:t>
            </w:r>
            <w:r w:rsidR="003A0D5B">
              <w:rPr>
                <w:rFonts w:ascii="Book Antiqua" w:eastAsiaTheme="minorEastAsia" w:hAnsi="Book Antiqua" w:hint="eastAsia"/>
                <w:color w:val="000000"/>
                <w:kern w:val="24"/>
                <w:lang w:val="en-US" w:eastAsia="zh-CN"/>
              </w:rPr>
              <w:t xml:space="preserve"> </w:t>
            </w:r>
            <w:r w:rsidRPr="00841D2D">
              <w:rPr>
                <w:rFonts w:ascii="Book Antiqua" w:eastAsia="Calibri" w:hAnsi="Book Antiqua"/>
                <w:color w:val="000000"/>
                <w:kern w:val="24"/>
                <w:lang w:val="en-US"/>
              </w:rPr>
              <w:t>50</w:t>
            </w:r>
          </w:p>
        </w:tc>
        <w:tc>
          <w:tcPr>
            <w:tcW w:w="4478" w:type="dxa"/>
            <w:gridSpan w:val="2"/>
            <w:tcBorders>
              <w:top w:val="nil"/>
              <w:left w:val="nil"/>
              <w:bottom w:val="nil"/>
              <w:right w:val="nil"/>
            </w:tcBorders>
          </w:tcPr>
          <w:p w:rsidR="00E12526" w:rsidRPr="00841D2D" w:rsidRDefault="00E12526" w:rsidP="00FF104C">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600 mg every 24 h</w:t>
            </w:r>
          </w:p>
        </w:tc>
        <w:tc>
          <w:tcPr>
            <w:tcW w:w="2888" w:type="dxa"/>
            <w:vMerge w:val="restart"/>
            <w:tcBorders>
              <w:top w:val="nil"/>
              <w:left w:val="nil"/>
              <w:bottom w:val="nil"/>
              <w:right w:val="nil"/>
            </w:tcBorders>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 xml:space="preserve">Tablets: 600 mg, </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Oral solution: 100</w:t>
            </w:r>
            <w:r w:rsidR="003A0D5B">
              <w:rPr>
                <w:rFonts w:ascii="Book Antiqua" w:hAnsi="Book Antiqua" w:cs="Times New Roman" w:hint="eastAsia"/>
                <w:sz w:val="24"/>
                <w:szCs w:val="24"/>
                <w:lang w:val="en-US" w:eastAsia="zh-CN"/>
              </w:rPr>
              <w:t xml:space="preserve"> </w:t>
            </w:r>
            <w:r w:rsidRPr="00841D2D">
              <w:rPr>
                <w:rFonts w:ascii="Book Antiqua" w:hAnsi="Book Antiqua" w:cs="Times New Roman"/>
                <w:sz w:val="24"/>
                <w:szCs w:val="24"/>
                <w:lang w:val="en-US"/>
              </w:rPr>
              <w:t>mg/5m</w:t>
            </w:r>
            <w:r w:rsidR="003A0D5B" w:rsidRPr="00841D2D">
              <w:rPr>
                <w:rFonts w:ascii="Book Antiqua" w:hAnsi="Book Antiqua" w:cs="Times New Roman"/>
                <w:sz w:val="24"/>
                <w:szCs w:val="24"/>
                <w:lang w:val="en-US"/>
              </w:rPr>
              <w:t>L</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30-49</w:t>
            </w:r>
          </w:p>
        </w:tc>
        <w:tc>
          <w:tcPr>
            <w:tcW w:w="4478" w:type="dxa"/>
            <w:gridSpan w:val="2"/>
            <w:tcBorders>
              <w:top w:val="nil"/>
              <w:left w:val="nil"/>
              <w:bottom w:val="nil"/>
              <w:right w:val="nil"/>
            </w:tcBorders>
          </w:tcPr>
          <w:p w:rsidR="00E12526" w:rsidRPr="00841D2D" w:rsidRDefault="00E12526" w:rsidP="00FF104C">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600 mg every 48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10-29</w:t>
            </w:r>
          </w:p>
        </w:tc>
        <w:tc>
          <w:tcPr>
            <w:tcW w:w="4478" w:type="dxa"/>
            <w:gridSpan w:val="2"/>
            <w:tcBorders>
              <w:top w:val="nil"/>
              <w:left w:val="nil"/>
              <w:bottom w:val="nil"/>
              <w:right w:val="nil"/>
            </w:tcBorders>
          </w:tcPr>
          <w:p w:rsidR="00E12526" w:rsidRPr="00841D2D" w:rsidRDefault="00E12526" w:rsidP="00FF104C">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600 mg every 72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Hemodialysis</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 xml:space="preserve">600 mg </w:t>
            </w:r>
            <w:r w:rsidRPr="00841D2D">
              <w:rPr>
                <w:rFonts w:ascii="Book Antiqua" w:hAnsi="Book Antiqua"/>
                <w:sz w:val="24"/>
                <w:szCs w:val="24"/>
                <w:lang w:val="en-US"/>
              </w:rPr>
              <w:t xml:space="preserve">every 96 h following dialysis </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p>
        </w:tc>
        <w:tc>
          <w:tcPr>
            <w:tcW w:w="2077" w:type="dxa"/>
            <w:tcBorders>
              <w:top w:val="nil"/>
              <w:left w:val="nil"/>
              <w:bottom w:val="nil"/>
              <w:right w:val="nil"/>
            </w:tcBorders>
          </w:tcPr>
          <w:p w:rsidR="00E12526" w:rsidRPr="00841D2D" w:rsidRDefault="003A0D5B" w:rsidP="00841D2D">
            <w:pPr>
              <w:spacing w:line="360" w:lineRule="auto"/>
              <w:jc w:val="both"/>
              <w:rPr>
                <w:rFonts w:ascii="Book Antiqua" w:hAnsi="Book Antiqua"/>
                <w:b/>
                <w:sz w:val="24"/>
                <w:szCs w:val="24"/>
                <w:lang w:val="en-US"/>
              </w:rPr>
            </w:pPr>
            <w:r>
              <w:rPr>
                <w:rFonts w:ascii="Book Antiqua" w:hAnsi="Book Antiqua"/>
                <w:b/>
                <w:sz w:val="24"/>
                <w:szCs w:val="24"/>
                <w:lang w:val="en-US"/>
              </w:rPr>
              <w:t>Entecavir</w:t>
            </w:r>
            <w:r w:rsidR="00E12526" w:rsidRPr="00841D2D">
              <w:rPr>
                <w:rFonts w:ascii="Book Antiqua" w:hAnsi="Book Antiqua"/>
                <w:b/>
                <w:sz w:val="24"/>
                <w:szCs w:val="24"/>
                <w:vertAlign w:val="superscript"/>
                <w:lang w:val="en-US"/>
              </w:rPr>
              <w:t>[28]</w:t>
            </w:r>
          </w:p>
        </w:tc>
        <w:tc>
          <w:tcPr>
            <w:tcW w:w="2401" w:type="dxa"/>
            <w:tcBorders>
              <w:top w:val="nil"/>
              <w:left w:val="nil"/>
              <w:bottom w:val="nil"/>
              <w:right w:val="nil"/>
            </w:tcBorders>
          </w:tcPr>
          <w:p w:rsidR="00E12526" w:rsidRPr="00841D2D" w:rsidRDefault="00E12526" w:rsidP="00841D2D">
            <w:pPr>
              <w:spacing w:line="360" w:lineRule="auto"/>
              <w:jc w:val="both"/>
              <w:rPr>
                <w:rFonts w:ascii="Book Antiqua" w:hAnsi="Book Antiqua"/>
                <w:b/>
                <w:sz w:val="24"/>
                <w:szCs w:val="24"/>
                <w:lang w:val="en-US"/>
              </w:rPr>
            </w:pPr>
            <w:r w:rsidRPr="00841D2D">
              <w:rPr>
                <w:rFonts w:ascii="Book Antiqua" w:hAnsi="Book Antiqua"/>
                <w:b/>
                <w:sz w:val="24"/>
                <w:szCs w:val="24"/>
                <w:lang w:val="en-US"/>
              </w:rPr>
              <w:t>Entecavir in Lamivudine-Refractory</w:t>
            </w:r>
            <w:r w:rsidRPr="00841D2D">
              <w:rPr>
                <w:rFonts w:ascii="Book Antiqua" w:hAnsi="Book Antiqua"/>
                <w:b/>
                <w:sz w:val="24"/>
                <w:szCs w:val="24"/>
                <w:vertAlign w:val="superscript"/>
                <w:lang w:val="en-US"/>
              </w:rPr>
              <w:t>[28]</w:t>
            </w:r>
          </w:p>
        </w:tc>
        <w:tc>
          <w:tcPr>
            <w:tcW w:w="2888" w:type="dxa"/>
            <w:tcBorders>
              <w:top w:val="nil"/>
              <w:left w:val="nil"/>
              <w:bottom w:val="nil"/>
              <w:right w:val="nil"/>
            </w:tcBorders>
          </w:tcPr>
          <w:p w:rsidR="00E12526" w:rsidRPr="00841D2D" w:rsidRDefault="003A0D5B" w:rsidP="00841D2D">
            <w:pPr>
              <w:spacing w:line="360" w:lineRule="auto"/>
              <w:jc w:val="both"/>
              <w:rPr>
                <w:rFonts w:ascii="Book Antiqua" w:hAnsi="Book Antiqua"/>
                <w:b/>
                <w:sz w:val="24"/>
                <w:szCs w:val="24"/>
                <w:lang w:val="en-US"/>
              </w:rPr>
            </w:pPr>
            <w:r>
              <w:rPr>
                <w:rFonts w:ascii="Book Antiqua" w:hAnsi="Book Antiqua"/>
                <w:b/>
                <w:sz w:val="24"/>
                <w:szCs w:val="24"/>
                <w:lang w:val="en-US"/>
              </w:rPr>
              <w:t>Entecavir</w:t>
            </w:r>
            <w:r w:rsidR="00E12526" w:rsidRPr="00841D2D">
              <w:rPr>
                <w:rFonts w:ascii="Book Antiqua" w:hAnsi="Book Antiqua"/>
                <w:b/>
                <w:sz w:val="24"/>
                <w:szCs w:val="24"/>
                <w:vertAlign w:val="superscript"/>
                <w:lang w:val="en-US"/>
              </w:rPr>
              <w:t>[28]</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&gt;</w:t>
            </w:r>
            <w:r w:rsidR="003A0D5B">
              <w:rPr>
                <w:rFonts w:ascii="Book Antiqua" w:eastAsiaTheme="minorEastAsia" w:hAnsi="Book Antiqua" w:hint="eastAsia"/>
                <w:color w:val="000000"/>
                <w:kern w:val="24"/>
                <w:lang w:val="en-US" w:eastAsia="zh-CN"/>
              </w:rPr>
              <w:t xml:space="preserve"> </w:t>
            </w:r>
            <w:r w:rsidRPr="00841D2D">
              <w:rPr>
                <w:rFonts w:ascii="Book Antiqua" w:eastAsia="Calibri" w:hAnsi="Book Antiqua"/>
                <w:color w:val="000000"/>
                <w:kern w:val="24"/>
                <w:lang w:val="en-US"/>
              </w:rPr>
              <w:t>50</w:t>
            </w:r>
          </w:p>
        </w:tc>
        <w:tc>
          <w:tcPr>
            <w:tcW w:w="2077"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 xml:space="preserve">0.5 mg once daily </w:t>
            </w:r>
          </w:p>
        </w:tc>
        <w:tc>
          <w:tcPr>
            <w:tcW w:w="2401"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1 mg once daily</w:t>
            </w:r>
          </w:p>
        </w:tc>
        <w:tc>
          <w:tcPr>
            <w:tcW w:w="2888" w:type="dxa"/>
            <w:vMerge w:val="restart"/>
            <w:tcBorders>
              <w:top w:val="nil"/>
              <w:left w:val="nil"/>
              <w:bottom w:val="nil"/>
              <w:right w:val="nil"/>
            </w:tcBorders>
          </w:tcPr>
          <w:p w:rsidR="00E12526" w:rsidRPr="00841D2D" w:rsidRDefault="00E12526" w:rsidP="00841D2D">
            <w:pPr>
              <w:autoSpaceDE w:val="0"/>
              <w:autoSpaceDN w:val="0"/>
              <w:adjustRightInd w:val="0"/>
              <w:spacing w:line="360" w:lineRule="auto"/>
              <w:jc w:val="both"/>
              <w:rPr>
                <w:rFonts w:ascii="Book Antiqua" w:eastAsia="Calibri" w:hAnsi="Book Antiqua"/>
                <w:color w:val="000000"/>
                <w:kern w:val="24"/>
                <w:sz w:val="24"/>
                <w:szCs w:val="24"/>
                <w:lang w:val="en-US"/>
              </w:rPr>
            </w:pPr>
            <w:r w:rsidRPr="00841D2D">
              <w:rPr>
                <w:rFonts w:ascii="Book Antiqua" w:hAnsi="Book Antiqua" w:cs="Times New Roman"/>
                <w:sz w:val="24"/>
                <w:szCs w:val="24"/>
                <w:lang w:val="en-US"/>
              </w:rPr>
              <w:t>Tablets: 0.5 mg and 1 mg, Oral solution: 0.05 mg/mL</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30-49</w:t>
            </w:r>
          </w:p>
        </w:tc>
        <w:tc>
          <w:tcPr>
            <w:tcW w:w="2077"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sz w:val="24"/>
                <w:szCs w:val="24"/>
                <w:lang w:val="en-US"/>
              </w:rPr>
              <w:t>0.25 mg once daily OR</w:t>
            </w:r>
          </w:p>
          <w:p w:rsidR="00E12526" w:rsidRPr="00841D2D" w:rsidRDefault="00E12526" w:rsidP="003A0D5B">
            <w:pPr>
              <w:spacing w:line="360" w:lineRule="auto"/>
              <w:jc w:val="both"/>
              <w:rPr>
                <w:rFonts w:ascii="Book Antiqua" w:hAnsi="Book Antiqua"/>
                <w:sz w:val="24"/>
                <w:szCs w:val="24"/>
                <w:lang w:val="en-US"/>
              </w:rPr>
            </w:pPr>
            <w:r w:rsidRPr="00841D2D">
              <w:rPr>
                <w:rFonts w:ascii="Book Antiqua" w:hAnsi="Book Antiqua"/>
                <w:sz w:val="24"/>
                <w:szCs w:val="24"/>
                <w:lang w:val="en-US"/>
              </w:rPr>
              <w:t>0.5 mg every 48 h</w:t>
            </w:r>
          </w:p>
        </w:tc>
        <w:tc>
          <w:tcPr>
            <w:tcW w:w="2401"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sz w:val="24"/>
                <w:szCs w:val="24"/>
                <w:lang w:val="en-US"/>
              </w:rPr>
              <w:t>0.5 mg once daily OR</w:t>
            </w:r>
          </w:p>
          <w:p w:rsidR="00E12526" w:rsidRPr="00841D2D" w:rsidRDefault="00E12526" w:rsidP="003A0D5B">
            <w:pPr>
              <w:spacing w:line="360" w:lineRule="auto"/>
              <w:jc w:val="both"/>
              <w:rPr>
                <w:rFonts w:ascii="Book Antiqua" w:hAnsi="Book Antiqua"/>
                <w:sz w:val="24"/>
                <w:szCs w:val="24"/>
                <w:lang w:val="en-US"/>
              </w:rPr>
            </w:pPr>
            <w:r w:rsidRPr="00841D2D">
              <w:rPr>
                <w:rFonts w:ascii="Book Antiqua" w:hAnsi="Book Antiqua"/>
                <w:sz w:val="24"/>
                <w:szCs w:val="24"/>
                <w:lang w:val="en-US"/>
              </w:rPr>
              <w:t>1 mg every 48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10-29</w:t>
            </w:r>
          </w:p>
        </w:tc>
        <w:tc>
          <w:tcPr>
            <w:tcW w:w="2077"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sz w:val="24"/>
                <w:szCs w:val="24"/>
                <w:lang w:val="en-US"/>
              </w:rPr>
              <w:t>0.15 mg once daily OR</w:t>
            </w:r>
          </w:p>
          <w:p w:rsidR="00E12526" w:rsidRPr="00841D2D" w:rsidRDefault="00E12526" w:rsidP="003A0D5B">
            <w:pPr>
              <w:spacing w:line="360" w:lineRule="auto"/>
              <w:jc w:val="both"/>
              <w:rPr>
                <w:rFonts w:ascii="Book Antiqua" w:hAnsi="Book Antiqua" w:cs="Arial"/>
                <w:sz w:val="24"/>
                <w:szCs w:val="24"/>
                <w:lang w:val="en-US"/>
              </w:rPr>
            </w:pPr>
            <w:r w:rsidRPr="00841D2D">
              <w:rPr>
                <w:rFonts w:ascii="Book Antiqua" w:hAnsi="Book Antiqua"/>
                <w:sz w:val="24"/>
                <w:szCs w:val="24"/>
                <w:lang w:val="en-US"/>
              </w:rPr>
              <w:t>0.5 mg every 72 h</w:t>
            </w:r>
          </w:p>
        </w:tc>
        <w:tc>
          <w:tcPr>
            <w:tcW w:w="2401"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sz w:val="24"/>
                <w:szCs w:val="24"/>
                <w:lang w:val="en-US"/>
              </w:rPr>
              <w:t>0.3 mg once daily OR</w:t>
            </w:r>
          </w:p>
          <w:p w:rsidR="00E12526" w:rsidRPr="00841D2D" w:rsidRDefault="00E12526" w:rsidP="003A0D5B">
            <w:pPr>
              <w:spacing w:line="360" w:lineRule="auto"/>
              <w:jc w:val="both"/>
              <w:rPr>
                <w:rFonts w:ascii="Book Antiqua" w:hAnsi="Book Antiqua"/>
                <w:sz w:val="24"/>
                <w:szCs w:val="24"/>
                <w:lang w:val="en-US"/>
              </w:rPr>
            </w:pPr>
            <w:r w:rsidRPr="00841D2D">
              <w:rPr>
                <w:rFonts w:ascii="Book Antiqua" w:hAnsi="Book Antiqua"/>
                <w:sz w:val="24"/>
                <w:szCs w:val="24"/>
                <w:lang w:val="en-US"/>
              </w:rPr>
              <w:t>1 mg every 72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Hemodialysis</w:t>
            </w:r>
          </w:p>
        </w:tc>
        <w:tc>
          <w:tcPr>
            <w:tcW w:w="2077"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sz w:val="24"/>
                <w:szCs w:val="24"/>
                <w:lang w:val="en-US"/>
              </w:rPr>
              <w:t xml:space="preserve">0.05 mg once daily OR </w:t>
            </w:r>
          </w:p>
          <w:p w:rsidR="00E12526" w:rsidRPr="00841D2D" w:rsidRDefault="00E12526" w:rsidP="003A0D5B">
            <w:pPr>
              <w:spacing w:line="360" w:lineRule="auto"/>
              <w:jc w:val="both"/>
              <w:rPr>
                <w:rFonts w:ascii="Book Antiqua" w:hAnsi="Book Antiqua"/>
                <w:sz w:val="24"/>
                <w:szCs w:val="24"/>
                <w:lang w:val="en-US"/>
              </w:rPr>
            </w:pPr>
            <w:r w:rsidRPr="00841D2D">
              <w:rPr>
                <w:rFonts w:ascii="Book Antiqua" w:hAnsi="Book Antiqua"/>
                <w:sz w:val="24"/>
                <w:szCs w:val="24"/>
                <w:lang w:val="en-US"/>
              </w:rPr>
              <w:t>0.5 mg every 7 d following dialysis</w:t>
            </w:r>
          </w:p>
        </w:tc>
        <w:tc>
          <w:tcPr>
            <w:tcW w:w="2401"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r w:rsidRPr="00841D2D">
              <w:rPr>
                <w:rFonts w:ascii="Book Antiqua" w:hAnsi="Book Antiqua"/>
                <w:sz w:val="24"/>
                <w:szCs w:val="24"/>
                <w:lang w:val="en-US"/>
              </w:rPr>
              <w:t xml:space="preserve">0.1 mg once daily OR </w:t>
            </w:r>
          </w:p>
          <w:p w:rsidR="00E12526" w:rsidRPr="00841D2D" w:rsidRDefault="00E12526" w:rsidP="003A0D5B">
            <w:pPr>
              <w:spacing w:line="360" w:lineRule="auto"/>
              <w:jc w:val="both"/>
              <w:rPr>
                <w:rFonts w:ascii="Book Antiqua" w:hAnsi="Book Antiqua"/>
                <w:sz w:val="24"/>
                <w:szCs w:val="24"/>
                <w:lang w:val="en-US"/>
              </w:rPr>
            </w:pPr>
            <w:r w:rsidRPr="00841D2D">
              <w:rPr>
                <w:rFonts w:ascii="Book Antiqua" w:hAnsi="Book Antiqua"/>
                <w:sz w:val="24"/>
                <w:szCs w:val="24"/>
                <w:lang w:val="en-US"/>
              </w:rPr>
              <w:t>1 mg every 7 dfollowing dialysis</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spacing w:line="360" w:lineRule="auto"/>
              <w:jc w:val="both"/>
              <w:rPr>
                <w:rFonts w:ascii="Book Antiqua" w:hAnsi="Book Antiqua"/>
                <w:sz w:val="24"/>
                <w:szCs w:val="24"/>
                <w:lang w:val="en-US"/>
              </w:rPr>
            </w:pPr>
          </w:p>
        </w:tc>
        <w:tc>
          <w:tcPr>
            <w:tcW w:w="4478" w:type="dxa"/>
            <w:gridSpan w:val="2"/>
            <w:tcBorders>
              <w:top w:val="nil"/>
              <w:left w:val="nil"/>
              <w:bottom w:val="nil"/>
              <w:right w:val="nil"/>
            </w:tcBorders>
          </w:tcPr>
          <w:p w:rsidR="00E12526" w:rsidRPr="00841D2D" w:rsidRDefault="003A0D5B" w:rsidP="00841D2D">
            <w:pPr>
              <w:spacing w:line="360" w:lineRule="auto"/>
              <w:jc w:val="both"/>
              <w:rPr>
                <w:rFonts w:ascii="Book Antiqua" w:hAnsi="Book Antiqua"/>
                <w:sz w:val="24"/>
                <w:szCs w:val="24"/>
                <w:lang w:val="en-US"/>
              </w:rPr>
            </w:pPr>
            <w:r>
              <w:rPr>
                <w:rFonts w:ascii="Book Antiqua" w:hAnsi="Book Antiqua"/>
                <w:b/>
                <w:sz w:val="24"/>
                <w:szCs w:val="24"/>
                <w:lang w:val="en-US"/>
              </w:rPr>
              <w:t>Tenofovir</w:t>
            </w:r>
            <w:r w:rsidR="00E12526" w:rsidRPr="00841D2D">
              <w:rPr>
                <w:rFonts w:ascii="Book Antiqua" w:hAnsi="Book Antiqua"/>
                <w:b/>
                <w:sz w:val="24"/>
                <w:szCs w:val="24"/>
                <w:vertAlign w:val="superscript"/>
                <w:lang w:val="en-US"/>
              </w:rPr>
              <w:t>[29]</w:t>
            </w:r>
          </w:p>
        </w:tc>
        <w:tc>
          <w:tcPr>
            <w:tcW w:w="2888" w:type="dxa"/>
            <w:tcBorders>
              <w:top w:val="nil"/>
              <w:left w:val="nil"/>
              <w:bottom w:val="nil"/>
              <w:right w:val="nil"/>
            </w:tcBorders>
          </w:tcPr>
          <w:p w:rsidR="00E12526" w:rsidRPr="00841D2D" w:rsidRDefault="003A0D5B" w:rsidP="00841D2D">
            <w:pPr>
              <w:spacing w:line="360" w:lineRule="auto"/>
              <w:jc w:val="both"/>
              <w:rPr>
                <w:rFonts w:ascii="Book Antiqua" w:hAnsi="Book Antiqua"/>
                <w:sz w:val="24"/>
                <w:szCs w:val="24"/>
                <w:lang w:val="en-US"/>
              </w:rPr>
            </w:pPr>
            <w:r>
              <w:rPr>
                <w:rFonts w:ascii="Book Antiqua" w:hAnsi="Book Antiqua"/>
                <w:b/>
                <w:sz w:val="24"/>
                <w:szCs w:val="24"/>
                <w:lang w:val="en-US"/>
              </w:rPr>
              <w:t>Tenofovir</w:t>
            </w:r>
            <w:r w:rsidR="00E12526" w:rsidRPr="00841D2D">
              <w:rPr>
                <w:rFonts w:ascii="Book Antiqua" w:hAnsi="Book Antiqua"/>
                <w:b/>
                <w:sz w:val="24"/>
                <w:szCs w:val="24"/>
                <w:vertAlign w:val="superscript"/>
                <w:lang w:val="en-US"/>
              </w:rPr>
              <w:t>[29]</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&gt;</w:t>
            </w:r>
            <w:r w:rsidR="003A0D5B">
              <w:rPr>
                <w:rFonts w:ascii="Book Antiqua" w:eastAsiaTheme="minorEastAsia" w:hAnsi="Book Antiqua" w:hint="eastAsia"/>
                <w:color w:val="000000"/>
                <w:kern w:val="24"/>
                <w:lang w:val="en-US" w:eastAsia="zh-CN"/>
              </w:rPr>
              <w:t xml:space="preserve"> </w:t>
            </w:r>
            <w:r w:rsidRPr="00841D2D">
              <w:rPr>
                <w:rFonts w:ascii="Book Antiqua" w:eastAsia="Calibri" w:hAnsi="Book Antiqua"/>
                <w:color w:val="000000"/>
                <w:kern w:val="24"/>
                <w:lang w:val="en-US"/>
              </w:rPr>
              <w:t>50</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300 mg every 24 h</w:t>
            </w:r>
          </w:p>
        </w:tc>
        <w:tc>
          <w:tcPr>
            <w:tcW w:w="2888" w:type="dxa"/>
            <w:vMerge w:val="restart"/>
            <w:tcBorders>
              <w:top w:val="nil"/>
              <w:left w:val="nil"/>
              <w:bottom w:val="nil"/>
              <w:right w:val="nil"/>
            </w:tcBorders>
          </w:tcPr>
          <w:p w:rsidR="00E12526" w:rsidRPr="00841D2D" w:rsidRDefault="00E12526" w:rsidP="00841D2D">
            <w:pPr>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Tablets: 300 mg,</w:t>
            </w:r>
          </w:p>
          <w:p w:rsidR="00E12526" w:rsidRPr="00841D2D" w:rsidRDefault="00E12526" w:rsidP="00841D2D">
            <w:pPr>
              <w:spacing w:line="360" w:lineRule="auto"/>
              <w:jc w:val="both"/>
              <w:rPr>
                <w:rFonts w:ascii="Book Antiqua" w:eastAsia="Calibri" w:hAnsi="Book Antiqua"/>
                <w:color w:val="000000"/>
                <w:kern w:val="24"/>
                <w:sz w:val="24"/>
                <w:szCs w:val="24"/>
                <w:lang w:val="en-US"/>
              </w:rPr>
            </w:pPr>
            <w:r w:rsidRPr="00841D2D">
              <w:rPr>
                <w:rFonts w:ascii="Book Antiqua" w:eastAsia="Calibri" w:hAnsi="Book Antiqua"/>
                <w:color w:val="000000"/>
                <w:kern w:val="24"/>
                <w:sz w:val="24"/>
                <w:szCs w:val="24"/>
                <w:lang w:val="en-US"/>
              </w:rPr>
              <w:t>Oral Powder: 40 mg per 1 g of oral powder</w:t>
            </w: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30-49</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300 mg every 48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nil"/>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10-29</w:t>
            </w:r>
          </w:p>
        </w:tc>
        <w:tc>
          <w:tcPr>
            <w:tcW w:w="4478" w:type="dxa"/>
            <w:gridSpan w:val="2"/>
            <w:tcBorders>
              <w:top w:val="nil"/>
              <w:left w:val="nil"/>
              <w:bottom w:val="nil"/>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eastAsia="Calibri" w:hAnsi="Book Antiqua"/>
                <w:color w:val="000000"/>
                <w:kern w:val="24"/>
                <w:sz w:val="24"/>
                <w:szCs w:val="24"/>
                <w:lang w:val="en-US"/>
              </w:rPr>
              <w:t>300 mg every 72 to 96 h</w:t>
            </w:r>
          </w:p>
        </w:tc>
        <w:tc>
          <w:tcPr>
            <w:tcW w:w="2888" w:type="dxa"/>
            <w:vMerge/>
            <w:tcBorders>
              <w:top w:val="nil"/>
              <w:left w:val="nil"/>
              <w:bottom w:val="nil"/>
              <w:right w:val="nil"/>
            </w:tcBorders>
          </w:tcPr>
          <w:p w:rsidR="00E12526" w:rsidRPr="00841D2D" w:rsidRDefault="00E12526" w:rsidP="00841D2D">
            <w:pPr>
              <w:spacing w:line="360" w:lineRule="auto"/>
              <w:jc w:val="both"/>
              <w:rPr>
                <w:rFonts w:ascii="Book Antiqua" w:eastAsia="Calibri" w:hAnsi="Book Antiqua"/>
                <w:color w:val="000000"/>
                <w:kern w:val="24"/>
                <w:sz w:val="24"/>
                <w:szCs w:val="24"/>
                <w:lang w:val="en-US"/>
              </w:rPr>
            </w:pPr>
          </w:p>
        </w:tc>
      </w:tr>
      <w:tr w:rsidR="00E12526" w:rsidRPr="00841D2D" w:rsidTr="003A0D5B">
        <w:tc>
          <w:tcPr>
            <w:tcW w:w="1688" w:type="dxa"/>
            <w:tcBorders>
              <w:top w:val="nil"/>
              <w:left w:val="nil"/>
              <w:bottom w:val="single" w:sz="4" w:space="0" w:color="auto"/>
              <w:right w:val="nil"/>
            </w:tcBorders>
          </w:tcPr>
          <w:p w:rsidR="00E12526" w:rsidRPr="00841D2D" w:rsidRDefault="00E12526" w:rsidP="00841D2D">
            <w:pPr>
              <w:pStyle w:val="NormalWeb"/>
              <w:spacing w:before="0" w:beforeAutospacing="0" w:after="0" w:afterAutospacing="0" w:line="360" w:lineRule="auto"/>
              <w:jc w:val="both"/>
              <w:rPr>
                <w:rFonts w:ascii="Book Antiqua" w:hAnsi="Book Antiqua" w:cs="Arial"/>
                <w:lang w:val="en-US"/>
              </w:rPr>
            </w:pPr>
            <w:r w:rsidRPr="00841D2D">
              <w:rPr>
                <w:rFonts w:ascii="Book Antiqua" w:eastAsia="Calibri" w:hAnsi="Book Antiqua"/>
                <w:color w:val="000000"/>
                <w:kern w:val="24"/>
                <w:lang w:val="en-US"/>
              </w:rPr>
              <w:t>Hemodialysis</w:t>
            </w:r>
          </w:p>
        </w:tc>
        <w:tc>
          <w:tcPr>
            <w:tcW w:w="4478" w:type="dxa"/>
            <w:gridSpan w:val="2"/>
            <w:tcBorders>
              <w:top w:val="nil"/>
              <w:left w:val="nil"/>
              <w:bottom w:val="single" w:sz="4" w:space="0" w:color="auto"/>
              <w:right w:val="nil"/>
            </w:tcBorders>
          </w:tcPr>
          <w:p w:rsidR="00E12526" w:rsidRPr="00841D2D" w:rsidRDefault="00E12526" w:rsidP="003A0D5B">
            <w:pPr>
              <w:spacing w:line="360" w:lineRule="auto"/>
              <w:jc w:val="both"/>
              <w:rPr>
                <w:rFonts w:ascii="Book Antiqua" w:hAnsi="Book Antiqua"/>
                <w:sz w:val="24"/>
                <w:szCs w:val="24"/>
                <w:lang w:val="en-US"/>
              </w:rPr>
            </w:pPr>
            <w:r w:rsidRPr="00841D2D">
              <w:rPr>
                <w:rFonts w:ascii="Book Antiqua" w:hAnsi="Book Antiqua"/>
                <w:sz w:val="24"/>
                <w:szCs w:val="24"/>
                <w:lang w:val="en-US"/>
              </w:rPr>
              <w:t>300 mg every 7 d or after approximately 12 h of dialysis</w:t>
            </w:r>
          </w:p>
        </w:tc>
        <w:tc>
          <w:tcPr>
            <w:tcW w:w="2888" w:type="dxa"/>
            <w:vMerge/>
            <w:tcBorders>
              <w:top w:val="nil"/>
              <w:left w:val="nil"/>
              <w:bottom w:val="single" w:sz="4" w:space="0" w:color="auto"/>
              <w:right w:val="nil"/>
            </w:tcBorders>
          </w:tcPr>
          <w:p w:rsidR="00E12526" w:rsidRPr="00841D2D" w:rsidRDefault="00E12526" w:rsidP="00841D2D">
            <w:pPr>
              <w:spacing w:line="360" w:lineRule="auto"/>
              <w:jc w:val="both"/>
              <w:rPr>
                <w:rFonts w:ascii="Book Antiqua" w:hAnsi="Book Antiqua"/>
                <w:sz w:val="24"/>
                <w:szCs w:val="24"/>
                <w:lang w:val="en-US"/>
              </w:rPr>
            </w:pPr>
          </w:p>
        </w:tc>
      </w:tr>
    </w:tbl>
    <w:p w:rsidR="00E12526" w:rsidRPr="00841D2D" w:rsidRDefault="00E12526" w:rsidP="00841D2D">
      <w:pPr>
        <w:spacing w:after="0" w:line="360" w:lineRule="auto"/>
        <w:jc w:val="both"/>
        <w:rPr>
          <w:rFonts w:ascii="Book Antiqua" w:hAnsi="Book Antiqua"/>
          <w:sz w:val="24"/>
          <w:szCs w:val="24"/>
          <w:lang w:val="en-US"/>
        </w:rPr>
      </w:pPr>
    </w:p>
    <w:p w:rsidR="00E12526" w:rsidRPr="00841D2D" w:rsidRDefault="00E12526" w:rsidP="00841D2D">
      <w:pPr>
        <w:spacing w:after="0" w:line="360" w:lineRule="auto"/>
        <w:jc w:val="both"/>
        <w:rPr>
          <w:rFonts w:ascii="Book Antiqua" w:hAnsi="Book Antiqua"/>
          <w:sz w:val="24"/>
          <w:szCs w:val="24"/>
          <w:lang w:val="en-US"/>
        </w:rPr>
      </w:pPr>
    </w:p>
    <w:p w:rsidR="003A0D5B" w:rsidRPr="00841D2D" w:rsidRDefault="003A0D5B" w:rsidP="003A0D5B">
      <w:pPr>
        <w:autoSpaceDE w:val="0"/>
        <w:autoSpaceDN w:val="0"/>
        <w:adjustRightIn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Table 2</w:t>
      </w:r>
      <w:r w:rsidRPr="00841D2D">
        <w:rPr>
          <w:rFonts w:ascii="Book Antiqua" w:hAnsi="Book Antiqua" w:cs="Times New Roman"/>
          <w:b/>
          <w:sz w:val="24"/>
          <w:szCs w:val="24"/>
          <w:lang w:val="en-US"/>
        </w:rPr>
        <w:t xml:space="preserve"> Definition of response to </w:t>
      </w:r>
      <w:r w:rsidRPr="00841D2D">
        <w:rPr>
          <w:rFonts w:ascii="Book Antiqua" w:hAnsi="Book Antiqua"/>
          <w:b/>
          <w:bCs/>
          <w:sz w:val="24"/>
          <w:szCs w:val="24"/>
          <w:lang w:val="en-US"/>
        </w:rPr>
        <w:t xml:space="preserve">nucleos(t)ide analogue </w:t>
      </w:r>
      <w:r w:rsidRPr="00841D2D">
        <w:rPr>
          <w:rFonts w:ascii="Book Antiqua" w:hAnsi="Book Antiqua" w:cs="Times New Roman"/>
          <w:b/>
          <w:sz w:val="24"/>
          <w:szCs w:val="24"/>
          <w:lang w:val="en-US"/>
        </w:rPr>
        <w:t>antiviral therapy of chronic hepatitis B</w:t>
      </w:r>
    </w:p>
    <w:p w:rsidR="00E12526" w:rsidRPr="00841D2D" w:rsidRDefault="00E12526" w:rsidP="00841D2D">
      <w:pPr>
        <w:autoSpaceDE w:val="0"/>
        <w:autoSpaceDN w:val="0"/>
        <w:adjustRightInd w:val="0"/>
        <w:spacing w:after="0" w:line="360" w:lineRule="auto"/>
        <w:jc w:val="both"/>
        <w:rPr>
          <w:rFonts w:ascii="Book Antiqua" w:hAnsi="Book Antiqua" w:cs="Times New Roman"/>
          <w:sz w:val="24"/>
          <w:szCs w:val="24"/>
          <w:lang w:val="en-US"/>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12526" w:rsidRPr="00841D2D" w:rsidTr="003A0D5B">
        <w:tc>
          <w:tcPr>
            <w:tcW w:w="8978" w:type="dxa"/>
            <w:gridSpan w:val="2"/>
            <w:tcBorders>
              <w:top w:val="single" w:sz="4" w:space="0" w:color="auto"/>
              <w:bottom w:val="single" w:sz="4" w:space="0" w:color="auto"/>
            </w:tcBorders>
          </w:tcPr>
          <w:p w:rsidR="00E12526" w:rsidRPr="00841D2D" w:rsidRDefault="00E12526" w:rsidP="00841D2D">
            <w:pPr>
              <w:autoSpaceDE w:val="0"/>
              <w:autoSpaceDN w:val="0"/>
              <w:adjustRightInd w:val="0"/>
              <w:spacing w:line="360" w:lineRule="auto"/>
              <w:jc w:val="both"/>
              <w:rPr>
                <w:rFonts w:ascii="Book Antiqua" w:hAnsi="Book Antiqua" w:cs="Times New Roman"/>
                <w:b/>
                <w:sz w:val="24"/>
                <w:szCs w:val="24"/>
                <w:lang w:val="en-US"/>
              </w:rPr>
            </w:pPr>
            <w:r w:rsidRPr="00841D2D">
              <w:rPr>
                <w:rFonts w:ascii="Book Antiqua" w:hAnsi="Book Antiqua" w:cs="Times New Roman"/>
                <w:b/>
                <w:sz w:val="24"/>
                <w:szCs w:val="24"/>
                <w:lang w:val="en-US"/>
              </w:rPr>
              <w:t xml:space="preserve">Category of </w:t>
            </w:r>
            <w:r w:rsidR="003A0D5B" w:rsidRPr="00841D2D">
              <w:rPr>
                <w:rFonts w:ascii="Book Antiqua" w:hAnsi="Book Antiqua" w:cs="Times New Roman"/>
                <w:b/>
                <w:sz w:val="24"/>
                <w:szCs w:val="24"/>
                <w:lang w:val="en-US"/>
              </w:rPr>
              <w:t>r</w:t>
            </w:r>
            <w:r w:rsidRPr="00841D2D">
              <w:rPr>
                <w:rFonts w:ascii="Book Antiqua" w:hAnsi="Book Antiqua" w:cs="Times New Roman"/>
                <w:b/>
                <w:sz w:val="24"/>
                <w:szCs w:val="24"/>
                <w:lang w:val="en-US"/>
              </w:rPr>
              <w:t>esponse</w:t>
            </w:r>
          </w:p>
        </w:tc>
      </w:tr>
      <w:tr w:rsidR="00E12526" w:rsidRPr="00841D2D" w:rsidTr="003A0D5B">
        <w:tc>
          <w:tcPr>
            <w:tcW w:w="4489" w:type="dxa"/>
            <w:tcBorders>
              <w:top w:val="single" w:sz="4" w:space="0" w:color="auto"/>
            </w:tcBorders>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Biochemical (BR)</w:t>
            </w:r>
          </w:p>
        </w:tc>
        <w:tc>
          <w:tcPr>
            <w:tcW w:w="4489" w:type="dxa"/>
            <w:tcBorders>
              <w:top w:val="single" w:sz="4" w:space="0" w:color="auto"/>
            </w:tcBorders>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Decrease in serum ALT to within the normal range</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Virologic (VR)</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Decrease in serum HBV DNA to undetectable</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levels by PCR assays, and loss of HBeAg in</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patients who were initially HBeAg positive</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Primary non-response</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Decrease in serum HBV DNA by 2 log10 IU/mL</w:t>
            </w:r>
          </w:p>
          <w:p w:rsidR="00E12526" w:rsidRPr="00841D2D" w:rsidRDefault="003A0D5B" w:rsidP="00841D2D">
            <w:pPr>
              <w:autoSpaceDE w:val="0"/>
              <w:autoSpaceDN w:val="0"/>
              <w:adjustRightIn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after at least 24 wk</w:t>
            </w:r>
            <w:r w:rsidR="00E12526" w:rsidRPr="00841D2D">
              <w:rPr>
                <w:rFonts w:ascii="Book Antiqua" w:hAnsi="Book Antiqua" w:cs="Times New Roman"/>
                <w:sz w:val="24"/>
                <w:szCs w:val="24"/>
                <w:lang w:val="en-US"/>
              </w:rPr>
              <w:t xml:space="preserve"> of therapy</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Virologic relapse</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Increase in serum HBV DNA of 1 log10 IU/mL</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after discontinuation of treatment in at least</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 xml:space="preserve">two </w:t>
            </w:r>
            <w:r w:rsidR="00FF104C">
              <w:rPr>
                <w:rFonts w:ascii="Book Antiqua" w:hAnsi="Book Antiqua" w:cs="Times New Roman"/>
                <w:sz w:val="24"/>
                <w:szCs w:val="24"/>
                <w:lang w:val="en-US"/>
              </w:rPr>
              <w:t>determinations more than 4 wk</w:t>
            </w:r>
            <w:r w:rsidRPr="00841D2D">
              <w:rPr>
                <w:rFonts w:ascii="Book Antiqua" w:hAnsi="Book Antiqua" w:cs="Times New Roman"/>
                <w:sz w:val="24"/>
                <w:szCs w:val="24"/>
                <w:lang w:val="en-US"/>
              </w:rPr>
              <w:t xml:space="preserve"> apart</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Histologic (HR)</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Decrease in histology activity index by at least 2</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points and no worsening of fibrosis score</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compared to pre-treatment liver biopsy</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Complete (CR)</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Fulfill criteria of biochemical and virological</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response and loss of HBsAg</w:t>
            </w:r>
          </w:p>
        </w:tc>
      </w:tr>
      <w:tr w:rsidR="00E12526" w:rsidRPr="00841D2D" w:rsidTr="003A0D5B">
        <w:tc>
          <w:tcPr>
            <w:tcW w:w="8978" w:type="dxa"/>
            <w:gridSpan w:val="2"/>
          </w:tcPr>
          <w:p w:rsidR="00E12526" w:rsidRPr="00841D2D" w:rsidRDefault="00E12526" w:rsidP="00841D2D">
            <w:pPr>
              <w:autoSpaceDE w:val="0"/>
              <w:autoSpaceDN w:val="0"/>
              <w:adjustRightInd w:val="0"/>
              <w:spacing w:line="360" w:lineRule="auto"/>
              <w:jc w:val="both"/>
              <w:rPr>
                <w:rFonts w:ascii="Book Antiqua" w:hAnsi="Book Antiqua" w:cs="Times New Roman"/>
                <w:b/>
                <w:sz w:val="24"/>
                <w:szCs w:val="24"/>
                <w:lang w:val="en-US"/>
              </w:rPr>
            </w:pPr>
            <w:r w:rsidRPr="00841D2D">
              <w:rPr>
                <w:rFonts w:ascii="Book Antiqua" w:hAnsi="Book Antiqua" w:cs="Times New Roman"/>
                <w:b/>
                <w:sz w:val="24"/>
                <w:szCs w:val="24"/>
                <w:lang w:val="en-US"/>
              </w:rPr>
              <w:t>Time of Assessment</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On-therapy</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During therapy</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Maintained</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Persist throughout the course of treatment</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End-of-treatment</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At the end of a defined course of therapy</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Off-therapy</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After discontinuation of therapy</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Sustained (SR-6)</w:t>
            </w:r>
          </w:p>
        </w:tc>
        <w:tc>
          <w:tcPr>
            <w:tcW w:w="4489" w:type="dxa"/>
          </w:tcPr>
          <w:p w:rsidR="00E12526" w:rsidRPr="00841D2D" w:rsidRDefault="00E12526" w:rsidP="003A0D5B">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6 mo after discontinuation of therapy</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Sustained (SR-12)</w:t>
            </w:r>
          </w:p>
        </w:tc>
        <w:tc>
          <w:tcPr>
            <w:tcW w:w="4489" w:type="dxa"/>
          </w:tcPr>
          <w:p w:rsidR="00E12526" w:rsidRPr="00841D2D" w:rsidRDefault="00E12526" w:rsidP="003A0D5B">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12 mo after discontinuation of therapy</w:t>
            </w:r>
          </w:p>
        </w:tc>
      </w:tr>
    </w:tbl>
    <w:p w:rsidR="00E12526" w:rsidRPr="00841D2D" w:rsidRDefault="003A0D5B" w:rsidP="00841D2D">
      <w:pPr>
        <w:spacing w:after="0" w:line="360" w:lineRule="auto"/>
        <w:jc w:val="both"/>
        <w:rPr>
          <w:rFonts w:ascii="Book Antiqua" w:hAnsi="Book Antiqua" w:cs="Times New Roman"/>
          <w:sz w:val="24"/>
          <w:szCs w:val="24"/>
          <w:lang w:val="en-US"/>
        </w:rPr>
      </w:pPr>
      <w:r>
        <w:rPr>
          <w:rFonts w:ascii="Book Antiqua" w:hAnsi="Book Antiqua" w:hint="eastAsia"/>
          <w:sz w:val="24"/>
          <w:szCs w:val="24"/>
          <w:lang w:val="en-US" w:eastAsia="zh-CN"/>
        </w:rPr>
        <w:t xml:space="preserve">HBV: </w:t>
      </w:r>
      <w:r w:rsidRPr="003238BF">
        <w:rPr>
          <w:rFonts w:ascii="Book Antiqua" w:hAnsi="Book Antiqua"/>
          <w:sz w:val="24"/>
          <w:szCs w:val="24"/>
          <w:lang w:val="en-US"/>
        </w:rPr>
        <w:t>Hepatitis B</w:t>
      </w:r>
      <w:r>
        <w:rPr>
          <w:rFonts w:ascii="Book Antiqua" w:hAnsi="Book Antiqua" w:hint="eastAsia"/>
          <w:sz w:val="24"/>
          <w:szCs w:val="24"/>
          <w:lang w:val="en-US" w:eastAsia="zh-CN"/>
        </w:rPr>
        <w:t xml:space="preserve">; </w:t>
      </w:r>
      <w:r w:rsidRPr="00841D2D">
        <w:rPr>
          <w:rFonts w:ascii="Book Antiqua" w:hAnsi="Book Antiqua" w:cs="Times New Roman"/>
          <w:sz w:val="24"/>
          <w:szCs w:val="24"/>
          <w:lang w:val="en-US"/>
        </w:rPr>
        <w:t>HBsAg</w:t>
      </w:r>
      <w:r>
        <w:rPr>
          <w:rFonts w:ascii="Book Antiqua" w:hAnsi="Book Antiqua" w:cs="Times New Roman" w:hint="eastAsia"/>
          <w:sz w:val="24"/>
          <w:szCs w:val="24"/>
          <w:lang w:val="en-US" w:eastAsia="zh-CN"/>
        </w:rPr>
        <w:t>:</w:t>
      </w:r>
      <w:r w:rsidRPr="003238BF">
        <w:rPr>
          <w:rFonts w:ascii="Book Antiqua" w:hAnsi="Book Antiqua"/>
          <w:sz w:val="24"/>
          <w:szCs w:val="24"/>
          <w:lang w:val="en-US"/>
        </w:rPr>
        <w:t xml:space="preserve"> Hepatitis B surface antigen</w:t>
      </w:r>
      <w:r>
        <w:rPr>
          <w:rFonts w:ascii="Book Antiqua" w:hAnsi="Book Antiqua" w:hint="eastAsia"/>
          <w:sz w:val="24"/>
          <w:szCs w:val="24"/>
          <w:lang w:val="en-US" w:eastAsia="zh-CN"/>
        </w:rPr>
        <w:t>.</w:t>
      </w:r>
      <w:r w:rsidRPr="00841D2D">
        <w:rPr>
          <w:rFonts w:ascii="Book Antiqua" w:hAnsi="Book Antiqua" w:cs="Times New Roman"/>
          <w:sz w:val="24"/>
          <w:szCs w:val="24"/>
          <w:lang w:val="en-US"/>
        </w:rPr>
        <w:t xml:space="preserve"> </w:t>
      </w:r>
      <w:r w:rsidR="00E12526" w:rsidRPr="00841D2D">
        <w:rPr>
          <w:rFonts w:ascii="Book Antiqua" w:hAnsi="Book Antiqua" w:cs="Times New Roman"/>
          <w:sz w:val="24"/>
          <w:szCs w:val="24"/>
          <w:lang w:val="en-US"/>
        </w:rPr>
        <w:br w:type="page"/>
      </w:r>
    </w:p>
    <w:p w:rsidR="003A0D5B" w:rsidRPr="00841D2D" w:rsidRDefault="003A0D5B" w:rsidP="003A0D5B">
      <w:pPr>
        <w:autoSpaceDE w:val="0"/>
        <w:autoSpaceDN w:val="0"/>
        <w:adjustRightIn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Table 3</w:t>
      </w:r>
      <w:r w:rsidRPr="00841D2D">
        <w:rPr>
          <w:rFonts w:ascii="Book Antiqua" w:hAnsi="Book Antiqua" w:cs="Times New Roman"/>
          <w:b/>
          <w:sz w:val="24"/>
          <w:szCs w:val="24"/>
          <w:lang w:val="en-US"/>
        </w:rPr>
        <w:t xml:space="preserve"> Definition of terms relating to antiviral resistance to </w:t>
      </w:r>
      <w:r w:rsidRPr="00841D2D">
        <w:rPr>
          <w:rFonts w:ascii="Book Antiqua" w:hAnsi="Book Antiqua"/>
          <w:b/>
          <w:bCs/>
          <w:sz w:val="24"/>
          <w:szCs w:val="24"/>
          <w:lang w:val="en-US"/>
        </w:rPr>
        <w:t xml:space="preserve">nucleos(t)ide analogue </w:t>
      </w:r>
      <w:r w:rsidRPr="00841D2D">
        <w:rPr>
          <w:rFonts w:ascii="Book Antiqua" w:hAnsi="Book Antiqua" w:cs="Times New Roman"/>
          <w:b/>
          <w:sz w:val="24"/>
          <w:szCs w:val="24"/>
          <w:lang w:val="en-US"/>
        </w:rPr>
        <w:t>treatment</w:t>
      </w:r>
    </w:p>
    <w:p w:rsidR="00E12526" w:rsidRPr="00841D2D" w:rsidRDefault="00E12526" w:rsidP="00841D2D">
      <w:pPr>
        <w:autoSpaceDE w:val="0"/>
        <w:autoSpaceDN w:val="0"/>
        <w:adjustRightInd w:val="0"/>
        <w:spacing w:after="0" w:line="360" w:lineRule="auto"/>
        <w:jc w:val="both"/>
        <w:rPr>
          <w:rFonts w:ascii="Book Antiqua" w:hAnsi="Book Antiqua" w:cs="Times New Roman"/>
          <w:sz w:val="24"/>
          <w:szCs w:val="24"/>
          <w:lang w:val="en-US"/>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12526" w:rsidRPr="00841D2D" w:rsidTr="003A0D5B">
        <w:tc>
          <w:tcPr>
            <w:tcW w:w="4489" w:type="dxa"/>
            <w:tcBorders>
              <w:top w:val="single" w:sz="4" w:space="0" w:color="auto"/>
              <w:bottom w:val="single" w:sz="4" w:space="0" w:color="auto"/>
            </w:tcBorders>
          </w:tcPr>
          <w:p w:rsidR="00E12526" w:rsidRPr="00841D2D" w:rsidRDefault="00E12526" w:rsidP="00841D2D">
            <w:pPr>
              <w:autoSpaceDE w:val="0"/>
              <w:autoSpaceDN w:val="0"/>
              <w:adjustRightInd w:val="0"/>
              <w:spacing w:line="360" w:lineRule="auto"/>
              <w:jc w:val="both"/>
              <w:rPr>
                <w:rFonts w:ascii="Book Antiqua" w:hAnsi="Book Antiqua" w:cs="Times New Roman"/>
                <w:b/>
                <w:sz w:val="24"/>
                <w:szCs w:val="24"/>
                <w:lang w:val="en-US"/>
              </w:rPr>
            </w:pPr>
            <w:r w:rsidRPr="00841D2D">
              <w:rPr>
                <w:rFonts w:ascii="Book Antiqua" w:hAnsi="Book Antiqua" w:cs="Times New Roman"/>
                <w:b/>
                <w:sz w:val="24"/>
                <w:szCs w:val="24"/>
                <w:lang w:val="en-US"/>
              </w:rPr>
              <w:t>Term</w:t>
            </w:r>
          </w:p>
        </w:tc>
        <w:tc>
          <w:tcPr>
            <w:tcW w:w="4489" w:type="dxa"/>
            <w:tcBorders>
              <w:top w:val="single" w:sz="4" w:space="0" w:color="auto"/>
              <w:bottom w:val="single" w:sz="4" w:space="0" w:color="auto"/>
            </w:tcBorders>
          </w:tcPr>
          <w:p w:rsidR="00E12526" w:rsidRPr="00841D2D" w:rsidRDefault="00E12526" w:rsidP="00841D2D">
            <w:pPr>
              <w:autoSpaceDE w:val="0"/>
              <w:autoSpaceDN w:val="0"/>
              <w:adjustRightInd w:val="0"/>
              <w:spacing w:line="360" w:lineRule="auto"/>
              <w:jc w:val="both"/>
              <w:rPr>
                <w:rFonts w:ascii="Book Antiqua" w:hAnsi="Book Antiqua" w:cs="Times New Roman"/>
                <w:b/>
                <w:sz w:val="24"/>
                <w:szCs w:val="24"/>
                <w:lang w:val="en-US"/>
              </w:rPr>
            </w:pPr>
            <w:r w:rsidRPr="00841D2D">
              <w:rPr>
                <w:rFonts w:ascii="Book Antiqua" w:hAnsi="Book Antiqua" w:cs="Times New Roman"/>
                <w:b/>
                <w:sz w:val="24"/>
                <w:szCs w:val="24"/>
                <w:lang w:val="en-US"/>
              </w:rPr>
              <w:t>Definition</w:t>
            </w:r>
          </w:p>
        </w:tc>
      </w:tr>
      <w:tr w:rsidR="00E12526" w:rsidRPr="00841D2D" w:rsidTr="003A0D5B">
        <w:tc>
          <w:tcPr>
            <w:tcW w:w="4489" w:type="dxa"/>
            <w:tcBorders>
              <w:top w:val="single" w:sz="4" w:space="0" w:color="auto"/>
            </w:tcBorders>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Virologic breakthrough</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p>
        </w:tc>
        <w:tc>
          <w:tcPr>
            <w:tcW w:w="4489" w:type="dxa"/>
            <w:tcBorders>
              <w:top w:val="single" w:sz="4" w:space="0" w:color="auto"/>
            </w:tcBorders>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Increase in serum HBV DNA by &gt;1 log10 (10-fold) above nadir after achieving virologic response, during continued treatment</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Viral rebound</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In</w:t>
            </w:r>
            <w:r w:rsidR="003A0D5B">
              <w:rPr>
                <w:rFonts w:ascii="Book Antiqua" w:hAnsi="Book Antiqua" w:cs="Times New Roman"/>
                <w:sz w:val="24"/>
                <w:szCs w:val="24"/>
                <w:lang w:val="en-US"/>
              </w:rPr>
              <w:t>crease in serum HBV DNA to &gt; 20</w:t>
            </w:r>
            <w:r w:rsidRPr="00841D2D">
              <w:rPr>
                <w:rFonts w:ascii="Book Antiqua" w:hAnsi="Book Antiqua" w:cs="Times New Roman"/>
                <w:sz w:val="24"/>
                <w:szCs w:val="24"/>
                <w:lang w:val="en-US"/>
              </w:rPr>
              <w:t>000 IU/mL or above pretreatment level after achieving virologic response, during continued treatment</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Biochemical breakthrough</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Increase in ALT above upper limit of normal after achieving normalization, during continued treatment</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Genotypic resistance</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 xml:space="preserve">Detection of mutations that have been shown in “in vitro” studies to confer resistance to the NA that is being administered </w:t>
            </w:r>
          </w:p>
        </w:tc>
      </w:tr>
      <w:tr w:rsidR="00E12526" w:rsidRPr="00841D2D" w:rsidTr="003A0D5B">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 xml:space="preserve">Phenotypic resistance </w:t>
            </w:r>
          </w:p>
        </w:tc>
        <w:tc>
          <w:tcPr>
            <w:tcW w:w="4489" w:type="dxa"/>
          </w:tcPr>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In vitro confirmation that the mutation detected decreases susceptibility (as demonstrated by increase in inhibitory</w:t>
            </w:r>
          </w:p>
          <w:p w:rsidR="00E12526" w:rsidRPr="00841D2D" w:rsidRDefault="00E12526" w:rsidP="00841D2D">
            <w:pPr>
              <w:autoSpaceDE w:val="0"/>
              <w:autoSpaceDN w:val="0"/>
              <w:adjustRightInd w:val="0"/>
              <w:spacing w:line="360" w:lineRule="auto"/>
              <w:jc w:val="both"/>
              <w:rPr>
                <w:rFonts w:ascii="Book Antiqua" w:hAnsi="Book Antiqua" w:cs="Times New Roman"/>
                <w:sz w:val="24"/>
                <w:szCs w:val="24"/>
                <w:lang w:val="en-US"/>
              </w:rPr>
            </w:pPr>
            <w:r w:rsidRPr="00841D2D">
              <w:rPr>
                <w:rFonts w:ascii="Book Antiqua" w:hAnsi="Book Antiqua" w:cs="Times New Roman"/>
                <w:sz w:val="24"/>
                <w:szCs w:val="24"/>
                <w:lang w:val="en-US"/>
              </w:rPr>
              <w:t>concentrations) to the NUC administered</w:t>
            </w:r>
          </w:p>
        </w:tc>
      </w:tr>
    </w:tbl>
    <w:p w:rsidR="00E12526" w:rsidRPr="00841D2D" w:rsidRDefault="00E12526" w:rsidP="00841D2D">
      <w:pPr>
        <w:autoSpaceDE w:val="0"/>
        <w:autoSpaceDN w:val="0"/>
        <w:adjustRightInd w:val="0"/>
        <w:spacing w:after="0" w:line="360" w:lineRule="auto"/>
        <w:jc w:val="both"/>
        <w:rPr>
          <w:rFonts w:ascii="Book Antiqua" w:hAnsi="Book Antiqua" w:cs="Times New Roman"/>
          <w:sz w:val="24"/>
          <w:szCs w:val="24"/>
          <w:lang w:val="en-US"/>
        </w:rPr>
      </w:pPr>
    </w:p>
    <w:p w:rsidR="00E12526" w:rsidRPr="00841D2D" w:rsidRDefault="003A0D5B" w:rsidP="00841D2D">
      <w:pPr>
        <w:spacing w:after="0" w:line="360" w:lineRule="auto"/>
        <w:jc w:val="both"/>
        <w:rPr>
          <w:rFonts w:ascii="Book Antiqua" w:hAnsi="Book Antiqua"/>
          <w:b/>
          <w:sz w:val="24"/>
          <w:szCs w:val="24"/>
          <w:lang w:val="en-US"/>
        </w:rPr>
      </w:pPr>
      <w:r w:rsidRPr="00841D2D">
        <w:rPr>
          <w:rFonts w:ascii="Book Antiqua" w:hAnsi="Book Antiqua" w:cs="Times New Roman"/>
          <w:sz w:val="24"/>
          <w:szCs w:val="24"/>
          <w:lang w:val="en-US"/>
        </w:rPr>
        <w:t>NUC</w:t>
      </w:r>
      <w:r>
        <w:rPr>
          <w:rFonts w:ascii="Book Antiqua" w:hAnsi="Book Antiqua" w:cs="Times New Roman" w:hint="eastAsia"/>
          <w:sz w:val="24"/>
          <w:szCs w:val="24"/>
          <w:lang w:val="en-US" w:eastAsia="zh-CN"/>
        </w:rPr>
        <w:t xml:space="preserve">: </w:t>
      </w:r>
      <w:r w:rsidRPr="003238BF">
        <w:rPr>
          <w:rFonts w:ascii="Book Antiqua" w:hAnsi="Book Antiqua"/>
          <w:sz w:val="24"/>
          <w:szCs w:val="24"/>
          <w:lang w:val="en-US"/>
        </w:rPr>
        <w:t>Nucleos(t)ide analogue</w:t>
      </w:r>
      <w:r>
        <w:rPr>
          <w:rFonts w:ascii="Book Antiqua" w:hAnsi="Book Antiqua" w:hint="eastAsia"/>
          <w:sz w:val="24"/>
          <w:szCs w:val="24"/>
          <w:lang w:val="en-US" w:eastAsia="zh-CN"/>
        </w:rPr>
        <w:t>.</w:t>
      </w:r>
      <w:r w:rsidRPr="00841D2D">
        <w:rPr>
          <w:rFonts w:ascii="Book Antiqua" w:hAnsi="Book Antiqua"/>
          <w:b/>
          <w:sz w:val="24"/>
          <w:szCs w:val="24"/>
          <w:lang w:val="en-US"/>
        </w:rPr>
        <w:t xml:space="preserve"> </w:t>
      </w:r>
      <w:r w:rsidR="00E12526" w:rsidRPr="00841D2D">
        <w:rPr>
          <w:rFonts w:ascii="Book Antiqua" w:hAnsi="Book Antiqua"/>
          <w:b/>
          <w:sz w:val="24"/>
          <w:szCs w:val="24"/>
          <w:lang w:val="en-US"/>
        </w:rPr>
        <w:br w:type="page"/>
      </w:r>
    </w:p>
    <w:p w:rsidR="00CF516D" w:rsidRPr="00841D2D" w:rsidRDefault="00E12526" w:rsidP="00841D2D">
      <w:pPr>
        <w:spacing w:after="0" w:line="360" w:lineRule="auto"/>
        <w:jc w:val="both"/>
        <w:rPr>
          <w:rFonts w:ascii="Book Antiqua" w:hAnsi="Book Antiqua"/>
          <w:b/>
          <w:sz w:val="24"/>
          <w:szCs w:val="24"/>
          <w:lang w:val="en-US"/>
        </w:rPr>
      </w:pPr>
      <w:r w:rsidRPr="00841D2D">
        <w:rPr>
          <w:rFonts w:ascii="Book Antiqua" w:hAnsi="Book Antiqua"/>
          <w:b/>
          <w:noProof/>
          <w:sz w:val="24"/>
          <w:szCs w:val="24"/>
          <w:lang w:val="en-US"/>
        </w:rPr>
        <w:drawing>
          <wp:inline distT="0" distB="0" distL="0" distR="0" wp14:anchorId="2749FAE5" wp14:editId="5C2AE4C1">
            <wp:extent cx="5612130" cy="3239371"/>
            <wp:effectExtent l="0" t="0" r="127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12526" w:rsidRPr="003A0D5B" w:rsidRDefault="003A0D5B" w:rsidP="00841D2D">
      <w:pPr>
        <w:spacing w:after="0" w:line="360" w:lineRule="auto"/>
        <w:jc w:val="both"/>
        <w:rPr>
          <w:rFonts w:ascii="Book Antiqua" w:hAnsi="Book Antiqua"/>
          <w:b/>
          <w:sz w:val="24"/>
          <w:szCs w:val="24"/>
          <w:lang w:val="en-US"/>
        </w:rPr>
      </w:pPr>
      <w:r w:rsidRPr="003A0D5B">
        <w:rPr>
          <w:rFonts w:ascii="Book Antiqua" w:hAnsi="Book Antiqua"/>
          <w:b/>
          <w:sz w:val="24"/>
          <w:szCs w:val="24"/>
          <w:lang w:val="en-US"/>
        </w:rPr>
        <w:t>Figure 1</w:t>
      </w:r>
      <w:r w:rsidR="00E12526" w:rsidRPr="003A0D5B">
        <w:rPr>
          <w:rFonts w:ascii="Book Antiqua" w:hAnsi="Book Antiqua"/>
          <w:b/>
          <w:sz w:val="24"/>
          <w:szCs w:val="24"/>
          <w:lang w:val="en-US"/>
        </w:rPr>
        <w:t xml:space="preserve"> Treatment algorithm for management of renal transplant candidates with chronic hepatitis B virus</w:t>
      </w:r>
      <w:r>
        <w:rPr>
          <w:rFonts w:ascii="Book Antiqua" w:hAnsi="Book Antiqua"/>
          <w:b/>
          <w:sz w:val="24"/>
          <w:szCs w:val="24"/>
          <w:lang w:val="en-US"/>
        </w:rPr>
        <w:t xml:space="preserve"> infection.</w:t>
      </w:r>
      <w:r>
        <w:rPr>
          <w:rFonts w:ascii="Book Antiqua" w:hAnsi="Book Antiqua" w:hint="eastAsia"/>
          <w:b/>
          <w:sz w:val="24"/>
          <w:szCs w:val="24"/>
          <w:lang w:val="en-US" w:eastAsia="zh-CN"/>
        </w:rPr>
        <w:t xml:space="preserve"> </w:t>
      </w:r>
      <w:r w:rsidR="00E12526" w:rsidRPr="00841D2D">
        <w:rPr>
          <w:rFonts w:ascii="Book Antiqua" w:hAnsi="Book Antiqua"/>
          <w:sz w:val="24"/>
          <w:szCs w:val="24"/>
          <w:lang w:val="en-US"/>
        </w:rPr>
        <w:t xml:space="preserve">RT: </w:t>
      </w:r>
      <w:r w:rsidRPr="00841D2D">
        <w:rPr>
          <w:rFonts w:ascii="Book Antiqua" w:hAnsi="Book Antiqua"/>
          <w:sz w:val="24"/>
          <w:szCs w:val="24"/>
          <w:lang w:val="en-US"/>
        </w:rPr>
        <w:t>R</w:t>
      </w:r>
      <w:r w:rsidR="00E12526" w:rsidRPr="00841D2D">
        <w:rPr>
          <w:rFonts w:ascii="Book Antiqua" w:hAnsi="Book Antiqua"/>
          <w:sz w:val="24"/>
          <w:szCs w:val="24"/>
          <w:lang w:val="en-US"/>
        </w:rPr>
        <w:t xml:space="preserve">enal transplantation; LRT: </w:t>
      </w:r>
      <w:r w:rsidRPr="00841D2D">
        <w:rPr>
          <w:rFonts w:ascii="Book Antiqua" w:hAnsi="Book Antiqua"/>
          <w:sz w:val="24"/>
          <w:szCs w:val="24"/>
          <w:lang w:val="en-US"/>
        </w:rPr>
        <w:t>L</w:t>
      </w:r>
      <w:r w:rsidR="00E12526" w:rsidRPr="00841D2D">
        <w:rPr>
          <w:rFonts w:ascii="Book Antiqua" w:hAnsi="Book Antiqua"/>
          <w:sz w:val="24"/>
          <w:szCs w:val="24"/>
          <w:lang w:val="en-US"/>
        </w:rPr>
        <w:t xml:space="preserve">iver renal transplantation; NUC: </w:t>
      </w:r>
      <w:r w:rsidRPr="00841D2D">
        <w:rPr>
          <w:rFonts w:ascii="Book Antiqua" w:hAnsi="Book Antiqua"/>
          <w:sz w:val="24"/>
          <w:szCs w:val="24"/>
          <w:lang w:val="en-US"/>
        </w:rPr>
        <w:t>N</w:t>
      </w:r>
      <w:r w:rsidR="00E12526" w:rsidRPr="00841D2D">
        <w:rPr>
          <w:rFonts w:ascii="Book Antiqua" w:hAnsi="Book Antiqua"/>
          <w:sz w:val="24"/>
          <w:szCs w:val="24"/>
          <w:lang w:val="en-US"/>
        </w:rPr>
        <w:t xml:space="preserve">ucleos(t)ide analogue; ETV: </w:t>
      </w:r>
      <w:r w:rsidRPr="00841D2D">
        <w:rPr>
          <w:rFonts w:ascii="Book Antiqua" w:hAnsi="Book Antiqua"/>
          <w:sz w:val="24"/>
          <w:szCs w:val="24"/>
          <w:lang w:val="en-US"/>
        </w:rPr>
        <w:t>E</w:t>
      </w:r>
      <w:r w:rsidR="00E12526" w:rsidRPr="00841D2D">
        <w:rPr>
          <w:rFonts w:ascii="Book Antiqua" w:hAnsi="Book Antiqua"/>
          <w:sz w:val="24"/>
          <w:szCs w:val="24"/>
          <w:lang w:val="en-US"/>
        </w:rPr>
        <w:t xml:space="preserve">ntecavir; TDF: </w:t>
      </w:r>
      <w:r w:rsidRPr="00841D2D">
        <w:rPr>
          <w:rFonts w:ascii="Book Antiqua" w:hAnsi="Book Antiqua"/>
          <w:sz w:val="24"/>
          <w:szCs w:val="24"/>
          <w:lang w:val="en-US"/>
        </w:rPr>
        <w:t>T</w:t>
      </w:r>
      <w:r w:rsidR="00E12526" w:rsidRPr="00841D2D">
        <w:rPr>
          <w:rFonts w:ascii="Book Antiqua" w:hAnsi="Book Antiqua"/>
          <w:sz w:val="24"/>
          <w:szCs w:val="24"/>
          <w:lang w:val="en-US"/>
        </w:rPr>
        <w:t>enofovir.</w:t>
      </w:r>
    </w:p>
    <w:p w:rsidR="00E12526" w:rsidRPr="00841D2D" w:rsidRDefault="00E12526" w:rsidP="00841D2D">
      <w:pPr>
        <w:spacing w:after="0" w:line="360" w:lineRule="auto"/>
        <w:jc w:val="both"/>
        <w:rPr>
          <w:rFonts w:ascii="Book Antiqua" w:hAnsi="Book Antiqua"/>
          <w:b/>
          <w:sz w:val="24"/>
          <w:szCs w:val="24"/>
          <w:lang w:val="en-US"/>
        </w:rPr>
      </w:pPr>
    </w:p>
    <w:sectPr w:rsidR="00E12526" w:rsidRPr="00841D2D" w:rsidSect="00D879C5">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C6" w:rsidRDefault="00211FC6" w:rsidP="00FC79F6">
      <w:pPr>
        <w:spacing w:after="0" w:line="240" w:lineRule="auto"/>
      </w:pPr>
      <w:r>
        <w:separator/>
      </w:r>
    </w:p>
  </w:endnote>
  <w:endnote w:type="continuationSeparator" w:id="0">
    <w:p w:rsidR="00211FC6" w:rsidRDefault="00211FC6" w:rsidP="00FC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1751"/>
      <w:docPartObj>
        <w:docPartGallery w:val="Page Numbers (Bottom of Page)"/>
        <w:docPartUnique/>
      </w:docPartObj>
    </w:sdtPr>
    <w:sdtEndPr/>
    <w:sdtContent>
      <w:p w:rsidR="00AE2402" w:rsidRDefault="00AE2402">
        <w:pPr>
          <w:pStyle w:val="Footer"/>
          <w:jc w:val="center"/>
        </w:pPr>
        <w:r>
          <w:fldChar w:fldCharType="begin"/>
        </w:r>
        <w:r>
          <w:instrText xml:space="preserve"> PAGE   \* MERGEFORMAT </w:instrText>
        </w:r>
        <w:r>
          <w:fldChar w:fldCharType="separate"/>
        </w:r>
        <w:r w:rsidR="00D037A7">
          <w:rPr>
            <w:noProof/>
          </w:rPr>
          <w:t>1</w:t>
        </w:r>
        <w:r>
          <w:rPr>
            <w:noProof/>
          </w:rPr>
          <w:fldChar w:fldCharType="end"/>
        </w:r>
      </w:p>
    </w:sdtContent>
  </w:sdt>
  <w:p w:rsidR="00AE2402" w:rsidRDefault="00AE24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C6" w:rsidRDefault="00211FC6" w:rsidP="00FC79F6">
      <w:pPr>
        <w:spacing w:after="0" w:line="240" w:lineRule="auto"/>
      </w:pPr>
      <w:r>
        <w:separator/>
      </w:r>
    </w:p>
  </w:footnote>
  <w:footnote w:type="continuationSeparator" w:id="0">
    <w:p w:rsidR="00211FC6" w:rsidRDefault="00211FC6" w:rsidP="00FC79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15B"/>
    <w:multiLevelType w:val="hybridMultilevel"/>
    <w:tmpl w:val="13FAE23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4C"/>
    <w:rsid w:val="00015A5A"/>
    <w:rsid w:val="00030A14"/>
    <w:rsid w:val="00037949"/>
    <w:rsid w:val="00045039"/>
    <w:rsid w:val="00053083"/>
    <w:rsid w:val="000550C7"/>
    <w:rsid w:val="00056B58"/>
    <w:rsid w:val="0005745D"/>
    <w:rsid w:val="0006659F"/>
    <w:rsid w:val="00071E3C"/>
    <w:rsid w:val="000864AB"/>
    <w:rsid w:val="00087E23"/>
    <w:rsid w:val="000943C9"/>
    <w:rsid w:val="000A1134"/>
    <w:rsid w:val="000A1E17"/>
    <w:rsid w:val="000D6E31"/>
    <w:rsid w:val="000D79EB"/>
    <w:rsid w:val="000E0250"/>
    <w:rsid w:val="000F36C4"/>
    <w:rsid w:val="00125D2E"/>
    <w:rsid w:val="0016284A"/>
    <w:rsid w:val="00181F9A"/>
    <w:rsid w:val="00182342"/>
    <w:rsid w:val="001868C3"/>
    <w:rsid w:val="0019042D"/>
    <w:rsid w:val="001B59B9"/>
    <w:rsid w:val="001B60B7"/>
    <w:rsid w:val="001C1881"/>
    <w:rsid w:val="001C75B9"/>
    <w:rsid w:val="001F0918"/>
    <w:rsid w:val="00211FC6"/>
    <w:rsid w:val="0021514C"/>
    <w:rsid w:val="00216C8B"/>
    <w:rsid w:val="002213AA"/>
    <w:rsid w:val="00222865"/>
    <w:rsid w:val="00236FA4"/>
    <w:rsid w:val="00243EB5"/>
    <w:rsid w:val="00262E6A"/>
    <w:rsid w:val="002630C9"/>
    <w:rsid w:val="002809E3"/>
    <w:rsid w:val="0029299B"/>
    <w:rsid w:val="00297771"/>
    <w:rsid w:val="002A285D"/>
    <w:rsid w:val="002A5AC6"/>
    <w:rsid w:val="002B03A6"/>
    <w:rsid w:val="002B24FE"/>
    <w:rsid w:val="002B2FAA"/>
    <w:rsid w:val="002C408B"/>
    <w:rsid w:val="002C53CD"/>
    <w:rsid w:val="002D3B96"/>
    <w:rsid w:val="002E018C"/>
    <w:rsid w:val="002E3133"/>
    <w:rsid w:val="002E4E00"/>
    <w:rsid w:val="00303DF2"/>
    <w:rsid w:val="003238BF"/>
    <w:rsid w:val="00326E9A"/>
    <w:rsid w:val="0033438A"/>
    <w:rsid w:val="00342248"/>
    <w:rsid w:val="0034689F"/>
    <w:rsid w:val="0035405A"/>
    <w:rsid w:val="00375683"/>
    <w:rsid w:val="00380DAB"/>
    <w:rsid w:val="0039170C"/>
    <w:rsid w:val="00394663"/>
    <w:rsid w:val="00396DA3"/>
    <w:rsid w:val="003A0D5B"/>
    <w:rsid w:val="003A5330"/>
    <w:rsid w:val="003B06E0"/>
    <w:rsid w:val="003B4605"/>
    <w:rsid w:val="003C14E0"/>
    <w:rsid w:val="003C75A6"/>
    <w:rsid w:val="003D073C"/>
    <w:rsid w:val="003D2748"/>
    <w:rsid w:val="003E439D"/>
    <w:rsid w:val="003F1CF7"/>
    <w:rsid w:val="003F1E7C"/>
    <w:rsid w:val="003F2AB2"/>
    <w:rsid w:val="004005DF"/>
    <w:rsid w:val="00400E15"/>
    <w:rsid w:val="004078C9"/>
    <w:rsid w:val="0042385C"/>
    <w:rsid w:val="0043484A"/>
    <w:rsid w:val="00434CDA"/>
    <w:rsid w:val="00442F8E"/>
    <w:rsid w:val="00443E74"/>
    <w:rsid w:val="0045429A"/>
    <w:rsid w:val="0048204F"/>
    <w:rsid w:val="00484050"/>
    <w:rsid w:val="004A7EA7"/>
    <w:rsid w:val="004D0B07"/>
    <w:rsid w:val="004D58C4"/>
    <w:rsid w:val="004E2291"/>
    <w:rsid w:val="004F4DDA"/>
    <w:rsid w:val="00523A8C"/>
    <w:rsid w:val="00544328"/>
    <w:rsid w:val="0056786F"/>
    <w:rsid w:val="00586D7B"/>
    <w:rsid w:val="005A2329"/>
    <w:rsid w:val="005A5D64"/>
    <w:rsid w:val="005A79CD"/>
    <w:rsid w:val="005B08C1"/>
    <w:rsid w:val="005B0959"/>
    <w:rsid w:val="005C2519"/>
    <w:rsid w:val="005C5BB1"/>
    <w:rsid w:val="005D4062"/>
    <w:rsid w:val="005D4F86"/>
    <w:rsid w:val="00616D16"/>
    <w:rsid w:val="00620F5E"/>
    <w:rsid w:val="00626079"/>
    <w:rsid w:val="006341D4"/>
    <w:rsid w:val="00635470"/>
    <w:rsid w:val="00644034"/>
    <w:rsid w:val="00645A84"/>
    <w:rsid w:val="00650638"/>
    <w:rsid w:val="0066217B"/>
    <w:rsid w:val="00662A78"/>
    <w:rsid w:val="00665340"/>
    <w:rsid w:val="00681574"/>
    <w:rsid w:val="00683B22"/>
    <w:rsid w:val="0069138E"/>
    <w:rsid w:val="00696E00"/>
    <w:rsid w:val="006A34F3"/>
    <w:rsid w:val="006B03E9"/>
    <w:rsid w:val="006B3E23"/>
    <w:rsid w:val="006B5F5D"/>
    <w:rsid w:val="006B65C9"/>
    <w:rsid w:val="006B67BA"/>
    <w:rsid w:val="006C4144"/>
    <w:rsid w:val="006C522C"/>
    <w:rsid w:val="006D3A08"/>
    <w:rsid w:val="006E52FB"/>
    <w:rsid w:val="006E6217"/>
    <w:rsid w:val="006F2A6F"/>
    <w:rsid w:val="006F41ED"/>
    <w:rsid w:val="006F741D"/>
    <w:rsid w:val="007043DA"/>
    <w:rsid w:val="00706E8F"/>
    <w:rsid w:val="00710F34"/>
    <w:rsid w:val="00717FAD"/>
    <w:rsid w:val="00726EE9"/>
    <w:rsid w:val="00730EFF"/>
    <w:rsid w:val="0073736C"/>
    <w:rsid w:val="00740493"/>
    <w:rsid w:val="0074324F"/>
    <w:rsid w:val="00746DD7"/>
    <w:rsid w:val="0075635D"/>
    <w:rsid w:val="00757E21"/>
    <w:rsid w:val="00765323"/>
    <w:rsid w:val="007838A7"/>
    <w:rsid w:val="00783C3D"/>
    <w:rsid w:val="007873A5"/>
    <w:rsid w:val="007915C3"/>
    <w:rsid w:val="007A1859"/>
    <w:rsid w:val="007B4DEA"/>
    <w:rsid w:val="007C5AEA"/>
    <w:rsid w:val="007C63C9"/>
    <w:rsid w:val="007D5C71"/>
    <w:rsid w:val="007D68B9"/>
    <w:rsid w:val="007E74FB"/>
    <w:rsid w:val="007F2804"/>
    <w:rsid w:val="00800594"/>
    <w:rsid w:val="008031B4"/>
    <w:rsid w:val="0082597A"/>
    <w:rsid w:val="00826ADF"/>
    <w:rsid w:val="00826F73"/>
    <w:rsid w:val="00841D2D"/>
    <w:rsid w:val="0084303B"/>
    <w:rsid w:val="00845F6F"/>
    <w:rsid w:val="00865C69"/>
    <w:rsid w:val="00880E64"/>
    <w:rsid w:val="00887E2D"/>
    <w:rsid w:val="008A0AE2"/>
    <w:rsid w:val="008A4FA7"/>
    <w:rsid w:val="008C0562"/>
    <w:rsid w:val="008C0D37"/>
    <w:rsid w:val="008C2C74"/>
    <w:rsid w:val="008C5041"/>
    <w:rsid w:val="008D6E42"/>
    <w:rsid w:val="008E1309"/>
    <w:rsid w:val="008F2A78"/>
    <w:rsid w:val="008F43F3"/>
    <w:rsid w:val="009039CC"/>
    <w:rsid w:val="0091173A"/>
    <w:rsid w:val="009160C1"/>
    <w:rsid w:val="0093028C"/>
    <w:rsid w:val="00934C9C"/>
    <w:rsid w:val="009579E8"/>
    <w:rsid w:val="0096176F"/>
    <w:rsid w:val="009618FC"/>
    <w:rsid w:val="009630DD"/>
    <w:rsid w:val="00963D87"/>
    <w:rsid w:val="0097500D"/>
    <w:rsid w:val="00995417"/>
    <w:rsid w:val="009B6308"/>
    <w:rsid w:val="009B67A5"/>
    <w:rsid w:val="009C759E"/>
    <w:rsid w:val="009D226E"/>
    <w:rsid w:val="009D5429"/>
    <w:rsid w:val="009E167A"/>
    <w:rsid w:val="009E4472"/>
    <w:rsid w:val="009E7B32"/>
    <w:rsid w:val="009F102A"/>
    <w:rsid w:val="009F2316"/>
    <w:rsid w:val="009F7823"/>
    <w:rsid w:val="00A06FEF"/>
    <w:rsid w:val="00A136DD"/>
    <w:rsid w:val="00A148DF"/>
    <w:rsid w:val="00A24A35"/>
    <w:rsid w:val="00A35B45"/>
    <w:rsid w:val="00A43588"/>
    <w:rsid w:val="00A525F7"/>
    <w:rsid w:val="00A53F6A"/>
    <w:rsid w:val="00A56602"/>
    <w:rsid w:val="00A61855"/>
    <w:rsid w:val="00A634A4"/>
    <w:rsid w:val="00A87274"/>
    <w:rsid w:val="00A973E5"/>
    <w:rsid w:val="00AB494E"/>
    <w:rsid w:val="00AC5D9A"/>
    <w:rsid w:val="00AC625E"/>
    <w:rsid w:val="00AE2402"/>
    <w:rsid w:val="00B03B4C"/>
    <w:rsid w:val="00B04831"/>
    <w:rsid w:val="00B1782F"/>
    <w:rsid w:val="00B20B1D"/>
    <w:rsid w:val="00B2428F"/>
    <w:rsid w:val="00B303C9"/>
    <w:rsid w:val="00B3378C"/>
    <w:rsid w:val="00B5584B"/>
    <w:rsid w:val="00B82CCF"/>
    <w:rsid w:val="00B91971"/>
    <w:rsid w:val="00B936F3"/>
    <w:rsid w:val="00B94F35"/>
    <w:rsid w:val="00BA21EB"/>
    <w:rsid w:val="00BA4947"/>
    <w:rsid w:val="00BC12CE"/>
    <w:rsid w:val="00BC73CE"/>
    <w:rsid w:val="00BD39BA"/>
    <w:rsid w:val="00BE2D04"/>
    <w:rsid w:val="00BE692F"/>
    <w:rsid w:val="00BF47EE"/>
    <w:rsid w:val="00BF57AF"/>
    <w:rsid w:val="00C01BC4"/>
    <w:rsid w:val="00C211BE"/>
    <w:rsid w:val="00C254BA"/>
    <w:rsid w:val="00C26766"/>
    <w:rsid w:val="00C27196"/>
    <w:rsid w:val="00C27E25"/>
    <w:rsid w:val="00C37330"/>
    <w:rsid w:val="00C540F5"/>
    <w:rsid w:val="00C5771B"/>
    <w:rsid w:val="00C6572C"/>
    <w:rsid w:val="00C66FE5"/>
    <w:rsid w:val="00C82B89"/>
    <w:rsid w:val="00C84475"/>
    <w:rsid w:val="00C858A0"/>
    <w:rsid w:val="00C90E6E"/>
    <w:rsid w:val="00CA0BC6"/>
    <w:rsid w:val="00CA5B38"/>
    <w:rsid w:val="00CC025F"/>
    <w:rsid w:val="00CC045E"/>
    <w:rsid w:val="00CC2456"/>
    <w:rsid w:val="00CD7D47"/>
    <w:rsid w:val="00CE0F9D"/>
    <w:rsid w:val="00CF192B"/>
    <w:rsid w:val="00CF481C"/>
    <w:rsid w:val="00CF516D"/>
    <w:rsid w:val="00CF6D15"/>
    <w:rsid w:val="00D037A7"/>
    <w:rsid w:val="00D12903"/>
    <w:rsid w:val="00D20914"/>
    <w:rsid w:val="00D26F05"/>
    <w:rsid w:val="00D405B3"/>
    <w:rsid w:val="00D4333B"/>
    <w:rsid w:val="00D72015"/>
    <w:rsid w:val="00D82B63"/>
    <w:rsid w:val="00D879C5"/>
    <w:rsid w:val="00D941DF"/>
    <w:rsid w:val="00D968AC"/>
    <w:rsid w:val="00DA0C8D"/>
    <w:rsid w:val="00DA2C85"/>
    <w:rsid w:val="00DA46F9"/>
    <w:rsid w:val="00DC5880"/>
    <w:rsid w:val="00DD02B8"/>
    <w:rsid w:val="00DD1F8A"/>
    <w:rsid w:val="00DD2A27"/>
    <w:rsid w:val="00DE18CD"/>
    <w:rsid w:val="00DE4D27"/>
    <w:rsid w:val="00DF059D"/>
    <w:rsid w:val="00DF1E91"/>
    <w:rsid w:val="00E03FDF"/>
    <w:rsid w:val="00E04DB8"/>
    <w:rsid w:val="00E12526"/>
    <w:rsid w:val="00E24324"/>
    <w:rsid w:val="00E5489D"/>
    <w:rsid w:val="00E57E10"/>
    <w:rsid w:val="00E611F2"/>
    <w:rsid w:val="00E62CCD"/>
    <w:rsid w:val="00E74090"/>
    <w:rsid w:val="00E927B5"/>
    <w:rsid w:val="00E953E5"/>
    <w:rsid w:val="00E95A8A"/>
    <w:rsid w:val="00E97C9D"/>
    <w:rsid w:val="00EB0039"/>
    <w:rsid w:val="00EB432F"/>
    <w:rsid w:val="00EC1DE7"/>
    <w:rsid w:val="00EC7A4A"/>
    <w:rsid w:val="00ED030D"/>
    <w:rsid w:val="00ED7449"/>
    <w:rsid w:val="00EE7053"/>
    <w:rsid w:val="00F042C3"/>
    <w:rsid w:val="00F10EF4"/>
    <w:rsid w:val="00F15B28"/>
    <w:rsid w:val="00F23CDC"/>
    <w:rsid w:val="00F3328B"/>
    <w:rsid w:val="00F41821"/>
    <w:rsid w:val="00F4238E"/>
    <w:rsid w:val="00F535F6"/>
    <w:rsid w:val="00F562FD"/>
    <w:rsid w:val="00F6755F"/>
    <w:rsid w:val="00F72C32"/>
    <w:rsid w:val="00F7753D"/>
    <w:rsid w:val="00F93520"/>
    <w:rsid w:val="00F95D9A"/>
    <w:rsid w:val="00FA41C5"/>
    <w:rsid w:val="00FA61A6"/>
    <w:rsid w:val="00FB35A0"/>
    <w:rsid w:val="00FB36F3"/>
    <w:rsid w:val="00FB6751"/>
    <w:rsid w:val="00FC76E2"/>
    <w:rsid w:val="00FC79F6"/>
    <w:rsid w:val="00FD78CA"/>
    <w:rsid w:val="00FE0BAE"/>
    <w:rsid w:val="00FE423D"/>
    <w:rsid w:val="00FE44EE"/>
    <w:rsid w:val="00FE4AE3"/>
    <w:rsid w:val="00FE4EF2"/>
    <w:rsid w:val="00FF104C"/>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27"/>
    <w:pPr>
      <w:ind w:left="720"/>
      <w:contextualSpacing/>
    </w:pPr>
  </w:style>
  <w:style w:type="character" w:customStyle="1" w:styleId="apple-converted-space">
    <w:name w:val="apple-converted-space"/>
    <w:basedOn w:val="DefaultParagraphFont"/>
    <w:rsid w:val="0033438A"/>
  </w:style>
  <w:style w:type="character" w:customStyle="1" w:styleId="highlight">
    <w:name w:val="highlight"/>
    <w:basedOn w:val="DefaultParagraphFont"/>
    <w:rsid w:val="0033438A"/>
  </w:style>
  <w:style w:type="table" w:styleId="TableGrid">
    <w:name w:val="Table Grid"/>
    <w:basedOn w:val="TableNormal"/>
    <w:uiPriority w:val="59"/>
    <w:rsid w:val="00E12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125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E1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26"/>
    <w:rPr>
      <w:rFonts w:ascii="Tahoma" w:hAnsi="Tahoma" w:cs="Tahoma"/>
      <w:sz w:val="16"/>
      <w:szCs w:val="16"/>
    </w:rPr>
  </w:style>
  <w:style w:type="paragraph" w:styleId="Header">
    <w:name w:val="header"/>
    <w:basedOn w:val="Normal"/>
    <w:link w:val="HeaderChar"/>
    <w:uiPriority w:val="99"/>
    <w:unhideWhenUsed/>
    <w:rsid w:val="00FC79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FC79F6"/>
  </w:style>
  <w:style w:type="paragraph" w:styleId="Footer">
    <w:name w:val="footer"/>
    <w:basedOn w:val="Normal"/>
    <w:link w:val="FooterChar"/>
    <w:uiPriority w:val="99"/>
    <w:unhideWhenUsed/>
    <w:rsid w:val="00FC79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C79F6"/>
  </w:style>
  <w:style w:type="paragraph" w:styleId="PlainText">
    <w:name w:val="Plain Text"/>
    <w:basedOn w:val="Normal"/>
    <w:link w:val="PlainTextChar"/>
    <w:rsid w:val="0016284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6284A"/>
    <w:rPr>
      <w:rFonts w:ascii="宋体" w:eastAsia="宋体" w:hAnsi="Courier New" w:cs="Courier New"/>
      <w:kern w:val="2"/>
      <w:sz w:val="21"/>
      <w:szCs w:val="21"/>
      <w:lang w:val="en-US" w:eastAsia="zh-CN"/>
    </w:rPr>
  </w:style>
  <w:style w:type="character" w:styleId="Emphasis">
    <w:name w:val="Emphasis"/>
    <w:qFormat/>
    <w:rsid w:val="00D037A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27"/>
    <w:pPr>
      <w:ind w:left="720"/>
      <w:contextualSpacing/>
    </w:pPr>
  </w:style>
  <w:style w:type="character" w:customStyle="1" w:styleId="apple-converted-space">
    <w:name w:val="apple-converted-space"/>
    <w:basedOn w:val="DefaultParagraphFont"/>
    <w:rsid w:val="0033438A"/>
  </w:style>
  <w:style w:type="character" w:customStyle="1" w:styleId="highlight">
    <w:name w:val="highlight"/>
    <w:basedOn w:val="DefaultParagraphFont"/>
    <w:rsid w:val="0033438A"/>
  </w:style>
  <w:style w:type="table" w:styleId="TableGrid">
    <w:name w:val="Table Grid"/>
    <w:basedOn w:val="TableNormal"/>
    <w:uiPriority w:val="59"/>
    <w:rsid w:val="00E12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125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E1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26"/>
    <w:rPr>
      <w:rFonts w:ascii="Tahoma" w:hAnsi="Tahoma" w:cs="Tahoma"/>
      <w:sz w:val="16"/>
      <w:szCs w:val="16"/>
    </w:rPr>
  </w:style>
  <w:style w:type="paragraph" w:styleId="Header">
    <w:name w:val="header"/>
    <w:basedOn w:val="Normal"/>
    <w:link w:val="HeaderChar"/>
    <w:uiPriority w:val="99"/>
    <w:unhideWhenUsed/>
    <w:rsid w:val="00FC79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FC79F6"/>
  </w:style>
  <w:style w:type="paragraph" w:styleId="Footer">
    <w:name w:val="footer"/>
    <w:basedOn w:val="Normal"/>
    <w:link w:val="FooterChar"/>
    <w:uiPriority w:val="99"/>
    <w:unhideWhenUsed/>
    <w:rsid w:val="00FC79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C79F6"/>
  </w:style>
  <w:style w:type="paragraph" w:styleId="PlainText">
    <w:name w:val="Plain Text"/>
    <w:basedOn w:val="Normal"/>
    <w:link w:val="PlainTextChar"/>
    <w:rsid w:val="0016284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6284A"/>
    <w:rPr>
      <w:rFonts w:ascii="宋体" w:eastAsia="宋体" w:hAnsi="Courier New" w:cs="Courier New"/>
      <w:kern w:val="2"/>
      <w:sz w:val="21"/>
      <w:szCs w:val="21"/>
      <w:lang w:val="en-US" w:eastAsia="zh-CN"/>
    </w:rPr>
  </w:style>
  <w:style w:type="character" w:styleId="Emphasis">
    <w:name w:val="Emphasis"/>
    <w:qFormat/>
    <w:rsid w:val="00D03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91">
      <w:bodyDiv w:val="1"/>
      <w:marLeft w:val="0"/>
      <w:marRight w:val="0"/>
      <w:marTop w:val="0"/>
      <w:marBottom w:val="0"/>
      <w:divBdr>
        <w:top w:val="none" w:sz="0" w:space="0" w:color="auto"/>
        <w:left w:val="none" w:sz="0" w:space="0" w:color="auto"/>
        <w:bottom w:val="none" w:sz="0" w:space="0" w:color="auto"/>
        <w:right w:val="none" w:sz="0" w:space="0" w:color="auto"/>
      </w:divBdr>
    </w:div>
    <w:div w:id="36128116">
      <w:bodyDiv w:val="1"/>
      <w:marLeft w:val="0"/>
      <w:marRight w:val="0"/>
      <w:marTop w:val="0"/>
      <w:marBottom w:val="0"/>
      <w:divBdr>
        <w:top w:val="none" w:sz="0" w:space="0" w:color="auto"/>
        <w:left w:val="none" w:sz="0" w:space="0" w:color="auto"/>
        <w:bottom w:val="none" w:sz="0" w:space="0" w:color="auto"/>
        <w:right w:val="none" w:sz="0" w:space="0" w:color="auto"/>
      </w:divBdr>
    </w:div>
    <w:div w:id="90317879">
      <w:bodyDiv w:val="1"/>
      <w:marLeft w:val="0"/>
      <w:marRight w:val="0"/>
      <w:marTop w:val="0"/>
      <w:marBottom w:val="0"/>
      <w:divBdr>
        <w:top w:val="none" w:sz="0" w:space="0" w:color="auto"/>
        <w:left w:val="none" w:sz="0" w:space="0" w:color="auto"/>
        <w:bottom w:val="none" w:sz="0" w:space="0" w:color="auto"/>
        <w:right w:val="none" w:sz="0" w:space="0" w:color="auto"/>
      </w:divBdr>
    </w:div>
    <w:div w:id="122313290">
      <w:bodyDiv w:val="1"/>
      <w:marLeft w:val="0"/>
      <w:marRight w:val="0"/>
      <w:marTop w:val="0"/>
      <w:marBottom w:val="0"/>
      <w:divBdr>
        <w:top w:val="none" w:sz="0" w:space="0" w:color="auto"/>
        <w:left w:val="none" w:sz="0" w:space="0" w:color="auto"/>
        <w:bottom w:val="none" w:sz="0" w:space="0" w:color="auto"/>
        <w:right w:val="none" w:sz="0" w:space="0" w:color="auto"/>
      </w:divBdr>
      <w:divsChild>
        <w:div w:id="984625689">
          <w:marLeft w:val="0"/>
          <w:marRight w:val="0"/>
          <w:marTop w:val="0"/>
          <w:marBottom w:val="0"/>
          <w:divBdr>
            <w:top w:val="none" w:sz="0" w:space="0" w:color="auto"/>
            <w:left w:val="none" w:sz="0" w:space="0" w:color="auto"/>
            <w:bottom w:val="none" w:sz="0" w:space="0" w:color="auto"/>
            <w:right w:val="none" w:sz="0" w:space="0" w:color="auto"/>
          </w:divBdr>
        </w:div>
        <w:div w:id="1114908302">
          <w:marLeft w:val="0"/>
          <w:marRight w:val="0"/>
          <w:marTop w:val="34"/>
          <w:marBottom w:val="34"/>
          <w:divBdr>
            <w:top w:val="none" w:sz="0" w:space="0" w:color="auto"/>
            <w:left w:val="none" w:sz="0" w:space="0" w:color="auto"/>
            <w:bottom w:val="none" w:sz="0" w:space="0" w:color="auto"/>
            <w:right w:val="none" w:sz="0" w:space="0" w:color="auto"/>
          </w:divBdr>
        </w:div>
      </w:divsChild>
    </w:div>
    <w:div w:id="150760956">
      <w:bodyDiv w:val="1"/>
      <w:marLeft w:val="0"/>
      <w:marRight w:val="0"/>
      <w:marTop w:val="0"/>
      <w:marBottom w:val="0"/>
      <w:divBdr>
        <w:top w:val="none" w:sz="0" w:space="0" w:color="auto"/>
        <w:left w:val="none" w:sz="0" w:space="0" w:color="auto"/>
        <w:bottom w:val="none" w:sz="0" w:space="0" w:color="auto"/>
        <w:right w:val="none" w:sz="0" w:space="0" w:color="auto"/>
      </w:divBdr>
    </w:div>
    <w:div w:id="153108250">
      <w:bodyDiv w:val="1"/>
      <w:marLeft w:val="0"/>
      <w:marRight w:val="0"/>
      <w:marTop w:val="0"/>
      <w:marBottom w:val="0"/>
      <w:divBdr>
        <w:top w:val="none" w:sz="0" w:space="0" w:color="auto"/>
        <w:left w:val="none" w:sz="0" w:space="0" w:color="auto"/>
        <w:bottom w:val="none" w:sz="0" w:space="0" w:color="auto"/>
        <w:right w:val="none" w:sz="0" w:space="0" w:color="auto"/>
      </w:divBdr>
    </w:div>
    <w:div w:id="159741404">
      <w:bodyDiv w:val="1"/>
      <w:marLeft w:val="0"/>
      <w:marRight w:val="0"/>
      <w:marTop w:val="0"/>
      <w:marBottom w:val="0"/>
      <w:divBdr>
        <w:top w:val="none" w:sz="0" w:space="0" w:color="auto"/>
        <w:left w:val="none" w:sz="0" w:space="0" w:color="auto"/>
        <w:bottom w:val="none" w:sz="0" w:space="0" w:color="auto"/>
        <w:right w:val="none" w:sz="0" w:space="0" w:color="auto"/>
      </w:divBdr>
    </w:div>
    <w:div w:id="178348251">
      <w:bodyDiv w:val="1"/>
      <w:marLeft w:val="0"/>
      <w:marRight w:val="0"/>
      <w:marTop w:val="0"/>
      <w:marBottom w:val="0"/>
      <w:divBdr>
        <w:top w:val="none" w:sz="0" w:space="0" w:color="auto"/>
        <w:left w:val="none" w:sz="0" w:space="0" w:color="auto"/>
        <w:bottom w:val="none" w:sz="0" w:space="0" w:color="auto"/>
        <w:right w:val="none" w:sz="0" w:space="0" w:color="auto"/>
      </w:divBdr>
      <w:divsChild>
        <w:div w:id="933972627">
          <w:marLeft w:val="0"/>
          <w:marRight w:val="0"/>
          <w:marTop w:val="240"/>
          <w:marBottom w:val="100"/>
          <w:divBdr>
            <w:top w:val="none" w:sz="0" w:space="0" w:color="auto"/>
            <w:left w:val="none" w:sz="0" w:space="0" w:color="auto"/>
            <w:bottom w:val="none" w:sz="0" w:space="0" w:color="auto"/>
            <w:right w:val="none" w:sz="0" w:space="0" w:color="auto"/>
          </w:divBdr>
          <w:divsChild>
            <w:div w:id="10684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759">
      <w:bodyDiv w:val="1"/>
      <w:marLeft w:val="0"/>
      <w:marRight w:val="0"/>
      <w:marTop w:val="0"/>
      <w:marBottom w:val="0"/>
      <w:divBdr>
        <w:top w:val="none" w:sz="0" w:space="0" w:color="auto"/>
        <w:left w:val="none" w:sz="0" w:space="0" w:color="auto"/>
        <w:bottom w:val="none" w:sz="0" w:space="0" w:color="auto"/>
        <w:right w:val="none" w:sz="0" w:space="0" w:color="auto"/>
      </w:divBdr>
    </w:div>
    <w:div w:id="230821625">
      <w:bodyDiv w:val="1"/>
      <w:marLeft w:val="0"/>
      <w:marRight w:val="0"/>
      <w:marTop w:val="0"/>
      <w:marBottom w:val="0"/>
      <w:divBdr>
        <w:top w:val="none" w:sz="0" w:space="0" w:color="auto"/>
        <w:left w:val="none" w:sz="0" w:space="0" w:color="auto"/>
        <w:bottom w:val="none" w:sz="0" w:space="0" w:color="auto"/>
        <w:right w:val="none" w:sz="0" w:space="0" w:color="auto"/>
      </w:divBdr>
      <w:divsChild>
        <w:div w:id="867791000">
          <w:marLeft w:val="0"/>
          <w:marRight w:val="0"/>
          <w:marTop w:val="0"/>
          <w:marBottom w:val="0"/>
          <w:divBdr>
            <w:top w:val="none" w:sz="0" w:space="0" w:color="auto"/>
            <w:left w:val="none" w:sz="0" w:space="0" w:color="auto"/>
            <w:bottom w:val="none" w:sz="0" w:space="0" w:color="auto"/>
            <w:right w:val="none" w:sz="0" w:space="0" w:color="auto"/>
          </w:divBdr>
        </w:div>
        <w:div w:id="2055350186">
          <w:marLeft w:val="0"/>
          <w:marRight w:val="0"/>
          <w:marTop w:val="34"/>
          <w:marBottom w:val="34"/>
          <w:divBdr>
            <w:top w:val="none" w:sz="0" w:space="0" w:color="auto"/>
            <w:left w:val="none" w:sz="0" w:space="0" w:color="auto"/>
            <w:bottom w:val="none" w:sz="0" w:space="0" w:color="auto"/>
            <w:right w:val="none" w:sz="0" w:space="0" w:color="auto"/>
          </w:divBdr>
        </w:div>
      </w:divsChild>
    </w:div>
    <w:div w:id="271207912">
      <w:bodyDiv w:val="1"/>
      <w:marLeft w:val="0"/>
      <w:marRight w:val="0"/>
      <w:marTop w:val="0"/>
      <w:marBottom w:val="0"/>
      <w:divBdr>
        <w:top w:val="none" w:sz="0" w:space="0" w:color="auto"/>
        <w:left w:val="none" w:sz="0" w:space="0" w:color="auto"/>
        <w:bottom w:val="none" w:sz="0" w:space="0" w:color="auto"/>
        <w:right w:val="none" w:sz="0" w:space="0" w:color="auto"/>
      </w:divBdr>
    </w:div>
    <w:div w:id="274872000">
      <w:bodyDiv w:val="1"/>
      <w:marLeft w:val="0"/>
      <w:marRight w:val="0"/>
      <w:marTop w:val="0"/>
      <w:marBottom w:val="0"/>
      <w:divBdr>
        <w:top w:val="none" w:sz="0" w:space="0" w:color="auto"/>
        <w:left w:val="none" w:sz="0" w:space="0" w:color="auto"/>
        <w:bottom w:val="none" w:sz="0" w:space="0" w:color="auto"/>
        <w:right w:val="none" w:sz="0" w:space="0" w:color="auto"/>
      </w:divBdr>
    </w:div>
    <w:div w:id="307056188">
      <w:bodyDiv w:val="1"/>
      <w:marLeft w:val="0"/>
      <w:marRight w:val="0"/>
      <w:marTop w:val="0"/>
      <w:marBottom w:val="0"/>
      <w:divBdr>
        <w:top w:val="none" w:sz="0" w:space="0" w:color="auto"/>
        <w:left w:val="none" w:sz="0" w:space="0" w:color="auto"/>
        <w:bottom w:val="none" w:sz="0" w:space="0" w:color="auto"/>
        <w:right w:val="none" w:sz="0" w:space="0" w:color="auto"/>
      </w:divBdr>
      <w:divsChild>
        <w:div w:id="349066670">
          <w:marLeft w:val="0"/>
          <w:marRight w:val="0"/>
          <w:marTop w:val="0"/>
          <w:marBottom w:val="0"/>
          <w:divBdr>
            <w:top w:val="none" w:sz="0" w:space="0" w:color="auto"/>
            <w:left w:val="none" w:sz="0" w:space="0" w:color="auto"/>
            <w:bottom w:val="none" w:sz="0" w:space="0" w:color="auto"/>
            <w:right w:val="none" w:sz="0" w:space="0" w:color="auto"/>
          </w:divBdr>
        </w:div>
        <w:div w:id="917907713">
          <w:marLeft w:val="0"/>
          <w:marRight w:val="0"/>
          <w:marTop w:val="34"/>
          <w:marBottom w:val="34"/>
          <w:divBdr>
            <w:top w:val="none" w:sz="0" w:space="0" w:color="auto"/>
            <w:left w:val="none" w:sz="0" w:space="0" w:color="auto"/>
            <w:bottom w:val="none" w:sz="0" w:space="0" w:color="auto"/>
            <w:right w:val="none" w:sz="0" w:space="0" w:color="auto"/>
          </w:divBdr>
        </w:div>
      </w:divsChild>
    </w:div>
    <w:div w:id="348994274">
      <w:bodyDiv w:val="1"/>
      <w:marLeft w:val="0"/>
      <w:marRight w:val="0"/>
      <w:marTop w:val="0"/>
      <w:marBottom w:val="0"/>
      <w:divBdr>
        <w:top w:val="none" w:sz="0" w:space="0" w:color="auto"/>
        <w:left w:val="none" w:sz="0" w:space="0" w:color="auto"/>
        <w:bottom w:val="none" w:sz="0" w:space="0" w:color="auto"/>
        <w:right w:val="none" w:sz="0" w:space="0" w:color="auto"/>
      </w:divBdr>
      <w:divsChild>
        <w:div w:id="828134997">
          <w:marLeft w:val="0"/>
          <w:marRight w:val="0"/>
          <w:marTop w:val="0"/>
          <w:marBottom w:val="0"/>
          <w:divBdr>
            <w:top w:val="none" w:sz="0" w:space="0" w:color="auto"/>
            <w:left w:val="none" w:sz="0" w:space="0" w:color="auto"/>
            <w:bottom w:val="none" w:sz="0" w:space="0" w:color="auto"/>
            <w:right w:val="none" w:sz="0" w:space="0" w:color="auto"/>
          </w:divBdr>
        </w:div>
        <w:div w:id="1283725982">
          <w:marLeft w:val="0"/>
          <w:marRight w:val="0"/>
          <w:marTop w:val="34"/>
          <w:marBottom w:val="34"/>
          <w:divBdr>
            <w:top w:val="none" w:sz="0" w:space="0" w:color="auto"/>
            <w:left w:val="none" w:sz="0" w:space="0" w:color="auto"/>
            <w:bottom w:val="none" w:sz="0" w:space="0" w:color="auto"/>
            <w:right w:val="none" w:sz="0" w:space="0" w:color="auto"/>
          </w:divBdr>
        </w:div>
      </w:divsChild>
    </w:div>
    <w:div w:id="370225983">
      <w:bodyDiv w:val="1"/>
      <w:marLeft w:val="0"/>
      <w:marRight w:val="0"/>
      <w:marTop w:val="0"/>
      <w:marBottom w:val="0"/>
      <w:divBdr>
        <w:top w:val="none" w:sz="0" w:space="0" w:color="auto"/>
        <w:left w:val="none" w:sz="0" w:space="0" w:color="auto"/>
        <w:bottom w:val="none" w:sz="0" w:space="0" w:color="auto"/>
        <w:right w:val="none" w:sz="0" w:space="0" w:color="auto"/>
      </w:divBdr>
      <w:divsChild>
        <w:div w:id="278342095">
          <w:marLeft w:val="0"/>
          <w:marRight w:val="0"/>
          <w:marTop w:val="90"/>
          <w:marBottom w:val="60"/>
          <w:divBdr>
            <w:top w:val="none" w:sz="0" w:space="0" w:color="auto"/>
            <w:left w:val="none" w:sz="0" w:space="0" w:color="auto"/>
            <w:bottom w:val="none" w:sz="0" w:space="0" w:color="auto"/>
            <w:right w:val="none" w:sz="0" w:space="0" w:color="auto"/>
          </w:divBdr>
          <w:divsChild>
            <w:div w:id="762410840">
              <w:marLeft w:val="0"/>
              <w:marRight w:val="30"/>
              <w:marTop w:val="0"/>
              <w:marBottom w:val="0"/>
              <w:divBdr>
                <w:top w:val="none" w:sz="0" w:space="0" w:color="auto"/>
                <w:left w:val="none" w:sz="0" w:space="0" w:color="auto"/>
                <w:bottom w:val="none" w:sz="0" w:space="0" w:color="auto"/>
                <w:right w:val="none" w:sz="0" w:space="0" w:color="auto"/>
              </w:divBdr>
            </w:div>
          </w:divsChild>
        </w:div>
        <w:div w:id="1751384999">
          <w:marLeft w:val="-100"/>
          <w:marRight w:val="0"/>
          <w:marTop w:val="0"/>
          <w:marBottom w:val="150"/>
          <w:divBdr>
            <w:top w:val="dashed" w:sz="4" w:space="3" w:color="666666"/>
            <w:left w:val="none" w:sz="0" w:space="0" w:color="auto"/>
            <w:bottom w:val="dashed" w:sz="4" w:space="5" w:color="666666"/>
            <w:right w:val="none" w:sz="0" w:space="0" w:color="auto"/>
          </w:divBdr>
          <w:divsChild>
            <w:div w:id="264114702">
              <w:marLeft w:val="0"/>
              <w:marRight w:val="0"/>
              <w:marTop w:val="0"/>
              <w:marBottom w:val="0"/>
              <w:divBdr>
                <w:top w:val="none" w:sz="0" w:space="0" w:color="auto"/>
                <w:left w:val="none" w:sz="0" w:space="0" w:color="auto"/>
                <w:bottom w:val="none" w:sz="0" w:space="0" w:color="auto"/>
                <w:right w:val="none" w:sz="0" w:space="0" w:color="auto"/>
              </w:divBdr>
            </w:div>
            <w:div w:id="280233047">
              <w:marLeft w:val="0"/>
              <w:marRight w:val="0"/>
              <w:marTop w:val="0"/>
              <w:marBottom w:val="0"/>
              <w:divBdr>
                <w:top w:val="none" w:sz="0" w:space="0" w:color="auto"/>
                <w:left w:val="none" w:sz="0" w:space="0" w:color="auto"/>
                <w:bottom w:val="none" w:sz="0" w:space="0" w:color="auto"/>
                <w:right w:val="none" w:sz="0" w:space="0" w:color="auto"/>
              </w:divBdr>
            </w:div>
            <w:div w:id="537397401">
              <w:marLeft w:val="0"/>
              <w:marRight w:val="0"/>
              <w:marTop w:val="0"/>
              <w:marBottom w:val="0"/>
              <w:divBdr>
                <w:top w:val="none" w:sz="0" w:space="0" w:color="auto"/>
                <w:left w:val="none" w:sz="0" w:space="0" w:color="auto"/>
                <w:bottom w:val="none" w:sz="0" w:space="0" w:color="auto"/>
                <w:right w:val="none" w:sz="0" w:space="0" w:color="auto"/>
              </w:divBdr>
            </w:div>
            <w:div w:id="617299209">
              <w:marLeft w:val="0"/>
              <w:marRight w:val="0"/>
              <w:marTop w:val="0"/>
              <w:marBottom w:val="0"/>
              <w:divBdr>
                <w:top w:val="none" w:sz="0" w:space="0" w:color="auto"/>
                <w:left w:val="none" w:sz="0" w:space="0" w:color="auto"/>
                <w:bottom w:val="none" w:sz="0" w:space="0" w:color="auto"/>
                <w:right w:val="none" w:sz="0" w:space="0" w:color="auto"/>
              </w:divBdr>
            </w:div>
          </w:divsChild>
        </w:div>
        <w:div w:id="1786659838">
          <w:marLeft w:val="0"/>
          <w:marRight w:val="0"/>
          <w:marTop w:val="150"/>
          <w:marBottom w:val="150"/>
          <w:divBdr>
            <w:top w:val="dashed" w:sz="4" w:space="0" w:color="787878"/>
            <w:left w:val="dashed" w:sz="4" w:space="0" w:color="787878"/>
            <w:bottom w:val="dashed" w:sz="4" w:space="0" w:color="787878"/>
            <w:right w:val="dashed" w:sz="4" w:space="0" w:color="787878"/>
          </w:divBdr>
          <w:divsChild>
            <w:div w:id="151915086">
              <w:marLeft w:val="0"/>
              <w:marRight w:val="0"/>
              <w:marTop w:val="0"/>
              <w:marBottom w:val="0"/>
              <w:divBdr>
                <w:top w:val="none" w:sz="0" w:space="0" w:color="auto"/>
                <w:left w:val="none" w:sz="0" w:space="0" w:color="auto"/>
                <w:bottom w:val="none" w:sz="0" w:space="0" w:color="auto"/>
                <w:right w:val="none" w:sz="0" w:space="0" w:color="auto"/>
              </w:divBdr>
            </w:div>
            <w:div w:id="1736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5428">
      <w:bodyDiv w:val="1"/>
      <w:marLeft w:val="0"/>
      <w:marRight w:val="0"/>
      <w:marTop w:val="0"/>
      <w:marBottom w:val="0"/>
      <w:divBdr>
        <w:top w:val="none" w:sz="0" w:space="0" w:color="auto"/>
        <w:left w:val="none" w:sz="0" w:space="0" w:color="auto"/>
        <w:bottom w:val="none" w:sz="0" w:space="0" w:color="auto"/>
        <w:right w:val="none" w:sz="0" w:space="0" w:color="auto"/>
      </w:divBdr>
    </w:div>
    <w:div w:id="456726254">
      <w:bodyDiv w:val="1"/>
      <w:marLeft w:val="0"/>
      <w:marRight w:val="0"/>
      <w:marTop w:val="0"/>
      <w:marBottom w:val="0"/>
      <w:divBdr>
        <w:top w:val="none" w:sz="0" w:space="0" w:color="auto"/>
        <w:left w:val="none" w:sz="0" w:space="0" w:color="auto"/>
        <w:bottom w:val="none" w:sz="0" w:space="0" w:color="auto"/>
        <w:right w:val="none" w:sz="0" w:space="0" w:color="auto"/>
      </w:divBdr>
    </w:div>
    <w:div w:id="505706556">
      <w:bodyDiv w:val="1"/>
      <w:marLeft w:val="0"/>
      <w:marRight w:val="0"/>
      <w:marTop w:val="0"/>
      <w:marBottom w:val="0"/>
      <w:divBdr>
        <w:top w:val="none" w:sz="0" w:space="0" w:color="auto"/>
        <w:left w:val="none" w:sz="0" w:space="0" w:color="auto"/>
        <w:bottom w:val="none" w:sz="0" w:space="0" w:color="auto"/>
        <w:right w:val="none" w:sz="0" w:space="0" w:color="auto"/>
      </w:divBdr>
    </w:div>
    <w:div w:id="556280755">
      <w:bodyDiv w:val="1"/>
      <w:marLeft w:val="0"/>
      <w:marRight w:val="0"/>
      <w:marTop w:val="0"/>
      <w:marBottom w:val="0"/>
      <w:divBdr>
        <w:top w:val="none" w:sz="0" w:space="0" w:color="auto"/>
        <w:left w:val="none" w:sz="0" w:space="0" w:color="auto"/>
        <w:bottom w:val="none" w:sz="0" w:space="0" w:color="auto"/>
        <w:right w:val="none" w:sz="0" w:space="0" w:color="auto"/>
      </w:divBdr>
    </w:div>
    <w:div w:id="579950349">
      <w:bodyDiv w:val="1"/>
      <w:marLeft w:val="0"/>
      <w:marRight w:val="0"/>
      <w:marTop w:val="0"/>
      <w:marBottom w:val="0"/>
      <w:divBdr>
        <w:top w:val="none" w:sz="0" w:space="0" w:color="auto"/>
        <w:left w:val="none" w:sz="0" w:space="0" w:color="auto"/>
        <w:bottom w:val="none" w:sz="0" w:space="0" w:color="auto"/>
        <w:right w:val="none" w:sz="0" w:space="0" w:color="auto"/>
      </w:divBdr>
    </w:div>
    <w:div w:id="637803663">
      <w:bodyDiv w:val="1"/>
      <w:marLeft w:val="0"/>
      <w:marRight w:val="0"/>
      <w:marTop w:val="0"/>
      <w:marBottom w:val="0"/>
      <w:divBdr>
        <w:top w:val="none" w:sz="0" w:space="0" w:color="auto"/>
        <w:left w:val="none" w:sz="0" w:space="0" w:color="auto"/>
        <w:bottom w:val="none" w:sz="0" w:space="0" w:color="auto"/>
        <w:right w:val="none" w:sz="0" w:space="0" w:color="auto"/>
      </w:divBdr>
    </w:div>
    <w:div w:id="673067007">
      <w:bodyDiv w:val="1"/>
      <w:marLeft w:val="0"/>
      <w:marRight w:val="0"/>
      <w:marTop w:val="0"/>
      <w:marBottom w:val="0"/>
      <w:divBdr>
        <w:top w:val="none" w:sz="0" w:space="0" w:color="auto"/>
        <w:left w:val="none" w:sz="0" w:space="0" w:color="auto"/>
        <w:bottom w:val="none" w:sz="0" w:space="0" w:color="auto"/>
        <w:right w:val="none" w:sz="0" w:space="0" w:color="auto"/>
      </w:divBdr>
    </w:div>
    <w:div w:id="720634422">
      <w:bodyDiv w:val="1"/>
      <w:marLeft w:val="0"/>
      <w:marRight w:val="0"/>
      <w:marTop w:val="0"/>
      <w:marBottom w:val="0"/>
      <w:divBdr>
        <w:top w:val="none" w:sz="0" w:space="0" w:color="auto"/>
        <w:left w:val="none" w:sz="0" w:space="0" w:color="auto"/>
        <w:bottom w:val="none" w:sz="0" w:space="0" w:color="auto"/>
        <w:right w:val="none" w:sz="0" w:space="0" w:color="auto"/>
      </w:divBdr>
    </w:div>
    <w:div w:id="730202623">
      <w:bodyDiv w:val="1"/>
      <w:marLeft w:val="0"/>
      <w:marRight w:val="0"/>
      <w:marTop w:val="0"/>
      <w:marBottom w:val="0"/>
      <w:divBdr>
        <w:top w:val="none" w:sz="0" w:space="0" w:color="auto"/>
        <w:left w:val="none" w:sz="0" w:space="0" w:color="auto"/>
        <w:bottom w:val="none" w:sz="0" w:space="0" w:color="auto"/>
        <w:right w:val="none" w:sz="0" w:space="0" w:color="auto"/>
      </w:divBdr>
    </w:div>
    <w:div w:id="884608520">
      <w:bodyDiv w:val="1"/>
      <w:marLeft w:val="0"/>
      <w:marRight w:val="0"/>
      <w:marTop w:val="0"/>
      <w:marBottom w:val="0"/>
      <w:divBdr>
        <w:top w:val="none" w:sz="0" w:space="0" w:color="auto"/>
        <w:left w:val="none" w:sz="0" w:space="0" w:color="auto"/>
        <w:bottom w:val="none" w:sz="0" w:space="0" w:color="auto"/>
        <w:right w:val="none" w:sz="0" w:space="0" w:color="auto"/>
      </w:divBdr>
      <w:divsChild>
        <w:div w:id="1137911665">
          <w:marLeft w:val="0"/>
          <w:marRight w:val="0"/>
          <w:marTop w:val="0"/>
          <w:marBottom w:val="0"/>
          <w:divBdr>
            <w:top w:val="none" w:sz="0" w:space="0" w:color="auto"/>
            <w:left w:val="none" w:sz="0" w:space="0" w:color="auto"/>
            <w:bottom w:val="none" w:sz="0" w:space="0" w:color="auto"/>
            <w:right w:val="none" w:sz="0" w:space="0" w:color="auto"/>
          </w:divBdr>
        </w:div>
        <w:div w:id="1986348379">
          <w:marLeft w:val="0"/>
          <w:marRight w:val="0"/>
          <w:marTop w:val="34"/>
          <w:marBottom w:val="34"/>
          <w:divBdr>
            <w:top w:val="none" w:sz="0" w:space="0" w:color="auto"/>
            <w:left w:val="none" w:sz="0" w:space="0" w:color="auto"/>
            <w:bottom w:val="none" w:sz="0" w:space="0" w:color="auto"/>
            <w:right w:val="none" w:sz="0" w:space="0" w:color="auto"/>
          </w:divBdr>
        </w:div>
      </w:divsChild>
    </w:div>
    <w:div w:id="999232313">
      <w:bodyDiv w:val="1"/>
      <w:marLeft w:val="0"/>
      <w:marRight w:val="0"/>
      <w:marTop w:val="0"/>
      <w:marBottom w:val="0"/>
      <w:divBdr>
        <w:top w:val="none" w:sz="0" w:space="0" w:color="auto"/>
        <w:left w:val="none" w:sz="0" w:space="0" w:color="auto"/>
        <w:bottom w:val="none" w:sz="0" w:space="0" w:color="auto"/>
        <w:right w:val="none" w:sz="0" w:space="0" w:color="auto"/>
      </w:divBdr>
    </w:div>
    <w:div w:id="1039892167">
      <w:bodyDiv w:val="1"/>
      <w:marLeft w:val="0"/>
      <w:marRight w:val="0"/>
      <w:marTop w:val="0"/>
      <w:marBottom w:val="0"/>
      <w:divBdr>
        <w:top w:val="none" w:sz="0" w:space="0" w:color="auto"/>
        <w:left w:val="none" w:sz="0" w:space="0" w:color="auto"/>
        <w:bottom w:val="none" w:sz="0" w:space="0" w:color="auto"/>
        <w:right w:val="none" w:sz="0" w:space="0" w:color="auto"/>
      </w:divBdr>
      <w:divsChild>
        <w:div w:id="395400634">
          <w:marLeft w:val="0"/>
          <w:marRight w:val="0"/>
          <w:marTop w:val="34"/>
          <w:marBottom w:val="34"/>
          <w:divBdr>
            <w:top w:val="none" w:sz="0" w:space="0" w:color="auto"/>
            <w:left w:val="none" w:sz="0" w:space="0" w:color="auto"/>
            <w:bottom w:val="none" w:sz="0" w:space="0" w:color="auto"/>
            <w:right w:val="none" w:sz="0" w:space="0" w:color="auto"/>
          </w:divBdr>
        </w:div>
        <w:div w:id="1858883127">
          <w:marLeft w:val="0"/>
          <w:marRight w:val="0"/>
          <w:marTop w:val="0"/>
          <w:marBottom w:val="0"/>
          <w:divBdr>
            <w:top w:val="none" w:sz="0" w:space="0" w:color="auto"/>
            <w:left w:val="none" w:sz="0" w:space="0" w:color="auto"/>
            <w:bottom w:val="none" w:sz="0" w:space="0" w:color="auto"/>
            <w:right w:val="none" w:sz="0" w:space="0" w:color="auto"/>
          </w:divBdr>
        </w:div>
      </w:divsChild>
    </w:div>
    <w:div w:id="1041124624">
      <w:bodyDiv w:val="1"/>
      <w:marLeft w:val="0"/>
      <w:marRight w:val="0"/>
      <w:marTop w:val="0"/>
      <w:marBottom w:val="0"/>
      <w:divBdr>
        <w:top w:val="none" w:sz="0" w:space="0" w:color="auto"/>
        <w:left w:val="none" w:sz="0" w:space="0" w:color="auto"/>
        <w:bottom w:val="none" w:sz="0" w:space="0" w:color="auto"/>
        <w:right w:val="none" w:sz="0" w:space="0" w:color="auto"/>
      </w:divBdr>
      <w:divsChild>
        <w:div w:id="437412496">
          <w:marLeft w:val="0"/>
          <w:marRight w:val="0"/>
          <w:marTop w:val="120"/>
          <w:marBottom w:val="360"/>
          <w:divBdr>
            <w:top w:val="none" w:sz="0" w:space="0" w:color="auto"/>
            <w:left w:val="none" w:sz="0" w:space="0" w:color="auto"/>
            <w:bottom w:val="none" w:sz="0" w:space="0" w:color="auto"/>
            <w:right w:val="none" w:sz="0" w:space="0" w:color="auto"/>
          </w:divBdr>
          <w:divsChild>
            <w:div w:id="1303804574">
              <w:marLeft w:val="280"/>
              <w:marRight w:val="0"/>
              <w:marTop w:val="0"/>
              <w:marBottom w:val="0"/>
              <w:divBdr>
                <w:top w:val="none" w:sz="0" w:space="0" w:color="auto"/>
                <w:left w:val="none" w:sz="0" w:space="0" w:color="auto"/>
                <w:bottom w:val="none" w:sz="0" w:space="0" w:color="auto"/>
                <w:right w:val="none" w:sz="0" w:space="0" w:color="auto"/>
              </w:divBdr>
              <w:divsChild>
                <w:div w:id="269825965">
                  <w:marLeft w:val="0"/>
                  <w:marRight w:val="0"/>
                  <w:marTop w:val="34"/>
                  <w:marBottom w:val="34"/>
                  <w:divBdr>
                    <w:top w:val="none" w:sz="0" w:space="0" w:color="auto"/>
                    <w:left w:val="none" w:sz="0" w:space="0" w:color="auto"/>
                    <w:bottom w:val="none" w:sz="0" w:space="0" w:color="auto"/>
                    <w:right w:val="none" w:sz="0" w:space="0" w:color="auto"/>
                  </w:divBdr>
                </w:div>
                <w:div w:id="1981223512">
                  <w:marLeft w:val="0"/>
                  <w:marRight w:val="0"/>
                  <w:marTop w:val="0"/>
                  <w:marBottom w:val="0"/>
                  <w:divBdr>
                    <w:top w:val="none" w:sz="0" w:space="0" w:color="auto"/>
                    <w:left w:val="none" w:sz="0" w:space="0" w:color="auto"/>
                    <w:bottom w:val="none" w:sz="0" w:space="0" w:color="auto"/>
                    <w:right w:val="none" w:sz="0" w:space="0" w:color="auto"/>
                  </w:divBdr>
                  <w:divsChild>
                    <w:div w:id="51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6141">
          <w:marLeft w:val="0"/>
          <w:marRight w:val="0"/>
          <w:marTop w:val="120"/>
          <w:marBottom w:val="360"/>
          <w:divBdr>
            <w:top w:val="none" w:sz="0" w:space="0" w:color="auto"/>
            <w:left w:val="none" w:sz="0" w:space="0" w:color="auto"/>
            <w:bottom w:val="none" w:sz="0" w:space="0" w:color="auto"/>
            <w:right w:val="none" w:sz="0" w:space="0" w:color="auto"/>
          </w:divBdr>
          <w:divsChild>
            <w:div w:id="1688482938">
              <w:marLeft w:val="0"/>
              <w:marRight w:val="0"/>
              <w:marTop w:val="0"/>
              <w:marBottom w:val="0"/>
              <w:divBdr>
                <w:top w:val="none" w:sz="0" w:space="0" w:color="auto"/>
                <w:left w:val="none" w:sz="0" w:space="0" w:color="auto"/>
                <w:bottom w:val="none" w:sz="0" w:space="0" w:color="auto"/>
                <w:right w:val="none" w:sz="0" w:space="0" w:color="auto"/>
              </w:divBdr>
            </w:div>
            <w:div w:id="1857890562">
              <w:marLeft w:val="280"/>
              <w:marRight w:val="0"/>
              <w:marTop w:val="0"/>
              <w:marBottom w:val="0"/>
              <w:divBdr>
                <w:top w:val="none" w:sz="0" w:space="0" w:color="auto"/>
                <w:left w:val="none" w:sz="0" w:space="0" w:color="auto"/>
                <w:bottom w:val="none" w:sz="0" w:space="0" w:color="auto"/>
                <w:right w:val="none" w:sz="0" w:space="0" w:color="auto"/>
              </w:divBdr>
              <w:divsChild>
                <w:div w:id="1274484365">
                  <w:marLeft w:val="0"/>
                  <w:marRight w:val="0"/>
                  <w:marTop w:val="34"/>
                  <w:marBottom w:val="34"/>
                  <w:divBdr>
                    <w:top w:val="none" w:sz="0" w:space="0" w:color="auto"/>
                    <w:left w:val="none" w:sz="0" w:space="0" w:color="auto"/>
                    <w:bottom w:val="none" w:sz="0" w:space="0" w:color="auto"/>
                    <w:right w:val="none" w:sz="0" w:space="0" w:color="auto"/>
                  </w:divBdr>
                </w:div>
                <w:div w:id="1953244929">
                  <w:marLeft w:val="0"/>
                  <w:marRight w:val="0"/>
                  <w:marTop w:val="0"/>
                  <w:marBottom w:val="0"/>
                  <w:divBdr>
                    <w:top w:val="none" w:sz="0" w:space="0" w:color="auto"/>
                    <w:left w:val="none" w:sz="0" w:space="0" w:color="auto"/>
                    <w:bottom w:val="none" w:sz="0" w:space="0" w:color="auto"/>
                    <w:right w:val="none" w:sz="0" w:space="0" w:color="auto"/>
                  </w:divBdr>
                  <w:divsChild>
                    <w:div w:id="6000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6088">
      <w:bodyDiv w:val="1"/>
      <w:marLeft w:val="0"/>
      <w:marRight w:val="0"/>
      <w:marTop w:val="0"/>
      <w:marBottom w:val="0"/>
      <w:divBdr>
        <w:top w:val="none" w:sz="0" w:space="0" w:color="auto"/>
        <w:left w:val="none" w:sz="0" w:space="0" w:color="auto"/>
        <w:bottom w:val="none" w:sz="0" w:space="0" w:color="auto"/>
        <w:right w:val="none" w:sz="0" w:space="0" w:color="auto"/>
      </w:divBdr>
      <w:divsChild>
        <w:div w:id="1206913603">
          <w:marLeft w:val="0"/>
          <w:marRight w:val="0"/>
          <w:marTop w:val="0"/>
          <w:marBottom w:val="0"/>
          <w:divBdr>
            <w:top w:val="none" w:sz="0" w:space="0" w:color="auto"/>
            <w:left w:val="none" w:sz="0" w:space="0" w:color="auto"/>
            <w:bottom w:val="none" w:sz="0" w:space="0" w:color="auto"/>
            <w:right w:val="none" w:sz="0" w:space="0" w:color="auto"/>
          </w:divBdr>
        </w:div>
        <w:div w:id="1719861467">
          <w:marLeft w:val="0"/>
          <w:marRight w:val="0"/>
          <w:marTop w:val="34"/>
          <w:marBottom w:val="34"/>
          <w:divBdr>
            <w:top w:val="none" w:sz="0" w:space="0" w:color="auto"/>
            <w:left w:val="none" w:sz="0" w:space="0" w:color="auto"/>
            <w:bottom w:val="none" w:sz="0" w:space="0" w:color="auto"/>
            <w:right w:val="none" w:sz="0" w:space="0" w:color="auto"/>
          </w:divBdr>
        </w:div>
      </w:divsChild>
    </w:div>
    <w:div w:id="1118062600">
      <w:bodyDiv w:val="1"/>
      <w:marLeft w:val="0"/>
      <w:marRight w:val="0"/>
      <w:marTop w:val="0"/>
      <w:marBottom w:val="0"/>
      <w:divBdr>
        <w:top w:val="none" w:sz="0" w:space="0" w:color="auto"/>
        <w:left w:val="none" w:sz="0" w:space="0" w:color="auto"/>
        <w:bottom w:val="none" w:sz="0" w:space="0" w:color="auto"/>
        <w:right w:val="none" w:sz="0" w:space="0" w:color="auto"/>
      </w:divBdr>
    </w:div>
    <w:div w:id="1118372719">
      <w:bodyDiv w:val="1"/>
      <w:marLeft w:val="0"/>
      <w:marRight w:val="0"/>
      <w:marTop w:val="0"/>
      <w:marBottom w:val="0"/>
      <w:divBdr>
        <w:top w:val="none" w:sz="0" w:space="0" w:color="auto"/>
        <w:left w:val="none" w:sz="0" w:space="0" w:color="auto"/>
        <w:bottom w:val="none" w:sz="0" w:space="0" w:color="auto"/>
        <w:right w:val="none" w:sz="0" w:space="0" w:color="auto"/>
      </w:divBdr>
    </w:div>
    <w:div w:id="1153371152">
      <w:bodyDiv w:val="1"/>
      <w:marLeft w:val="0"/>
      <w:marRight w:val="0"/>
      <w:marTop w:val="0"/>
      <w:marBottom w:val="0"/>
      <w:divBdr>
        <w:top w:val="none" w:sz="0" w:space="0" w:color="auto"/>
        <w:left w:val="none" w:sz="0" w:space="0" w:color="auto"/>
        <w:bottom w:val="none" w:sz="0" w:space="0" w:color="auto"/>
        <w:right w:val="none" w:sz="0" w:space="0" w:color="auto"/>
      </w:divBdr>
    </w:div>
    <w:div w:id="1170174472">
      <w:bodyDiv w:val="1"/>
      <w:marLeft w:val="0"/>
      <w:marRight w:val="0"/>
      <w:marTop w:val="0"/>
      <w:marBottom w:val="0"/>
      <w:divBdr>
        <w:top w:val="none" w:sz="0" w:space="0" w:color="auto"/>
        <w:left w:val="none" w:sz="0" w:space="0" w:color="auto"/>
        <w:bottom w:val="none" w:sz="0" w:space="0" w:color="auto"/>
        <w:right w:val="none" w:sz="0" w:space="0" w:color="auto"/>
      </w:divBdr>
      <w:divsChild>
        <w:div w:id="218979214">
          <w:marLeft w:val="0"/>
          <w:marRight w:val="0"/>
          <w:marTop w:val="34"/>
          <w:marBottom w:val="34"/>
          <w:divBdr>
            <w:top w:val="none" w:sz="0" w:space="0" w:color="auto"/>
            <w:left w:val="none" w:sz="0" w:space="0" w:color="auto"/>
            <w:bottom w:val="none" w:sz="0" w:space="0" w:color="auto"/>
            <w:right w:val="none" w:sz="0" w:space="0" w:color="auto"/>
          </w:divBdr>
        </w:div>
        <w:div w:id="1931814663">
          <w:marLeft w:val="0"/>
          <w:marRight w:val="0"/>
          <w:marTop w:val="0"/>
          <w:marBottom w:val="0"/>
          <w:divBdr>
            <w:top w:val="none" w:sz="0" w:space="0" w:color="auto"/>
            <w:left w:val="none" w:sz="0" w:space="0" w:color="auto"/>
            <w:bottom w:val="none" w:sz="0" w:space="0" w:color="auto"/>
            <w:right w:val="none" w:sz="0" w:space="0" w:color="auto"/>
          </w:divBdr>
        </w:div>
      </w:divsChild>
    </w:div>
    <w:div w:id="1210647772">
      <w:bodyDiv w:val="1"/>
      <w:marLeft w:val="0"/>
      <w:marRight w:val="0"/>
      <w:marTop w:val="0"/>
      <w:marBottom w:val="0"/>
      <w:divBdr>
        <w:top w:val="none" w:sz="0" w:space="0" w:color="auto"/>
        <w:left w:val="none" w:sz="0" w:space="0" w:color="auto"/>
        <w:bottom w:val="none" w:sz="0" w:space="0" w:color="auto"/>
        <w:right w:val="none" w:sz="0" w:space="0" w:color="auto"/>
      </w:divBdr>
    </w:div>
    <w:div w:id="1238248072">
      <w:bodyDiv w:val="1"/>
      <w:marLeft w:val="0"/>
      <w:marRight w:val="0"/>
      <w:marTop w:val="0"/>
      <w:marBottom w:val="0"/>
      <w:divBdr>
        <w:top w:val="none" w:sz="0" w:space="0" w:color="auto"/>
        <w:left w:val="none" w:sz="0" w:space="0" w:color="auto"/>
        <w:bottom w:val="none" w:sz="0" w:space="0" w:color="auto"/>
        <w:right w:val="none" w:sz="0" w:space="0" w:color="auto"/>
      </w:divBdr>
      <w:divsChild>
        <w:div w:id="208542430">
          <w:marLeft w:val="0"/>
          <w:marRight w:val="0"/>
          <w:marTop w:val="240"/>
          <w:marBottom w:val="100"/>
          <w:divBdr>
            <w:top w:val="none" w:sz="0" w:space="0" w:color="auto"/>
            <w:left w:val="none" w:sz="0" w:space="0" w:color="auto"/>
            <w:bottom w:val="none" w:sz="0" w:space="0" w:color="auto"/>
            <w:right w:val="none" w:sz="0" w:space="0" w:color="auto"/>
          </w:divBdr>
          <w:divsChild>
            <w:div w:id="7934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2047">
      <w:bodyDiv w:val="1"/>
      <w:marLeft w:val="0"/>
      <w:marRight w:val="0"/>
      <w:marTop w:val="0"/>
      <w:marBottom w:val="0"/>
      <w:divBdr>
        <w:top w:val="none" w:sz="0" w:space="0" w:color="auto"/>
        <w:left w:val="none" w:sz="0" w:space="0" w:color="auto"/>
        <w:bottom w:val="none" w:sz="0" w:space="0" w:color="auto"/>
        <w:right w:val="none" w:sz="0" w:space="0" w:color="auto"/>
      </w:divBdr>
    </w:div>
    <w:div w:id="1282344531">
      <w:bodyDiv w:val="1"/>
      <w:marLeft w:val="0"/>
      <w:marRight w:val="0"/>
      <w:marTop w:val="0"/>
      <w:marBottom w:val="0"/>
      <w:divBdr>
        <w:top w:val="none" w:sz="0" w:space="0" w:color="auto"/>
        <w:left w:val="none" w:sz="0" w:space="0" w:color="auto"/>
        <w:bottom w:val="none" w:sz="0" w:space="0" w:color="auto"/>
        <w:right w:val="none" w:sz="0" w:space="0" w:color="auto"/>
      </w:divBdr>
    </w:div>
    <w:div w:id="1308901835">
      <w:bodyDiv w:val="1"/>
      <w:marLeft w:val="0"/>
      <w:marRight w:val="0"/>
      <w:marTop w:val="0"/>
      <w:marBottom w:val="0"/>
      <w:divBdr>
        <w:top w:val="none" w:sz="0" w:space="0" w:color="auto"/>
        <w:left w:val="none" w:sz="0" w:space="0" w:color="auto"/>
        <w:bottom w:val="none" w:sz="0" w:space="0" w:color="auto"/>
        <w:right w:val="none" w:sz="0" w:space="0" w:color="auto"/>
      </w:divBdr>
      <w:divsChild>
        <w:div w:id="582841548">
          <w:marLeft w:val="0"/>
          <w:marRight w:val="0"/>
          <w:marTop w:val="0"/>
          <w:marBottom w:val="0"/>
          <w:divBdr>
            <w:top w:val="none" w:sz="0" w:space="0" w:color="auto"/>
            <w:left w:val="none" w:sz="0" w:space="0" w:color="auto"/>
            <w:bottom w:val="none" w:sz="0" w:space="0" w:color="auto"/>
            <w:right w:val="none" w:sz="0" w:space="0" w:color="auto"/>
          </w:divBdr>
        </w:div>
        <w:div w:id="1641231791">
          <w:marLeft w:val="0"/>
          <w:marRight w:val="0"/>
          <w:marTop w:val="34"/>
          <w:marBottom w:val="34"/>
          <w:divBdr>
            <w:top w:val="none" w:sz="0" w:space="0" w:color="auto"/>
            <w:left w:val="none" w:sz="0" w:space="0" w:color="auto"/>
            <w:bottom w:val="none" w:sz="0" w:space="0" w:color="auto"/>
            <w:right w:val="none" w:sz="0" w:space="0" w:color="auto"/>
          </w:divBdr>
        </w:div>
      </w:divsChild>
    </w:div>
    <w:div w:id="1340540240">
      <w:bodyDiv w:val="1"/>
      <w:marLeft w:val="0"/>
      <w:marRight w:val="0"/>
      <w:marTop w:val="0"/>
      <w:marBottom w:val="0"/>
      <w:divBdr>
        <w:top w:val="none" w:sz="0" w:space="0" w:color="auto"/>
        <w:left w:val="none" w:sz="0" w:space="0" w:color="auto"/>
        <w:bottom w:val="none" w:sz="0" w:space="0" w:color="auto"/>
        <w:right w:val="none" w:sz="0" w:space="0" w:color="auto"/>
      </w:divBdr>
    </w:div>
    <w:div w:id="1358509848">
      <w:bodyDiv w:val="1"/>
      <w:marLeft w:val="0"/>
      <w:marRight w:val="0"/>
      <w:marTop w:val="0"/>
      <w:marBottom w:val="0"/>
      <w:divBdr>
        <w:top w:val="none" w:sz="0" w:space="0" w:color="auto"/>
        <w:left w:val="none" w:sz="0" w:space="0" w:color="auto"/>
        <w:bottom w:val="none" w:sz="0" w:space="0" w:color="auto"/>
        <w:right w:val="none" w:sz="0" w:space="0" w:color="auto"/>
      </w:divBdr>
      <w:divsChild>
        <w:div w:id="529536941">
          <w:marLeft w:val="0"/>
          <w:marRight w:val="0"/>
          <w:marTop w:val="0"/>
          <w:marBottom w:val="0"/>
          <w:divBdr>
            <w:top w:val="none" w:sz="0" w:space="0" w:color="auto"/>
            <w:left w:val="none" w:sz="0" w:space="0" w:color="auto"/>
            <w:bottom w:val="none" w:sz="0" w:space="0" w:color="auto"/>
            <w:right w:val="none" w:sz="0" w:space="0" w:color="auto"/>
          </w:divBdr>
        </w:div>
        <w:div w:id="1675956901">
          <w:marLeft w:val="0"/>
          <w:marRight w:val="0"/>
          <w:marTop w:val="0"/>
          <w:marBottom w:val="0"/>
          <w:divBdr>
            <w:top w:val="none" w:sz="0" w:space="0" w:color="auto"/>
            <w:left w:val="none" w:sz="0" w:space="0" w:color="auto"/>
            <w:bottom w:val="none" w:sz="0" w:space="0" w:color="auto"/>
            <w:right w:val="none" w:sz="0" w:space="0" w:color="auto"/>
          </w:divBdr>
        </w:div>
        <w:div w:id="1498033888">
          <w:marLeft w:val="0"/>
          <w:marRight w:val="0"/>
          <w:marTop w:val="0"/>
          <w:marBottom w:val="0"/>
          <w:divBdr>
            <w:top w:val="none" w:sz="0" w:space="0" w:color="auto"/>
            <w:left w:val="none" w:sz="0" w:space="0" w:color="auto"/>
            <w:bottom w:val="none" w:sz="0" w:space="0" w:color="auto"/>
            <w:right w:val="none" w:sz="0" w:space="0" w:color="auto"/>
          </w:divBdr>
        </w:div>
        <w:div w:id="1663506035">
          <w:marLeft w:val="0"/>
          <w:marRight w:val="0"/>
          <w:marTop w:val="0"/>
          <w:marBottom w:val="0"/>
          <w:divBdr>
            <w:top w:val="none" w:sz="0" w:space="0" w:color="auto"/>
            <w:left w:val="none" w:sz="0" w:space="0" w:color="auto"/>
            <w:bottom w:val="none" w:sz="0" w:space="0" w:color="auto"/>
            <w:right w:val="none" w:sz="0" w:space="0" w:color="auto"/>
          </w:divBdr>
        </w:div>
        <w:div w:id="1157847257">
          <w:marLeft w:val="0"/>
          <w:marRight w:val="0"/>
          <w:marTop w:val="0"/>
          <w:marBottom w:val="0"/>
          <w:divBdr>
            <w:top w:val="none" w:sz="0" w:space="0" w:color="auto"/>
            <w:left w:val="none" w:sz="0" w:space="0" w:color="auto"/>
            <w:bottom w:val="none" w:sz="0" w:space="0" w:color="auto"/>
            <w:right w:val="none" w:sz="0" w:space="0" w:color="auto"/>
          </w:divBdr>
        </w:div>
        <w:div w:id="607657743">
          <w:marLeft w:val="0"/>
          <w:marRight w:val="0"/>
          <w:marTop w:val="0"/>
          <w:marBottom w:val="0"/>
          <w:divBdr>
            <w:top w:val="none" w:sz="0" w:space="0" w:color="auto"/>
            <w:left w:val="none" w:sz="0" w:space="0" w:color="auto"/>
            <w:bottom w:val="none" w:sz="0" w:space="0" w:color="auto"/>
            <w:right w:val="none" w:sz="0" w:space="0" w:color="auto"/>
          </w:divBdr>
        </w:div>
        <w:div w:id="427241312">
          <w:marLeft w:val="0"/>
          <w:marRight w:val="0"/>
          <w:marTop w:val="0"/>
          <w:marBottom w:val="0"/>
          <w:divBdr>
            <w:top w:val="none" w:sz="0" w:space="0" w:color="auto"/>
            <w:left w:val="none" w:sz="0" w:space="0" w:color="auto"/>
            <w:bottom w:val="none" w:sz="0" w:space="0" w:color="auto"/>
            <w:right w:val="none" w:sz="0" w:space="0" w:color="auto"/>
          </w:divBdr>
        </w:div>
        <w:div w:id="233929978">
          <w:marLeft w:val="0"/>
          <w:marRight w:val="0"/>
          <w:marTop w:val="0"/>
          <w:marBottom w:val="0"/>
          <w:divBdr>
            <w:top w:val="none" w:sz="0" w:space="0" w:color="auto"/>
            <w:left w:val="none" w:sz="0" w:space="0" w:color="auto"/>
            <w:bottom w:val="none" w:sz="0" w:space="0" w:color="auto"/>
            <w:right w:val="none" w:sz="0" w:space="0" w:color="auto"/>
          </w:divBdr>
        </w:div>
        <w:div w:id="991176955">
          <w:marLeft w:val="0"/>
          <w:marRight w:val="0"/>
          <w:marTop w:val="0"/>
          <w:marBottom w:val="0"/>
          <w:divBdr>
            <w:top w:val="none" w:sz="0" w:space="0" w:color="auto"/>
            <w:left w:val="none" w:sz="0" w:space="0" w:color="auto"/>
            <w:bottom w:val="none" w:sz="0" w:space="0" w:color="auto"/>
            <w:right w:val="none" w:sz="0" w:space="0" w:color="auto"/>
          </w:divBdr>
        </w:div>
        <w:div w:id="866329316">
          <w:marLeft w:val="0"/>
          <w:marRight w:val="0"/>
          <w:marTop w:val="0"/>
          <w:marBottom w:val="0"/>
          <w:divBdr>
            <w:top w:val="none" w:sz="0" w:space="0" w:color="auto"/>
            <w:left w:val="none" w:sz="0" w:space="0" w:color="auto"/>
            <w:bottom w:val="none" w:sz="0" w:space="0" w:color="auto"/>
            <w:right w:val="none" w:sz="0" w:space="0" w:color="auto"/>
          </w:divBdr>
        </w:div>
        <w:div w:id="496111929">
          <w:marLeft w:val="0"/>
          <w:marRight w:val="0"/>
          <w:marTop w:val="0"/>
          <w:marBottom w:val="0"/>
          <w:divBdr>
            <w:top w:val="none" w:sz="0" w:space="0" w:color="auto"/>
            <w:left w:val="none" w:sz="0" w:space="0" w:color="auto"/>
            <w:bottom w:val="none" w:sz="0" w:space="0" w:color="auto"/>
            <w:right w:val="none" w:sz="0" w:space="0" w:color="auto"/>
          </w:divBdr>
        </w:div>
        <w:div w:id="1230919314">
          <w:marLeft w:val="0"/>
          <w:marRight w:val="0"/>
          <w:marTop w:val="0"/>
          <w:marBottom w:val="0"/>
          <w:divBdr>
            <w:top w:val="none" w:sz="0" w:space="0" w:color="auto"/>
            <w:left w:val="none" w:sz="0" w:space="0" w:color="auto"/>
            <w:bottom w:val="none" w:sz="0" w:space="0" w:color="auto"/>
            <w:right w:val="none" w:sz="0" w:space="0" w:color="auto"/>
          </w:divBdr>
        </w:div>
        <w:div w:id="861436915">
          <w:marLeft w:val="0"/>
          <w:marRight w:val="0"/>
          <w:marTop w:val="0"/>
          <w:marBottom w:val="0"/>
          <w:divBdr>
            <w:top w:val="none" w:sz="0" w:space="0" w:color="auto"/>
            <w:left w:val="none" w:sz="0" w:space="0" w:color="auto"/>
            <w:bottom w:val="none" w:sz="0" w:space="0" w:color="auto"/>
            <w:right w:val="none" w:sz="0" w:space="0" w:color="auto"/>
          </w:divBdr>
        </w:div>
        <w:div w:id="1293170288">
          <w:marLeft w:val="0"/>
          <w:marRight w:val="0"/>
          <w:marTop w:val="0"/>
          <w:marBottom w:val="0"/>
          <w:divBdr>
            <w:top w:val="none" w:sz="0" w:space="0" w:color="auto"/>
            <w:left w:val="none" w:sz="0" w:space="0" w:color="auto"/>
            <w:bottom w:val="none" w:sz="0" w:space="0" w:color="auto"/>
            <w:right w:val="none" w:sz="0" w:space="0" w:color="auto"/>
          </w:divBdr>
        </w:div>
        <w:div w:id="30108403">
          <w:marLeft w:val="0"/>
          <w:marRight w:val="0"/>
          <w:marTop w:val="0"/>
          <w:marBottom w:val="0"/>
          <w:divBdr>
            <w:top w:val="none" w:sz="0" w:space="0" w:color="auto"/>
            <w:left w:val="none" w:sz="0" w:space="0" w:color="auto"/>
            <w:bottom w:val="none" w:sz="0" w:space="0" w:color="auto"/>
            <w:right w:val="none" w:sz="0" w:space="0" w:color="auto"/>
          </w:divBdr>
        </w:div>
        <w:div w:id="606931672">
          <w:marLeft w:val="0"/>
          <w:marRight w:val="0"/>
          <w:marTop w:val="0"/>
          <w:marBottom w:val="0"/>
          <w:divBdr>
            <w:top w:val="none" w:sz="0" w:space="0" w:color="auto"/>
            <w:left w:val="none" w:sz="0" w:space="0" w:color="auto"/>
            <w:bottom w:val="none" w:sz="0" w:space="0" w:color="auto"/>
            <w:right w:val="none" w:sz="0" w:space="0" w:color="auto"/>
          </w:divBdr>
        </w:div>
        <w:div w:id="2144036235">
          <w:marLeft w:val="0"/>
          <w:marRight w:val="0"/>
          <w:marTop w:val="0"/>
          <w:marBottom w:val="0"/>
          <w:divBdr>
            <w:top w:val="none" w:sz="0" w:space="0" w:color="auto"/>
            <w:left w:val="none" w:sz="0" w:space="0" w:color="auto"/>
            <w:bottom w:val="none" w:sz="0" w:space="0" w:color="auto"/>
            <w:right w:val="none" w:sz="0" w:space="0" w:color="auto"/>
          </w:divBdr>
        </w:div>
        <w:div w:id="491066501">
          <w:marLeft w:val="0"/>
          <w:marRight w:val="0"/>
          <w:marTop w:val="0"/>
          <w:marBottom w:val="0"/>
          <w:divBdr>
            <w:top w:val="none" w:sz="0" w:space="0" w:color="auto"/>
            <w:left w:val="none" w:sz="0" w:space="0" w:color="auto"/>
            <w:bottom w:val="none" w:sz="0" w:space="0" w:color="auto"/>
            <w:right w:val="none" w:sz="0" w:space="0" w:color="auto"/>
          </w:divBdr>
        </w:div>
        <w:div w:id="1349453078">
          <w:marLeft w:val="0"/>
          <w:marRight w:val="0"/>
          <w:marTop w:val="0"/>
          <w:marBottom w:val="0"/>
          <w:divBdr>
            <w:top w:val="none" w:sz="0" w:space="0" w:color="auto"/>
            <w:left w:val="none" w:sz="0" w:space="0" w:color="auto"/>
            <w:bottom w:val="none" w:sz="0" w:space="0" w:color="auto"/>
            <w:right w:val="none" w:sz="0" w:space="0" w:color="auto"/>
          </w:divBdr>
        </w:div>
        <w:div w:id="586377860">
          <w:marLeft w:val="0"/>
          <w:marRight w:val="0"/>
          <w:marTop w:val="0"/>
          <w:marBottom w:val="0"/>
          <w:divBdr>
            <w:top w:val="none" w:sz="0" w:space="0" w:color="auto"/>
            <w:left w:val="none" w:sz="0" w:space="0" w:color="auto"/>
            <w:bottom w:val="none" w:sz="0" w:space="0" w:color="auto"/>
            <w:right w:val="none" w:sz="0" w:space="0" w:color="auto"/>
          </w:divBdr>
        </w:div>
        <w:div w:id="2006124962">
          <w:marLeft w:val="0"/>
          <w:marRight w:val="0"/>
          <w:marTop w:val="0"/>
          <w:marBottom w:val="0"/>
          <w:divBdr>
            <w:top w:val="none" w:sz="0" w:space="0" w:color="auto"/>
            <w:left w:val="none" w:sz="0" w:space="0" w:color="auto"/>
            <w:bottom w:val="none" w:sz="0" w:space="0" w:color="auto"/>
            <w:right w:val="none" w:sz="0" w:space="0" w:color="auto"/>
          </w:divBdr>
        </w:div>
        <w:div w:id="648441706">
          <w:marLeft w:val="0"/>
          <w:marRight w:val="0"/>
          <w:marTop w:val="0"/>
          <w:marBottom w:val="0"/>
          <w:divBdr>
            <w:top w:val="none" w:sz="0" w:space="0" w:color="auto"/>
            <w:left w:val="none" w:sz="0" w:space="0" w:color="auto"/>
            <w:bottom w:val="none" w:sz="0" w:space="0" w:color="auto"/>
            <w:right w:val="none" w:sz="0" w:space="0" w:color="auto"/>
          </w:divBdr>
        </w:div>
        <w:div w:id="1731344354">
          <w:marLeft w:val="0"/>
          <w:marRight w:val="0"/>
          <w:marTop w:val="0"/>
          <w:marBottom w:val="0"/>
          <w:divBdr>
            <w:top w:val="none" w:sz="0" w:space="0" w:color="auto"/>
            <w:left w:val="none" w:sz="0" w:space="0" w:color="auto"/>
            <w:bottom w:val="none" w:sz="0" w:space="0" w:color="auto"/>
            <w:right w:val="none" w:sz="0" w:space="0" w:color="auto"/>
          </w:divBdr>
        </w:div>
        <w:div w:id="55864480">
          <w:marLeft w:val="0"/>
          <w:marRight w:val="0"/>
          <w:marTop w:val="0"/>
          <w:marBottom w:val="0"/>
          <w:divBdr>
            <w:top w:val="none" w:sz="0" w:space="0" w:color="auto"/>
            <w:left w:val="none" w:sz="0" w:space="0" w:color="auto"/>
            <w:bottom w:val="none" w:sz="0" w:space="0" w:color="auto"/>
            <w:right w:val="none" w:sz="0" w:space="0" w:color="auto"/>
          </w:divBdr>
        </w:div>
        <w:div w:id="1280642446">
          <w:marLeft w:val="0"/>
          <w:marRight w:val="0"/>
          <w:marTop w:val="0"/>
          <w:marBottom w:val="0"/>
          <w:divBdr>
            <w:top w:val="none" w:sz="0" w:space="0" w:color="auto"/>
            <w:left w:val="none" w:sz="0" w:space="0" w:color="auto"/>
            <w:bottom w:val="none" w:sz="0" w:space="0" w:color="auto"/>
            <w:right w:val="none" w:sz="0" w:space="0" w:color="auto"/>
          </w:divBdr>
        </w:div>
        <w:div w:id="404953860">
          <w:marLeft w:val="0"/>
          <w:marRight w:val="0"/>
          <w:marTop w:val="0"/>
          <w:marBottom w:val="0"/>
          <w:divBdr>
            <w:top w:val="none" w:sz="0" w:space="0" w:color="auto"/>
            <w:left w:val="none" w:sz="0" w:space="0" w:color="auto"/>
            <w:bottom w:val="none" w:sz="0" w:space="0" w:color="auto"/>
            <w:right w:val="none" w:sz="0" w:space="0" w:color="auto"/>
          </w:divBdr>
        </w:div>
        <w:div w:id="1764452101">
          <w:marLeft w:val="0"/>
          <w:marRight w:val="0"/>
          <w:marTop w:val="0"/>
          <w:marBottom w:val="0"/>
          <w:divBdr>
            <w:top w:val="none" w:sz="0" w:space="0" w:color="auto"/>
            <w:left w:val="none" w:sz="0" w:space="0" w:color="auto"/>
            <w:bottom w:val="none" w:sz="0" w:space="0" w:color="auto"/>
            <w:right w:val="none" w:sz="0" w:space="0" w:color="auto"/>
          </w:divBdr>
        </w:div>
        <w:div w:id="1331829520">
          <w:marLeft w:val="0"/>
          <w:marRight w:val="0"/>
          <w:marTop w:val="0"/>
          <w:marBottom w:val="0"/>
          <w:divBdr>
            <w:top w:val="none" w:sz="0" w:space="0" w:color="auto"/>
            <w:left w:val="none" w:sz="0" w:space="0" w:color="auto"/>
            <w:bottom w:val="none" w:sz="0" w:space="0" w:color="auto"/>
            <w:right w:val="none" w:sz="0" w:space="0" w:color="auto"/>
          </w:divBdr>
        </w:div>
        <w:div w:id="1269119911">
          <w:marLeft w:val="0"/>
          <w:marRight w:val="0"/>
          <w:marTop w:val="0"/>
          <w:marBottom w:val="0"/>
          <w:divBdr>
            <w:top w:val="none" w:sz="0" w:space="0" w:color="auto"/>
            <w:left w:val="none" w:sz="0" w:space="0" w:color="auto"/>
            <w:bottom w:val="none" w:sz="0" w:space="0" w:color="auto"/>
            <w:right w:val="none" w:sz="0" w:space="0" w:color="auto"/>
          </w:divBdr>
        </w:div>
        <w:div w:id="137890920">
          <w:marLeft w:val="0"/>
          <w:marRight w:val="0"/>
          <w:marTop w:val="0"/>
          <w:marBottom w:val="0"/>
          <w:divBdr>
            <w:top w:val="none" w:sz="0" w:space="0" w:color="auto"/>
            <w:left w:val="none" w:sz="0" w:space="0" w:color="auto"/>
            <w:bottom w:val="none" w:sz="0" w:space="0" w:color="auto"/>
            <w:right w:val="none" w:sz="0" w:space="0" w:color="auto"/>
          </w:divBdr>
        </w:div>
        <w:div w:id="1936983389">
          <w:marLeft w:val="0"/>
          <w:marRight w:val="0"/>
          <w:marTop w:val="0"/>
          <w:marBottom w:val="0"/>
          <w:divBdr>
            <w:top w:val="none" w:sz="0" w:space="0" w:color="auto"/>
            <w:left w:val="none" w:sz="0" w:space="0" w:color="auto"/>
            <w:bottom w:val="none" w:sz="0" w:space="0" w:color="auto"/>
            <w:right w:val="none" w:sz="0" w:space="0" w:color="auto"/>
          </w:divBdr>
        </w:div>
        <w:div w:id="1442452551">
          <w:marLeft w:val="0"/>
          <w:marRight w:val="0"/>
          <w:marTop w:val="0"/>
          <w:marBottom w:val="0"/>
          <w:divBdr>
            <w:top w:val="none" w:sz="0" w:space="0" w:color="auto"/>
            <w:left w:val="none" w:sz="0" w:space="0" w:color="auto"/>
            <w:bottom w:val="none" w:sz="0" w:space="0" w:color="auto"/>
            <w:right w:val="none" w:sz="0" w:space="0" w:color="auto"/>
          </w:divBdr>
        </w:div>
        <w:div w:id="113908685">
          <w:marLeft w:val="0"/>
          <w:marRight w:val="0"/>
          <w:marTop w:val="0"/>
          <w:marBottom w:val="0"/>
          <w:divBdr>
            <w:top w:val="none" w:sz="0" w:space="0" w:color="auto"/>
            <w:left w:val="none" w:sz="0" w:space="0" w:color="auto"/>
            <w:bottom w:val="none" w:sz="0" w:space="0" w:color="auto"/>
            <w:right w:val="none" w:sz="0" w:space="0" w:color="auto"/>
          </w:divBdr>
        </w:div>
        <w:div w:id="261452991">
          <w:marLeft w:val="0"/>
          <w:marRight w:val="0"/>
          <w:marTop w:val="0"/>
          <w:marBottom w:val="0"/>
          <w:divBdr>
            <w:top w:val="none" w:sz="0" w:space="0" w:color="auto"/>
            <w:left w:val="none" w:sz="0" w:space="0" w:color="auto"/>
            <w:bottom w:val="none" w:sz="0" w:space="0" w:color="auto"/>
            <w:right w:val="none" w:sz="0" w:space="0" w:color="auto"/>
          </w:divBdr>
        </w:div>
        <w:div w:id="1989043938">
          <w:marLeft w:val="0"/>
          <w:marRight w:val="0"/>
          <w:marTop w:val="0"/>
          <w:marBottom w:val="0"/>
          <w:divBdr>
            <w:top w:val="none" w:sz="0" w:space="0" w:color="auto"/>
            <w:left w:val="none" w:sz="0" w:space="0" w:color="auto"/>
            <w:bottom w:val="none" w:sz="0" w:space="0" w:color="auto"/>
            <w:right w:val="none" w:sz="0" w:space="0" w:color="auto"/>
          </w:divBdr>
        </w:div>
        <w:div w:id="21785408">
          <w:marLeft w:val="0"/>
          <w:marRight w:val="0"/>
          <w:marTop w:val="0"/>
          <w:marBottom w:val="0"/>
          <w:divBdr>
            <w:top w:val="none" w:sz="0" w:space="0" w:color="auto"/>
            <w:left w:val="none" w:sz="0" w:space="0" w:color="auto"/>
            <w:bottom w:val="none" w:sz="0" w:space="0" w:color="auto"/>
            <w:right w:val="none" w:sz="0" w:space="0" w:color="auto"/>
          </w:divBdr>
        </w:div>
        <w:div w:id="565989351">
          <w:marLeft w:val="0"/>
          <w:marRight w:val="0"/>
          <w:marTop w:val="0"/>
          <w:marBottom w:val="0"/>
          <w:divBdr>
            <w:top w:val="none" w:sz="0" w:space="0" w:color="auto"/>
            <w:left w:val="none" w:sz="0" w:space="0" w:color="auto"/>
            <w:bottom w:val="none" w:sz="0" w:space="0" w:color="auto"/>
            <w:right w:val="none" w:sz="0" w:space="0" w:color="auto"/>
          </w:divBdr>
        </w:div>
        <w:div w:id="1731296724">
          <w:marLeft w:val="0"/>
          <w:marRight w:val="0"/>
          <w:marTop w:val="0"/>
          <w:marBottom w:val="0"/>
          <w:divBdr>
            <w:top w:val="none" w:sz="0" w:space="0" w:color="auto"/>
            <w:left w:val="none" w:sz="0" w:space="0" w:color="auto"/>
            <w:bottom w:val="none" w:sz="0" w:space="0" w:color="auto"/>
            <w:right w:val="none" w:sz="0" w:space="0" w:color="auto"/>
          </w:divBdr>
        </w:div>
        <w:div w:id="1349024693">
          <w:marLeft w:val="0"/>
          <w:marRight w:val="0"/>
          <w:marTop w:val="0"/>
          <w:marBottom w:val="0"/>
          <w:divBdr>
            <w:top w:val="none" w:sz="0" w:space="0" w:color="auto"/>
            <w:left w:val="none" w:sz="0" w:space="0" w:color="auto"/>
            <w:bottom w:val="none" w:sz="0" w:space="0" w:color="auto"/>
            <w:right w:val="none" w:sz="0" w:space="0" w:color="auto"/>
          </w:divBdr>
        </w:div>
        <w:div w:id="74129443">
          <w:marLeft w:val="0"/>
          <w:marRight w:val="0"/>
          <w:marTop w:val="0"/>
          <w:marBottom w:val="0"/>
          <w:divBdr>
            <w:top w:val="none" w:sz="0" w:space="0" w:color="auto"/>
            <w:left w:val="none" w:sz="0" w:space="0" w:color="auto"/>
            <w:bottom w:val="none" w:sz="0" w:space="0" w:color="auto"/>
            <w:right w:val="none" w:sz="0" w:space="0" w:color="auto"/>
          </w:divBdr>
        </w:div>
        <w:div w:id="1825465105">
          <w:marLeft w:val="0"/>
          <w:marRight w:val="0"/>
          <w:marTop w:val="0"/>
          <w:marBottom w:val="0"/>
          <w:divBdr>
            <w:top w:val="none" w:sz="0" w:space="0" w:color="auto"/>
            <w:left w:val="none" w:sz="0" w:space="0" w:color="auto"/>
            <w:bottom w:val="none" w:sz="0" w:space="0" w:color="auto"/>
            <w:right w:val="none" w:sz="0" w:space="0" w:color="auto"/>
          </w:divBdr>
        </w:div>
        <w:div w:id="383333442">
          <w:marLeft w:val="0"/>
          <w:marRight w:val="0"/>
          <w:marTop w:val="0"/>
          <w:marBottom w:val="0"/>
          <w:divBdr>
            <w:top w:val="none" w:sz="0" w:space="0" w:color="auto"/>
            <w:left w:val="none" w:sz="0" w:space="0" w:color="auto"/>
            <w:bottom w:val="none" w:sz="0" w:space="0" w:color="auto"/>
            <w:right w:val="none" w:sz="0" w:space="0" w:color="auto"/>
          </w:divBdr>
        </w:div>
        <w:div w:id="1668635757">
          <w:marLeft w:val="0"/>
          <w:marRight w:val="0"/>
          <w:marTop w:val="0"/>
          <w:marBottom w:val="0"/>
          <w:divBdr>
            <w:top w:val="none" w:sz="0" w:space="0" w:color="auto"/>
            <w:left w:val="none" w:sz="0" w:space="0" w:color="auto"/>
            <w:bottom w:val="none" w:sz="0" w:space="0" w:color="auto"/>
            <w:right w:val="none" w:sz="0" w:space="0" w:color="auto"/>
          </w:divBdr>
        </w:div>
        <w:div w:id="1901673385">
          <w:marLeft w:val="0"/>
          <w:marRight w:val="0"/>
          <w:marTop w:val="0"/>
          <w:marBottom w:val="0"/>
          <w:divBdr>
            <w:top w:val="none" w:sz="0" w:space="0" w:color="auto"/>
            <w:left w:val="none" w:sz="0" w:space="0" w:color="auto"/>
            <w:bottom w:val="none" w:sz="0" w:space="0" w:color="auto"/>
            <w:right w:val="none" w:sz="0" w:space="0" w:color="auto"/>
          </w:divBdr>
        </w:div>
        <w:div w:id="1765108637">
          <w:marLeft w:val="0"/>
          <w:marRight w:val="0"/>
          <w:marTop w:val="0"/>
          <w:marBottom w:val="0"/>
          <w:divBdr>
            <w:top w:val="none" w:sz="0" w:space="0" w:color="auto"/>
            <w:left w:val="none" w:sz="0" w:space="0" w:color="auto"/>
            <w:bottom w:val="none" w:sz="0" w:space="0" w:color="auto"/>
            <w:right w:val="none" w:sz="0" w:space="0" w:color="auto"/>
          </w:divBdr>
        </w:div>
        <w:div w:id="190454362">
          <w:marLeft w:val="0"/>
          <w:marRight w:val="0"/>
          <w:marTop w:val="0"/>
          <w:marBottom w:val="0"/>
          <w:divBdr>
            <w:top w:val="none" w:sz="0" w:space="0" w:color="auto"/>
            <w:left w:val="none" w:sz="0" w:space="0" w:color="auto"/>
            <w:bottom w:val="none" w:sz="0" w:space="0" w:color="auto"/>
            <w:right w:val="none" w:sz="0" w:space="0" w:color="auto"/>
          </w:divBdr>
        </w:div>
        <w:div w:id="2011835629">
          <w:marLeft w:val="0"/>
          <w:marRight w:val="0"/>
          <w:marTop w:val="0"/>
          <w:marBottom w:val="0"/>
          <w:divBdr>
            <w:top w:val="none" w:sz="0" w:space="0" w:color="auto"/>
            <w:left w:val="none" w:sz="0" w:space="0" w:color="auto"/>
            <w:bottom w:val="none" w:sz="0" w:space="0" w:color="auto"/>
            <w:right w:val="none" w:sz="0" w:space="0" w:color="auto"/>
          </w:divBdr>
        </w:div>
        <w:div w:id="302976885">
          <w:marLeft w:val="0"/>
          <w:marRight w:val="0"/>
          <w:marTop w:val="0"/>
          <w:marBottom w:val="0"/>
          <w:divBdr>
            <w:top w:val="none" w:sz="0" w:space="0" w:color="auto"/>
            <w:left w:val="none" w:sz="0" w:space="0" w:color="auto"/>
            <w:bottom w:val="none" w:sz="0" w:space="0" w:color="auto"/>
            <w:right w:val="none" w:sz="0" w:space="0" w:color="auto"/>
          </w:divBdr>
        </w:div>
        <w:div w:id="263419199">
          <w:marLeft w:val="0"/>
          <w:marRight w:val="0"/>
          <w:marTop w:val="0"/>
          <w:marBottom w:val="0"/>
          <w:divBdr>
            <w:top w:val="none" w:sz="0" w:space="0" w:color="auto"/>
            <w:left w:val="none" w:sz="0" w:space="0" w:color="auto"/>
            <w:bottom w:val="none" w:sz="0" w:space="0" w:color="auto"/>
            <w:right w:val="none" w:sz="0" w:space="0" w:color="auto"/>
          </w:divBdr>
        </w:div>
        <w:div w:id="427625581">
          <w:marLeft w:val="0"/>
          <w:marRight w:val="0"/>
          <w:marTop w:val="0"/>
          <w:marBottom w:val="0"/>
          <w:divBdr>
            <w:top w:val="none" w:sz="0" w:space="0" w:color="auto"/>
            <w:left w:val="none" w:sz="0" w:space="0" w:color="auto"/>
            <w:bottom w:val="none" w:sz="0" w:space="0" w:color="auto"/>
            <w:right w:val="none" w:sz="0" w:space="0" w:color="auto"/>
          </w:divBdr>
        </w:div>
        <w:div w:id="1129591566">
          <w:marLeft w:val="0"/>
          <w:marRight w:val="0"/>
          <w:marTop w:val="0"/>
          <w:marBottom w:val="0"/>
          <w:divBdr>
            <w:top w:val="none" w:sz="0" w:space="0" w:color="auto"/>
            <w:left w:val="none" w:sz="0" w:space="0" w:color="auto"/>
            <w:bottom w:val="none" w:sz="0" w:space="0" w:color="auto"/>
            <w:right w:val="none" w:sz="0" w:space="0" w:color="auto"/>
          </w:divBdr>
        </w:div>
        <w:div w:id="1185900229">
          <w:marLeft w:val="0"/>
          <w:marRight w:val="0"/>
          <w:marTop w:val="0"/>
          <w:marBottom w:val="0"/>
          <w:divBdr>
            <w:top w:val="none" w:sz="0" w:space="0" w:color="auto"/>
            <w:left w:val="none" w:sz="0" w:space="0" w:color="auto"/>
            <w:bottom w:val="none" w:sz="0" w:space="0" w:color="auto"/>
            <w:right w:val="none" w:sz="0" w:space="0" w:color="auto"/>
          </w:divBdr>
        </w:div>
        <w:div w:id="826825912">
          <w:marLeft w:val="0"/>
          <w:marRight w:val="0"/>
          <w:marTop w:val="0"/>
          <w:marBottom w:val="0"/>
          <w:divBdr>
            <w:top w:val="none" w:sz="0" w:space="0" w:color="auto"/>
            <w:left w:val="none" w:sz="0" w:space="0" w:color="auto"/>
            <w:bottom w:val="none" w:sz="0" w:space="0" w:color="auto"/>
            <w:right w:val="none" w:sz="0" w:space="0" w:color="auto"/>
          </w:divBdr>
        </w:div>
        <w:div w:id="721712013">
          <w:marLeft w:val="0"/>
          <w:marRight w:val="0"/>
          <w:marTop w:val="0"/>
          <w:marBottom w:val="0"/>
          <w:divBdr>
            <w:top w:val="none" w:sz="0" w:space="0" w:color="auto"/>
            <w:left w:val="none" w:sz="0" w:space="0" w:color="auto"/>
            <w:bottom w:val="none" w:sz="0" w:space="0" w:color="auto"/>
            <w:right w:val="none" w:sz="0" w:space="0" w:color="auto"/>
          </w:divBdr>
        </w:div>
        <w:div w:id="543061788">
          <w:marLeft w:val="0"/>
          <w:marRight w:val="0"/>
          <w:marTop w:val="0"/>
          <w:marBottom w:val="0"/>
          <w:divBdr>
            <w:top w:val="none" w:sz="0" w:space="0" w:color="auto"/>
            <w:left w:val="none" w:sz="0" w:space="0" w:color="auto"/>
            <w:bottom w:val="none" w:sz="0" w:space="0" w:color="auto"/>
            <w:right w:val="none" w:sz="0" w:space="0" w:color="auto"/>
          </w:divBdr>
        </w:div>
        <w:div w:id="182474353">
          <w:marLeft w:val="0"/>
          <w:marRight w:val="0"/>
          <w:marTop w:val="0"/>
          <w:marBottom w:val="0"/>
          <w:divBdr>
            <w:top w:val="none" w:sz="0" w:space="0" w:color="auto"/>
            <w:left w:val="none" w:sz="0" w:space="0" w:color="auto"/>
            <w:bottom w:val="none" w:sz="0" w:space="0" w:color="auto"/>
            <w:right w:val="none" w:sz="0" w:space="0" w:color="auto"/>
          </w:divBdr>
        </w:div>
        <w:div w:id="1484008015">
          <w:marLeft w:val="0"/>
          <w:marRight w:val="0"/>
          <w:marTop w:val="0"/>
          <w:marBottom w:val="0"/>
          <w:divBdr>
            <w:top w:val="none" w:sz="0" w:space="0" w:color="auto"/>
            <w:left w:val="none" w:sz="0" w:space="0" w:color="auto"/>
            <w:bottom w:val="none" w:sz="0" w:space="0" w:color="auto"/>
            <w:right w:val="none" w:sz="0" w:space="0" w:color="auto"/>
          </w:divBdr>
        </w:div>
        <w:div w:id="920724998">
          <w:marLeft w:val="0"/>
          <w:marRight w:val="0"/>
          <w:marTop w:val="0"/>
          <w:marBottom w:val="0"/>
          <w:divBdr>
            <w:top w:val="none" w:sz="0" w:space="0" w:color="auto"/>
            <w:left w:val="none" w:sz="0" w:space="0" w:color="auto"/>
            <w:bottom w:val="none" w:sz="0" w:space="0" w:color="auto"/>
            <w:right w:val="none" w:sz="0" w:space="0" w:color="auto"/>
          </w:divBdr>
        </w:div>
        <w:div w:id="892036971">
          <w:marLeft w:val="0"/>
          <w:marRight w:val="0"/>
          <w:marTop w:val="0"/>
          <w:marBottom w:val="0"/>
          <w:divBdr>
            <w:top w:val="none" w:sz="0" w:space="0" w:color="auto"/>
            <w:left w:val="none" w:sz="0" w:space="0" w:color="auto"/>
            <w:bottom w:val="none" w:sz="0" w:space="0" w:color="auto"/>
            <w:right w:val="none" w:sz="0" w:space="0" w:color="auto"/>
          </w:divBdr>
        </w:div>
        <w:div w:id="681666271">
          <w:marLeft w:val="0"/>
          <w:marRight w:val="0"/>
          <w:marTop w:val="0"/>
          <w:marBottom w:val="0"/>
          <w:divBdr>
            <w:top w:val="none" w:sz="0" w:space="0" w:color="auto"/>
            <w:left w:val="none" w:sz="0" w:space="0" w:color="auto"/>
            <w:bottom w:val="none" w:sz="0" w:space="0" w:color="auto"/>
            <w:right w:val="none" w:sz="0" w:space="0" w:color="auto"/>
          </w:divBdr>
        </w:div>
        <w:div w:id="576669760">
          <w:marLeft w:val="0"/>
          <w:marRight w:val="0"/>
          <w:marTop w:val="0"/>
          <w:marBottom w:val="0"/>
          <w:divBdr>
            <w:top w:val="none" w:sz="0" w:space="0" w:color="auto"/>
            <w:left w:val="none" w:sz="0" w:space="0" w:color="auto"/>
            <w:bottom w:val="none" w:sz="0" w:space="0" w:color="auto"/>
            <w:right w:val="none" w:sz="0" w:space="0" w:color="auto"/>
          </w:divBdr>
        </w:div>
        <w:div w:id="1609115291">
          <w:marLeft w:val="0"/>
          <w:marRight w:val="0"/>
          <w:marTop w:val="0"/>
          <w:marBottom w:val="0"/>
          <w:divBdr>
            <w:top w:val="none" w:sz="0" w:space="0" w:color="auto"/>
            <w:left w:val="none" w:sz="0" w:space="0" w:color="auto"/>
            <w:bottom w:val="none" w:sz="0" w:space="0" w:color="auto"/>
            <w:right w:val="none" w:sz="0" w:space="0" w:color="auto"/>
          </w:divBdr>
        </w:div>
        <w:div w:id="183250582">
          <w:marLeft w:val="0"/>
          <w:marRight w:val="0"/>
          <w:marTop w:val="0"/>
          <w:marBottom w:val="0"/>
          <w:divBdr>
            <w:top w:val="none" w:sz="0" w:space="0" w:color="auto"/>
            <w:left w:val="none" w:sz="0" w:space="0" w:color="auto"/>
            <w:bottom w:val="none" w:sz="0" w:space="0" w:color="auto"/>
            <w:right w:val="none" w:sz="0" w:space="0" w:color="auto"/>
          </w:divBdr>
        </w:div>
        <w:div w:id="1218279202">
          <w:marLeft w:val="0"/>
          <w:marRight w:val="0"/>
          <w:marTop w:val="0"/>
          <w:marBottom w:val="0"/>
          <w:divBdr>
            <w:top w:val="none" w:sz="0" w:space="0" w:color="auto"/>
            <w:left w:val="none" w:sz="0" w:space="0" w:color="auto"/>
            <w:bottom w:val="none" w:sz="0" w:space="0" w:color="auto"/>
            <w:right w:val="none" w:sz="0" w:space="0" w:color="auto"/>
          </w:divBdr>
        </w:div>
        <w:div w:id="1985813434">
          <w:marLeft w:val="0"/>
          <w:marRight w:val="0"/>
          <w:marTop w:val="0"/>
          <w:marBottom w:val="0"/>
          <w:divBdr>
            <w:top w:val="none" w:sz="0" w:space="0" w:color="auto"/>
            <w:left w:val="none" w:sz="0" w:space="0" w:color="auto"/>
            <w:bottom w:val="none" w:sz="0" w:space="0" w:color="auto"/>
            <w:right w:val="none" w:sz="0" w:space="0" w:color="auto"/>
          </w:divBdr>
        </w:div>
        <w:div w:id="990448070">
          <w:marLeft w:val="0"/>
          <w:marRight w:val="0"/>
          <w:marTop w:val="0"/>
          <w:marBottom w:val="0"/>
          <w:divBdr>
            <w:top w:val="none" w:sz="0" w:space="0" w:color="auto"/>
            <w:left w:val="none" w:sz="0" w:space="0" w:color="auto"/>
            <w:bottom w:val="none" w:sz="0" w:space="0" w:color="auto"/>
            <w:right w:val="none" w:sz="0" w:space="0" w:color="auto"/>
          </w:divBdr>
        </w:div>
        <w:div w:id="1865362523">
          <w:marLeft w:val="0"/>
          <w:marRight w:val="0"/>
          <w:marTop w:val="0"/>
          <w:marBottom w:val="0"/>
          <w:divBdr>
            <w:top w:val="none" w:sz="0" w:space="0" w:color="auto"/>
            <w:left w:val="none" w:sz="0" w:space="0" w:color="auto"/>
            <w:bottom w:val="none" w:sz="0" w:space="0" w:color="auto"/>
            <w:right w:val="none" w:sz="0" w:space="0" w:color="auto"/>
          </w:divBdr>
        </w:div>
        <w:div w:id="714545911">
          <w:marLeft w:val="0"/>
          <w:marRight w:val="0"/>
          <w:marTop w:val="0"/>
          <w:marBottom w:val="0"/>
          <w:divBdr>
            <w:top w:val="none" w:sz="0" w:space="0" w:color="auto"/>
            <w:left w:val="none" w:sz="0" w:space="0" w:color="auto"/>
            <w:bottom w:val="none" w:sz="0" w:space="0" w:color="auto"/>
            <w:right w:val="none" w:sz="0" w:space="0" w:color="auto"/>
          </w:divBdr>
        </w:div>
        <w:div w:id="78790565">
          <w:marLeft w:val="0"/>
          <w:marRight w:val="0"/>
          <w:marTop w:val="0"/>
          <w:marBottom w:val="0"/>
          <w:divBdr>
            <w:top w:val="none" w:sz="0" w:space="0" w:color="auto"/>
            <w:left w:val="none" w:sz="0" w:space="0" w:color="auto"/>
            <w:bottom w:val="none" w:sz="0" w:space="0" w:color="auto"/>
            <w:right w:val="none" w:sz="0" w:space="0" w:color="auto"/>
          </w:divBdr>
        </w:div>
        <w:div w:id="1206793161">
          <w:marLeft w:val="0"/>
          <w:marRight w:val="0"/>
          <w:marTop w:val="0"/>
          <w:marBottom w:val="0"/>
          <w:divBdr>
            <w:top w:val="none" w:sz="0" w:space="0" w:color="auto"/>
            <w:left w:val="none" w:sz="0" w:space="0" w:color="auto"/>
            <w:bottom w:val="none" w:sz="0" w:space="0" w:color="auto"/>
            <w:right w:val="none" w:sz="0" w:space="0" w:color="auto"/>
          </w:divBdr>
        </w:div>
        <w:div w:id="747386198">
          <w:marLeft w:val="0"/>
          <w:marRight w:val="0"/>
          <w:marTop w:val="0"/>
          <w:marBottom w:val="0"/>
          <w:divBdr>
            <w:top w:val="none" w:sz="0" w:space="0" w:color="auto"/>
            <w:left w:val="none" w:sz="0" w:space="0" w:color="auto"/>
            <w:bottom w:val="none" w:sz="0" w:space="0" w:color="auto"/>
            <w:right w:val="none" w:sz="0" w:space="0" w:color="auto"/>
          </w:divBdr>
        </w:div>
        <w:div w:id="835612390">
          <w:marLeft w:val="0"/>
          <w:marRight w:val="0"/>
          <w:marTop w:val="0"/>
          <w:marBottom w:val="0"/>
          <w:divBdr>
            <w:top w:val="none" w:sz="0" w:space="0" w:color="auto"/>
            <w:left w:val="none" w:sz="0" w:space="0" w:color="auto"/>
            <w:bottom w:val="none" w:sz="0" w:space="0" w:color="auto"/>
            <w:right w:val="none" w:sz="0" w:space="0" w:color="auto"/>
          </w:divBdr>
        </w:div>
        <w:div w:id="578443359">
          <w:marLeft w:val="0"/>
          <w:marRight w:val="0"/>
          <w:marTop w:val="0"/>
          <w:marBottom w:val="0"/>
          <w:divBdr>
            <w:top w:val="none" w:sz="0" w:space="0" w:color="auto"/>
            <w:left w:val="none" w:sz="0" w:space="0" w:color="auto"/>
            <w:bottom w:val="none" w:sz="0" w:space="0" w:color="auto"/>
            <w:right w:val="none" w:sz="0" w:space="0" w:color="auto"/>
          </w:divBdr>
        </w:div>
        <w:div w:id="1258517257">
          <w:marLeft w:val="0"/>
          <w:marRight w:val="0"/>
          <w:marTop w:val="0"/>
          <w:marBottom w:val="0"/>
          <w:divBdr>
            <w:top w:val="none" w:sz="0" w:space="0" w:color="auto"/>
            <w:left w:val="none" w:sz="0" w:space="0" w:color="auto"/>
            <w:bottom w:val="none" w:sz="0" w:space="0" w:color="auto"/>
            <w:right w:val="none" w:sz="0" w:space="0" w:color="auto"/>
          </w:divBdr>
        </w:div>
        <w:div w:id="1360425197">
          <w:marLeft w:val="0"/>
          <w:marRight w:val="0"/>
          <w:marTop w:val="0"/>
          <w:marBottom w:val="0"/>
          <w:divBdr>
            <w:top w:val="none" w:sz="0" w:space="0" w:color="auto"/>
            <w:left w:val="none" w:sz="0" w:space="0" w:color="auto"/>
            <w:bottom w:val="none" w:sz="0" w:space="0" w:color="auto"/>
            <w:right w:val="none" w:sz="0" w:space="0" w:color="auto"/>
          </w:divBdr>
        </w:div>
        <w:div w:id="1773472831">
          <w:marLeft w:val="0"/>
          <w:marRight w:val="0"/>
          <w:marTop w:val="0"/>
          <w:marBottom w:val="0"/>
          <w:divBdr>
            <w:top w:val="none" w:sz="0" w:space="0" w:color="auto"/>
            <w:left w:val="none" w:sz="0" w:space="0" w:color="auto"/>
            <w:bottom w:val="none" w:sz="0" w:space="0" w:color="auto"/>
            <w:right w:val="none" w:sz="0" w:space="0" w:color="auto"/>
          </w:divBdr>
        </w:div>
        <w:div w:id="1709142730">
          <w:marLeft w:val="0"/>
          <w:marRight w:val="0"/>
          <w:marTop w:val="0"/>
          <w:marBottom w:val="0"/>
          <w:divBdr>
            <w:top w:val="none" w:sz="0" w:space="0" w:color="auto"/>
            <w:left w:val="none" w:sz="0" w:space="0" w:color="auto"/>
            <w:bottom w:val="none" w:sz="0" w:space="0" w:color="auto"/>
            <w:right w:val="none" w:sz="0" w:space="0" w:color="auto"/>
          </w:divBdr>
        </w:div>
        <w:div w:id="1314528377">
          <w:marLeft w:val="0"/>
          <w:marRight w:val="0"/>
          <w:marTop w:val="0"/>
          <w:marBottom w:val="0"/>
          <w:divBdr>
            <w:top w:val="none" w:sz="0" w:space="0" w:color="auto"/>
            <w:left w:val="none" w:sz="0" w:space="0" w:color="auto"/>
            <w:bottom w:val="none" w:sz="0" w:space="0" w:color="auto"/>
            <w:right w:val="none" w:sz="0" w:space="0" w:color="auto"/>
          </w:divBdr>
        </w:div>
        <w:div w:id="1898347524">
          <w:marLeft w:val="0"/>
          <w:marRight w:val="0"/>
          <w:marTop w:val="0"/>
          <w:marBottom w:val="0"/>
          <w:divBdr>
            <w:top w:val="none" w:sz="0" w:space="0" w:color="auto"/>
            <w:left w:val="none" w:sz="0" w:space="0" w:color="auto"/>
            <w:bottom w:val="none" w:sz="0" w:space="0" w:color="auto"/>
            <w:right w:val="none" w:sz="0" w:space="0" w:color="auto"/>
          </w:divBdr>
        </w:div>
        <w:div w:id="1549802248">
          <w:marLeft w:val="0"/>
          <w:marRight w:val="0"/>
          <w:marTop w:val="0"/>
          <w:marBottom w:val="0"/>
          <w:divBdr>
            <w:top w:val="none" w:sz="0" w:space="0" w:color="auto"/>
            <w:left w:val="none" w:sz="0" w:space="0" w:color="auto"/>
            <w:bottom w:val="none" w:sz="0" w:space="0" w:color="auto"/>
            <w:right w:val="none" w:sz="0" w:space="0" w:color="auto"/>
          </w:divBdr>
        </w:div>
        <w:div w:id="278145386">
          <w:marLeft w:val="0"/>
          <w:marRight w:val="0"/>
          <w:marTop w:val="0"/>
          <w:marBottom w:val="0"/>
          <w:divBdr>
            <w:top w:val="none" w:sz="0" w:space="0" w:color="auto"/>
            <w:left w:val="none" w:sz="0" w:space="0" w:color="auto"/>
            <w:bottom w:val="none" w:sz="0" w:space="0" w:color="auto"/>
            <w:right w:val="none" w:sz="0" w:space="0" w:color="auto"/>
          </w:divBdr>
        </w:div>
        <w:div w:id="1602183063">
          <w:marLeft w:val="0"/>
          <w:marRight w:val="0"/>
          <w:marTop w:val="0"/>
          <w:marBottom w:val="0"/>
          <w:divBdr>
            <w:top w:val="none" w:sz="0" w:space="0" w:color="auto"/>
            <w:left w:val="none" w:sz="0" w:space="0" w:color="auto"/>
            <w:bottom w:val="none" w:sz="0" w:space="0" w:color="auto"/>
            <w:right w:val="none" w:sz="0" w:space="0" w:color="auto"/>
          </w:divBdr>
        </w:div>
        <w:div w:id="1271351901">
          <w:marLeft w:val="0"/>
          <w:marRight w:val="0"/>
          <w:marTop w:val="0"/>
          <w:marBottom w:val="0"/>
          <w:divBdr>
            <w:top w:val="none" w:sz="0" w:space="0" w:color="auto"/>
            <w:left w:val="none" w:sz="0" w:space="0" w:color="auto"/>
            <w:bottom w:val="none" w:sz="0" w:space="0" w:color="auto"/>
            <w:right w:val="none" w:sz="0" w:space="0" w:color="auto"/>
          </w:divBdr>
        </w:div>
        <w:div w:id="1814789422">
          <w:marLeft w:val="0"/>
          <w:marRight w:val="0"/>
          <w:marTop w:val="0"/>
          <w:marBottom w:val="0"/>
          <w:divBdr>
            <w:top w:val="none" w:sz="0" w:space="0" w:color="auto"/>
            <w:left w:val="none" w:sz="0" w:space="0" w:color="auto"/>
            <w:bottom w:val="none" w:sz="0" w:space="0" w:color="auto"/>
            <w:right w:val="none" w:sz="0" w:space="0" w:color="auto"/>
          </w:divBdr>
        </w:div>
        <w:div w:id="1770855106">
          <w:marLeft w:val="0"/>
          <w:marRight w:val="0"/>
          <w:marTop w:val="0"/>
          <w:marBottom w:val="0"/>
          <w:divBdr>
            <w:top w:val="none" w:sz="0" w:space="0" w:color="auto"/>
            <w:left w:val="none" w:sz="0" w:space="0" w:color="auto"/>
            <w:bottom w:val="none" w:sz="0" w:space="0" w:color="auto"/>
            <w:right w:val="none" w:sz="0" w:space="0" w:color="auto"/>
          </w:divBdr>
        </w:div>
        <w:div w:id="288165998">
          <w:marLeft w:val="0"/>
          <w:marRight w:val="0"/>
          <w:marTop w:val="0"/>
          <w:marBottom w:val="0"/>
          <w:divBdr>
            <w:top w:val="none" w:sz="0" w:space="0" w:color="auto"/>
            <w:left w:val="none" w:sz="0" w:space="0" w:color="auto"/>
            <w:bottom w:val="none" w:sz="0" w:space="0" w:color="auto"/>
            <w:right w:val="none" w:sz="0" w:space="0" w:color="auto"/>
          </w:divBdr>
        </w:div>
        <w:div w:id="1627422581">
          <w:marLeft w:val="0"/>
          <w:marRight w:val="0"/>
          <w:marTop w:val="0"/>
          <w:marBottom w:val="0"/>
          <w:divBdr>
            <w:top w:val="none" w:sz="0" w:space="0" w:color="auto"/>
            <w:left w:val="none" w:sz="0" w:space="0" w:color="auto"/>
            <w:bottom w:val="none" w:sz="0" w:space="0" w:color="auto"/>
            <w:right w:val="none" w:sz="0" w:space="0" w:color="auto"/>
          </w:divBdr>
        </w:div>
      </w:divsChild>
    </w:div>
    <w:div w:id="1506629236">
      <w:bodyDiv w:val="1"/>
      <w:marLeft w:val="0"/>
      <w:marRight w:val="0"/>
      <w:marTop w:val="0"/>
      <w:marBottom w:val="0"/>
      <w:divBdr>
        <w:top w:val="none" w:sz="0" w:space="0" w:color="auto"/>
        <w:left w:val="none" w:sz="0" w:space="0" w:color="auto"/>
        <w:bottom w:val="none" w:sz="0" w:space="0" w:color="auto"/>
        <w:right w:val="none" w:sz="0" w:space="0" w:color="auto"/>
      </w:divBdr>
      <w:divsChild>
        <w:div w:id="481431044">
          <w:marLeft w:val="0"/>
          <w:marRight w:val="0"/>
          <w:marTop w:val="34"/>
          <w:marBottom w:val="34"/>
          <w:divBdr>
            <w:top w:val="none" w:sz="0" w:space="0" w:color="auto"/>
            <w:left w:val="none" w:sz="0" w:space="0" w:color="auto"/>
            <w:bottom w:val="none" w:sz="0" w:space="0" w:color="auto"/>
            <w:right w:val="none" w:sz="0" w:space="0" w:color="auto"/>
          </w:divBdr>
        </w:div>
        <w:div w:id="928271651">
          <w:marLeft w:val="0"/>
          <w:marRight w:val="0"/>
          <w:marTop w:val="0"/>
          <w:marBottom w:val="0"/>
          <w:divBdr>
            <w:top w:val="none" w:sz="0" w:space="0" w:color="auto"/>
            <w:left w:val="none" w:sz="0" w:space="0" w:color="auto"/>
            <w:bottom w:val="none" w:sz="0" w:space="0" w:color="auto"/>
            <w:right w:val="none" w:sz="0" w:space="0" w:color="auto"/>
          </w:divBdr>
        </w:div>
      </w:divsChild>
    </w:div>
    <w:div w:id="1532642529">
      <w:bodyDiv w:val="1"/>
      <w:marLeft w:val="0"/>
      <w:marRight w:val="0"/>
      <w:marTop w:val="0"/>
      <w:marBottom w:val="0"/>
      <w:divBdr>
        <w:top w:val="none" w:sz="0" w:space="0" w:color="auto"/>
        <w:left w:val="none" w:sz="0" w:space="0" w:color="auto"/>
        <w:bottom w:val="none" w:sz="0" w:space="0" w:color="auto"/>
        <w:right w:val="none" w:sz="0" w:space="0" w:color="auto"/>
      </w:divBdr>
    </w:div>
    <w:div w:id="1544753670">
      <w:bodyDiv w:val="1"/>
      <w:marLeft w:val="0"/>
      <w:marRight w:val="0"/>
      <w:marTop w:val="0"/>
      <w:marBottom w:val="0"/>
      <w:divBdr>
        <w:top w:val="none" w:sz="0" w:space="0" w:color="auto"/>
        <w:left w:val="none" w:sz="0" w:space="0" w:color="auto"/>
        <w:bottom w:val="none" w:sz="0" w:space="0" w:color="auto"/>
        <w:right w:val="none" w:sz="0" w:space="0" w:color="auto"/>
      </w:divBdr>
      <w:divsChild>
        <w:div w:id="70740287">
          <w:marLeft w:val="0"/>
          <w:marRight w:val="0"/>
          <w:marTop w:val="34"/>
          <w:marBottom w:val="34"/>
          <w:divBdr>
            <w:top w:val="none" w:sz="0" w:space="0" w:color="auto"/>
            <w:left w:val="none" w:sz="0" w:space="0" w:color="auto"/>
            <w:bottom w:val="none" w:sz="0" w:space="0" w:color="auto"/>
            <w:right w:val="none" w:sz="0" w:space="0" w:color="auto"/>
          </w:divBdr>
        </w:div>
        <w:div w:id="1117531515">
          <w:marLeft w:val="0"/>
          <w:marRight w:val="0"/>
          <w:marTop w:val="0"/>
          <w:marBottom w:val="0"/>
          <w:divBdr>
            <w:top w:val="none" w:sz="0" w:space="0" w:color="auto"/>
            <w:left w:val="none" w:sz="0" w:space="0" w:color="auto"/>
            <w:bottom w:val="none" w:sz="0" w:space="0" w:color="auto"/>
            <w:right w:val="none" w:sz="0" w:space="0" w:color="auto"/>
          </w:divBdr>
        </w:div>
      </w:divsChild>
    </w:div>
    <w:div w:id="1615164606">
      <w:bodyDiv w:val="1"/>
      <w:marLeft w:val="0"/>
      <w:marRight w:val="0"/>
      <w:marTop w:val="0"/>
      <w:marBottom w:val="0"/>
      <w:divBdr>
        <w:top w:val="none" w:sz="0" w:space="0" w:color="auto"/>
        <w:left w:val="none" w:sz="0" w:space="0" w:color="auto"/>
        <w:bottom w:val="none" w:sz="0" w:space="0" w:color="auto"/>
        <w:right w:val="none" w:sz="0" w:space="0" w:color="auto"/>
      </w:divBdr>
    </w:div>
    <w:div w:id="1619220565">
      <w:bodyDiv w:val="1"/>
      <w:marLeft w:val="0"/>
      <w:marRight w:val="0"/>
      <w:marTop w:val="0"/>
      <w:marBottom w:val="0"/>
      <w:divBdr>
        <w:top w:val="none" w:sz="0" w:space="0" w:color="auto"/>
        <w:left w:val="none" w:sz="0" w:space="0" w:color="auto"/>
        <w:bottom w:val="none" w:sz="0" w:space="0" w:color="auto"/>
        <w:right w:val="none" w:sz="0" w:space="0" w:color="auto"/>
      </w:divBdr>
    </w:div>
    <w:div w:id="1636059063">
      <w:bodyDiv w:val="1"/>
      <w:marLeft w:val="0"/>
      <w:marRight w:val="0"/>
      <w:marTop w:val="0"/>
      <w:marBottom w:val="0"/>
      <w:divBdr>
        <w:top w:val="none" w:sz="0" w:space="0" w:color="auto"/>
        <w:left w:val="none" w:sz="0" w:space="0" w:color="auto"/>
        <w:bottom w:val="none" w:sz="0" w:space="0" w:color="auto"/>
        <w:right w:val="none" w:sz="0" w:space="0" w:color="auto"/>
      </w:divBdr>
    </w:div>
    <w:div w:id="1700663212">
      <w:bodyDiv w:val="1"/>
      <w:marLeft w:val="0"/>
      <w:marRight w:val="0"/>
      <w:marTop w:val="0"/>
      <w:marBottom w:val="0"/>
      <w:divBdr>
        <w:top w:val="none" w:sz="0" w:space="0" w:color="auto"/>
        <w:left w:val="none" w:sz="0" w:space="0" w:color="auto"/>
        <w:bottom w:val="none" w:sz="0" w:space="0" w:color="auto"/>
        <w:right w:val="none" w:sz="0" w:space="0" w:color="auto"/>
      </w:divBdr>
    </w:div>
    <w:div w:id="1816019699">
      <w:bodyDiv w:val="1"/>
      <w:marLeft w:val="0"/>
      <w:marRight w:val="0"/>
      <w:marTop w:val="0"/>
      <w:marBottom w:val="0"/>
      <w:divBdr>
        <w:top w:val="none" w:sz="0" w:space="0" w:color="auto"/>
        <w:left w:val="none" w:sz="0" w:space="0" w:color="auto"/>
        <w:bottom w:val="none" w:sz="0" w:space="0" w:color="auto"/>
        <w:right w:val="none" w:sz="0" w:space="0" w:color="auto"/>
      </w:divBdr>
      <w:divsChild>
        <w:div w:id="298537008">
          <w:marLeft w:val="0"/>
          <w:marRight w:val="0"/>
          <w:marTop w:val="240"/>
          <w:marBottom w:val="100"/>
          <w:divBdr>
            <w:top w:val="none" w:sz="0" w:space="0" w:color="auto"/>
            <w:left w:val="none" w:sz="0" w:space="0" w:color="auto"/>
            <w:bottom w:val="none" w:sz="0" w:space="0" w:color="auto"/>
            <w:right w:val="none" w:sz="0" w:space="0" w:color="auto"/>
          </w:divBdr>
          <w:divsChild>
            <w:div w:id="99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4639">
      <w:bodyDiv w:val="1"/>
      <w:marLeft w:val="0"/>
      <w:marRight w:val="0"/>
      <w:marTop w:val="0"/>
      <w:marBottom w:val="0"/>
      <w:divBdr>
        <w:top w:val="none" w:sz="0" w:space="0" w:color="auto"/>
        <w:left w:val="none" w:sz="0" w:space="0" w:color="auto"/>
        <w:bottom w:val="none" w:sz="0" w:space="0" w:color="auto"/>
        <w:right w:val="none" w:sz="0" w:space="0" w:color="auto"/>
      </w:divBdr>
    </w:div>
    <w:div w:id="1862158674">
      <w:bodyDiv w:val="1"/>
      <w:marLeft w:val="0"/>
      <w:marRight w:val="0"/>
      <w:marTop w:val="0"/>
      <w:marBottom w:val="0"/>
      <w:divBdr>
        <w:top w:val="none" w:sz="0" w:space="0" w:color="auto"/>
        <w:left w:val="none" w:sz="0" w:space="0" w:color="auto"/>
        <w:bottom w:val="none" w:sz="0" w:space="0" w:color="auto"/>
        <w:right w:val="none" w:sz="0" w:space="0" w:color="auto"/>
      </w:divBdr>
      <w:divsChild>
        <w:div w:id="1036276985">
          <w:marLeft w:val="0"/>
          <w:marRight w:val="0"/>
          <w:marTop w:val="0"/>
          <w:marBottom w:val="0"/>
          <w:divBdr>
            <w:top w:val="none" w:sz="0" w:space="0" w:color="auto"/>
            <w:left w:val="none" w:sz="0" w:space="0" w:color="auto"/>
            <w:bottom w:val="none" w:sz="0" w:space="0" w:color="auto"/>
            <w:right w:val="none" w:sz="0" w:space="0" w:color="auto"/>
          </w:divBdr>
        </w:div>
        <w:div w:id="1356030681">
          <w:marLeft w:val="0"/>
          <w:marRight w:val="0"/>
          <w:marTop w:val="34"/>
          <w:marBottom w:val="34"/>
          <w:divBdr>
            <w:top w:val="none" w:sz="0" w:space="0" w:color="auto"/>
            <w:left w:val="none" w:sz="0" w:space="0" w:color="auto"/>
            <w:bottom w:val="none" w:sz="0" w:space="0" w:color="auto"/>
            <w:right w:val="none" w:sz="0" w:space="0" w:color="auto"/>
          </w:divBdr>
        </w:div>
      </w:divsChild>
    </w:div>
    <w:div w:id="1890650057">
      <w:bodyDiv w:val="1"/>
      <w:marLeft w:val="0"/>
      <w:marRight w:val="0"/>
      <w:marTop w:val="0"/>
      <w:marBottom w:val="0"/>
      <w:divBdr>
        <w:top w:val="none" w:sz="0" w:space="0" w:color="auto"/>
        <w:left w:val="none" w:sz="0" w:space="0" w:color="auto"/>
        <w:bottom w:val="none" w:sz="0" w:space="0" w:color="auto"/>
        <w:right w:val="none" w:sz="0" w:space="0" w:color="auto"/>
      </w:divBdr>
    </w:div>
    <w:div w:id="1898470229">
      <w:bodyDiv w:val="1"/>
      <w:marLeft w:val="0"/>
      <w:marRight w:val="0"/>
      <w:marTop w:val="0"/>
      <w:marBottom w:val="0"/>
      <w:divBdr>
        <w:top w:val="none" w:sz="0" w:space="0" w:color="auto"/>
        <w:left w:val="none" w:sz="0" w:space="0" w:color="auto"/>
        <w:bottom w:val="none" w:sz="0" w:space="0" w:color="auto"/>
        <w:right w:val="none" w:sz="0" w:space="0" w:color="auto"/>
      </w:divBdr>
      <w:divsChild>
        <w:div w:id="538008324">
          <w:marLeft w:val="0"/>
          <w:marRight w:val="0"/>
          <w:marTop w:val="34"/>
          <w:marBottom w:val="34"/>
          <w:divBdr>
            <w:top w:val="none" w:sz="0" w:space="0" w:color="auto"/>
            <w:left w:val="none" w:sz="0" w:space="0" w:color="auto"/>
            <w:bottom w:val="none" w:sz="0" w:space="0" w:color="auto"/>
            <w:right w:val="none" w:sz="0" w:space="0" w:color="auto"/>
          </w:divBdr>
        </w:div>
        <w:div w:id="1271741597">
          <w:marLeft w:val="0"/>
          <w:marRight w:val="0"/>
          <w:marTop w:val="0"/>
          <w:marBottom w:val="0"/>
          <w:divBdr>
            <w:top w:val="none" w:sz="0" w:space="0" w:color="auto"/>
            <w:left w:val="none" w:sz="0" w:space="0" w:color="auto"/>
            <w:bottom w:val="none" w:sz="0" w:space="0" w:color="auto"/>
            <w:right w:val="none" w:sz="0" w:space="0" w:color="auto"/>
          </w:divBdr>
        </w:div>
      </w:divsChild>
    </w:div>
    <w:div w:id="1907833165">
      <w:bodyDiv w:val="1"/>
      <w:marLeft w:val="0"/>
      <w:marRight w:val="0"/>
      <w:marTop w:val="0"/>
      <w:marBottom w:val="0"/>
      <w:divBdr>
        <w:top w:val="none" w:sz="0" w:space="0" w:color="auto"/>
        <w:left w:val="none" w:sz="0" w:space="0" w:color="auto"/>
        <w:bottom w:val="none" w:sz="0" w:space="0" w:color="auto"/>
        <w:right w:val="none" w:sz="0" w:space="0" w:color="auto"/>
      </w:divBdr>
    </w:div>
    <w:div w:id="1939674666">
      <w:bodyDiv w:val="1"/>
      <w:marLeft w:val="0"/>
      <w:marRight w:val="0"/>
      <w:marTop w:val="0"/>
      <w:marBottom w:val="0"/>
      <w:divBdr>
        <w:top w:val="none" w:sz="0" w:space="0" w:color="auto"/>
        <w:left w:val="none" w:sz="0" w:space="0" w:color="auto"/>
        <w:bottom w:val="none" w:sz="0" w:space="0" w:color="auto"/>
        <w:right w:val="none" w:sz="0" w:space="0" w:color="auto"/>
      </w:divBdr>
    </w:div>
    <w:div w:id="1964842657">
      <w:bodyDiv w:val="1"/>
      <w:marLeft w:val="0"/>
      <w:marRight w:val="0"/>
      <w:marTop w:val="0"/>
      <w:marBottom w:val="0"/>
      <w:divBdr>
        <w:top w:val="none" w:sz="0" w:space="0" w:color="auto"/>
        <w:left w:val="none" w:sz="0" w:space="0" w:color="auto"/>
        <w:bottom w:val="none" w:sz="0" w:space="0" w:color="auto"/>
        <w:right w:val="none" w:sz="0" w:space="0" w:color="auto"/>
      </w:divBdr>
      <w:divsChild>
        <w:div w:id="2061323823">
          <w:marLeft w:val="-100"/>
          <w:marRight w:val="0"/>
          <w:marTop w:val="0"/>
          <w:marBottom w:val="150"/>
          <w:divBdr>
            <w:top w:val="dashed" w:sz="4" w:space="3" w:color="666666"/>
            <w:left w:val="none" w:sz="0" w:space="0" w:color="auto"/>
            <w:bottom w:val="dashed" w:sz="4" w:space="5" w:color="666666"/>
            <w:right w:val="none" w:sz="0" w:space="0" w:color="auto"/>
          </w:divBdr>
          <w:divsChild>
            <w:div w:id="633759416">
              <w:marLeft w:val="0"/>
              <w:marRight w:val="0"/>
              <w:marTop w:val="0"/>
              <w:marBottom w:val="0"/>
              <w:divBdr>
                <w:top w:val="none" w:sz="0" w:space="0" w:color="auto"/>
                <w:left w:val="none" w:sz="0" w:space="0" w:color="auto"/>
                <w:bottom w:val="none" w:sz="0" w:space="0" w:color="auto"/>
                <w:right w:val="none" w:sz="0" w:space="0" w:color="auto"/>
              </w:divBdr>
            </w:div>
            <w:div w:id="1356807375">
              <w:marLeft w:val="0"/>
              <w:marRight w:val="0"/>
              <w:marTop w:val="0"/>
              <w:marBottom w:val="0"/>
              <w:divBdr>
                <w:top w:val="none" w:sz="0" w:space="0" w:color="auto"/>
                <w:left w:val="none" w:sz="0" w:space="0" w:color="auto"/>
                <w:bottom w:val="none" w:sz="0" w:space="0" w:color="auto"/>
                <w:right w:val="none" w:sz="0" w:space="0" w:color="auto"/>
              </w:divBdr>
            </w:div>
            <w:div w:id="19929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7686">
      <w:bodyDiv w:val="1"/>
      <w:marLeft w:val="0"/>
      <w:marRight w:val="0"/>
      <w:marTop w:val="0"/>
      <w:marBottom w:val="0"/>
      <w:divBdr>
        <w:top w:val="none" w:sz="0" w:space="0" w:color="auto"/>
        <w:left w:val="none" w:sz="0" w:space="0" w:color="auto"/>
        <w:bottom w:val="none" w:sz="0" w:space="0" w:color="auto"/>
        <w:right w:val="none" w:sz="0" w:space="0" w:color="auto"/>
      </w:divBdr>
    </w:div>
    <w:div w:id="2027057478">
      <w:bodyDiv w:val="1"/>
      <w:marLeft w:val="0"/>
      <w:marRight w:val="0"/>
      <w:marTop w:val="0"/>
      <w:marBottom w:val="0"/>
      <w:divBdr>
        <w:top w:val="none" w:sz="0" w:space="0" w:color="auto"/>
        <w:left w:val="none" w:sz="0" w:space="0" w:color="auto"/>
        <w:bottom w:val="none" w:sz="0" w:space="0" w:color="auto"/>
        <w:right w:val="none" w:sz="0" w:space="0" w:color="auto"/>
      </w:divBdr>
    </w:div>
    <w:div w:id="2029793466">
      <w:bodyDiv w:val="1"/>
      <w:marLeft w:val="0"/>
      <w:marRight w:val="0"/>
      <w:marTop w:val="0"/>
      <w:marBottom w:val="0"/>
      <w:divBdr>
        <w:top w:val="none" w:sz="0" w:space="0" w:color="auto"/>
        <w:left w:val="none" w:sz="0" w:space="0" w:color="auto"/>
        <w:bottom w:val="none" w:sz="0" w:space="0" w:color="auto"/>
        <w:right w:val="none" w:sz="0" w:space="0" w:color="auto"/>
      </w:divBdr>
    </w:div>
    <w:div w:id="2057776800">
      <w:bodyDiv w:val="1"/>
      <w:marLeft w:val="0"/>
      <w:marRight w:val="0"/>
      <w:marTop w:val="0"/>
      <w:marBottom w:val="0"/>
      <w:divBdr>
        <w:top w:val="none" w:sz="0" w:space="0" w:color="auto"/>
        <w:left w:val="none" w:sz="0" w:space="0" w:color="auto"/>
        <w:bottom w:val="none" w:sz="0" w:space="0" w:color="auto"/>
        <w:right w:val="none" w:sz="0" w:space="0" w:color="auto"/>
      </w:divBdr>
    </w:div>
    <w:div w:id="2082945453">
      <w:bodyDiv w:val="1"/>
      <w:marLeft w:val="0"/>
      <w:marRight w:val="0"/>
      <w:marTop w:val="0"/>
      <w:marBottom w:val="0"/>
      <w:divBdr>
        <w:top w:val="none" w:sz="0" w:space="0" w:color="auto"/>
        <w:left w:val="none" w:sz="0" w:space="0" w:color="auto"/>
        <w:bottom w:val="none" w:sz="0" w:space="0" w:color="auto"/>
        <w:right w:val="none" w:sz="0" w:space="0" w:color="auto"/>
      </w:divBdr>
      <w:divsChild>
        <w:div w:id="910701630">
          <w:marLeft w:val="0"/>
          <w:marRight w:val="0"/>
          <w:marTop w:val="34"/>
          <w:marBottom w:val="34"/>
          <w:divBdr>
            <w:top w:val="none" w:sz="0" w:space="0" w:color="auto"/>
            <w:left w:val="none" w:sz="0" w:space="0" w:color="auto"/>
            <w:bottom w:val="none" w:sz="0" w:space="0" w:color="auto"/>
            <w:right w:val="none" w:sz="0" w:space="0" w:color="auto"/>
          </w:divBdr>
        </w:div>
        <w:div w:id="1350833360">
          <w:marLeft w:val="0"/>
          <w:marRight w:val="0"/>
          <w:marTop w:val="0"/>
          <w:marBottom w:val="0"/>
          <w:divBdr>
            <w:top w:val="none" w:sz="0" w:space="0" w:color="auto"/>
            <w:left w:val="none" w:sz="0" w:space="0" w:color="auto"/>
            <w:bottom w:val="none" w:sz="0" w:space="0" w:color="auto"/>
            <w:right w:val="none" w:sz="0" w:space="0" w:color="auto"/>
          </w:divBdr>
        </w:div>
      </w:divsChild>
    </w:div>
    <w:div w:id="2084443886">
      <w:bodyDiv w:val="1"/>
      <w:marLeft w:val="0"/>
      <w:marRight w:val="0"/>
      <w:marTop w:val="0"/>
      <w:marBottom w:val="0"/>
      <w:divBdr>
        <w:top w:val="none" w:sz="0" w:space="0" w:color="auto"/>
        <w:left w:val="none" w:sz="0" w:space="0" w:color="auto"/>
        <w:bottom w:val="none" w:sz="0" w:space="0" w:color="auto"/>
        <w:right w:val="none" w:sz="0" w:space="0" w:color="auto"/>
      </w:divBdr>
    </w:div>
    <w:div w:id="20987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93A2C-2804-473B-89DB-0CFF7BE9C829}"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s-AR"/>
        </a:p>
      </dgm:t>
    </dgm:pt>
    <dgm:pt modelId="{36FDC785-0D94-4754-91F4-5C1473F4FCCB}">
      <dgm:prSet phldrT="[Texto]" custT="1"/>
      <dgm:spPr/>
      <dgm:t>
        <a:bodyPr/>
        <a:lstStyle/>
        <a:p>
          <a:r>
            <a:rPr lang="es-AR" sz="1000"/>
            <a:t>HBsAg + RT candidate</a:t>
          </a:r>
        </a:p>
      </dgm:t>
    </dgm:pt>
    <dgm:pt modelId="{F1DC11D0-128A-4DAC-98A0-FBE4349BB23D}" type="parTrans" cxnId="{FA3A2747-F47F-4156-AA34-F6CE0F31D9BA}">
      <dgm:prSet/>
      <dgm:spPr/>
      <dgm:t>
        <a:bodyPr/>
        <a:lstStyle/>
        <a:p>
          <a:endParaRPr lang="es-AR" sz="1000"/>
        </a:p>
      </dgm:t>
    </dgm:pt>
    <dgm:pt modelId="{F2B0EAD1-8F99-4DA7-92A8-7D08184DCC05}" type="sibTrans" cxnId="{FA3A2747-F47F-4156-AA34-F6CE0F31D9BA}">
      <dgm:prSet/>
      <dgm:spPr/>
      <dgm:t>
        <a:bodyPr/>
        <a:lstStyle/>
        <a:p>
          <a:endParaRPr lang="es-AR" sz="1000"/>
        </a:p>
      </dgm:t>
    </dgm:pt>
    <dgm:pt modelId="{0FDEFB20-B5F0-42C1-8935-6057B866814B}">
      <dgm:prSet phldrT="[Texto]" custT="1"/>
      <dgm:spPr/>
      <dgm:t>
        <a:bodyPr/>
        <a:lstStyle/>
        <a:p>
          <a:r>
            <a:rPr lang="es-AR" sz="1000"/>
            <a:t>Pretransplant assesment includying HBV DNA, HBeAg stauts, grading of liver fibrosis (liver biopsy or non-invasive)</a:t>
          </a:r>
        </a:p>
      </dgm:t>
    </dgm:pt>
    <dgm:pt modelId="{C925660C-C03F-4247-BE2F-EFB0103A5FC7}" type="parTrans" cxnId="{C03C9C89-DC0C-446C-9040-75B4773A824B}">
      <dgm:prSet/>
      <dgm:spPr/>
      <dgm:t>
        <a:bodyPr/>
        <a:lstStyle/>
        <a:p>
          <a:endParaRPr lang="es-AR" sz="1000"/>
        </a:p>
      </dgm:t>
    </dgm:pt>
    <dgm:pt modelId="{779EF109-BA30-4741-84BE-A47DA841EF87}" type="sibTrans" cxnId="{C03C9C89-DC0C-446C-9040-75B4773A824B}">
      <dgm:prSet/>
      <dgm:spPr/>
      <dgm:t>
        <a:bodyPr/>
        <a:lstStyle/>
        <a:p>
          <a:endParaRPr lang="es-AR" sz="1000"/>
        </a:p>
      </dgm:t>
    </dgm:pt>
    <dgm:pt modelId="{47D9F46F-3351-48E8-8B0A-DF11F26BF43D}">
      <dgm:prSet phldrT="[Texto]" custT="1"/>
      <dgm:spPr/>
      <dgm:t>
        <a:bodyPr/>
        <a:lstStyle/>
        <a:p>
          <a:r>
            <a:rPr lang="es-AR" sz="1000"/>
            <a:t>HBV DNA undetectable</a:t>
          </a:r>
        </a:p>
      </dgm:t>
    </dgm:pt>
    <dgm:pt modelId="{AD6876FA-B268-442C-8E16-054EC29BE235}" type="parTrans" cxnId="{A5DD0D68-EA71-4205-B2E4-33095150C751}">
      <dgm:prSet/>
      <dgm:spPr/>
      <dgm:t>
        <a:bodyPr/>
        <a:lstStyle/>
        <a:p>
          <a:endParaRPr lang="es-AR" sz="1000"/>
        </a:p>
      </dgm:t>
    </dgm:pt>
    <dgm:pt modelId="{6ACAB58E-2208-420A-AA3D-882B254C9136}" type="sibTrans" cxnId="{A5DD0D68-EA71-4205-B2E4-33095150C751}">
      <dgm:prSet/>
      <dgm:spPr/>
      <dgm:t>
        <a:bodyPr/>
        <a:lstStyle/>
        <a:p>
          <a:endParaRPr lang="es-AR" sz="1000"/>
        </a:p>
      </dgm:t>
    </dgm:pt>
    <dgm:pt modelId="{5B2D0F41-6EAC-439C-9825-598602C4A14D}">
      <dgm:prSet phldrT="[Texto]" custT="1"/>
      <dgm:spPr/>
      <dgm:t>
        <a:bodyPr/>
        <a:lstStyle/>
        <a:p>
          <a:r>
            <a:rPr lang="es-AR" sz="1000"/>
            <a:t>HBV DNA &lt; 2000 IU/mL</a:t>
          </a:r>
        </a:p>
      </dgm:t>
    </dgm:pt>
    <dgm:pt modelId="{D1DE1B22-A77A-4D6D-9501-1208A99ACD71}" type="parTrans" cxnId="{768D808D-DBD8-4137-9800-09AFB04E3C89}">
      <dgm:prSet/>
      <dgm:spPr/>
      <dgm:t>
        <a:bodyPr/>
        <a:lstStyle/>
        <a:p>
          <a:endParaRPr lang="es-AR" sz="1000"/>
        </a:p>
      </dgm:t>
    </dgm:pt>
    <dgm:pt modelId="{A467925E-BF1C-4B67-998E-85F06F017190}" type="sibTrans" cxnId="{768D808D-DBD8-4137-9800-09AFB04E3C89}">
      <dgm:prSet/>
      <dgm:spPr/>
      <dgm:t>
        <a:bodyPr/>
        <a:lstStyle/>
        <a:p>
          <a:endParaRPr lang="es-AR" sz="1000"/>
        </a:p>
      </dgm:t>
    </dgm:pt>
    <dgm:pt modelId="{6FC99175-FCFB-487A-8501-93798763F0B2}">
      <dgm:prSet phldrT="[Texto]" custT="1"/>
      <dgm:spPr/>
      <dgm:t>
        <a:bodyPr/>
        <a:lstStyle/>
        <a:p>
          <a:r>
            <a:rPr lang="es-AR" sz="1000"/>
            <a:t>Decompensated liver disease</a:t>
          </a:r>
        </a:p>
      </dgm:t>
    </dgm:pt>
    <dgm:pt modelId="{C228C6CA-A8AA-4528-878F-BB6A2B0C3572}" type="parTrans" cxnId="{E5737282-B6B4-4936-A2FA-25F110EA6BFE}">
      <dgm:prSet/>
      <dgm:spPr/>
      <dgm:t>
        <a:bodyPr/>
        <a:lstStyle/>
        <a:p>
          <a:endParaRPr lang="es-AR" sz="1000"/>
        </a:p>
      </dgm:t>
    </dgm:pt>
    <dgm:pt modelId="{E7CF2803-85FD-47DE-BE94-859B91054D34}" type="sibTrans" cxnId="{E5737282-B6B4-4936-A2FA-25F110EA6BFE}">
      <dgm:prSet/>
      <dgm:spPr/>
      <dgm:t>
        <a:bodyPr/>
        <a:lstStyle/>
        <a:p>
          <a:endParaRPr lang="es-AR" sz="1000"/>
        </a:p>
      </dgm:t>
    </dgm:pt>
    <dgm:pt modelId="{5F2EA559-FFD3-455D-9F3B-6B896BD69753}">
      <dgm:prSet phldrT="[Texto]" custT="1"/>
      <dgm:spPr/>
      <dgm:t>
        <a:bodyPr/>
        <a:lstStyle/>
        <a:p>
          <a:r>
            <a:rPr lang="es-AR" sz="1000"/>
            <a:t>Assess for combined LRT</a:t>
          </a:r>
        </a:p>
      </dgm:t>
    </dgm:pt>
    <dgm:pt modelId="{AD7A005E-D098-459D-8352-2F23D270E106}" type="parTrans" cxnId="{B2D1AE6B-6397-4D5A-9A36-2DFC2EE8EF91}">
      <dgm:prSet/>
      <dgm:spPr/>
      <dgm:t>
        <a:bodyPr/>
        <a:lstStyle/>
        <a:p>
          <a:endParaRPr lang="es-AR" sz="1000"/>
        </a:p>
      </dgm:t>
    </dgm:pt>
    <dgm:pt modelId="{3B46A75B-9FE4-4E4C-AC7A-DE8FBA7FF8A2}" type="sibTrans" cxnId="{B2D1AE6B-6397-4D5A-9A36-2DFC2EE8EF91}">
      <dgm:prSet/>
      <dgm:spPr/>
      <dgm:t>
        <a:bodyPr/>
        <a:lstStyle/>
        <a:p>
          <a:endParaRPr lang="es-AR" sz="1000"/>
        </a:p>
      </dgm:t>
    </dgm:pt>
    <dgm:pt modelId="{0CDA523F-3886-485D-8614-AEC33DEBD42A}">
      <dgm:prSet custT="1"/>
      <dgm:spPr/>
      <dgm:t>
        <a:bodyPr/>
        <a:lstStyle/>
        <a:p>
          <a:r>
            <a:rPr lang="en-US" sz="1000"/>
            <a:t>Prophylactic therapy</a:t>
          </a:r>
          <a:endParaRPr lang="es-AR" sz="1000"/>
        </a:p>
      </dgm:t>
    </dgm:pt>
    <dgm:pt modelId="{900B6AB2-9759-4BFA-8754-E41F7060E4A3}" type="parTrans" cxnId="{7875DCB4-5BB2-440F-9C9C-7EF7F45C7BB2}">
      <dgm:prSet/>
      <dgm:spPr/>
      <dgm:t>
        <a:bodyPr/>
        <a:lstStyle/>
        <a:p>
          <a:endParaRPr lang="es-AR" sz="1000"/>
        </a:p>
      </dgm:t>
    </dgm:pt>
    <dgm:pt modelId="{2C514C97-FDBA-4D7B-8070-44BFC444154A}" type="sibTrans" cxnId="{7875DCB4-5BB2-440F-9C9C-7EF7F45C7BB2}">
      <dgm:prSet/>
      <dgm:spPr/>
      <dgm:t>
        <a:bodyPr/>
        <a:lstStyle/>
        <a:p>
          <a:endParaRPr lang="es-AR" sz="1000"/>
        </a:p>
      </dgm:t>
    </dgm:pt>
    <dgm:pt modelId="{F0D26753-9E21-4DFB-BEA9-7403E57FB422}">
      <dgm:prSet custT="1"/>
      <dgm:spPr/>
      <dgm:t>
        <a:bodyPr/>
        <a:lstStyle/>
        <a:p>
          <a:r>
            <a:rPr lang="en-US" sz="1000"/>
            <a:t>Preemptive therapy</a:t>
          </a:r>
          <a:endParaRPr lang="es-AR" sz="1000"/>
        </a:p>
      </dgm:t>
    </dgm:pt>
    <dgm:pt modelId="{51ED4B74-E71C-4A7D-8102-7D6AEE7DD445}" type="parTrans" cxnId="{32BF1935-EE04-4E6D-B19D-65D8EDCA4E80}">
      <dgm:prSet/>
      <dgm:spPr/>
      <dgm:t>
        <a:bodyPr/>
        <a:lstStyle/>
        <a:p>
          <a:endParaRPr lang="es-AR" sz="1000"/>
        </a:p>
      </dgm:t>
    </dgm:pt>
    <dgm:pt modelId="{0CAA5877-D5FD-4EED-ADDB-94B91FCA03B3}" type="sibTrans" cxnId="{32BF1935-EE04-4E6D-B19D-65D8EDCA4E80}">
      <dgm:prSet/>
      <dgm:spPr/>
      <dgm:t>
        <a:bodyPr/>
        <a:lstStyle/>
        <a:p>
          <a:endParaRPr lang="es-AR" sz="1000"/>
        </a:p>
      </dgm:t>
    </dgm:pt>
    <dgm:pt modelId="{3DDD915E-70FF-4C12-9143-83864FBBBEE8}">
      <dgm:prSet custT="1"/>
      <dgm:spPr/>
      <dgm:t>
        <a:bodyPr/>
        <a:lstStyle/>
        <a:p>
          <a:r>
            <a:rPr lang="es-AR" sz="1000"/>
            <a:t>HBV DNA &gt; 2000 IU/mL</a:t>
          </a:r>
        </a:p>
      </dgm:t>
    </dgm:pt>
    <dgm:pt modelId="{4F1E1CC2-C0BB-40CD-86D0-C6A345BE77EF}" type="parTrans" cxnId="{D80D7E7B-B58D-42E2-B40A-B22EEC80F988}">
      <dgm:prSet/>
      <dgm:spPr/>
      <dgm:t>
        <a:bodyPr/>
        <a:lstStyle/>
        <a:p>
          <a:endParaRPr lang="es-AR"/>
        </a:p>
      </dgm:t>
    </dgm:pt>
    <dgm:pt modelId="{5AEBF5E6-04D0-4A2D-89FB-66BBC84CA111}" type="sibTrans" cxnId="{D80D7E7B-B58D-42E2-B40A-B22EEC80F988}">
      <dgm:prSet/>
      <dgm:spPr/>
      <dgm:t>
        <a:bodyPr/>
        <a:lstStyle/>
        <a:p>
          <a:endParaRPr lang="es-AR"/>
        </a:p>
      </dgm:t>
    </dgm:pt>
    <dgm:pt modelId="{0391AF70-100E-4269-8EFD-DB0FD4B9D905}">
      <dgm:prSet custT="1"/>
      <dgm:spPr/>
      <dgm:t>
        <a:bodyPr/>
        <a:lstStyle/>
        <a:p>
          <a:r>
            <a:rPr lang="es-AR" sz="1000"/>
            <a:t>Treatment</a:t>
          </a:r>
        </a:p>
      </dgm:t>
    </dgm:pt>
    <dgm:pt modelId="{7117F30C-C45D-45AC-AEA1-5B674021A5BF}" type="parTrans" cxnId="{B3E8888A-9152-4748-B608-A0CBF64D4D08}">
      <dgm:prSet/>
      <dgm:spPr/>
      <dgm:t>
        <a:bodyPr/>
        <a:lstStyle/>
        <a:p>
          <a:endParaRPr lang="es-AR"/>
        </a:p>
      </dgm:t>
    </dgm:pt>
    <dgm:pt modelId="{7A04AC37-9580-418E-86FB-034A3C427C0F}" type="sibTrans" cxnId="{B3E8888A-9152-4748-B608-A0CBF64D4D08}">
      <dgm:prSet/>
      <dgm:spPr/>
      <dgm:t>
        <a:bodyPr/>
        <a:lstStyle/>
        <a:p>
          <a:endParaRPr lang="es-AR"/>
        </a:p>
      </dgm:t>
    </dgm:pt>
    <dgm:pt modelId="{15B85C19-3596-43BE-81A3-3666E3E4CFA7}">
      <dgm:prSet custT="1"/>
      <dgm:spPr/>
      <dgm:t>
        <a:bodyPr/>
        <a:lstStyle/>
        <a:p>
          <a:r>
            <a:rPr lang="es-AR" sz="800"/>
            <a:t>NUC Naive: ETV</a:t>
          </a:r>
        </a:p>
        <a:p>
          <a:r>
            <a:rPr lang="es-AR" sz="800"/>
            <a:t>Resistance to any NUC: TDF</a:t>
          </a:r>
        </a:p>
      </dgm:t>
    </dgm:pt>
    <dgm:pt modelId="{0527676D-5E5A-4A2D-89C4-2DE2C199239E}" type="parTrans" cxnId="{2B84685C-8269-46C3-A885-3A6DD3F0D777}">
      <dgm:prSet/>
      <dgm:spPr/>
      <dgm:t>
        <a:bodyPr/>
        <a:lstStyle/>
        <a:p>
          <a:endParaRPr lang="es-AR"/>
        </a:p>
      </dgm:t>
    </dgm:pt>
    <dgm:pt modelId="{AFE3CA05-0F74-43B1-B59F-4CF7C60F01FD}" type="sibTrans" cxnId="{2B84685C-8269-46C3-A885-3A6DD3F0D777}">
      <dgm:prSet/>
      <dgm:spPr/>
      <dgm:t>
        <a:bodyPr/>
        <a:lstStyle/>
        <a:p>
          <a:endParaRPr lang="es-AR"/>
        </a:p>
      </dgm:t>
    </dgm:pt>
    <dgm:pt modelId="{A6F2B155-7DD4-4967-B828-A6BDD39E1F8A}">
      <dgm:prSet custT="1"/>
      <dgm:spPr/>
      <dgm:t>
        <a:bodyPr/>
        <a:lstStyle/>
        <a:p>
          <a:r>
            <a:rPr lang="es-AR" sz="800"/>
            <a:t>NUC Naive: ETV</a:t>
          </a:r>
        </a:p>
        <a:p>
          <a:r>
            <a:rPr lang="es-AR" sz="800"/>
            <a:t>Resistance to any NUC: TDF</a:t>
          </a:r>
        </a:p>
      </dgm:t>
    </dgm:pt>
    <dgm:pt modelId="{32BDD4B3-B983-40BD-B825-35DAC08847DE}" type="parTrans" cxnId="{7D1A1CD8-A6AD-4A87-A1E0-698DD03BF3A0}">
      <dgm:prSet/>
      <dgm:spPr/>
      <dgm:t>
        <a:bodyPr/>
        <a:lstStyle/>
        <a:p>
          <a:endParaRPr lang="es-AR"/>
        </a:p>
      </dgm:t>
    </dgm:pt>
    <dgm:pt modelId="{C6014C4C-4289-4543-A57A-C6A5E9E6B228}" type="sibTrans" cxnId="{7D1A1CD8-A6AD-4A87-A1E0-698DD03BF3A0}">
      <dgm:prSet/>
      <dgm:spPr/>
      <dgm:t>
        <a:bodyPr/>
        <a:lstStyle/>
        <a:p>
          <a:endParaRPr lang="es-AR"/>
        </a:p>
      </dgm:t>
    </dgm:pt>
    <dgm:pt modelId="{1559FD71-214B-4060-ACD0-BBC048756093}">
      <dgm:prSet custT="1"/>
      <dgm:spPr/>
      <dgm:t>
        <a:bodyPr/>
        <a:lstStyle/>
        <a:p>
          <a:r>
            <a:rPr lang="es-AR" sz="800"/>
            <a:t>NUC Naive: ETV</a:t>
          </a:r>
        </a:p>
        <a:p>
          <a:r>
            <a:rPr lang="es-AR" sz="800"/>
            <a:t>Resistance to any NUC: TDF</a:t>
          </a:r>
        </a:p>
      </dgm:t>
    </dgm:pt>
    <dgm:pt modelId="{BFEFB055-7FF6-49D3-9604-268BDDA82844}" type="parTrans" cxnId="{86084B86-82DA-4EFB-9FCA-BB7855E94B7F}">
      <dgm:prSet/>
      <dgm:spPr/>
      <dgm:t>
        <a:bodyPr/>
        <a:lstStyle/>
        <a:p>
          <a:endParaRPr lang="es-AR"/>
        </a:p>
      </dgm:t>
    </dgm:pt>
    <dgm:pt modelId="{D4E02D91-AD68-4981-98B8-FE6D65B0EE26}" type="sibTrans" cxnId="{86084B86-82DA-4EFB-9FCA-BB7855E94B7F}">
      <dgm:prSet/>
      <dgm:spPr/>
      <dgm:t>
        <a:bodyPr/>
        <a:lstStyle/>
        <a:p>
          <a:endParaRPr lang="es-AR"/>
        </a:p>
      </dgm:t>
    </dgm:pt>
    <dgm:pt modelId="{EEACCD17-F083-4CA7-ADC5-C32CEE3E4333}" type="pres">
      <dgm:prSet presAssocID="{D8993A2C-2804-473B-89DB-0CFF7BE9C829}" presName="hierChild1" presStyleCnt="0">
        <dgm:presLayoutVars>
          <dgm:chPref val="1"/>
          <dgm:dir/>
          <dgm:animOne val="branch"/>
          <dgm:animLvl val="lvl"/>
          <dgm:resizeHandles/>
        </dgm:presLayoutVars>
      </dgm:prSet>
      <dgm:spPr/>
      <dgm:t>
        <a:bodyPr/>
        <a:lstStyle/>
        <a:p>
          <a:endParaRPr lang="es-AR"/>
        </a:p>
      </dgm:t>
    </dgm:pt>
    <dgm:pt modelId="{9AA19EDE-D62C-4945-9B9D-C4750B89DD64}" type="pres">
      <dgm:prSet presAssocID="{36FDC785-0D94-4754-91F4-5C1473F4FCCB}" presName="hierRoot1" presStyleCnt="0"/>
      <dgm:spPr/>
      <dgm:t>
        <a:bodyPr/>
        <a:lstStyle/>
        <a:p>
          <a:endParaRPr lang="es-AR"/>
        </a:p>
      </dgm:t>
    </dgm:pt>
    <dgm:pt modelId="{33A5C98E-D3E6-4CD0-9757-1B5462E67F32}" type="pres">
      <dgm:prSet presAssocID="{36FDC785-0D94-4754-91F4-5C1473F4FCCB}" presName="composite" presStyleCnt="0"/>
      <dgm:spPr/>
      <dgm:t>
        <a:bodyPr/>
        <a:lstStyle/>
        <a:p>
          <a:endParaRPr lang="es-AR"/>
        </a:p>
      </dgm:t>
    </dgm:pt>
    <dgm:pt modelId="{2F42DA10-A5A0-4113-B66E-5F37532DBEB7}" type="pres">
      <dgm:prSet presAssocID="{36FDC785-0D94-4754-91F4-5C1473F4FCCB}" presName="background" presStyleLbl="node0" presStyleIdx="0" presStyleCnt="1"/>
      <dgm:spPr/>
      <dgm:t>
        <a:bodyPr/>
        <a:lstStyle/>
        <a:p>
          <a:endParaRPr lang="es-AR"/>
        </a:p>
      </dgm:t>
    </dgm:pt>
    <dgm:pt modelId="{F63A8430-A6D0-4E31-8D1E-357E5EFB3875}" type="pres">
      <dgm:prSet presAssocID="{36FDC785-0D94-4754-91F4-5C1473F4FCCB}" presName="text" presStyleLbl="fgAcc0" presStyleIdx="0" presStyleCnt="1" custScaleX="265459">
        <dgm:presLayoutVars>
          <dgm:chPref val="3"/>
        </dgm:presLayoutVars>
      </dgm:prSet>
      <dgm:spPr/>
      <dgm:t>
        <a:bodyPr/>
        <a:lstStyle/>
        <a:p>
          <a:endParaRPr lang="es-AR"/>
        </a:p>
      </dgm:t>
    </dgm:pt>
    <dgm:pt modelId="{A925B955-4CC9-4135-A122-2338ED2468EF}" type="pres">
      <dgm:prSet presAssocID="{36FDC785-0D94-4754-91F4-5C1473F4FCCB}" presName="hierChild2" presStyleCnt="0"/>
      <dgm:spPr/>
      <dgm:t>
        <a:bodyPr/>
        <a:lstStyle/>
        <a:p>
          <a:endParaRPr lang="es-AR"/>
        </a:p>
      </dgm:t>
    </dgm:pt>
    <dgm:pt modelId="{EAA323A3-79E7-457B-BECC-9D0E3D80CE0E}" type="pres">
      <dgm:prSet presAssocID="{C925660C-C03F-4247-BE2F-EFB0103A5FC7}" presName="Name10" presStyleLbl="parChTrans1D2" presStyleIdx="0" presStyleCnt="2"/>
      <dgm:spPr/>
      <dgm:t>
        <a:bodyPr/>
        <a:lstStyle/>
        <a:p>
          <a:endParaRPr lang="es-AR"/>
        </a:p>
      </dgm:t>
    </dgm:pt>
    <dgm:pt modelId="{0BCC7238-E25B-48C1-A5CF-3CF862D141EF}" type="pres">
      <dgm:prSet presAssocID="{0FDEFB20-B5F0-42C1-8935-6057B866814B}" presName="hierRoot2" presStyleCnt="0"/>
      <dgm:spPr/>
      <dgm:t>
        <a:bodyPr/>
        <a:lstStyle/>
        <a:p>
          <a:endParaRPr lang="es-AR"/>
        </a:p>
      </dgm:t>
    </dgm:pt>
    <dgm:pt modelId="{A290B563-B754-4C50-9258-B33C79C957FC}" type="pres">
      <dgm:prSet presAssocID="{0FDEFB20-B5F0-42C1-8935-6057B866814B}" presName="composite2" presStyleCnt="0"/>
      <dgm:spPr/>
      <dgm:t>
        <a:bodyPr/>
        <a:lstStyle/>
        <a:p>
          <a:endParaRPr lang="es-AR"/>
        </a:p>
      </dgm:t>
    </dgm:pt>
    <dgm:pt modelId="{402FBCE6-9A59-4674-8D0C-00CEB502DF9E}" type="pres">
      <dgm:prSet presAssocID="{0FDEFB20-B5F0-42C1-8935-6057B866814B}" presName="background2" presStyleLbl="node2" presStyleIdx="0" presStyleCnt="2"/>
      <dgm:spPr/>
      <dgm:t>
        <a:bodyPr/>
        <a:lstStyle/>
        <a:p>
          <a:endParaRPr lang="es-AR"/>
        </a:p>
      </dgm:t>
    </dgm:pt>
    <dgm:pt modelId="{36A40E6E-6612-4C69-81F8-AF67F996D6C8}" type="pres">
      <dgm:prSet presAssocID="{0FDEFB20-B5F0-42C1-8935-6057B866814B}" presName="text2" presStyleLbl="fgAcc2" presStyleIdx="0" presStyleCnt="2" custScaleX="484396">
        <dgm:presLayoutVars>
          <dgm:chPref val="3"/>
        </dgm:presLayoutVars>
      </dgm:prSet>
      <dgm:spPr/>
      <dgm:t>
        <a:bodyPr/>
        <a:lstStyle/>
        <a:p>
          <a:endParaRPr lang="es-AR"/>
        </a:p>
      </dgm:t>
    </dgm:pt>
    <dgm:pt modelId="{41E9E5F3-1CEC-4CCA-A19F-94F0329D92E7}" type="pres">
      <dgm:prSet presAssocID="{0FDEFB20-B5F0-42C1-8935-6057B866814B}" presName="hierChild3" presStyleCnt="0"/>
      <dgm:spPr/>
      <dgm:t>
        <a:bodyPr/>
        <a:lstStyle/>
        <a:p>
          <a:endParaRPr lang="es-AR"/>
        </a:p>
      </dgm:t>
    </dgm:pt>
    <dgm:pt modelId="{C88F44CB-E4C2-49BD-A7B7-A583C82D210B}" type="pres">
      <dgm:prSet presAssocID="{AD6876FA-B268-442C-8E16-054EC29BE235}" presName="Name17" presStyleLbl="parChTrans1D3" presStyleIdx="0" presStyleCnt="4"/>
      <dgm:spPr/>
      <dgm:t>
        <a:bodyPr/>
        <a:lstStyle/>
        <a:p>
          <a:endParaRPr lang="es-AR"/>
        </a:p>
      </dgm:t>
    </dgm:pt>
    <dgm:pt modelId="{D31617CA-F69B-4BD4-AC0D-99B10411D331}" type="pres">
      <dgm:prSet presAssocID="{47D9F46F-3351-48E8-8B0A-DF11F26BF43D}" presName="hierRoot3" presStyleCnt="0"/>
      <dgm:spPr/>
      <dgm:t>
        <a:bodyPr/>
        <a:lstStyle/>
        <a:p>
          <a:endParaRPr lang="es-AR"/>
        </a:p>
      </dgm:t>
    </dgm:pt>
    <dgm:pt modelId="{46C85545-6C83-4217-A59E-4CD501DBAD81}" type="pres">
      <dgm:prSet presAssocID="{47D9F46F-3351-48E8-8B0A-DF11F26BF43D}" presName="composite3" presStyleCnt="0"/>
      <dgm:spPr/>
      <dgm:t>
        <a:bodyPr/>
        <a:lstStyle/>
        <a:p>
          <a:endParaRPr lang="es-AR"/>
        </a:p>
      </dgm:t>
    </dgm:pt>
    <dgm:pt modelId="{38B2F504-4FE7-4910-9750-E0E5944AEE91}" type="pres">
      <dgm:prSet presAssocID="{47D9F46F-3351-48E8-8B0A-DF11F26BF43D}" presName="background3" presStyleLbl="node3" presStyleIdx="0" presStyleCnt="4"/>
      <dgm:spPr/>
      <dgm:t>
        <a:bodyPr/>
        <a:lstStyle/>
        <a:p>
          <a:endParaRPr lang="es-AR"/>
        </a:p>
      </dgm:t>
    </dgm:pt>
    <dgm:pt modelId="{AE307FAB-C88F-41BE-BD55-D95F1A5C24C2}" type="pres">
      <dgm:prSet presAssocID="{47D9F46F-3351-48E8-8B0A-DF11F26BF43D}" presName="text3" presStyleLbl="fgAcc3" presStyleIdx="0" presStyleCnt="4" custScaleX="169088">
        <dgm:presLayoutVars>
          <dgm:chPref val="3"/>
        </dgm:presLayoutVars>
      </dgm:prSet>
      <dgm:spPr/>
      <dgm:t>
        <a:bodyPr/>
        <a:lstStyle/>
        <a:p>
          <a:endParaRPr lang="es-AR"/>
        </a:p>
      </dgm:t>
    </dgm:pt>
    <dgm:pt modelId="{8E87CF7F-FD07-469D-A22F-C7F3F759EE29}" type="pres">
      <dgm:prSet presAssocID="{47D9F46F-3351-48E8-8B0A-DF11F26BF43D}" presName="hierChild4" presStyleCnt="0"/>
      <dgm:spPr/>
      <dgm:t>
        <a:bodyPr/>
        <a:lstStyle/>
        <a:p>
          <a:endParaRPr lang="es-AR"/>
        </a:p>
      </dgm:t>
    </dgm:pt>
    <dgm:pt modelId="{1523D8F2-A623-44EA-9C16-87452FF74BD6}" type="pres">
      <dgm:prSet presAssocID="{900B6AB2-9759-4BFA-8754-E41F7060E4A3}" presName="Name23" presStyleLbl="parChTrans1D4" presStyleIdx="0" presStyleCnt="6"/>
      <dgm:spPr/>
      <dgm:t>
        <a:bodyPr/>
        <a:lstStyle/>
        <a:p>
          <a:endParaRPr lang="es-AR"/>
        </a:p>
      </dgm:t>
    </dgm:pt>
    <dgm:pt modelId="{397615E1-D69A-4849-AFDE-1213FF2B49D1}" type="pres">
      <dgm:prSet presAssocID="{0CDA523F-3886-485D-8614-AEC33DEBD42A}" presName="hierRoot4" presStyleCnt="0"/>
      <dgm:spPr/>
      <dgm:t>
        <a:bodyPr/>
        <a:lstStyle/>
        <a:p>
          <a:endParaRPr lang="es-AR"/>
        </a:p>
      </dgm:t>
    </dgm:pt>
    <dgm:pt modelId="{F7D46493-077A-46A7-A6F5-C2B41E82BFF7}" type="pres">
      <dgm:prSet presAssocID="{0CDA523F-3886-485D-8614-AEC33DEBD42A}" presName="composite4" presStyleCnt="0"/>
      <dgm:spPr/>
      <dgm:t>
        <a:bodyPr/>
        <a:lstStyle/>
        <a:p>
          <a:endParaRPr lang="es-AR"/>
        </a:p>
      </dgm:t>
    </dgm:pt>
    <dgm:pt modelId="{523C932A-674E-43BD-8CF0-1E4E8F38C7EC}" type="pres">
      <dgm:prSet presAssocID="{0CDA523F-3886-485D-8614-AEC33DEBD42A}" presName="background4" presStyleLbl="node4" presStyleIdx="0" presStyleCnt="6"/>
      <dgm:spPr/>
      <dgm:t>
        <a:bodyPr/>
        <a:lstStyle/>
        <a:p>
          <a:endParaRPr lang="es-AR"/>
        </a:p>
      </dgm:t>
    </dgm:pt>
    <dgm:pt modelId="{E6B9B091-447E-44E8-BA84-18FC5F2A80B2}" type="pres">
      <dgm:prSet presAssocID="{0CDA523F-3886-485D-8614-AEC33DEBD42A}" presName="text4" presStyleLbl="fgAcc4" presStyleIdx="0" presStyleCnt="6" custScaleX="119355">
        <dgm:presLayoutVars>
          <dgm:chPref val="3"/>
        </dgm:presLayoutVars>
      </dgm:prSet>
      <dgm:spPr/>
      <dgm:t>
        <a:bodyPr/>
        <a:lstStyle/>
        <a:p>
          <a:endParaRPr lang="es-AR"/>
        </a:p>
      </dgm:t>
    </dgm:pt>
    <dgm:pt modelId="{C242E88E-CE8B-4803-AEFF-52340893EB65}" type="pres">
      <dgm:prSet presAssocID="{0CDA523F-3886-485D-8614-AEC33DEBD42A}" presName="hierChild5" presStyleCnt="0"/>
      <dgm:spPr/>
      <dgm:t>
        <a:bodyPr/>
        <a:lstStyle/>
        <a:p>
          <a:endParaRPr lang="es-AR"/>
        </a:p>
      </dgm:t>
    </dgm:pt>
    <dgm:pt modelId="{08B08C27-49FF-436B-B207-7EEAE1A0B4B9}" type="pres">
      <dgm:prSet presAssocID="{32BDD4B3-B983-40BD-B825-35DAC08847DE}" presName="Name23" presStyleLbl="parChTrans1D4" presStyleIdx="1" presStyleCnt="6"/>
      <dgm:spPr/>
      <dgm:t>
        <a:bodyPr/>
        <a:lstStyle/>
        <a:p>
          <a:endParaRPr lang="es-AR"/>
        </a:p>
      </dgm:t>
    </dgm:pt>
    <dgm:pt modelId="{B0ED952A-084D-4DD9-9947-36648965E848}" type="pres">
      <dgm:prSet presAssocID="{A6F2B155-7DD4-4967-B828-A6BDD39E1F8A}" presName="hierRoot4" presStyleCnt="0"/>
      <dgm:spPr/>
    </dgm:pt>
    <dgm:pt modelId="{7B6187F5-CC7B-4424-870E-769E6AC337F0}" type="pres">
      <dgm:prSet presAssocID="{A6F2B155-7DD4-4967-B828-A6BDD39E1F8A}" presName="composite4" presStyleCnt="0"/>
      <dgm:spPr/>
    </dgm:pt>
    <dgm:pt modelId="{1319CC4C-5B41-4EEE-8BE1-35A5208DD929}" type="pres">
      <dgm:prSet presAssocID="{A6F2B155-7DD4-4967-B828-A6BDD39E1F8A}" presName="background4" presStyleLbl="node4" presStyleIdx="1" presStyleCnt="6"/>
      <dgm:spPr/>
    </dgm:pt>
    <dgm:pt modelId="{B6C3D241-54F5-46EE-8380-DC13BB315910}" type="pres">
      <dgm:prSet presAssocID="{A6F2B155-7DD4-4967-B828-A6BDD39E1F8A}" presName="text4" presStyleLbl="fgAcc4" presStyleIdx="1" presStyleCnt="6" custScaleX="179745">
        <dgm:presLayoutVars>
          <dgm:chPref val="3"/>
        </dgm:presLayoutVars>
      </dgm:prSet>
      <dgm:spPr/>
      <dgm:t>
        <a:bodyPr/>
        <a:lstStyle/>
        <a:p>
          <a:endParaRPr lang="es-AR"/>
        </a:p>
      </dgm:t>
    </dgm:pt>
    <dgm:pt modelId="{FE7FBFA8-2460-4AE4-B3E1-812869FF02A2}" type="pres">
      <dgm:prSet presAssocID="{A6F2B155-7DD4-4967-B828-A6BDD39E1F8A}" presName="hierChild5" presStyleCnt="0"/>
      <dgm:spPr/>
    </dgm:pt>
    <dgm:pt modelId="{D7FCB86D-EAB0-47D3-BB55-DEE96651BDFB}" type="pres">
      <dgm:prSet presAssocID="{D1DE1B22-A77A-4D6D-9501-1208A99ACD71}" presName="Name17" presStyleLbl="parChTrans1D3" presStyleIdx="1" presStyleCnt="4"/>
      <dgm:spPr/>
      <dgm:t>
        <a:bodyPr/>
        <a:lstStyle/>
        <a:p>
          <a:endParaRPr lang="es-AR"/>
        </a:p>
      </dgm:t>
    </dgm:pt>
    <dgm:pt modelId="{C9A4EE83-C8CC-4FBF-A2B0-4EAE786670A4}" type="pres">
      <dgm:prSet presAssocID="{5B2D0F41-6EAC-439C-9825-598602C4A14D}" presName="hierRoot3" presStyleCnt="0"/>
      <dgm:spPr/>
      <dgm:t>
        <a:bodyPr/>
        <a:lstStyle/>
        <a:p>
          <a:endParaRPr lang="es-AR"/>
        </a:p>
      </dgm:t>
    </dgm:pt>
    <dgm:pt modelId="{A111D28D-A212-4FD0-AE44-CC0B33D6D062}" type="pres">
      <dgm:prSet presAssocID="{5B2D0F41-6EAC-439C-9825-598602C4A14D}" presName="composite3" presStyleCnt="0"/>
      <dgm:spPr/>
      <dgm:t>
        <a:bodyPr/>
        <a:lstStyle/>
        <a:p>
          <a:endParaRPr lang="es-AR"/>
        </a:p>
      </dgm:t>
    </dgm:pt>
    <dgm:pt modelId="{87CEE332-2A4C-4D8C-8249-B0A437670A30}" type="pres">
      <dgm:prSet presAssocID="{5B2D0F41-6EAC-439C-9825-598602C4A14D}" presName="background3" presStyleLbl="node3" presStyleIdx="1" presStyleCnt="4"/>
      <dgm:spPr/>
      <dgm:t>
        <a:bodyPr/>
        <a:lstStyle/>
        <a:p>
          <a:endParaRPr lang="es-AR"/>
        </a:p>
      </dgm:t>
    </dgm:pt>
    <dgm:pt modelId="{0FDC06EC-7EAB-42EB-AB31-73E805548B4F}" type="pres">
      <dgm:prSet presAssocID="{5B2D0F41-6EAC-439C-9825-598602C4A14D}" presName="text3" presStyleLbl="fgAcc3" presStyleIdx="1" presStyleCnt="4" custScaleX="141093">
        <dgm:presLayoutVars>
          <dgm:chPref val="3"/>
        </dgm:presLayoutVars>
      </dgm:prSet>
      <dgm:spPr/>
      <dgm:t>
        <a:bodyPr/>
        <a:lstStyle/>
        <a:p>
          <a:endParaRPr lang="es-AR"/>
        </a:p>
      </dgm:t>
    </dgm:pt>
    <dgm:pt modelId="{084693A6-A2B9-496B-98B4-7CB87E6161A2}" type="pres">
      <dgm:prSet presAssocID="{5B2D0F41-6EAC-439C-9825-598602C4A14D}" presName="hierChild4" presStyleCnt="0"/>
      <dgm:spPr/>
      <dgm:t>
        <a:bodyPr/>
        <a:lstStyle/>
        <a:p>
          <a:endParaRPr lang="es-AR"/>
        </a:p>
      </dgm:t>
    </dgm:pt>
    <dgm:pt modelId="{DD08DDCF-F465-4EBC-976A-E8C6C08A9B02}" type="pres">
      <dgm:prSet presAssocID="{51ED4B74-E71C-4A7D-8102-7D6AEE7DD445}" presName="Name23" presStyleLbl="parChTrans1D4" presStyleIdx="2" presStyleCnt="6"/>
      <dgm:spPr/>
      <dgm:t>
        <a:bodyPr/>
        <a:lstStyle/>
        <a:p>
          <a:endParaRPr lang="es-AR"/>
        </a:p>
      </dgm:t>
    </dgm:pt>
    <dgm:pt modelId="{CC89E166-E1B4-465D-A02F-5822F4AA1982}" type="pres">
      <dgm:prSet presAssocID="{F0D26753-9E21-4DFB-BEA9-7403E57FB422}" presName="hierRoot4" presStyleCnt="0"/>
      <dgm:spPr/>
      <dgm:t>
        <a:bodyPr/>
        <a:lstStyle/>
        <a:p>
          <a:endParaRPr lang="es-AR"/>
        </a:p>
      </dgm:t>
    </dgm:pt>
    <dgm:pt modelId="{FD184560-824A-485C-8DC2-D80C3D6A0937}" type="pres">
      <dgm:prSet presAssocID="{F0D26753-9E21-4DFB-BEA9-7403E57FB422}" presName="composite4" presStyleCnt="0"/>
      <dgm:spPr/>
      <dgm:t>
        <a:bodyPr/>
        <a:lstStyle/>
        <a:p>
          <a:endParaRPr lang="es-AR"/>
        </a:p>
      </dgm:t>
    </dgm:pt>
    <dgm:pt modelId="{6F56AD38-F1D0-43A2-980D-EF06E194E81F}" type="pres">
      <dgm:prSet presAssocID="{F0D26753-9E21-4DFB-BEA9-7403E57FB422}" presName="background4" presStyleLbl="node4" presStyleIdx="2" presStyleCnt="6"/>
      <dgm:spPr/>
      <dgm:t>
        <a:bodyPr/>
        <a:lstStyle/>
        <a:p>
          <a:endParaRPr lang="es-AR"/>
        </a:p>
      </dgm:t>
    </dgm:pt>
    <dgm:pt modelId="{0BBCAF26-8FE3-436A-B465-79819EAC23BB}" type="pres">
      <dgm:prSet presAssocID="{F0D26753-9E21-4DFB-BEA9-7403E57FB422}" presName="text4" presStyleLbl="fgAcc4" presStyleIdx="2" presStyleCnt="6">
        <dgm:presLayoutVars>
          <dgm:chPref val="3"/>
        </dgm:presLayoutVars>
      </dgm:prSet>
      <dgm:spPr/>
      <dgm:t>
        <a:bodyPr/>
        <a:lstStyle/>
        <a:p>
          <a:endParaRPr lang="es-AR"/>
        </a:p>
      </dgm:t>
    </dgm:pt>
    <dgm:pt modelId="{4E8F1930-18AF-4627-802B-AC673FE47ACC}" type="pres">
      <dgm:prSet presAssocID="{F0D26753-9E21-4DFB-BEA9-7403E57FB422}" presName="hierChild5" presStyleCnt="0"/>
      <dgm:spPr/>
      <dgm:t>
        <a:bodyPr/>
        <a:lstStyle/>
        <a:p>
          <a:endParaRPr lang="es-AR"/>
        </a:p>
      </dgm:t>
    </dgm:pt>
    <dgm:pt modelId="{503472C3-04C9-4154-A058-7BD2F6DD0249}" type="pres">
      <dgm:prSet presAssocID="{0527676D-5E5A-4A2D-89C4-2DE2C199239E}" presName="Name23" presStyleLbl="parChTrans1D4" presStyleIdx="3" presStyleCnt="6"/>
      <dgm:spPr/>
      <dgm:t>
        <a:bodyPr/>
        <a:lstStyle/>
        <a:p>
          <a:endParaRPr lang="es-AR"/>
        </a:p>
      </dgm:t>
    </dgm:pt>
    <dgm:pt modelId="{FAF4F64A-360D-4B1B-8ABA-F74728FA5EF1}" type="pres">
      <dgm:prSet presAssocID="{15B85C19-3596-43BE-81A3-3666E3E4CFA7}" presName="hierRoot4" presStyleCnt="0"/>
      <dgm:spPr/>
    </dgm:pt>
    <dgm:pt modelId="{AD54C128-E566-4846-9067-AC45E22FA5F7}" type="pres">
      <dgm:prSet presAssocID="{15B85C19-3596-43BE-81A3-3666E3E4CFA7}" presName="composite4" presStyleCnt="0"/>
      <dgm:spPr/>
    </dgm:pt>
    <dgm:pt modelId="{40B7BCEE-78E3-4468-8BDD-44D14014625B}" type="pres">
      <dgm:prSet presAssocID="{15B85C19-3596-43BE-81A3-3666E3E4CFA7}" presName="background4" presStyleLbl="node4" presStyleIdx="3" presStyleCnt="6"/>
      <dgm:spPr/>
    </dgm:pt>
    <dgm:pt modelId="{822A84A5-FA63-4E00-81A1-B89FE0511793}" type="pres">
      <dgm:prSet presAssocID="{15B85C19-3596-43BE-81A3-3666E3E4CFA7}" presName="text4" presStyleLbl="fgAcc4" presStyleIdx="3" presStyleCnt="6" custScaleX="180723">
        <dgm:presLayoutVars>
          <dgm:chPref val="3"/>
        </dgm:presLayoutVars>
      </dgm:prSet>
      <dgm:spPr/>
      <dgm:t>
        <a:bodyPr/>
        <a:lstStyle/>
        <a:p>
          <a:endParaRPr lang="es-AR"/>
        </a:p>
      </dgm:t>
    </dgm:pt>
    <dgm:pt modelId="{A9941CF9-C597-4347-9EDB-CD8187194187}" type="pres">
      <dgm:prSet presAssocID="{15B85C19-3596-43BE-81A3-3666E3E4CFA7}" presName="hierChild5" presStyleCnt="0"/>
      <dgm:spPr/>
    </dgm:pt>
    <dgm:pt modelId="{433380C2-E23F-4430-81AF-A51A14A78869}" type="pres">
      <dgm:prSet presAssocID="{4F1E1CC2-C0BB-40CD-86D0-C6A345BE77EF}" presName="Name17" presStyleLbl="parChTrans1D3" presStyleIdx="2" presStyleCnt="4"/>
      <dgm:spPr/>
      <dgm:t>
        <a:bodyPr/>
        <a:lstStyle/>
        <a:p>
          <a:endParaRPr lang="es-AR"/>
        </a:p>
      </dgm:t>
    </dgm:pt>
    <dgm:pt modelId="{96E42F90-5D4C-4494-9879-68F737E74651}" type="pres">
      <dgm:prSet presAssocID="{3DDD915E-70FF-4C12-9143-83864FBBBEE8}" presName="hierRoot3" presStyleCnt="0"/>
      <dgm:spPr/>
    </dgm:pt>
    <dgm:pt modelId="{CCB953BC-A4FC-4581-8183-C34B23524CFE}" type="pres">
      <dgm:prSet presAssocID="{3DDD915E-70FF-4C12-9143-83864FBBBEE8}" presName="composite3" presStyleCnt="0"/>
      <dgm:spPr/>
    </dgm:pt>
    <dgm:pt modelId="{9BDCDD48-24BC-4802-BA70-F81976AD0F40}" type="pres">
      <dgm:prSet presAssocID="{3DDD915E-70FF-4C12-9143-83864FBBBEE8}" presName="background3" presStyleLbl="node3" presStyleIdx="2" presStyleCnt="4"/>
      <dgm:spPr/>
    </dgm:pt>
    <dgm:pt modelId="{F9BE2E8B-7869-4CF8-ACFD-CCE0A25847D4}" type="pres">
      <dgm:prSet presAssocID="{3DDD915E-70FF-4C12-9143-83864FBBBEE8}" presName="text3" presStyleLbl="fgAcc3" presStyleIdx="2" presStyleCnt="4" custScaleX="143299">
        <dgm:presLayoutVars>
          <dgm:chPref val="3"/>
        </dgm:presLayoutVars>
      </dgm:prSet>
      <dgm:spPr/>
      <dgm:t>
        <a:bodyPr/>
        <a:lstStyle/>
        <a:p>
          <a:endParaRPr lang="es-AR"/>
        </a:p>
      </dgm:t>
    </dgm:pt>
    <dgm:pt modelId="{D46FFBB0-87A9-45B3-ADFE-C8F3BB918B6E}" type="pres">
      <dgm:prSet presAssocID="{3DDD915E-70FF-4C12-9143-83864FBBBEE8}" presName="hierChild4" presStyleCnt="0"/>
      <dgm:spPr/>
    </dgm:pt>
    <dgm:pt modelId="{C06CD84B-5178-48E6-B1EF-22C00F5502C6}" type="pres">
      <dgm:prSet presAssocID="{7117F30C-C45D-45AC-AEA1-5B674021A5BF}" presName="Name23" presStyleLbl="parChTrans1D4" presStyleIdx="4" presStyleCnt="6"/>
      <dgm:spPr/>
      <dgm:t>
        <a:bodyPr/>
        <a:lstStyle/>
        <a:p>
          <a:endParaRPr lang="es-AR"/>
        </a:p>
      </dgm:t>
    </dgm:pt>
    <dgm:pt modelId="{8684188A-4A67-40AA-B248-2182D8E4B206}" type="pres">
      <dgm:prSet presAssocID="{0391AF70-100E-4269-8EFD-DB0FD4B9D905}" presName="hierRoot4" presStyleCnt="0"/>
      <dgm:spPr/>
    </dgm:pt>
    <dgm:pt modelId="{E55999CE-C11E-4A3D-99DB-331FA029F7AF}" type="pres">
      <dgm:prSet presAssocID="{0391AF70-100E-4269-8EFD-DB0FD4B9D905}" presName="composite4" presStyleCnt="0"/>
      <dgm:spPr/>
    </dgm:pt>
    <dgm:pt modelId="{9F43A150-1DB2-43FB-96ED-8F4A565C71BF}" type="pres">
      <dgm:prSet presAssocID="{0391AF70-100E-4269-8EFD-DB0FD4B9D905}" presName="background4" presStyleLbl="node4" presStyleIdx="4" presStyleCnt="6"/>
      <dgm:spPr/>
    </dgm:pt>
    <dgm:pt modelId="{189113FA-ED96-4CB7-BAD7-C25E0E39CD9E}" type="pres">
      <dgm:prSet presAssocID="{0391AF70-100E-4269-8EFD-DB0FD4B9D905}" presName="text4" presStyleLbl="fgAcc4" presStyleIdx="4" presStyleCnt="6">
        <dgm:presLayoutVars>
          <dgm:chPref val="3"/>
        </dgm:presLayoutVars>
      </dgm:prSet>
      <dgm:spPr/>
      <dgm:t>
        <a:bodyPr/>
        <a:lstStyle/>
        <a:p>
          <a:endParaRPr lang="es-AR"/>
        </a:p>
      </dgm:t>
    </dgm:pt>
    <dgm:pt modelId="{ABF6F124-9D74-4629-B840-F6777DE86A02}" type="pres">
      <dgm:prSet presAssocID="{0391AF70-100E-4269-8EFD-DB0FD4B9D905}" presName="hierChild5" presStyleCnt="0"/>
      <dgm:spPr/>
    </dgm:pt>
    <dgm:pt modelId="{DFCFD6BF-DFA4-430C-B5D2-0EAD91DFA2FC}" type="pres">
      <dgm:prSet presAssocID="{BFEFB055-7FF6-49D3-9604-268BDDA82844}" presName="Name23" presStyleLbl="parChTrans1D4" presStyleIdx="5" presStyleCnt="6"/>
      <dgm:spPr/>
      <dgm:t>
        <a:bodyPr/>
        <a:lstStyle/>
        <a:p>
          <a:endParaRPr lang="es-AR"/>
        </a:p>
      </dgm:t>
    </dgm:pt>
    <dgm:pt modelId="{5BDDEFC2-E19E-45C7-B09A-D45082A8AADA}" type="pres">
      <dgm:prSet presAssocID="{1559FD71-214B-4060-ACD0-BBC048756093}" presName="hierRoot4" presStyleCnt="0"/>
      <dgm:spPr/>
    </dgm:pt>
    <dgm:pt modelId="{83BD660F-9C4B-4C10-9062-9C44D9B18B50}" type="pres">
      <dgm:prSet presAssocID="{1559FD71-214B-4060-ACD0-BBC048756093}" presName="composite4" presStyleCnt="0"/>
      <dgm:spPr/>
    </dgm:pt>
    <dgm:pt modelId="{64336557-9F0C-4354-B265-0D8ED8D091FD}" type="pres">
      <dgm:prSet presAssocID="{1559FD71-214B-4060-ACD0-BBC048756093}" presName="background4" presStyleLbl="node4" presStyleIdx="5" presStyleCnt="6"/>
      <dgm:spPr/>
    </dgm:pt>
    <dgm:pt modelId="{AB22F3BA-757E-4DD4-8212-542438B30237}" type="pres">
      <dgm:prSet presAssocID="{1559FD71-214B-4060-ACD0-BBC048756093}" presName="text4" presStyleLbl="fgAcc4" presStyleIdx="5" presStyleCnt="6" custScaleX="179193">
        <dgm:presLayoutVars>
          <dgm:chPref val="3"/>
        </dgm:presLayoutVars>
      </dgm:prSet>
      <dgm:spPr/>
      <dgm:t>
        <a:bodyPr/>
        <a:lstStyle/>
        <a:p>
          <a:endParaRPr lang="es-AR"/>
        </a:p>
      </dgm:t>
    </dgm:pt>
    <dgm:pt modelId="{841E5D17-4886-44F6-A642-97A9730EF090}" type="pres">
      <dgm:prSet presAssocID="{1559FD71-214B-4060-ACD0-BBC048756093}" presName="hierChild5" presStyleCnt="0"/>
      <dgm:spPr/>
    </dgm:pt>
    <dgm:pt modelId="{2370D92A-B6F2-4C1B-B99C-38EBB75CE960}" type="pres">
      <dgm:prSet presAssocID="{C228C6CA-A8AA-4528-878F-BB6A2B0C3572}" presName="Name10" presStyleLbl="parChTrans1D2" presStyleIdx="1" presStyleCnt="2"/>
      <dgm:spPr/>
      <dgm:t>
        <a:bodyPr/>
        <a:lstStyle/>
        <a:p>
          <a:endParaRPr lang="es-AR"/>
        </a:p>
      </dgm:t>
    </dgm:pt>
    <dgm:pt modelId="{4E13C724-CD93-4E0A-BF1C-3B3F567F09E7}" type="pres">
      <dgm:prSet presAssocID="{6FC99175-FCFB-487A-8501-93798763F0B2}" presName="hierRoot2" presStyleCnt="0"/>
      <dgm:spPr/>
      <dgm:t>
        <a:bodyPr/>
        <a:lstStyle/>
        <a:p>
          <a:endParaRPr lang="es-AR"/>
        </a:p>
      </dgm:t>
    </dgm:pt>
    <dgm:pt modelId="{94518ECB-9226-4911-A0F3-3605097EA737}" type="pres">
      <dgm:prSet presAssocID="{6FC99175-FCFB-487A-8501-93798763F0B2}" presName="composite2" presStyleCnt="0"/>
      <dgm:spPr/>
      <dgm:t>
        <a:bodyPr/>
        <a:lstStyle/>
        <a:p>
          <a:endParaRPr lang="es-AR"/>
        </a:p>
      </dgm:t>
    </dgm:pt>
    <dgm:pt modelId="{C134B195-B139-4125-AFA9-DC6121874B60}" type="pres">
      <dgm:prSet presAssocID="{6FC99175-FCFB-487A-8501-93798763F0B2}" presName="background2" presStyleLbl="node2" presStyleIdx="1" presStyleCnt="2"/>
      <dgm:spPr/>
      <dgm:t>
        <a:bodyPr/>
        <a:lstStyle/>
        <a:p>
          <a:endParaRPr lang="es-AR"/>
        </a:p>
      </dgm:t>
    </dgm:pt>
    <dgm:pt modelId="{8321EE9E-E72C-494A-90C9-BA075085800C}" type="pres">
      <dgm:prSet presAssocID="{6FC99175-FCFB-487A-8501-93798763F0B2}" presName="text2" presStyleLbl="fgAcc2" presStyleIdx="1" presStyleCnt="2" custScaleX="241598">
        <dgm:presLayoutVars>
          <dgm:chPref val="3"/>
        </dgm:presLayoutVars>
      </dgm:prSet>
      <dgm:spPr/>
      <dgm:t>
        <a:bodyPr/>
        <a:lstStyle/>
        <a:p>
          <a:endParaRPr lang="es-AR"/>
        </a:p>
      </dgm:t>
    </dgm:pt>
    <dgm:pt modelId="{CE8CCEE1-EFC1-4C18-9E3D-B9A38812037B}" type="pres">
      <dgm:prSet presAssocID="{6FC99175-FCFB-487A-8501-93798763F0B2}" presName="hierChild3" presStyleCnt="0"/>
      <dgm:spPr/>
      <dgm:t>
        <a:bodyPr/>
        <a:lstStyle/>
        <a:p>
          <a:endParaRPr lang="es-AR"/>
        </a:p>
      </dgm:t>
    </dgm:pt>
    <dgm:pt modelId="{6B45EC0B-E86B-4007-B386-7FCA1A5C99A5}" type="pres">
      <dgm:prSet presAssocID="{AD7A005E-D098-459D-8352-2F23D270E106}" presName="Name17" presStyleLbl="parChTrans1D3" presStyleIdx="3" presStyleCnt="4"/>
      <dgm:spPr/>
      <dgm:t>
        <a:bodyPr/>
        <a:lstStyle/>
        <a:p>
          <a:endParaRPr lang="es-AR"/>
        </a:p>
      </dgm:t>
    </dgm:pt>
    <dgm:pt modelId="{8A8FB02C-B7D9-44FE-9F7B-16E402B2F487}" type="pres">
      <dgm:prSet presAssocID="{5F2EA559-FFD3-455D-9F3B-6B896BD69753}" presName="hierRoot3" presStyleCnt="0"/>
      <dgm:spPr/>
      <dgm:t>
        <a:bodyPr/>
        <a:lstStyle/>
        <a:p>
          <a:endParaRPr lang="es-AR"/>
        </a:p>
      </dgm:t>
    </dgm:pt>
    <dgm:pt modelId="{23BE2737-08FD-442D-B376-1E370682BB99}" type="pres">
      <dgm:prSet presAssocID="{5F2EA559-FFD3-455D-9F3B-6B896BD69753}" presName="composite3" presStyleCnt="0"/>
      <dgm:spPr/>
      <dgm:t>
        <a:bodyPr/>
        <a:lstStyle/>
        <a:p>
          <a:endParaRPr lang="es-AR"/>
        </a:p>
      </dgm:t>
    </dgm:pt>
    <dgm:pt modelId="{73F8A9A5-DDE7-46AF-ACF5-BDDBFD0688F7}" type="pres">
      <dgm:prSet presAssocID="{5F2EA559-FFD3-455D-9F3B-6B896BD69753}" presName="background3" presStyleLbl="node3" presStyleIdx="3" presStyleCnt="4"/>
      <dgm:spPr/>
      <dgm:t>
        <a:bodyPr/>
        <a:lstStyle/>
        <a:p>
          <a:endParaRPr lang="es-AR"/>
        </a:p>
      </dgm:t>
    </dgm:pt>
    <dgm:pt modelId="{DEF90A9F-CB14-4429-9CE4-5319FE41730D}" type="pres">
      <dgm:prSet presAssocID="{5F2EA559-FFD3-455D-9F3B-6B896BD69753}" presName="text3" presStyleLbl="fgAcc3" presStyleIdx="3" presStyleCnt="4" custScaleX="194644">
        <dgm:presLayoutVars>
          <dgm:chPref val="3"/>
        </dgm:presLayoutVars>
      </dgm:prSet>
      <dgm:spPr/>
      <dgm:t>
        <a:bodyPr/>
        <a:lstStyle/>
        <a:p>
          <a:endParaRPr lang="es-AR"/>
        </a:p>
      </dgm:t>
    </dgm:pt>
    <dgm:pt modelId="{570AFC55-E2FF-4600-A636-175329150EFF}" type="pres">
      <dgm:prSet presAssocID="{5F2EA559-FFD3-455D-9F3B-6B896BD69753}" presName="hierChild4" presStyleCnt="0"/>
      <dgm:spPr/>
      <dgm:t>
        <a:bodyPr/>
        <a:lstStyle/>
        <a:p>
          <a:endParaRPr lang="es-AR"/>
        </a:p>
      </dgm:t>
    </dgm:pt>
  </dgm:ptLst>
  <dgm:cxnLst>
    <dgm:cxn modelId="{D80D7E7B-B58D-42E2-B40A-B22EEC80F988}" srcId="{0FDEFB20-B5F0-42C1-8935-6057B866814B}" destId="{3DDD915E-70FF-4C12-9143-83864FBBBEE8}" srcOrd="2" destOrd="0" parTransId="{4F1E1CC2-C0BB-40CD-86D0-C6A345BE77EF}" sibTransId="{5AEBF5E6-04D0-4A2D-89FB-66BBC84CA111}"/>
    <dgm:cxn modelId="{B2D1AE6B-6397-4D5A-9A36-2DFC2EE8EF91}" srcId="{6FC99175-FCFB-487A-8501-93798763F0B2}" destId="{5F2EA559-FFD3-455D-9F3B-6B896BD69753}" srcOrd="0" destOrd="0" parTransId="{AD7A005E-D098-459D-8352-2F23D270E106}" sibTransId="{3B46A75B-9FE4-4E4C-AC7A-DE8FBA7FF8A2}"/>
    <dgm:cxn modelId="{CC49CB1D-9627-4513-B10E-1A87DB3B7F48}" type="presOf" srcId="{F0D26753-9E21-4DFB-BEA9-7403E57FB422}" destId="{0BBCAF26-8FE3-436A-B465-79819EAC23BB}" srcOrd="0" destOrd="0" presId="urn:microsoft.com/office/officeart/2005/8/layout/hierarchy1"/>
    <dgm:cxn modelId="{FA3A2747-F47F-4156-AA34-F6CE0F31D9BA}" srcId="{D8993A2C-2804-473B-89DB-0CFF7BE9C829}" destId="{36FDC785-0D94-4754-91F4-5C1473F4FCCB}" srcOrd="0" destOrd="0" parTransId="{F1DC11D0-128A-4DAC-98A0-FBE4349BB23D}" sibTransId="{F2B0EAD1-8F99-4DA7-92A8-7D08184DCC05}"/>
    <dgm:cxn modelId="{C83B3659-FB23-440B-9DFE-752475E1A875}" type="presOf" srcId="{D1DE1B22-A77A-4D6D-9501-1208A99ACD71}" destId="{D7FCB86D-EAB0-47D3-BB55-DEE96651BDFB}" srcOrd="0" destOrd="0" presId="urn:microsoft.com/office/officeart/2005/8/layout/hierarchy1"/>
    <dgm:cxn modelId="{6D94E3FD-9CBE-49DC-B4D8-312AA8A57B5C}" type="presOf" srcId="{0391AF70-100E-4269-8EFD-DB0FD4B9D905}" destId="{189113FA-ED96-4CB7-BAD7-C25E0E39CD9E}" srcOrd="0" destOrd="0" presId="urn:microsoft.com/office/officeart/2005/8/layout/hierarchy1"/>
    <dgm:cxn modelId="{7D1A1CD8-A6AD-4A87-A1E0-698DD03BF3A0}" srcId="{0CDA523F-3886-485D-8614-AEC33DEBD42A}" destId="{A6F2B155-7DD4-4967-B828-A6BDD39E1F8A}" srcOrd="0" destOrd="0" parTransId="{32BDD4B3-B983-40BD-B825-35DAC08847DE}" sibTransId="{C6014C4C-4289-4543-A57A-C6A5E9E6B228}"/>
    <dgm:cxn modelId="{B032F822-BD46-440D-93F2-72FC9C54DBEF}" type="presOf" srcId="{51ED4B74-E71C-4A7D-8102-7D6AEE7DD445}" destId="{DD08DDCF-F465-4EBC-976A-E8C6C08A9B02}" srcOrd="0" destOrd="0" presId="urn:microsoft.com/office/officeart/2005/8/layout/hierarchy1"/>
    <dgm:cxn modelId="{A5DD0D68-EA71-4205-B2E4-33095150C751}" srcId="{0FDEFB20-B5F0-42C1-8935-6057B866814B}" destId="{47D9F46F-3351-48E8-8B0A-DF11F26BF43D}" srcOrd="0" destOrd="0" parTransId="{AD6876FA-B268-442C-8E16-054EC29BE235}" sibTransId="{6ACAB58E-2208-420A-AA3D-882B254C9136}"/>
    <dgm:cxn modelId="{E5737282-B6B4-4936-A2FA-25F110EA6BFE}" srcId="{36FDC785-0D94-4754-91F4-5C1473F4FCCB}" destId="{6FC99175-FCFB-487A-8501-93798763F0B2}" srcOrd="1" destOrd="0" parTransId="{C228C6CA-A8AA-4528-878F-BB6A2B0C3572}" sibTransId="{E7CF2803-85FD-47DE-BE94-859B91054D34}"/>
    <dgm:cxn modelId="{0B044870-8AFC-43B5-BF39-D272F15FAC30}" type="presOf" srcId="{5B2D0F41-6EAC-439C-9825-598602C4A14D}" destId="{0FDC06EC-7EAB-42EB-AB31-73E805548B4F}" srcOrd="0" destOrd="0" presId="urn:microsoft.com/office/officeart/2005/8/layout/hierarchy1"/>
    <dgm:cxn modelId="{0FF5BE8F-5D81-49C4-A5EC-9850A9936E3A}" type="presOf" srcId="{C925660C-C03F-4247-BE2F-EFB0103A5FC7}" destId="{EAA323A3-79E7-457B-BECC-9D0E3D80CE0E}" srcOrd="0" destOrd="0" presId="urn:microsoft.com/office/officeart/2005/8/layout/hierarchy1"/>
    <dgm:cxn modelId="{4A95B37C-CE33-4B55-AE87-A72410093324}" type="presOf" srcId="{D8993A2C-2804-473B-89DB-0CFF7BE9C829}" destId="{EEACCD17-F083-4CA7-ADC5-C32CEE3E4333}" srcOrd="0" destOrd="0" presId="urn:microsoft.com/office/officeart/2005/8/layout/hierarchy1"/>
    <dgm:cxn modelId="{D82D2F4D-16E0-4565-9E5B-3E94808317D3}" type="presOf" srcId="{4F1E1CC2-C0BB-40CD-86D0-C6A345BE77EF}" destId="{433380C2-E23F-4430-81AF-A51A14A78869}" srcOrd="0" destOrd="0" presId="urn:microsoft.com/office/officeart/2005/8/layout/hierarchy1"/>
    <dgm:cxn modelId="{C03C9C89-DC0C-446C-9040-75B4773A824B}" srcId="{36FDC785-0D94-4754-91F4-5C1473F4FCCB}" destId="{0FDEFB20-B5F0-42C1-8935-6057B866814B}" srcOrd="0" destOrd="0" parTransId="{C925660C-C03F-4247-BE2F-EFB0103A5FC7}" sibTransId="{779EF109-BA30-4741-84BE-A47DA841EF87}"/>
    <dgm:cxn modelId="{0FE2312B-3D59-44CB-B46B-43B20AACDADF}" type="presOf" srcId="{0527676D-5E5A-4A2D-89C4-2DE2C199239E}" destId="{503472C3-04C9-4154-A058-7BD2F6DD0249}" srcOrd="0" destOrd="0" presId="urn:microsoft.com/office/officeart/2005/8/layout/hierarchy1"/>
    <dgm:cxn modelId="{9DD77F79-0369-4571-BF01-320B1D1361DD}" type="presOf" srcId="{6FC99175-FCFB-487A-8501-93798763F0B2}" destId="{8321EE9E-E72C-494A-90C9-BA075085800C}" srcOrd="0" destOrd="0" presId="urn:microsoft.com/office/officeart/2005/8/layout/hierarchy1"/>
    <dgm:cxn modelId="{3E409D0F-B0A6-415F-A9F7-6277E3793005}" type="presOf" srcId="{3DDD915E-70FF-4C12-9143-83864FBBBEE8}" destId="{F9BE2E8B-7869-4CF8-ACFD-CCE0A25847D4}" srcOrd="0" destOrd="0" presId="urn:microsoft.com/office/officeart/2005/8/layout/hierarchy1"/>
    <dgm:cxn modelId="{1190F09B-2189-4876-AC82-DF047F0ECF9D}" type="presOf" srcId="{AD6876FA-B268-442C-8E16-054EC29BE235}" destId="{C88F44CB-E4C2-49BD-A7B7-A583C82D210B}" srcOrd="0" destOrd="0" presId="urn:microsoft.com/office/officeart/2005/8/layout/hierarchy1"/>
    <dgm:cxn modelId="{2B84685C-8269-46C3-A885-3A6DD3F0D777}" srcId="{F0D26753-9E21-4DFB-BEA9-7403E57FB422}" destId="{15B85C19-3596-43BE-81A3-3666E3E4CFA7}" srcOrd="0" destOrd="0" parTransId="{0527676D-5E5A-4A2D-89C4-2DE2C199239E}" sibTransId="{AFE3CA05-0F74-43B1-B59F-4CF7C60F01FD}"/>
    <dgm:cxn modelId="{B3E8888A-9152-4748-B608-A0CBF64D4D08}" srcId="{3DDD915E-70FF-4C12-9143-83864FBBBEE8}" destId="{0391AF70-100E-4269-8EFD-DB0FD4B9D905}" srcOrd="0" destOrd="0" parTransId="{7117F30C-C45D-45AC-AEA1-5B674021A5BF}" sibTransId="{7A04AC37-9580-418E-86FB-034A3C427C0F}"/>
    <dgm:cxn modelId="{86084B86-82DA-4EFB-9FCA-BB7855E94B7F}" srcId="{0391AF70-100E-4269-8EFD-DB0FD4B9D905}" destId="{1559FD71-214B-4060-ACD0-BBC048756093}" srcOrd="0" destOrd="0" parTransId="{BFEFB055-7FF6-49D3-9604-268BDDA82844}" sibTransId="{D4E02D91-AD68-4981-98B8-FE6D65B0EE26}"/>
    <dgm:cxn modelId="{3F5D4BE4-3960-41D1-95A5-110CE1E7F30E}" type="presOf" srcId="{AD7A005E-D098-459D-8352-2F23D270E106}" destId="{6B45EC0B-E86B-4007-B386-7FCA1A5C99A5}" srcOrd="0" destOrd="0" presId="urn:microsoft.com/office/officeart/2005/8/layout/hierarchy1"/>
    <dgm:cxn modelId="{8F6A8C8F-88C7-4EA9-B651-A523E1205889}" type="presOf" srcId="{7117F30C-C45D-45AC-AEA1-5B674021A5BF}" destId="{C06CD84B-5178-48E6-B1EF-22C00F5502C6}" srcOrd="0" destOrd="0" presId="urn:microsoft.com/office/officeart/2005/8/layout/hierarchy1"/>
    <dgm:cxn modelId="{7875DCB4-5BB2-440F-9C9C-7EF7F45C7BB2}" srcId="{47D9F46F-3351-48E8-8B0A-DF11F26BF43D}" destId="{0CDA523F-3886-485D-8614-AEC33DEBD42A}" srcOrd="0" destOrd="0" parTransId="{900B6AB2-9759-4BFA-8754-E41F7060E4A3}" sibTransId="{2C514C97-FDBA-4D7B-8070-44BFC444154A}"/>
    <dgm:cxn modelId="{DE7A5F1E-4E85-4448-A46B-B1484C50D590}" type="presOf" srcId="{32BDD4B3-B983-40BD-B825-35DAC08847DE}" destId="{08B08C27-49FF-436B-B207-7EEAE1A0B4B9}" srcOrd="0" destOrd="0" presId="urn:microsoft.com/office/officeart/2005/8/layout/hierarchy1"/>
    <dgm:cxn modelId="{8921B903-055D-4F5E-8661-883AE3F5C431}" type="presOf" srcId="{47D9F46F-3351-48E8-8B0A-DF11F26BF43D}" destId="{AE307FAB-C88F-41BE-BD55-D95F1A5C24C2}" srcOrd="0" destOrd="0" presId="urn:microsoft.com/office/officeart/2005/8/layout/hierarchy1"/>
    <dgm:cxn modelId="{63522AFC-CF38-4408-B5AC-9D607E5EEEDB}" type="presOf" srcId="{A6F2B155-7DD4-4967-B828-A6BDD39E1F8A}" destId="{B6C3D241-54F5-46EE-8380-DC13BB315910}" srcOrd="0" destOrd="0" presId="urn:microsoft.com/office/officeart/2005/8/layout/hierarchy1"/>
    <dgm:cxn modelId="{680063B0-FA69-4B16-9AFA-42A0E8ABD314}" type="presOf" srcId="{36FDC785-0D94-4754-91F4-5C1473F4FCCB}" destId="{F63A8430-A6D0-4E31-8D1E-357E5EFB3875}" srcOrd="0" destOrd="0" presId="urn:microsoft.com/office/officeart/2005/8/layout/hierarchy1"/>
    <dgm:cxn modelId="{1F303A57-B582-41AF-A017-767E9620CEDA}" type="presOf" srcId="{15B85C19-3596-43BE-81A3-3666E3E4CFA7}" destId="{822A84A5-FA63-4E00-81A1-B89FE0511793}" srcOrd="0" destOrd="0" presId="urn:microsoft.com/office/officeart/2005/8/layout/hierarchy1"/>
    <dgm:cxn modelId="{6C465C55-0BB5-4D16-9DAF-43ADCB89D34B}" type="presOf" srcId="{BFEFB055-7FF6-49D3-9604-268BDDA82844}" destId="{DFCFD6BF-DFA4-430C-B5D2-0EAD91DFA2FC}" srcOrd="0" destOrd="0" presId="urn:microsoft.com/office/officeart/2005/8/layout/hierarchy1"/>
    <dgm:cxn modelId="{25B76B47-407C-47D4-84FE-2987821DCB0C}" type="presOf" srcId="{5F2EA559-FFD3-455D-9F3B-6B896BD69753}" destId="{DEF90A9F-CB14-4429-9CE4-5319FE41730D}" srcOrd="0" destOrd="0" presId="urn:microsoft.com/office/officeart/2005/8/layout/hierarchy1"/>
    <dgm:cxn modelId="{D55BFC0E-0357-4E10-BFBE-4109EEF5F544}" type="presOf" srcId="{0FDEFB20-B5F0-42C1-8935-6057B866814B}" destId="{36A40E6E-6612-4C69-81F8-AF67F996D6C8}" srcOrd="0" destOrd="0" presId="urn:microsoft.com/office/officeart/2005/8/layout/hierarchy1"/>
    <dgm:cxn modelId="{32BF1935-EE04-4E6D-B19D-65D8EDCA4E80}" srcId="{5B2D0F41-6EAC-439C-9825-598602C4A14D}" destId="{F0D26753-9E21-4DFB-BEA9-7403E57FB422}" srcOrd="0" destOrd="0" parTransId="{51ED4B74-E71C-4A7D-8102-7D6AEE7DD445}" sibTransId="{0CAA5877-D5FD-4EED-ADDB-94B91FCA03B3}"/>
    <dgm:cxn modelId="{75E7BCCB-EF60-4970-9357-6043DD08E234}" type="presOf" srcId="{1559FD71-214B-4060-ACD0-BBC048756093}" destId="{AB22F3BA-757E-4DD4-8212-542438B30237}" srcOrd="0" destOrd="0" presId="urn:microsoft.com/office/officeart/2005/8/layout/hierarchy1"/>
    <dgm:cxn modelId="{3259E16A-7862-481C-96C8-E1049025A02D}" type="presOf" srcId="{0CDA523F-3886-485D-8614-AEC33DEBD42A}" destId="{E6B9B091-447E-44E8-BA84-18FC5F2A80B2}" srcOrd="0" destOrd="0" presId="urn:microsoft.com/office/officeart/2005/8/layout/hierarchy1"/>
    <dgm:cxn modelId="{768D808D-DBD8-4137-9800-09AFB04E3C89}" srcId="{0FDEFB20-B5F0-42C1-8935-6057B866814B}" destId="{5B2D0F41-6EAC-439C-9825-598602C4A14D}" srcOrd="1" destOrd="0" parTransId="{D1DE1B22-A77A-4D6D-9501-1208A99ACD71}" sibTransId="{A467925E-BF1C-4B67-998E-85F06F017190}"/>
    <dgm:cxn modelId="{E757A611-E0A5-47DC-BF2A-65CC25484839}" type="presOf" srcId="{900B6AB2-9759-4BFA-8754-E41F7060E4A3}" destId="{1523D8F2-A623-44EA-9C16-87452FF74BD6}" srcOrd="0" destOrd="0" presId="urn:microsoft.com/office/officeart/2005/8/layout/hierarchy1"/>
    <dgm:cxn modelId="{57B807FC-8700-48C1-8F59-06C86DB33CDD}" type="presOf" srcId="{C228C6CA-A8AA-4528-878F-BB6A2B0C3572}" destId="{2370D92A-B6F2-4C1B-B99C-38EBB75CE960}" srcOrd="0" destOrd="0" presId="urn:microsoft.com/office/officeart/2005/8/layout/hierarchy1"/>
    <dgm:cxn modelId="{925FA82F-E344-4CC5-A307-4E9A4763E4F8}" type="presParOf" srcId="{EEACCD17-F083-4CA7-ADC5-C32CEE3E4333}" destId="{9AA19EDE-D62C-4945-9B9D-C4750B89DD64}" srcOrd="0" destOrd="0" presId="urn:microsoft.com/office/officeart/2005/8/layout/hierarchy1"/>
    <dgm:cxn modelId="{D4B801D6-C9C1-435F-A947-847C84483C5C}" type="presParOf" srcId="{9AA19EDE-D62C-4945-9B9D-C4750B89DD64}" destId="{33A5C98E-D3E6-4CD0-9757-1B5462E67F32}" srcOrd="0" destOrd="0" presId="urn:microsoft.com/office/officeart/2005/8/layout/hierarchy1"/>
    <dgm:cxn modelId="{17C128BF-9DFE-4E7D-997E-3073BEF125DB}" type="presParOf" srcId="{33A5C98E-D3E6-4CD0-9757-1B5462E67F32}" destId="{2F42DA10-A5A0-4113-B66E-5F37532DBEB7}" srcOrd="0" destOrd="0" presId="urn:microsoft.com/office/officeart/2005/8/layout/hierarchy1"/>
    <dgm:cxn modelId="{8F2D05B4-CECB-4165-B0D4-4EC3E69A58C7}" type="presParOf" srcId="{33A5C98E-D3E6-4CD0-9757-1B5462E67F32}" destId="{F63A8430-A6D0-4E31-8D1E-357E5EFB3875}" srcOrd="1" destOrd="0" presId="urn:microsoft.com/office/officeart/2005/8/layout/hierarchy1"/>
    <dgm:cxn modelId="{C9A437E2-B147-45CB-B2A5-CE778B8C0903}" type="presParOf" srcId="{9AA19EDE-D62C-4945-9B9D-C4750B89DD64}" destId="{A925B955-4CC9-4135-A122-2338ED2468EF}" srcOrd="1" destOrd="0" presId="urn:microsoft.com/office/officeart/2005/8/layout/hierarchy1"/>
    <dgm:cxn modelId="{7B333E61-94CE-419C-869E-F1A4919F0004}" type="presParOf" srcId="{A925B955-4CC9-4135-A122-2338ED2468EF}" destId="{EAA323A3-79E7-457B-BECC-9D0E3D80CE0E}" srcOrd="0" destOrd="0" presId="urn:microsoft.com/office/officeart/2005/8/layout/hierarchy1"/>
    <dgm:cxn modelId="{AAD4E52E-641F-4861-BA32-C6D52D30C53D}" type="presParOf" srcId="{A925B955-4CC9-4135-A122-2338ED2468EF}" destId="{0BCC7238-E25B-48C1-A5CF-3CF862D141EF}" srcOrd="1" destOrd="0" presId="urn:microsoft.com/office/officeart/2005/8/layout/hierarchy1"/>
    <dgm:cxn modelId="{62D588CB-904D-4838-84C8-D79344B9A45D}" type="presParOf" srcId="{0BCC7238-E25B-48C1-A5CF-3CF862D141EF}" destId="{A290B563-B754-4C50-9258-B33C79C957FC}" srcOrd="0" destOrd="0" presId="urn:microsoft.com/office/officeart/2005/8/layout/hierarchy1"/>
    <dgm:cxn modelId="{9E0881A6-DA95-4374-9C86-8010306DE3D2}" type="presParOf" srcId="{A290B563-B754-4C50-9258-B33C79C957FC}" destId="{402FBCE6-9A59-4674-8D0C-00CEB502DF9E}" srcOrd="0" destOrd="0" presId="urn:microsoft.com/office/officeart/2005/8/layout/hierarchy1"/>
    <dgm:cxn modelId="{1366EF39-10BD-42CB-8EAB-F7F89B671C93}" type="presParOf" srcId="{A290B563-B754-4C50-9258-B33C79C957FC}" destId="{36A40E6E-6612-4C69-81F8-AF67F996D6C8}" srcOrd="1" destOrd="0" presId="urn:microsoft.com/office/officeart/2005/8/layout/hierarchy1"/>
    <dgm:cxn modelId="{38C05F96-DD8C-44F3-87ED-56FC2DC7E1D9}" type="presParOf" srcId="{0BCC7238-E25B-48C1-A5CF-3CF862D141EF}" destId="{41E9E5F3-1CEC-4CCA-A19F-94F0329D92E7}" srcOrd="1" destOrd="0" presId="urn:microsoft.com/office/officeart/2005/8/layout/hierarchy1"/>
    <dgm:cxn modelId="{2C35FDF2-6F38-4526-A612-44D8B1CE259D}" type="presParOf" srcId="{41E9E5F3-1CEC-4CCA-A19F-94F0329D92E7}" destId="{C88F44CB-E4C2-49BD-A7B7-A583C82D210B}" srcOrd="0" destOrd="0" presId="urn:microsoft.com/office/officeart/2005/8/layout/hierarchy1"/>
    <dgm:cxn modelId="{37B1633E-6FE5-43E0-8959-39B7663B1AFC}" type="presParOf" srcId="{41E9E5F3-1CEC-4CCA-A19F-94F0329D92E7}" destId="{D31617CA-F69B-4BD4-AC0D-99B10411D331}" srcOrd="1" destOrd="0" presId="urn:microsoft.com/office/officeart/2005/8/layout/hierarchy1"/>
    <dgm:cxn modelId="{E8C6C484-5D5E-46F3-A976-E34B47FE2A1C}" type="presParOf" srcId="{D31617CA-F69B-4BD4-AC0D-99B10411D331}" destId="{46C85545-6C83-4217-A59E-4CD501DBAD81}" srcOrd="0" destOrd="0" presId="urn:microsoft.com/office/officeart/2005/8/layout/hierarchy1"/>
    <dgm:cxn modelId="{13C9C350-B734-4F9F-98C6-8DF9D25FD4E1}" type="presParOf" srcId="{46C85545-6C83-4217-A59E-4CD501DBAD81}" destId="{38B2F504-4FE7-4910-9750-E0E5944AEE91}" srcOrd="0" destOrd="0" presId="urn:microsoft.com/office/officeart/2005/8/layout/hierarchy1"/>
    <dgm:cxn modelId="{336FB203-A338-48D7-940A-8CF87C59273F}" type="presParOf" srcId="{46C85545-6C83-4217-A59E-4CD501DBAD81}" destId="{AE307FAB-C88F-41BE-BD55-D95F1A5C24C2}" srcOrd="1" destOrd="0" presId="urn:microsoft.com/office/officeart/2005/8/layout/hierarchy1"/>
    <dgm:cxn modelId="{0A2D84D2-CF43-4D4E-856D-B38F17E1B400}" type="presParOf" srcId="{D31617CA-F69B-4BD4-AC0D-99B10411D331}" destId="{8E87CF7F-FD07-469D-A22F-C7F3F759EE29}" srcOrd="1" destOrd="0" presId="urn:microsoft.com/office/officeart/2005/8/layout/hierarchy1"/>
    <dgm:cxn modelId="{F44D6195-C09D-4998-99E0-78B4CB2B5511}" type="presParOf" srcId="{8E87CF7F-FD07-469D-A22F-C7F3F759EE29}" destId="{1523D8F2-A623-44EA-9C16-87452FF74BD6}" srcOrd="0" destOrd="0" presId="urn:microsoft.com/office/officeart/2005/8/layout/hierarchy1"/>
    <dgm:cxn modelId="{B53F3189-AFD0-484A-BF66-FA7161D36DF9}" type="presParOf" srcId="{8E87CF7F-FD07-469D-A22F-C7F3F759EE29}" destId="{397615E1-D69A-4849-AFDE-1213FF2B49D1}" srcOrd="1" destOrd="0" presId="urn:microsoft.com/office/officeart/2005/8/layout/hierarchy1"/>
    <dgm:cxn modelId="{D2093B61-773A-48C5-8721-FD869AAF60C1}" type="presParOf" srcId="{397615E1-D69A-4849-AFDE-1213FF2B49D1}" destId="{F7D46493-077A-46A7-A6F5-C2B41E82BFF7}" srcOrd="0" destOrd="0" presId="urn:microsoft.com/office/officeart/2005/8/layout/hierarchy1"/>
    <dgm:cxn modelId="{AC66A9E2-982D-416A-887D-C3B8595FA874}" type="presParOf" srcId="{F7D46493-077A-46A7-A6F5-C2B41E82BFF7}" destId="{523C932A-674E-43BD-8CF0-1E4E8F38C7EC}" srcOrd="0" destOrd="0" presId="urn:microsoft.com/office/officeart/2005/8/layout/hierarchy1"/>
    <dgm:cxn modelId="{24865760-4020-4FF5-9910-9EEFBCEC95F5}" type="presParOf" srcId="{F7D46493-077A-46A7-A6F5-C2B41E82BFF7}" destId="{E6B9B091-447E-44E8-BA84-18FC5F2A80B2}" srcOrd="1" destOrd="0" presId="urn:microsoft.com/office/officeart/2005/8/layout/hierarchy1"/>
    <dgm:cxn modelId="{0361EE2F-5530-4DF1-B6C7-A19FB9DD8782}" type="presParOf" srcId="{397615E1-D69A-4849-AFDE-1213FF2B49D1}" destId="{C242E88E-CE8B-4803-AEFF-52340893EB65}" srcOrd="1" destOrd="0" presId="urn:microsoft.com/office/officeart/2005/8/layout/hierarchy1"/>
    <dgm:cxn modelId="{F0F4DFDD-E2CC-401A-B45E-7EFF8AE7D54E}" type="presParOf" srcId="{C242E88E-CE8B-4803-AEFF-52340893EB65}" destId="{08B08C27-49FF-436B-B207-7EEAE1A0B4B9}" srcOrd="0" destOrd="0" presId="urn:microsoft.com/office/officeart/2005/8/layout/hierarchy1"/>
    <dgm:cxn modelId="{8DF35612-F8F3-4118-9E46-9BF1D8680977}" type="presParOf" srcId="{C242E88E-CE8B-4803-AEFF-52340893EB65}" destId="{B0ED952A-084D-4DD9-9947-36648965E848}" srcOrd="1" destOrd="0" presId="urn:microsoft.com/office/officeart/2005/8/layout/hierarchy1"/>
    <dgm:cxn modelId="{262C1619-FCEF-41AC-9EB7-DD60E97CB6FF}" type="presParOf" srcId="{B0ED952A-084D-4DD9-9947-36648965E848}" destId="{7B6187F5-CC7B-4424-870E-769E6AC337F0}" srcOrd="0" destOrd="0" presId="urn:microsoft.com/office/officeart/2005/8/layout/hierarchy1"/>
    <dgm:cxn modelId="{E57ACF64-A44A-41ED-9953-439C834BC5EE}" type="presParOf" srcId="{7B6187F5-CC7B-4424-870E-769E6AC337F0}" destId="{1319CC4C-5B41-4EEE-8BE1-35A5208DD929}" srcOrd="0" destOrd="0" presId="urn:microsoft.com/office/officeart/2005/8/layout/hierarchy1"/>
    <dgm:cxn modelId="{2E621E65-5B14-4545-A537-2175728F7C1B}" type="presParOf" srcId="{7B6187F5-CC7B-4424-870E-769E6AC337F0}" destId="{B6C3D241-54F5-46EE-8380-DC13BB315910}" srcOrd="1" destOrd="0" presId="urn:microsoft.com/office/officeart/2005/8/layout/hierarchy1"/>
    <dgm:cxn modelId="{187AB914-9408-47F7-AB61-D0E15FC6FBB4}" type="presParOf" srcId="{B0ED952A-084D-4DD9-9947-36648965E848}" destId="{FE7FBFA8-2460-4AE4-B3E1-812869FF02A2}" srcOrd="1" destOrd="0" presId="urn:microsoft.com/office/officeart/2005/8/layout/hierarchy1"/>
    <dgm:cxn modelId="{EEE9DD6C-D50E-4117-9E1D-6CF542611454}" type="presParOf" srcId="{41E9E5F3-1CEC-4CCA-A19F-94F0329D92E7}" destId="{D7FCB86D-EAB0-47D3-BB55-DEE96651BDFB}" srcOrd="2" destOrd="0" presId="urn:microsoft.com/office/officeart/2005/8/layout/hierarchy1"/>
    <dgm:cxn modelId="{A0E0432C-C162-43C3-844C-AD7EF9B77108}" type="presParOf" srcId="{41E9E5F3-1CEC-4CCA-A19F-94F0329D92E7}" destId="{C9A4EE83-C8CC-4FBF-A2B0-4EAE786670A4}" srcOrd="3" destOrd="0" presId="urn:microsoft.com/office/officeart/2005/8/layout/hierarchy1"/>
    <dgm:cxn modelId="{52AA4DA8-B9A1-49A1-8E8A-34D13EC55342}" type="presParOf" srcId="{C9A4EE83-C8CC-4FBF-A2B0-4EAE786670A4}" destId="{A111D28D-A212-4FD0-AE44-CC0B33D6D062}" srcOrd="0" destOrd="0" presId="urn:microsoft.com/office/officeart/2005/8/layout/hierarchy1"/>
    <dgm:cxn modelId="{C2572A25-68BE-4578-846C-83932DEB4CA5}" type="presParOf" srcId="{A111D28D-A212-4FD0-AE44-CC0B33D6D062}" destId="{87CEE332-2A4C-4D8C-8249-B0A437670A30}" srcOrd="0" destOrd="0" presId="urn:microsoft.com/office/officeart/2005/8/layout/hierarchy1"/>
    <dgm:cxn modelId="{3F41C456-D5CA-4F34-A6F9-0DA7BEDDCA27}" type="presParOf" srcId="{A111D28D-A212-4FD0-AE44-CC0B33D6D062}" destId="{0FDC06EC-7EAB-42EB-AB31-73E805548B4F}" srcOrd="1" destOrd="0" presId="urn:microsoft.com/office/officeart/2005/8/layout/hierarchy1"/>
    <dgm:cxn modelId="{25E416F2-AB67-42D0-85C4-059CC435C689}" type="presParOf" srcId="{C9A4EE83-C8CC-4FBF-A2B0-4EAE786670A4}" destId="{084693A6-A2B9-496B-98B4-7CB87E6161A2}" srcOrd="1" destOrd="0" presId="urn:microsoft.com/office/officeart/2005/8/layout/hierarchy1"/>
    <dgm:cxn modelId="{5F72CB7B-9CA7-42B5-A30A-CE0E70C6D4C7}" type="presParOf" srcId="{084693A6-A2B9-496B-98B4-7CB87E6161A2}" destId="{DD08DDCF-F465-4EBC-976A-E8C6C08A9B02}" srcOrd="0" destOrd="0" presId="urn:microsoft.com/office/officeart/2005/8/layout/hierarchy1"/>
    <dgm:cxn modelId="{BCF98359-DA0C-4E60-9E01-CD271E7FFDEA}" type="presParOf" srcId="{084693A6-A2B9-496B-98B4-7CB87E6161A2}" destId="{CC89E166-E1B4-465D-A02F-5822F4AA1982}" srcOrd="1" destOrd="0" presId="urn:microsoft.com/office/officeart/2005/8/layout/hierarchy1"/>
    <dgm:cxn modelId="{FF10F788-1C57-42FA-BE95-96E579E2B409}" type="presParOf" srcId="{CC89E166-E1B4-465D-A02F-5822F4AA1982}" destId="{FD184560-824A-485C-8DC2-D80C3D6A0937}" srcOrd="0" destOrd="0" presId="urn:microsoft.com/office/officeart/2005/8/layout/hierarchy1"/>
    <dgm:cxn modelId="{D0BD5FCA-FEB1-4795-960F-4EAE90CD0325}" type="presParOf" srcId="{FD184560-824A-485C-8DC2-D80C3D6A0937}" destId="{6F56AD38-F1D0-43A2-980D-EF06E194E81F}" srcOrd="0" destOrd="0" presId="urn:microsoft.com/office/officeart/2005/8/layout/hierarchy1"/>
    <dgm:cxn modelId="{6619F23B-B588-40FF-8AEC-B1EFEC090683}" type="presParOf" srcId="{FD184560-824A-485C-8DC2-D80C3D6A0937}" destId="{0BBCAF26-8FE3-436A-B465-79819EAC23BB}" srcOrd="1" destOrd="0" presId="urn:microsoft.com/office/officeart/2005/8/layout/hierarchy1"/>
    <dgm:cxn modelId="{0E882A9F-4B51-418A-90FB-4CA2DC2CAC4C}" type="presParOf" srcId="{CC89E166-E1B4-465D-A02F-5822F4AA1982}" destId="{4E8F1930-18AF-4627-802B-AC673FE47ACC}" srcOrd="1" destOrd="0" presId="urn:microsoft.com/office/officeart/2005/8/layout/hierarchy1"/>
    <dgm:cxn modelId="{D9F7A720-B924-403B-8E05-5ABE4E914D36}" type="presParOf" srcId="{4E8F1930-18AF-4627-802B-AC673FE47ACC}" destId="{503472C3-04C9-4154-A058-7BD2F6DD0249}" srcOrd="0" destOrd="0" presId="urn:microsoft.com/office/officeart/2005/8/layout/hierarchy1"/>
    <dgm:cxn modelId="{9B1BBDF9-69D3-4978-946D-B2C2DF30D6FF}" type="presParOf" srcId="{4E8F1930-18AF-4627-802B-AC673FE47ACC}" destId="{FAF4F64A-360D-4B1B-8ABA-F74728FA5EF1}" srcOrd="1" destOrd="0" presId="urn:microsoft.com/office/officeart/2005/8/layout/hierarchy1"/>
    <dgm:cxn modelId="{EAA20446-B050-48FF-9584-B5A90D7BA0E5}" type="presParOf" srcId="{FAF4F64A-360D-4B1B-8ABA-F74728FA5EF1}" destId="{AD54C128-E566-4846-9067-AC45E22FA5F7}" srcOrd="0" destOrd="0" presId="urn:microsoft.com/office/officeart/2005/8/layout/hierarchy1"/>
    <dgm:cxn modelId="{D2E8250A-9130-43AF-BA7A-F671FAD62720}" type="presParOf" srcId="{AD54C128-E566-4846-9067-AC45E22FA5F7}" destId="{40B7BCEE-78E3-4468-8BDD-44D14014625B}" srcOrd="0" destOrd="0" presId="urn:microsoft.com/office/officeart/2005/8/layout/hierarchy1"/>
    <dgm:cxn modelId="{312A4927-B1E2-4D29-ABCE-1447191DCF7A}" type="presParOf" srcId="{AD54C128-E566-4846-9067-AC45E22FA5F7}" destId="{822A84A5-FA63-4E00-81A1-B89FE0511793}" srcOrd="1" destOrd="0" presId="urn:microsoft.com/office/officeart/2005/8/layout/hierarchy1"/>
    <dgm:cxn modelId="{55F6D189-55C5-427F-86E2-016DB39C0889}" type="presParOf" srcId="{FAF4F64A-360D-4B1B-8ABA-F74728FA5EF1}" destId="{A9941CF9-C597-4347-9EDB-CD8187194187}" srcOrd="1" destOrd="0" presId="urn:microsoft.com/office/officeart/2005/8/layout/hierarchy1"/>
    <dgm:cxn modelId="{1C00C63D-BF5F-4E08-B112-16151F6B2361}" type="presParOf" srcId="{41E9E5F3-1CEC-4CCA-A19F-94F0329D92E7}" destId="{433380C2-E23F-4430-81AF-A51A14A78869}" srcOrd="4" destOrd="0" presId="urn:microsoft.com/office/officeart/2005/8/layout/hierarchy1"/>
    <dgm:cxn modelId="{57DF62E4-A7BE-4291-A8AE-5C8E1A0BC7B1}" type="presParOf" srcId="{41E9E5F3-1CEC-4CCA-A19F-94F0329D92E7}" destId="{96E42F90-5D4C-4494-9879-68F737E74651}" srcOrd="5" destOrd="0" presId="urn:microsoft.com/office/officeart/2005/8/layout/hierarchy1"/>
    <dgm:cxn modelId="{6E402B35-11C6-409B-9DBA-CD5BB29970C4}" type="presParOf" srcId="{96E42F90-5D4C-4494-9879-68F737E74651}" destId="{CCB953BC-A4FC-4581-8183-C34B23524CFE}" srcOrd="0" destOrd="0" presId="urn:microsoft.com/office/officeart/2005/8/layout/hierarchy1"/>
    <dgm:cxn modelId="{14271B4F-E37F-4FC3-BC1D-2D62C0AB0F16}" type="presParOf" srcId="{CCB953BC-A4FC-4581-8183-C34B23524CFE}" destId="{9BDCDD48-24BC-4802-BA70-F81976AD0F40}" srcOrd="0" destOrd="0" presId="urn:microsoft.com/office/officeart/2005/8/layout/hierarchy1"/>
    <dgm:cxn modelId="{5CD40EA6-B7EE-4784-9984-2DC7B1797192}" type="presParOf" srcId="{CCB953BC-A4FC-4581-8183-C34B23524CFE}" destId="{F9BE2E8B-7869-4CF8-ACFD-CCE0A25847D4}" srcOrd="1" destOrd="0" presId="urn:microsoft.com/office/officeart/2005/8/layout/hierarchy1"/>
    <dgm:cxn modelId="{67DA8CE0-91EF-4391-96CA-48A56572093D}" type="presParOf" srcId="{96E42F90-5D4C-4494-9879-68F737E74651}" destId="{D46FFBB0-87A9-45B3-ADFE-C8F3BB918B6E}" srcOrd="1" destOrd="0" presId="urn:microsoft.com/office/officeart/2005/8/layout/hierarchy1"/>
    <dgm:cxn modelId="{E60C8B67-4E24-4D70-8C0A-7453C367B5C0}" type="presParOf" srcId="{D46FFBB0-87A9-45B3-ADFE-C8F3BB918B6E}" destId="{C06CD84B-5178-48E6-B1EF-22C00F5502C6}" srcOrd="0" destOrd="0" presId="urn:microsoft.com/office/officeart/2005/8/layout/hierarchy1"/>
    <dgm:cxn modelId="{2F3A9E70-2157-47B5-AB64-F20FE4D0C436}" type="presParOf" srcId="{D46FFBB0-87A9-45B3-ADFE-C8F3BB918B6E}" destId="{8684188A-4A67-40AA-B248-2182D8E4B206}" srcOrd="1" destOrd="0" presId="urn:microsoft.com/office/officeart/2005/8/layout/hierarchy1"/>
    <dgm:cxn modelId="{32C1A0D2-3722-4CE7-B478-405ED29C1840}" type="presParOf" srcId="{8684188A-4A67-40AA-B248-2182D8E4B206}" destId="{E55999CE-C11E-4A3D-99DB-331FA029F7AF}" srcOrd="0" destOrd="0" presId="urn:microsoft.com/office/officeart/2005/8/layout/hierarchy1"/>
    <dgm:cxn modelId="{C68E6F10-A485-407D-9830-8139D5B3CB52}" type="presParOf" srcId="{E55999CE-C11E-4A3D-99DB-331FA029F7AF}" destId="{9F43A150-1DB2-43FB-96ED-8F4A565C71BF}" srcOrd="0" destOrd="0" presId="urn:microsoft.com/office/officeart/2005/8/layout/hierarchy1"/>
    <dgm:cxn modelId="{F81578B6-C30D-4AC1-AFC0-9F1497B8919C}" type="presParOf" srcId="{E55999CE-C11E-4A3D-99DB-331FA029F7AF}" destId="{189113FA-ED96-4CB7-BAD7-C25E0E39CD9E}" srcOrd="1" destOrd="0" presId="urn:microsoft.com/office/officeart/2005/8/layout/hierarchy1"/>
    <dgm:cxn modelId="{8D821FF6-BBCA-4C36-A3F9-7EDC7A67B031}" type="presParOf" srcId="{8684188A-4A67-40AA-B248-2182D8E4B206}" destId="{ABF6F124-9D74-4629-B840-F6777DE86A02}" srcOrd="1" destOrd="0" presId="urn:microsoft.com/office/officeart/2005/8/layout/hierarchy1"/>
    <dgm:cxn modelId="{8AE05F73-B8A2-4AA4-9CEC-88CE9C92FAE8}" type="presParOf" srcId="{ABF6F124-9D74-4629-B840-F6777DE86A02}" destId="{DFCFD6BF-DFA4-430C-B5D2-0EAD91DFA2FC}" srcOrd="0" destOrd="0" presId="urn:microsoft.com/office/officeart/2005/8/layout/hierarchy1"/>
    <dgm:cxn modelId="{D333FB83-07E5-425B-89CF-D124CFCF8AEB}" type="presParOf" srcId="{ABF6F124-9D74-4629-B840-F6777DE86A02}" destId="{5BDDEFC2-E19E-45C7-B09A-D45082A8AADA}" srcOrd="1" destOrd="0" presId="urn:microsoft.com/office/officeart/2005/8/layout/hierarchy1"/>
    <dgm:cxn modelId="{B072356B-A3FD-4F28-A8FC-66AD129C6A70}" type="presParOf" srcId="{5BDDEFC2-E19E-45C7-B09A-D45082A8AADA}" destId="{83BD660F-9C4B-4C10-9062-9C44D9B18B50}" srcOrd="0" destOrd="0" presId="urn:microsoft.com/office/officeart/2005/8/layout/hierarchy1"/>
    <dgm:cxn modelId="{16D843E5-02F4-45DF-B560-D143B8513B60}" type="presParOf" srcId="{83BD660F-9C4B-4C10-9062-9C44D9B18B50}" destId="{64336557-9F0C-4354-B265-0D8ED8D091FD}" srcOrd="0" destOrd="0" presId="urn:microsoft.com/office/officeart/2005/8/layout/hierarchy1"/>
    <dgm:cxn modelId="{EDA71365-E87B-44FE-9B69-6C65FC608D8F}" type="presParOf" srcId="{83BD660F-9C4B-4C10-9062-9C44D9B18B50}" destId="{AB22F3BA-757E-4DD4-8212-542438B30237}" srcOrd="1" destOrd="0" presId="urn:microsoft.com/office/officeart/2005/8/layout/hierarchy1"/>
    <dgm:cxn modelId="{F1698978-CE1F-46ED-A63C-728E1332720D}" type="presParOf" srcId="{5BDDEFC2-E19E-45C7-B09A-D45082A8AADA}" destId="{841E5D17-4886-44F6-A642-97A9730EF090}" srcOrd="1" destOrd="0" presId="urn:microsoft.com/office/officeart/2005/8/layout/hierarchy1"/>
    <dgm:cxn modelId="{82916491-2137-4731-80C0-06761C0C2313}" type="presParOf" srcId="{A925B955-4CC9-4135-A122-2338ED2468EF}" destId="{2370D92A-B6F2-4C1B-B99C-38EBB75CE960}" srcOrd="2" destOrd="0" presId="urn:microsoft.com/office/officeart/2005/8/layout/hierarchy1"/>
    <dgm:cxn modelId="{62AE36DD-2E59-4B0B-B8E8-F84AD7C7E3F8}" type="presParOf" srcId="{A925B955-4CC9-4135-A122-2338ED2468EF}" destId="{4E13C724-CD93-4E0A-BF1C-3B3F567F09E7}" srcOrd="3" destOrd="0" presId="urn:microsoft.com/office/officeart/2005/8/layout/hierarchy1"/>
    <dgm:cxn modelId="{D6AAD41A-9BFB-491D-A60F-545A1F578D2C}" type="presParOf" srcId="{4E13C724-CD93-4E0A-BF1C-3B3F567F09E7}" destId="{94518ECB-9226-4911-A0F3-3605097EA737}" srcOrd="0" destOrd="0" presId="urn:microsoft.com/office/officeart/2005/8/layout/hierarchy1"/>
    <dgm:cxn modelId="{CE9EF21B-6A78-4903-B0A2-C24CFF17199E}" type="presParOf" srcId="{94518ECB-9226-4911-A0F3-3605097EA737}" destId="{C134B195-B139-4125-AFA9-DC6121874B60}" srcOrd="0" destOrd="0" presId="urn:microsoft.com/office/officeart/2005/8/layout/hierarchy1"/>
    <dgm:cxn modelId="{11B88000-9F5C-45B0-A36A-8EF12C9B1C5C}" type="presParOf" srcId="{94518ECB-9226-4911-A0F3-3605097EA737}" destId="{8321EE9E-E72C-494A-90C9-BA075085800C}" srcOrd="1" destOrd="0" presId="urn:microsoft.com/office/officeart/2005/8/layout/hierarchy1"/>
    <dgm:cxn modelId="{19338254-8EC2-4E2D-BD99-A31FC25324D6}" type="presParOf" srcId="{4E13C724-CD93-4E0A-BF1C-3B3F567F09E7}" destId="{CE8CCEE1-EFC1-4C18-9E3D-B9A38812037B}" srcOrd="1" destOrd="0" presId="urn:microsoft.com/office/officeart/2005/8/layout/hierarchy1"/>
    <dgm:cxn modelId="{E02D90ED-63B7-43A8-8B76-F27FCB18CA95}" type="presParOf" srcId="{CE8CCEE1-EFC1-4C18-9E3D-B9A38812037B}" destId="{6B45EC0B-E86B-4007-B386-7FCA1A5C99A5}" srcOrd="0" destOrd="0" presId="urn:microsoft.com/office/officeart/2005/8/layout/hierarchy1"/>
    <dgm:cxn modelId="{3ADDEF35-6AFB-48AE-AAC3-55F401F67B19}" type="presParOf" srcId="{CE8CCEE1-EFC1-4C18-9E3D-B9A38812037B}" destId="{8A8FB02C-B7D9-44FE-9F7B-16E402B2F487}" srcOrd="1" destOrd="0" presId="urn:microsoft.com/office/officeart/2005/8/layout/hierarchy1"/>
    <dgm:cxn modelId="{E4DC01EA-8446-4FC6-856B-E76E2BDC5537}" type="presParOf" srcId="{8A8FB02C-B7D9-44FE-9F7B-16E402B2F487}" destId="{23BE2737-08FD-442D-B376-1E370682BB99}" srcOrd="0" destOrd="0" presId="urn:microsoft.com/office/officeart/2005/8/layout/hierarchy1"/>
    <dgm:cxn modelId="{3B926D54-2AA4-4B37-BA4F-6380604A27B1}" type="presParOf" srcId="{23BE2737-08FD-442D-B376-1E370682BB99}" destId="{73F8A9A5-DDE7-46AF-ACF5-BDDBFD0688F7}" srcOrd="0" destOrd="0" presId="urn:microsoft.com/office/officeart/2005/8/layout/hierarchy1"/>
    <dgm:cxn modelId="{40523B3B-56FF-438A-B7A5-86CC3890D975}" type="presParOf" srcId="{23BE2737-08FD-442D-B376-1E370682BB99}" destId="{DEF90A9F-CB14-4429-9CE4-5319FE41730D}" srcOrd="1" destOrd="0" presId="urn:microsoft.com/office/officeart/2005/8/layout/hierarchy1"/>
    <dgm:cxn modelId="{CA7ADF81-4E34-4992-8B3A-DC7EFACDB6B4}" type="presParOf" srcId="{8A8FB02C-B7D9-44FE-9F7B-16E402B2F487}" destId="{570AFC55-E2FF-4600-A636-175329150EF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5EC0B-E86B-4007-B386-7FCA1A5C99A5}">
      <dsp:nvSpPr>
        <dsp:cNvPr id="0" name=""/>
        <dsp:cNvSpPr/>
      </dsp:nvSpPr>
      <dsp:spPr>
        <a:xfrm>
          <a:off x="4658808" y="1166412"/>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70D92A-B6F2-4C1B-B99C-38EBB75CE960}">
      <dsp:nvSpPr>
        <dsp:cNvPr id="0" name=""/>
        <dsp:cNvSpPr/>
      </dsp:nvSpPr>
      <dsp:spPr>
        <a:xfrm>
          <a:off x="2917253" y="531640"/>
          <a:ext cx="1787274" cy="199401"/>
        </a:xfrm>
        <a:custGeom>
          <a:avLst/>
          <a:gdLst/>
          <a:ahLst/>
          <a:cxnLst/>
          <a:rect l="0" t="0" r="0" b="0"/>
          <a:pathLst>
            <a:path>
              <a:moveTo>
                <a:pt x="0" y="0"/>
              </a:moveTo>
              <a:lnTo>
                <a:pt x="0" y="135886"/>
              </a:lnTo>
              <a:lnTo>
                <a:pt x="1787274" y="135886"/>
              </a:lnTo>
              <a:lnTo>
                <a:pt x="1787274" y="1994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CFD6BF-DFA4-430C-B5D2-0EAD91DFA2FC}">
      <dsp:nvSpPr>
        <dsp:cNvPr id="0" name=""/>
        <dsp:cNvSpPr/>
      </dsp:nvSpPr>
      <dsp:spPr>
        <a:xfrm>
          <a:off x="3347941" y="2435957"/>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CD84B-5178-48E6-B1EF-22C00F5502C6}">
      <dsp:nvSpPr>
        <dsp:cNvPr id="0" name=""/>
        <dsp:cNvSpPr/>
      </dsp:nvSpPr>
      <dsp:spPr>
        <a:xfrm>
          <a:off x="3347941" y="1801185"/>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380C2-E23F-4430-81AF-A51A14A78869}">
      <dsp:nvSpPr>
        <dsp:cNvPr id="0" name=""/>
        <dsp:cNvSpPr/>
      </dsp:nvSpPr>
      <dsp:spPr>
        <a:xfrm>
          <a:off x="1962317" y="1166412"/>
          <a:ext cx="1431343" cy="199401"/>
        </a:xfrm>
        <a:custGeom>
          <a:avLst/>
          <a:gdLst/>
          <a:ahLst/>
          <a:cxnLst/>
          <a:rect l="0" t="0" r="0" b="0"/>
          <a:pathLst>
            <a:path>
              <a:moveTo>
                <a:pt x="0" y="0"/>
              </a:moveTo>
              <a:lnTo>
                <a:pt x="0" y="135886"/>
              </a:lnTo>
              <a:lnTo>
                <a:pt x="1431343" y="135886"/>
              </a:lnTo>
              <a:lnTo>
                <a:pt x="1431343"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3472C3-04C9-4154-A058-7BD2F6DD0249}">
      <dsp:nvSpPr>
        <dsp:cNvPr id="0" name=""/>
        <dsp:cNvSpPr/>
      </dsp:nvSpPr>
      <dsp:spPr>
        <a:xfrm>
          <a:off x="1961747" y="2435957"/>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8DDCF-F465-4EBC-976A-E8C6C08A9B02}">
      <dsp:nvSpPr>
        <dsp:cNvPr id="0" name=""/>
        <dsp:cNvSpPr/>
      </dsp:nvSpPr>
      <dsp:spPr>
        <a:xfrm>
          <a:off x="1961747" y="1801185"/>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FCB86D-EAB0-47D3-BB55-DEE96651BDFB}">
      <dsp:nvSpPr>
        <dsp:cNvPr id="0" name=""/>
        <dsp:cNvSpPr/>
      </dsp:nvSpPr>
      <dsp:spPr>
        <a:xfrm>
          <a:off x="1916597" y="1166412"/>
          <a:ext cx="91440" cy="199401"/>
        </a:xfrm>
        <a:custGeom>
          <a:avLst/>
          <a:gdLst/>
          <a:ahLst/>
          <a:cxnLst/>
          <a:rect l="0" t="0" r="0" b="0"/>
          <a:pathLst>
            <a:path>
              <a:moveTo>
                <a:pt x="45720" y="0"/>
              </a:moveTo>
              <a:lnTo>
                <a:pt x="45720" y="135886"/>
              </a:lnTo>
              <a:lnTo>
                <a:pt x="90869" y="135886"/>
              </a:lnTo>
              <a:lnTo>
                <a:pt x="90869"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B08C27-49FF-436B-B207-7EEAE1A0B4B9}">
      <dsp:nvSpPr>
        <dsp:cNvPr id="0" name=""/>
        <dsp:cNvSpPr/>
      </dsp:nvSpPr>
      <dsp:spPr>
        <a:xfrm>
          <a:off x="573662" y="2435957"/>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23D8F2-A623-44EA-9C16-87452FF74BD6}">
      <dsp:nvSpPr>
        <dsp:cNvPr id="0" name=""/>
        <dsp:cNvSpPr/>
      </dsp:nvSpPr>
      <dsp:spPr>
        <a:xfrm>
          <a:off x="573662" y="1801185"/>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8F44CB-E4C2-49BD-A7B7-A583C82D210B}">
      <dsp:nvSpPr>
        <dsp:cNvPr id="0" name=""/>
        <dsp:cNvSpPr/>
      </dsp:nvSpPr>
      <dsp:spPr>
        <a:xfrm>
          <a:off x="619382" y="1166412"/>
          <a:ext cx="1342935" cy="199401"/>
        </a:xfrm>
        <a:custGeom>
          <a:avLst/>
          <a:gdLst/>
          <a:ahLst/>
          <a:cxnLst/>
          <a:rect l="0" t="0" r="0" b="0"/>
          <a:pathLst>
            <a:path>
              <a:moveTo>
                <a:pt x="1342935" y="0"/>
              </a:moveTo>
              <a:lnTo>
                <a:pt x="1342935" y="135886"/>
              </a:lnTo>
              <a:lnTo>
                <a:pt x="0" y="135886"/>
              </a:lnTo>
              <a:lnTo>
                <a:pt x="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323A3-79E7-457B-BECC-9D0E3D80CE0E}">
      <dsp:nvSpPr>
        <dsp:cNvPr id="0" name=""/>
        <dsp:cNvSpPr/>
      </dsp:nvSpPr>
      <dsp:spPr>
        <a:xfrm>
          <a:off x="1962317" y="531640"/>
          <a:ext cx="954935" cy="199401"/>
        </a:xfrm>
        <a:custGeom>
          <a:avLst/>
          <a:gdLst/>
          <a:ahLst/>
          <a:cxnLst/>
          <a:rect l="0" t="0" r="0" b="0"/>
          <a:pathLst>
            <a:path>
              <a:moveTo>
                <a:pt x="954935" y="0"/>
              </a:moveTo>
              <a:lnTo>
                <a:pt x="954935" y="135886"/>
              </a:lnTo>
              <a:lnTo>
                <a:pt x="0" y="135886"/>
              </a:lnTo>
              <a:lnTo>
                <a:pt x="0" y="1994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2DA10-A5A0-4113-B66E-5F37532DBEB7}">
      <dsp:nvSpPr>
        <dsp:cNvPr id="0" name=""/>
        <dsp:cNvSpPr/>
      </dsp:nvSpPr>
      <dsp:spPr>
        <a:xfrm>
          <a:off x="2007230" y="96270"/>
          <a:ext cx="1820046"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3A8430-A6D0-4E31-8D1E-357E5EFB3875}">
      <dsp:nvSpPr>
        <dsp:cNvPr id="0" name=""/>
        <dsp:cNvSpPr/>
      </dsp:nvSpPr>
      <dsp:spPr>
        <a:xfrm>
          <a:off x="2083410" y="168641"/>
          <a:ext cx="1820046"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HBsAg + RT candidate</a:t>
          </a:r>
        </a:p>
      </dsp:txBody>
      <dsp:txXfrm>
        <a:off x="2096162" y="181393"/>
        <a:ext cx="1794542" cy="409866"/>
      </dsp:txXfrm>
    </dsp:sp>
    <dsp:sp modelId="{402FBCE6-9A59-4674-8D0C-00CEB502DF9E}">
      <dsp:nvSpPr>
        <dsp:cNvPr id="0" name=""/>
        <dsp:cNvSpPr/>
      </dsp:nvSpPr>
      <dsp:spPr>
        <a:xfrm>
          <a:off x="301753" y="731042"/>
          <a:ext cx="3321128"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A40E6E-6612-4C69-81F8-AF67F996D6C8}">
      <dsp:nvSpPr>
        <dsp:cNvPr id="0" name=""/>
        <dsp:cNvSpPr/>
      </dsp:nvSpPr>
      <dsp:spPr>
        <a:xfrm>
          <a:off x="377934" y="803413"/>
          <a:ext cx="3321128"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Pretransplant assesment includying HBV DNA, HBeAg stauts, grading of liver fibrosis (liver biopsy or non-invasive)</a:t>
          </a:r>
        </a:p>
      </dsp:txBody>
      <dsp:txXfrm>
        <a:off x="390686" y="816165"/>
        <a:ext cx="3295624" cy="409866"/>
      </dsp:txXfrm>
    </dsp:sp>
    <dsp:sp modelId="{38B2F504-4FE7-4910-9750-E0E5944AEE91}">
      <dsp:nvSpPr>
        <dsp:cNvPr id="0" name=""/>
        <dsp:cNvSpPr/>
      </dsp:nvSpPr>
      <dsp:spPr>
        <a:xfrm>
          <a:off x="39729" y="1365814"/>
          <a:ext cx="1159305"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307FAB-C88F-41BE-BD55-D95F1A5C24C2}">
      <dsp:nvSpPr>
        <dsp:cNvPr id="0" name=""/>
        <dsp:cNvSpPr/>
      </dsp:nvSpPr>
      <dsp:spPr>
        <a:xfrm>
          <a:off x="115910" y="1438185"/>
          <a:ext cx="1159305"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HBV DNA undetectable</a:t>
          </a:r>
        </a:p>
      </dsp:txBody>
      <dsp:txXfrm>
        <a:off x="128662" y="1450937"/>
        <a:ext cx="1133801" cy="409866"/>
      </dsp:txXfrm>
    </dsp:sp>
    <dsp:sp modelId="{523C932A-674E-43BD-8CF0-1E4E8F38C7EC}">
      <dsp:nvSpPr>
        <dsp:cNvPr id="0" name=""/>
        <dsp:cNvSpPr/>
      </dsp:nvSpPr>
      <dsp:spPr>
        <a:xfrm>
          <a:off x="210220" y="2000586"/>
          <a:ext cx="818324"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B9B091-447E-44E8-BA84-18FC5F2A80B2}">
      <dsp:nvSpPr>
        <dsp:cNvPr id="0" name=""/>
        <dsp:cNvSpPr/>
      </dsp:nvSpPr>
      <dsp:spPr>
        <a:xfrm>
          <a:off x="286400" y="2072958"/>
          <a:ext cx="818324"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Prophylactic therapy</a:t>
          </a:r>
          <a:endParaRPr lang="es-AR" sz="1000" kern="1200"/>
        </a:p>
      </dsp:txBody>
      <dsp:txXfrm>
        <a:off x="299152" y="2085710"/>
        <a:ext cx="792820" cy="409866"/>
      </dsp:txXfrm>
    </dsp:sp>
    <dsp:sp modelId="{1319CC4C-5B41-4EEE-8BE1-35A5208DD929}">
      <dsp:nvSpPr>
        <dsp:cNvPr id="0" name=""/>
        <dsp:cNvSpPr/>
      </dsp:nvSpPr>
      <dsp:spPr>
        <a:xfrm>
          <a:off x="3196" y="2635359"/>
          <a:ext cx="1232372"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C3D241-54F5-46EE-8380-DC13BB315910}">
      <dsp:nvSpPr>
        <dsp:cNvPr id="0" name=""/>
        <dsp:cNvSpPr/>
      </dsp:nvSpPr>
      <dsp:spPr>
        <a:xfrm>
          <a:off x="79376" y="2707730"/>
          <a:ext cx="1232372"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NUC Naive: ETV</a:t>
          </a:r>
        </a:p>
        <a:p>
          <a:pPr lvl="0" algn="ctr" defTabSz="355600">
            <a:lnSpc>
              <a:spcPct val="90000"/>
            </a:lnSpc>
            <a:spcBef>
              <a:spcPct val="0"/>
            </a:spcBef>
            <a:spcAft>
              <a:spcPct val="35000"/>
            </a:spcAft>
          </a:pPr>
          <a:r>
            <a:rPr lang="es-AR" sz="800" kern="1200"/>
            <a:t>Resistance to any NUC: TDF</a:t>
          </a:r>
        </a:p>
      </dsp:txBody>
      <dsp:txXfrm>
        <a:off x="92128" y="2720482"/>
        <a:ext cx="1206868" cy="409866"/>
      </dsp:txXfrm>
    </dsp:sp>
    <dsp:sp modelId="{87CEE332-2A4C-4D8C-8249-B0A437670A30}">
      <dsp:nvSpPr>
        <dsp:cNvPr id="0" name=""/>
        <dsp:cNvSpPr/>
      </dsp:nvSpPr>
      <dsp:spPr>
        <a:xfrm>
          <a:off x="1523785" y="1365814"/>
          <a:ext cx="967365"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DC06EC-7EAB-42EB-AB31-73E805548B4F}">
      <dsp:nvSpPr>
        <dsp:cNvPr id="0" name=""/>
        <dsp:cNvSpPr/>
      </dsp:nvSpPr>
      <dsp:spPr>
        <a:xfrm>
          <a:off x="1599965" y="1438185"/>
          <a:ext cx="967365"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HBV DNA &lt; 2000 IU/mL</a:t>
          </a:r>
        </a:p>
      </dsp:txBody>
      <dsp:txXfrm>
        <a:off x="1612717" y="1450937"/>
        <a:ext cx="941861" cy="409866"/>
      </dsp:txXfrm>
    </dsp:sp>
    <dsp:sp modelId="{6F56AD38-F1D0-43A2-980D-EF06E194E81F}">
      <dsp:nvSpPr>
        <dsp:cNvPr id="0" name=""/>
        <dsp:cNvSpPr/>
      </dsp:nvSpPr>
      <dsp:spPr>
        <a:xfrm>
          <a:off x="1664656" y="2000586"/>
          <a:ext cx="685622"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BCAF26-8FE3-436A-B465-79819EAC23BB}">
      <dsp:nvSpPr>
        <dsp:cNvPr id="0" name=""/>
        <dsp:cNvSpPr/>
      </dsp:nvSpPr>
      <dsp:spPr>
        <a:xfrm>
          <a:off x="1740836" y="2072958"/>
          <a:ext cx="685622"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Preemptive therapy</a:t>
          </a:r>
          <a:endParaRPr lang="es-AR" sz="1000" kern="1200"/>
        </a:p>
      </dsp:txBody>
      <dsp:txXfrm>
        <a:off x="1753588" y="2085710"/>
        <a:ext cx="660118" cy="409866"/>
      </dsp:txXfrm>
    </dsp:sp>
    <dsp:sp modelId="{40B7BCEE-78E3-4468-8BDD-44D14014625B}">
      <dsp:nvSpPr>
        <dsp:cNvPr id="0" name=""/>
        <dsp:cNvSpPr/>
      </dsp:nvSpPr>
      <dsp:spPr>
        <a:xfrm>
          <a:off x="1387929" y="2635359"/>
          <a:ext cx="1239077"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2A84A5-FA63-4E00-81A1-B89FE0511793}">
      <dsp:nvSpPr>
        <dsp:cNvPr id="0" name=""/>
        <dsp:cNvSpPr/>
      </dsp:nvSpPr>
      <dsp:spPr>
        <a:xfrm>
          <a:off x="1464109" y="2707730"/>
          <a:ext cx="1239077"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NUC Naive: ETV</a:t>
          </a:r>
        </a:p>
        <a:p>
          <a:pPr lvl="0" algn="ctr" defTabSz="355600">
            <a:lnSpc>
              <a:spcPct val="90000"/>
            </a:lnSpc>
            <a:spcBef>
              <a:spcPct val="0"/>
            </a:spcBef>
            <a:spcAft>
              <a:spcPct val="35000"/>
            </a:spcAft>
          </a:pPr>
          <a:r>
            <a:rPr lang="es-AR" sz="800" kern="1200"/>
            <a:t>Resistance to any NUC: TDF</a:t>
          </a:r>
        </a:p>
      </dsp:txBody>
      <dsp:txXfrm>
        <a:off x="1476861" y="2720482"/>
        <a:ext cx="1213573" cy="409866"/>
      </dsp:txXfrm>
    </dsp:sp>
    <dsp:sp modelId="{9BDCDD48-24BC-4802-BA70-F81976AD0F40}">
      <dsp:nvSpPr>
        <dsp:cNvPr id="0" name=""/>
        <dsp:cNvSpPr/>
      </dsp:nvSpPr>
      <dsp:spPr>
        <a:xfrm>
          <a:off x="2902415" y="1365814"/>
          <a:ext cx="982490"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BE2E8B-7869-4CF8-ACFD-CCE0A25847D4}">
      <dsp:nvSpPr>
        <dsp:cNvPr id="0" name=""/>
        <dsp:cNvSpPr/>
      </dsp:nvSpPr>
      <dsp:spPr>
        <a:xfrm>
          <a:off x="2978596" y="1438185"/>
          <a:ext cx="982490"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HBV DNA &gt; 2000 IU/mL</a:t>
          </a:r>
        </a:p>
      </dsp:txBody>
      <dsp:txXfrm>
        <a:off x="2991348" y="1450937"/>
        <a:ext cx="956986" cy="409866"/>
      </dsp:txXfrm>
    </dsp:sp>
    <dsp:sp modelId="{9F43A150-1DB2-43FB-96ED-8F4A565C71BF}">
      <dsp:nvSpPr>
        <dsp:cNvPr id="0" name=""/>
        <dsp:cNvSpPr/>
      </dsp:nvSpPr>
      <dsp:spPr>
        <a:xfrm>
          <a:off x="3050849" y="2000586"/>
          <a:ext cx="685622"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9113FA-ED96-4CB7-BAD7-C25E0E39CD9E}">
      <dsp:nvSpPr>
        <dsp:cNvPr id="0" name=""/>
        <dsp:cNvSpPr/>
      </dsp:nvSpPr>
      <dsp:spPr>
        <a:xfrm>
          <a:off x="3127030" y="2072958"/>
          <a:ext cx="685622"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Treatment</a:t>
          </a:r>
        </a:p>
      </dsp:txBody>
      <dsp:txXfrm>
        <a:off x="3139782" y="2085710"/>
        <a:ext cx="660118" cy="409866"/>
      </dsp:txXfrm>
    </dsp:sp>
    <dsp:sp modelId="{64336557-9F0C-4354-B265-0D8ED8D091FD}">
      <dsp:nvSpPr>
        <dsp:cNvPr id="0" name=""/>
        <dsp:cNvSpPr/>
      </dsp:nvSpPr>
      <dsp:spPr>
        <a:xfrm>
          <a:off x="2779367" y="2635359"/>
          <a:ext cx="1228587"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22F3BA-757E-4DD4-8212-542438B30237}">
      <dsp:nvSpPr>
        <dsp:cNvPr id="0" name=""/>
        <dsp:cNvSpPr/>
      </dsp:nvSpPr>
      <dsp:spPr>
        <a:xfrm>
          <a:off x="2855547" y="2707730"/>
          <a:ext cx="1228587"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NUC Naive: ETV</a:t>
          </a:r>
        </a:p>
        <a:p>
          <a:pPr lvl="0" algn="ctr" defTabSz="355600">
            <a:lnSpc>
              <a:spcPct val="90000"/>
            </a:lnSpc>
            <a:spcBef>
              <a:spcPct val="0"/>
            </a:spcBef>
            <a:spcAft>
              <a:spcPct val="35000"/>
            </a:spcAft>
          </a:pPr>
          <a:r>
            <a:rPr lang="es-AR" sz="800" kern="1200"/>
            <a:t>Resistance to any NUC: TDF</a:t>
          </a:r>
        </a:p>
      </dsp:txBody>
      <dsp:txXfrm>
        <a:off x="2868299" y="2720482"/>
        <a:ext cx="1203083" cy="409866"/>
      </dsp:txXfrm>
    </dsp:sp>
    <dsp:sp modelId="{C134B195-B139-4125-AFA9-DC6121874B60}">
      <dsp:nvSpPr>
        <dsp:cNvPr id="0" name=""/>
        <dsp:cNvSpPr/>
      </dsp:nvSpPr>
      <dsp:spPr>
        <a:xfrm>
          <a:off x="3876303" y="731042"/>
          <a:ext cx="1656450"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21EE9E-E72C-494A-90C9-BA075085800C}">
      <dsp:nvSpPr>
        <dsp:cNvPr id="0" name=""/>
        <dsp:cNvSpPr/>
      </dsp:nvSpPr>
      <dsp:spPr>
        <a:xfrm>
          <a:off x="3952483" y="803413"/>
          <a:ext cx="1656450"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Decompensated liver disease</a:t>
          </a:r>
        </a:p>
      </dsp:txBody>
      <dsp:txXfrm>
        <a:off x="3965235" y="816165"/>
        <a:ext cx="1630946" cy="409866"/>
      </dsp:txXfrm>
    </dsp:sp>
    <dsp:sp modelId="{73F8A9A5-DDE7-46AF-ACF5-BDDBFD0688F7}">
      <dsp:nvSpPr>
        <dsp:cNvPr id="0" name=""/>
        <dsp:cNvSpPr/>
      </dsp:nvSpPr>
      <dsp:spPr>
        <a:xfrm>
          <a:off x="4037266" y="1365814"/>
          <a:ext cx="1334523"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F90A9F-CB14-4429-9CE4-5319FE41730D}">
      <dsp:nvSpPr>
        <dsp:cNvPr id="0" name=""/>
        <dsp:cNvSpPr/>
      </dsp:nvSpPr>
      <dsp:spPr>
        <a:xfrm>
          <a:off x="4113446" y="1438185"/>
          <a:ext cx="1334523"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Assess for combined LRT</a:t>
          </a:r>
        </a:p>
      </dsp:txBody>
      <dsp:txXfrm>
        <a:off x="4126198" y="1450937"/>
        <a:ext cx="1309019" cy="4098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12014</Words>
  <Characters>68480</Characters>
  <Application>Microsoft Macintosh Word</Application>
  <DocSecurity>0</DocSecurity>
  <Lines>570</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Ezequiel Ridruejo</dc:creator>
  <cp:lastModifiedBy>NA MA</cp:lastModifiedBy>
  <cp:revision>2</cp:revision>
  <dcterms:created xsi:type="dcterms:W3CDTF">2014-11-18T22:09:00Z</dcterms:created>
  <dcterms:modified xsi:type="dcterms:W3CDTF">2014-11-18T22:09:00Z</dcterms:modified>
</cp:coreProperties>
</file>