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B69" w:rsidRPr="009A4BDC" w:rsidRDefault="005A6B69" w:rsidP="00D8293D">
      <w:pPr>
        <w:spacing w:line="360" w:lineRule="auto"/>
        <w:jc w:val="both"/>
        <w:rPr>
          <w:rFonts w:ascii="Book Antiqua" w:hAnsi="Book Antiqua"/>
          <w:b/>
          <w:color w:val="auto"/>
        </w:rPr>
      </w:pPr>
      <w:r w:rsidRPr="009A4BDC">
        <w:rPr>
          <w:rFonts w:ascii="Book Antiqua" w:hAnsi="Book Antiqua"/>
          <w:b/>
          <w:color w:val="auto"/>
        </w:rPr>
        <w:t>Name of journal: World Journal of Stem Cells</w:t>
      </w:r>
    </w:p>
    <w:p w:rsidR="005A6B69" w:rsidRPr="009A4BDC" w:rsidRDefault="005A6B69" w:rsidP="00D8293D">
      <w:pPr>
        <w:spacing w:line="360" w:lineRule="auto"/>
        <w:jc w:val="both"/>
        <w:rPr>
          <w:rFonts w:ascii="Book Antiqua" w:hAnsi="Book Antiqua"/>
          <w:b/>
          <w:color w:val="auto"/>
        </w:rPr>
      </w:pPr>
      <w:r w:rsidRPr="009A4BDC">
        <w:rPr>
          <w:rFonts w:ascii="Book Antiqua" w:hAnsi="Book Antiqua"/>
          <w:b/>
          <w:color w:val="auto"/>
        </w:rPr>
        <w:t>ESPS Manuscript NO: 13411</w:t>
      </w:r>
    </w:p>
    <w:p w:rsidR="005A6B69" w:rsidRPr="009A4BDC" w:rsidRDefault="005A6B69" w:rsidP="00D8293D">
      <w:pPr>
        <w:spacing w:line="360" w:lineRule="auto"/>
        <w:jc w:val="both"/>
        <w:rPr>
          <w:rFonts w:ascii="Book Antiqua" w:hAnsi="Book Antiqua"/>
          <w:b/>
          <w:color w:val="auto"/>
        </w:rPr>
      </w:pPr>
      <w:r w:rsidRPr="009A4BDC">
        <w:rPr>
          <w:rFonts w:ascii="Book Antiqua" w:hAnsi="Book Antiqua"/>
          <w:b/>
          <w:color w:val="auto"/>
        </w:rPr>
        <w:t>Columns: Original Articles</w:t>
      </w:r>
    </w:p>
    <w:p w:rsidR="005A6B69" w:rsidRPr="009A4BDC" w:rsidRDefault="005A6B69" w:rsidP="00D8293D">
      <w:pPr>
        <w:pStyle w:val="FreeFormA"/>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宋体" w:hAnsi="Book Antiqua"/>
          <w:b/>
          <w:color w:val="auto"/>
          <w:lang w:eastAsia="zh-CN"/>
        </w:rPr>
      </w:pPr>
    </w:p>
    <w:p w:rsidR="005A6B69" w:rsidRPr="009A4BDC" w:rsidRDefault="005A6B69" w:rsidP="00D8293D">
      <w:pPr>
        <w:spacing w:line="360" w:lineRule="auto"/>
        <w:jc w:val="both"/>
        <w:rPr>
          <w:rFonts w:ascii="Book Antiqua" w:eastAsia="华文细黑" w:hAnsi="Book Antiqua" w:cs="Tahoma"/>
          <w:b/>
          <w:i/>
          <w:color w:val="auto"/>
        </w:rPr>
      </w:pPr>
      <w:r w:rsidRPr="009A4BDC">
        <w:rPr>
          <w:rFonts w:ascii="Book Antiqua" w:eastAsia="华文细黑" w:hAnsi="Book Antiqua" w:cs="Tahoma"/>
          <w:b/>
          <w:i/>
          <w:color w:val="auto"/>
        </w:rPr>
        <w:t>Basic Study</w:t>
      </w:r>
    </w:p>
    <w:p w:rsidR="005A6B69" w:rsidRDefault="005A6B69" w:rsidP="00D8293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宋体" w:hAnsi="Book Antiqua"/>
          <w:b/>
          <w:color w:val="auto"/>
          <w:lang w:eastAsia="zh-CN"/>
        </w:rPr>
      </w:pPr>
      <w:r w:rsidRPr="009A4BDC">
        <w:rPr>
          <w:rFonts w:ascii="Book Antiqua" w:hAnsi="Book Antiqua"/>
          <w:b/>
          <w:color w:val="auto"/>
        </w:rPr>
        <w:t>Mesenchymal stem cells and collagen patches for anterior cruciate ligament repair</w:t>
      </w:r>
    </w:p>
    <w:p w:rsidR="005A6B69" w:rsidRPr="009A4BDC" w:rsidRDefault="005A6B69" w:rsidP="00D8293D">
      <w:pPr>
        <w:spacing w:line="360" w:lineRule="auto"/>
        <w:jc w:val="both"/>
        <w:rPr>
          <w:rFonts w:ascii="Book Antiqua" w:eastAsia="宋体" w:hAnsi="Book Antiqua"/>
          <w:color w:val="auto"/>
          <w:lang w:val="en-GB" w:eastAsia="zh-CN"/>
        </w:rPr>
      </w:pPr>
    </w:p>
    <w:p w:rsidR="005A6B69" w:rsidRPr="009A4BDC" w:rsidRDefault="005A6B69" w:rsidP="00D8293D">
      <w:pPr>
        <w:pStyle w:val="Affiliation"/>
        <w:spacing w:before="0" w:line="360" w:lineRule="auto"/>
        <w:jc w:val="both"/>
        <w:rPr>
          <w:rFonts w:ascii="Book Antiqua" w:hAnsi="Book Antiqua"/>
          <w:i/>
          <w:color w:val="auto"/>
          <w:vertAlign w:val="superscript"/>
          <w:lang w:val="en-US"/>
        </w:rPr>
      </w:pPr>
      <w:r w:rsidRPr="009A4BDC">
        <w:rPr>
          <w:rFonts w:ascii="Book Antiqua" w:hAnsi="Book Antiqua"/>
          <w:color w:val="auto"/>
        </w:rPr>
        <w:t>Benjamin Gantenbein, Neha Gadhari, Samantha CW Chan, Sandro Kohl, Sufian S Ahmad</w:t>
      </w:r>
    </w:p>
    <w:p w:rsidR="005A6B69" w:rsidRPr="009A4BDC" w:rsidRDefault="005A6B69" w:rsidP="00D8293D">
      <w:pPr>
        <w:pStyle w:val="Affiliation"/>
        <w:spacing w:before="0" w:line="360" w:lineRule="auto"/>
        <w:jc w:val="both"/>
        <w:rPr>
          <w:rFonts w:ascii="Book Antiqua" w:eastAsia="宋体" w:hAnsi="Book Antiqua"/>
          <w:i/>
          <w:color w:val="auto"/>
          <w:vertAlign w:val="superscript"/>
          <w:lang w:val="en-US" w:eastAsia="zh-CN"/>
        </w:rPr>
      </w:pP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Benjamin Gantenbein</w:t>
      </w:r>
      <w:r w:rsidRPr="009A4BDC">
        <w:rPr>
          <w:rFonts w:ascii="Book Antiqua" w:hAnsi="Book Antiqua"/>
          <w:color w:val="auto"/>
        </w:rPr>
        <w:t>,</w:t>
      </w:r>
      <w:r w:rsidRPr="009A4BDC">
        <w:rPr>
          <w:rFonts w:ascii="Book Antiqua" w:hAnsi="Book Antiqua"/>
          <w:b/>
          <w:color w:val="auto"/>
        </w:rPr>
        <w:t xml:space="preserve"> Neha Gadhari</w:t>
      </w:r>
      <w:r w:rsidRPr="009A4BDC">
        <w:rPr>
          <w:rFonts w:ascii="Book Antiqua" w:hAnsi="Book Antiqua"/>
          <w:color w:val="auto"/>
        </w:rPr>
        <w:t>,</w:t>
      </w:r>
      <w:r w:rsidRPr="009A4BDC">
        <w:rPr>
          <w:rFonts w:ascii="Book Antiqua" w:hAnsi="Book Antiqua"/>
          <w:b/>
          <w:color w:val="auto"/>
        </w:rPr>
        <w:t xml:space="preserve"> Samantha CW Chan</w:t>
      </w:r>
      <w:r w:rsidRPr="009A4BDC">
        <w:rPr>
          <w:rFonts w:ascii="Book Antiqua" w:hAnsi="Book Antiqua"/>
          <w:color w:val="auto"/>
        </w:rPr>
        <w:t>,</w:t>
      </w:r>
      <w:r w:rsidRPr="009A4BDC">
        <w:rPr>
          <w:rFonts w:ascii="Book Antiqua" w:hAnsi="Book Antiqua"/>
          <w:b/>
          <w:color w:val="auto"/>
        </w:rPr>
        <w:t xml:space="preserve"> Sufian S Ahmad</w:t>
      </w:r>
      <w:r w:rsidRPr="009A4BDC">
        <w:rPr>
          <w:rFonts w:ascii="Book Antiqua" w:hAnsi="Book Antiqua"/>
          <w:color w:val="auto"/>
        </w:rPr>
        <w:t>, Tissue and Organ Mechanobiology,</w:t>
      </w:r>
      <w:r w:rsidRPr="009A4BDC">
        <w:rPr>
          <w:rFonts w:ascii="Book Antiqua" w:hAnsi="Book Antiqua"/>
          <w:color w:val="auto"/>
          <w:vertAlign w:val="superscript"/>
        </w:rPr>
        <w:t xml:space="preserve"> </w:t>
      </w:r>
      <w:r w:rsidRPr="009A4BDC">
        <w:rPr>
          <w:rFonts w:ascii="Book Antiqua" w:hAnsi="Book Antiqua"/>
          <w:color w:val="auto"/>
        </w:rPr>
        <w:t>Institute for Surgical Technology and Biomechanics, University of Bern, CH-3014 Bern, Switzerland</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Samantha CW Chan</w:t>
      </w:r>
      <w:r w:rsidRPr="009A4BDC">
        <w:rPr>
          <w:rFonts w:ascii="Book Antiqua" w:hAnsi="Book Antiqua"/>
          <w:color w:val="auto"/>
        </w:rPr>
        <w:t xml:space="preserve">, Bioactive materials, EMPA, Swiss Federal Laboratories for Materials Science and Technology, </w:t>
      </w:r>
      <w:r w:rsidR="00DB69CE" w:rsidRPr="00DB69CE">
        <w:rPr>
          <w:rFonts w:ascii="Book Antiqua" w:hAnsi="Book Antiqua"/>
          <w:color w:val="auto"/>
        </w:rPr>
        <w:t>8600 Dübendorf</w:t>
      </w:r>
      <w:r w:rsidRPr="009A4BDC">
        <w:rPr>
          <w:rFonts w:ascii="Book Antiqua" w:hAnsi="Book Antiqua"/>
          <w:color w:val="auto"/>
        </w:rPr>
        <w:t>, Switzerland</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Sandro Kohl</w:t>
      </w:r>
      <w:r w:rsidRPr="009A4BDC">
        <w:rPr>
          <w:rFonts w:ascii="Book Antiqua" w:hAnsi="Book Antiqua"/>
          <w:color w:val="auto"/>
        </w:rPr>
        <w:t>,</w:t>
      </w:r>
      <w:r w:rsidRPr="009A4BDC">
        <w:rPr>
          <w:rFonts w:ascii="Book Antiqua" w:hAnsi="Book Antiqua"/>
          <w:b/>
          <w:color w:val="auto"/>
        </w:rPr>
        <w:t xml:space="preserve"> Sufian S Ahmad</w:t>
      </w:r>
      <w:r w:rsidR="00DB69CE" w:rsidRPr="000A1890">
        <w:rPr>
          <w:rFonts w:ascii="Book Antiqua" w:eastAsia="宋体" w:hAnsi="Book Antiqua" w:hint="eastAsia"/>
          <w:color w:val="auto"/>
          <w:lang w:eastAsia="zh-CN"/>
        </w:rPr>
        <w:t>,</w:t>
      </w:r>
      <w:r w:rsidRPr="009A4BDC">
        <w:rPr>
          <w:rFonts w:ascii="Book Antiqua" w:hAnsi="Book Antiqua"/>
          <w:color w:val="auto"/>
        </w:rPr>
        <w:t xml:space="preserve"> Orthopedic Department, Insel University Hospital, CH-3010 Bern, Switzerland</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Author contributions</w:t>
      </w:r>
      <w:r w:rsidRPr="009A4BDC">
        <w:rPr>
          <w:rFonts w:ascii="Book Antiqua" w:hAnsi="Book Antiqua"/>
          <w:color w:val="auto"/>
        </w:rPr>
        <w:t>: Gantenbein B collected the data, designed the study, prepared the manuscript and provided funding; Gadhari N contributed microscopy data; Chan SCW contributed to study design; Kohl S contributed to the study design; Ahmad SS edited the manuscript and provided funding.</w:t>
      </w:r>
    </w:p>
    <w:p w:rsidR="005A6B69" w:rsidRDefault="005A6B69" w:rsidP="00D8293D">
      <w:pPr>
        <w:spacing w:line="360" w:lineRule="auto"/>
        <w:jc w:val="both"/>
        <w:rPr>
          <w:rFonts w:ascii="Book Antiqua" w:eastAsia="宋体" w:hAnsi="Book Antiqua"/>
          <w:color w:val="auto"/>
          <w:lang w:eastAsia="zh-CN"/>
        </w:rPr>
      </w:pPr>
    </w:p>
    <w:p w:rsidR="005A6B69" w:rsidRPr="000A1890" w:rsidRDefault="005A6B69" w:rsidP="00D8293D">
      <w:pPr>
        <w:spacing w:line="360" w:lineRule="auto"/>
        <w:jc w:val="both"/>
        <w:rPr>
          <w:rFonts w:ascii="Book Antiqua" w:eastAsia="宋体" w:hAnsi="Book Antiqua"/>
          <w:color w:val="auto"/>
          <w:lang w:eastAsia="zh-CN"/>
        </w:rPr>
      </w:pPr>
      <w:r w:rsidRPr="005F7DC3">
        <w:rPr>
          <w:rFonts w:ascii="Book Antiqua" w:hAnsi="Book Antiqua"/>
          <w:b/>
        </w:rPr>
        <w:t>Supported by</w:t>
      </w:r>
      <w:r>
        <w:rPr>
          <w:rFonts w:ascii="Book Antiqua" w:eastAsia="宋体" w:hAnsi="Book Antiqua"/>
          <w:b/>
          <w:lang w:eastAsia="zh-CN"/>
        </w:rPr>
        <w:t xml:space="preserve"> </w:t>
      </w:r>
      <w:r w:rsidRPr="009A4BDC">
        <w:rPr>
          <w:rFonts w:ascii="Book Antiqua" w:hAnsi="Book Antiqua"/>
          <w:color w:val="auto"/>
        </w:rPr>
        <w:t>A grant of the Swiss Orthopaedics Society (SGOT</w:t>
      </w:r>
      <w:r>
        <w:rPr>
          <w:rFonts w:ascii="Book Antiqua" w:hAnsi="Book Antiqua"/>
          <w:color w:val="auto"/>
        </w:rPr>
        <w:t>) to Ahmad S</w:t>
      </w:r>
      <w:r w:rsidR="00DB69CE" w:rsidRPr="000A1890">
        <w:rPr>
          <w:rFonts w:ascii="Book Antiqua" w:eastAsia="宋体" w:hAnsi="Book Antiqua" w:hint="eastAsia"/>
          <w:color w:val="auto"/>
          <w:lang w:eastAsia="zh-CN"/>
        </w:rPr>
        <w:t xml:space="preserve">, No. </w:t>
      </w:r>
      <w:r w:rsidR="00DB69CE">
        <w:rPr>
          <w:rFonts w:ascii="Book Antiqua" w:hAnsi="Book Antiqua"/>
          <w:color w:val="auto"/>
        </w:rPr>
        <w:t>S99083814080618560</w:t>
      </w:r>
    </w:p>
    <w:p w:rsidR="005A6B69" w:rsidRPr="00AF3FF4"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hAnsi="Book Antiqua"/>
          <w:color w:val="auto"/>
        </w:rPr>
      </w:pPr>
      <w:bookmarkStart w:id="0" w:name="OLE_LINK12"/>
      <w:bookmarkStart w:id="1" w:name="OLE_LINK13"/>
      <w:r w:rsidRPr="009A4BDC">
        <w:rPr>
          <w:rFonts w:ascii="Book Antiqua" w:hAnsi="Book Antiqua"/>
          <w:b/>
          <w:bCs/>
          <w:iCs/>
          <w:color w:val="auto"/>
        </w:rPr>
        <w:t>Ethics approval:</w:t>
      </w:r>
      <w:r w:rsidRPr="009A4BDC">
        <w:rPr>
          <w:rFonts w:ascii="Book Antiqua" w:eastAsia="宋体" w:hAnsi="Book Antiqua"/>
          <w:b/>
          <w:bCs/>
          <w:iCs/>
          <w:color w:val="auto"/>
          <w:lang w:eastAsia="zh-CN"/>
        </w:rPr>
        <w:t xml:space="preserve"> </w:t>
      </w:r>
      <w:r w:rsidRPr="009A4BDC">
        <w:rPr>
          <w:rFonts w:ascii="Book Antiqua" w:hAnsi="Book Antiqua"/>
          <w:color w:val="auto"/>
        </w:rPr>
        <w:t xml:space="preserve">The study protocol was approved by local Ethical authorities. All patients have given written consent that the biological material could be used for this study. </w:t>
      </w:r>
    </w:p>
    <w:bookmarkEnd w:id="0"/>
    <w:bookmarkEnd w:id="1"/>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pStyle w:val="NormalWeb"/>
        <w:spacing w:before="0" w:beforeAutospacing="0" w:after="0" w:afterAutospacing="0" w:line="360" w:lineRule="auto"/>
        <w:jc w:val="both"/>
        <w:rPr>
          <w:rFonts w:ascii="Book Antiqua" w:eastAsia="宋体" w:hAnsi="Book Antiqua" w:cs="Times"/>
          <w:sz w:val="24"/>
          <w:szCs w:val="24"/>
          <w:lang w:val="en-US" w:eastAsia="zh-CN"/>
        </w:rPr>
      </w:pPr>
      <w:r w:rsidRPr="009A4BDC">
        <w:rPr>
          <w:rFonts w:ascii="Book Antiqua" w:hAnsi="Book Antiqua" w:cs="TimesNewRomanPS-BoldItalicMT"/>
          <w:b/>
          <w:bCs/>
          <w:iCs/>
          <w:sz w:val="24"/>
          <w:szCs w:val="24"/>
        </w:rPr>
        <w:t>Conflict-of-interest:</w:t>
      </w:r>
      <w:r w:rsidRPr="009A4BDC">
        <w:rPr>
          <w:rFonts w:ascii="Book Antiqua" w:eastAsia="宋体" w:hAnsi="Book Antiqua" w:cs="TimesNewRomanPS-BoldItalicMT"/>
          <w:b/>
          <w:bCs/>
          <w:iCs/>
          <w:sz w:val="24"/>
          <w:szCs w:val="24"/>
          <w:lang w:eastAsia="zh-CN"/>
        </w:rPr>
        <w:t xml:space="preserve"> </w:t>
      </w:r>
      <w:r w:rsidRPr="009A4BDC">
        <w:rPr>
          <w:rFonts w:ascii="Book Antiqua" w:hAnsi="Book Antiqua" w:cs="Times"/>
          <w:sz w:val="24"/>
          <w:szCs w:val="24"/>
          <w:lang w:val="en-US" w:eastAsia="ja-JP"/>
        </w:rPr>
        <w:t>The authors declare no conflicts of interest.</w:t>
      </w:r>
    </w:p>
    <w:p w:rsidR="005A6B69" w:rsidRPr="009A4BDC" w:rsidRDefault="005A6B69" w:rsidP="00D8293D">
      <w:pPr>
        <w:pStyle w:val="NormalWeb"/>
        <w:spacing w:before="0" w:beforeAutospacing="0" w:after="0" w:afterAutospacing="0" w:line="360" w:lineRule="auto"/>
        <w:jc w:val="both"/>
        <w:rPr>
          <w:rFonts w:ascii="Book Antiqua" w:eastAsia="宋体" w:hAnsi="Book Antiqua"/>
          <w:sz w:val="24"/>
          <w:szCs w:val="24"/>
          <w:lang w:val="en-US" w:eastAsia="zh-CN"/>
        </w:rPr>
      </w:pPr>
    </w:p>
    <w:p w:rsidR="005A6B69" w:rsidRPr="009A4BDC" w:rsidRDefault="005A6B69" w:rsidP="00D829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rPr>
      </w:pPr>
      <w:r w:rsidRPr="009A4BDC">
        <w:rPr>
          <w:rFonts w:ascii="Book Antiqua" w:hAnsi="Book Antiqua" w:cs="TimesNewRomanPS-BoldItalicMT"/>
          <w:b/>
          <w:bCs/>
          <w:iCs/>
          <w:color w:val="auto"/>
        </w:rPr>
        <w:t>Data sharing:</w:t>
      </w:r>
      <w:r w:rsidRPr="009A4BDC">
        <w:rPr>
          <w:rFonts w:ascii="Book Antiqua" w:eastAsia="宋体" w:hAnsi="Book Antiqua" w:cs="TimesNewRomanPS-BoldItalicMT"/>
          <w:b/>
          <w:bCs/>
          <w:iCs/>
          <w:color w:val="auto"/>
          <w:lang w:eastAsia="zh-CN"/>
        </w:rPr>
        <w:t xml:space="preserve"> </w:t>
      </w:r>
      <w:r w:rsidRPr="009A4BDC">
        <w:rPr>
          <w:rFonts w:ascii="Book Antiqua" w:hAnsi="Book Antiqua"/>
          <w:color w:val="auto"/>
        </w:rPr>
        <w:t>Technical appendix, statistical code, and dataset are available from the corresponding author (Benjamin.Gantenbein@istb.unibe.ch).</w:t>
      </w:r>
    </w:p>
    <w:p w:rsidR="005A6B69" w:rsidRPr="009A4BDC" w:rsidRDefault="005A6B69" w:rsidP="00D8293D">
      <w:pPr>
        <w:autoSpaceDE w:val="0"/>
        <w:autoSpaceDN w:val="0"/>
        <w:adjustRightInd w:val="0"/>
        <w:spacing w:line="360" w:lineRule="auto"/>
        <w:jc w:val="both"/>
        <w:rPr>
          <w:rFonts w:ascii="Book Antiqua" w:eastAsia="宋体" w:hAnsi="Book Antiqua" w:cs="TimesNewRomanPS-BoldItalicMT"/>
          <w:b/>
          <w:bCs/>
          <w:iCs/>
          <w:color w:val="auto"/>
          <w:lang w:eastAsia="zh-CN"/>
        </w:rPr>
      </w:pPr>
      <w:r w:rsidRPr="009A4BDC">
        <w:rPr>
          <w:rFonts w:ascii="Book Antiqua" w:eastAsia="宋体" w:hAnsi="Book Antiqua" w:cs="TimesNewRomanPS-BoldItalicMT"/>
          <w:b/>
          <w:bCs/>
          <w:iCs/>
          <w:color w:val="auto"/>
          <w:lang w:eastAsia="zh-CN"/>
        </w:rPr>
        <w:t xml:space="preserve"> </w:t>
      </w:r>
    </w:p>
    <w:p w:rsidR="005A6B69" w:rsidRPr="009A4BDC" w:rsidRDefault="005A6B69" w:rsidP="00D8293D">
      <w:pPr>
        <w:spacing w:line="360" w:lineRule="auto"/>
        <w:jc w:val="both"/>
        <w:rPr>
          <w:rFonts w:ascii="Book Antiqua" w:hAnsi="Book Antiqua" w:cs="宋体"/>
          <w:color w:val="auto"/>
        </w:rPr>
      </w:pPr>
      <w:r w:rsidRPr="009A4BDC">
        <w:rPr>
          <w:rFonts w:ascii="Book Antiqua" w:hAnsi="Book Antiqua"/>
          <w:b/>
          <w:color w:val="auto"/>
        </w:rPr>
        <w:t xml:space="preserve">Open-Access: </w:t>
      </w:r>
      <w:r w:rsidRPr="009A4BDC">
        <w:rPr>
          <w:rFonts w:ascii="Book Antiqua" w:hAnsi="Book Antiqua"/>
          <w:color w:val="auto"/>
        </w:rPr>
        <w:t xml:space="preserve">This article is an </w:t>
      </w:r>
      <w:r w:rsidRPr="009A4BDC">
        <w:rPr>
          <w:rFonts w:ascii="Book Antiqua" w:hAnsi="Book Antiqua" w:cs="宋体"/>
          <w:color w:val="auto"/>
        </w:rPr>
        <w:t xml:space="preserve">open-access article which </w:t>
      </w:r>
      <w:r w:rsidRPr="009A4BDC">
        <w:rPr>
          <w:rFonts w:ascii="Book Antiqua" w:hAnsi="Book Antiqua"/>
          <w:color w:val="auto"/>
        </w:rPr>
        <w:t xml:space="preserve">selected by an in-house editor and fully peer-reviewed by external reviewers. It </w:t>
      </w:r>
      <w:r w:rsidRPr="009A4BDC">
        <w:rPr>
          <w:rFonts w:ascii="Book Antiqua" w:hAnsi="Book Antiqua" w:cs="宋体"/>
          <w:color w:val="auto"/>
        </w:rPr>
        <w:t xml:space="preserve">distributed in accordance with </w:t>
      </w:r>
      <w:r w:rsidRPr="009A4BDC">
        <w:rPr>
          <w:rFonts w:ascii="Book Antiqua" w:hAnsi="Book Antiqua"/>
          <w:color w:val="auto"/>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A6B69" w:rsidRPr="009A4BDC" w:rsidRDefault="005A6B69" w:rsidP="00D8293D">
      <w:pPr>
        <w:spacing w:line="360" w:lineRule="auto"/>
        <w:jc w:val="both"/>
        <w:rPr>
          <w:rFonts w:ascii="Book Antiqua" w:hAnsi="Book Antiqua"/>
          <w:color w:val="auto"/>
        </w:rPr>
      </w:pP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Correspondence to: Dr.</w:t>
      </w:r>
      <w:r w:rsidRPr="009A4BDC">
        <w:rPr>
          <w:rFonts w:ascii="Book Antiqua" w:hAnsi="Book Antiqua"/>
          <w:color w:val="auto"/>
        </w:rPr>
        <w:t xml:space="preserve"> </w:t>
      </w:r>
      <w:r w:rsidRPr="009A4BDC">
        <w:rPr>
          <w:rFonts w:ascii="Book Antiqua" w:hAnsi="Book Antiqua"/>
          <w:b/>
          <w:color w:val="auto"/>
        </w:rPr>
        <w:t>Benjamin Gantenbein</w:t>
      </w:r>
      <w:r w:rsidRPr="009A4BDC">
        <w:rPr>
          <w:rFonts w:ascii="Book Antiqua" w:hAnsi="Book Antiqua"/>
          <w:color w:val="auto"/>
        </w:rPr>
        <w:t xml:space="preserve">, </w:t>
      </w:r>
      <w:r w:rsidRPr="009A4BDC">
        <w:rPr>
          <w:rFonts w:ascii="Book Antiqua" w:hAnsi="Book Antiqua"/>
          <w:b/>
          <w:color w:val="auto"/>
        </w:rPr>
        <w:t>PD</w:t>
      </w:r>
      <w:r w:rsidRPr="009A4BDC">
        <w:rPr>
          <w:rFonts w:ascii="Book Antiqua" w:hAnsi="Book Antiqua"/>
          <w:color w:val="auto"/>
        </w:rPr>
        <w:t>, Tissue and Organ Mechanobiology,</w:t>
      </w:r>
      <w:r w:rsidRPr="009A4BDC">
        <w:rPr>
          <w:rFonts w:ascii="Book Antiqua" w:hAnsi="Book Antiqua"/>
          <w:color w:val="auto"/>
          <w:vertAlign w:val="superscript"/>
        </w:rPr>
        <w:t xml:space="preserve"> </w:t>
      </w:r>
      <w:r w:rsidRPr="009A4BDC">
        <w:rPr>
          <w:rFonts w:ascii="Book Antiqua" w:hAnsi="Book Antiqua"/>
          <w:color w:val="auto"/>
        </w:rPr>
        <w:t xml:space="preserve">Institute for Surgical Technology and Biomechanics, University of Bern, Stauffacherstrasse 78, CH-3014 Bern, Switzerland. </w:t>
      </w:r>
      <w:hyperlink r:id="rId7" w:history="1">
        <w:r w:rsidRPr="009A4BDC">
          <w:rPr>
            <w:rFonts w:ascii="Book Antiqua" w:hAnsi="Book Antiqua"/>
            <w:color w:val="auto"/>
          </w:rPr>
          <w:t>benjamin.gantenbein@istb.unibe.ch</w:t>
        </w:r>
      </w:hyperlink>
      <w:r w:rsidRPr="009A4BDC">
        <w:rPr>
          <w:rFonts w:ascii="Book Antiqua" w:hAnsi="Book Antiqua"/>
          <w:color w:val="auto"/>
          <w:u w:val="single"/>
        </w:rPr>
        <w:t xml:space="preserve"> </w:t>
      </w:r>
    </w:p>
    <w:p w:rsidR="005A6B69" w:rsidRPr="009A4BDC" w:rsidRDefault="005A6B69" w:rsidP="00D8293D">
      <w:pPr>
        <w:adjustRightInd w:val="0"/>
        <w:snapToGrid w:val="0"/>
        <w:spacing w:line="360" w:lineRule="auto"/>
        <w:jc w:val="both"/>
        <w:rPr>
          <w:rFonts w:ascii="Book Antiqua" w:eastAsia="宋体" w:hAnsi="Book Antiqua"/>
          <w:color w:val="auto"/>
          <w:lang w:val="en-GB" w:eastAsia="zh-CN"/>
        </w:rPr>
      </w:pPr>
    </w:p>
    <w:p w:rsidR="005A6B69" w:rsidRPr="009A4BDC" w:rsidRDefault="005A6B69" w:rsidP="00D8293D">
      <w:pPr>
        <w:spacing w:line="360" w:lineRule="auto"/>
        <w:jc w:val="both"/>
        <w:rPr>
          <w:rFonts w:ascii="Book Antiqua" w:hAnsi="Book Antiqua"/>
          <w:color w:val="auto"/>
        </w:rPr>
      </w:pPr>
      <w:r w:rsidRPr="009A4BDC">
        <w:rPr>
          <w:rFonts w:ascii="Book Antiqua" w:hAnsi="Book Antiqua"/>
          <w:b/>
          <w:color w:val="auto"/>
        </w:rPr>
        <w:t xml:space="preserve">Telephone: </w:t>
      </w:r>
      <w:r w:rsidRPr="009A4BDC">
        <w:rPr>
          <w:rFonts w:ascii="Book Antiqua" w:hAnsi="Book Antiqua"/>
          <w:color w:val="auto"/>
        </w:rPr>
        <w:t>+41</w:t>
      </w:r>
      <w:r w:rsidR="00DB69CE" w:rsidRPr="000A1890">
        <w:rPr>
          <w:rFonts w:ascii="Book Antiqua" w:eastAsia="宋体" w:hAnsi="Book Antiqua" w:hint="eastAsia"/>
          <w:color w:val="auto"/>
          <w:lang w:eastAsia="zh-CN"/>
        </w:rPr>
        <w:t>-</w:t>
      </w:r>
      <w:r w:rsidR="00DB69CE">
        <w:rPr>
          <w:rFonts w:ascii="Book Antiqua" w:hAnsi="Book Antiqua"/>
          <w:color w:val="auto"/>
        </w:rPr>
        <w:t>31-631</w:t>
      </w:r>
      <w:r w:rsidRPr="009A4BDC">
        <w:rPr>
          <w:rFonts w:ascii="Book Antiqua" w:hAnsi="Book Antiqua"/>
          <w:color w:val="auto"/>
        </w:rPr>
        <w:t>5951</w:t>
      </w:r>
      <w:r>
        <w:rPr>
          <w:rFonts w:ascii="Book Antiqua" w:hAnsi="Book Antiqua"/>
          <w:color w:val="auto"/>
        </w:rPr>
        <w:t xml:space="preserve">     </w:t>
      </w:r>
      <w:r w:rsidRPr="009A4BDC">
        <w:rPr>
          <w:rFonts w:ascii="Book Antiqua" w:hAnsi="Book Antiqua"/>
          <w:b/>
          <w:color w:val="auto"/>
        </w:rPr>
        <w:t xml:space="preserve">Fax: </w:t>
      </w:r>
      <w:r w:rsidRPr="009A4BDC">
        <w:rPr>
          <w:rFonts w:ascii="Book Antiqua" w:hAnsi="Book Antiqua"/>
          <w:color w:val="auto"/>
        </w:rPr>
        <w:t>+41</w:t>
      </w:r>
      <w:r w:rsidR="00DB69CE" w:rsidRPr="000A1890">
        <w:rPr>
          <w:rFonts w:ascii="Book Antiqua" w:eastAsia="宋体" w:hAnsi="Book Antiqua" w:hint="eastAsia"/>
          <w:color w:val="auto"/>
          <w:lang w:eastAsia="zh-CN"/>
        </w:rPr>
        <w:t>-</w:t>
      </w:r>
      <w:r w:rsidR="00DB69CE">
        <w:rPr>
          <w:rFonts w:ascii="Book Antiqua" w:hAnsi="Book Antiqua"/>
          <w:color w:val="auto"/>
        </w:rPr>
        <w:t>31-631</w:t>
      </w:r>
      <w:r w:rsidRPr="009A4BDC">
        <w:rPr>
          <w:rFonts w:ascii="Book Antiqua" w:hAnsi="Book Antiqua"/>
          <w:color w:val="auto"/>
        </w:rPr>
        <w:t>5960</w:t>
      </w:r>
    </w:p>
    <w:p w:rsidR="005A6B69" w:rsidRDefault="005A6B69" w:rsidP="00D8293D">
      <w:pPr>
        <w:spacing w:line="360" w:lineRule="auto"/>
        <w:jc w:val="both"/>
        <w:rPr>
          <w:rFonts w:ascii="Book Antiqua" w:eastAsia="宋体" w:hAnsi="Book Antiqua"/>
          <w:color w:val="auto"/>
          <w:lang w:eastAsia="zh-CN"/>
        </w:rPr>
      </w:pPr>
    </w:p>
    <w:p w:rsidR="005A6B69" w:rsidRPr="005F7DC3" w:rsidRDefault="005A6B69" w:rsidP="00D8293D">
      <w:pPr>
        <w:spacing w:line="360" w:lineRule="auto"/>
        <w:jc w:val="both"/>
        <w:rPr>
          <w:rFonts w:ascii="Book Antiqua" w:hAnsi="Book Antiqua"/>
          <w:b/>
        </w:rPr>
      </w:pPr>
      <w:r w:rsidRPr="005F7DC3">
        <w:rPr>
          <w:rFonts w:ascii="Book Antiqua" w:hAnsi="Book Antiqua"/>
          <w:b/>
        </w:rPr>
        <w:t>Received:</w:t>
      </w:r>
      <w:r>
        <w:rPr>
          <w:rFonts w:ascii="Book Antiqua" w:eastAsia="宋体" w:hAnsi="Book Antiqua"/>
          <w:b/>
          <w:lang w:eastAsia="zh-CN"/>
        </w:rPr>
        <w:t xml:space="preserve"> </w:t>
      </w:r>
      <w:r w:rsidRPr="00034523">
        <w:rPr>
          <w:rFonts w:ascii="Book Antiqua" w:eastAsia="宋体" w:hAnsi="Book Antiqua"/>
          <w:lang w:eastAsia="zh-CN"/>
        </w:rPr>
        <w:t>August 21, 2014</w:t>
      </w:r>
      <w:r w:rsidRPr="00034523">
        <w:rPr>
          <w:rFonts w:ascii="Book Antiqua" w:hAnsi="Book Antiqua"/>
        </w:rPr>
        <w:t xml:space="preserve"> </w:t>
      </w:r>
    </w:p>
    <w:p w:rsidR="005A6B69" w:rsidRPr="00034523" w:rsidRDefault="005A6B69" w:rsidP="00D8293D">
      <w:pPr>
        <w:spacing w:line="360" w:lineRule="auto"/>
        <w:jc w:val="both"/>
        <w:rPr>
          <w:rFonts w:ascii="Book Antiqua" w:eastAsia="宋体" w:hAnsi="Book Antiqua"/>
          <w:b/>
          <w:lang w:eastAsia="zh-CN"/>
        </w:rPr>
      </w:pPr>
      <w:r w:rsidRPr="005F7DC3">
        <w:rPr>
          <w:rFonts w:ascii="Book Antiqua" w:hAnsi="Book Antiqua"/>
          <w:b/>
        </w:rPr>
        <w:t>Peer-review started:</w:t>
      </w:r>
      <w:r>
        <w:rPr>
          <w:rFonts w:ascii="Book Antiqua" w:eastAsia="宋体" w:hAnsi="Book Antiqua"/>
          <w:b/>
          <w:lang w:eastAsia="zh-CN"/>
        </w:rPr>
        <w:t xml:space="preserve"> </w:t>
      </w:r>
      <w:r w:rsidRPr="00034523">
        <w:rPr>
          <w:rFonts w:ascii="Book Antiqua" w:eastAsia="宋体" w:hAnsi="Book Antiqua"/>
          <w:lang w:eastAsia="zh-CN"/>
        </w:rPr>
        <w:t>August</w:t>
      </w:r>
      <w:r>
        <w:rPr>
          <w:rFonts w:ascii="Book Antiqua" w:eastAsia="宋体" w:hAnsi="Book Antiqua"/>
          <w:lang w:eastAsia="zh-CN"/>
        </w:rPr>
        <w:t xml:space="preserve"> 22, 2014</w:t>
      </w:r>
    </w:p>
    <w:p w:rsidR="005A6B69" w:rsidRPr="00034523" w:rsidRDefault="005A6B69" w:rsidP="00D8293D">
      <w:pPr>
        <w:spacing w:line="360" w:lineRule="auto"/>
        <w:jc w:val="both"/>
        <w:rPr>
          <w:rFonts w:ascii="Book Antiqua" w:eastAsia="宋体" w:hAnsi="Book Antiqua"/>
          <w:b/>
          <w:lang w:eastAsia="zh-CN"/>
        </w:rPr>
      </w:pPr>
      <w:r w:rsidRPr="005F7DC3">
        <w:rPr>
          <w:rFonts w:ascii="Book Antiqua" w:hAnsi="Book Antiqua"/>
          <w:b/>
        </w:rPr>
        <w:t>First decision:</w:t>
      </w:r>
      <w:r>
        <w:rPr>
          <w:rFonts w:ascii="Book Antiqua" w:eastAsia="宋体" w:hAnsi="Book Antiqua"/>
          <w:b/>
          <w:lang w:eastAsia="zh-CN"/>
        </w:rPr>
        <w:t xml:space="preserve"> </w:t>
      </w:r>
      <w:r w:rsidRPr="00034523">
        <w:rPr>
          <w:rFonts w:ascii="Book Antiqua" w:eastAsia="宋体" w:hAnsi="Book Antiqua"/>
          <w:lang w:eastAsia="zh-CN"/>
        </w:rPr>
        <w:t>September 4, 2014</w:t>
      </w:r>
    </w:p>
    <w:p w:rsidR="005A6B69" w:rsidRPr="005F7DC3" w:rsidRDefault="005A6B69" w:rsidP="00D8293D">
      <w:pPr>
        <w:spacing w:line="360" w:lineRule="auto"/>
        <w:jc w:val="both"/>
        <w:rPr>
          <w:rFonts w:ascii="Book Antiqua" w:hAnsi="Book Antiqua"/>
          <w:b/>
        </w:rPr>
      </w:pPr>
      <w:r w:rsidRPr="005F7DC3">
        <w:rPr>
          <w:rFonts w:ascii="Book Antiqua" w:hAnsi="Book Antiqua"/>
          <w:b/>
        </w:rPr>
        <w:t>Revised:</w:t>
      </w:r>
      <w:r>
        <w:rPr>
          <w:rFonts w:ascii="Book Antiqua" w:eastAsia="宋体" w:hAnsi="Book Antiqua"/>
          <w:b/>
          <w:lang w:eastAsia="zh-CN"/>
        </w:rPr>
        <w:t xml:space="preserve"> </w:t>
      </w:r>
      <w:r w:rsidRPr="00021A96">
        <w:rPr>
          <w:rFonts w:ascii="Book Antiqua" w:eastAsia="宋体" w:hAnsi="Book Antiqua"/>
          <w:lang w:eastAsia="zh-CN"/>
        </w:rPr>
        <w:t>October 30, 2014</w:t>
      </w:r>
      <w:r w:rsidRPr="00021A96">
        <w:rPr>
          <w:rFonts w:ascii="Book Antiqua" w:hAnsi="Book Antiqua"/>
        </w:rPr>
        <w:t xml:space="preserve"> </w:t>
      </w:r>
    </w:p>
    <w:p w:rsidR="00161B90" w:rsidRDefault="005A6B69" w:rsidP="00161B90">
      <w:pPr>
        <w:rPr>
          <w:rStyle w:val="Emphasis"/>
          <w:rFonts w:ascii="Book Antiqua" w:hAnsi="Book Antiqua"/>
          <w:i w:val="0"/>
        </w:rPr>
      </w:pPr>
      <w:r w:rsidRPr="005F7DC3">
        <w:rPr>
          <w:rFonts w:ascii="Book Antiqua" w:hAnsi="Book Antiqua"/>
          <w:b/>
        </w:rPr>
        <w:t xml:space="preserve">Accepted: </w:t>
      </w:r>
      <w:bookmarkStart w:id="2" w:name="OLE_LINK1"/>
      <w:bookmarkStart w:id="3" w:name="OLE_LINK2"/>
      <w:bookmarkStart w:id="4" w:name="OLE_LINK3"/>
      <w:bookmarkStart w:id="5" w:name="OLE_LINK4"/>
      <w:bookmarkStart w:id="6" w:name="OLE_LINK5"/>
      <w:bookmarkStart w:id="7" w:name="OLE_LINK6"/>
      <w:bookmarkStart w:id="8" w:name="OLE_LINK7"/>
      <w:bookmarkStart w:id="9" w:name="OLE_LINK9"/>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161B90" w:rsidRPr="00A63FB9">
        <w:rPr>
          <w:rStyle w:val="Emphasis"/>
          <w:rFonts w:ascii="Book Antiqua" w:hAnsi="Book Antiqua"/>
          <w:i w:val="0"/>
        </w:rPr>
        <w:t xml:space="preserve">November </w:t>
      </w:r>
      <w:r w:rsidR="00161B90">
        <w:rPr>
          <w:rStyle w:val="Emphasis"/>
          <w:rFonts w:ascii="Book Antiqua" w:hAnsi="Book Antiqua"/>
          <w:i w:val="0"/>
        </w:rPr>
        <w:t>2</w:t>
      </w:r>
      <w:r w:rsidR="00161B90" w:rsidRPr="00A63FB9">
        <w:rPr>
          <w:rStyle w:val="Emphasis"/>
          <w:rFonts w:ascii="Book Antiqua" w:hAnsi="Book Antiqua"/>
          <w:i w:val="0"/>
        </w:rPr>
        <w:t>7, 2014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5A6B69" w:rsidRPr="005F7DC3" w:rsidRDefault="005A6B69" w:rsidP="00D8293D">
      <w:pPr>
        <w:spacing w:line="360" w:lineRule="auto"/>
        <w:jc w:val="both"/>
        <w:rPr>
          <w:rFonts w:ascii="Book Antiqua" w:hAnsi="Book Antiqua"/>
          <w:b/>
        </w:rPr>
      </w:pPr>
    </w:p>
    <w:p w:rsidR="005A6B69" w:rsidRPr="005F7DC3" w:rsidRDefault="005A6B69" w:rsidP="00D8293D">
      <w:pPr>
        <w:spacing w:line="360" w:lineRule="auto"/>
        <w:jc w:val="both"/>
        <w:rPr>
          <w:rFonts w:ascii="Book Antiqua" w:hAnsi="Book Antiqua"/>
          <w:b/>
        </w:rPr>
      </w:pPr>
      <w:r w:rsidRPr="005F7DC3">
        <w:rPr>
          <w:rFonts w:ascii="Book Antiqua" w:hAnsi="Book Antiqua"/>
          <w:b/>
        </w:rPr>
        <w:t>Article in press:</w:t>
      </w:r>
    </w:p>
    <w:p w:rsidR="005A6B69" w:rsidRPr="005F7DC3" w:rsidRDefault="005A6B69" w:rsidP="00D8293D">
      <w:pPr>
        <w:spacing w:line="360" w:lineRule="auto"/>
        <w:jc w:val="both"/>
        <w:rPr>
          <w:rFonts w:ascii="Book Antiqua" w:hAnsi="Book Antiqua"/>
          <w:b/>
        </w:rPr>
      </w:pPr>
      <w:r w:rsidRPr="005F7DC3">
        <w:rPr>
          <w:rFonts w:ascii="Book Antiqua" w:hAnsi="Book Antiqua"/>
          <w:b/>
        </w:rPr>
        <w:t xml:space="preserve">Published online: </w:t>
      </w:r>
    </w:p>
    <w:p w:rsidR="005A6B69" w:rsidRPr="009A4BDC" w:rsidRDefault="005A6B69" w:rsidP="00D8293D">
      <w:pPr>
        <w:spacing w:line="360" w:lineRule="auto"/>
        <w:jc w:val="both"/>
        <w:rPr>
          <w:rFonts w:ascii="Book Antiqua" w:eastAsia="宋体" w:hAnsi="Book Antiqua"/>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Pr="009A4BDC" w:rsidRDefault="005A6B69" w:rsidP="00D8293D">
      <w:pPr>
        <w:spacing w:line="360" w:lineRule="auto"/>
        <w:jc w:val="both"/>
        <w:rPr>
          <w:rFonts w:ascii="Book Antiqua" w:eastAsia="宋体" w:hAnsi="Book Antiqua"/>
          <w:b/>
          <w:color w:val="auto"/>
          <w:lang w:eastAsia="zh-CN"/>
        </w:rPr>
      </w:pPr>
      <w:r w:rsidRPr="009A4BDC">
        <w:rPr>
          <w:rFonts w:ascii="Book Antiqua" w:hAnsi="Book Antiqua"/>
          <w:b/>
          <w:color w:val="auto"/>
        </w:rPr>
        <w:t xml:space="preserve">Abstract </w:t>
      </w:r>
    </w:p>
    <w:p w:rsidR="005A6B69" w:rsidRPr="009A4BDC" w:rsidRDefault="005A6B69" w:rsidP="00D8293D">
      <w:pPr>
        <w:spacing w:line="360" w:lineRule="auto"/>
        <w:jc w:val="both"/>
        <w:rPr>
          <w:rFonts w:ascii="Book Antiqua" w:eastAsia="宋体" w:hAnsi="Book Antiqua"/>
          <w:color w:val="auto"/>
          <w:lang w:eastAsia="zh-CN"/>
        </w:rPr>
      </w:pPr>
      <w:r w:rsidRPr="009A4BDC">
        <w:rPr>
          <w:rFonts w:ascii="Book Antiqua" w:hAnsi="Book Antiqua"/>
          <w:b/>
          <w:color w:val="auto"/>
          <w:lang w:val="en-GB"/>
        </w:rPr>
        <w:t>AIM:</w:t>
      </w:r>
      <w:r w:rsidRPr="009A4BDC">
        <w:rPr>
          <w:rFonts w:ascii="Book Antiqua" w:hAnsi="Book Antiqua"/>
          <w:color w:val="auto"/>
        </w:rPr>
        <w:t xml:space="preserve"> To investigate collagen patches seeded with mesenchymal stem cells (MSCs) and/or tenocytes (TCs) with regards to their suitability for anterior cruciate ligament (ACL) repair. </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eastAsia="宋体" w:hAnsi="Book Antiqua"/>
          <w:color w:val="auto"/>
          <w:lang w:eastAsia="zh-CN"/>
        </w:rPr>
      </w:pPr>
      <w:r w:rsidRPr="009A4BDC">
        <w:rPr>
          <w:rFonts w:ascii="Book Antiqua" w:hAnsi="Book Antiqua"/>
          <w:b/>
          <w:lang w:val="en-GB"/>
        </w:rPr>
        <w:t>METHODS:</w:t>
      </w:r>
      <w:r w:rsidRPr="009A4BDC">
        <w:rPr>
          <w:rFonts w:ascii="Book Antiqua" w:hAnsi="Book Antiqua"/>
          <w:color w:val="auto"/>
        </w:rPr>
        <w:t xml:space="preserve"> Dynamic intraligamentary stabilization utilizes a dynamic screw system to keep ACL remnants in place and promote biological healing, supplemented by collagen patches. How these scaffolds interact with cells and what type of benefit they provide has not yet been investigated in detail. Primary </w:t>
      </w:r>
      <w:r w:rsidRPr="007C62C0">
        <w:rPr>
          <w:rFonts w:ascii="Book Antiqua" w:hAnsi="Book Antiqua"/>
          <w:color w:val="auto"/>
        </w:rPr>
        <w:t>ACL-derived TCs</w:t>
      </w:r>
      <w:r w:rsidRPr="009A4BDC">
        <w:rPr>
          <w:rFonts w:ascii="Book Antiqua" w:hAnsi="Book Antiqua"/>
          <w:color w:val="auto"/>
        </w:rPr>
        <w:t xml:space="preserve"> and human bone marrow derived MSCs were seeded onto two different types of 3D collagen scaffolds, Chondro-Gide</w:t>
      </w:r>
      <w:r w:rsidRPr="009A4BDC">
        <w:rPr>
          <w:rFonts w:ascii="Book Antiqua" w:hAnsi="Book Antiqua" w:cs="Lucida Grande"/>
          <w:color w:val="auto"/>
        </w:rPr>
        <w:t>® (CG)</w:t>
      </w:r>
      <w:r w:rsidRPr="009A4BDC">
        <w:rPr>
          <w:rFonts w:ascii="Book Antiqua" w:hAnsi="Book Antiqua"/>
          <w:color w:val="auto"/>
        </w:rPr>
        <w:t xml:space="preserve"> and Novocart</w:t>
      </w:r>
      <w:r w:rsidRPr="009A4BDC">
        <w:rPr>
          <w:rFonts w:ascii="Book Antiqua" w:hAnsi="Book Antiqua" w:cs="Lucida Grande"/>
          <w:color w:val="auto"/>
        </w:rPr>
        <w:t>®</w:t>
      </w:r>
      <w:r>
        <w:rPr>
          <w:rFonts w:ascii="Book Antiqua" w:eastAsia="宋体" w:hAnsi="Book Antiqua" w:cs="Lucida Grande"/>
          <w:color w:val="auto"/>
          <w:lang w:eastAsia="zh-CN"/>
        </w:rPr>
        <w:t xml:space="preserve"> </w:t>
      </w:r>
      <w:r w:rsidRPr="00043267">
        <w:rPr>
          <w:rFonts w:ascii="Book Antiqua" w:hAnsi="Book Antiqua" w:cs="Lucida Grande"/>
          <w:color w:val="auto"/>
        </w:rPr>
        <w:t>(NC)</w:t>
      </w:r>
      <w:r w:rsidRPr="009A4BDC">
        <w:rPr>
          <w:rFonts w:ascii="Book Antiqua" w:hAnsi="Book Antiqua" w:cs="Lucida Grande"/>
          <w:color w:val="auto"/>
        </w:rPr>
        <w:t>. Cells were seeded onto the s</w:t>
      </w:r>
      <w:r>
        <w:rPr>
          <w:rFonts w:ascii="Book Antiqua" w:hAnsi="Book Antiqua" w:cs="Lucida Grande"/>
          <w:color w:val="auto"/>
        </w:rPr>
        <w:t>caffolds and cultured for 7 d</w:t>
      </w:r>
      <w:r w:rsidRPr="009A4BDC">
        <w:rPr>
          <w:rFonts w:ascii="Book Antiqua" w:hAnsi="Book Antiqua" w:cs="Lucida Grande"/>
          <w:color w:val="auto"/>
        </w:rPr>
        <w:t xml:space="preserve"> either as a</w:t>
      </w:r>
      <w:r w:rsidRPr="009A4BDC">
        <w:rPr>
          <w:rFonts w:ascii="Book Antiqua" w:hAnsi="Book Antiqua"/>
          <w:color w:val="auto"/>
        </w:rPr>
        <w:t xml:space="preserve"> pure population</w:t>
      </w:r>
      <w:r>
        <w:rPr>
          <w:rFonts w:ascii="Book Antiqua" w:hAnsi="Book Antiqua"/>
          <w:color w:val="auto"/>
        </w:rPr>
        <w:t>s or as “premix” containing a 1:</w:t>
      </w:r>
      <w:r w:rsidRPr="009A4BDC">
        <w:rPr>
          <w:rFonts w:ascii="Book Antiqua" w:hAnsi="Book Antiqua"/>
          <w:color w:val="auto"/>
        </w:rPr>
        <w:t>1 ratio of TCs to MSCs. Additionally, as controls, cells were seeded in monolayers and in co-cultures on both sides of porous high-density membrane inserts (0.4</w:t>
      </w:r>
      <w:r>
        <w:rPr>
          <w:rFonts w:ascii="Book Antiqua" w:eastAsia="宋体" w:hAnsi="Book Antiqua"/>
          <w:color w:val="auto"/>
          <w:lang w:eastAsia="zh-CN"/>
        </w:rPr>
        <w:t xml:space="preserve"> </w:t>
      </w:r>
      <w:r w:rsidRPr="009A4BDC">
        <w:rPr>
          <w:rFonts w:ascii="Book Antiqua" w:hAnsi="Book Antiqua"/>
          <w:color w:val="auto"/>
        </w:rPr>
        <w:t xml:space="preserve">µm). We analyzed the patches by real time polymerase chain reaction, glycosaminoglycan (GAG), DNA and hydroxy-proline (HYP) content, was determined. To determine cell spreading and adherence in the scaffolds microscopic imaging techniques, </w:t>
      </w:r>
      <w:r w:rsidRPr="00D3788E">
        <w:rPr>
          <w:rFonts w:ascii="Book Antiqua" w:hAnsi="Book Antiqua"/>
          <w:i/>
          <w:color w:val="auto"/>
        </w:rPr>
        <w:t>i.e.</w:t>
      </w:r>
      <w:r>
        <w:rPr>
          <w:rFonts w:ascii="Book Antiqua" w:eastAsia="宋体" w:hAnsi="Book Antiqua"/>
          <w:color w:val="auto"/>
          <w:lang w:eastAsia="zh-CN"/>
        </w:rPr>
        <w:t>,</w:t>
      </w:r>
      <w:r w:rsidRPr="009A4BDC">
        <w:rPr>
          <w:rFonts w:ascii="Book Antiqua" w:hAnsi="Book Antiqua"/>
          <w:color w:val="auto"/>
        </w:rPr>
        <w:t xml:space="preserve"> confocal laser scanning microscopy (cLSM) and scanning electron microscopy (SEM), were applied.</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eastAsia="宋体" w:hAnsi="Book Antiqua"/>
          <w:color w:val="auto"/>
          <w:lang w:eastAsia="zh-CN"/>
        </w:rPr>
      </w:pPr>
      <w:r w:rsidRPr="009A4BDC">
        <w:rPr>
          <w:rFonts w:ascii="Book Antiqua" w:hAnsi="Book Antiqua"/>
          <w:b/>
          <w:lang w:val="en-GB"/>
        </w:rPr>
        <w:t>RESULTS:</w:t>
      </w:r>
      <w:r w:rsidRPr="009A4BDC">
        <w:rPr>
          <w:rFonts w:ascii="Book Antiqua" w:hAnsi="Book Antiqua"/>
          <w:color w:val="auto"/>
        </w:rPr>
        <w:t xml:space="preserve"> CLSM and SEM imaging analysis confirmed cell adherence onto scaffolds. The metabolic cell activity revealed that patches promote adherence and proliferation of cells. The most dramatic increase in absolute metabolic cell activity was measured for CG samples seeded with tenocytes or a 1:1 cell premix. Analysis of DNA content and cLSM imaging also indicated MSCs were not proliferating as nicely as tenocytes on CG. The HYP to GAG ratio significantly changed for the premix group, resulting from a slightly lower GAG content, demonstrating that the cells are modifying the underlying matrix. Real-time quantitative polymerase chain reaction data indicated that MSCs showed a trend of differentiation towards a more tenogenic-like</w:t>
      </w:r>
      <w:r>
        <w:rPr>
          <w:rFonts w:ascii="Book Antiqua" w:hAnsi="Book Antiqua"/>
          <w:color w:val="auto"/>
        </w:rPr>
        <w:t xml:space="preserve"> phenotype after 7 d</w:t>
      </w:r>
      <w:r w:rsidRPr="009A4BDC">
        <w:rPr>
          <w:rFonts w:ascii="Book Antiqua" w:hAnsi="Book Antiqua"/>
          <w:color w:val="auto"/>
        </w:rPr>
        <w:t xml:space="preserve">. </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hAnsi="Book Antiqua"/>
          <w:color w:val="auto"/>
        </w:rPr>
      </w:pPr>
      <w:r w:rsidRPr="009A4BDC">
        <w:rPr>
          <w:rFonts w:ascii="Book Antiqua" w:hAnsi="Book Antiqua"/>
          <w:b/>
          <w:bCs/>
        </w:rPr>
        <w:t>CONCLUSION:</w:t>
      </w:r>
      <w:r w:rsidRPr="009A4BDC">
        <w:rPr>
          <w:rFonts w:ascii="Book Antiqua" w:hAnsi="Book Antiqua"/>
          <w:color w:val="auto"/>
        </w:rPr>
        <w:t xml:space="preserve"> CG and NC are both cyto-compatible with primary MSCs and TCs; TCs seemed to perform better on these collagen patches than MSCs.</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adjustRightInd w:val="0"/>
        <w:snapToGrid w:val="0"/>
        <w:spacing w:line="360" w:lineRule="auto"/>
        <w:jc w:val="both"/>
        <w:rPr>
          <w:rFonts w:ascii="Book Antiqua" w:hAnsi="Book Antiqua" w:cs="Tahoma"/>
        </w:rPr>
      </w:pPr>
      <w:r w:rsidRPr="009A4BDC">
        <w:rPr>
          <w:rFonts w:ascii="Book Antiqua" w:hAnsi="Book Antiqua" w:cs="Tahoma"/>
          <w:lang w:eastAsia="ja-JP"/>
        </w:rPr>
        <w:t>© 2014 Baishideng Publishing Group Inc. All rights reserved.</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eastAsia="宋体" w:hAnsi="Book Antiqua"/>
          <w:color w:val="auto"/>
          <w:lang w:eastAsia="zh-CN"/>
        </w:rPr>
      </w:pPr>
      <w:r w:rsidRPr="009A4BDC">
        <w:rPr>
          <w:rFonts w:ascii="Book Antiqua" w:eastAsia="ArialMT" w:hAnsi="Book Antiqua"/>
          <w:b/>
          <w:lang w:val="en-GB"/>
        </w:rPr>
        <w:t>Key words:</w:t>
      </w:r>
      <w:r w:rsidRPr="009A4BDC">
        <w:rPr>
          <w:rFonts w:ascii="Book Antiqua" w:eastAsia="ArialMT" w:hAnsi="Book Antiqua"/>
          <w:lang w:val="en-GB"/>
        </w:rPr>
        <w:t xml:space="preserve"> </w:t>
      </w:r>
      <w:r w:rsidRPr="009A4BDC">
        <w:rPr>
          <w:rFonts w:ascii="Book Antiqua" w:hAnsi="Book Antiqua"/>
          <w:color w:val="auto"/>
        </w:rPr>
        <w:t>Anterior cruciate ligament rupture</w:t>
      </w:r>
      <w:r w:rsidRPr="009A4BDC">
        <w:rPr>
          <w:rFonts w:ascii="Book Antiqua" w:eastAsia="宋体" w:hAnsi="Book Antiqua"/>
          <w:color w:val="auto"/>
          <w:lang w:eastAsia="zh-CN"/>
        </w:rPr>
        <w:t>;</w:t>
      </w:r>
      <w:r w:rsidRPr="009A4BDC">
        <w:rPr>
          <w:rFonts w:ascii="Book Antiqua" w:hAnsi="Book Antiqua"/>
          <w:color w:val="auto"/>
        </w:rPr>
        <w:t xml:space="preserve"> Anterior cruciate ligament tenocyte</w:t>
      </w:r>
      <w:r w:rsidRPr="009A4BDC">
        <w:rPr>
          <w:rFonts w:ascii="Book Antiqua" w:eastAsia="宋体" w:hAnsi="Book Antiqua"/>
          <w:color w:val="auto"/>
          <w:lang w:eastAsia="zh-CN"/>
        </w:rPr>
        <w:t>;</w:t>
      </w:r>
      <w:r w:rsidRPr="009A4BDC">
        <w:rPr>
          <w:rFonts w:ascii="Book Antiqua" w:hAnsi="Book Antiqua"/>
          <w:color w:val="auto"/>
        </w:rPr>
        <w:t xml:space="preserve"> Dynamic intraligamentary stabilization system</w:t>
      </w:r>
      <w:r w:rsidRPr="009A4BDC">
        <w:rPr>
          <w:rFonts w:ascii="Book Antiqua" w:eastAsia="宋体" w:hAnsi="Book Antiqua"/>
          <w:color w:val="auto"/>
          <w:lang w:eastAsia="zh-CN"/>
        </w:rPr>
        <w:t>;</w:t>
      </w:r>
      <w:r w:rsidRPr="009A4BDC">
        <w:rPr>
          <w:rFonts w:ascii="Book Antiqua" w:hAnsi="Book Antiqua"/>
          <w:color w:val="auto"/>
        </w:rPr>
        <w:t xml:space="preserve"> Resazurin red assay</w:t>
      </w:r>
      <w:r w:rsidRPr="009A4BDC">
        <w:rPr>
          <w:rFonts w:ascii="Book Antiqua" w:eastAsia="宋体" w:hAnsi="Book Antiqua"/>
          <w:color w:val="auto"/>
          <w:lang w:eastAsia="zh-CN"/>
        </w:rPr>
        <w:t>;</w:t>
      </w:r>
      <w:r w:rsidRPr="009A4BDC">
        <w:rPr>
          <w:rFonts w:ascii="Book Antiqua" w:hAnsi="Book Antiqua"/>
          <w:color w:val="auto"/>
        </w:rPr>
        <w:t xml:space="preserve"> Mesenchymal stem cells</w:t>
      </w:r>
      <w:r w:rsidRPr="009A4BDC">
        <w:rPr>
          <w:rFonts w:ascii="Book Antiqua" w:eastAsia="宋体" w:hAnsi="Book Antiqua"/>
          <w:color w:val="auto"/>
          <w:lang w:eastAsia="zh-CN"/>
        </w:rPr>
        <w:t>;</w:t>
      </w:r>
      <w:r w:rsidRPr="009A4BDC">
        <w:rPr>
          <w:rFonts w:ascii="Book Antiqua" w:hAnsi="Book Antiqua"/>
          <w:color w:val="auto"/>
        </w:rPr>
        <w:t xml:space="preserve"> Real-time polymerase chain reaction</w:t>
      </w:r>
      <w:r w:rsidRPr="009A4BDC">
        <w:rPr>
          <w:rFonts w:ascii="Book Antiqua" w:eastAsia="宋体" w:hAnsi="Book Antiqua"/>
          <w:color w:val="auto"/>
          <w:lang w:eastAsia="zh-CN"/>
        </w:rPr>
        <w:t>;</w:t>
      </w:r>
      <w:r w:rsidRPr="009A4BDC">
        <w:rPr>
          <w:rFonts w:ascii="Book Antiqua" w:hAnsi="Book Antiqua"/>
          <w:color w:val="auto"/>
        </w:rPr>
        <w:t xml:space="preserve"> Histology</w:t>
      </w:r>
      <w:r w:rsidRPr="009A4BDC">
        <w:rPr>
          <w:rFonts w:ascii="Book Antiqua" w:eastAsia="宋体" w:hAnsi="Book Antiqua"/>
          <w:color w:val="auto"/>
          <w:lang w:eastAsia="zh-CN"/>
        </w:rPr>
        <w:t>;</w:t>
      </w:r>
      <w:r w:rsidRPr="009A4BDC">
        <w:rPr>
          <w:rFonts w:ascii="Book Antiqua" w:hAnsi="Book Antiqua"/>
          <w:color w:val="auto"/>
        </w:rPr>
        <w:t xml:space="preserve"> SEM microscopy</w:t>
      </w:r>
      <w:r w:rsidRPr="009A4BDC">
        <w:rPr>
          <w:rFonts w:ascii="Book Antiqua" w:eastAsia="宋体" w:hAnsi="Book Antiqua"/>
          <w:color w:val="auto"/>
          <w:lang w:eastAsia="zh-CN"/>
        </w:rPr>
        <w:t>;</w:t>
      </w:r>
      <w:r w:rsidRPr="009A4BDC">
        <w:rPr>
          <w:rFonts w:ascii="Book Antiqua" w:hAnsi="Book Antiqua"/>
          <w:color w:val="auto"/>
        </w:rPr>
        <w:t xml:space="preserve"> Scanning electron microscopy</w:t>
      </w:r>
    </w:p>
    <w:p w:rsidR="005A6B69" w:rsidRPr="009A4BDC" w:rsidRDefault="005A6B69" w:rsidP="00D8293D">
      <w:pPr>
        <w:spacing w:line="360" w:lineRule="auto"/>
        <w:jc w:val="both"/>
        <w:rPr>
          <w:rFonts w:ascii="Book Antiqua" w:eastAsia="宋体" w:hAnsi="Book Antiqua"/>
          <w:color w:val="auto"/>
          <w:lang w:eastAsia="zh-CN"/>
        </w:rPr>
      </w:pPr>
    </w:p>
    <w:p w:rsidR="005A6B69" w:rsidRPr="009A4BDC" w:rsidRDefault="005A6B69" w:rsidP="00D8293D">
      <w:pPr>
        <w:spacing w:line="360" w:lineRule="auto"/>
        <w:jc w:val="both"/>
        <w:rPr>
          <w:rFonts w:ascii="Book Antiqua" w:hAnsi="Book Antiqua"/>
          <w:color w:val="auto"/>
        </w:rPr>
      </w:pPr>
      <w:r w:rsidRPr="009A4BDC">
        <w:rPr>
          <w:rFonts w:ascii="Book Antiqua" w:eastAsia="ArialMT" w:hAnsi="Book Antiqua"/>
          <w:b/>
          <w:lang w:val="en-GB"/>
        </w:rPr>
        <w:t>Core tip</w:t>
      </w:r>
      <w:r w:rsidRPr="009A4BDC">
        <w:rPr>
          <w:rFonts w:ascii="Book Antiqua" w:hAnsi="Book Antiqua"/>
          <w:b/>
          <w:lang w:val="en-GB"/>
        </w:rPr>
        <w:t xml:space="preserve">: </w:t>
      </w:r>
      <w:r w:rsidRPr="009A4BDC">
        <w:rPr>
          <w:rFonts w:ascii="Book Antiqua" w:hAnsi="Book Antiqua"/>
          <w:color w:val="auto"/>
        </w:rPr>
        <w:t>Commercially available porcine or bovine-derived collagen type I and type III patches are cytocompatible for anterior cruciate ligament derived tenocytes (ACL-TCs) and for bone-marrow derived mesenchymal stem cells (MSCs). The combination of commercially available collagen patches with MSCs and ACL-TCs seems to be suitable for application with a dynamic intraligamentary stabilization system, which represents a novel technique to fix a ruptured ACL. However, co-culture of MSCs with ACL-TCs did show signs of differentiation of MSCs towards a more TC-like phenotype after a s</w:t>
      </w:r>
      <w:r>
        <w:rPr>
          <w:rFonts w:ascii="Book Antiqua" w:hAnsi="Book Antiqua"/>
          <w:color w:val="auto"/>
        </w:rPr>
        <w:t>hort-term culture of 7 d</w:t>
      </w:r>
      <w:r w:rsidRPr="009A4BDC">
        <w:rPr>
          <w:rFonts w:ascii="Book Antiqua" w:hAnsi="Book Antiqua"/>
          <w:color w:val="auto"/>
        </w:rPr>
        <w:t>.</w:t>
      </w:r>
    </w:p>
    <w:p w:rsidR="005A6B69" w:rsidRDefault="005A6B69" w:rsidP="00D8293D">
      <w:pPr>
        <w:spacing w:line="360" w:lineRule="auto"/>
        <w:jc w:val="both"/>
        <w:rPr>
          <w:rFonts w:ascii="Book Antiqua" w:eastAsia="宋体" w:hAnsi="Book Antiqua"/>
          <w:color w:val="auto"/>
          <w:lang w:eastAsia="zh-CN"/>
        </w:rPr>
      </w:pPr>
    </w:p>
    <w:p w:rsidR="005A6B69" w:rsidRPr="00E55DBA" w:rsidRDefault="005A6B69" w:rsidP="00D8293D">
      <w:pPr>
        <w:spacing w:line="360" w:lineRule="auto"/>
        <w:jc w:val="both"/>
        <w:rPr>
          <w:rFonts w:ascii="Book Antiqua" w:hAnsi="Book Antiqua"/>
          <w:iCs/>
        </w:rPr>
      </w:pPr>
      <w:r w:rsidRPr="009A4BDC">
        <w:rPr>
          <w:rFonts w:ascii="Book Antiqua" w:hAnsi="Book Antiqua"/>
          <w:color w:val="auto"/>
        </w:rPr>
        <w:t>Gantenbein</w:t>
      </w:r>
      <w:r>
        <w:rPr>
          <w:rFonts w:ascii="Book Antiqua" w:eastAsia="宋体" w:hAnsi="Book Antiqua"/>
          <w:color w:val="auto"/>
          <w:lang w:eastAsia="zh-CN"/>
        </w:rPr>
        <w:t xml:space="preserve"> B</w:t>
      </w:r>
      <w:r w:rsidRPr="009A4BDC">
        <w:rPr>
          <w:rFonts w:ascii="Book Antiqua" w:hAnsi="Book Antiqua"/>
          <w:color w:val="auto"/>
        </w:rPr>
        <w:t>, Gadhari</w:t>
      </w:r>
      <w:r>
        <w:rPr>
          <w:rFonts w:ascii="Book Antiqua" w:eastAsia="宋体" w:hAnsi="Book Antiqua"/>
          <w:color w:val="auto"/>
          <w:lang w:eastAsia="zh-CN"/>
        </w:rPr>
        <w:t xml:space="preserve"> N</w:t>
      </w:r>
      <w:r w:rsidRPr="009A4BDC">
        <w:rPr>
          <w:rFonts w:ascii="Book Antiqua" w:hAnsi="Book Antiqua"/>
          <w:color w:val="auto"/>
        </w:rPr>
        <w:t>, Chan</w:t>
      </w:r>
      <w:r>
        <w:rPr>
          <w:rFonts w:ascii="Book Antiqua" w:eastAsia="宋体" w:hAnsi="Book Antiqua"/>
          <w:color w:val="auto"/>
          <w:lang w:eastAsia="zh-CN"/>
        </w:rPr>
        <w:t xml:space="preserve"> SCW</w:t>
      </w:r>
      <w:r w:rsidRPr="009A4BDC">
        <w:rPr>
          <w:rFonts w:ascii="Book Antiqua" w:hAnsi="Book Antiqua"/>
          <w:color w:val="auto"/>
        </w:rPr>
        <w:t>, Kohl</w:t>
      </w:r>
      <w:r>
        <w:rPr>
          <w:rFonts w:ascii="Book Antiqua" w:eastAsia="宋体" w:hAnsi="Book Antiqua"/>
          <w:color w:val="auto"/>
          <w:lang w:eastAsia="zh-CN"/>
        </w:rPr>
        <w:t xml:space="preserve"> S</w:t>
      </w:r>
      <w:r w:rsidRPr="009A4BDC">
        <w:rPr>
          <w:rFonts w:ascii="Book Antiqua" w:hAnsi="Book Antiqua"/>
          <w:color w:val="auto"/>
        </w:rPr>
        <w:t>, Ahmad</w:t>
      </w:r>
      <w:r>
        <w:rPr>
          <w:rFonts w:ascii="Book Antiqua" w:eastAsia="宋体" w:hAnsi="Book Antiqua"/>
          <w:color w:val="auto"/>
          <w:lang w:eastAsia="zh-CN"/>
        </w:rPr>
        <w:t xml:space="preserve"> SS. </w:t>
      </w:r>
      <w:r w:rsidRPr="00AF3FF4">
        <w:rPr>
          <w:rFonts w:ascii="Book Antiqua" w:hAnsi="Book Antiqua"/>
          <w:color w:val="auto"/>
        </w:rPr>
        <w:t>Mesenchymal stem cells and collagen patches for anterior cruciate ligament repair</w:t>
      </w:r>
      <w:r w:rsidRPr="00AF3FF4">
        <w:rPr>
          <w:rFonts w:ascii="Book Antiqua" w:eastAsia="宋体" w:hAnsi="Book Antiqua"/>
          <w:color w:val="auto"/>
          <w:lang w:eastAsia="zh-CN"/>
        </w:rPr>
        <w:t>.</w:t>
      </w:r>
      <w:r>
        <w:rPr>
          <w:rFonts w:ascii="Book Antiqua" w:eastAsia="宋体" w:hAnsi="Book Antiqua"/>
          <w:color w:val="auto"/>
          <w:lang w:eastAsia="zh-CN"/>
        </w:rPr>
        <w:t xml:space="preserve"> </w:t>
      </w:r>
      <w:r w:rsidRPr="00C341A0">
        <w:rPr>
          <w:rFonts w:ascii="Book Antiqua" w:hAnsi="Book Antiqua"/>
          <w:i/>
          <w:iCs/>
        </w:rPr>
        <w:t>World J Stem Cells</w:t>
      </w:r>
      <w:r>
        <w:rPr>
          <w:rFonts w:ascii="Book Antiqua" w:eastAsia="宋体" w:hAnsi="Book Antiqua"/>
          <w:iCs/>
          <w:lang w:eastAsia="zh-CN"/>
        </w:rPr>
        <w:t xml:space="preserve"> 2014; </w:t>
      </w:r>
      <w:r w:rsidRPr="00E55DBA">
        <w:rPr>
          <w:rFonts w:ascii="Book Antiqua" w:hAnsi="Book Antiqua"/>
          <w:iCs/>
        </w:rPr>
        <w:t>In press</w:t>
      </w:r>
    </w:p>
    <w:p w:rsidR="005A6B69" w:rsidRPr="00975B24" w:rsidRDefault="005A6B69" w:rsidP="00D8293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宋体" w:hAnsi="Book Antiqua"/>
          <w:color w:val="auto"/>
          <w:lang w:eastAsia="zh-CN"/>
        </w:rPr>
      </w:pPr>
    </w:p>
    <w:p w:rsidR="005A6B69" w:rsidRPr="002A2A36" w:rsidRDefault="005A6B69" w:rsidP="00D8293D">
      <w:pPr>
        <w:spacing w:line="360" w:lineRule="auto"/>
        <w:jc w:val="both"/>
        <w:rPr>
          <w:rFonts w:ascii="Book Antiqua" w:hAnsi="Book Antiqua"/>
          <w:b/>
          <w:color w:val="auto"/>
        </w:rPr>
      </w:pPr>
      <w:r w:rsidRPr="002A2A36">
        <w:rPr>
          <w:rFonts w:ascii="Book Antiqua" w:hAnsi="Book Antiqua"/>
          <w:b/>
          <w:color w:val="auto"/>
        </w:rPr>
        <w:t>INTRODUCTION</w:t>
      </w:r>
    </w:p>
    <w:p w:rsidR="005A6B69" w:rsidRPr="009A4BDC" w:rsidRDefault="005A6B69" w:rsidP="00D8293D">
      <w:pPr>
        <w:pStyle w:val="Textbody"/>
        <w:spacing w:line="360" w:lineRule="auto"/>
        <w:ind w:firstLine="0"/>
        <w:rPr>
          <w:rFonts w:ascii="Book Antiqua" w:hAnsi="Book Antiqua"/>
          <w:sz w:val="24"/>
        </w:rPr>
      </w:pPr>
      <w:r w:rsidRPr="002A2A36">
        <w:rPr>
          <w:rFonts w:ascii="Book Antiqua" w:hAnsi="Book Antiqua"/>
          <w:sz w:val="24"/>
        </w:rPr>
        <w:t>Anterior cruciate ligament</w:t>
      </w:r>
      <w:r w:rsidRPr="009A4BDC">
        <w:rPr>
          <w:rFonts w:ascii="Book Antiqua" w:hAnsi="Book Antiqua"/>
          <w:sz w:val="24"/>
        </w:rPr>
        <w:t xml:space="preserve"> (ACL) injuries represent one of the most common ligament in</w:t>
      </w:r>
      <w:r>
        <w:rPr>
          <w:rFonts w:ascii="Book Antiqua" w:hAnsi="Book Antiqua"/>
          <w:sz w:val="24"/>
        </w:rPr>
        <w:t>juries, estimated to impact 100000 to 200</w:t>
      </w:r>
      <w:r w:rsidRPr="009A4BDC">
        <w:rPr>
          <w:rFonts w:ascii="Book Antiqua" w:hAnsi="Book Antiqua"/>
          <w:sz w:val="24"/>
        </w:rPr>
        <w:t xml:space="preserve">000 people annually in the </w:t>
      </w:r>
      <w:r w:rsidRPr="002A2A36">
        <w:rPr>
          <w:rFonts w:ascii="Book Antiqua" w:hAnsi="Book Antiqua"/>
          <w:sz w:val="24"/>
        </w:rPr>
        <w:t>United States (US)</w:t>
      </w:r>
      <w:r w:rsidRPr="009A4BDC">
        <w:rPr>
          <w:rFonts w:ascii="Book Antiqua" w:hAnsi="Book Antiqua"/>
          <w:sz w:val="24"/>
        </w:rPr>
        <w:t>.</w:t>
      </w:r>
      <w:r w:rsidRPr="009A4BDC">
        <w:rPr>
          <w:rFonts w:ascii="Book Antiqua" w:hAnsi="Book Antiqua"/>
          <w:sz w:val="24"/>
          <w:vertAlign w:val="superscript"/>
        </w:rPr>
        <w:t>[1-4]</w:t>
      </w:r>
      <w:r w:rsidRPr="009A4BDC">
        <w:rPr>
          <w:rFonts w:ascii="Book Antiqua" w:hAnsi="Book Antiqua"/>
          <w:sz w:val="24"/>
        </w:rPr>
        <w:t>. In Germany, the incidence of ACL rupt</w:t>
      </w:r>
      <w:r>
        <w:rPr>
          <w:rFonts w:ascii="Book Antiqua" w:hAnsi="Book Antiqua"/>
          <w:sz w:val="24"/>
        </w:rPr>
        <w:t>ures is estimated at 32 per 100</w:t>
      </w:r>
      <w:r w:rsidRPr="009A4BDC">
        <w:rPr>
          <w:rFonts w:ascii="Book Antiqua" w:hAnsi="Book Antiqua"/>
          <w:sz w:val="24"/>
        </w:rPr>
        <w:t>000 in the general population; in the active sports community, this rate is more th</w:t>
      </w:r>
      <w:r>
        <w:rPr>
          <w:rFonts w:ascii="Book Antiqua" w:hAnsi="Book Antiqua"/>
          <w:sz w:val="24"/>
        </w:rPr>
        <w:t>an twice as high, at 70 per 100</w:t>
      </w:r>
      <w:r w:rsidRPr="009A4BDC">
        <w:rPr>
          <w:rFonts w:ascii="Book Antiqua" w:hAnsi="Book Antiqua"/>
          <w:sz w:val="24"/>
        </w:rPr>
        <w:t>000</w:t>
      </w:r>
      <w:r w:rsidRPr="009A4BDC">
        <w:rPr>
          <w:rFonts w:ascii="Book Antiqua" w:hAnsi="Book Antiqua"/>
          <w:sz w:val="24"/>
          <w:vertAlign w:val="superscript"/>
        </w:rPr>
        <w:t>[1]</w:t>
      </w:r>
      <w:r w:rsidRPr="009A4BDC">
        <w:rPr>
          <w:rFonts w:ascii="Book Antiqua" w:hAnsi="Book Antiqua"/>
          <w:sz w:val="24"/>
        </w:rPr>
        <w:t>. The ACL provides an essential mechanism for ensuring stability in the knee joint</w:t>
      </w:r>
      <w:r w:rsidRPr="009A4BDC">
        <w:rPr>
          <w:rFonts w:ascii="Book Antiqua" w:hAnsi="Book Antiqua"/>
          <w:sz w:val="24"/>
          <w:vertAlign w:val="superscript"/>
        </w:rPr>
        <w:t>[5]</w:t>
      </w:r>
      <w:r w:rsidRPr="009A4BDC">
        <w:rPr>
          <w:rFonts w:ascii="Book Antiqua" w:hAnsi="Book Antiqua"/>
          <w:sz w:val="24"/>
        </w:rPr>
        <w:t>. The instability resulting from ACL injury not only impairs the functionality of the joint, but can also result in secondary damage to other structures, leading to arthritic changes</w:t>
      </w:r>
      <w:r w:rsidRPr="009A4BDC">
        <w:rPr>
          <w:rFonts w:ascii="Book Antiqua" w:hAnsi="Book Antiqua"/>
          <w:sz w:val="24"/>
          <w:vertAlign w:val="superscript"/>
        </w:rPr>
        <w:t>[1,6,7]</w:t>
      </w:r>
      <w:r w:rsidRPr="009A4BDC">
        <w:rPr>
          <w:rFonts w:ascii="Book Antiqua" w:hAnsi="Book Antiqua"/>
          <w:sz w:val="24"/>
        </w:rPr>
        <w:t>. Current surgical treatment methods are thus focused on restoring stability of the knee, reducing pain and preventing osteoarthritis</w:t>
      </w:r>
      <w:r w:rsidRPr="009A4BDC">
        <w:rPr>
          <w:rFonts w:ascii="Book Antiqua" w:hAnsi="Book Antiqua"/>
          <w:sz w:val="24"/>
          <w:vertAlign w:val="superscript"/>
        </w:rPr>
        <w:t>[1,8,9]</w:t>
      </w:r>
      <w:r w:rsidRPr="009A4BDC">
        <w:rPr>
          <w:rFonts w:ascii="Book Antiqua" w:hAnsi="Book Antiqua"/>
          <w:sz w:val="24"/>
        </w:rPr>
        <w:t>. The cruciate ligaments do not heal spontaneously; this has been attributed to a lack of a fibrin-platelet clot formation in ACL defects, which may be due to the synovial fluid surrounding the cruciate ligaments into which blood from the ruptured stumps disperses, as well as to high levels of plasmin concentrations known to be circulating in the synovial fluid</w:t>
      </w:r>
      <w:r w:rsidRPr="009A4BDC">
        <w:rPr>
          <w:rFonts w:ascii="Book Antiqua" w:hAnsi="Book Antiqua"/>
          <w:sz w:val="24"/>
          <w:vertAlign w:val="superscript"/>
        </w:rPr>
        <w:t>[10]</w:t>
      </w:r>
      <w:r w:rsidRPr="009A4BDC">
        <w:rPr>
          <w:rFonts w:ascii="Book Antiqua" w:hAnsi="Book Antiqua"/>
          <w:sz w:val="24"/>
        </w:rPr>
        <w:t>. Lack of spontaneous healing necessitates intervention to provide for alternative options to restore stability.</w:t>
      </w:r>
    </w:p>
    <w:p w:rsidR="005A6B69" w:rsidRPr="009A4BDC" w:rsidRDefault="005A6B69" w:rsidP="00DB69CE">
      <w:pPr>
        <w:pStyle w:val="Textbody"/>
        <w:spacing w:line="360" w:lineRule="auto"/>
        <w:ind w:firstLineChars="100" w:firstLine="240"/>
        <w:rPr>
          <w:rFonts w:ascii="Book Antiqua" w:hAnsi="Book Antiqua"/>
          <w:sz w:val="24"/>
        </w:rPr>
      </w:pPr>
      <w:r w:rsidRPr="009A4BDC">
        <w:rPr>
          <w:rFonts w:ascii="Book Antiqua" w:eastAsia="･ﾒ･鬣ｮ･ﾎｽﾇ･ｴ Pro W3" w:hAnsi="Book Antiqua"/>
          <w:sz w:val="24"/>
        </w:rPr>
        <w:t xml:space="preserve">Given the clinical success of the </w:t>
      </w:r>
      <w:r w:rsidRPr="00D524B7">
        <w:rPr>
          <w:rFonts w:ascii="Book Antiqua" w:eastAsia="･ﾒ･鬣ｮ･ﾎｽﾇ･ｴ Pro W3" w:hAnsi="Book Antiqua"/>
          <w:sz w:val="24"/>
        </w:rPr>
        <w:t>dynamic intraligamentary stabilization</w:t>
      </w:r>
      <w:r w:rsidRPr="009A4BDC">
        <w:rPr>
          <w:rFonts w:ascii="Book Antiqua" w:eastAsia="･ﾒ･鬣ｮ･ﾎｽﾇ･ｴ Pro W3" w:hAnsi="Book Antiqua"/>
          <w:sz w:val="24"/>
        </w:rPr>
        <w:t xml:space="preserve"> approach in ACL repair</w:t>
      </w:r>
      <w:r w:rsidRPr="009A4BDC">
        <w:rPr>
          <w:rFonts w:ascii="Book Antiqua" w:eastAsia="･ﾒ･鬣ｮ･ﾎｽﾇ･ｴ Pro W3" w:hAnsi="Book Antiqua"/>
          <w:sz w:val="24"/>
          <w:vertAlign w:val="superscript"/>
        </w:rPr>
        <w:t>[11-13]</w:t>
      </w:r>
      <w:r w:rsidRPr="009A4BDC">
        <w:rPr>
          <w:rFonts w:ascii="Book Antiqua" w:eastAsia="･ﾒ･鬣ｮ･ﾎｽﾇ･ｴ Pro W3" w:hAnsi="Book Antiqua"/>
          <w:sz w:val="24"/>
        </w:rPr>
        <w:t xml:space="preserve">, the aim of this study was to provide insight as </w:t>
      </w:r>
      <w:r>
        <w:rPr>
          <w:rFonts w:ascii="Book Antiqua" w:eastAsia="･ﾒ･鬣ｮ･ﾎｽﾇ･ｴ Pro W3" w:hAnsi="Book Antiqua"/>
          <w:sz w:val="24"/>
        </w:rPr>
        <w:t>to whether the collagen patches–</w:t>
      </w:r>
      <w:r w:rsidRPr="009A4BDC">
        <w:rPr>
          <w:rFonts w:ascii="Book Antiqua" w:eastAsia="･ﾒ･鬣ｮ･ﾎｽﾇ･ｴ Pro W3" w:hAnsi="Book Antiqua"/>
          <w:sz w:val="24"/>
        </w:rPr>
        <w:t>which are currently approved and marketed fo</w:t>
      </w:r>
      <w:r>
        <w:rPr>
          <w:rFonts w:ascii="Book Antiqua" w:eastAsia="･ﾒ･鬣ｮ･ﾎｽﾇ･ｴ Pro W3" w:hAnsi="Book Antiqua"/>
          <w:sz w:val="24"/>
        </w:rPr>
        <w:t>r cartilage and meniscus repair–</w:t>
      </w:r>
      <w:r w:rsidRPr="009A4BDC">
        <w:rPr>
          <w:rFonts w:ascii="Book Antiqua" w:eastAsia="･ﾒ･鬣ｮ･ﾎｽﾇ･ｴ Pro W3" w:hAnsi="Book Antiqua"/>
          <w:sz w:val="24"/>
        </w:rPr>
        <w:t xml:space="preserve">are also suitable for ACL repair, and elucidate the extent to which they impact and interact with cells. </w:t>
      </w:r>
      <w:r w:rsidRPr="009A4BDC">
        <w:rPr>
          <w:rFonts w:ascii="Book Antiqua" w:hAnsi="Book Antiqua"/>
          <w:sz w:val="24"/>
        </w:rPr>
        <w:t>For this purpose, we tested two commercially available collagen scaffolds with regards to cell viability, adherence and proliferation of seeded tenocytes (TCs), the primary cell type in ACL tissue</w:t>
      </w:r>
      <w:r w:rsidRPr="009A4BDC">
        <w:rPr>
          <w:rFonts w:ascii="Book Antiqua" w:hAnsi="Book Antiqua"/>
          <w:sz w:val="24"/>
          <w:vertAlign w:val="superscript"/>
        </w:rPr>
        <w:t>[14]</w:t>
      </w:r>
      <w:r w:rsidRPr="009A4BDC">
        <w:rPr>
          <w:rFonts w:ascii="Book Antiqua" w:hAnsi="Book Antiqua"/>
          <w:sz w:val="24"/>
        </w:rPr>
        <w:t>. TCs are considered to be a specific subset of the category of fibroblasts</w:t>
      </w:r>
      <w:r w:rsidRPr="009A4BDC">
        <w:rPr>
          <w:rFonts w:ascii="Book Antiqua" w:hAnsi="Book Antiqua"/>
          <w:sz w:val="24"/>
          <w:vertAlign w:val="superscript"/>
        </w:rPr>
        <w:t>[14]</w:t>
      </w:r>
      <w:r w:rsidRPr="009A4BDC">
        <w:rPr>
          <w:rFonts w:ascii="Book Antiqua" w:hAnsi="Book Antiqua"/>
          <w:sz w:val="24"/>
        </w:rPr>
        <w:t xml:space="preserve">. Ideally, the cells seeded on the scaffold would proliferate and modify the matrix, slowly reconstructing the original tissue. </w:t>
      </w:r>
    </w:p>
    <w:p w:rsidR="005A6B69" w:rsidRPr="009A4BDC" w:rsidRDefault="005A6B69" w:rsidP="00DB69CE">
      <w:pPr>
        <w:pStyle w:val="Textbody"/>
        <w:spacing w:line="360" w:lineRule="auto"/>
        <w:ind w:firstLineChars="100" w:firstLine="240"/>
        <w:rPr>
          <w:rFonts w:ascii="Book Antiqua" w:hAnsi="Book Antiqua"/>
          <w:sz w:val="24"/>
        </w:rPr>
      </w:pPr>
      <w:r w:rsidRPr="009A4BDC">
        <w:rPr>
          <w:rFonts w:ascii="Book Antiqua" w:hAnsi="Book Antiqua"/>
          <w:sz w:val="24"/>
        </w:rPr>
        <w:t>Considering the difficulty of obtaining autologous ACL-derived TCs for common surgical use, we also used bone-marrow derived mesenchymal stem cells (MSCs), which can be easily harvested through bone marrow aspiration, cultured and stimulated to differentiate into a fibroblast phenotype</w:t>
      </w:r>
      <w:r w:rsidRPr="009A4BDC">
        <w:rPr>
          <w:rFonts w:ascii="Book Antiqua" w:hAnsi="Book Antiqua"/>
          <w:sz w:val="24"/>
          <w:vertAlign w:val="superscript"/>
        </w:rPr>
        <w:t>[2,6,15]</w:t>
      </w:r>
      <w:r w:rsidRPr="009A4BDC">
        <w:rPr>
          <w:rFonts w:ascii="Book Antiqua" w:hAnsi="Book Antiqua"/>
          <w:sz w:val="24"/>
        </w:rPr>
        <w:t xml:space="preserve">. Several studies propose MSCs proliferate faster than TCs, and also exhibit a higher survivability </w:t>
      </w:r>
      <w:r w:rsidRPr="009A4BDC">
        <w:rPr>
          <w:rFonts w:ascii="Book Antiqua" w:hAnsi="Book Antiqua"/>
          <w:i/>
          <w:sz w:val="24"/>
        </w:rPr>
        <w:t>in vivo</w:t>
      </w:r>
      <w:r w:rsidRPr="009A4BDC">
        <w:rPr>
          <w:rFonts w:ascii="Book Antiqua" w:hAnsi="Book Antiqua"/>
          <w:sz w:val="24"/>
          <w:vertAlign w:val="superscript"/>
        </w:rPr>
        <w:t>[15]</w:t>
      </w:r>
      <w:r w:rsidRPr="009A4BDC">
        <w:rPr>
          <w:rFonts w:ascii="Book Antiqua" w:hAnsi="Book Antiqua"/>
          <w:sz w:val="24"/>
        </w:rPr>
        <w:t>. Additionally, current literature suggests that MSCs may have an anti-inflammatory effect, providing an additional benefit for their use in tissue engineering</w:t>
      </w:r>
      <w:r w:rsidRPr="009A4BDC">
        <w:rPr>
          <w:rFonts w:ascii="Book Antiqua" w:hAnsi="Book Antiqua"/>
          <w:sz w:val="24"/>
          <w:vertAlign w:val="superscript"/>
        </w:rPr>
        <w:t>[16]</w:t>
      </w:r>
      <w:r w:rsidRPr="009A4BDC">
        <w:rPr>
          <w:rFonts w:ascii="Book Antiqua" w:hAnsi="Book Antiqua"/>
          <w:sz w:val="24"/>
        </w:rPr>
        <w:t>. We were particularly interested whether the MSCs would be able to stimulate the TCs in this in vitro experiment set up.</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Due to the composition of the scaffold materials, we hypothesized that the patches would provide a suitable environment for TCs and lead to cell adherence as well as proliferation and collagen deposition. Furthermore, we expected MSCs to differentiate into a TCs phenotype in co-culture and even more so if cultured on collagen scaffolds rather than cultured on culture inserts. Currently, no unique marker profile for ligaments exists; thus, tendon-like cells are commonly distinguished using a combination of markers, including scleraxis, tenomodulin, tenascin-C, collagen I and collagen III</w:t>
      </w:r>
      <w:r w:rsidRPr="009A4BDC">
        <w:rPr>
          <w:rFonts w:ascii="Book Antiqua" w:hAnsi="Book Antiqua"/>
          <w:color w:val="auto"/>
          <w:vertAlign w:val="superscript"/>
        </w:rPr>
        <w:t>[6,14]</w:t>
      </w:r>
      <w:r w:rsidRPr="009A4BDC">
        <w:rPr>
          <w:rFonts w:ascii="Book Antiqua" w:hAnsi="Book Antiqua"/>
          <w:color w:val="auto"/>
        </w:rPr>
        <w:t xml:space="preserve">. </w:t>
      </w:r>
    </w:p>
    <w:p w:rsidR="005A6B69" w:rsidRPr="009A4BDC" w:rsidRDefault="005A6B69" w:rsidP="00DB69CE">
      <w:pPr>
        <w:pStyle w:val="Textbody"/>
        <w:spacing w:line="360" w:lineRule="auto"/>
        <w:ind w:firstLineChars="100" w:firstLine="240"/>
        <w:rPr>
          <w:rFonts w:ascii="Book Antiqua" w:hAnsi="Book Antiqua"/>
          <w:sz w:val="24"/>
        </w:rPr>
      </w:pPr>
      <w:r w:rsidRPr="009A4BDC">
        <w:rPr>
          <w:rFonts w:ascii="Book Antiqua" w:hAnsi="Book Antiqua"/>
          <w:sz w:val="24"/>
        </w:rPr>
        <w:t xml:space="preserve">Here, we present analyses on cell compatibility for primary ACL-derived TCs and bone-marrow derived MSCs seeded on collagen scaffolds. We investigated the phenotype of these cells using real time </w:t>
      </w:r>
      <w:r w:rsidRPr="00D524B7">
        <w:rPr>
          <w:rFonts w:ascii="Book Antiqua" w:hAnsi="Book Antiqua"/>
          <w:sz w:val="24"/>
        </w:rPr>
        <w:t xml:space="preserve">real time polymerase chain reaction </w:t>
      </w:r>
      <w:r w:rsidRPr="00D524B7">
        <w:rPr>
          <w:rFonts w:ascii="Book Antiqua" w:eastAsia="宋体" w:hAnsi="Book Antiqua"/>
          <w:sz w:val="24"/>
          <w:lang w:eastAsia="zh-CN"/>
        </w:rPr>
        <w:t>(</w:t>
      </w:r>
      <w:r w:rsidRPr="00D524B7">
        <w:rPr>
          <w:rFonts w:ascii="Book Antiqua" w:hAnsi="Book Antiqua"/>
          <w:sz w:val="24"/>
        </w:rPr>
        <w:t>RT-PCR</w:t>
      </w:r>
      <w:r w:rsidRPr="00D524B7">
        <w:rPr>
          <w:rFonts w:ascii="Book Antiqua" w:eastAsia="宋体" w:hAnsi="Book Antiqua"/>
          <w:sz w:val="24"/>
          <w:lang w:eastAsia="zh-CN"/>
        </w:rPr>
        <w:t>)</w:t>
      </w:r>
      <w:r w:rsidRPr="00D524B7">
        <w:rPr>
          <w:rFonts w:ascii="Book Antiqua" w:hAnsi="Book Antiqua"/>
          <w:sz w:val="24"/>
        </w:rPr>
        <w:t xml:space="preserve"> and biochemical analysis in order to judge the </w:t>
      </w:r>
      <w:r w:rsidRPr="009A4BDC">
        <w:rPr>
          <w:rFonts w:ascii="Book Antiqua" w:hAnsi="Book Antiqua"/>
          <w:sz w:val="24"/>
        </w:rPr>
        <w:t xml:space="preserve">suitability of cell-seeded collagen scaffolds for the Ligamys surgery application to “boost” the healing process and possibly to improve the surgery’s outcome. To the best of our knowledge, no studies have been previously published with this aim. </w:t>
      </w:r>
    </w:p>
    <w:p w:rsidR="005A6B69" w:rsidRPr="009A4BDC" w:rsidRDefault="005A6B69" w:rsidP="00D8293D">
      <w:pPr>
        <w:pStyle w:val="Textbody"/>
        <w:spacing w:line="360" w:lineRule="auto"/>
        <w:ind w:firstLine="0"/>
        <w:rPr>
          <w:rFonts w:ascii="Book Antiqua" w:hAnsi="Book Antiqua"/>
          <w:sz w:val="24"/>
        </w:rPr>
      </w:pPr>
    </w:p>
    <w:p w:rsidR="005A6B69" w:rsidRPr="005F7DC3" w:rsidRDefault="005A6B69" w:rsidP="00D8293D">
      <w:pPr>
        <w:autoSpaceDE w:val="0"/>
        <w:autoSpaceDN w:val="0"/>
        <w:adjustRightInd w:val="0"/>
        <w:snapToGrid w:val="0"/>
        <w:spacing w:line="360" w:lineRule="auto"/>
        <w:jc w:val="both"/>
        <w:rPr>
          <w:rFonts w:ascii="Book Antiqua" w:hAnsi="Book Antiqua"/>
          <w:b/>
          <w:lang w:val="en-GB"/>
        </w:rPr>
      </w:pPr>
      <w:r w:rsidRPr="005F7DC3">
        <w:rPr>
          <w:rFonts w:ascii="Book Antiqua" w:hAnsi="Book Antiqua"/>
          <w:b/>
          <w:lang w:val="en-GB"/>
        </w:rPr>
        <w:t>MATERIALS AND METHODS</w:t>
      </w:r>
    </w:p>
    <w:p w:rsidR="005A6B69" w:rsidRPr="00380ED0" w:rsidRDefault="005A6B69" w:rsidP="00D8293D">
      <w:pPr>
        <w:spacing w:line="360" w:lineRule="auto"/>
        <w:jc w:val="both"/>
        <w:rPr>
          <w:rFonts w:ascii="Book Antiqua" w:eastAsia="宋体" w:hAnsi="Book Antiqua"/>
          <w:b/>
          <w:i/>
          <w:color w:val="auto"/>
          <w:lang w:eastAsia="zh-CN"/>
        </w:rPr>
      </w:pPr>
      <w:r w:rsidRPr="009A4BDC">
        <w:rPr>
          <w:rFonts w:ascii="Book Antiqua" w:hAnsi="Book Antiqua"/>
          <w:b/>
          <w:i/>
          <w:color w:val="auto"/>
        </w:rPr>
        <w:t>S</w:t>
      </w:r>
      <w:r>
        <w:rPr>
          <w:rFonts w:ascii="Book Antiqua" w:hAnsi="Book Antiqua"/>
          <w:b/>
          <w:i/>
          <w:color w:val="auto"/>
        </w:rPr>
        <w:t>caffolds and sample preparation</w:t>
      </w:r>
    </w:p>
    <w:p w:rsidR="005A6B69" w:rsidRPr="009A4BDC" w:rsidRDefault="005A6B69" w:rsidP="00D8293D">
      <w:pPr>
        <w:pStyle w:val="Textbody"/>
        <w:spacing w:line="360" w:lineRule="auto"/>
        <w:ind w:firstLine="0"/>
        <w:rPr>
          <w:rFonts w:ascii="Book Antiqua" w:hAnsi="Book Antiqua"/>
          <w:sz w:val="24"/>
        </w:rPr>
      </w:pPr>
      <w:r w:rsidRPr="009A4BDC">
        <w:rPr>
          <w:rFonts w:ascii="Book Antiqua" w:hAnsi="Book Antiqua"/>
          <w:sz w:val="24"/>
        </w:rPr>
        <w:t>Two types of commercially available and CE label approved bio-resorbable collagen scaffolds were tested in the experiments: Novocart© (NC) produced by Tetec AG (Reutlingen, Germany), a B. Braun AG Company, and Chondro-Gide© (CG), produced by Geistlich Pharma AG (Wolhusen, Switzerland). NC is a biphasic collagen-chondroitin sulfate matrix of bovine origin; CG represents a porcine collagen bilayer matrix. Both scaffolds were specifically developed for human chondrocytes and are used clinically in connection with autologous chondrocyte transplantation and autologous matrix-induced chondrogenesis for cartilage regeneration. Here, we investigated these scaffolds for appli</w:t>
      </w:r>
      <w:r>
        <w:rPr>
          <w:rFonts w:ascii="Book Antiqua" w:hAnsi="Book Antiqua"/>
          <w:sz w:val="24"/>
        </w:rPr>
        <w:t>cation in ACL repair (Figures 1</w:t>
      </w:r>
      <w:r>
        <w:rPr>
          <w:rFonts w:ascii="Book Antiqua" w:eastAsia="宋体" w:hAnsi="Book Antiqua"/>
          <w:sz w:val="24"/>
          <w:lang w:eastAsia="zh-CN"/>
        </w:rPr>
        <w:t xml:space="preserve"> and </w:t>
      </w:r>
      <w:r w:rsidRPr="009A4BDC">
        <w:rPr>
          <w:rFonts w:ascii="Book Antiqua" w:hAnsi="Book Antiqua"/>
          <w:sz w:val="24"/>
        </w:rPr>
        <w:t>2). The NC and CG scaffolds comprise a porous sponge and an adhering compact membrane to protect the cells and the lesion. Cells were seeded on the porous side as intended by its application. The sponge itself consists of fibers, building a three-dimensional structure with interconnecting pores.</w:t>
      </w:r>
    </w:p>
    <w:p w:rsidR="005A6B69" w:rsidRPr="009A4BDC" w:rsidRDefault="005A6B69" w:rsidP="00DB69CE">
      <w:pPr>
        <w:pStyle w:val="Textbody"/>
        <w:spacing w:line="360" w:lineRule="auto"/>
        <w:ind w:firstLineChars="100" w:firstLine="240"/>
        <w:rPr>
          <w:rFonts w:ascii="Book Antiqua" w:hAnsi="Book Antiqua"/>
          <w:sz w:val="24"/>
        </w:rPr>
      </w:pPr>
      <w:r w:rsidRPr="009A4BDC">
        <w:rPr>
          <w:rFonts w:ascii="Book Antiqua" w:hAnsi="Book Antiqua"/>
          <w:sz w:val="24"/>
        </w:rPr>
        <w:t>Prior to cell seeding, the scaffolds were cut in equally sized samples using an 8 mm sterile biopsy punch (Kai Medical, Polymed Inc., Glattbrugg, Switzerland) and then soaked in high glucose Dulbecco’s Modified Eagle’s Medium (</w:t>
      </w:r>
      <w:r w:rsidRPr="00D524B7">
        <w:rPr>
          <w:rFonts w:ascii="Book Antiqua" w:hAnsi="Book Antiqua"/>
          <w:sz w:val="24"/>
        </w:rPr>
        <w:t>HG-DMEM</w:t>
      </w:r>
      <w:r w:rsidRPr="009A4BDC">
        <w:rPr>
          <w:rFonts w:ascii="Book Antiqua" w:hAnsi="Book Antiqua"/>
          <w:sz w:val="24"/>
        </w:rPr>
        <w:t xml:space="preserve">), Gibco, Life Technologies, Zug, Switzerland) with 10% fetal calf serum </w:t>
      </w:r>
      <w:r w:rsidRPr="00FB78D6">
        <w:rPr>
          <w:rFonts w:ascii="Book Antiqua" w:hAnsi="Book Antiqua"/>
          <w:sz w:val="24"/>
        </w:rPr>
        <w:t>(FCS)</w:t>
      </w:r>
      <w:r w:rsidRPr="009A4BDC">
        <w:rPr>
          <w:rFonts w:ascii="Book Antiqua" w:hAnsi="Book Antiqua"/>
          <w:sz w:val="24"/>
        </w:rPr>
        <w:t xml:space="preserve"> and 1x penicillin-streptomycin (P/S) (all Sigma-Aldrich, Buchs, Switzerland). </w:t>
      </w:r>
      <w:r>
        <w:rPr>
          <w:rFonts w:ascii="Book Antiqua" w:hAnsi="Book Antiqua"/>
          <w:sz w:val="24"/>
        </w:rPr>
        <w:t>The patches were seeded with 40</w:t>
      </w:r>
      <w:r w:rsidRPr="009A4BDC">
        <w:rPr>
          <w:rFonts w:ascii="Book Antiqua" w:hAnsi="Book Antiqua"/>
          <w:sz w:val="24"/>
        </w:rPr>
        <w:t>000 cells; in addition, material only controls were also cultured under the same culture conditions.</w:t>
      </w:r>
    </w:p>
    <w:p w:rsidR="005A6B69" w:rsidRPr="009A4BDC" w:rsidRDefault="005A6B69" w:rsidP="00D8293D">
      <w:pPr>
        <w:pStyle w:val="Textbody"/>
        <w:spacing w:line="360" w:lineRule="auto"/>
        <w:ind w:firstLine="432"/>
        <w:rPr>
          <w:rFonts w:ascii="Book Antiqua" w:hAnsi="Book Antiqua"/>
          <w:sz w:val="24"/>
        </w:rPr>
      </w:pPr>
    </w:p>
    <w:p w:rsidR="005A6B69" w:rsidRPr="00380ED0" w:rsidRDefault="005A6B69" w:rsidP="00D8293D">
      <w:pPr>
        <w:spacing w:line="360" w:lineRule="auto"/>
        <w:jc w:val="both"/>
        <w:rPr>
          <w:rFonts w:ascii="Book Antiqua" w:eastAsia="宋体" w:hAnsi="Book Antiqua"/>
          <w:b/>
          <w:i/>
          <w:color w:val="auto"/>
          <w:lang w:eastAsia="zh-CN"/>
        </w:rPr>
      </w:pPr>
      <w:r>
        <w:rPr>
          <w:rFonts w:ascii="Book Antiqua" w:hAnsi="Book Antiqua"/>
          <w:b/>
          <w:i/>
          <w:color w:val="auto"/>
        </w:rPr>
        <w:t>Cell source and culture</w:t>
      </w:r>
    </w:p>
    <w:p w:rsidR="005A6B69" w:rsidRPr="009A4BDC" w:rsidRDefault="005A6B69" w:rsidP="00D8293D">
      <w:pPr>
        <w:widowControl w:val="0"/>
        <w:autoSpaceDE w:val="0"/>
        <w:autoSpaceDN w:val="0"/>
        <w:adjustRightInd w:val="0"/>
        <w:spacing w:line="360" w:lineRule="auto"/>
        <w:jc w:val="both"/>
        <w:rPr>
          <w:rFonts w:ascii="Book Antiqua" w:hAnsi="Book Antiqua"/>
          <w:color w:val="auto"/>
        </w:rPr>
      </w:pPr>
      <w:r w:rsidRPr="009A4BDC">
        <w:rPr>
          <w:rFonts w:ascii="Book Antiqua" w:hAnsi="Book Antiqua"/>
          <w:color w:val="auto"/>
        </w:rPr>
        <w:t xml:space="preserve">Primary ACL derived </w:t>
      </w:r>
      <w:r w:rsidRPr="00FB78D6">
        <w:rPr>
          <w:rFonts w:ascii="Book Antiqua" w:hAnsi="Book Antiqua"/>
          <w:color w:val="auto"/>
        </w:rPr>
        <w:t>TCs</w:t>
      </w:r>
      <w:r w:rsidRPr="009A4BDC">
        <w:rPr>
          <w:rFonts w:ascii="Book Antiqua" w:hAnsi="Book Antiqua"/>
          <w:color w:val="auto"/>
        </w:rPr>
        <w:t xml:space="preserve"> were isolated from ACL tissue obtained from full-knee prosthesis surgery (ethical approval was obtained from the local committee: KEK registration 22-12-13). Primary TCs were isolated by cutting the tissue in smaller pieces of ~4 mm</w:t>
      </w:r>
      <w:r w:rsidRPr="009A4BDC">
        <w:rPr>
          <w:rFonts w:ascii="Book Antiqua" w:hAnsi="Book Antiqua"/>
          <w:color w:val="auto"/>
          <w:vertAlign w:val="superscript"/>
        </w:rPr>
        <w:t>3</w:t>
      </w:r>
      <w:r w:rsidRPr="009A4BDC">
        <w:rPr>
          <w:rFonts w:ascii="Book Antiqua" w:hAnsi="Book Antiqua"/>
          <w:color w:val="auto"/>
        </w:rPr>
        <w:t xml:space="preserve"> pieces, then washed in phosphate buffered saline </w:t>
      </w:r>
      <w:r w:rsidRPr="00FB78D6">
        <w:rPr>
          <w:rFonts w:ascii="Book Antiqua" w:hAnsi="Book Antiqua"/>
          <w:color w:val="auto"/>
        </w:rPr>
        <w:t>(PBS)</w:t>
      </w:r>
      <w:r w:rsidRPr="009A4BDC">
        <w:rPr>
          <w:rFonts w:ascii="Book Antiqua" w:hAnsi="Book Antiqua"/>
          <w:color w:val="auto"/>
        </w:rPr>
        <w:t xml:space="preserve"> twice and digested overnight in collagenase 2 (Worthington, London, </w:t>
      </w:r>
      <w:r w:rsidRPr="00FB78D6">
        <w:rPr>
          <w:rFonts w:ascii="Book Antiqua" w:hAnsi="Book Antiqua"/>
          <w:color w:val="auto"/>
        </w:rPr>
        <w:t>United Kingdom</w:t>
      </w:r>
      <w:r w:rsidRPr="009A4BDC">
        <w:rPr>
          <w:rFonts w:ascii="Book Antiqua" w:hAnsi="Book Antiqua"/>
          <w:color w:val="auto"/>
        </w:rPr>
        <w:t>) at 37°C, under constant shaking at 10 RPM. The released cells were filtered with a 100 µm cell strainer (BD Falcon, Switzerland) and seeded at a density o</w:t>
      </w:r>
      <w:r w:rsidRPr="00F378F8">
        <w:rPr>
          <w:rFonts w:ascii="Book Antiqua" w:hAnsi="Book Antiqua"/>
          <w:color w:val="auto"/>
        </w:rPr>
        <w:t xml:space="preserve">f </w:t>
      </w:r>
      <w:r>
        <w:rPr>
          <w:rFonts w:ascii="Book Antiqua" w:hAnsi="Book Antiqua"/>
          <w:color w:val="auto"/>
        </w:rPr>
        <w:t>1</w:t>
      </w:r>
      <w:r w:rsidRPr="00F378F8">
        <w:rPr>
          <w:rFonts w:ascii="Book Antiqua" w:hAnsi="Book Antiqua"/>
          <w:color w:val="auto"/>
        </w:rPr>
        <w:t>000 cells/cm</w:t>
      </w:r>
      <w:r w:rsidRPr="00F378F8">
        <w:rPr>
          <w:rFonts w:ascii="Book Antiqua" w:hAnsi="Book Antiqua"/>
          <w:color w:val="auto"/>
          <w:vertAlign w:val="superscript"/>
        </w:rPr>
        <w:t>2</w:t>
      </w:r>
      <w:r w:rsidRPr="009A4BDC">
        <w:rPr>
          <w:rFonts w:ascii="Book Antiqua" w:hAnsi="Book Antiqua"/>
          <w:color w:val="auto"/>
        </w:rPr>
        <w:t xml:space="preserve"> for monolayer expansion in HG-DMEM + 10% FCS. With written consent human bone marrow was obtained from patients ages 55-84 undergoing hip or spine surgery. The procedure was approved by the Ethics Office of the Canton of Bern (KEK # 187/10), all patients gave their informed consent prior to their inclusion in the study. Human MSCs were amplified from the mononuclear cell fraction after density gradient centrifugation (Histopaque-1077, Sigma) by selection for plastic adherence for 2-3 passages. The MSCs were expanded using </w:t>
      </w:r>
      <w:r>
        <w:rPr>
          <w:rFonts w:ascii="Book Antiqua" w:hAnsi="Book Antiqua"/>
          <w:color w:val="auto"/>
        </w:rPr>
        <w:t>α-Minimal Essential Medium (α</w:t>
      </w:r>
      <w:r w:rsidRPr="009A4BDC">
        <w:rPr>
          <w:rFonts w:ascii="Book Antiqua" w:hAnsi="Book Antiqua"/>
          <w:color w:val="auto"/>
        </w:rPr>
        <w:t>-MEM) with 10% FCS, 100 µg/mL penicillin, 100 UI/mL streptomycin, and 5 ng/mL bFGF-2</w:t>
      </w:r>
      <w:r w:rsidRPr="009A4BDC">
        <w:rPr>
          <w:rFonts w:ascii="Book Antiqua" w:hAnsi="Book Antiqua"/>
          <w:color w:val="auto"/>
          <w:vertAlign w:val="superscript"/>
        </w:rPr>
        <w:t>[17]</w:t>
      </w:r>
      <w:r w:rsidRPr="009A4BDC">
        <w:rPr>
          <w:rFonts w:ascii="Book Antiqua" w:hAnsi="Book Antiqua"/>
          <w:color w:val="auto"/>
        </w:rPr>
        <w:t>.</w:t>
      </w:r>
    </w:p>
    <w:p w:rsidR="005A6B69" w:rsidRPr="009A4BDC" w:rsidRDefault="005A6B69" w:rsidP="00D8293D">
      <w:pPr>
        <w:spacing w:line="360" w:lineRule="auto"/>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Scaffold seeding</w:t>
      </w:r>
    </w:p>
    <w:p w:rsidR="005A6B69" w:rsidRPr="009A4BDC" w:rsidRDefault="005A6B69" w:rsidP="00D8293D">
      <w:pPr>
        <w:tabs>
          <w:tab w:val="right" w:pos="8286"/>
        </w:tabs>
        <w:spacing w:line="360" w:lineRule="auto"/>
        <w:jc w:val="both"/>
        <w:rPr>
          <w:rFonts w:ascii="Book Antiqua" w:hAnsi="Book Antiqua"/>
          <w:color w:val="auto"/>
        </w:rPr>
      </w:pPr>
      <w:r w:rsidRPr="009A4BDC">
        <w:rPr>
          <w:rFonts w:ascii="Book Antiqua" w:hAnsi="Book Antiqua"/>
          <w:color w:val="auto"/>
        </w:rPr>
        <w:t>Scaffolds that were seeded cont</w:t>
      </w:r>
      <w:r>
        <w:rPr>
          <w:rFonts w:ascii="Book Antiqua" w:hAnsi="Book Antiqua"/>
          <w:color w:val="auto"/>
        </w:rPr>
        <w:t>ained either a single cell type–human MSCs or human TCs</w:t>
      </w:r>
      <w:r w:rsidRPr="009A4BDC">
        <w:rPr>
          <w:rFonts w:ascii="Book Antiqua" w:hAnsi="Book Antiqua"/>
          <w:color w:val="auto"/>
        </w:rPr>
        <w:t>– or a combination of both cell types (Figure 3). For the samples containing co-cultures, the two cell types were mixed in a ratio of 1:1 prior to seeding; recent literature demonstrates that this provides the most effective ratio</w:t>
      </w:r>
      <w:r w:rsidRPr="009A4BDC">
        <w:rPr>
          <w:rFonts w:ascii="Book Antiqua" w:hAnsi="Book Antiqua"/>
          <w:color w:val="auto"/>
          <w:vertAlign w:val="superscript"/>
        </w:rPr>
        <w:t>[16]</w:t>
      </w:r>
      <w:r w:rsidRPr="009A4BDC">
        <w:rPr>
          <w:rFonts w:ascii="Book Antiqua" w:hAnsi="Book Antiqua"/>
          <w:color w:val="auto"/>
        </w:rPr>
        <w:t>. All patches were placed in 12 well plates, and the samples were incubated for approximately one hour prior to adding 2</w:t>
      </w:r>
      <w:r>
        <w:rPr>
          <w:rFonts w:ascii="Book Antiqua" w:eastAsia="宋体" w:hAnsi="Book Antiqua"/>
          <w:color w:val="auto"/>
          <w:lang w:eastAsia="zh-CN"/>
        </w:rPr>
        <w:t xml:space="preserve"> </w:t>
      </w:r>
      <w:r w:rsidRPr="009A4BDC">
        <w:rPr>
          <w:rFonts w:ascii="Book Antiqua" w:hAnsi="Book Antiqua"/>
          <w:color w:val="auto"/>
        </w:rPr>
        <w:t>mL medium to each well, in order to give the cells time to adhere to the patch.</w:t>
      </w:r>
    </w:p>
    <w:p w:rsidR="005A6B69" w:rsidRPr="009A4BDC" w:rsidRDefault="005A6B69" w:rsidP="00D8293D">
      <w:pPr>
        <w:tabs>
          <w:tab w:val="right" w:pos="8286"/>
        </w:tabs>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Monolayer cultures</w:t>
      </w:r>
    </w:p>
    <w:p w:rsidR="005A6B69" w:rsidRPr="009A4BDC" w:rsidRDefault="005A6B69" w:rsidP="00D8293D">
      <w:pPr>
        <w:tabs>
          <w:tab w:val="right" w:pos="8286"/>
        </w:tabs>
        <w:spacing w:line="360" w:lineRule="auto"/>
        <w:jc w:val="both"/>
        <w:rPr>
          <w:rFonts w:ascii="Book Antiqua" w:hAnsi="Book Antiqua"/>
          <w:color w:val="auto"/>
        </w:rPr>
      </w:pPr>
      <w:r w:rsidRPr="009A4BDC">
        <w:rPr>
          <w:rFonts w:ascii="Book Antiqua" w:hAnsi="Book Antiqua"/>
          <w:color w:val="auto"/>
        </w:rPr>
        <w:t>In addition to the scaffold samples, we also grew monolayer cell cultures as well as co-cultures using translucent inserts (Falcon, 6 well cell culture inserts, 0.4</w:t>
      </w:r>
      <w:r>
        <w:rPr>
          <w:rFonts w:ascii="Book Antiqua" w:eastAsia="宋体" w:hAnsi="Book Antiqua"/>
          <w:color w:val="auto"/>
          <w:lang w:eastAsia="zh-CN"/>
        </w:rPr>
        <w:t xml:space="preserve"> </w:t>
      </w:r>
      <w:r w:rsidRPr="009A4BDC">
        <w:rPr>
          <w:rFonts w:ascii="Book Antiqua" w:hAnsi="Book Antiqua"/>
          <w:color w:val="auto"/>
        </w:rPr>
        <w:t xml:space="preserve">μm PET high density pores, Falcon™, BD Biosciences, Allschwil) in 6 well plates (Falcon™). The single cell population monolayer controls served as reference samples for the real-time PCR results, while the inserts allowed us to evaluate changes in MSCs gene expression in co-culture. Separating the MSCs and TCs cultures with inserts made it possible to attribute the relative gene expression results of cells in co-culture to the correct cell type. The pore size was chosen to facilitate cell-cell contact between the two cell types, without allowing for cell migration between the two cell populations. This setup allowed us to observe whether cell-cell contact permits differentiation of MSCs into TCs phenotype. </w:t>
      </w:r>
    </w:p>
    <w:p w:rsidR="005A6B69" w:rsidRPr="009A4BDC" w:rsidRDefault="005A6B69" w:rsidP="00DB69CE">
      <w:pPr>
        <w:tabs>
          <w:tab w:val="right" w:pos="8286"/>
        </w:tabs>
        <w:spacing w:line="360" w:lineRule="auto"/>
        <w:ind w:firstLineChars="100" w:firstLine="240"/>
        <w:jc w:val="both"/>
        <w:rPr>
          <w:rFonts w:ascii="Book Antiqua" w:hAnsi="Book Antiqua"/>
          <w:color w:val="auto"/>
        </w:rPr>
      </w:pPr>
      <w:r w:rsidRPr="009A4BDC">
        <w:rPr>
          <w:rFonts w:ascii="Book Antiqua" w:hAnsi="Book Antiqua"/>
          <w:color w:val="auto"/>
        </w:rPr>
        <w:t>The co-culture for the gene expression analysis was set up as follows: culture inserts wer</w:t>
      </w:r>
      <w:r>
        <w:rPr>
          <w:rFonts w:ascii="Book Antiqua" w:hAnsi="Book Antiqua"/>
          <w:color w:val="auto"/>
        </w:rPr>
        <w:t>e seeded on the bottom with 100</w:t>
      </w:r>
      <w:r w:rsidRPr="009A4BDC">
        <w:rPr>
          <w:rFonts w:ascii="Book Antiqua" w:hAnsi="Book Antiqua"/>
          <w:color w:val="auto"/>
        </w:rPr>
        <w:t>000 MSCs. 200</w:t>
      </w:r>
      <w:r>
        <w:rPr>
          <w:rFonts w:ascii="Book Antiqua" w:eastAsia="宋体" w:hAnsi="Book Antiqua"/>
          <w:color w:val="auto"/>
          <w:lang w:eastAsia="zh-CN"/>
        </w:rPr>
        <w:t xml:space="preserve"> </w:t>
      </w:r>
      <w:r w:rsidRPr="009A4BDC">
        <w:rPr>
          <w:rFonts w:ascii="Book Antiqua" w:hAnsi="Book Antiqua"/>
          <w:color w:val="auto"/>
        </w:rPr>
        <w:t>μL HG-DMEM medium with 10% FCS and 1x P/S was added to the layer of MSCs. The inserts, bottom side facing up, were placed on a petri dish, covered w</w:t>
      </w:r>
      <w:r>
        <w:rPr>
          <w:rFonts w:ascii="Book Antiqua" w:hAnsi="Book Antiqua"/>
          <w:color w:val="auto"/>
        </w:rPr>
        <w:t>ith a beaker and placed in a 37</w:t>
      </w:r>
      <w:r w:rsidRPr="009A4BDC">
        <w:rPr>
          <w:rFonts w:ascii="Book Antiqua" w:hAnsi="Book Antiqua"/>
          <w:color w:val="auto"/>
        </w:rPr>
        <w:t>°C incubator for 1 h. Within this timeframe, the MSCs adhered to the insert, as has been shown in previous studies by our group</w:t>
      </w:r>
      <w:r w:rsidRPr="009A4BDC">
        <w:rPr>
          <w:rFonts w:ascii="Book Antiqua" w:hAnsi="Book Antiqua"/>
          <w:color w:val="auto"/>
          <w:vertAlign w:val="superscript"/>
        </w:rPr>
        <w:t>[18]</w:t>
      </w:r>
      <w:r w:rsidRPr="009A4BDC">
        <w:rPr>
          <w:rFonts w:ascii="Book Antiqua" w:hAnsi="Book Antiqua"/>
          <w:color w:val="auto"/>
        </w:rPr>
        <w:t>. Subsequently, the other side of the insert was also seeded with the same number of TCs.</w:t>
      </w:r>
    </w:p>
    <w:p w:rsidR="005A6B69" w:rsidRPr="009A4BDC" w:rsidRDefault="005A6B69" w:rsidP="00D8293D">
      <w:pPr>
        <w:tabs>
          <w:tab w:val="right" w:pos="8286"/>
        </w:tabs>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color w:val="auto"/>
        </w:rPr>
      </w:pPr>
      <w:r w:rsidRPr="009A4BDC">
        <w:rPr>
          <w:rFonts w:ascii="Book Antiqua" w:hAnsi="Book Antiqua"/>
          <w:b/>
          <w:i/>
          <w:color w:val="auto"/>
        </w:rPr>
        <w:t>Resazurin Sodium Salt Metabolic Cell Activity Assay</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Patches were incubated at 37°C on a shaker for 5 h with resazurin red solution to measure mitochondrial activity as described in</w:t>
      </w:r>
      <w:r w:rsidRPr="009A4BDC">
        <w:rPr>
          <w:rFonts w:ascii="Book Antiqua" w:hAnsi="Book Antiqua"/>
          <w:color w:val="auto"/>
          <w:vertAlign w:val="superscript"/>
        </w:rPr>
        <w:t>[19]</w:t>
      </w:r>
      <w:r w:rsidRPr="009A4BDC">
        <w:rPr>
          <w:rFonts w:ascii="Book Antiqua" w:hAnsi="Book Antiqua"/>
          <w:color w:val="auto"/>
        </w:rPr>
        <w:t>. Resazurin is a nontoxic, cell-permeable compound that is blue in color and virtually non-fluorescent. Upon entry into cells, resazurin is reduced to resorufin, which emits very bright red fluorescence. The amount of fluorescence or absorbance is proportional to the number of living cells (the linearity of transformation was evaluated based on primary cel</w:t>
      </w:r>
      <w:r>
        <w:rPr>
          <w:rFonts w:ascii="Book Antiqua" w:hAnsi="Book Antiqua"/>
          <w:color w:val="auto"/>
        </w:rPr>
        <w:t>ls) and corresponds to the cell</w:t>
      </w:r>
      <w:r>
        <w:rPr>
          <w:rFonts w:ascii="Book Antiqua" w:eastAsia="宋体" w:hAnsi="Book Antiqua"/>
          <w:color w:val="auto"/>
          <w:lang w:eastAsia="zh-CN"/>
        </w:rPr>
        <w:t>’</w:t>
      </w:r>
      <w:r w:rsidRPr="009A4BDC">
        <w:rPr>
          <w:rFonts w:ascii="Book Antiqua" w:hAnsi="Book Antiqua"/>
          <w:color w:val="auto"/>
        </w:rPr>
        <w:t>s metabolic activity. The amount of fluorescence was monitored with a Softmax® M5 Pro Multi wavelength fluorescence reader (Molecular Devices, distributed by Bucher Biotec, Switzerland) at excitation 547 nm and emission wavelength 582 nm.</w:t>
      </w:r>
    </w:p>
    <w:p w:rsidR="005A6B69" w:rsidRPr="009A4BDC" w:rsidRDefault="005A6B69" w:rsidP="00D829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 xml:space="preserve">Quantification of DNA, </w:t>
      </w:r>
      <w:r w:rsidRPr="00FB78D6">
        <w:rPr>
          <w:rFonts w:ascii="Book Antiqua" w:hAnsi="Book Antiqua"/>
          <w:b/>
          <w:i/>
          <w:color w:val="auto"/>
        </w:rPr>
        <w:t>glycosaminoglycan</w:t>
      </w:r>
      <w:r w:rsidRPr="009A4BDC">
        <w:rPr>
          <w:rFonts w:ascii="Book Antiqua" w:hAnsi="Book Antiqua"/>
          <w:b/>
          <w:i/>
          <w:color w:val="auto"/>
        </w:rPr>
        <w:t xml:space="preserve"> and HYP Content</w:t>
      </w:r>
    </w:p>
    <w:p w:rsidR="005A6B69" w:rsidRPr="009A4BDC" w:rsidRDefault="005A6B69" w:rsidP="00D8293D">
      <w:pPr>
        <w:widowControl w:val="0"/>
        <w:tabs>
          <w:tab w:val="left" w:pos="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olor w:val="auto"/>
        </w:rPr>
      </w:pPr>
      <w:r w:rsidRPr="009A4BDC">
        <w:rPr>
          <w:rFonts w:ascii="Book Antiqua" w:hAnsi="Book Antiqua"/>
          <w:color w:val="auto"/>
        </w:rPr>
        <w:tab/>
        <w:t xml:space="preserve">For biochemical analysis, dry-weight of each sample was measured and then each sample was digested with papain. We used the dimethylmethylene blue (DMMB) dye method to analyze the digested samples for sulphated </w:t>
      </w:r>
      <w:r w:rsidRPr="00FB78D6">
        <w:rPr>
          <w:rFonts w:ascii="Book Antiqua" w:hAnsi="Book Antiqua"/>
          <w:color w:val="auto"/>
        </w:rPr>
        <w:t>glycosaminoglycans</w:t>
      </w:r>
      <w:r w:rsidRPr="00FB78D6">
        <w:rPr>
          <w:rFonts w:ascii="Book Antiqua" w:eastAsia="宋体" w:hAnsi="Book Antiqua"/>
          <w:color w:val="auto"/>
          <w:lang w:eastAsia="zh-CN"/>
        </w:rPr>
        <w:t xml:space="preserve"> (GAGs)</w:t>
      </w:r>
      <w:r w:rsidRPr="00FB78D6">
        <w:rPr>
          <w:rFonts w:ascii="Book Antiqua" w:hAnsi="Book Antiqua"/>
          <w:color w:val="auto"/>
        </w:rPr>
        <w:t>,</w:t>
      </w:r>
      <w:r w:rsidRPr="009A4BDC">
        <w:rPr>
          <w:rFonts w:ascii="Book Antiqua" w:hAnsi="Book Antiqua"/>
          <w:color w:val="auto"/>
        </w:rPr>
        <w:t xml:space="preserve"> using bovine chondroitin sulfate as standard. Total collagen content was determined based on the hydroxy-proline content after acid hydrolysis and reaction with p-dimethyl-amino-benz-aldehyde and chloramine-T</w:t>
      </w:r>
      <w:r w:rsidRPr="009A4BDC">
        <w:rPr>
          <w:rFonts w:ascii="Book Antiqua" w:hAnsi="Book Antiqua"/>
          <w:color w:val="auto"/>
          <w:vertAlign w:val="superscript"/>
        </w:rPr>
        <w:t>[20,21]</w:t>
      </w:r>
      <w:r w:rsidRPr="009A4BDC">
        <w:rPr>
          <w:rFonts w:ascii="Book Antiqua" w:hAnsi="Book Antiqua"/>
          <w:color w:val="auto"/>
        </w:rPr>
        <w:t>.</w:t>
      </w:r>
    </w:p>
    <w:p w:rsidR="005A6B69" w:rsidRPr="009A4BDC" w:rsidRDefault="005A6B69" w:rsidP="00D8293D">
      <w:pPr>
        <w:spacing w:line="360" w:lineRule="auto"/>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RT-PCR</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All samples were frozen down on day 0 and day 7 of each experiment, except for two samples collected during the pilot experiment, which were collected on day 8 (NC patch with TCs and NC patch with MSCs). RNA extraction </w:t>
      </w:r>
      <w:r>
        <w:rPr>
          <w:rFonts w:ascii="Book Antiqua" w:hAnsi="Book Antiqua"/>
          <w:color w:val="auto"/>
        </w:rPr>
        <w:t xml:space="preserve">was performed with TRI reagent </w:t>
      </w:r>
      <w:r>
        <w:rPr>
          <w:rFonts w:ascii="Book Antiqua" w:eastAsia="宋体" w:hAnsi="Book Antiqua"/>
          <w:color w:val="auto"/>
          <w:lang w:eastAsia="zh-CN"/>
        </w:rPr>
        <w:t>[</w:t>
      </w:r>
      <w:r w:rsidRPr="009A4BDC">
        <w:rPr>
          <w:rFonts w:ascii="Book Antiqua" w:hAnsi="Book Antiqua"/>
          <w:color w:val="auto"/>
        </w:rPr>
        <w:t xml:space="preserve">Molecular Research Center </w:t>
      </w:r>
      <w:r>
        <w:rPr>
          <w:rFonts w:ascii="Book Antiqua" w:eastAsia="宋体" w:hAnsi="Book Antiqua"/>
          <w:color w:val="auto"/>
          <w:lang w:eastAsia="zh-CN"/>
        </w:rPr>
        <w:t>(</w:t>
      </w:r>
      <w:r>
        <w:rPr>
          <w:rFonts w:ascii="Book Antiqua" w:hAnsi="Book Antiqua"/>
          <w:color w:val="auto"/>
        </w:rPr>
        <w:t>MRC</w:t>
      </w:r>
      <w:r>
        <w:rPr>
          <w:rFonts w:ascii="Book Antiqua" w:eastAsia="宋体" w:hAnsi="Book Antiqua"/>
          <w:color w:val="auto"/>
          <w:lang w:eastAsia="zh-CN"/>
        </w:rPr>
        <w:t>)</w:t>
      </w:r>
      <w:r>
        <w:rPr>
          <w:rFonts w:ascii="Book Antiqua" w:hAnsi="Book Antiqua"/>
          <w:color w:val="auto"/>
        </w:rPr>
        <w:t>, Cincinnati, MA, US</w:t>
      </w:r>
      <w:r>
        <w:rPr>
          <w:rFonts w:ascii="Book Antiqua" w:eastAsia="宋体" w:hAnsi="Book Antiqua"/>
          <w:color w:val="auto"/>
          <w:lang w:eastAsia="zh-CN"/>
        </w:rPr>
        <w:t>]</w:t>
      </w:r>
      <w:r w:rsidRPr="009A4BDC">
        <w:rPr>
          <w:rFonts w:ascii="Book Antiqua" w:hAnsi="Book Antiqua"/>
          <w:color w:val="auto"/>
        </w:rPr>
        <w:t>, polyacrylcarrier (MRC), 100% molecular grade ethanol, 1-bromo-3-chloropropane (BCP, Sigma Aldrich), GenElute miniprep kit, and the AMP-D1 DNase I Kit which contains both DNase I and 10x DNase Digest Buffer (all Sigma Aldrich). The same process was followed for all samples, except that the scaffold samples were subject to an additional step, since those samples had been snap frozen in liquid nitrogen on day 7 of the experiments and placed in -80°C without any RNA protective solution. In order to perform RNA extraction on those samples, the scaffold samples were first ground using a mortar pre-cooled with liquid nitrogen, then immediately placed in a solution containing 1</w:t>
      </w:r>
      <w:r>
        <w:rPr>
          <w:rFonts w:ascii="Book Antiqua" w:eastAsia="宋体" w:hAnsi="Book Antiqua"/>
          <w:color w:val="auto"/>
          <w:lang w:eastAsia="zh-CN"/>
        </w:rPr>
        <w:t xml:space="preserve"> </w:t>
      </w:r>
      <w:r w:rsidRPr="009A4BDC">
        <w:rPr>
          <w:rFonts w:ascii="Book Antiqua" w:hAnsi="Book Antiqua"/>
          <w:color w:val="auto"/>
        </w:rPr>
        <w:t>mL TRI and 5</w:t>
      </w:r>
      <w:r>
        <w:rPr>
          <w:rFonts w:ascii="Book Antiqua" w:eastAsia="宋体" w:hAnsi="Book Antiqua"/>
          <w:color w:val="auto"/>
          <w:lang w:eastAsia="zh-CN"/>
        </w:rPr>
        <w:t xml:space="preserve"> </w:t>
      </w:r>
      <w:r w:rsidRPr="009A4BDC">
        <w:rPr>
          <w:rFonts w:ascii="Book Antiqua" w:hAnsi="Book Antiqua"/>
          <w:color w:val="auto"/>
        </w:rPr>
        <w:t>μL polyacrylcarrier. The samp</w:t>
      </w:r>
      <w:r>
        <w:rPr>
          <w:rFonts w:ascii="Book Antiqua" w:hAnsi="Book Antiqua"/>
          <w:color w:val="auto"/>
        </w:rPr>
        <w:t>les were then centrifuged at 16</w:t>
      </w:r>
      <w:r w:rsidRPr="009A4BDC">
        <w:rPr>
          <w:rFonts w:ascii="Book Antiqua" w:hAnsi="Book Antiqua"/>
          <w:color w:val="auto"/>
        </w:rPr>
        <w:t>000</w:t>
      </w:r>
      <w:r>
        <w:rPr>
          <w:rFonts w:ascii="Book Antiqua" w:eastAsia="宋体" w:hAnsi="Book Antiqua"/>
          <w:color w:val="auto"/>
          <w:lang w:eastAsia="zh-CN"/>
        </w:rPr>
        <w:t xml:space="preserve"> </w:t>
      </w:r>
      <w:r w:rsidRPr="009A4BDC">
        <w:rPr>
          <w:rFonts w:ascii="Book Antiqua" w:hAnsi="Book Antiqua"/>
          <w:color w:val="auto"/>
        </w:rPr>
        <w:t xml:space="preserve">g to separate the scaffold debris from the solution. cDNA synthesis was performed with the iScript cDNA synthesis kit (Bio-Rad Laboratories, Cressier, Switzerland). For each sample, 20 μL reaction mix was set up containing 10 μL </w:t>
      </w:r>
      <w:r>
        <w:rPr>
          <w:rFonts w:ascii="Book Antiqua" w:hAnsi="Book Antiqua"/>
          <w:color w:val="auto"/>
        </w:rPr>
        <w:t>RNA template (about 0.5-</w:t>
      </w:r>
      <w:r w:rsidRPr="009A4BDC">
        <w:rPr>
          <w:rFonts w:ascii="Book Antiqua" w:hAnsi="Book Antiqua"/>
          <w:color w:val="auto"/>
        </w:rPr>
        <w:t>1 μg total RNA), 4</w:t>
      </w:r>
      <w:r>
        <w:rPr>
          <w:rFonts w:ascii="Book Antiqua" w:eastAsia="宋体" w:hAnsi="Book Antiqua"/>
          <w:color w:val="auto"/>
          <w:lang w:eastAsia="zh-CN"/>
        </w:rPr>
        <w:t xml:space="preserve"> </w:t>
      </w:r>
      <w:r w:rsidRPr="009A4BDC">
        <w:rPr>
          <w:rFonts w:ascii="Book Antiqua" w:hAnsi="Book Antiqua"/>
          <w:color w:val="auto"/>
        </w:rPr>
        <w:t>μL 5x iScript Reaction Mix, 1</w:t>
      </w:r>
      <w:r>
        <w:rPr>
          <w:rFonts w:ascii="Book Antiqua" w:eastAsia="宋体" w:hAnsi="Book Antiqua"/>
          <w:color w:val="auto"/>
          <w:lang w:eastAsia="zh-CN"/>
        </w:rPr>
        <w:t xml:space="preserve"> </w:t>
      </w:r>
      <w:r w:rsidRPr="009A4BDC">
        <w:rPr>
          <w:rFonts w:ascii="Book Antiqua" w:hAnsi="Book Antiqua"/>
          <w:color w:val="auto"/>
        </w:rPr>
        <w:t>μL iScript Reverse Transcriptase and 5</w:t>
      </w:r>
      <w:r>
        <w:rPr>
          <w:rFonts w:ascii="Book Antiqua" w:eastAsia="宋体" w:hAnsi="Book Antiqua"/>
          <w:color w:val="auto"/>
          <w:lang w:eastAsia="zh-CN"/>
        </w:rPr>
        <w:t xml:space="preserve"> </w:t>
      </w:r>
      <w:r w:rsidRPr="009A4BDC">
        <w:rPr>
          <w:rFonts w:ascii="Book Antiqua" w:hAnsi="Book Antiqua"/>
          <w:color w:val="auto"/>
        </w:rPr>
        <w:t>μL nuclease-free water. After the incubation, the cDNA samples were diluted with 40</w:t>
      </w:r>
      <w:r>
        <w:rPr>
          <w:rFonts w:ascii="Book Antiqua" w:eastAsia="宋体" w:hAnsi="Book Antiqua"/>
          <w:color w:val="auto"/>
          <w:lang w:eastAsia="zh-CN"/>
        </w:rPr>
        <w:t xml:space="preserve"> </w:t>
      </w:r>
      <w:r w:rsidRPr="009A4BDC">
        <w:rPr>
          <w:rFonts w:ascii="Book Antiqua" w:hAnsi="Book Antiqua"/>
          <w:color w:val="auto"/>
        </w:rPr>
        <w:t>μL 1x TE Buffer.</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We evaluated the relative gene expression for the genes we were interested in using human primers (all Microsynth, Balgach, Switzerland; see Table 2 for a detailed list of primers). Separate forward and reverse primers were used to set up the reaction mix, which also contained iQ SYBR Green Supermix2X (Bio-Rad) and RNAse free water. We tested ligament fibroblast markers including scleraxis, tenomodulin, tenascin-C, collagen I and III</w:t>
      </w:r>
      <w:r w:rsidRPr="009A4BDC">
        <w:rPr>
          <w:rFonts w:ascii="Book Antiqua" w:hAnsi="Book Antiqua"/>
          <w:color w:val="auto"/>
          <w:vertAlign w:val="superscript"/>
        </w:rPr>
        <w:t>[6,22]</w:t>
      </w:r>
      <w:r w:rsidRPr="009A4BDC">
        <w:rPr>
          <w:rFonts w:ascii="Book Antiqua" w:hAnsi="Book Antiqua"/>
          <w:color w:val="auto"/>
        </w:rPr>
        <w:t>. In addition, we tested for gene expression of two matrix metalloproteinases (MMPs, enzymes which regulate matrix turnover) MMP3 and 13, aggrecan and collagen type II. MMP3 (stromelysin 1) and MMP13 (collagenase 3) break down collagen and proteoglycans quickly and are known to play a role in ligament remodeling</w:t>
      </w:r>
      <w:r w:rsidRPr="009A4BDC">
        <w:rPr>
          <w:rFonts w:ascii="Book Antiqua" w:hAnsi="Book Antiqua"/>
          <w:color w:val="auto"/>
          <w:vertAlign w:val="superscript"/>
        </w:rPr>
        <w:t>[23]</w:t>
      </w:r>
      <w:r w:rsidRPr="009A4BDC">
        <w:rPr>
          <w:rFonts w:ascii="Book Antiqua" w:hAnsi="Book Antiqua"/>
          <w:color w:val="auto"/>
        </w:rPr>
        <w:t>. Collagen II was used to test that the cells did not differentiate into chondrocyte-like cells. There has been some evidence of increased amounts of proteoglycans in pathological tendons; therefore, gene expression of aggrecan was also evaluated</w:t>
      </w:r>
      <w:r w:rsidRPr="009A4BDC">
        <w:rPr>
          <w:rFonts w:ascii="Book Antiqua" w:hAnsi="Book Antiqua"/>
          <w:color w:val="auto"/>
          <w:vertAlign w:val="superscript"/>
        </w:rPr>
        <w:t>[22]</w:t>
      </w:r>
      <w:r w:rsidRPr="009A4BDC">
        <w:rPr>
          <w:rFonts w:ascii="Book Antiqua" w:hAnsi="Book Antiqua"/>
          <w:color w:val="auto"/>
        </w:rPr>
        <w:t>. To calculate relative gene expression, the Livak method (2</w:t>
      </w:r>
      <w:r w:rsidRPr="009A4BDC">
        <w:rPr>
          <w:rFonts w:ascii="Book Antiqua" w:hAnsi="Book Antiqua"/>
          <w:color w:val="auto"/>
          <w:vertAlign w:val="superscript"/>
        </w:rPr>
        <w:t>-∆∆Ct</w:t>
      </w:r>
      <w:r w:rsidRPr="009A4BDC">
        <w:rPr>
          <w:rFonts w:ascii="Book Antiqua" w:hAnsi="Book Antiqua"/>
          <w:color w:val="auto"/>
        </w:rPr>
        <w:t>)</w:t>
      </w:r>
      <w:r w:rsidRPr="009A4BDC">
        <w:rPr>
          <w:rFonts w:ascii="Book Antiqua" w:hAnsi="Book Antiqua"/>
          <w:color w:val="auto"/>
          <w:vertAlign w:val="superscript"/>
        </w:rPr>
        <w:t>[24]</w:t>
      </w:r>
      <w:r w:rsidRPr="009A4BDC">
        <w:rPr>
          <w:rFonts w:ascii="Book Antiqua" w:hAnsi="Book Antiqua"/>
          <w:color w:val="auto"/>
        </w:rPr>
        <w:t xml:space="preserve"> was used, which makes use of both a calibrator sample and a normalizing reference gene; we applied 18S (ribosomal RNA) as the reference gene for all samples</w:t>
      </w:r>
      <w:r w:rsidRPr="009A4BDC">
        <w:rPr>
          <w:rFonts w:ascii="Book Antiqua" w:hAnsi="Book Antiqua"/>
          <w:color w:val="auto"/>
          <w:vertAlign w:val="superscript"/>
        </w:rPr>
        <w:t>[25]</w:t>
      </w:r>
      <w:r w:rsidRPr="009A4BDC">
        <w:rPr>
          <w:rFonts w:ascii="Book Antiqua" w:hAnsi="Book Antiqua"/>
          <w:color w:val="auto"/>
        </w:rPr>
        <w:t>. Relative gene expression levels for samples were calibrated to day 0 reference samples. Day 7 TCs samples were compared relative to TCs at day 0; day 7 MSCs samples were compared relative to MSCs at day 0 (</w:t>
      </w:r>
      <w:r w:rsidRPr="005F34FD">
        <w:rPr>
          <w:rFonts w:ascii="Book Antiqua" w:hAnsi="Book Antiqua"/>
          <w:i/>
          <w:color w:val="auto"/>
        </w:rPr>
        <w:t>i.e.</w:t>
      </w:r>
      <w:r w:rsidRPr="005F34FD">
        <w:rPr>
          <w:rFonts w:ascii="Book Antiqua" w:eastAsia="宋体" w:hAnsi="Book Antiqua"/>
          <w:color w:val="auto"/>
          <w:lang w:eastAsia="zh-CN"/>
        </w:rPr>
        <w:t>,</w:t>
      </w:r>
      <w:r w:rsidRPr="009A4BDC">
        <w:rPr>
          <w:rFonts w:ascii="Book Antiqua" w:hAnsi="Book Antiqua"/>
          <w:color w:val="auto"/>
        </w:rPr>
        <w:t xml:space="preserve"> expression = 1.0). </w:t>
      </w:r>
    </w:p>
    <w:p w:rsidR="005A6B69" w:rsidRPr="009A4BDC" w:rsidRDefault="005A6B69" w:rsidP="00D8293D">
      <w:pPr>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Microscopy techniques</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Confocal laser scanning microscopy </w:t>
      </w:r>
      <w:r w:rsidRPr="00FB78D6">
        <w:rPr>
          <w:rFonts w:ascii="Book Antiqua" w:hAnsi="Book Antiqua"/>
          <w:color w:val="auto"/>
        </w:rPr>
        <w:t>(cLSM)</w:t>
      </w:r>
      <w:r w:rsidRPr="009A4BDC">
        <w:rPr>
          <w:rFonts w:ascii="Book Antiqua" w:hAnsi="Book Antiqua"/>
          <w:color w:val="auto"/>
        </w:rPr>
        <w:t xml:space="preserve"> was used to confirm visually that cells are able to adhere and proliferate on the scaffolds in the first two experiments. Samples for the cLSM were stained using Vybrant membrane tracker dyes DiO (DiO = green, for MSCs) and DiL (DiL = red, for TCs) (both Molecular Probes, Life Technologies, Basel, Switzerland); these dyes are lipophilic carbocyanines, which integrate into the membrane</w:t>
      </w:r>
      <w:r w:rsidRPr="009A4BDC">
        <w:rPr>
          <w:rFonts w:ascii="Book Antiqua" w:hAnsi="Book Antiqua"/>
          <w:color w:val="auto"/>
          <w:vertAlign w:val="superscript"/>
        </w:rPr>
        <w:t>[26]</w:t>
      </w:r>
      <w:r w:rsidRPr="009A4BDC">
        <w:rPr>
          <w:rFonts w:ascii="Book Antiqua" w:hAnsi="Book Antiqua"/>
          <w:color w:val="auto"/>
        </w:rPr>
        <w:t>. In addition, we also imaged the cells on both sides of the culture inserts. This allowed us to confirm that the cells adhered to both sides of the culture insert and could therefore be evaluated with real-time PCR.</w:t>
      </w:r>
    </w:p>
    <w:p w:rsidR="005A6B69" w:rsidRPr="009A4BDC" w:rsidRDefault="005A6B69" w:rsidP="00DB6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olor w:val="auto"/>
        </w:rPr>
      </w:pPr>
      <w:r w:rsidRPr="009A4BDC">
        <w:rPr>
          <w:rFonts w:ascii="Book Antiqua" w:hAnsi="Book Antiqua"/>
          <w:color w:val="auto"/>
        </w:rPr>
        <w:t xml:space="preserve">Further, additional samples were prepared during one experiment to be processed with scanning electron microscopy (SEM), as this method permits visualization of 3D structures on a very small scale. This technique also allowed us to see how the cells attach to the scaffold, as well as provided a more detailed visualization of the scaffolds themselves. On day 7, the samples were first washed with PBS to remove traces of serum, then fixed with 2.5% glutar-aldehyde. On the day of SEM sample preparation, the specimen were again washed with PBS prior to following a dehydration protocol using an alcohol series of increasing concentration, </w:t>
      </w:r>
      <w:r w:rsidRPr="005F34FD">
        <w:rPr>
          <w:rFonts w:ascii="Book Antiqua" w:hAnsi="Book Antiqua"/>
          <w:i/>
          <w:color w:val="auto"/>
        </w:rPr>
        <w:t>i.e.</w:t>
      </w:r>
      <w:r>
        <w:rPr>
          <w:rFonts w:ascii="Book Antiqua" w:eastAsia="宋体" w:hAnsi="Book Antiqua"/>
          <w:color w:val="auto"/>
          <w:lang w:eastAsia="zh-CN"/>
        </w:rPr>
        <w:t>,</w:t>
      </w:r>
      <w:r w:rsidRPr="009A4BDC">
        <w:rPr>
          <w:rFonts w:ascii="Book Antiqua" w:hAnsi="Book Antiqua"/>
          <w:color w:val="auto"/>
        </w:rPr>
        <w:t xml:space="preserve"> 50%, 70%, 80%, 90% and 2x 100%, with incubation periods of 10 min. Subsequently, the specimen were critical point–dried in a Bal-Tec CPD 030 (BalTec inc., Balzers, Liechtenstein) and sputtered with ~10 nm (30 mA for 30 s at 50</w:t>
      </w:r>
      <w:r>
        <w:rPr>
          <w:rFonts w:ascii="Book Antiqua" w:eastAsia="宋体" w:hAnsi="Book Antiqua"/>
          <w:color w:val="auto"/>
          <w:lang w:eastAsia="zh-CN"/>
        </w:rPr>
        <w:t xml:space="preserve"> </w:t>
      </w:r>
      <w:r w:rsidRPr="009A4BDC">
        <w:rPr>
          <w:rFonts w:ascii="Book Antiqua" w:hAnsi="Book Antiqua"/>
          <w:color w:val="auto"/>
        </w:rPr>
        <w:t xml:space="preserve">mm working distance), producing a 10 nm gold layer in a SCD 004 (BalTec inc.). Samples were then stored in an exsiccator until examination at 5 kV accelerating voltage in a Zeiss scanning electron microscope DSM 982 (Carl Zeiss, Jena, Germany). </w:t>
      </w:r>
    </w:p>
    <w:p w:rsidR="005A6B69" w:rsidRPr="009A4BDC" w:rsidRDefault="005A6B69" w:rsidP="00D829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olor w:val="auto"/>
        </w:rPr>
      </w:pPr>
    </w:p>
    <w:p w:rsidR="005A6B69" w:rsidRPr="00380ED0" w:rsidRDefault="005A6B69" w:rsidP="00D8293D">
      <w:pPr>
        <w:pStyle w:val="NormalWeb"/>
        <w:spacing w:before="0" w:beforeAutospacing="0" w:after="0" w:afterAutospacing="0" w:line="360" w:lineRule="auto"/>
        <w:jc w:val="both"/>
        <w:rPr>
          <w:rFonts w:ascii="Book Antiqua" w:hAnsi="Book Antiqua"/>
          <w:b/>
          <w:i/>
          <w:sz w:val="24"/>
          <w:szCs w:val="24"/>
        </w:rPr>
      </w:pPr>
      <w:bookmarkStart w:id="58" w:name="OLE_LINK10"/>
      <w:bookmarkStart w:id="59" w:name="OLE_LINK11"/>
      <w:r w:rsidRPr="00380ED0">
        <w:rPr>
          <w:rFonts w:ascii="Book Antiqua" w:hAnsi="Book Antiqua"/>
          <w:b/>
          <w:i/>
          <w:sz w:val="24"/>
          <w:szCs w:val="24"/>
        </w:rPr>
        <w:t>Statistical analysis</w:t>
      </w:r>
    </w:p>
    <w:bookmarkEnd w:id="58"/>
    <w:bookmarkEnd w:id="59"/>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Data were analyzed using the Kruskal-Wallis test unless otherwise noted, followed by Dunn’s multiple comparisons test using the PRISM software package (GraphPad, La Jolla, USA, version 6.0e). RT-PCR data was tested using a </w:t>
      </w:r>
      <w:r w:rsidRPr="009A4BDC">
        <w:rPr>
          <w:rFonts w:ascii="Book Antiqua" w:hAnsi="Book Antiqua"/>
          <w:i/>
          <w:color w:val="auto"/>
        </w:rPr>
        <w:t>t</w:t>
      </w:r>
      <w:r w:rsidRPr="009A4BDC">
        <w:rPr>
          <w:rFonts w:ascii="Book Antiqua" w:hAnsi="Book Antiqua"/>
          <w:color w:val="auto"/>
        </w:rPr>
        <w:t xml:space="preserve">-test statistic and mean gene expression was tested if significantly different from a hypothetical value of 1.0. A significance value of </w:t>
      </w:r>
      <w:r w:rsidRPr="005F34FD">
        <w:rPr>
          <w:rFonts w:ascii="Book Antiqua" w:hAnsi="Book Antiqua"/>
          <w:i/>
          <w:color w:val="auto"/>
        </w:rPr>
        <w:t>P</w:t>
      </w:r>
      <w:r w:rsidRPr="009A4BDC">
        <w:rPr>
          <w:rFonts w:ascii="Book Antiqua" w:hAnsi="Book Antiqua"/>
          <w:color w:val="auto"/>
        </w:rPr>
        <w:t xml:space="preserve"> &lt; 0.05 was specified to be significant. Where applicable groups were tested in 2-way ANOVA for treatment and culture time, multiple comparisons were then performed using Bonferroni’s multiple testing. The statistics was checked by a biostatistics expert.</w:t>
      </w:r>
    </w:p>
    <w:p w:rsidR="005A6B69" w:rsidRPr="009A4BDC" w:rsidRDefault="005A6B69" w:rsidP="00D8293D">
      <w:pPr>
        <w:spacing w:line="360" w:lineRule="auto"/>
        <w:ind w:firstLine="432"/>
        <w:jc w:val="both"/>
        <w:rPr>
          <w:rFonts w:ascii="Book Antiqua" w:hAnsi="Book Antiqua"/>
          <w:color w:val="auto"/>
        </w:rPr>
      </w:pPr>
    </w:p>
    <w:p w:rsidR="005A6B69" w:rsidRPr="005F7DC3" w:rsidRDefault="005A6B69" w:rsidP="00D8293D">
      <w:pPr>
        <w:adjustRightInd w:val="0"/>
        <w:snapToGrid w:val="0"/>
        <w:spacing w:line="360" w:lineRule="auto"/>
        <w:jc w:val="both"/>
        <w:rPr>
          <w:rFonts w:ascii="Book Antiqua" w:hAnsi="Book Antiqua"/>
          <w:b/>
        </w:rPr>
      </w:pPr>
      <w:r w:rsidRPr="005F7DC3">
        <w:rPr>
          <w:rFonts w:ascii="Book Antiqua" w:hAnsi="Book Antiqua"/>
          <w:b/>
        </w:rPr>
        <w:t>RESULTS</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The experiments were meant to provide initial insight into whether NC and CG collagen patches, which are currently being used in cartilage repair, are suitable for ACL repair. Thus, adherence and proliferation of cells was tested, as well as the collagen deposition and differentiation potential of cells.</w:t>
      </w:r>
    </w:p>
    <w:p w:rsidR="005A6B69" w:rsidRPr="009A4BDC" w:rsidRDefault="005A6B69" w:rsidP="00D8293D">
      <w:pPr>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Adherence, Proliferation and Matrix Changes</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CLSM and SEM imaging and the metabolic cell activity assay confirmed that both cell types, TCs and MSCs, adhere on the substrate and seem to proliferate on both patch types (Figure 4). The images seem to show, however, that MSCs decre</w:t>
      </w:r>
      <w:r>
        <w:rPr>
          <w:rFonts w:ascii="Book Antiqua" w:hAnsi="Book Antiqua"/>
          <w:color w:val="auto"/>
        </w:rPr>
        <w:t>ased in cell number after 7 d</w:t>
      </w:r>
      <w:r w:rsidRPr="009A4BDC">
        <w:rPr>
          <w:rFonts w:ascii="Book Antiqua" w:hAnsi="Book Antiqua"/>
          <w:color w:val="auto"/>
        </w:rPr>
        <w:t xml:space="preserve">. </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Noteworthy, DNA content (Hoechst) of collagen scaffolds contained a relatively high amount of porcine / bovine DNA (Figure 5), which was confirmed by DNAse digestion (data not shown). There was no significant change in DNA content</w:t>
      </w:r>
      <w:r>
        <w:rPr>
          <w:rFonts w:ascii="Book Antiqua" w:hAnsi="Book Antiqua"/>
          <w:color w:val="auto"/>
        </w:rPr>
        <w:t xml:space="preserve"> among the groups over the 7-d</w:t>
      </w:r>
      <w:r w:rsidRPr="009A4BDC">
        <w:rPr>
          <w:rFonts w:ascii="Book Antiqua" w:hAnsi="Book Antiqua"/>
          <w:color w:val="auto"/>
        </w:rPr>
        <w:t xml:space="preserve"> culture period. The metabolic cell activity assay (see Figure 6) revealed increased cell activity on day 7 versus day 1 for all cell treatment groups, and a slightly higher absolute level of cell activity for all CG samples versus NC patches on a given day. The relative increase in cell activity level from day 1 to day 7 in both patch types was similar (Figure 6).</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The non-parametric Kruskal-Wallis tests showed that cell type did not have a significant impact on the relative change in metabolic activity for either of the two patch types (Figure 6). Furthermore, we found no significant differences between NC and CG samples in terms of the relative changes in metabolic cell activity between the two patch types. While both patch types also showed an increase in absolute cell activity, as measured in RFUs, from day 1 to day 7 for every cell type, this trend was not significant for NC patches, but significant at an overall level for CG patches (</w:t>
      </w:r>
      <w:r w:rsidRPr="005F34FD">
        <w:rPr>
          <w:rFonts w:ascii="Book Antiqua" w:hAnsi="Book Antiqua"/>
          <w:i/>
          <w:color w:val="auto"/>
        </w:rPr>
        <w:t>P</w:t>
      </w:r>
      <w:r w:rsidRPr="009A4BDC">
        <w:rPr>
          <w:rFonts w:ascii="Book Antiqua" w:hAnsi="Book Antiqua"/>
          <w:color w:val="auto"/>
        </w:rPr>
        <w:t xml:space="preserve"> = 0.0298, </w:t>
      </w:r>
      <w:r w:rsidRPr="005F34FD">
        <w:rPr>
          <w:rFonts w:ascii="Book Antiqua" w:hAnsi="Book Antiqua"/>
          <w:i/>
          <w:color w:val="auto"/>
        </w:rPr>
        <w:t>n</w:t>
      </w:r>
      <w:r>
        <w:rPr>
          <w:rFonts w:ascii="Book Antiqua" w:eastAsia="宋体" w:hAnsi="Book Antiqua"/>
          <w:color w:val="auto"/>
          <w:lang w:eastAsia="zh-CN"/>
        </w:rPr>
        <w:t xml:space="preserve"> </w:t>
      </w:r>
      <w:r w:rsidRPr="009A4BDC">
        <w:rPr>
          <w:rFonts w:ascii="Book Antiqua" w:hAnsi="Book Antiqua"/>
          <w:color w:val="auto"/>
        </w:rPr>
        <w:t>=</w:t>
      </w:r>
      <w:r>
        <w:rPr>
          <w:rFonts w:ascii="Book Antiqua" w:eastAsia="宋体" w:hAnsi="Book Antiqua"/>
          <w:color w:val="auto"/>
          <w:lang w:eastAsia="zh-CN"/>
        </w:rPr>
        <w:t xml:space="preserve"> </w:t>
      </w:r>
      <w:r w:rsidRPr="009A4BDC">
        <w:rPr>
          <w:rFonts w:ascii="Book Antiqua" w:hAnsi="Book Antiqua"/>
          <w:color w:val="auto"/>
        </w:rPr>
        <w:t>4). Dunn’s multiple comparisons test for CG however revealed no significant p values for individual treatment groups (TCs, MSCs, premix) with different treatment lengths (Figure 6). However, after testing for 2-way ANOVA for time and treatment we found a significant effect (</w:t>
      </w:r>
      <w:r w:rsidRPr="009A4BDC">
        <w:rPr>
          <w:rFonts w:ascii="Book Antiqua" w:hAnsi="Book Antiqua"/>
          <w:i/>
          <w:color w:val="auto"/>
        </w:rPr>
        <w:t>P</w:t>
      </w:r>
      <w:r w:rsidRPr="009A4BDC">
        <w:rPr>
          <w:rFonts w:ascii="Book Antiqua" w:hAnsi="Book Antiqua"/>
          <w:color w:val="auto"/>
        </w:rPr>
        <w:t xml:space="preserve"> = 0.0001) of culture time and found that activity increased over time for TCs and premixes (</w:t>
      </w:r>
      <w:r w:rsidRPr="009A4BDC">
        <w:rPr>
          <w:rFonts w:ascii="Book Antiqua" w:hAnsi="Book Antiqua"/>
          <w:i/>
          <w:color w:val="auto"/>
        </w:rPr>
        <w:t>P</w:t>
      </w:r>
      <w:r w:rsidRPr="009A4BDC">
        <w:rPr>
          <w:rFonts w:ascii="Book Antiqua" w:hAnsi="Book Antiqua"/>
          <w:color w:val="auto"/>
        </w:rPr>
        <w:t xml:space="preserve"> = 0.0237 and </w:t>
      </w:r>
      <w:r w:rsidRPr="009A4BDC">
        <w:rPr>
          <w:rFonts w:ascii="Book Antiqua" w:hAnsi="Book Antiqua"/>
          <w:i/>
          <w:color w:val="auto"/>
        </w:rPr>
        <w:t>P</w:t>
      </w:r>
      <w:r w:rsidRPr="009A4BDC">
        <w:rPr>
          <w:rFonts w:ascii="Book Antiqua" w:hAnsi="Book Antiqua"/>
          <w:color w:val="auto"/>
        </w:rPr>
        <w:t xml:space="preserve"> = 0.0120, respectively) (Figure 6).</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Previous studies suggested that pathologic tendons exhibit higher GAG content</w:t>
      </w:r>
      <w:r w:rsidRPr="009A4BDC">
        <w:rPr>
          <w:rFonts w:ascii="Book Antiqua" w:hAnsi="Book Antiqua"/>
          <w:color w:val="auto"/>
          <w:vertAlign w:val="superscript"/>
        </w:rPr>
        <w:t>[22]</w:t>
      </w:r>
      <w:r w:rsidRPr="009A4BDC">
        <w:rPr>
          <w:rFonts w:ascii="Book Antiqua" w:hAnsi="Book Antiqua"/>
          <w:color w:val="auto"/>
        </w:rPr>
        <w:t>. We, therefore, measured GAG content on day 1 and day 7 (</w:t>
      </w:r>
      <w:r w:rsidRPr="00876395">
        <w:rPr>
          <w:rFonts w:ascii="Book Antiqua" w:hAnsi="Book Antiqua"/>
          <w:i/>
          <w:color w:val="auto"/>
        </w:rPr>
        <w:t>n</w:t>
      </w:r>
      <w:r w:rsidRPr="009A4BDC">
        <w:rPr>
          <w:rFonts w:ascii="Book Antiqua" w:hAnsi="Book Antiqua"/>
          <w:color w:val="auto"/>
        </w:rPr>
        <w:t xml:space="preserve"> = 3). In all samples, there was a decrease in the amount of GAG from day 1 to day 7 (μg per mg of dry-weight, corrected for controls using day 7 sample with no cells as a baseline for all samples). No significant difference was found between the two patch types or cell types in terms of the relative changes of GAG measured (Figure 7A).</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Hydroxy-proline (HYP) levels were measured in order to assess collagen deposition of the different cell types on the scaffold (Figure 7B). Data revealed no significant change in HYP over time. In line with the other analyses, the different cell types were not found to have a significant effect on the percentage change of HYP measured, neither for NC patches nor for CG patches. Also, the Kruskal-Wallis test did not reveal a significant difference between the two patch types. However, when the ratio of HYP/GAG was considered, the 2-way ANOVA for scaffold and cell treatment showed a significant relative change for the Premix group (</w:t>
      </w:r>
      <w:r w:rsidRPr="009A4BDC">
        <w:rPr>
          <w:rFonts w:ascii="Book Antiqua" w:hAnsi="Book Antiqua"/>
          <w:i/>
          <w:color w:val="auto"/>
        </w:rPr>
        <w:t>P</w:t>
      </w:r>
      <w:r w:rsidRPr="009A4BDC">
        <w:rPr>
          <w:rFonts w:ascii="Book Antiqua" w:hAnsi="Book Antiqua"/>
          <w:color w:val="auto"/>
        </w:rPr>
        <w:t xml:space="preserve"> = 0.005) (Figure 7C). </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Both cell types (TCs and MSCs) were analyzed individually with regards to the effect of different substrates (NC patch, CG patch, inserts or just well plates) on the relative gene expression for the genes of interest. A summary of the relative gene expression measu</w:t>
      </w:r>
      <w:r>
        <w:rPr>
          <w:rFonts w:ascii="Book Antiqua" w:hAnsi="Book Antiqua"/>
          <w:color w:val="auto"/>
        </w:rPr>
        <w:t>rements is shown in Figures 8A</w:t>
      </w:r>
      <w:r>
        <w:rPr>
          <w:rFonts w:ascii="Book Antiqua" w:eastAsia="宋体" w:hAnsi="Book Antiqua"/>
          <w:color w:val="auto"/>
          <w:lang w:eastAsia="zh-CN"/>
        </w:rPr>
        <w:t xml:space="preserve"> and </w:t>
      </w:r>
      <w:r w:rsidRPr="009A4BDC">
        <w:rPr>
          <w:rFonts w:ascii="Book Antiqua" w:hAnsi="Book Antiqua"/>
          <w:color w:val="auto"/>
        </w:rPr>
        <w:t xml:space="preserve">8B. </w:t>
      </w:r>
    </w:p>
    <w:p w:rsidR="005A6B69" w:rsidRDefault="005A6B69" w:rsidP="00D8293D">
      <w:pPr>
        <w:spacing w:line="360" w:lineRule="auto"/>
        <w:jc w:val="both"/>
        <w:rPr>
          <w:rFonts w:ascii="Book Antiqua" w:eastAsia="宋体" w:hAnsi="Book Antiqua"/>
          <w:b/>
          <w:color w:val="auto"/>
          <w:lang w:eastAsia="zh-CN"/>
        </w:rPr>
      </w:pPr>
      <w:r w:rsidRPr="009A4BDC">
        <w:rPr>
          <w:rFonts w:ascii="Book Antiqua" w:hAnsi="Book Antiqua"/>
          <w:color w:val="auto"/>
        </w:rPr>
        <w:t>Relative gene expression revealed a significant down-regulation of TNMD for TCs grown on NC scaffolds (</w:t>
      </w:r>
      <w:r w:rsidRPr="009A4BDC">
        <w:rPr>
          <w:rFonts w:ascii="Book Antiqua" w:hAnsi="Book Antiqua"/>
          <w:i/>
          <w:color w:val="auto"/>
        </w:rPr>
        <w:t>P</w:t>
      </w:r>
      <w:r w:rsidRPr="009A4BDC">
        <w:rPr>
          <w:rFonts w:ascii="Book Antiqua" w:hAnsi="Book Antiqua"/>
          <w:color w:val="auto"/>
        </w:rPr>
        <w:t xml:space="preserve"> &lt;0.0001) and for col2 in TCs grown on culture inserts (</w:t>
      </w:r>
      <w:r w:rsidRPr="009A4BDC">
        <w:rPr>
          <w:rFonts w:ascii="Book Antiqua" w:hAnsi="Book Antiqua"/>
          <w:i/>
          <w:color w:val="auto"/>
        </w:rPr>
        <w:t>P</w:t>
      </w:r>
      <w:r w:rsidRPr="009A4BDC">
        <w:rPr>
          <w:rFonts w:ascii="Book Antiqua" w:hAnsi="Book Antiqua"/>
          <w:color w:val="auto"/>
        </w:rPr>
        <w:t xml:space="preserve"> = 0.0121) relative to day 0 controls (Fig</w:t>
      </w:r>
      <w:r>
        <w:rPr>
          <w:rFonts w:ascii="Book Antiqua" w:eastAsia="宋体" w:hAnsi="Book Antiqua"/>
          <w:color w:val="auto"/>
          <w:lang w:eastAsia="zh-CN"/>
        </w:rPr>
        <w:t>ure</w:t>
      </w:r>
      <w:r w:rsidRPr="009A4BDC">
        <w:rPr>
          <w:rFonts w:ascii="Book Antiqua" w:hAnsi="Book Antiqua"/>
          <w:color w:val="auto"/>
        </w:rPr>
        <w:t xml:space="preserve"> 8A). Monolayer MSCs significantly down-regulated MMP3 (</w:t>
      </w:r>
      <w:r w:rsidRPr="009A4BDC">
        <w:rPr>
          <w:rFonts w:ascii="Book Antiqua" w:hAnsi="Book Antiqua"/>
          <w:i/>
          <w:color w:val="auto"/>
        </w:rPr>
        <w:t>P</w:t>
      </w:r>
      <w:r w:rsidRPr="009A4BDC">
        <w:rPr>
          <w:rFonts w:ascii="Book Antiqua" w:hAnsi="Book Antiqua"/>
          <w:color w:val="auto"/>
        </w:rPr>
        <w:t xml:space="preserve"> = 0.0065) after 7 days of culture, whereas MSCs grown on culture inserts significantly up-regulated col3 (</w:t>
      </w:r>
      <w:r w:rsidRPr="009A4BDC">
        <w:rPr>
          <w:rFonts w:ascii="Book Antiqua" w:hAnsi="Book Antiqua"/>
          <w:i/>
          <w:color w:val="auto"/>
        </w:rPr>
        <w:t>P</w:t>
      </w:r>
      <w:r w:rsidRPr="009A4BDC">
        <w:rPr>
          <w:rFonts w:ascii="Book Antiqua" w:hAnsi="Book Antiqua"/>
          <w:color w:val="auto"/>
        </w:rPr>
        <w:t xml:space="preserve"> = 0.006) and down-regulated MMP3 (</w:t>
      </w:r>
      <w:r w:rsidRPr="009A4BDC">
        <w:rPr>
          <w:rFonts w:ascii="Book Antiqua" w:hAnsi="Book Antiqua"/>
          <w:i/>
          <w:color w:val="auto"/>
        </w:rPr>
        <w:t>P</w:t>
      </w:r>
      <w:r w:rsidRPr="009A4BDC">
        <w:rPr>
          <w:rFonts w:ascii="Book Antiqua" w:hAnsi="Book Antiqua"/>
          <w:color w:val="auto"/>
        </w:rPr>
        <w:t xml:space="preserve"> = 0.0065).</w:t>
      </w:r>
    </w:p>
    <w:p w:rsidR="005A6B69" w:rsidRDefault="005A6B69" w:rsidP="00D8293D">
      <w:pPr>
        <w:spacing w:line="360" w:lineRule="auto"/>
        <w:jc w:val="both"/>
        <w:rPr>
          <w:rFonts w:ascii="Book Antiqua" w:eastAsia="宋体" w:hAnsi="Book Antiqua"/>
          <w:b/>
          <w:color w:val="auto"/>
          <w:lang w:eastAsia="zh-CN"/>
        </w:rPr>
      </w:pPr>
    </w:p>
    <w:p w:rsidR="005A6B69" w:rsidRPr="0049634D" w:rsidRDefault="005A6B69" w:rsidP="00D8293D">
      <w:pPr>
        <w:spacing w:line="360" w:lineRule="auto"/>
        <w:jc w:val="both"/>
        <w:rPr>
          <w:rFonts w:ascii="Book Antiqua" w:hAnsi="Book Antiqua"/>
          <w:b/>
          <w:color w:val="auto"/>
        </w:rPr>
      </w:pPr>
      <w:r w:rsidRPr="005F7DC3">
        <w:rPr>
          <w:rFonts w:ascii="Book Antiqua" w:hAnsi="Book Antiqua"/>
          <w:b/>
        </w:rPr>
        <w:t>DISCUSSION</w:t>
      </w: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TCs Gene Expression</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In line with expectations, both patch types showed a slight up-regulation of collagen I gene expression for TCs in comparison to TCs grown in monolayers (Figure 9). Scleraxis expression trended up on patches versus d0 but was in line with monolayer results (Figure 8). At the same time, both patch types did not result in a significant up-regulation of collagen II or aggrecan, compared to monolayer (Figure 8). These factors suggest that the cells did not differentiate into cells of a chondrocyte phenotype. Based on the non-parametric Kruskal-Wallis test statistic, the differences in relative gene expression between TCs cultured on NC or CG patches or in monolayers are not significant, which is in line with our initial hypothesis. We did observe significant changes of relative gene expression when tested with one-sample </w:t>
      </w:r>
      <w:r w:rsidRPr="009A4BDC">
        <w:rPr>
          <w:rFonts w:ascii="Book Antiqua" w:hAnsi="Book Antiqua"/>
          <w:i/>
          <w:color w:val="auto"/>
        </w:rPr>
        <w:t>t</w:t>
      </w:r>
      <w:r w:rsidRPr="009A4BDC">
        <w:rPr>
          <w:rFonts w:ascii="Book Antiqua" w:hAnsi="Book Antiqua"/>
          <w:color w:val="auto"/>
        </w:rPr>
        <w:t>-test. While gene expression levels for TCs on NC patches were not vastly different from those cultured on CG or in monolayers, TCs grown on NC significantly expressed less tenomodulin D (TNMD) and do seem to express slightly lower levels for the ligament markers collagen type 3 (col3), tenascin- C (TNC) and scleraxis (SCX) relative to those two substrates (see Figure 8A).</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At first sight, especially when considering these data in light of the metabolic cell activity results, it may seem that the CG patches provide a better environment for TCs. The metabolic cell activity measurements showed that cells grown on CG patches versus NC patches exhibited a slightly higher (yet statistically insignificant) absolute cell activity on any given measurement day, as well as a somewhat higher relative increase in cell activity from day 1 to day 7 of the experiments. However, this aspect needs to be carefully examined further.</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It is possible that the culture time was not long enough to clearly discern significant differences between patch types. MSCs and TCs</w:t>
      </w:r>
      <w:r>
        <w:rPr>
          <w:rFonts w:ascii="Book Antiqua" w:hAnsi="Book Antiqua"/>
          <w:color w:val="auto"/>
        </w:rPr>
        <w:t xml:space="preserve"> were cultured for up to 28 d</w:t>
      </w:r>
      <w:r w:rsidRPr="009A4BDC">
        <w:rPr>
          <w:rFonts w:ascii="Book Antiqua" w:hAnsi="Book Antiqua"/>
          <w:color w:val="auto"/>
        </w:rPr>
        <w:t xml:space="preserve"> and checked for cell adherence with the use of CLSM and the cell tracker dyes. Studies related to osteogenesis show that osteogenic differentiation of MSCs can take up to four weeks, with an initial early differentiation phase taking place between day 5 and day 14</w:t>
      </w:r>
      <w:r w:rsidRPr="009A4BDC">
        <w:rPr>
          <w:rFonts w:ascii="Book Antiqua" w:hAnsi="Book Antiqua"/>
          <w:color w:val="auto"/>
          <w:vertAlign w:val="superscript"/>
        </w:rPr>
        <w:t>[27]</w:t>
      </w:r>
      <w:r w:rsidRPr="009A4BDC">
        <w:rPr>
          <w:rFonts w:ascii="Book Antiqua" w:hAnsi="Book Antiqua"/>
          <w:color w:val="auto"/>
        </w:rPr>
        <w:t>. Conversely, it has also been shown that MSCs can show signs of differentiation into tenogenic phenotype after as little as seven days</w:t>
      </w:r>
      <w:r w:rsidRPr="009A4BDC">
        <w:rPr>
          <w:rFonts w:ascii="Book Antiqua" w:hAnsi="Book Antiqua"/>
          <w:color w:val="auto"/>
          <w:vertAlign w:val="superscript"/>
        </w:rPr>
        <w:t>[28]</w:t>
      </w:r>
      <w:r w:rsidRPr="009A4BDC">
        <w:rPr>
          <w:rFonts w:ascii="Book Antiqua" w:hAnsi="Book Antiqua"/>
          <w:color w:val="auto"/>
        </w:rPr>
        <w:t>. It is also possible that the cells on the NC scaffolds first partially de-differentiated. The down-regulation of tenomodulin (TNMD) has been observed for cells that were cultured two-dimensionally</w:t>
      </w:r>
      <w:r w:rsidRPr="009A4BDC">
        <w:rPr>
          <w:rFonts w:ascii="Book Antiqua" w:hAnsi="Book Antiqua"/>
          <w:color w:val="auto"/>
          <w:vertAlign w:val="superscript"/>
        </w:rPr>
        <w:t>[29]</w:t>
      </w:r>
      <w:r w:rsidRPr="009A4BDC">
        <w:rPr>
          <w:rFonts w:ascii="Book Antiqua" w:hAnsi="Book Antiqua"/>
          <w:color w:val="auto"/>
        </w:rPr>
        <w:t>. Since we observed a stronger down-regulation for cells cultured on NC than in monolayers, this may be interpreted as an indication of de-differentiation. This de-differentiation has been previously observed in monolayers as well as in organ cultures</w:t>
      </w:r>
      <w:r w:rsidRPr="009A4BDC">
        <w:rPr>
          <w:rFonts w:ascii="Book Antiqua" w:hAnsi="Book Antiqua"/>
          <w:color w:val="auto"/>
          <w:vertAlign w:val="superscript"/>
        </w:rPr>
        <w:t>[15]</w:t>
      </w:r>
      <w:r w:rsidRPr="009A4BDC">
        <w:rPr>
          <w:rFonts w:ascii="Book Antiqua" w:hAnsi="Book Antiqua"/>
          <w:color w:val="auto"/>
        </w:rPr>
        <w:t>.</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Furthermore, scleraxis has been shown to modulate TNMD expression, such that the up-regulation of TNMD occurred several days after an up-regulation in scleraxis was observed</w:t>
      </w:r>
      <w:r w:rsidRPr="009A4BDC">
        <w:rPr>
          <w:rFonts w:ascii="Book Antiqua" w:hAnsi="Book Antiqua"/>
          <w:color w:val="auto"/>
          <w:vertAlign w:val="superscript"/>
        </w:rPr>
        <w:t>[30]</w:t>
      </w:r>
      <w:r w:rsidRPr="009A4BDC">
        <w:rPr>
          <w:rFonts w:ascii="Book Antiqua" w:hAnsi="Book Antiqua"/>
          <w:color w:val="auto"/>
        </w:rPr>
        <w:t>.</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It is known that the structure of scaffolds can impact the cell morphology; ACL fibroblasts for instance orient parallel to collagen fibers. Cell shape on the other hand can impact cell differentiation</w:t>
      </w:r>
      <w:r w:rsidRPr="009A4BDC">
        <w:rPr>
          <w:rFonts w:ascii="Book Antiqua" w:hAnsi="Book Antiqua"/>
          <w:color w:val="auto"/>
          <w:vertAlign w:val="superscript"/>
        </w:rPr>
        <w:t>[30,31]</w:t>
      </w:r>
      <w:r w:rsidRPr="009A4BDC">
        <w:rPr>
          <w:rFonts w:ascii="Book Antiqua" w:hAnsi="Book Antiqua"/>
          <w:color w:val="auto"/>
        </w:rPr>
        <w:t>. In fact, both patches were primarily constructed for use with chondrocytes. The manufacturer of NC patches clearly states that the patches are meant to induce a spherical morphology, which describes a chondrocyte phenotype. However, with SEM imaging we observed flat networks covering the NC patches. This observation was in line with the gene expression results, which demonstrate that the cells do not up-regulate genes, which are typical for chondrocyte phenotype. It would be interesting to re-evaluate all variables in exper</w:t>
      </w:r>
      <w:r>
        <w:rPr>
          <w:rFonts w:ascii="Book Antiqua" w:hAnsi="Book Antiqua"/>
          <w:color w:val="auto"/>
        </w:rPr>
        <w:t>iments running for 14 or 21 d</w:t>
      </w:r>
      <w:r w:rsidRPr="009A4BDC">
        <w:rPr>
          <w:rFonts w:ascii="Book Antiqua" w:hAnsi="Book Antiqua"/>
          <w:color w:val="auto"/>
        </w:rPr>
        <w:t>, to test whether this still holds true.</w:t>
      </w:r>
    </w:p>
    <w:p w:rsidR="005A6B69" w:rsidRPr="009A4BDC" w:rsidRDefault="005A6B69" w:rsidP="00D8293D">
      <w:pPr>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MSCs Phenotype</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MSCs cultured on patches showed a trend towards up-regulation of ligament markers versus MSCs monolayers, particularly on NC scaffolds. For instance, collagen III tended to be up-regulated on NC, with a more inconsistent expression for MSCs on CG (Figure 8). Scleraxis tended to be higher expressed on both patches compared to MSCs cultured in monolayers or on inserts (Figure 8). These results seem to indicate that MSCs are developing into a TCs phenotype on the patches. MSCs cultured with TCs, however, consistently up-regulated col 3 expression, a sign for early differentiation of the MSCs towards a more TC-like phenotype. Again, additional time might be required in order to draw more conclusive insights about the potential for MSCs to differentiate on the various substrates. However, interpreting the results of the RT-PCR data demonstrating a significant increase of col 3 in presence of TCs on culture inserts together with the significantly increased HYP/GAG ratio of “premix” of TCs and MSCs on the 3D patches (Fig</w:t>
      </w:r>
      <w:r>
        <w:rPr>
          <w:rFonts w:ascii="Book Antiqua" w:eastAsia="宋体" w:hAnsi="Book Antiqua"/>
          <w:color w:val="auto"/>
          <w:lang w:eastAsia="zh-CN"/>
        </w:rPr>
        <w:t>ure</w:t>
      </w:r>
      <w:r w:rsidRPr="009A4BDC">
        <w:rPr>
          <w:rFonts w:ascii="Book Antiqua" w:hAnsi="Book Antiqua"/>
          <w:color w:val="auto"/>
        </w:rPr>
        <w:t xml:space="preserve"> 7C) could be interpreted as an early differentiation of MSCs shutting down gene expression of GAG and increasing collagen expression. A study related to tenogenic differentiation of rat MSCs showed that a significant change in expression levels for some ligament markers could </w:t>
      </w:r>
      <w:r>
        <w:rPr>
          <w:rFonts w:ascii="Book Antiqua" w:hAnsi="Book Antiqua"/>
          <w:color w:val="auto"/>
        </w:rPr>
        <w:t>already be detected after 7 d</w:t>
      </w:r>
      <w:r w:rsidRPr="009A4BDC">
        <w:rPr>
          <w:rFonts w:ascii="Book Antiqua" w:hAnsi="Book Antiqua"/>
          <w:color w:val="auto"/>
        </w:rPr>
        <w:t xml:space="preserve"> (tenascin-C as well as scleraxis); however, other markers were not up-regulated until a few days later (collagen I and III)</w:t>
      </w:r>
      <w:r w:rsidRPr="009A4BDC">
        <w:rPr>
          <w:rFonts w:ascii="Book Antiqua" w:hAnsi="Book Antiqua"/>
          <w:color w:val="auto"/>
          <w:vertAlign w:val="superscript"/>
        </w:rPr>
        <w:t>[28]</w:t>
      </w:r>
      <w:r w:rsidRPr="009A4BDC">
        <w:rPr>
          <w:rFonts w:ascii="Book Antiqua" w:hAnsi="Book Antiqua"/>
          <w:color w:val="auto"/>
        </w:rPr>
        <w:t>.</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There were some inherent limitations in the cell types used in our study. Cells had to be obtained from patients whom may already exhibit certain morbidities. TCs were provided from patients undergoing knee surgerie</w:t>
      </w:r>
      <w:r>
        <w:rPr>
          <w:rFonts w:ascii="Book Antiqua" w:hAnsi="Book Antiqua"/>
          <w:color w:val="auto"/>
        </w:rPr>
        <w:t>s</w:t>
      </w:r>
      <w:r w:rsidRPr="009A4BDC">
        <w:rPr>
          <w:rFonts w:ascii="Book Antiqua" w:hAnsi="Book Antiqua"/>
          <w:color w:val="auto"/>
        </w:rPr>
        <w:t>– either total knee arthroplasties or ACL reconstruction. Patient number 67, for instance, underwent ACL reconstruction due to a traumatic rupture, where the stumps were intra-operatively removed prior to graft insertion. It is possible that the cells cultured from these stumps may naturally exhibit slightly different characteristics, a topic that should be explored further. Moreover, it is also possible that the age of the donor plays a role in terms of the differentiation potential of the MSCs.</w:t>
      </w:r>
    </w:p>
    <w:p w:rsidR="005A6B69" w:rsidRPr="009A4BDC" w:rsidRDefault="005A6B69" w:rsidP="00DB69CE">
      <w:pPr>
        <w:widowControl w:val="0"/>
        <w:autoSpaceDE w:val="0"/>
        <w:autoSpaceDN w:val="0"/>
        <w:adjustRightInd w:val="0"/>
        <w:spacing w:line="360" w:lineRule="auto"/>
        <w:ind w:firstLineChars="100" w:firstLine="240"/>
        <w:jc w:val="both"/>
        <w:rPr>
          <w:rFonts w:ascii="Book Antiqua" w:hAnsi="Book Antiqua"/>
          <w:color w:val="auto"/>
        </w:rPr>
      </w:pPr>
      <w:r w:rsidRPr="009A4BDC">
        <w:rPr>
          <w:rFonts w:ascii="Book Antiqua" w:hAnsi="Book Antiqua"/>
          <w:color w:val="auto"/>
        </w:rPr>
        <w:t>In this respect, it is also worth mentioning the existence of native ACL-derived autochthonous stem cells (ACL-SC), which already may exist in the tissue</w:t>
      </w:r>
      <w:r w:rsidRPr="009A4BDC">
        <w:rPr>
          <w:rFonts w:ascii="Book Antiqua" w:hAnsi="Book Antiqua"/>
          <w:color w:val="auto"/>
          <w:vertAlign w:val="superscript"/>
        </w:rPr>
        <w:t>[32]</w:t>
      </w:r>
      <w:r w:rsidRPr="009A4BDC">
        <w:rPr>
          <w:rFonts w:ascii="Book Antiqua" w:hAnsi="Book Antiqua"/>
          <w:color w:val="auto"/>
        </w:rPr>
        <w:t>. Zhang and colleagues</w:t>
      </w:r>
      <w:r w:rsidRPr="009A4BDC">
        <w:rPr>
          <w:rFonts w:ascii="Book Antiqua" w:hAnsi="Book Antiqua"/>
          <w:color w:val="auto"/>
          <w:vertAlign w:val="superscript"/>
        </w:rPr>
        <w:t>[32]</w:t>
      </w:r>
      <w:r w:rsidRPr="009A4BDC">
        <w:rPr>
          <w:rFonts w:ascii="Book Antiqua" w:hAnsi="Book Antiqua"/>
          <w:color w:val="auto"/>
        </w:rPr>
        <w:t xml:space="preserve"> described the isolation and characterization of such plastic-adherent cells, which possess stem cell characteristic surface markers from healthy tissue samples. However, it is unknown whether these cells might still be present in more degenerated human tissue as analyzed in this study. An additional aspect that should be considered is the donor characteristics of cells (Table 1). In four out of five trials we had male MSC donors and in all five experiments, we had female TC donors (Table 1). The gender and age of the donors may have a hidden effect on the outcomes, including proliferation rates or differentiation ability. However, current evidence of the impact of gender and age is inconclusive</w:t>
      </w:r>
      <w:r w:rsidRPr="009A4BDC">
        <w:rPr>
          <w:rFonts w:ascii="Book Antiqua" w:hAnsi="Book Antiqua"/>
          <w:color w:val="auto"/>
          <w:vertAlign w:val="superscript"/>
        </w:rPr>
        <w:t>[33,34]</w:t>
      </w:r>
      <w:r w:rsidRPr="009A4BDC">
        <w:rPr>
          <w:rFonts w:ascii="Book Antiqua" w:hAnsi="Book Antiqua"/>
          <w:color w:val="auto"/>
        </w:rPr>
        <w:t>.</w:t>
      </w:r>
    </w:p>
    <w:p w:rsidR="005A6B69" w:rsidRPr="009A4BDC" w:rsidRDefault="005A6B69" w:rsidP="00D8293D">
      <w:pPr>
        <w:spacing w:line="360" w:lineRule="auto"/>
        <w:ind w:firstLine="432"/>
        <w:jc w:val="both"/>
        <w:rPr>
          <w:rFonts w:ascii="Book Antiqua" w:hAnsi="Book Antiqua"/>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 xml:space="preserve">Imaging analysis </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Confocal laser scanning microscopy (CLSM) images of CG patches showed less MSCs than TCs, both in the single cell culture of MSCs as well as when cultured together with TCs. The MSCs appear in a rounded shape in the CLSM images, as opposed to the TCs, which have a more elongated appearance. This is in line with the SEM results for the CG patches, on which we found rather roundish morphologies.</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There seems a conflict in the data that the cell density on CG patches was decreasing for MSCs (Figure 4 lower panel) but DNA content (Figure 5) and cell activity (Figure 6) showed a steady-state and a trend of increased activity, respectively. We interpret this as a donor-specific phenomenon in the CLSM data.</w:t>
      </w:r>
    </w:p>
    <w:p w:rsidR="005A6B69" w:rsidRPr="009A4BDC" w:rsidRDefault="005A6B69" w:rsidP="00D8293D">
      <w:pPr>
        <w:spacing w:line="360" w:lineRule="auto"/>
        <w:ind w:firstLine="432"/>
        <w:jc w:val="both"/>
        <w:rPr>
          <w:rFonts w:ascii="Book Antiqua" w:hAnsi="Book Antiqua"/>
          <w:b/>
          <w:i/>
          <w:color w:val="auto"/>
        </w:rPr>
      </w:pPr>
    </w:p>
    <w:p w:rsidR="005A6B69" w:rsidRPr="009A4BDC" w:rsidRDefault="005A6B69" w:rsidP="00D8293D">
      <w:pPr>
        <w:spacing w:line="360" w:lineRule="auto"/>
        <w:jc w:val="both"/>
        <w:rPr>
          <w:rFonts w:ascii="Book Antiqua" w:hAnsi="Book Antiqua"/>
          <w:b/>
          <w:i/>
          <w:color w:val="auto"/>
        </w:rPr>
      </w:pPr>
      <w:r w:rsidRPr="009A4BDC">
        <w:rPr>
          <w:rFonts w:ascii="Book Antiqua" w:hAnsi="Book Antiqua"/>
          <w:b/>
          <w:i/>
          <w:color w:val="auto"/>
        </w:rPr>
        <w:t>Extracellular matrix and collagen patch environment</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GAG and HYP values were also corrected for control values, as we registered significant amounts of initial GAG and </w:t>
      </w:r>
      <w:r>
        <w:rPr>
          <w:rFonts w:ascii="Book Antiqua" w:hAnsi="Book Antiqua"/>
          <w:color w:val="auto"/>
        </w:rPr>
        <w:t>HYP in our controls (Figure 7A</w:t>
      </w:r>
      <w:r>
        <w:rPr>
          <w:rFonts w:ascii="Book Antiqua" w:eastAsia="宋体" w:hAnsi="Book Antiqua"/>
          <w:color w:val="auto"/>
          <w:lang w:eastAsia="zh-CN"/>
        </w:rPr>
        <w:t xml:space="preserve"> and 7</w:t>
      </w:r>
      <w:r w:rsidRPr="009A4BDC">
        <w:rPr>
          <w:rFonts w:ascii="Book Antiqua" w:hAnsi="Book Antiqua"/>
          <w:color w:val="auto"/>
        </w:rPr>
        <w:t>B), which was expected considering that collagen patches consist primarily of collagen 1 and 3. Correcting for the controls, we see a decrease in GAG per mg of dry-weight. This suggests that the MSCs are changing in phenotype and possibly produce less GAG over time if in direct 1:1 co-culture. Interestingly, comparing the relative change of the HYP/GAG ratio of day 7 relative to day 1 showed a significant effect of “premix” cells but there was no effect of the differences between the two scaffolds (Figure 7). The effect of cells was highly significant in the 2-way ANOVA (</w:t>
      </w:r>
      <w:r w:rsidRPr="009A4BDC">
        <w:rPr>
          <w:rFonts w:ascii="Book Antiqua" w:hAnsi="Book Antiqua"/>
          <w:i/>
          <w:color w:val="auto"/>
        </w:rPr>
        <w:t>P</w:t>
      </w:r>
      <w:r w:rsidRPr="009A4BDC">
        <w:rPr>
          <w:rFonts w:ascii="Book Antiqua" w:hAnsi="Book Antiqua"/>
          <w:color w:val="auto"/>
        </w:rPr>
        <w:t xml:space="preserve"> = 0.005, Figure 7). Thus, premix of cells shifted the ratio between HYP/GAG towards lower production of GAG and slight increase of HYP. </w:t>
      </w:r>
    </w:p>
    <w:p w:rsidR="005A6B69" w:rsidRPr="009A4BDC" w:rsidRDefault="005A6B69" w:rsidP="00DB69CE">
      <w:pPr>
        <w:spacing w:line="360" w:lineRule="auto"/>
        <w:ind w:firstLineChars="100" w:firstLine="240"/>
        <w:jc w:val="both"/>
        <w:rPr>
          <w:rFonts w:ascii="Book Antiqua" w:hAnsi="Book Antiqua"/>
          <w:color w:val="auto"/>
        </w:rPr>
      </w:pPr>
      <w:r w:rsidRPr="005F7DC3">
        <w:rPr>
          <w:rFonts w:ascii="Book Antiqua" w:hAnsi="Book Antiqua"/>
          <w:lang w:val="en-GB"/>
        </w:rPr>
        <w:t>In conclusion,</w:t>
      </w:r>
      <w:r>
        <w:rPr>
          <w:rFonts w:ascii="Book Antiqua" w:eastAsia="宋体" w:hAnsi="Book Antiqua"/>
          <w:lang w:val="en-GB" w:eastAsia="zh-CN"/>
        </w:rPr>
        <w:t xml:space="preserve"> </w:t>
      </w:r>
      <w:r w:rsidRPr="009A4BDC">
        <w:rPr>
          <w:rFonts w:ascii="Book Antiqua" w:hAnsi="Book Antiqua"/>
          <w:color w:val="auto"/>
        </w:rPr>
        <w:t>the results of these 3D cell culture experiments demonstrate the potential of collagen patches for ACL repair</w:t>
      </w:r>
      <w:r w:rsidRPr="009A4BDC">
        <w:rPr>
          <w:rFonts w:ascii="Book Antiqua" w:hAnsi="Book Antiqua"/>
          <w:color w:val="auto"/>
          <w:vertAlign w:val="superscript"/>
        </w:rPr>
        <w:t>[4]</w:t>
      </w:r>
      <w:r w:rsidRPr="009A4BDC">
        <w:rPr>
          <w:rFonts w:ascii="Book Antiqua" w:hAnsi="Book Antiqua"/>
          <w:color w:val="auto"/>
        </w:rPr>
        <w:t xml:space="preserve">. Using biochemical and imaging methods, we were able to demonstrate that primary TCs and MSCs can both be grown on the NC and CG patches, which were originally designed to induce a chondrogenic phenotype. Both TCs and MSCs adhere to and proliferate on the patches. Moreover, MSCs seem to show a tenogenic differentiation potential on these scaffolds as indicated by the significant increase of collagen type 3. Future work might consider the importance of alternative stimuli to accelerate healing such as the application of platelet rich plasma (PRP) or platelet rich fibrin (PRF). The problem with ACL-derived TCs and MSCs, which have to be expanded first </w:t>
      </w:r>
      <w:r w:rsidRPr="009A4BDC">
        <w:rPr>
          <w:rFonts w:ascii="Book Antiqua" w:hAnsi="Book Antiqua"/>
          <w:i/>
          <w:color w:val="auto"/>
        </w:rPr>
        <w:t>ex vivo</w:t>
      </w:r>
      <w:r w:rsidRPr="009A4BDC">
        <w:rPr>
          <w:rFonts w:ascii="Book Antiqua" w:hAnsi="Book Antiqua"/>
          <w:color w:val="auto"/>
        </w:rPr>
        <w:t xml:space="preserve"> on plastics, is their clinical approval. With PRP on the other hand are unsolved issues about the reproducibility and the ideal dose of platelet concentrations</w:t>
      </w:r>
      <w:r w:rsidRPr="009A4BDC">
        <w:rPr>
          <w:rFonts w:ascii="Book Antiqua" w:hAnsi="Book Antiqua"/>
          <w:color w:val="auto"/>
          <w:vertAlign w:val="superscript"/>
        </w:rPr>
        <w:t>[35,36]</w:t>
      </w:r>
      <w:r w:rsidRPr="009A4BDC">
        <w:rPr>
          <w:rFonts w:ascii="Book Antiqua" w:hAnsi="Book Antiqua"/>
          <w:color w:val="auto"/>
        </w:rPr>
        <w:t>.</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Further studies should be performed to evaluate additional aspects. First of all, it would be beneficial to run the experiments with a longer culture time. This would permit a more in depth analysis of the induced cell morphologies on the different patches, which could alter the survivability of the cells as well as the differentiation potential. Additionally, it would allow us to observe whether this changes the gene expression profile of the cells. It is also likely that longer culturing duration would lead to more pronounced differences between cell and patch types and be able to further support the trends we have observed so far.</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Furthermore, studies should also be performed using mechanical loading. It has been shown that mechanical strain induces MSCs to differentiate into a TCs phenotype</w:t>
      </w:r>
      <w:r w:rsidRPr="009A4BDC">
        <w:rPr>
          <w:rFonts w:ascii="Book Antiqua" w:hAnsi="Book Antiqua"/>
          <w:color w:val="auto"/>
          <w:vertAlign w:val="superscript"/>
        </w:rPr>
        <w:t>[37,38]</w:t>
      </w:r>
      <w:r w:rsidRPr="009A4BDC">
        <w:rPr>
          <w:rFonts w:ascii="Book Antiqua" w:hAnsi="Book Antiqua"/>
          <w:color w:val="auto"/>
        </w:rPr>
        <w:t>. It would be interesting to see whether the cells respond differently on the two patch types, subjected to equal parameters. Also, the mechanical properties of a scaffold are known to impact cell differentiation. In fact, several prior attempts at ligament or tendon repair have resulted in ectopic bone formation</w:t>
      </w:r>
      <w:r w:rsidRPr="009A4BDC">
        <w:rPr>
          <w:rFonts w:ascii="Book Antiqua" w:hAnsi="Book Antiqua"/>
          <w:color w:val="auto"/>
          <w:vertAlign w:val="superscript"/>
        </w:rPr>
        <w:t>[30]</w:t>
      </w:r>
      <w:r w:rsidRPr="009A4BDC">
        <w:rPr>
          <w:rFonts w:ascii="Book Antiqua" w:hAnsi="Book Antiqua"/>
          <w:color w:val="auto"/>
        </w:rPr>
        <w:t>. Thus, further experiments testing the impact of the mechanical properties would be helpful in evaluating the full potential of these patches. However, in these studies, it would be crucial also to look at bone-specific markers such as osteocalcin</w:t>
      </w:r>
      <w:r w:rsidRPr="009A4BDC">
        <w:rPr>
          <w:rFonts w:ascii="Book Antiqua" w:hAnsi="Book Antiqua"/>
          <w:color w:val="auto"/>
          <w:vertAlign w:val="superscript"/>
        </w:rPr>
        <w:t>[30]</w:t>
      </w:r>
      <w:r w:rsidRPr="009A4BDC">
        <w:rPr>
          <w:rFonts w:ascii="Book Antiqua" w:hAnsi="Book Antiqua"/>
          <w:color w:val="auto"/>
        </w:rPr>
        <w:t>.</w:t>
      </w:r>
    </w:p>
    <w:p w:rsidR="005A6B69" w:rsidRPr="009A4BDC" w:rsidRDefault="005A6B69" w:rsidP="00DB69CE">
      <w:pPr>
        <w:spacing w:line="360" w:lineRule="auto"/>
        <w:ind w:firstLineChars="100" w:firstLine="240"/>
        <w:jc w:val="both"/>
        <w:rPr>
          <w:rFonts w:ascii="Book Antiqua" w:hAnsi="Book Antiqua"/>
          <w:color w:val="auto"/>
        </w:rPr>
      </w:pPr>
      <w:r w:rsidRPr="009A4BDC">
        <w:rPr>
          <w:rFonts w:ascii="Book Antiqua" w:hAnsi="Book Antiqua"/>
          <w:color w:val="auto"/>
        </w:rPr>
        <w:t>In conclusion, while certain aspects should be examined in more depth, the use of collagen scaffolds for ACL regeneration is promising</w:t>
      </w:r>
      <w:r w:rsidRPr="009A4BDC">
        <w:rPr>
          <w:rFonts w:ascii="Book Antiqua" w:hAnsi="Book Antiqua"/>
          <w:color w:val="auto"/>
          <w:vertAlign w:val="superscript"/>
        </w:rPr>
        <w:t>[4]</w:t>
      </w:r>
      <w:r w:rsidRPr="009A4BDC">
        <w:rPr>
          <w:rFonts w:ascii="Book Antiqua" w:hAnsi="Book Antiqua"/>
          <w:color w:val="auto"/>
        </w:rPr>
        <w:t>. The usage of a biological ACL repair model including collagen patches in a non-loading repair model seems a genius option to improve healing. What remains to be shown is whether mechanical loading improves the healing process or whether platelet rich fibrin PRF or PRP might be another option to be included at the site of rupture for the healing or whether it might be even hindering the healing process as has been recently proposed</w:t>
      </w:r>
      <w:r w:rsidRPr="009A4BDC">
        <w:rPr>
          <w:rFonts w:ascii="Book Antiqua" w:hAnsi="Book Antiqua"/>
          <w:color w:val="auto"/>
          <w:vertAlign w:val="superscript"/>
        </w:rPr>
        <w:t>[35,36,39,40]</w:t>
      </w:r>
      <w:r w:rsidRPr="009A4BDC">
        <w:rPr>
          <w:rFonts w:ascii="Book Antiqua" w:hAnsi="Book Antiqua"/>
          <w:color w:val="auto"/>
        </w:rPr>
        <w:t xml:space="preserve">. </w:t>
      </w:r>
    </w:p>
    <w:p w:rsidR="005A6B69" w:rsidRPr="009A4BDC" w:rsidRDefault="005A6B69" w:rsidP="00D8293D">
      <w:pPr>
        <w:spacing w:line="360" w:lineRule="auto"/>
        <w:ind w:firstLine="432"/>
        <w:jc w:val="both"/>
        <w:rPr>
          <w:rFonts w:ascii="Book Antiqua" w:hAnsi="Book Antiqua"/>
          <w:color w:val="auto"/>
        </w:rPr>
      </w:pPr>
    </w:p>
    <w:p w:rsidR="005A6B69" w:rsidRPr="0080491A" w:rsidRDefault="005A6B69" w:rsidP="00D829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宋体" w:hAnsi="Book Antiqua"/>
          <w:b/>
          <w:color w:val="auto"/>
          <w:lang w:eastAsia="zh-CN"/>
        </w:rPr>
      </w:pPr>
      <w:r>
        <w:rPr>
          <w:rFonts w:ascii="Book Antiqua" w:hAnsi="Book Antiqua"/>
          <w:b/>
          <w:color w:val="auto"/>
        </w:rPr>
        <w:t>ACKNOWLEDGEMENTS</w:t>
      </w:r>
    </w:p>
    <w:p w:rsidR="005A6B69" w:rsidRPr="009A4BDC" w:rsidRDefault="005A6B69" w:rsidP="00D8293D">
      <w:pPr>
        <w:spacing w:line="360" w:lineRule="auto"/>
        <w:jc w:val="both"/>
        <w:rPr>
          <w:rFonts w:ascii="Book Antiqua" w:hAnsi="Book Antiqua"/>
          <w:color w:val="auto"/>
        </w:rPr>
      </w:pPr>
      <w:r w:rsidRPr="009A4BDC">
        <w:rPr>
          <w:rFonts w:ascii="Book Antiqua" w:hAnsi="Book Antiqua"/>
          <w:color w:val="auto"/>
        </w:rPr>
        <w:t xml:space="preserve">Rachel Horovitz collected cell culture data and provided input for the manuscript. Elena Calandriello assisted in biochemical assays. The imaging part of this study was performed with the facility of the Microscopy Imaging Center (MIC), University of Bern. </w:t>
      </w:r>
    </w:p>
    <w:p w:rsidR="005A6B69" w:rsidRPr="009A4BDC" w:rsidRDefault="005A6B69" w:rsidP="00D8293D">
      <w:pPr>
        <w:widowControl w:val="0"/>
        <w:tabs>
          <w:tab w:val="left" w:pos="6379"/>
        </w:tabs>
        <w:autoSpaceDE w:val="0"/>
        <w:autoSpaceDN w:val="0"/>
        <w:adjustRightInd w:val="0"/>
        <w:spacing w:line="360" w:lineRule="auto"/>
        <w:jc w:val="both"/>
        <w:rPr>
          <w:rFonts w:ascii="Book Antiqua" w:hAnsi="Book Antiqua"/>
          <w:color w:val="auto"/>
        </w:rPr>
      </w:pPr>
    </w:p>
    <w:p w:rsidR="005A6B69" w:rsidRDefault="005A6B69" w:rsidP="00D8293D">
      <w:pPr>
        <w:adjustRightInd w:val="0"/>
        <w:snapToGrid w:val="0"/>
        <w:spacing w:line="360" w:lineRule="auto"/>
        <w:jc w:val="both"/>
        <w:rPr>
          <w:rFonts w:ascii="Book Antiqua" w:eastAsia="宋体" w:hAnsi="Book Antiqua"/>
          <w:b/>
          <w:lang w:eastAsia="zh-CN"/>
        </w:rPr>
      </w:pPr>
    </w:p>
    <w:p w:rsidR="005A6B69" w:rsidRPr="005F7DC3" w:rsidRDefault="005A6B69" w:rsidP="00D8293D">
      <w:pPr>
        <w:adjustRightInd w:val="0"/>
        <w:snapToGrid w:val="0"/>
        <w:spacing w:line="360" w:lineRule="auto"/>
        <w:jc w:val="both"/>
        <w:rPr>
          <w:rFonts w:ascii="Book Antiqua" w:hAnsi="Book Antiqua"/>
          <w:b/>
        </w:rPr>
      </w:pPr>
      <w:r w:rsidRPr="005F7DC3">
        <w:rPr>
          <w:rFonts w:ascii="Book Antiqua" w:hAnsi="Book Antiqua"/>
          <w:b/>
        </w:rPr>
        <w:t>COMMENTS</w:t>
      </w:r>
    </w:p>
    <w:p w:rsidR="005A6B69" w:rsidRPr="005F7DC3" w:rsidRDefault="005A6B69" w:rsidP="00D8293D">
      <w:pPr>
        <w:adjustRightInd w:val="0"/>
        <w:snapToGrid w:val="0"/>
        <w:spacing w:line="360" w:lineRule="auto"/>
        <w:jc w:val="both"/>
        <w:rPr>
          <w:rFonts w:ascii="Book Antiqua" w:hAnsi="Book Antiqua"/>
          <w:b/>
          <w:i/>
        </w:rPr>
      </w:pPr>
      <w:r w:rsidRPr="005F7DC3">
        <w:rPr>
          <w:rFonts w:ascii="Book Antiqua" w:hAnsi="Book Antiqua"/>
          <w:b/>
          <w:i/>
        </w:rPr>
        <w:t>Background</w:t>
      </w:r>
    </w:p>
    <w:p w:rsidR="005A6B69" w:rsidRDefault="005A6B69" w:rsidP="00D8293D">
      <w:pPr>
        <w:pStyle w:val="NormalWeb"/>
        <w:spacing w:before="0" w:beforeAutospacing="0" w:after="0" w:afterAutospacing="0" w:line="360" w:lineRule="auto"/>
        <w:jc w:val="both"/>
        <w:rPr>
          <w:rFonts w:ascii="Book Antiqua" w:eastAsia="宋体" w:hAnsi="Book Antiqua"/>
          <w:bCs/>
          <w:iCs/>
          <w:sz w:val="24"/>
          <w:szCs w:val="24"/>
          <w:lang w:val="en-US" w:eastAsia="zh-CN"/>
        </w:rPr>
      </w:pPr>
      <w:r w:rsidRPr="007D67F0">
        <w:rPr>
          <w:rFonts w:ascii="Book Antiqua" w:hAnsi="Book Antiqua"/>
          <w:bCs/>
          <w:iCs/>
          <w:sz w:val="24"/>
          <w:szCs w:val="24"/>
          <w:lang w:val="en-US"/>
        </w:rPr>
        <w:t xml:space="preserve">Mesenchymal stem cells </w:t>
      </w:r>
      <w:r>
        <w:rPr>
          <w:rFonts w:ascii="Book Antiqua" w:eastAsia="宋体" w:hAnsi="Book Antiqua"/>
          <w:bCs/>
          <w:iCs/>
          <w:sz w:val="24"/>
          <w:szCs w:val="24"/>
          <w:lang w:val="en-US" w:eastAsia="zh-CN"/>
        </w:rPr>
        <w:t>(</w:t>
      </w:r>
      <w:r w:rsidRPr="009A4BDC">
        <w:rPr>
          <w:rFonts w:ascii="Book Antiqua" w:hAnsi="Book Antiqua"/>
          <w:bCs/>
          <w:iCs/>
          <w:sz w:val="24"/>
          <w:szCs w:val="24"/>
          <w:lang w:val="en-US"/>
        </w:rPr>
        <w:t>MSCs</w:t>
      </w:r>
      <w:r>
        <w:rPr>
          <w:rFonts w:ascii="Book Antiqua" w:eastAsia="宋体" w:hAnsi="Book Antiqua"/>
          <w:bCs/>
          <w:iCs/>
          <w:sz w:val="24"/>
          <w:szCs w:val="24"/>
          <w:lang w:val="en-US" w:eastAsia="zh-CN"/>
        </w:rPr>
        <w:t>)</w:t>
      </w:r>
      <w:r w:rsidRPr="009A4BDC">
        <w:rPr>
          <w:rFonts w:ascii="Book Antiqua" w:hAnsi="Book Antiqua"/>
          <w:bCs/>
          <w:iCs/>
          <w:sz w:val="24"/>
          <w:szCs w:val="24"/>
          <w:lang w:val="en-US"/>
        </w:rPr>
        <w:t xml:space="preserve"> and </w:t>
      </w:r>
      <w:r w:rsidRPr="007D67F0">
        <w:rPr>
          <w:rFonts w:ascii="Book Antiqua" w:hAnsi="Book Antiqua"/>
          <w:bCs/>
          <w:iCs/>
          <w:sz w:val="24"/>
          <w:szCs w:val="24"/>
          <w:lang w:val="en-US"/>
        </w:rPr>
        <w:t>anterior cruciate ligament</w:t>
      </w:r>
      <w:r w:rsidRPr="009A4BDC">
        <w:rPr>
          <w:rFonts w:ascii="Book Antiqua" w:hAnsi="Book Antiqua"/>
          <w:bCs/>
          <w:iCs/>
          <w:sz w:val="24"/>
          <w:szCs w:val="24"/>
          <w:lang w:val="en-US"/>
        </w:rPr>
        <w:t xml:space="preserve"> </w:t>
      </w:r>
      <w:r>
        <w:rPr>
          <w:rFonts w:ascii="Book Antiqua" w:eastAsia="宋体" w:hAnsi="Book Antiqua"/>
          <w:bCs/>
          <w:iCs/>
          <w:sz w:val="24"/>
          <w:szCs w:val="24"/>
          <w:lang w:val="en-US" w:eastAsia="zh-CN"/>
        </w:rPr>
        <w:t>(</w:t>
      </w:r>
      <w:r w:rsidRPr="009A4BDC">
        <w:rPr>
          <w:rFonts w:ascii="Book Antiqua" w:hAnsi="Book Antiqua"/>
          <w:bCs/>
          <w:iCs/>
          <w:sz w:val="24"/>
          <w:szCs w:val="24"/>
          <w:lang w:val="en-US"/>
        </w:rPr>
        <w:t>ACL</w:t>
      </w:r>
      <w:r>
        <w:rPr>
          <w:rFonts w:ascii="Book Antiqua" w:eastAsia="宋体" w:hAnsi="Book Antiqua"/>
          <w:bCs/>
          <w:iCs/>
          <w:sz w:val="24"/>
          <w:szCs w:val="24"/>
          <w:lang w:val="en-US" w:eastAsia="zh-CN"/>
        </w:rPr>
        <w:t>)</w:t>
      </w:r>
      <w:r w:rsidRPr="009A4BDC">
        <w:rPr>
          <w:rFonts w:ascii="Book Antiqua" w:hAnsi="Book Antiqua"/>
          <w:bCs/>
          <w:iCs/>
          <w:sz w:val="24"/>
          <w:szCs w:val="24"/>
          <w:lang w:val="en-US"/>
        </w:rPr>
        <w:t xml:space="preserve">-derived </w:t>
      </w:r>
      <w:r w:rsidRPr="007D67F0">
        <w:rPr>
          <w:rFonts w:ascii="Book Antiqua" w:hAnsi="Book Antiqua"/>
          <w:bCs/>
          <w:iCs/>
          <w:sz w:val="24"/>
          <w:szCs w:val="24"/>
          <w:lang w:val="en-US"/>
        </w:rPr>
        <w:t>tenocyte</w:t>
      </w:r>
      <w:r w:rsidRPr="009A4BDC">
        <w:rPr>
          <w:rFonts w:ascii="Book Antiqua" w:hAnsi="Book Antiqua"/>
          <w:bCs/>
          <w:iCs/>
          <w:sz w:val="24"/>
          <w:szCs w:val="24"/>
          <w:lang w:val="en-US"/>
        </w:rPr>
        <w:t xml:space="preserve"> </w:t>
      </w:r>
      <w:r>
        <w:rPr>
          <w:rFonts w:ascii="Book Antiqua" w:eastAsia="宋体" w:hAnsi="Book Antiqua"/>
          <w:bCs/>
          <w:iCs/>
          <w:sz w:val="24"/>
          <w:szCs w:val="24"/>
          <w:lang w:val="en-US" w:eastAsia="zh-CN"/>
        </w:rPr>
        <w:t>(</w:t>
      </w:r>
      <w:r w:rsidRPr="009A4BDC">
        <w:rPr>
          <w:rFonts w:ascii="Book Antiqua" w:hAnsi="Book Antiqua"/>
          <w:bCs/>
          <w:iCs/>
          <w:sz w:val="24"/>
          <w:szCs w:val="24"/>
          <w:lang w:val="en-US"/>
        </w:rPr>
        <w:t>TCs</w:t>
      </w:r>
      <w:r>
        <w:rPr>
          <w:rFonts w:ascii="Book Antiqua" w:eastAsia="宋体" w:hAnsi="Book Antiqua"/>
          <w:bCs/>
          <w:iCs/>
          <w:sz w:val="24"/>
          <w:szCs w:val="24"/>
          <w:lang w:val="en-US" w:eastAsia="zh-CN"/>
        </w:rPr>
        <w:t>)</w:t>
      </w:r>
      <w:r w:rsidRPr="009A4BDC">
        <w:rPr>
          <w:rFonts w:ascii="Book Antiqua" w:hAnsi="Book Antiqua"/>
          <w:bCs/>
          <w:iCs/>
          <w:sz w:val="24"/>
          <w:szCs w:val="24"/>
          <w:lang w:val="en-US"/>
        </w:rPr>
        <w:t xml:space="preserve"> are both potential source cells to be applied for the cell seeding of the dynamic intraligamentary stabilization for the fixation of ruptured ACLs. Current treatment options for non-fusions of ruptured ACLs are very limited.</w:t>
      </w:r>
    </w:p>
    <w:p w:rsidR="005A6B69" w:rsidRPr="0049634D" w:rsidRDefault="005A6B69" w:rsidP="00D8293D">
      <w:pPr>
        <w:pStyle w:val="NormalWeb"/>
        <w:spacing w:before="0" w:beforeAutospacing="0" w:after="0" w:afterAutospacing="0" w:line="360" w:lineRule="auto"/>
        <w:jc w:val="both"/>
        <w:rPr>
          <w:rFonts w:ascii="Book Antiqua" w:eastAsia="宋体" w:hAnsi="Book Antiqua"/>
          <w:bCs/>
          <w:iCs/>
          <w:sz w:val="24"/>
          <w:szCs w:val="24"/>
          <w:lang w:val="en-US" w:eastAsia="zh-CN"/>
        </w:rPr>
      </w:pPr>
    </w:p>
    <w:p w:rsidR="005A6B69" w:rsidRPr="009A4BDC" w:rsidRDefault="005A6B69" w:rsidP="00D8293D">
      <w:pPr>
        <w:pStyle w:val="NormalWeb"/>
        <w:spacing w:before="0" w:beforeAutospacing="0" w:after="0" w:afterAutospacing="0" w:line="360" w:lineRule="auto"/>
        <w:jc w:val="both"/>
        <w:rPr>
          <w:rFonts w:ascii="Book Antiqua" w:hAnsi="Book Antiqua"/>
          <w:b/>
          <w:bCs/>
          <w:i/>
          <w:iCs/>
          <w:sz w:val="24"/>
          <w:szCs w:val="24"/>
          <w:lang w:val="en-US"/>
        </w:rPr>
      </w:pPr>
      <w:r w:rsidRPr="009A4BDC">
        <w:rPr>
          <w:rFonts w:ascii="Book Antiqua" w:hAnsi="Book Antiqua"/>
          <w:b/>
          <w:bCs/>
          <w:i/>
          <w:iCs/>
          <w:sz w:val="24"/>
          <w:szCs w:val="24"/>
          <w:lang w:val="en-US"/>
        </w:rPr>
        <w:t xml:space="preserve">Research frontiers </w:t>
      </w:r>
    </w:p>
    <w:p w:rsidR="005A6B69" w:rsidRDefault="005A6B69" w:rsidP="00D8293D">
      <w:pPr>
        <w:widowControl w:val="0"/>
        <w:autoSpaceDE w:val="0"/>
        <w:autoSpaceDN w:val="0"/>
        <w:adjustRightInd w:val="0"/>
        <w:spacing w:line="360" w:lineRule="auto"/>
        <w:jc w:val="both"/>
        <w:rPr>
          <w:rFonts w:ascii="Book Antiqua" w:eastAsia="宋体" w:hAnsi="Book Antiqua"/>
          <w:bCs/>
          <w:iCs/>
          <w:color w:val="auto"/>
          <w:lang w:eastAsia="zh-CN"/>
        </w:rPr>
      </w:pPr>
      <w:r w:rsidRPr="009A4BDC">
        <w:rPr>
          <w:rFonts w:ascii="Book Antiqua" w:eastAsia="｣ﾍ｣ﾓ ﾃｯ" w:hAnsi="Book Antiqua"/>
          <w:bCs/>
          <w:iCs/>
          <w:color w:val="auto"/>
        </w:rPr>
        <w:t>ACL injury is a common disease and the repair of ACL remains a challenge due to its limited self-regenerative ability. Despite of the progression of reconstructive techniques for ACL repair, an ideal biological scaffold for ACL reconstruction is needed to improve clinical outcome, especially in the case of non-unions.</w:t>
      </w:r>
    </w:p>
    <w:p w:rsidR="005A6B69" w:rsidRPr="0080491A" w:rsidRDefault="005A6B69" w:rsidP="00D8293D">
      <w:pPr>
        <w:widowControl w:val="0"/>
        <w:autoSpaceDE w:val="0"/>
        <w:autoSpaceDN w:val="0"/>
        <w:adjustRightInd w:val="0"/>
        <w:spacing w:line="360" w:lineRule="auto"/>
        <w:jc w:val="both"/>
        <w:rPr>
          <w:rFonts w:ascii="Book Antiqua" w:eastAsia="宋体" w:hAnsi="Book Antiqua"/>
          <w:bCs/>
          <w:iCs/>
          <w:color w:val="auto"/>
          <w:lang w:eastAsia="zh-CN"/>
        </w:rPr>
      </w:pPr>
    </w:p>
    <w:p w:rsidR="005A6B69" w:rsidRPr="005F7DC3" w:rsidRDefault="005A6B69" w:rsidP="00D8293D">
      <w:pPr>
        <w:adjustRightInd w:val="0"/>
        <w:snapToGrid w:val="0"/>
        <w:spacing w:line="360" w:lineRule="auto"/>
        <w:jc w:val="both"/>
        <w:rPr>
          <w:rFonts w:ascii="Book Antiqua" w:hAnsi="Book Antiqua"/>
          <w:b/>
          <w:i/>
        </w:rPr>
      </w:pPr>
      <w:r w:rsidRPr="005F7DC3">
        <w:rPr>
          <w:rFonts w:ascii="Book Antiqua" w:hAnsi="Book Antiqua"/>
          <w:b/>
          <w:i/>
        </w:rPr>
        <w:t>Innovations and breakthroughs</w:t>
      </w:r>
    </w:p>
    <w:p w:rsidR="005A6B69" w:rsidRDefault="005A6B69" w:rsidP="00D8293D">
      <w:pPr>
        <w:pStyle w:val="NormalWeb"/>
        <w:spacing w:before="0" w:beforeAutospacing="0" w:after="0" w:afterAutospacing="0" w:line="360" w:lineRule="auto"/>
        <w:jc w:val="both"/>
        <w:rPr>
          <w:rFonts w:ascii="Book Antiqua" w:eastAsia="宋体" w:hAnsi="Book Antiqua"/>
          <w:bCs/>
          <w:iCs/>
          <w:sz w:val="24"/>
          <w:szCs w:val="24"/>
          <w:lang w:val="en-US" w:eastAsia="zh-CN"/>
        </w:rPr>
      </w:pPr>
      <w:r w:rsidRPr="009A4BDC">
        <w:rPr>
          <w:rFonts w:ascii="Book Antiqua" w:hAnsi="Book Antiqua"/>
          <w:bCs/>
          <w:iCs/>
          <w:sz w:val="24"/>
          <w:szCs w:val="24"/>
          <w:lang w:val="en-US"/>
        </w:rPr>
        <w:t xml:space="preserve">In this study the authors present novel data on the regenerative technique to use commercially </w:t>
      </w:r>
      <w:r w:rsidRPr="00D8293D">
        <w:rPr>
          <w:rFonts w:ascii="Book Antiqua" w:hAnsi="Book Antiqua"/>
          <w:bCs/>
          <w:iCs/>
          <w:sz w:val="24"/>
          <w:szCs w:val="24"/>
          <w:lang w:val="en-US"/>
        </w:rPr>
        <w:t>Food and Drug Administration</w:t>
      </w:r>
      <w:r>
        <w:rPr>
          <w:rFonts w:ascii="Book Antiqua" w:eastAsia="宋体" w:hAnsi="Book Antiqua"/>
          <w:bCs/>
          <w:iCs/>
          <w:sz w:val="24"/>
          <w:szCs w:val="24"/>
          <w:lang w:val="en-US" w:eastAsia="zh-CN"/>
        </w:rPr>
        <w:t xml:space="preserve"> (FDA)</w:t>
      </w:r>
      <w:r w:rsidRPr="009A4BDC">
        <w:rPr>
          <w:rFonts w:ascii="Book Antiqua" w:hAnsi="Book Antiqua"/>
          <w:bCs/>
          <w:iCs/>
          <w:sz w:val="24"/>
          <w:szCs w:val="24"/>
          <w:lang w:val="en-US"/>
        </w:rPr>
        <w:t>-approved collagen 1 and 3 scaffolds along with ACL-derived TCs and MSCs. They provide microscopy imaging data, biochemical data, and gene expression data of human derived primary bone-marrow derived MSCs and ACL-derived tenocytes. There was not much known how cell therapy could accelerate and improve healing for ACL ruptures in combination with a recently developed dynamic anchoring technique called Ligamys</w:t>
      </w:r>
      <w:r w:rsidRPr="009A4BDC">
        <w:rPr>
          <w:rFonts w:ascii="Book Antiqua" w:hAnsi="Book Antiqua" w:cs="Lucida Grande"/>
          <w:sz w:val="24"/>
          <w:szCs w:val="24"/>
          <w:lang w:val="en-US" w:eastAsia="ja-JP"/>
        </w:rPr>
        <w:t>©</w:t>
      </w:r>
      <w:r w:rsidRPr="009A4BDC">
        <w:rPr>
          <w:rFonts w:ascii="Book Antiqua" w:hAnsi="Book Antiqua"/>
          <w:bCs/>
          <w:iCs/>
          <w:sz w:val="24"/>
          <w:szCs w:val="24"/>
          <w:lang w:val="en-US"/>
        </w:rPr>
        <w:t>. The combination of regenerative approaches involving TCs and MSCs transplantation along with commercially available FDA-approved collagen patches seems a straightforward approach, as the membrane is highly biocompatible and does not carry the mechanical force.</w:t>
      </w:r>
    </w:p>
    <w:p w:rsidR="005A6B69" w:rsidRPr="0080491A" w:rsidRDefault="005A6B69" w:rsidP="00D8293D">
      <w:pPr>
        <w:pStyle w:val="NormalWeb"/>
        <w:spacing w:before="0" w:beforeAutospacing="0" w:after="0" w:afterAutospacing="0" w:line="360" w:lineRule="auto"/>
        <w:jc w:val="both"/>
        <w:rPr>
          <w:rFonts w:ascii="Book Antiqua" w:eastAsia="宋体" w:hAnsi="Book Antiqua"/>
          <w:sz w:val="24"/>
          <w:szCs w:val="24"/>
          <w:lang w:val="en-US" w:eastAsia="zh-CN"/>
        </w:rPr>
      </w:pPr>
    </w:p>
    <w:p w:rsidR="005A6B69" w:rsidRPr="005F7DC3" w:rsidRDefault="005A6B69" w:rsidP="00D8293D">
      <w:pPr>
        <w:adjustRightInd w:val="0"/>
        <w:snapToGrid w:val="0"/>
        <w:spacing w:line="360" w:lineRule="auto"/>
        <w:jc w:val="both"/>
        <w:rPr>
          <w:rFonts w:ascii="Book Antiqua" w:hAnsi="Book Antiqua"/>
          <w:b/>
          <w:i/>
        </w:rPr>
      </w:pPr>
      <w:r w:rsidRPr="005F7DC3">
        <w:rPr>
          <w:rFonts w:ascii="Book Antiqua" w:hAnsi="Book Antiqua"/>
          <w:b/>
          <w:i/>
        </w:rPr>
        <w:t>Applications</w:t>
      </w:r>
    </w:p>
    <w:p w:rsidR="005A6B69" w:rsidRDefault="005A6B69" w:rsidP="00D8293D">
      <w:pPr>
        <w:pStyle w:val="NormalWeb"/>
        <w:spacing w:before="0" w:beforeAutospacing="0" w:after="0" w:afterAutospacing="0" w:line="360" w:lineRule="auto"/>
        <w:jc w:val="both"/>
        <w:rPr>
          <w:rFonts w:ascii="Book Antiqua" w:eastAsia="宋体" w:hAnsi="Book Antiqua"/>
          <w:sz w:val="24"/>
          <w:szCs w:val="24"/>
          <w:lang w:val="en-US" w:eastAsia="zh-CN"/>
        </w:rPr>
      </w:pPr>
      <w:r w:rsidRPr="009A4BDC">
        <w:rPr>
          <w:rFonts w:ascii="Book Antiqua" w:hAnsi="Book Antiqua"/>
          <w:sz w:val="24"/>
          <w:szCs w:val="24"/>
          <w:lang w:val="en-US"/>
        </w:rPr>
        <w:t xml:space="preserve">Cyto-compatibility for the collagen patches is a tool to explain good clinical outcome. </w:t>
      </w:r>
    </w:p>
    <w:p w:rsidR="005A6B69" w:rsidRPr="0080491A" w:rsidRDefault="005A6B69" w:rsidP="00D8293D">
      <w:pPr>
        <w:pStyle w:val="NormalWeb"/>
        <w:spacing w:before="0" w:beforeAutospacing="0" w:after="0" w:afterAutospacing="0" w:line="360" w:lineRule="auto"/>
        <w:jc w:val="both"/>
        <w:rPr>
          <w:rFonts w:ascii="Book Antiqua" w:eastAsia="宋体" w:hAnsi="Book Antiqua"/>
          <w:sz w:val="24"/>
          <w:szCs w:val="24"/>
          <w:lang w:val="en-US" w:eastAsia="zh-CN"/>
        </w:rPr>
      </w:pPr>
    </w:p>
    <w:p w:rsidR="005A6B69" w:rsidRPr="005F7DC3" w:rsidRDefault="005A6B69" w:rsidP="00D8293D">
      <w:pPr>
        <w:adjustRightInd w:val="0"/>
        <w:snapToGrid w:val="0"/>
        <w:spacing w:line="360" w:lineRule="auto"/>
        <w:jc w:val="both"/>
        <w:rPr>
          <w:rFonts w:ascii="Book Antiqua" w:hAnsi="Book Antiqua"/>
          <w:b/>
          <w:i/>
          <w:lang w:val="en-GB"/>
        </w:rPr>
      </w:pPr>
      <w:r w:rsidRPr="005F7DC3">
        <w:rPr>
          <w:rFonts w:ascii="Book Antiqua" w:hAnsi="Book Antiqua"/>
          <w:b/>
          <w:i/>
          <w:lang w:val="en-GB"/>
        </w:rPr>
        <w:t>Peer review</w:t>
      </w:r>
    </w:p>
    <w:p w:rsidR="005A6B69" w:rsidRPr="0031630B" w:rsidRDefault="005A6B69" w:rsidP="00D8293D">
      <w:pPr>
        <w:pStyle w:val="NormalWeb"/>
        <w:spacing w:before="0" w:beforeAutospacing="0" w:after="0" w:afterAutospacing="0" w:line="360" w:lineRule="auto"/>
        <w:jc w:val="both"/>
        <w:rPr>
          <w:rFonts w:ascii="Book Antiqua" w:eastAsia="宋体" w:hAnsi="Book Antiqua" w:cs="Times"/>
          <w:sz w:val="24"/>
          <w:szCs w:val="24"/>
          <w:lang w:val="en-US" w:eastAsia="zh-CN"/>
        </w:rPr>
      </w:pPr>
      <w:r w:rsidRPr="0031630B">
        <w:rPr>
          <w:rFonts w:ascii="Book Antiqua" w:hAnsi="Book Antiqua" w:cs="Times"/>
          <w:sz w:val="24"/>
          <w:szCs w:val="24"/>
          <w:lang w:val="en-US" w:eastAsia="ja-JP"/>
        </w:rPr>
        <w:t>This paper</w:t>
      </w:r>
      <w:r>
        <w:rPr>
          <w:rFonts w:ascii="Book Antiqua" w:eastAsia="宋体" w:hAnsi="Book Antiqua" w:cs="Times"/>
          <w:sz w:val="24"/>
          <w:szCs w:val="24"/>
          <w:lang w:val="en-US" w:eastAsia="zh-CN"/>
        </w:rPr>
        <w:t xml:space="preserve"> </w:t>
      </w:r>
      <w:r w:rsidRPr="0031630B">
        <w:rPr>
          <w:rFonts w:ascii="Book Antiqua" w:hAnsi="Book Antiqua" w:cs="Times"/>
          <w:sz w:val="24"/>
          <w:szCs w:val="24"/>
          <w:lang w:val="en-US" w:eastAsia="ja-JP"/>
        </w:rPr>
        <w:t>compared two different collagen patches seeding with either bone marrow mesenchymal stem cells or primary tenocytes for possible anterior cruciate ligament repair. Chongrogide is composed of porcine collagen I and III as a</w:t>
      </w:r>
      <w:r>
        <w:rPr>
          <w:rFonts w:ascii="Book Antiqua" w:hAnsi="Book Antiqua" w:cs="Times"/>
          <w:sz w:val="24"/>
          <w:szCs w:val="24"/>
          <w:lang w:val="en-US" w:eastAsia="ja-JP"/>
        </w:rPr>
        <w:t xml:space="preserve"> bilayer membrane. Novocart is </w:t>
      </w:r>
      <w:r w:rsidRPr="0031630B">
        <w:rPr>
          <w:rFonts w:ascii="Book Antiqua" w:hAnsi="Book Antiqua" w:cs="Times"/>
          <w:sz w:val="24"/>
          <w:szCs w:val="24"/>
          <w:lang w:val="en-US" w:eastAsia="ja-JP"/>
        </w:rPr>
        <w:t>a biphasic, three-dimensional collagen-based matrix from bovine. Both of collagen sponges have been used for cartilage repair. ACL injury is a common disease and the repair of ACL remains a challenge due to its limited self regenerative ability. Despite of the progression of reconstructive techniques for ACL repair, an ideal biological scaffold for ACL reconstruction is needed. Thus, this study is of importance</w:t>
      </w:r>
      <w:r>
        <w:rPr>
          <w:rFonts w:ascii="Book Antiqua" w:eastAsia="宋体" w:hAnsi="Book Antiqua" w:cs="Times"/>
          <w:sz w:val="24"/>
          <w:szCs w:val="24"/>
          <w:lang w:val="en-US" w:eastAsia="zh-CN"/>
        </w:rPr>
        <w:t xml:space="preserve"> </w:t>
      </w:r>
      <w:r w:rsidRPr="0031630B">
        <w:rPr>
          <w:rFonts w:ascii="Book Antiqua" w:eastAsia="宋体" w:hAnsi="Book Antiqua" w:cs="Times"/>
          <w:sz w:val="24"/>
          <w:szCs w:val="24"/>
          <w:lang w:val="en-US" w:eastAsia="zh-CN"/>
        </w:rPr>
        <w:t>and experiments strongly suggest that the patches of collagen may be useful for anterior cruciate ligament repair</w:t>
      </w:r>
      <w:r>
        <w:rPr>
          <w:rFonts w:ascii="Book Antiqua" w:eastAsia="宋体" w:hAnsi="Book Antiqua" w:cs="Times"/>
          <w:sz w:val="24"/>
          <w:szCs w:val="24"/>
          <w:lang w:val="en-US" w:eastAsia="zh-CN"/>
        </w:rPr>
        <w:t>.</w:t>
      </w:r>
    </w:p>
    <w:p w:rsidR="005A6B69" w:rsidRPr="009A4BDC" w:rsidRDefault="005A6B69" w:rsidP="00D829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auto"/>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Default="005A6B69" w:rsidP="00D8293D">
      <w:pPr>
        <w:spacing w:line="360" w:lineRule="auto"/>
        <w:jc w:val="both"/>
        <w:rPr>
          <w:rFonts w:ascii="Book Antiqua" w:eastAsia="宋体" w:hAnsi="Book Antiqua"/>
          <w:b/>
          <w:color w:val="auto"/>
          <w:lang w:eastAsia="zh-CN"/>
        </w:rPr>
      </w:pPr>
    </w:p>
    <w:p w:rsidR="005A6B69" w:rsidRPr="0080491A" w:rsidRDefault="005A6B69" w:rsidP="00D8293D">
      <w:pPr>
        <w:spacing w:line="360" w:lineRule="auto"/>
        <w:jc w:val="both"/>
        <w:rPr>
          <w:rFonts w:ascii="Book Antiqua" w:eastAsia="宋体" w:hAnsi="Book Antiqua"/>
          <w:b/>
          <w:color w:val="auto"/>
          <w:lang w:eastAsia="zh-CN"/>
        </w:rPr>
      </w:pPr>
      <w:r>
        <w:rPr>
          <w:rFonts w:ascii="Book Antiqua" w:hAnsi="Book Antiqua"/>
          <w:b/>
          <w:color w:val="auto"/>
        </w:rPr>
        <w:t>REFERENCES</w:t>
      </w:r>
    </w:p>
    <w:p w:rsidR="005A6B69" w:rsidRPr="00DC237D" w:rsidRDefault="005A6B69" w:rsidP="00DB69CE">
      <w:pPr>
        <w:spacing w:line="360" w:lineRule="auto"/>
        <w:ind w:leftChars="-18" w:left="-2" w:hangingChars="17" w:hanging="41"/>
        <w:jc w:val="both"/>
        <w:rPr>
          <w:rFonts w:ascii="Book Antiqua" w:eastAsia="宋体" w:hAnsi="Book Antiqua"/>
          <w:color w:val="auto"/>
          <w:lang w:val="en-GB" w:eastAsia="zh-CN"/>
        </w:rPr>
      </w:pPr>
      <w:r w:rsidRPr="00DC237D">
        <w:rPr>
          <w:rFonts w:ascii="Book Antiqua" w:hAnsi="Book Antiqua"/>
          <w:color w:val="auto"/>
          <w:lang w:val="en-GB"/>
        </w:rPr>
        <w:t xml:space="preserve">1 </w:t>
      </w:r>
      <w:r w:rsidRPr="00DC237D">
        <w:rPr>
          <w:rFonts w:ascii="Book Antiqua" w:hAnsi="Book Antiqua"/>
          <w:b/>
          <w:color w:val="auto"/>
          <w:lang w:val="en-GB"/>
        </w:rPr>
        <w:t>Voigt C</w:t>
      </w:r>
      <w:r w:rsidRPr="00DC237D">
        <w:rPr>
          <w:rFonts w:ascii="Book Antiqua" w:hAnsi="Book Antiqua"/>
          <w:color w:val="auto"/>
          <w:lang w:val="en-GB"/>
        </w:rPr>
        <w:t>, Schönaich M, Lill H. Anterior cruciate ligament reconstruction: state of the art</w:t>
      </w:r>
      <w:r w:rsidRPr="00DC237D">
        <w:rPr>
          <w:rFonts w:ascii="Book Antiqua" w:eastAsia="宋体" w:hAnsi="Book Antiqua"/>
          <w:color w:val="auto"/>
          <w:lang w:val="en-GB" w:eastAsia="zh-CN"/>
        </w:rPr>
        <w:t>.</w:t>
      </w:r>
      <w:r w:rsidRPr="00DC237D">
        <w:rPr>
          <w:rFonts w:ascii="Book Antiqua" w:hAnsi="Book Antiqua"/>
          <w:color w:val="auto"/>
          <w:lang w:val="en-GB"/>
        </w:rPr>
        <w:t xml:space="preserve"> </w:t>
      </w:r>
      <w:r w:rsidRPr="00DC237D">
        <w:rPr>
          <w:rFonts w:ascii="Book Antiqua" w:hAnsi="Book Antiqua" w:cs="Arial"/>
          <w:i/>
          <w:color w:val="auto"/>
          <w:shd w:val="clear" w:color="auto" w:fill="FFFFFF"/>
        </w:rPr>
        <w:t>Eur</w:t>
      </w:r>
      <w:r w:rsidRPr="00DC237D">
        <w:rPr>
          <w:rStyle w:val="apple-converted-space"/>
          <w:rFonts w:ascii="Book Antiqua" w:hAnsi="Book Antiqua" w:cs="Arial"/>
          <w:i/>
          <w:color w:val="auto"/>
          <w:shd w:val="clear" w:color="auto" w:fill="FFFFFF"/>
        </w:rPr>
        <w:t> </w:t>
      </w:r>
      <w:r w:rsidRPr="00DC237D">
        <w:rPr>
          <w:rStyle w:val="Emphasis"/>
          <w:rFonts w:ascii="Book Antiqua" w:hAnsi="Book Antiqua" w:cs="Arial"/>
          <w:iCs w:val="0"/>
          <w:color w:val="auto"/>
          <w:shd w:val="clear" w:color="auto" w:fill="FFFFFF"/>
        </w:rPr>
        <w:t>J Trauma</w:t>
      </w:r>
      <w:r w:rsidRPr="00DC237D">
        <w:rPr>
          <w:rFonts w:ascii="Book Antiqua" w:hAnsi="Book Antiqua"/>
          <w:color w:val="auto"/>
          <w:lang w:val="en-GB"/>
        </w:rPr>
        <w:t xml:space="preserve"> 2006; </w:t>
      </w:r>
      <w:r w:rsidRPr="00DC237D">
        <w:rPr>
          <w:rFonts w:ascii="Book Antiqua" w:hAnsi="Book Antiqua"/>
          <w:b/>
          <w:color w:val="auto"/>
          <w:lang w:val="en-GB"/>
        </w:rPr>
        <w:t>32</w:t>
      </w:r>
      <w:r w:rsidRPr="00DC237D">
        <w:rPr>
          <w:rFonts w:ascii="Book Antiqua" w:hAnsi="Book Antiqua"/>
          <w:color w:val="auto"/>
          <w:lang w:val="en-GB"/>
        </w:rPr>
        <w:t>:332-339</w:t>
      </w:r>
      <w:r w:rsidRPr="00DC237D">
        <w:rPr>
          <w:rFonts w:ascii="Book Antiqua" w:eastAsia="宋体" w:hAnsi="Book Antiqua"/>
          <w:color w:val="auto"/>
          <w:lang w:val="en-GB" w:eastAsia="zh-CN"/>
        </w:rPr>
        <w:t xml:space="preserve"> [DOI:</w:t>
      </w:r>
      <w:r w:rsidRPr="00DC237D">
        <w:rPr>
          <w:rFonts w:ascii="Book Antiqua" w:eastAsia="宋体" w:hAnsi="Book Antiqua"/>
          <w:color w:val="auto"/>
          <w:lang w:eastAsia="zh-CN"/>
        </w:rPr>
        <w:t xml:space="preserve"> </w:t>
      </w:r>
      <w:r w:rsidR="00161B90">
        <w:fldChar w:fldCharType="begin"/>
      </w:r>
      <w:r w:rsidR="00161B90">
        <w:instrText xml:space="preserve"> HYPERLINK "http://dx.doi.org/10.1007/s00068-006-6118-x" \t "_blank" </w:instrText>
      </w:r>
      <w:r w:rsidR="00161B90">
        <w:fldChar w:fldCharType="separate"/>
      </w:r>
      <w:r w:rsidRPr="00DC237D">
        <w:rPr>
          <w:rStyle w:val="Hyperlink"/>
          <w:rFonts w:ascii="Book Antiqua" w:hAnsi="Book Antiqua"/>
          <w:color w:val="auto"/>
          <w:shd w:val="clear" w:color="auto" w:fill="FFFFFF"/>
        </w:rPr>
        <w:t>10.1007/s00068-006-6118-x</w:t>
      </w:r>
      <w:r w:rsidR="00161B90">
        <w:rPr>
          <w:rStyle w:val="Hyperlink"/>
          <w:rFonts w:ascii="Book Antiqua" w:hAnsi="Book Antiqua"/>
          <w:color w:val="auto"/>
          <w:shd w:val="clear" w:color="auto" w:fill="FFFFFF"/>
        </w:rPr>
        <w:fldChar w:fldCharType="end"/>
      </w:r>
      <w:r w:rsidRPr="00DC237D">
        <w:rPr>
          <w:rFonts w:ascii="Book Antiqua" w:eastAsia="宋体" w:hAnsi="Book Antiqua"/>
          <w:color w:val="auto"/>
          <w:lang w:val="en-GB" w:eastAsia="zh-CN"/>
        </w:rPr>
        <w:t>]</w:t>
      </w:r>
      <w:r w:rsidRPr="00DC237D">
        <w:rPr>
          <w:rFonts w:ascii="Book Antiqua" w:hAnsi="Book Antiqua"/>
          <w:color w:val="auto"/>
          <w:lang w:val="en-GB"/>
        </w:rPr>
        <w:t xml:space="preserve"> </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2 </w:t>
      </w:r>
      <w:r w:rsidRPr="00DC237D">
        <w:rPr>
          <w:rFonts w:ascii="Book Antiqua" w:eastAsia="宋体" w:hAnsi="Book Antiqua" w:cs="宋体"/>
          <w:b/>
          <w:bCs/>
          <w:color w:val="auto"/>
          <w:lang w:eastAsia="zh-CN"/>
        </w:rPr>
        <w:t>Vunjak-Novakovic G</w:t>
      </w:r>
      <w:r w:rsidRPr="00DC237D">
        <w:rPr>
          <w:rFonts w:ascii="Book Antiqua" w:eastAsia="宋体" w:hAnsi="Book Antiqua" w:cs="宋体"/>
          <w:color w:val="auto"/>
          <w:lang w:eastAsia="zh-CN"/>
        </w:rPr>
        <w:t>, Altman G, Horan R, Kaplan DL. Tissue engineering of ligaments. </w:t>
      </w:r>
      <w:r w:rsidRPr="00DC237D">
        <w:rPr>
          <w:rFonts w:ascii="Book Antiqua" w:eastAsia="宋体" w:hAnsi="Book Antiqua" w:cs="宋体"/>
          <w:i/>
          <w:iCs/>
          <w:color w:val="auto"/>
          <w:lang w:eastAsia="zh-CN"/>
        </w:rPr>
        <w:t>Annu Rev Biomed Eng</w:t>
      </w:r>
      <w:r w:rsidRPr="00DC237D">
        <w:rPr>
          <w:rFonts w:ascii="Book Antiqua" w:eastAsia="宋体" w:hAnsi="Book Antiqua" w:cs="宋体"/>
          <w:color w:val="auto"/>
          <w:lang w:eastAsia="zh-CN"/>
        </w:rPr>
        <w:t> 2004; </w:t>
      </w:r>
      <w:r w:rsidRPr="00DC237D">
        <w:rPr>
          <w:rFonts w:ascii="Book Antiqua" w:eastAsia="宋体" w:hAnsi="Book Antiqua" w:cs="宋体"/>
          <w:b/>
          <w:bCs/>
          <w:color w:val="auto"/>
          <w:lang w:eastAsia="zh-CN"/>
        </w:rPr>
        <w:t>6</w:t>
      </w:r>
      <w:r w:rsidRPr="00DC237D">
        <w:rPr>
          <w:rFonts w:ascii="Book Antiqua" w:eastAsia="宋体" w:hAnsi="Book Antiqua" w:cs="宋体"/>
          <w:color w:val="auto"/>
          <w:lang w:eastAsia="zh-CN"/>
        </w:rPr>
        <w:t>: 131-156 [PMID: 15255765 DOI: 10.1146/annurev.bioeng.6.040803.140037]</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3 </w:t>
      </w:r>
      <w:r w:rsidRPr="00DC237D">
        <w:rPr>
          <w:rFonts w:ascii="Book Antiqua" w:eastAsia="宋体" w:hAnsi="Book Antiqua" w:cs="宋体"/>
          <w:b/>
          <w:bCs/>
          <w:color w:val="auto"/>
          <w:lang w:eastAsia="zh-CN"/>
        </w:rPr>
        <w:t>Siegel L</w:t>
      </w:r>
      <w:r w:rsidRPr="00DC237D">
        <w:rPr>
          <w:rFonts w:ascii="Book Antiqua" w:eastAsia="宋体" w:hAnsi="Book Antiqua" w:cs="宋体"/>
          <w:color w:val="auto"/>
          <w:lang w:eastAsia="zh-CN"/>
        </w:rPr>
        <w:t>, Vandenakker-Albanese C, Siegel D. Anterior cruciate ligament injuries: anatomy, physiology, biomechanics, and management. </w:t>
      </w:r>
      <w:r w:rsidRPr="00DC237D">
        <w:rPr>
          <w:rFonts w:ascii="Book Antiqua" w:eastAsia="宋体" w:hAnsi="Book Antiqua" w:cs="宋体"/>
          <w:i/>
          <w:iCs/>
          <w:color w:val="auto"/>
          <w:lang w:eastAsia="zh-CN"/>
        </w:rPr>
        <w:t>Clin J Sport Med</w:t>
      </w:r>
      <w:r w:rsidRPr="00DC237D">
        <w:rPr>
          <w:rFonts w:ascii="Book Antiqua" w:eastAsia="宋体" w:hAnsi="Book Antiqua" w:cs="宋体"/>
          <w:color w:val="auto"/>
          <w:lang w:eastAsia="zh-CN"/>
        </w:rPr>
        <w:t> 2012; </w:t>
      </w:r>
      <w:r w:rsidRPr="00DC237D">
        <w:rPr>
          <w:rFonts w:ascii="Book Antiqua" w:eastAsia="宋体" w:hAnsi="Book Antiqua" w:cs="宋体"/>
          <w:b/>
          <w:bCs/>
          <w:color w:val="auto"/>
          <w:lang w:eastAsia="zh-CN"/>
        </w:rPr>
        <w:t>22</w:t>
      </w:r>
      <w:r w:rsidRPr="00DC237D">
        <w:rPr>
          <w:rFonts w:ascii="Book Antiqua" w:eastAsia="宋体" w:hAnsi="Book Antiqua" w:cs="宋体"/>
          <w:color w:val="auto"/>
          <w:lang w:eastAsia="zh-CN"/>
        </w:rPr>
        <w:t>: 349-355 [PMID: 22695402 DOI: 10.1097/JSM.0b013e3182580cd0]</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4 </w:t>
      </w:r>
      <w:r w:rsidRPr="00DC237D">
        <w:rPr>
          <w:rFonts w:ascii="Book Antiqua" w:eastAsia="宋体" w:hAnsi="Book Antiqua" w:cs="宋体"/>
          <w:b/>
          <w:bCs/>
          <w:color w:val="auto"/>
          <w:lang w:eastAsia="zh-CN"/>
        </w:rPr>
        <w:t>Kiapour AM</w:t>
      </w:r>
      <w:r w:rsidRPr="00DC237D">
        <w:rPr>
          <w:rFonts w:ascii="Book Antiqua" w:eastAsia="宋体" w:hAnsi="Book Antiqua" w:cs="宋体"/>
          <w:color w:val="auto"/>
          <w:lang w:eastAsia="zh-CN"/>
        </w:rPr>
        <w:t>, Murray MM. Basic science of anterior cruciate ligament injury and repair. </w:t>
      </w:r>
      <w:r w:rsidRPr="00DC237D">
        <w:rPr>
          <w:rFonts w:ascii="Book Antiqua" w:eastAsia="宋体" w:hAnsi="Book Antiqua" w:cs="宋体"/>
          <w:i/>
          <w:iCs/>
          <w:color w:val="auto"/>
          <w:lang w:eastAsia="zh-CN"/>
        </w:rPr>
        <w:t>Bone Joint Res</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3</w:t>
      </w:r>
      <w:r w:rsidRPr="00DC237D">
        <w:rPr>
          <w:rFonts w:ascii="Book Antiqua" w:eastAsia="宋体" w:hAnsi="Book Antiqua" w:cs="宋体"/>
          <w:color w:val="auto"/>
          <w:lang w:eastAsia="zh-CN"/>
        </w:rPr>
        <w:t>: 20-31 [PMID: 24497504 DOI: 10.1302/2046-3758.32.2000241]</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5 </w:t>
      </w:r>
      <w:r w:rsidRPr="00DC237D">
        <w:rPr>
          <w:rFonts w:ascii="Book Antiqua" w:eastAsia="宋体" w:hAnsi="Book Antiqua" w:cs="宋体"/>
          <w:b/>
          <w:bCs/>
          <w:color w:val="auto"/>
          <w:lang w:eastAsia="zh-CN"/>
        </w:rPr>
        <w:t>Markatos K</w:t>
      </w:r>
      <w:r w:rsidRPr="00DC237D">
        <w:rPr>
          <w:rFonts w:ascii="Book Antiqua" w:eastAsia="宋体" w:hAnsi="Book Antiqua" w:cs="宋体"/>
          <w:color w:val="auto"/>
          <w:lang w:eastAsia="zh-CN"/>
        </w:rPr>
        <w:t>, Kaseta MK, Lallos SN, Korres DS, Efstathopoulos N. The anatomy of the ACL and its importance in ACL reconstruction. </w:t>
      </w:r>
      <w:r w:rsidRPr="00DC237D">
        <w:rPr>
          <w:rFonts w:ascii="Book Antiqua" w:eastAsia="宋体" w:hAnsi="Book Antiqua" w:cs="宋体"/>
          <w:i/>
          <w:iCs/>
          <w:color w:val="auto"/>
          <w:lang w:eastAsia="zh-CN"/>
        </w:rPr>
        <w:t>Eur J Orthop Surg Traumatol</w:t>
      </w:r>
      <w:r w:rsidRPr="00DC237D">
        <w:rPr>
          <w:rFonts w:ascii="Book Antiqua" w:eastAsia="宋体" w:hAnsi="Book Antiqua" w:cs="宋体"/>
          <w:color w:val="auto"/>
          <w:lang w:eastAsia="zh-CN"/>
        </w:rPr>
        <w:t> 2013; </w:t>
      </w:r>
      <w:r w:rsidRPr="00DC237D">
        <w:rPr>
          <w:rFonts w:ascii="Book Antiqua" w:eastAsia="宋体" w:hAnsi="Book Antiqua" w:cs="宋体"/>
          <w:b/>
          <w:bCs/>
          <w:color w:val="auto"/>
          <w:lang w:eastAsia="zh-CN"/>
        </w:rPr>
        <w:t>23</w:t>
      </w:r>
      <w:r w:rsidRPr="00DC237D">
        <w:rPr>
          <w:rFonts w:ascii="Book Antiqua" w:eastAsia="宋体" w:hAnsi="Book Antiqua" w:cs="宋体"/>
          <w:color w:val="auto"/>
          <w:lang w:eastAsia="zh-CN"/>
        </w:rPr>
        <w:t>: 747-752 [PMID: 23412211 DOI: 10.1007/s00590-012-1079-8]</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6 </w:t>
      </w:r>
      <w:r w:rsidRPr="00DC237D">
        <w:rPr>
          <w:rFonts w:ascii="Book Antiqua" w:eastAsia="宋体" w:hAnsi="Book Antiqua" w:cs="宋体"/>
          <w:b/>
          <w:bCs/>
          <w:color w:val="auto"/>
          <w:lang w:eastAsia="zh-CN"/>
        </w:rPr>
        <w:t>Petrigliano FA</w:t>
      </w:r>
      <w:r w:rsidRPr="00DC237D">
        <w:rPr>
          <w:rFonts w:ascii="Book Antiqua" w:eastAsia="宋体" w:hAnsi="Book Antiqua" w:cs="宋体"/>
          <w:color w:val="auto"/>
          <w:lang w:eastAsia="zh-CN"/>
        </w:rPr>
        <w:t>, McAllister DR, Wu BM. Tissue engineering for anterior cruciate ligament reconstruction: a review of current strategies. </w:t>
      </w:r>
      <w:r w:rsidRPr="00DC237D">
        <w:rPr>
          <w:rFonts w:ascii="Book Antiqua" w:eastAsia="宋体" w:hAnsi="Book Antiqua" w:cs="宋体"/>
          <w:i/>
          <w:iCs/>
          <w:color w:val="auto"/>
          <w:lang w:eastAsia="zh-CN"/>
        </w:rPr>
        <w:t>Arthroscopy</w:t>
      </w:r>
      <w:r w:rsidRPr="00DC237D">
        <w:rPr>
          <w:rFonts w:ascii="Book Antiqua" w:eastAsia="宋体" w:hAnsi="Book Antiqua" w:cs="宋体"/>
          <w:color w:val="auto"/>
          <w:lang w:eastAsia="zh-CN"/>
        </w:rPr>
        <w:t> 2006; </w:t>
      </w:r>
      <w:r w:rsidRPr="00DC237D">
        <w:rPr>
          <w:rFonts w:ascii="Book Antiqua" w:eastAsia="宋体" w:hAnsi="Book Antiqua" w:cs="宋体"/>
          <w:b/>
          <w:bCs/>
          <w:color w:val="auto"/>
          <w:lang w:eastAsia="zh-CN"/>
        </w:rPr>
        <w:t>22</w:t>
      </w:r>
      <w:r w:rsidRPr="00DC237D">
        <w:rPr>
          <w:rFonts w:ascii="Book Antiqua" w:eastAsia="宋体" w:hAnsi="Book Antiqua" w:cs="宋体"/>
          <w:color w:val="auto"/>
          <w:lang w:eastAsia="zh-CN"/>
        </w:rPr>
        <w:t>: 441-451 [PMID: 16581458 DOI: 10.1016/j.arthro.2006.01.017]</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7 </w:t>
      </w:r>
      <w:r w:rsidRPr="00DC237D">
        <w:rPr>
          <w:rFonts w:ascii="Book Antiqua" w:eastAsia="宋体" w:hAnsi="Book Antiqua" w:cs="宋体"/>
          <w:b/>
          <w:bCs/>
          <w:color w:val="auto"/>
          <w:lang w:eastAsia="zh-CN"/>
        </w:rPr>
        <w:t>Saka T</w:t>
      </w:r>
      <w:r w:rsidRPr="00DC237D">
        <w:rPr>
          <w:rFonts w:ascii="Book Antiqua" w:eastAsia="宋体" w:hAnsi="Book Antiqua" w:cs="宋体"/>
          <w:color w:val="auto"/>
          <w:lang w:eastAsia="zh-CN"/>
        </w:rPr>
        <w:t>. Principles of postoperative anterior cruciate ligament rehabilitation. </w:t>
      </w:r>
      <w:r w:rsidRPr="00DC237D">
        <w:rPr>
          <w:rFonts w:ascii="Book Antiqua" w:eastAsia="宋体" w:hAnsi="Book Antiqua" w:cs="宋体"/>
          <w:i/>
          <w:iCs/>
          <w:color w:val="auto"/>
          <w:lang w:eastAsia="zh-CN"/>
        </w:rPr>
        <w:t>World J Orthop</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5</w:t>
      </w:r>
      <w:r w:rsidRPr="00DC237D">
        <w:rPr>
          <w:rFonts w:ascii="Book Antiqua" w:eastAsia="宋体" w:hAnsi="Book Antiqua" w:cs="宋体"/>
          <w:color w:val="auto"/>
          <w:lang w:eastAsia="zh-CN"/>
        </w:rPr>
        <w:t>: 450-459 [PMID: 25232521 DOI: 10.5312/wjo.v5.i4.450]</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8 </w:t>
      </w:r>
      <w:hyperlink r:id="rId8" w:history="1">
        <w:r w:rsidRPr="00DC237D">
          <w:rPr>
            <w:rFonts w:ascii="Book Antiqua" w:eastAsia="宋体" w:hAnsi="Book Antiqua" w:cs="宋体"/>
            <w:b/>
            <w:color w:val="auto"/>
            <w:lang w:eastAsia="zh-CN"/>
          </w:rPr>
          <w:t>Luc B</w:t>
        </w:r>
      </w:hyperlink>
      <w:r w:rsidRPr="00DC237D">
        <w:rPr>
          <w:rFonts w:ascii="Book Antiqua" w:eastAsia="宋体" w:hAnsi="Book Antiqua" w:cs="宋体"/>
          <w:color w:val="auto"/>
          <w:lang w:eastAsia="zh-CN"/>
        </w:rPr>
        <w:t>, </w:t>
      </w:r>
      <w:hyperlink r:id="rId9" w:history="1">
        <w:r w:rsidRPr="00DC237D">
          <w:rPr>
            <w:rFonts w:ascii="Book Antiqua" w:eastAsia="宋体" w:hAnsi="Book Antiqua" w:cs="宋体"/>
            <w:color w:val="auto"/>
            <w:lang w:eastAsia="zh-CN"/>
          </w:rPr>
          <w:t>Gribble PA</w:t>
        </w:r>
      </w:hyperlink>
      <w:r w:rsidRPr="00DC237D">
        <w:rPr>
          <w:rFonts w:ascii="Book Antiqua" w:eastAsia="宋体" w:hAnsi="Book Antiqua" w:cs="宋体"/>
          <w:color w:val="auto"/>
          <w:lang w:eastAsia="zh-CN"/>
        </w:rPr>
        <w:t>, </w:t>
      </w:r>
      <w:hyperlink r:id="rId10" w:history="1">
        <w:r w:rsidRPr="00DC237D">
          <w:rPr>
            <w:rFonts w:ascii="Book Antiqua" w:eastAsia="宋体" w:hAnsi="Book Antiqua" w:cs="宋体"/>
            <w:color w:val="auto"/>
            <w:lang w:eastAsia="zh-CN"/>
          </w:rPr>
          <w:t>Pietrosimone BG</w:t>
        </w:r>
      </w:hyperlink>
      <w:r w:rsidRPr="00DC237D">
        <w:rPr>
          <w:rFonts w:ascii="Book Antiqua" w:eastAsia="宋体" w:hAnsi="Book Antiqua" w:cs="宋体"/>
          <w:color w:val="auto"/>
          <w:lang w:eastAsia="zh-CN"/>
        </w:rPr>
        <w:t>. Osteoarthritis Prevalence Following Anterior Cruciate Ligament Reconstruction: A Systematic Review and Numbers-Needed-to-Treat Analysis. </w:t>
      </w:r>
      <w:r w:rsidRPr="00DC237D">
        <w:rPr>
          <w:rFonts w:ascii="Book Antiqua" w:eastAsia="宋体" w:hAnsi="Book Antiqua" w:cs="宋体"/>
          <w:i/>
          <w:iCs/>
          <w:color w:val="auto"/>
          <w:lang w:eastAsia="zh-CN"/>
        </w:rPr>
        <w:t>J Athl Train</w:t>
      </w:r>
      <w:r w:rsidRPr="00DC237D">
        <w:rPr>
          <w:rFonts w:ascii="Book Antiqua" w:eastAsia="宋体" w:hAnsi="Book Antiqua" w:cs="宋体"/>
          <w:color w:val="auto"/>
          <w:lang w:eastAsia="zh-CN"/>
        </w:rPr>
        <w:t xml:space="preserve"> 2014; </w:t>
      </w:r>
      <w:r w:rsidRPr="00DC237D">
        <w:rPr>
          <w:rFonts w:ascii="Book Antiqua" w:hAnsi="Book Antiqua" w:cs="Arial"/>
          <w:color w:val="auto"/>
          <w:shd w:val="clear" w:color="auto" w:fill="FFFFFF"/>
        </w:rPr>
        <w:t>Epub ahead of print</w:t>
      </w:r>
      <w:r w:rsidRPr="00DC237D">
        <w:rPr>
          <w:rFonts w:ascii="Book Antiqua" w:eastAsia="宋体" w:hAnsi="Book Antiqua" w:cs="宋体"/>
          <w:color w:val="auto"/>
          <w:lang w:eastAsia="zh-CN"/>
        </w:rPr>
        <w:t> [PMID: 25232663 DOI: 10.4085/1062-6050-49.3.35]</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9 </w:t>
      </w:r>
      <w:r w:rsidRPr="00DC237D">
        <w:rPr>
          <w:rFonts w:ascii="Book Antiqua" w:eastAsia="宋体" w:hAnsi="Book Antiqua" w:cs="宋体"/>
          <w:b/>
          <w:color w:val="auto"/>
          <w:lang w:eastAsia="zh-CN"/>
        </w:rPr>
        <w:t>Murray MM</w:t>
      </w:r>
      <w:r w:rsidRPr="00DC237D">
        <w:rPr>
          <w:rFonts w:ascii="Book Antiqua" w:eastAsia="宋体" w:hAnsi="Book Antiqua" w:cs="宋体"/>
          <w:color w:val="auto"/>
          <w:lang w:eastAsia="zh-CN"/>
        </w:rPr>
        <w:t>, Vavken P, Fleming BC. The A</w:t>
      </w:r>
      <w:r w:rsidR="00161B90">
        <w:rPr>
          <w:rFonts w:ascii="Book Antiqua" w:eastAsia="宋体" w:hAnsi="Book Antiqua" w:cs="宋体"/>
          <w:color w:val="auto"/>
          <w:lang w:eastAsia="zh-CN"/>
        </w:rPr>
        <w:t>CL Handbook. NY: Springer, 2013</w:t>
      </w:r>
      <w:bookmarkStart w:id="60" w:name="_GoBack"/>
      <w:bookmarkEnd w:id="60"/>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10 </w:t>
      </w:r>
      <w:r w:rsidRPr="00DC237D">
        <w:rPr>
          <w:rFonts w:ascii="Book Antiqua" w:eastAsia="宋体" w:hAnsi="Book Antiqua" w:cs="宋体"/>
          <w:b/>
          <w:bCs/>
          <w:color w:val="auto"/>
          <w:lang w:eastAsia="zh-CN"/>
        </w:rPr>
        <w:t>Vavken P</w:t>
      </w:r>
      <w:r w:rsidRPr="00DC237D">
        <w:rPr>
          <w:rFonts w:ascii="Book Antiqua" w:eastAsia="宋体" w:hAnsi="Book Antiqua" w:cs="宋体"/>
          <w:color w:val="auto"/>
          <w:lang w:eastAsia="zh-CN"/>
        </w:rPr>
        <w:t>, Murray MM. The potential for primary repair of the ACL. </w:t>
      </w:r>
      <w:r w:rsidRPr="00DC237D">
        <w:rPr>
          <w:rFonts w:ascii="Book Antiqua" w:eastAsia="宋体" w:hAnsi="Book Antiqua" w:cs="宋体"/>
          <w:i/>
          <w:iCs/>
          <w:color w:val="auto"/>
          <w:lang w:eastAsia="zh-CN"/>
        </w:rPr>
        <w:t>Sports Med Arthrosc</w:t>
      </w:r>
      <w:r w:rsidRPr="00DC237D">
        <w:rPr>
          <w:rFonts w:ascii="Book Antiqua" w:eastAsia="宋体" w:hAnsi="Book Antiqua" w:cs="宋体"/>
          <w:color w:val="auto"/>
          <w:lang w:eastAsia="zh-CN"/>
        </w:rPr>
        <w:t> 2011; </w:t>
      </w:r>
      <w:r w:rsidRPr="00DC237D">
        <w:rPr>
          <w:rFonts w:ascii="Book Antiqua" w:eastAsia="宋体" w:hAnsi="Book Antiqua" w:cs="宋体"/>
          <w:b/>
          <w:bCs/>
          <w:color w:val="auto"/>
          <w:lang w:eastAsia="zh-CN"/>
        </w:rPr>
        <w:t>19</w:t>
      </w:r>
      <w:r w:rsidRPr="00DC237D">
        <w:rPr>
          <w:rFonts w:ascii="Book Antiqua" w:eastAsia="宋体" w:hAnsi="Book Antiqua" w:cs="宋体"/>
          <w:color w:val="auto"/>
          <w:lang w:eastAsia="zh-CN"/>
        </w:rPr>
        <w:t>: 44-49 [PMID: 21293237 DOI: 10.1097/JSA.0b013e3182095e5d]</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11 </w:t>
      </w:r>
      <w:r w:rsidRPr="00DC237D">
        <w:rPr>
          <w:rFonts w:ascii="Book Antiqua" w:eastAsia="宋体" w:hAnsi="Book Antiqua" w:cs="宋体"/>
          <w:b/>
          <w:bCs/>
          <w:color w:val="auto"/>
          <w:lang w:eastAsia="zh-CN"/>
        </w:rPr>
        <w:t>Kohl S</w:t>
      </w:r>
      <w:r w:rsidRPr="00DC237D">
        <w:rPr>
          <w:rFonts w:ascii="Book Antiqua" w:eastAsia="宋体" w:hAnsi="Book Antiqua" w:cs="宋体"/>
          <w:color w:val="auto"/>
          <w:lang w:eastAsia="zh-CN"/>
        </w:rPr>
        <w:t>, Evangelopoulos DS, Ahmad SS, Kohlhof H, Herrmann G, Bonel H, Eggli S. A novel technique, dynamic intraligamentary stabilization creates optimal conditions for primary ACL healing: a preliminary biomechanical study. </w:t>
      </w:r>
      <w:r w:rsidRPr="00DC237D">
        <w:rPr>
          <w:rFonts w:ascii="Book Antiqua" w:eastAsia="宋体" w:hAnsi="Book Antiqua" w:cs="宋体"/>
          <w:i/>
          <w:iCs/>
          <w:color w:val="auto"/>
          <w:lang w:eastAsia="zh-CN"/>
        </w:rPr>
        <w:t>Knee</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21</w:t>
      </w:r>
      <w:r w:rsidRPr="00DC237D">
        <w:rPr>
          <w:rFonts w:ascii="Book Antiqua" w:eastAsia="宋体" w:hAnsi="Book Antiqua" w:cs="宋体"/>
          <w:color w:val="auto"/>
          <w:lang w:eastAsia="zh-CN"/>
        </w:rPr>
        <w:t>: 477-480 [PMID: 24405792 DOI: 10.1016/j.knee.2013.11.003]</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12 </w:t>
      </w:r>
      <w:hyperlink r:id="rId11" w:history="1">
        <w:r w:rsidRPr="00DC237D">
          <w:rPr>
            <w:rFonts w:ascii="Book Antiqua" w:eastAsia="宋体" w:hAnsi="Book Antiqua" w:cs="宋体"/>
            <w:b/>
            <w:color w:val="auto"/>
            <w:lang w:eastAsia="zh-CN"/>
          </w:rPr>
          <w:t>Eggli S</w:t>
        </w:r>
      </w:hyperlink>
      <w:r w:rsidRPr="00DC237D">
        <w:rPr>
          <w:rFonts w:ascii="Book Antiqua" w:eastAsia="宋体" w:hAnsi="Book Antiqua" w:cs="宋体"/>
          <w:color w:val="auto"/>
          <w:lang w:eastAsia="zh-CN"/>
        </w:rPr>
        <w:t>, </w:t>
      </w:r>
      <w:hyperlink r:id="rId12" w:history="1">
        <w:r w:rsidRPr="00DC237D">
          <w:rPr>
            <w:rFonts w:ascii="Book Antiqua" w:eastAsia="宋体" w:hAnsi="Book Antiqua" w:cs="宋体"/>
            <w:color w:val="auto"/>
            <w:lang w:eastAsia="zh-CN"/>
          </w:rPr>
          <w:t>Kohlhof H</w:t>
        </w:r>
      </w:hyperlink>
      <w:r w:rsidRPr="00DC237D">
        <w:rPr>
          <w:rFonts w:ascii="Book Antiqua" w:eastAsia="宋体" w:hAnsi="Book Antiqua" w:cs="宋体"/>
          <w:color w:val="auto"/>
          <w:lang w:eastAsia="zh-CN"/>
        </w:rPr>
        <w:t>, </w:t>
      </w:r>
      <w:hyperlink r:id="rId13" w:history="1">
        <w:r w:rsidRPr="00DC237D">
          <w:rPr>
            <w:rFonts w:ascii="Book Antiqua" w:eastAsia="宋体" w:hAnsi="Book Antiqua" w:cs="宋体"/>
            <w:color w:val="auto"/>
            <w:lang w:eastAsia="zh-CN"/>
          </w:rPr>
          <w:t>Zumstein M</w:t>
        </w:r>
      </w:hyperlink>
      <w:r w:rsidRPr="00DC237D">
        <w:rPr>
          <w:rFonts w:ascii="Book Antiqua" w:eastAsia="宋体" w:hAnsi="Book Antiqua" w:cs="宋体"/>
          <w:color w:val="auto"/>
          <w:lang w:eastAsia="zh-CN"/>
        </w:rPr>
        <w:t>, </w:t>
      </w:r>
      <w:hyperlink r:id="rId14" w:history="1">
        <w:r w:rsidRPr="00DC237D">
          <w:rPr>
            <w:rFonts w:ascii="Book Antiqua" w:eastAsia="宋体" w:hAnsi="Book Antiqua" w:cs="宋体"/>
            <w:color w:val="auto"/>
            <w:lang w:eastAsia="zh-CN"/>
          </w:rPr>
          <w:t>Henle P</w:t>
        </w:r>
      </w:hyperlink>
      <w:r w:rsidRPr="00DC237D">
        <w:rPr>
          <w:rFonts w:ascii="Book Antiqua" w:eastAsia="宋体" w:hAnsi="Book Antiqua" w:cs="宋体"/>
          <w:color w:val="auto"/>
          <w:lang w:eastAsia="zh-CN"/>
        </w:rPr>
        <w:t>, </w:t>
      </w:r>
      <w:hyperlink r:id="rId15" w:history="1">
        <w:r w:rsidRPr="00DC237D">
          <w:rPr>
            <w:rFonts w:ascii="Book Antiqua" w:eastAsia="宋体" w:hAnsi="Book Antiqua" w:cs="宋体"/>
            <w:color w:val="auto"/>
            <w:lang w:eastAsia="zh-CN"/>
          </w:rPr>
          <w:t>Hartel M</w:t>
        </w:r>
      </w:hyperlink>
      <w:r w:rsidRPr="00DC237D">
        <w:rPr>
          <w:rFonts w:ascii="Book Antiqua" w:eastAsia="宋体" w:hAnsi="Book Antiqua" w:cs="宋体"/>
          <w:color w:val="auto"/>
          <w:lang w:eastAsia="zh-CN"/>
        </w:rPr>
        <w:t>, </w:t>
      </w:r>
      <w:hyperlink r:id="rId16" w:history="1">
        <w:r w:rsidRPr="00DC237D">
          <w:rPr>
            <w:rFonts w:ascii="Book Antiqua" w:eastAsia="宋体" w:hAnsi="Book Antiqua" w:cs="宋体"/>
            <w:color w:val="auto"/>
            <w:lang w:eastAsia="zh-CN"/>
          </w:rPr>
          <w:t>Evangelopoulos DS</w:t>
        </w:r>
      </w:hyperlink>
      <w:r w:rsidRPr="00DC237D">
        <w:rPr>
          <w:rFonts w:ascii="Book Antiqua" w:eastAsia="宋体" w:hAnsi="Book Antiqua" w:cs="宋体"/>
          <w:color w:val="auto"/>
          <w:lang w:eastAsia="zh-CN"/>
        </w:rPr>
        <w:t>, </w:t>
      </w:r>
      <w:hyperlink r:id="rId17" w:history="1">
        <w:r w:rsidRPr="00DC237D">
          <w:rPr>
            <w:rFonts w:ascii="Book Antiqua" w:eastAsia="宋体" w:hAnsi="Book Antiqua" w:cs="宋体"/>
            <w:color w:val="auto"/>
            <w:lang w:eastAsia="zh-CN"/>
          </w:rPr>
          <w:t>Bonel H</w:t>
        </w:r>
      </w:hyperlink>
      <w:r w:rsidRPr="00DC237D">
        <w:rPr>
          <w:rFonts w:ascii="Book Antiqua" w:eastAsia="宋体" w:hAnsi="Book Antiqua" w:cs="宋体"/>
          <w:color w:val="auto"/>
          <w:lang w:eastAsia="zh-CN"/>
        </w:rPr>
        <w:t>, </w:t>
      </w:r>
      <w:hyperlink r:id="rId18" w:history="1">
        <w:r w:rsidRPr="00DC237D">
          <w:rPr>
            <w:rFonts w:ascii="Book Antiqua" w:eastAsia="宋体" w:hAnsi="Book Antiqua" w:cs="宋体"/>
            <w:color w:val="auto"/>
            <w:lang w:eastAsia="zh-CN"/>
          </w:rPr>
          <w:t>Kohl S</w:t>
        </w:r>
      </w:hyperlink>
      <w:r w:rsidRPr="00DC237D">
        <w:rPr>
          <w:rFonts w:ascii="Book Antiqua" w:eastAsia="宋体" w:hAnsi="Book Antiqua" w:cs="宋体"/>
          <w:color w:val="auto"/>
          <w:lang w:eastAsia="zh-CN"/>
        </w:rPr>
        <w:t>. Dynamic intraligamentary stabilization: novel technique for preserving the ruptured ACL. </w:t>
      </w:r>
      <w:r w:rsidRPr="00DC237D">
        <w:rPr>
          <w:rFonts w:ascii="Book Antiqua" w:eastAsia="宋体" w:hAnsi="Book Antiqua" w:cs="宋体"/>
          <w:i/>
          <w:iCs/>
          <w:color w:val="auto"/>
          <w:lang w:eastAsia="zh-CN"/>
        </w:rPr>
        <w:t>Knee Surg Sports Traumatol Arthrosc</w:t>
      </w:r>
      <w:r w:rsidRPr="00DC237D">
        <w:rPr>
          <w:rFonts w:ascii="Book Antiqua" w:eastAsia="宋体" w:hAnsi="Book Antiqua" w:cs="宋体"/>
          <w:color w:val="auto"/>
          <w:lang w:eastAsia="zh-CN"/>
        </w:rPr>
        <w:t xml:space="preserve"> 2014; </w:t>
      </w:r>
      <w:r w:rsidRPr="00DC237D">
        <w:rPr>
          <w:rFonts w:ascii="Book Antiqua" w:hAnsi="Book Antiqua" w:cs="Arial"/>
          <w:color w:val="auto"/>
          <w:shd w:val="clear" w:color="auto" w:fill="FFFFFF"/>
        </w:rPr>
        <w:t>Epub ahead of print</w:t>
      </w:r>
      <w:r w:rsidRPr="00DC237D">
        <w:rPr>
          <w:rFonts w:ascii="Book Antiqua" w:eastAsia="宋体" w:hAnsi="Book Antiqua" w:cs="宋体"/>
          <w:color w:val="auto"/>
          <w:lang w:eastAsia="zh-CN"/>
        </w:rPr>
        <w:t xml:space="preserve"> [PMID: 24651979 DOI: 10.1007/s00167-014-2949-x]</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13 </w:t>
      </w:r>
      <w:r w:rsidRPr="00DC237D">
        <w:rPr>
          <w:rFonts w:ascii="Book Antiqua" w:eastAsia="宋体" w:hAnsi="Book Antiqua" w:cs="宋体"/>
          <w:b/>
          <w:bCs/>
          <w:color w:val="auto"/>
          <w:lang w:eastAsia="zh-CN"/>
        </w:rPr>
        <w:t>Kohl S</w:t>
      </w:r>
      <w:r w:rsidRPr="00DC237D">
        <w:rPr>
          <w:rFonts w:ascii="Book Antiqua" w:eastAsia="宋体" w:hAnsi="Book Antiqua" w:cs="宋体"/>
          <w:color w:val="auto"/>
          <w:lang w:eastAsia="zh-CN"/>
        </w:rPr>
        <w:t>, Evangelopoulos DS, Kohlhof H, Hartel M, Bonel H, Henle P, von Rechenberg B, Eggli S. Anterior crucial ligament rupture: self-healing through dynamic intraligamentary stabilization technique. </w:t>
      </w:r>
      <w:r w:rsidRPr="00DC237D">
        <w:rPr>
          <w:rFonts w:ascii="Book Antiqua" w:eastAsia="宋体" w:hAnsi="Book Antiqua" w:cs="宋体"/>
          <w:i/>
          <w:iCs/>
          <w:color w:val="auto"/>
          <w:lang w:eastAsia="zh-CN"/>
        </w:rPr>
        <w:t>Knee Surg Sports Traumatol Arthrosc</w:t>
      </w:r>
      <w:r w:rsidRPr="00DC237D">
        <w:rPr>
          <w:rFonts w:ascii="Book Antiqua" w:eastAsia="宋体" w:hAnsi="Book Antiqua" w:cs="宋体"/>
          <w:color w:val="auto"/>
          <w:lang w:eastAsia="zh-CN"/>
        </w:rPr>
        <w:t> 2013; </w:t>
      </w:r>
      <w:r w:rsidRPr="00DC237D">
        <w:rPr>
          <w:rFonts w:ascii="Book Antiqua" w:eastAsia="宋体" w:hAnsi="Book Antiqua" w:cs="宋体"/>
          <w:b/>
          <w:bCs/>
          <w:color w:val="auto"/>
          <w:lang w:eastAsia="zh-CN"/>
        </w:rPr>
        <w:t>21</w:t>
      </w:r>
      <w:r w:rsidRPr="00DC237D">
        <w:rPr>
          <w:rFonts w:ascii="Book Antiqua" w:eastAsia="宋体" w:hAnsi="Book Antiqua" w:cs="宋体"/>
          <w:color w:val="auto"/>
          <w:lang w:eastAsia="zh-CN"/>
        </w:rPr>
        <w:t>: 599-605 [PMID: 22437658 DOI: 10.1007/s00167-012-1958-x]</w:t>
      </w:r>
    </w:p>
    <w:p w:rsidR="005A6B69" w:rsidRPr="00DC237D" w:rsidRDefault="005A6B69" w:rsidP="00DB69CE">
      <w:pPr>
        <w:spacing w:line="360" w:lineRule="auto"/>
        <w:ind w:leftChars="-18" w:left="-2" w:hangingChars="17" w:hanging="41"/>
        <w:jc w:val="both"/>
        <w:rPr>
          <w:rFonts w:ascii="Book Antiqua" w:eastAsia="宋体" w:hAnsi="Book Antiqua"/>
          <w:color w:val="auto"/>
          <w:lang w:eastAsia="zh-CN"/>
        </w:rPr>
      </w:pPr>
      <w:r w:rsidRPr="00DC237D">
        <w:rPr>
          <w:rFonts w:ascii="Book Antiqua" w:eastAsia="宋体" w:hAnsi="Book Antiqua" w:cs="宋体"/>
          <w:color w:val="auto"/>
          <w:lang w:eastAsia="zh-CN"/>
        </w:rPr>
        <w:t xml:space="preserve">14 </w:t>
      </w:r>
      <w:r w:rsidRPr="00DC237D">
        <w:rPr>
          <w:rFonts w:ascii="Book Antiqua" w:hAnsi="Book Antiqua"/>
          <w:b/>
          <w:bCs/>
          <w:color w:val="auto"/>
        </w:rPr>
        <w:t>Milz S</w:t>
      </w:r>
      <w:r w:rsidRPr="00DC237D">
        <w:rPr>
          <w:rFonts w:ascii="Book Antiqua" w:hAnsi="Book Antiqua"/>
          <w:color w:val="auto"/>
        </w:rPr>
        <w:t>, Ockert B, Putz R. [Tenocytes and the extracellular matrix : a reciprocal relationship].</w:t>
      </w:r>
      <w:r w:rsidRPr="00DC237D">
        <w:rPr>
          <w:rStyle w:val="apple-converted-space"/>
          <w:rFonts w:ascii="Book Antiqua" w:hAnsi="Book Antiqua"/>
          <w:color w:val="auto"/>
        </w:rPr>
        <w:t> </w:t>
      </w:r>
      <w:r w:rsidRPr="00DC237D">
        <w:rPr>
          <w:rFonts w:ascii="Book Antiqua" w:hAnsi="Book Antiqua"/>
          <w:i/>
          <w:iCs/>
          <w:color w:val="auto"/>
        </w:rPr>
        <w:t>Orthopade</w:t>
      </w:r>
      <w:r w:rsidRPr="00DC237D">
        <w:rPr>
          <w:rStyle w:val="apple-converted-space"/>
          <w:rFonts w:ascii="Book Antiqua" w:hAnsi="Book Antiqua"/>
          <w:color w:val="auto"/>
        </w:rPr>
        <w:t> </w:t>
      </w:r>
      <w:r w:rsidRPr="00DC237D">
        <w:rPr>
          <w:rFonts w:ascii="Book Antiqua" w:hAnsi="Book Antiqua"/>
          <w:color w:val="auto"/>
        </w:rPr>
        <w:t>2009;</w:t>
      </w:r>
      <w:r w:rsidRPr="00DC237D">
        <w:rPr>
          <w:rStyle w:val="apple-converted-space"/>
          <w:rFonts w:ascii="Book Antiqua" w:hAnsi="Book Antiqua"/>
          <w:color w:val="auto"/>
        </w:rPr>
        <w:t> </w:t>
      </w:r>
      <w:r w:rsidRPr="00DC237D">
        <w:rPr>
          <w:rFonts w:ascii="Book Antiqua" w:hAnsi="Book Antiqua"/>
          <w:b/>
          <w:bCs/>
          <w:color w:val="auto"/>
        </w:rPr>
        <w:t>38</w:t>
      </w:r>
      <w:r w:rsidRPr="00DC237D">
        <w:rPr>
          <w:rFonts w:ascii="Book Antiqua" w:hAnsi="Book Antiqua"/>
          <w:color w:val="auto"/>
        </w:rPr>
        <w:t>: 1071-1079 [PMID: 19885652]</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15 </w:t>
      </w:r>
      <w:r w:rsidRPr="00DC237D">
        <w:rPr>
          <w:rFonts w:ascii="Book Antiqua" w:eastAsia="宋体" w:hAnsi="Book Antiqua" w:cs="宋体"/>
          <w:b/>
          <w:bCs/>
          <w:color w:val="auto"/>
          <w:lang w:eastAsia="zh-CN"/>
        </w:rPr>
        <w:t>Lui PP</w:t>
      </w:r>
      <w:r w:rsidRPr="00DC237D">
        <w:rPr>
          <w:rFonts w:ascii="Book Antiqua" w:eastAsia="宋体" w:hAnsi="Book Antiqua" w:cs="宋体"/>
          <w:color w:val="auto"/>
          <w:lang w:eastAsia="zh-CN"/>
        </w:rPr>
        <w:t>, Rui YF, Ni M, Chan KM. Tenogenic differentiation of stem cells for tendon repair-what is the current evidence? </w:t>
      </w:r>
      <w:r w:rsidRPr="00DC237D">
        <w:rPr>
          <w:rFonts w:ascii="Book Antiqua" w:eastAsia="宋体" w:hAnsi="Book Antiqua" w:cs="宋体"/>
          <w:i/>
          <w:iCs/>
          <w:color w:val="auto"/>
          <w:lang w:eastAsia="zh-CN"/>
        </w:rPr>
        <w:t>J Tissue Eng Regen Med</w:t>
      </w:r>
      <w:r w:rsidRPr="00DC237D">
        <w:rPr>
          <w:rFonts w:ascii="Book Antiqua" w:eastAsia="宋体" w:hAnsi="Book Antiqua" w:cs="宋体"/>
          <w:color w:val="auto"/>
          <w:lang w:eastAsia="zh-CN"/>
        </w:rPr>
        <w:t> 2011; </w:t>
      </w:r>
      <w:r w:rsidRPr="00DC237D">
        <w:rPr>
          <w:rFonts w:ascii="Book Antiqua" w:eastAsia="宋体" w:hAnsi="Book Antiqua" w:cs="宋体"/>
          <w:b/>
          <w:bCs/>
          <w:color w:val="auto"/>
          <w:lang w:eastAsia="zh-CN"/>
        </w:rPr>
        <w:t>5</w:t>
      </w:r>
      <w:r w:rsidRPr="00DC237D">
        <w:rPr>
          <w:rFonts w:ascii="Book Antiqua" w:eastAsia="宋体" w:hAnsi="Book Antiqua" w:cs="宋体"/>
          <w:color w:val="auto"/>
          <w:lang w:eastAsia="zh-CN"/>
        </w:rPr>
        <w:t>: e144-e163 [PMID: 21548133 DOI: 10.1002/term.424]</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16 </w:t>
      </w:r>
      <w:r w:rsidRPr="00DC237D">
        <w:rPr>
          <w:rFonts w:ascii="Book Antiqua" w:eastAsia="宋体" w:hAnsi="Book Antiqua" w:cs="宋体"/>
          <w:b/>
          <w:bCs/>
          <w:color w:val="auto"/>
          <w:lang w:eastAsia="zh-CN"/>
        </w:rPr>
        <w:t>Canseco JA</w:t>
      </w:r>
      <w:r w:rsidRPr="00DC237D">
        <w:rPr>
          <w:rFonts w:ascii="Book Antiqua" w:eastAsia="宋体" w:hAnsi="Book Antiqua" w:cs="宋体"/>
          <w:color w:val="auto"/>
          <w:lang w:eastAsia="zh-CN"/>
        </w:rPr>
        <w:t>, Kojima K, Penvose AR, Ross JD, Obokata H, Gomoll AH, Vacanti CA. Effect on ligament marker expression by direct-contact co-culture of mesenchymal stem cells and anterior cruciate ligament cells. </w:t>
      </w:r>
      <w:r w:rsidRPr="00DC237D">
        <w:rPr>
          <w:rFonts w:ascii="Book Antiqua" w:eastAsia="宋体" w:hAnsi="Book Antiqua" w:cs="宋体"/>
          <w:i/>
          <w:iCs/>
          <w:color w:val="auto"/>
          <w:lang w:eastAsia="zh-CN"/>
        </w:rPr>
        <w:t>Tissue Eng Part A</w:t>
      </w:r>
      <w:r w:rsidRPr="00DC237D">
        <w:rPr>
          <w:rFonts w:ascii="Book Antiqua" w:eastAsia="宋体" w:hAnsi="Book Antiqua" w:cs="宋体"/>
          <w:color w:val="auto"/>
          <w:lang w:eastAsia="zh-CN"/>
        </w:rPr>
        <w:t> 2012; </w:t>
      </w:r>
      <w:r w:rsidRPr="00DC237D">
        <w:rPr>
          <w:rFonts w:ascii="Book Antiqua" w:eastAsia="宋体" w:hAnsi="Book Antiqua" w:cs="宋体"/>
          <w:b/>
          <w:bCs/>
          <w:color w:val="auto"/>
          <w:lang w:eastAsia="zh-CN"/>
        </w:rPr>
        <w:t>18</w:t>
      </w:r>
      <w:r w:rsidRPr="00DC237D">
        <w:rPr>
          <w:rFonts w:ascii="Book Antiqua" w:eastAsia="宋体" w:hAnsi="Book Antiqua" w:cs="宋体"/>
          <w:color w:val="auto"/>
          <w:lang w:eastAsia="zh-CN"/>
        </w:rPr>
        <w:t>: 2549-2558 [PMID: 22780864 DOI: 10.1089/ten.TEA.2012.0030]</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17 </w:t>
      </w:r>
      <w:r w:rsidRPr="00DC237D">
        <w:rPr>
          <w:rFonts w:ascii="Book Antiqua" w:eastAsia="宋体" w:hAnsi="Book Antiqua" w:cs="宋体"/>
          <w:b/>
          <w:bCs/>
          <w:color w:val="auto"/>
          <w:lang w:eastAsia="zh-CN"/>
        </w:rPr>
        <w:t>Solchaga LA</w:t>
      </w:r>
      <w:r w:rsidRPr="00DC237D">
        <w:rPr>
          <w:rFonts w:ascii="Book Antiqua" w:eastAsia="宋体" w:hAnsi="Book Antiqua" w:cs="宋体"/>
          <w:color w:val="auto"/>
          <w:lang w:eastAsia="zh-CN"/>
        </w:rPr>
        <w:t>, Penick K, Porter JD, Goldberg VM, Caplan AI, Welter JF. FGF-2 enhances the mitotic and chondrogenic potentials of human adult bone marrow-derived mesenchymal stem cells. </w:t>
      </w:r>
      <w:r w:rsidRPr="00DC237D">
        <w:rPr>
          <w:rFonts w:ascii="Book Antiqua" w:eastAsia="宋体" w:hAnsi="Book Antiqua" w:cs="宋体"/>
          <w:i/>
          <w:iCs/>
          <w:color w:val="auto"/>
          <w:lang w:eastAsia="zh-CN"/>
        </w:rPr>
        <w:t>J Cell Physiol</w:t>
      </w:r>
      <w:r w:rsidRPr="00DC237D">
        <w:rPr>
          <w:rFonts w:ascii="Book Antiqua" w:eastAsia="宋体" w:hAnsi="Book Antiqua" w:cs="宋体"/>
          <w:color w:val="auto"/>
          <w:lang w:eastAsia="zh-CN"/>
        </w:rPr>
        <w:t> 2005; </w:t>
      </w:r>
      <w:r w:rsidRPr="00DC237D">
        <w:rPr>
          <w:rFonts w:ascii="Book Antiqua" w:eastAsia="宋体" w:hAnsi="Book Antiqua" w:cs="宋体"/>
          <w:b/>
          <w:bCs/>
          <w:color w:val="auto"/>
          <w:lang w:eastAsia="zh-CN"/>
        </w:rPr>
        <w:t>203</w:t>
      </w:r>
      <w:r w:rsidRPr="00DC237D">
        <w:rPr>
          <w:rFonts w:ascii="Book Antiqua" w:eastAsia="宋体" w:hAnsi="Book Antiqua" w:cs="宋体"/>
          <w:color w:val="auto"/>
          <w:lang w:eastAsia="zh-CN"/>
        </w:rPr>
        <w:t>: 398-409 [PMID: 15521064 DOI: 10.1002/jcp.20238]</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18 </w:t>
      </w:r>
      <w:r w:rsidRPr="00DC237D">
        <w:rPr>
          <w:rFonts w:ascii="Book Antiqua" w:eastAsia="宋体" w:hAnsi="Book Antiqua" w:cs="宋体"/>
          <w:b/>
          <w:bCs/>
          <w:color w:val="auto"/>
          <w:lang w:eastAsia="zh-CN"/>
        </w:rPr>
        <w:t>Gantenbein-Ritter B</w:t>
      </w:r>
      <w:r w:rsidRPr="00DC237D">
        <w:rPr>
          <w:rFonts w:ascii="Book Antiqua" w:eastAsia="宋体" w:hAnsi="Book Antiqua" w:cs="宋体"/>
          <w:color w:val="auto"/>
          <w:lang w:eastAsia="zh-CN"/>
        </w:rPr>
        <w:t>, Benneker LM, Alini M, Grad S. Differential response of human bone marrow stromal cells to either TGF-β(1) or rhGDF-5. </w:t>
      </w:r>
      <w:r w:rsidRPr="00DC237D">
        <w:rPr>
          <w:rFonts w:ascii="Book Antiqua" w:eastAsia="宋体" w:hAnsi="Book Antiqua" w:cs="宋体"/>
          <w:i/>
          <w:iCs/>
          <w:color w:val="auto"/>
          <w:lang w:eastAsia="zh-CN"/>
        </w:rPr>
        <w:t>Eur Spine J</w:t>
      </w:r>
      <w:r w:rsidRPr="00DC237D">
        <w:rPr>
          <w:rFonts w:ascii="Book Antiqua" w:eastAsia="宋体" w:hAnsi="Book Antiqua" w:cs="宋体"/>
          <w:color w:val="auto"/>
          <w:lang w:eastAsia="zh-CN"/>
        </w:rPr>
        <w:t> 2011; </w:t>
      </w:r>
      <w:r w:rsidRPr="00DC237D">
        <w:rPr>
          <w:rFonts w:ascii="Book Antiqua" w:eastAsia="宋体" w:hAnsi="Book Antiqua" w:cs="宋体"/>
          <w:b/>
          <w:bCs/>
          <w:color w:val="auto"/>
          <w:lang w:eastAsia="zh-CN"/>
        </w:rPr>
        <w:t>20</w:t>
      </w:r>
      <w:r w:rsidRPr="00DC237D">
        <w:rPr>
          <w:rFonts w:ascii="Book Antiqua" w:eastAsia="宋体" w:hAnsi="Book Antiqua" w:cs="宋体"/>
          <w:color w:val="auto"/>
          <w:lang w:eastAsia="zh-CN"/>
        </w:rPr>
        <w:t>: 962-971 [PMID: 21086000 DOI: 10.1007/s00586-010-1619-z]</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19 </w:t>
      </w:r>
      <w:r w:rsidRPr="00DC237D">
        <w:rPr>
          <w:rFonts w:ascii="Book Antiqua" w:eastAsia="宋体" w:hAnsi="Book Antiqua" w:cs="宋体"/>
          <w:b/>
          <w:bCs/>
          <w:color w:val="auto"/>
          <w:lang w:eastAsia="zh-CN"/>
        </w:rPr>
        <w:t>Xiao J</w:t>
      </w:r>
      <w:r w:rsidRPr="00DC237D">
        <w:rPr>
          <w:rFonts w:ascii="Book Antiqua" w:eastAsia="宋体" w:hAnsi="Book Antiqua" w:cs="宋体"/>
          <w:color w:val="auto"/>
          <w:lang w:eastAsia="zh-CN"/>
        </w:rPr>
        <w:t>, Zhang Y, Wang J, Yu W, Wang W, Ma X. Monitoring of cell viability and proliferation in hydrogel-encapsulated system by resazurin assay. </w:t>
      </w:r>
      <w:r w:rsidRPr="00DC237D">
        <w:rPr>
          <w:rFonts w:ascii="Book Antiqua" w:eastAsia="宋体" w:hAnsi="Book Antiqua" w:cs="宋体"/>
          <w:i/>
          <w:iCs/>
          <w:color w:val="auto"/>
          <w:lang w:eastAsia="zh-CN"/>
        </w:rPr>
        <w:t>Appl Biochem Biotechnol</w:t>
      </w:r>
      <w:r w:rsidRPr="00DC237D">
        <w:rPr>
          <w:rFonts w:ascii="Book Antiqua" w:eastAsia="宋体" w:hAnsi="Book Antiqua" w:cs="宋体"/>
          <w:color w:val="auto"/>
          <w:lang w:eastAsia="zh-CN"/>
        </w:rPr>
        <w:t> 2010; </w:t>
      </w:r>
      <w:r w:rsidRPr="00DC237D">
        <w:rPr>
          <w:rFonts w:ascii="Book Antiqua" w:eastAsia="宋体" w:hAnsi="Book Antiqua" w:cs="宋体"/>
          <w:b/>
          <w:bCs/>
          <w:color w:val="auto"/>
          <w:lang w:eastAsia="zh-CN"/>
        </w:rPr>
        <w:t>162</w:t>
      </w:r>
      <w:r w:rsidRPr="00DC237D">
        <w:rPr>
          <w:rFonts w:ascii="Book Antiqua" w:eastAsia="宋体" w:hAnsi="Book Antiqua" w:cs="宋体"/>
          <w:color w:val="auto"/>
          <w:lang w:eastAsia="zh-CN"/>
        </w:rPr>
        <w:t>: 1996-2007 [PMID: 20437208 DOI: 10.1007/s12010-010-8975-3]</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20 </w:t>
      </w:r>
      <w:r w:rsidRPr="00DC237D">
        <w:rPr>
          <w:rFonts w:ascii="Book Antiqua" w:eastAsia="宋体" w:hAnsi="Book Antiqua" w:cs="宋体"/>
          <w:b/>
          <w:color w:val="auto"/>
          <w:lang w:eastAsia="zh-CN"/>
        </w:rPr>
        <w:t>Farndale RW</w:t>
      </w:r>
      <w:r w:rsidRPr="00DC237D">
        <w:rPr>
          <w:rFonts w:ascii="Book Antiqua" w:eastAsia="宋体" w:hAnsi="Book Antiqua" w:cs="宋体"/>
          <w:color w:val="auto"/>
          <w:lang w:eastAsia="zh-CN"/>
        </w:rPr>
        <w:t xml:space="preserve">, Buttle DJ, Barrett AJ. Improved quantitation and discrimination of sulphated glycosaminoglycans by use of dimethylmethylene blue. </w:t>
      </w:r>
      <w:r w:rsidRPr="00DC237D">
        <w:rPr>
          <w:rFonts w:ascii="Book Antiqua" w:eastAsia="宋体" w:hAnsi="Book Antiqua" w:cs="宋体"/>
          <w:i/>
          <w:color w:val="auto"/>
          <w:lang w:eastAsia="zh-CN"/>
        </w:rPr>
        <w:t>Biochim Biophys Acta</w:t>
      </w:r>
      <w:r w:rsidRPr="00DC237D">
        <w:rPr>
          <w:rFonts w:ascii="Book Antiqua" w:eastAsia="宋体" w:hAnsi="Book Antiqua" w:cs="宋体"/>
          <w:color w:val="auto"/>
          <w:lang w:eastAsia="zh-CN"/>
        </w:rPr>
        <w:t xml:space="preserve"> 1986; </w:t>
      </w:r>
      <w:r w:rsidRPr="00DC237D">
        <w:rPr>
          <w:rFonts w:ascii="Book Antiqua" w:eastAsia="宋体" w:hAnsi="Book Antiqua" w:cs="宋体"/>
          <w:b/>
          <w:color w:val="auto"/>
          <w:lang w:eastAsia="zh-CN"/>
        </w:rPr>
        <w:t>883</w:t>
      </w:r>
      <w:r w:rsidRPr="00DC237D">
        <w:rPr>
          <w:rFonts w:ascii="Book Antiqua" w:eastAsia="宋体" w:hAnsi="Book Antiqua" w:cs="宋体"/>
          <w:color w:val="auto"/>
          <w:lang w:eastAsia="zh-CN"/>
        </w:rPr>
        <w:t xml:space="preserve">: 173-177 [PMID: 3091074] </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21 </w:t>
      </w:r>
      <w:r w:rsidRPr="00DC237D">
        <w:rPr>
          <w:rFonts w:ascii="Book Antiqua" w:eastAsia="宋体" w:hAnsi="Book Antiqua" w:cs="宋体"/>
          <w:b/>
          <w:bCs/>
          <w:color w:val="auto"/>
          <w:lang w:eastAsia="zh-CN"/>
        </w:rPr>
        <w:t>Enobakhare BO</w:t>
      </w:r>
      <w:r w:rsidRPr="00DC237D">
        <w:rPr>
          <w:rFonts w:ascii="Book Antiqua" w:eastAsia="宋体" w:hAnsi="Book Antiqua" w:cs="宋体"/>
          <w:color w:val="auto"/>
          <w:lang w:eastAsia="zh-CN"/>
        </w:rPr>
        <w:t>, Bader DL, Lee DA. Quantification of sulfated glycosaminoglycans in chondrocyte/alginate cultures, by use of 1,9-dimethylmethylene blue. </w:t>
      </w:r>
      <w:r w:rsidRPr="00DC237D">
        <w:rPr>
          <w:rFonts w:ascii="Book Antiqua" w:eastAsia="宋体" w:hAnsi="Book Antiqua" w:cs="宋体"/>
          <w:i/>
          <w:iCs/>
          <w:color w:val="auto"/>
          <w:lang w:eastAsia="zh-CN"/>
        </w:rPr>
        <w:t>Anal Biochem</w:t>
      </w:r>
      <w:r w:rsidRPr="00DC237D">
        <w:rPr>
          <w:rFonts w:ascii="Book Antiqua" w:eastAsia="宋体" w:hAnsi="Book Antiqua" w:cs="宋体"/>
          <w:color w:val="auto"/>
          <w:lang w:eastAsia="zh-CN"/>
        </w:rPr>
        <w:t> 1996; </w:t>
      </w:r>
      <w:r w:rsidRPr="00DC237D">
        <w:rPr>
          <w:rFonts w:ascii="Book Antiqua" w:eastAsia="宋体" w:hAnsi="Book Antiqua" w:cs="宋体"/>
          <w:b/>
          <w:bCs/>
          <w:color w:val="auto"/>
          <w:lang w:eastAsia="zh-CN"/>
        </w:rPr>
        <w:t>243</w:t>
      </w:r>
      <w:r w:rsidRPr="00DC237D">
        <w:rPr>
          <w:rFonts w:ascii="Book Antiqua" w:eastAsia="宋体" w:hAnsi="Book Antiqua" w:cs="宋体"/>
          <w:color w:val="auto"/>
          <w:lang w:eastAsia="zh-CN"/>
        </w:rPr>
        <w:t>: 189-191 [PMID: 8954546 DOI: 10.1006/abio.1996.0502]</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22 </w:t>
      </w:r>
      <w:r w:rsidRPr="00DC237D">
        <w:rPr>
          <w:rFonts w:ascii="Book Antiqua" w:eastAsia="宋体" w:hAnsi="Book Antiqua" w:cs="宋体"/>
          <w:b/>
          <w:bCs/>
          <w:color w:val="auto"/>
          <w:lang w:eastAsia="zh-CN"/>
        </w:rPr>
        <w:t>Samiric T</w:t>
      </w:r>
      <w:r w:rsidRPr="00DC237D">
        <w:rPr>
          <w:rFonts w:ascii="Book Antiqua" w:eastAsia="宋体" w:hAnsi="Book Antiqua" w:cs="宋体"/>
          <w:color w:val="auto"/>
          <w:lang w:eastAsia="zh-CN"/>
        </w:rPr>
        <w:t>, Parkinson J, Ilic MZ, Cook J, Feller JA, Handley CJ. Changes in the composition of the extracellular matrix in patellar tendinopathy. </w:t>
      </w:r>
      <w:r w:rsidRPr="00DC237D">
        <w:rPr>
          <w:rFonts w:ascii="Book Antiqua" w:eastAsia="宋体" w:hAnsi="Book Antiqua" w:cs="宋体"/>
          <w:i/>
          <w:iCs/>
          <w:color w:val="auto"/>
          <w:lang w:eastAsia="zh-CN"/>
        </w:rPr>
        <w:t>Matrix Biol</w:t>
      </w:r>
      <w:r w:rsidRPr="00DC237D">
        <w:rPr>
          <w:rFonts w:ascii="Book Antiqua" w:eastAsia="宋体" w:hAnsi="Book Antiqua" w:cs="宋体"/>
          <w:color w:val="auto"/>
          <w:lang w:eastAsia="zh-CN"/>
        </w:rPr>
        <w:t> 2009; </w:t>
      </w:r>
      <w:r w:rsidRPr="00DC237D">
        <w:rPr>
          <w:rFonts w:ascii="Book Antiqua" w:eastAsia="宋体" w:hAnsi="Book Antiqua" w:cs="宋体"/>
          <w:b/>
          <w:bCs/>
          <w:color w:val="auto"/>
          <w:lang w:eastAsia="zh-CN"/>
        </w:rPr>
        <w:t>28</w:t>
      </w:r>
      <w:r w:rsidRPr="00DC237D">
        <w:rPr>
          <w:rFonts w:ascii="Book Antiqua" w:eastAsia="宋体" w:hAnsi="Book Antiqua" w:cs="宋体"/>
          <w:color w:val="auto"/>
          <w:lang w:eastAsia="zh-CN"/>
        </w:rPr>
        <w:t>: 230-236 [PMID: 19371780 DOI: 10.1016/j.matbio.2009.04.001]</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23 </w:t>
      </w:r>
      <w:r w:rsidRPr="00DC237D">
        <w:rPr>
          <w:rFonts w:ascii="Book Antiqua" w:eastAsia="宋体" w:hAnsi="Book Antiqua" w:cs="宋体"/>
          <w:b/>
          <w:bCs/>
          <w:color w:val="auto"/>
          <w:lang w:eastAsia="zh-CN"/>
        </w:rPr>
        <w:t>Attia E</w:t>
      </w:r>
      <w:r w:rsidRPr="00DC237D">
        <w:rPr>
          <w:rFonts w:ascii="Book Antiqua" w:eastAsia="宋体" w:hAnsi="Book Antiqua" w:cs="宋体"/>
          <w:color w:val="auto"/>
          <w:lang w:eastAsia="zh-CN"/>
        </w:rPr>
        <w:t>, Bohnert K, Brown H, Bhargava M, Hannafin JA. Characterization of total and active matrix metalloproteinases-1, -3, and -13 synthesized and secreted by anterior cruciate ligament fibroblasts in three-dimensional collagen gels. </w:t>
      </w:r>
      <w:r w:rsidRPr="00DC237D">
        <w:rPr>
          <w:rFonts w:ascii="Book Antiqua" w:eastAsia="宋体" w:hAnsi="Book Antiqua" w:cs="宋体"/>
          <w:i/>
          <w:iCs/>
          <w:color w:val="auto"/>
          <w:lang w:eastAsia="zh-CN"/>
        </w:rPr>
        <w:t>Tissue Eng Part A</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20</w:t>
      </w:r>
      <w:r w:rsidRPr="00DC237D">
        <w:rPr>
          <w:rFonts w:ascii="Book Antiqua" w:eastAsia="宋体" w:hAnsi="Book Antiqua" w:cs="宋体"/>
          <w:color w:val="auto"/>
          <w:lang w:eastAsia="zh-CN"/>
        </w:rPr>
        <w:t>: 171-177 [PMID: 23879595 DOI: 10.1089/ten.TEA.2012.0669]</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24 </w:t>
      </w:r>
      <w:r w:rsidRPr="00DC237D">
        <w:rPr>
          <w:rFonts w:ascii="Book Antiqua" w:eastAsia="宋体" w:hAnsi="Book Antiqua" w:cs="宋体"/>
          <w:b/>
          <w:bCs/>
          <w:color w:val="auto"/>
          <w:lang w:eastAsia="zh-CN"/>
        </w:rPr>
        <w:t>Livak KJ</w:t>
      </w:r>
      <w:r w:rsidRPr="00DC237D">
        <w:rPr>
          <w:rFonts w:ascii="Book Antiqua" w:eastAsia="宋体" w:hAnsi="Book Antiqua" w:cs="宋体"/>
          <w:color w:val="auto"/>
          <w:lang w:eastAsia="zh-CN"/>
        </w:rPr>
        <w:t>, Schmittgen TD. Analysis of relative gene expression data using real-time quantitative PCR and the 2(-Delta Delta C(T)) Method. </w:t>
      </w:r>
      <w:r w:rsidRPr="00DC237D">
        <w:rPr>
          <w:rFonts w:ascii="Book Antiqua" w:eastAsia="宋体" w:hAnsi="Book Antiqua" w:cs="宋体"/>
          <w:i/>
          <w:iCs/>
          <w:color w:val="auto"/>
          <w:lang w:eastAsia="zh-CN"/>
        </w:rPr>
        <w:t>Methods</w:t>
      </w:r>
      <w:r w:rsidRPr="00DC237D">
        <w:rPr>
          <w:rFonts w:ascii="Book Antiqua" w:eastAsia="宋体" w:hAnsi="Book Antiqua" w:cs="宋体"/>
          <w:color w:val="auto"/>
          <w:lang w:eastAsia="zh-CN"/>
        </w:rPr>
        <w:t> 2001; </w:t>
      </w:r>
      <w:r w:rsidRPr="00DC237D">
        <w:rPr>
          <w:rFonts w:ascii="Book Antiqua" w:eastAsia="宋体" w:hAnsi="Book Antiqua" w:cs="宋体"/>
          <w:b/>
          <w:bCs/>
          <w:color w:val="auto"/>
          <w:lang w:eastAsia="zh-CN"/>
        </w:rPr>
        <w:t>25</w:t>
      </w:r>
      <w:r w:rsidRPr="00DC237D">
        <w:rPr>
          <w:rFonts w:ascii="Book Antiqua" w:eastAsia="宋体" w:hAnsi="Book Antiqua" w:cs="宋体"/>
          <w:color w:val="auto"/>
          <w:lang w:eastAsia="zh-CN"/>
        </w:rPr>
        <w:t>: 402-408 [PMID: 11846609 DOI: 10.1006/meth.2001.1262]</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25 </w:t>
      </w:r>
      <w:r w:rsidRPr="00DC237D">
        <w:rPr>
          <w:rFonts w:ascii="Book Antiqua" w:eastAsia="宋体" w:hAnsi="Book Antiqua" w:cs="宋体"/>
          <w:b/>
          <w:color w:val="auto"/>
          <w:lang w:eastAsia="zh-CN"/>
        </w:rPr>
        <w:t>Goidin D</w:t>
      </w:r>
      <w:r w:rsidRPr="00DC237D">
        <w:rPr>
          <w:rFonts w:ascii="Book Antiqua" w:eastAsia="宋体" w:hAnsi="Book Antiqua" w:cs="宋体"/>
          <w:color w:val="auto"/>
          <w:lang w:eastAsia="zh-CN"/>
        </w:rPr>
        <w:t xml:space="preserve">, Mamessier A, Staquet M-J, Schmitt D, Berthier-Vergnes O. Ribosomal 18S RNA Prevails over Glyceraldehyde-3-Phosphate Dehydrogenase and [beta]-Actin Genes as Internal Standard for Quantitative Comparison of mRNA Levels in Invasive and Noninvasive Human Melanoma Cell Subpopulations. </w:t>
      </w:r>
      <w:r w:rsidRPr="00DC237D">
        <w:rPr>
          <w:rFonts w:ascii="Book Antiqua" w:eastAsia="宋体" w:hAnsi="Book Antiqua" w:cs="宋体"/>
          <w:i/>
          <w:color w:val="auto"/>
          <w:lang w:eastAsia="zh-CN"/>
        </w:rPr>
        <w:t>Anal Biochem</w:t>
      </w:r>
      <w:r w:rsidRPr="00DC237D">
        <w:rPr>
          <w:rFonts w:ascii="Book Antiqua" w:eastAsia="宋体" w:hAnsi="Book Antiqua" w:cs="宋体"/>
          <w:color w:val="auto"/>
          <w:lang w:eastAsia="zh-CN"/>
        </w:rPr>
        <w:t xml:space="preserve"> 2001; </w:t>
      </w:r>
      <w:r w:rsidRPr="00DC237D">
        <w:rPr>
          <w:rFonts w:ascii="Book Antiqua" w:eastAsia="宋体" w:hAnsi="Book Antiqua" w:cs="宋体"/>
          <w:b/>
          <w:color w:val="auto"/>
          <w:lang w:eastAsia="zh-CN"/>
        </w:rPr>
        <w:t>295</w:t>
      </w:r>
      <w:r w:rsidRPr="00DC237D">
        <w:rPr>
          <w:rFonts w:ascii="Book Antiqua" w:eastAsia="宋体" w:hAnsi="Book Antiqua" w:cs="宋体"/>
          <w:color w:val="auto"/>
          <w:lang w:eastAsia="zh-CN"/>
        </w:rPr>
        <w:t>: 17-21 [DOI: 10.1006/abio.2001.5171]</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26 </w:t>
      </w:r>
      <w:r w:rsidRPr="00DC237D">
        <w:rPr>
          <w:rFonts w:ascii="Book Antiqua" w:eastAsia="宋体" w:hAnsi="Book Antiqua" w:cs="宋体"/>
          <w:b/>
          <w:color w:val="auto"/>
          <w:lang w:eastAsia="zh-CN"/>
        </w:rPr>
        <w:t>Pawley J</w:t>
      </w:r>
      <w:r w:rsidRPr="00DC237D">
        <w:rPr>
          <w:rFonts w:ascii="Book Antiqua" w:eastAsia="宋体" w:hAnsi="Book Antiqua" w:cs="宋体"/>
          <w:color w:val="auto"/>
          <w:lang w:eastAsia="zh-CN"/>
        </w:rPr>
        <w:t>. Handbook of biological confocal microscopy. NY: Springer, 2010</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27 </w:t>
      </w:r>
      <w:r w:rsidRPr="00DC237D">
        <w:rPr>
          <w:rFonts w:ascii="Book Antiqua" w:eastAsia="宋体" w:hAnsi="Book Antiqua" w:cs="宋体"/>
          <w:b/>
          <w:bCs/>
          <w:color w:val="auto"/>
          <w:lang w:eastAsia="zh-CN"/>
        </w:rPr>
        <w:t>Birmingham E</w:t>
      </w:r>
      <w:r w:rsidRPr="00DC237D">
        <w:rPr>
          <w:rFonts w:ascii="Book Antiqua" w:eastAsia="宋体" w:hAnsi="Book Antiqua" w:cs="宋体"/>
          <w:color w:val="auto"/>
          <w:lang w:eastAsia="zh-CN"/>
        </w:rPr>
        <w:t>, Niebur GL, McHugh PE, Shaw G, Barry FP, McNamara LM. Osteogenic differentiation of mesenchymal stem cells is regulated by osteocyte and osteoblast cells in a simplified bone niche. </w:t>
      </w:r>
      <w:r w:rsidRPr="00DC237D">
        <w:rPr>
          <w:rFonts w:ascii="Book Antiqua" w:eastAsia="宋体" w:hAnsi="Book Antiqua" w:cs="宋体"/>
          <w:i/>
          <w:iCs/>
          <w:color w:val="auto"/>
          <w:lang w:eastAsia="zh-CN"/>
        </w:rPr>
        <w:t>Eur Cell Mater</w:t>
      </w:r>
      <w:r w:rsidRPr="00DC237D">
        <w:rPr>
          <w:rFonts w:ascii="Book Antiqua" w:eastAsia="宋体" w:hAnsi="Book Antiqua" w:cs="宋体"/>
          <w:color w:val="auto"/>
          <w:lang w:eastAsia="zh-CN"/>
        </w:rPr>
        <w:t> 2012; </w:t>
      </w:r>
      <w:r w:rsidRPr="00DC237D">
        <w:rPr>
          <w:rFonts w:ascii="Book Antiqua" w:eastAsia="宋体" w:hAnsi="Book Antiqua" w:cs="宋体"/>
          <w:b/>
          <w:bCs/>
          <w:color w:val="auto"/>
          <w:lang w:eastAsia="zh-CN"/>
        </w:rPr>
        <w:t>23</w:t>
      </w:r>
      <w:r w:rsidRPr="00DC237D">
        <w:rPr>
          <w:rFonts w:ascii="Book Antiqua" w:eastAsia="宋体" w:hAnsi="Book Antiqua" w:cs="宋体"/>
          <w:color w:val="auto"/>
          <w:lang w:eastAsia="zh-CN"/>
        </w:rPr>
        <w:t>: 13-27 [PMID: 22241610]</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28 </w:t>
      </w:r>
      <w:r w:rsidRPr="00DC237D">
        <w:rPr>
          <w:rFonts w:ascii="Book Antiqua" w:eastAsia="宋体" w:hAnsi="Book Antiqua" w:cs="宋体"/>
          <w:b/>
          <w:bCs/>
          <w:color w:val="auto"/>
          <w:lang w:eastAsia="zh-CN"/>
        </w:rPr>
        <w:t>Luo Q</w:t>
      </w:r>
      <w:r w:rsidRPr="00DC237D">
        <w:rPr>
          <w:rFonts w:ascii="Book Antiqua" w:eastAsia="宋体" w:hAnsi="Book Antiqua" w:cs="宋体"/>
          <w:color w:val="auto"/>
          <w:lang w:eastAsia="zh-CN"/>
        </w:rPr>
        <w:t>, Song G, Song Y, Xu B, Qin J, Shi Y. Indirect co-culture with tenocytes promotes proliferation and mRNA expression of tendon/ligament related genes in rat bone marrow mesenchymal stem cells. </w:t>
      </w:r>
      <w:r w:rsidRPr="00DC237D">
        <w:rPr>
          <w:rFonts w:ascii="Book Antiqua" w:eastAsia="宋体" w:hAnsi="Book Antiqua" w:cs="宋体"/>
          <w:i/>
          <w:iCs/>
          <w:color w:val="auto"/>
          <w:lang w:eastAsia="zh-CN"/>
        </w:rPr>
        <w:t>Cytotechnology</w:t>
      </w:r>
      <w:r w:rsidRPr="00DC237D">
        <w:rPr>
          <w:rFonts w:ascii="Book Antiqua" w:eastAsia="宋体" w:hAnsi="Book Antiqua" w:cs="宋体"/>
          <w:color w:val="auto"/>
          <w:lang w:eastAsia="zh-CN"/>
        </w:rPr>
        <w:t> 2009; </w:t>
      </w:r>
      <w:r w:rsidRPr="00DC237D">
        <w:rPr>
          <w:rFonts w:ascii="Book Antiqua" w:eastAsia="宋体" w:hAnsi="Book Antiqua" w:cs="宋体"/>
          <w:b/>
          <w:bCs/>
          <w:color w:val="auto"/>
          <w:lang w:eastAsia="zh-CN"/>
        </w:rPr>
        <w:t>61</w:t>
      </w:r>
      <w:r w:rsidRPr="00DC237D">
        <w:rPr>
          <w:rFonts w:ascii="Book Antiqua" w:eastAsia="宋体" w:hAnsi="Book Antiqua" w:cs="宋体"/>
          <w:color w:val="auto"/>
          <w:lang w:eastAsia="zh-CN"/>
        </w:rPr>
        <w:t>: 1-10 [PMID: 19842053 DOI: 10.1007/s10616-009-9233-9]</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29 </w:t>
      </w:r>
      <w:r w:rsidRPr="00DC237D">
        <w:rPr>
          <w:rFonts w:ascii="Book Antiqua" w:eastAsia="宋体" w:hAnsi="Book Antiqua" w:cs="宋体"/>
          <w:b/>
          <w:bCs/>
          <w:color w:val="auto"/>
          <w:lang w:eastAsia="zh-CN"/>
        </w:rPr>
        <w:t>Pauly S</w:t>
      </w:r>
      <w:r w:rsidRPr="00DC237D">
        <w:rPr>
          <w:rFonts w:ascii="Book Antiqua" w:eastAsia="宋体" w:hAnsi="Book Antiqua" w:cs="宋体"/>
          <w:color w:val="auto"/>
          <w:lang w:eastAsia="zh-CN"/>
        </w:rPr>
        <w:t>, Klatte F, Strobel C, Schmidmaier G, Greiner S, Scheibel M, Wildemann B. Characterization of tendon cell cultures of the human rotator cuff. </w:t>
      </w:r>
      <w:r w:rsidRPr="00DC237D">
        <w:rPr>
          <w:rFonts w:ascii="Book Antiqua" w:eastAsia="宋体" w:hAnsi="Book Antiqua" w:cs="宋体"/>
          <w:i/>
          <w:iCs/>
          <w:color w:val="auto"/>
          <w:lang w:eastAsia="zh-CN"/>
        </w:rPr>
        <w:t>Eur Cell Mater</w:t>
      </w:r>
      <w:r w:rsidRPr="00DC237D">
        <w:rPr>
          <w:rFonts w:ascii="Book Antiqua" w:eastAsia="宋体" w:hAnsi="Book Antiqua" w:cs="宋体"/>
          <w:color w:val="auto"/>
          <w:lang w:eastAsia="zh-CN"/>
        </w:rPr>
        <w:t> 2010; </w:t>
      </w:r>
      <w:r w:rsidRPr="00DC237D">
        <w:rPr>
          <w:rFonts w:ascii="Book Antiqua" w:eastAsia="宋体" w:hAnsi="Book Antiqua" w:cs="宋体"/>
          <w:b/>
          <w:bCs/>
          <w:color w:val="auto"/>
          <w:lang w:eastAsia="zh-CN"/>
        </w:rPr>
        <w:t>20</w:t>
      </w:r>
      <w:r w:rsidRPr="00DC237D">
        <w:rPr>
          <w:rFonts w:ascii="Book Antiqua" w:eastAsia="宋体" w:hAnsi="Book Antiqua" w:cs="宋体"/>
          <w:color w:val="auto"/>
          <w:lang w:eastAsia="zh-CN"/>
        </w:rPr>
        <w:t>: 84-97 [PMID: 20661865]</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30 </w:t>
      </w:r>
      <w:r w:rsidRPr="00DC237D">
        <w:rPr>
          <w:rFonts w:ascii="Book Antiqua" w:eastAsia="宋体" w:hAnsi="Book Antiqua" w:cs="宋体"/>
          <w:b/>
          <w:bCs/>
          <w:color w:val="auto"/>
          <w:lang w:eastAsia="zh-CN"/>
        </w:rPr>
        <w:t>Kishore V</w:t>
      </w:r>
      <w:r w:rsidRPr="00DC237D">
        <w:rPr>
          <w:rFonts w:ascii="Book Antiqua" w:eastAsia="宋体" w:hAnsi="Book Antiqua" w:cs="宋体"/>
          <w:color w:val="auto"/>
          <w:lang w:eastAsia="zh-CN"/>
        </w:rPr>
        <w:t>, Bullock W, Sun X, Van Dyke WS, Akkus O. Tenogenic differentiation of human MSCs induced by the topography of electrochemically aligned collagen threads. </w:t>
      </w:r>
      <w:r w:rsidRPr="00DC237D">
        <w:rPr>
          <w:rFonts w:ascii="Book Antiqua" w:eastAsia="宋体" w:hAnsi="Book Antiqua" w:cs="宋体"/>
          <w:i/>
          <w:iCs/>
          <w:color w:val="auto"/>
          <w:lang w:eastAsia="zh-CN"/>
        </w:rPr>
        <w:t>Biomaterials</w:t>
      </w:r>
      <w:r w:rsidRPr="00DC237D">
        <w:rPr>
          <w:rFonts w:ascii="Book Antiqua" w:eastAsia="宋体" w:hAnsi="Book Antiqua" w:cs="宋体"/>
          <w:color w:val="auto"/>
          <w:lang w:eastAsia="zh-CN"/>
        </w:rPr>
        <w:t> 2012; </w:t>
      </w:r>
      <w:r w:rsidRPr="00DC237D">
        <w:rPr>
          <w:rFonts w:ascii="Book Antiqua" w:eastAsia="宋体" w:hAnsi="Book Antiqua" w:cs="宋体"/>
          <w:b/>
          <w:bCs/>
          <w:color w:val="auto"/>
          <w:lang w:eastAsia="zh-CN"/>
        </w:rPr>
        <w:t>33</w:t>
      </w:r>
      <w:r w:rsidRPr="00DC237D">
        <w:rPr>
          <w:rFonts w:ascii="Book Antiqua" w:eastAsia="宋体" w:hAnsi="Book Antiqua" w:cs="宋体"/>
          <w:color w:val="auto"/>
          <w:lang w:eastAsia="zh-CN"/>
        </w:rPr>
        <w:t>: 2137-2144 [PMID: 22177622 DOI: 10.1016/j.biomaterials.2011.11.066]</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31 </w:t>
      </w:r>
      <w:r w:rsidRPr="00DC237D">
        <w:rPr>
          <w:rFonts w:ascii="Book Antiqua" w:eastAsia="宋体" w:hAnsi="Book Antiqua" w:cs="宋体"/>
          <w:b/>
          <w:bCs/>
          <w:color w:val="auto"/>
          <w:lang w:eastAsia="zh-CN"/>
        </w:rPr>
        <w:t>Seiler C</w:t>
      </w:r>
      <w:r w:rsidRPr="00DC237D">
        <w:rPr>
          <w:rFonts w:ascii="Book Antiqua" w:eastAsia="宋体" w:hAnsi="Book Antiqua" w:cs="宋体"/>
          <w:color w:val="auto"/>
          <w:lang w:eastAsia="zh-CN"/>
        </w:rPr>
        <w:t>, Gazdhar A, Reyes M, Benneker LM, Geiser T, Siebenrock KA, Gantenbein-Ritter B. Time-lapse microscopy and classification of 2D human mesenchymal stem cells based on cell shape picks up myogenic from osteogenic and adipogenic differentiation. </w:t>
      </w:r>
      <w:r w:rsidRPr="00DC237D">
        <w:rPr>
          <w:rFonts w:ascii="Book Antiqua" w:eastAsia="宋体" w:hAnsi="Book Antiqua" w:cs="宋体"/>
          <w:i/>
          <w:iCs/>
          <w:color w:val="auto"/>
          <w:lang w:eastAsia="zh-CN"/>
        </w:rPr>
        <w:t>J Tissue Eng Regen Med</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8</w:t>
      </w:r>
      <w:r w:rsidRPr="00DC237D">
        <w:rPr>
          <w:rFonts w:ascii="Book Antiqua" w:eastAsia="宋体" w:hAnsi="Book Antiqua" w:cs="宋体"/>
          <w:color w:val="auto"/>
          <w:lang w:eastAsia="zh-CN"/>
        </w:rPr>
        <w:t>: 737-746 [PMID: 22815264 DOI: 10.1002/term.1575]</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32 </w:t>
      </w:r>
      <w:r w:rsidRPr="00DC237D">
        <w:rPr>
          <w:rFonts w:ascii="Book Antiqua" w:eastAsia="宋体" w:hAnsi="Book Antiqua" w:cs="宋体"/>
          <w:b/>
          <w:bCs/>
          <w:color w:val="auto"/>
          <w:lang w:eastAsia="zh-CN"/>
        </w:rPr>
        <w:t>Zhang J</w:t>
      </w:r>
      <w:r w:rsidRPr="00DC237D">
        <w:rPr>
          <w:rFonts w:ascii="Book Antiqua" w:eastAsia="宋体" w:hAnsi="Book Antiqua" w:cs="宋体"/>
          <w:color w:val="auto"/>
          <w:lang w:eastAsia="zh-CN"/>
        </w:rPr>
        <w:t>, Pan T, Im HJ, Fu FH, Wang JH. Differential properties of human ACL and MCL stem cells may be responsible for their differential healing capacity. </w:t>
      </w:r>
      <w:r w:rsidRPr="00DC237D">
        <w:rPr>
          <w:rFonts w:ascii="Book Antiqua" w:eastAsia="宋体" w:hAnsi="Book Antiqua" w:cs="宋体"/>
          <w:i/>
          <w:iCs/>
          <w:color w:val="auto"/>
          <w:lang w:eastAsia="zh-CN"/>
        </w:rPr>
        <w:t>BMC Med</w:t>
      </w:r>
      <w:r w:rsidRPr="00DC237D">
        <w:rPr>
          <w:rFonts w:ascii="Book Antiqua" w:eastAsia="宋体" w:hAnsi="Book Antiqua" w:cs="宋体"/>
          <w:color w:val="auto"/>
          <w:lang w:eastAsia="zh-CN"/>
        </w:rPr>
        <w:t> 2011; </w:t>
      </w:r>
      <w:r w:rsidRPr="00DC237D">
        <w:rPr>
          <w:rFonts w:ascii="Book Antiqua" w:eastAsia="宋体" w:hAnsi="Book Antiqua" w:cs="宋体"/>
          <w:b/>
          <w:bCs/>
          <w:color w:val="auto"/>
          <w:lang w:eastAsia="zh-CN"/>
        </w:rPr>
        <w:t>9</w:t>
      </w:r>
      <w:r w:rsidRPr="00DC237D">
        <w:rPr>
          <w:rFonts w:ascii="Book Antiqua" w:eastAsia="宋体" w:hAnsi="Book Antiqua" w:cs="宋体"/>
          <w:color w:val="auto"/>
          <w:lang w:eastAsia="zh-CN"/>
        </w:rPr>
        <w:t>: 68 [PMID: 21635735 DOI: 10.1186/1741-7015-9-68]</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33 </w:t>
      </w:r>
      <w:r w:rsidRPr="00DC237D">
        <w:rPr>
          <w:rFonts w:ascii="Book Antiqua" w:eastAsia="宋体" w:hAnsi="Book Antiqua" w:cs="宋体"/>
          <w:b/>
          <w:bCs/>
          <w:color w:val="auto"/>
          <w:lang w:eastAsia="zh-CN"/>
        </w:rPr>
        <w:t>Fossett E</w:t>
      </w:r>
      <w:r w:rsidRPr="00DC237D">
        <w:rPr>
          <w:rFonts w:ascii="Book Antiqua" w:eastAsia="宋体" w:hAnsi="Book Antiqua" w:cs="宋体"/>
          <w:color w:val="auto"/>
          <w:lang w:eastAsia="zh-CN"/>
        </w:rPr>
        <w:t>, Khan WS, Longo UG, Smitham PJ. Effect of age and gender on cell proliferation and cell surface characterization of synovial fat pad derived mesenchymal stem cells. </w:t>
      </w:r>
      <w:r w:rsidRPr="00DC237D">
        <w:rPr>
          <w:rFonts w:ascii="Book Antiqua" w:eastAsia="宋体" w:hAnsi="Book Antiqua" w:cs="宋体"/>
          <w:i/>
          <w:iCs/>
          <w:color w:val="auto"/>
          <w:lang w:eastAsia="zh-CN"/>
        </w:rPr>
        <w:t>J Orthop Res</w:t>
      </w:r>
      <w:r w:rsidRPr="00DC237D">
        <w:rPr>
          <w:rFonts w:ascii="Book Antiqua" w:eastAsia="宋体" w:hAnsi="Book Antiqua" w:cs="宋体"/>
          <w:color w:val="auto"/>
          <w:lang w:eastAsia="zh-CN"/>
        </w:rPr>
        <w:t> 2012; </w:t>
      </w:r>
      <w:r w:rsidRPr="00DC237D">
        <w:rPr>
          <w:rFonts w:ascii="Book Antiqua" w:eastAsia="宋体" w:hAnsi="Book Antiqua" w:cs="宋体"/>
          <w:b/>
          <w:bCs/>
          <w:color w:val="auto"/>
          <w:lang w:eastAsia="zh-CN"/>
        </w:rPr>
        <w:t>30</w:t>
      </w:r>
      <w:r w:rsidRPr="00DC237D">
        <w:rPr>
          <w:rFonts w:ascii="Book Antiqua" w:eastAsia="宋体" w:hAnsi="Book Antiqua" w:cs="宋体"/>
          <w:color w:val="auto"/>
          <w:lang w:eastAsia="zh-CN"/>
        </w:rPr>
        <w:t>: 1013-1018 [PMID: 22228598 DOI: 10.1002/jor.22057]</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34 </w:t>
      </w:r>
      <w:r w:rsidRPr="00DC237D">
        <w:rPr>
          <w:rFonts w:ascii="Book Antiqua" w:eastAsia="宋体" w:hAnsi="Book Antiqua" w:cs="宋体"/>
          <w:b/>
          <w:bCs/>
          <w:color w:val="auto"/>
          <w:lang w:eastAsia="zh-CN"/>
        </w:rPr>
        <w:t>Rust PA</w:t>
      </w:r>
      <w:r w:rsidRPr="00DC237D">
        <w:rPr>
          <w:rFonts w:ascii="Book Antiqua" w:eastAsia="宋体" w:hAnsi="Book Antiqua" w:cs="宋体"/>
          <w:color w:val="auto"/>
          <w:lang w:eastAsia="zh-CN"/>
        </w:rPr>
        <w:t>, Kalsi P, Briggs TW, Cannon SR, Blunn GW. Will mesenchymal stem cells differentiate into osteoblasts on allograft? </w:t>
      </w:r>
      <w:r w:rsidRPr="00DC237D">
        <w:rPr>
          <w:rFonts w:ascii="Book Antiqua" w:eastAsia="宋体" w:hAnsi="Book Antiqua" w:cs="宋体"/>
          <w:i/>
          <w:iCs/>
          <w:color w:val="auto"/>
          <w:lang w:eastAsia="zh-CN"/>
        </w:rPr>
        <w:t>Clin Orthop Relat Res</w:t>
      </w:r>
      <w:r w:rsidRPr="00DC237D">
        <w:rPr>
          <w:rFonts w:ascii="Book Antiqua" w:eastAsia="宋体" w:hAnsi="Book Antiqua" w:cs="宋体"/>
          <w:color w:val="auto"/>
          <w:lang w:eastAsia="zh-CN"/>
        </w:rPr>
        <w:t> 2007; </w:t>
      </w:r>
      <w:r w:rsidRPr="00DC237D">
        <w:rPr>
          <w:rFonts w:ascii="Book Antiqua" w:eastAsia="宋体" w:hAnsi="Book Antiqua" w:cs="宋体"/>
          <w:b/>
          <w:bCs/>
          <w:color w:val="auto"/>
          <w:lang w:eastAsia="zh-CN"/>
        </w:rPr>
        <w:t>457</w:t>
      </w:r>
      <w:r w:rsidRPr="00DC237D">
        <w:rPr>
          <w:rFonts w:ascii="Book Antiqua" w:eastAsia="宋体" w:hAnsi="Book Antiqua" w:cs="宋体"/>
          <w:color w:val="auto"/>
          <w:lang w:eastAsia="zh-CN"/>
        </w:rPr>
        <w:t>: 220-226 [PMID: 17146367 DOI: 10.1097/BLO.0b013e31802e7e8f]</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35 </w:t>
      </w:r>
      <w:r w:rsidRPr="00DC237D">
        <w:rPr>
          <w:rFonts w:ascii="Book Antiqua" w:eastAsia="宋体" w:hAnsi="Book Antiqua" w:cs="宋体"/>
          <w:b/>
          <w:bCs/>
          <w:color w:val="auto"/>
          <w:lang w:eastAsia="zh-CN"/>
        </w:rPr>
        <w:t>Yoshida R</w:t>
      </w:r>
      <w:r w:rsidRPr="00DC237D">
        <w:rPr>
          <w:rFonts w:ascii="Book Antiqua" w:eastAsia="宋体" w:hAnsi="Book Antiqua" w:cs="宋体"/>
          <w:color w:val="auto"/>
          <w:lang w:eastAsia="zh-CN"/>
        </w:rPr>
        <w:t>, Cheng M, Murray MM. Increasing platelet concentration in platelet-rich plasma inhibits anterior cruciate ligament cell function in three-dimensional culture. </w:t>
      </w:r>
      <w:r w:rsidRPr="00DC237D">
        <w:rPr>
          <w:rFonts w:ascii="Book Antiqua" w:eastAsia="宋体" w:hAnsi="Book Antiqua" w:cs="宋体"/>
          <w:i/>
          <w:iCs/>
          <w:color w:val="auto"/>
          <w:lang w:eastAsia="zh-CN"/>
        </w:rPr>
        <w:t>J Orthop Res</w:t>
      </w:r>
      <w:r w:rsidRPr="00DC237D">
        <w:rPr>
          <w:rFonts w:ascii="Book Antiqua" w:eastAsia="宋体" w:hAnsi="Book Antiqua" w:cs="宋体"/>
          <w:color w:val="auto"/>
          <w:lang w:eastAsia="zh-CN"/>
        </w:rPr>
        <w:t> 2014; </w:t>
      </w:r>
      <w:r w:rsidRPr="00DC237D">
        <w:rPr>
          <w:rFonts w:ascii="Book Antiqua" w:eastAsia="宋体" w:hAnsi="Book Antiqua" w:cs="宋体"/>
          <w:b/>
          <w:bCs/>
          <w:color w:val="auto"/>
          <w:lang w:eastAsia="zh-CN"/>
        </w:rPr>
        <w:t>32</w:t>
      </w:r>
      <w:r w:rsidRPr="00DC237D">
        <w:rPr>
          <w:rFonts w:ascii="Book Antiqua" w:eastAsia="宋体" w:hAnsi="Book Antiqua" w:cs="宋体"/>
          <w:color w:val="auto"/>
          <w:lang w:eastAsia="zh-CN"/>
        </w:rPr>
        <w:t>: 291-295 [PMID: 24122902 DOI: 10.1002/jor.22493]</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36 </w:t>
      </w:r>
      <w:hyperlink r:id="rId19" w:history="1">
        <w:r w:rsidRPr="00DC237D">
          <w:rPr>
            <w:rFonts w:ascii="Book Antiqua" w:eastAsia="宋体" w:hAnsi="Book Antiqua" w:cs="宋体"/>
            <w:b/>
            <w:color w:val="auto"/>
            <w:lang w:eastAsia="zh-CN"/>
          </w:rPr>
          <w:t>Fleming BC</w:t>
        </w:r>
      </w:hyperlink>
      <w:r w:rsidRPr="00DC237D">
        <w:rPr>
          <w:rFonts w:ascii="Book Antiqua" w:eastAsia="宋体" w:hAnsi="Book Antiqua" w:cs="宋体"/>
          <w:color w:val="auto"/>
          <w:lang w:eastAsia="zh-CN"/>
        </w:rPr>
        <w:t>, </w:t>
      </w:r>
      <w:hyperlink r:id="rId20" w:history="1">
        <w:r w:rsidRPr="00DC237D">
          <w:rPr>
            <w:rFonts w:ascii="Book Antiqua" w:eastAsia="宋体" w:hAnsi="Book Antiqua" w:cs="宋体"/>
            <w:color w:val="auto"/>
            <w:lang w:eastAsia="zh-CN"/>
          </w:rPr>
          <w:t>Proffen BL</w:t>
        </w:r>
      </w:hyperlink>
      <w:r w:rsidRPr="00DC237D">
        <w:rPr>
          <w:rFonts w:ascii="Book Antiqua" w:eastAsia="宋体" w:hAnsi="Book Antiqua" w:cs="宋体"/>
          <w:color w:val="auto"/>
          <w:lang w:eastAsia="zh-CN"/>
        </w:rPr>
        <w:t>, </w:t>
      </w:r>
      <w:hyperlink r:id="rId21" w:history="1">
        <w:r w:rsidRPr="00DC237D">
          <w:rPr>
            <w:rFonts w:ascii="Book Antiqua" w:eastAsia="宋体" w:hAnsi="Book Antiqua" w:cs="宋体"/>
            <w:color w:val="auto"/>
            <w:lang w:eastAsia="zh-CN"/>
          </w:rPr>
          <w:t>Vavken P</w:t>
        </w:r>
      </w:hyperlink>
      <w:r w:rsidRPr="00DC237D">
        <w:rPr>
          <w:rFonts w:ascii="Book Antiqua" w:eastAsia="宋体" w:hAnsi="Book Antiqua" w:cs="宋体"/>
          <w:color w:val="auto"/>
          <w:lang w:eastAsia="zh-CN"/>
        </w:rPr>
        <w:t>, </w:t>
      </w:r>
      <w:hyperlink r:id="rId22" w:history="1">
        <w:r w:rsidRPr="00DC237D">
          <w:rPr>
            <w:rFonts w:ascii="Book Antiqua" w:eastAsia="宋体" w:hAnsi="Book Antiqua" w:cs="宋体"/>
            <w:color w:val="auto"/>
            <w:lang w:eastAsia="zh-CN"/>
          </w:rPr>
          <w:t>Shalvoy MR</w:t>
        </w:r>
      </w:hyperlink>
      <w:r w:rsidRPr="00DC237D">
        <w:rPr>
          <w:rFonts w:ascii="Book Antiqua" w:eastAsia="宋体" w:hAnsi="Book Antiqua" w:cs="宋体"/>
          <w:color w:val="auto"/>
          <w:lang w:eastAsia="zh-CN"/>
        </w:rPr>
        <w:t>, </w:t>
      </w:r>
      <w:hyperlink r:id="rId23" w:history="1">
        <w:r w:rsidRPr="00DC237D">
          <w:rPr>
            <w:rFonts w:ascii="Book Antiqua" w:eastAsia="宋体" w:hAnsi="Book Antiqua" w:cs="宋体"/>
            <w:color w:val="auto"/>
            <w:lang w:eastAsia="zh-CN"/>
          </w:rPr>
          <w:t>Machan JT</w:t>
        </w:r>
      </w:hyperlink>
      <w:r w:rsidRPr="00DC237D">
        <w:rPr>
          <w:rFonts w:ascii="Book Antiqua" w:eastAsia="宋体" w:hAnsi="Book Antiqua" w:cs="宋体"/>
          <w:color w:val="auto"/>
          <w:lang w:eastAsia="zh-CN"/>
        </w:rPr>
        <w:t>, </w:t>
      </w:r>
      <w:hyperlink r:id="rId24" w:history="1">
        <w:r w:rsidRPr="00DC237D">
          <w:rPr>
            <w:rFonts w:ascii="Book Antiqua" w:eastAsia="宋体" w:hAnsi="Book Antiqua" w:cs="宋体"/>
            <w:color w:val="auto"/>
            <w:lang w:eastAsia="zh-CN"/>
          </w:rPr>
          <w:t>Murray MM</w:t>
        </w:r>
      </w:hyperlink>
      <w:r w:rsidRPr="00DC237D">
        <w:rPr>
          <w:rFonts w:ascii="Book Antiqua" w:eastAsia="宋体" w:hAnsi="Book Antiqua" w:cs="宋体"/>
          <w:color w:val="auto"/>
          <w:lang w:eastAsia="zh-CN"/>
        </w:rPr>
        <w:t>. Increased platelet concentration does not improve functional graft healing in bio-enhanced ACL reconstruction. </w:t>
      </w:r>
      <w:r w:rsidRPr="00DC237D">
        <w:rPr>
          <w:rFonts w:ascii="Book Antiqua" w:eastAsia="宋体" w:hAnsi="Book Antiqua" w:cs="宋体"/>
          <w:i/>
          <w:iCs/>
          <w:color w:val="auto"/>
          <w:lang w:eastAsia="zh-CN"/>
        </w:rPr>
        <w:t>Knee Surg Sports Traumatol Arthrosc</w:t>
      </w:r>
      <w:r w:rsidRPr="00DC237D">
        <w:rPr>
          <w:rFonts w:ascii="Book Antiqua" w:eastAsia="宋体" w:hAnsi="Book Antiqua" w:cs="宋体"/>
          <w:color w:val="auto"/>
          <w:lang w:eastAsia="zh-CN"/>
        </w:rPr>
        <w:t xml:space="preserve"> 2014; </w:t>
      </w:r>
      <w:r w:rsidRPr="00DC237D">
        <w:rPr>
          <w:rFonts w:ascii="Book Antiqua" w:hAnsi="Book Antiqua" w:cs="Arial"/>
          <w:color w:val="auto"/>
          <w:shd w:val="clear" w:color="auto" w:fill="FFFFFF"/>
        </w:rPr>
        <w:t>Epub ahead of print]</w:t>
      </w:r>
      <w:r w:rsidRPr="00DC237D">
        <w:rPr>
          <w:rFonts w:ascii="Book Antiqua" w:eastAsia="宋体" w:hAnsi="Book Antiqua" w:cs="宋体"/>
          <w:color w:val="auto"/>
          <w:lang w:eastAsia="zh-CN"/>
        </w:rPr>
        <w:t> [PMID: 24633008 DOI: 10.1007/s00167-014-2932-6]</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37 </w:t>
      </w:r>
      <w:r w:rsidRPr="00DC237D">
        <w:rPr>
          <w:rFonts w:ascii="Book Antiqua" w:eastAsia="宋体" w:hAnsi="Book Antiqua" w:cs="宋体"/>
          <w:b/>
          <w:bCs/>
          <w:color w:val="auto"/>
          <w:lang w:eastAsia="zh-CN"/>
        </w:rPr>
        <w:t>Pietschmann MF</w:t>
      </w:r>
      <w:r w:rsidRPr="00DC237D">
        <w:rPr>
          <w:rFonts w:ascii="Book Antiqua" w:eastAsia="宋体" w:hAnsi="Book Antiqua" w:cs="宋体"/>
          <w:color w:val="auto"/>
          <w:lang w:eastAsia="zh-CN"/>
        </w:rPr>
        <w:t>, Frankewycz B, Schmitz P, Docheva D, Sievers B, Jansson V, Schieker M, Müller PE. Comparison of tenocytes and mesenchymal stem cells seeded on biodegradable scaffolds in a full-size tendon defect model. </w:t>
      </w:r>
      <w:r w:rsidRPr="00DC237D">
        <w:rPr>
          <w:rFonts w:ascii="Book Antiqua" w:eastAsia="宋体" w:hAnsi="Book Antiqua" w:cs="宋体"/>
          <w:i/>
          <w:iCs/>
          <w:color w:val="auto"/>
          <w:lang w:eastAsia="zh-CN"/>
        </w:rPr>
        <w:t>J Mater Sci Mater Med</w:t>
      </w:r>
      <w:r w:rsidRPr="00DC237D">
        <w:rPr>
          <w:rFonts w:ascii="Book Antiqua" w:eastAsia="宋体" w:hAnsi="Book Antiqua" w:cs="宋体"/>
          <w:color w:val="auto"/>
          <w:lang w:eastAsia="zh-CN"/>
        </w:rPr>
        <w:t> 2013; </w:t>
      </w:r>
      <w:r w:rsidRPr="00DC237D">
        <w:rPr>
          <w:rFonts w:ascii="Book Antiqua" w:eastAsia="宋体" w:hAnsi="Book Antiqua" w:cs="宋体"/>
          <w:b/>
          <w:bCs/>
          <w:color w:val="auto"/>
          <w:lang w:eastAsia="zh-CN"/>
        </w:rPr>
        <w:t>24</w:t>
      </w:r>
      <w:r w:rsidRPr="00DC237D">
        <w:rPr>
          <w:rFonts w:ascii="Book Antiqua" w:eastAsia="宋体" w:hAnsi="Book Antiqua" w:cs="宋体"/>
          <w:color w:val="auto"/>
          <w:lang w:eastAsia="zh-CN"/>
        </w:rPr>
        <w:t>: 211-220 [PMID: 23090834 DOI: 10.1007/s10856-012-4791-3]</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38 </w:t>
      </w:r>
      <w:r w:rsidRPr="00DC237D">
        <w:rPr>
          <w:rFonts w:ascii="Book Antiqua" w:eastAsia="宋体" w:hAnsi="Book Antiqua" w:cs="宋体"/>
          <w:b/>
          <w:bCs/>
          <w:color w:val="auto"/>
          <w:lang w:eastAsia="zh-CN"/>
        </w:rPr>
        <w:t>Scott A</w:t>
      </w:r>
      <w:r w:rsidRPr="00DC237D">
        <w:rPr>
          <w:rFonts w:ascii="Book Antiqua" w:eastAsia="宋体" w:hAnsi="Book Antiqua" w:cs="宋体"/>
          <w:color w:val="auto"/>
          <w:lang w:eastAsia="zh-CN"/>
        </w:rPr>
        <w:t>, Danielson P, Abraham T, Fong G, Sampaio AV, Underhill TM. Mechanical force modulates scleraxis expression in bioartificial tendons. </w:t>
      </w:r>
      <w:r w:rsidRPr="00DC237D">
        <w:rPr>
          <w:rFonts w:ascii="Book Antiqua" w:eastAsia="宋体" w:hAnsi="Book Antiqua" w:cs="宋体"/>
          <w:i/>
          <w:iCs/>
          <w:color w:val="auto"/>
          <w:lang w:eastAsia="zh-CN"/>
        </w:rPr>
        <w:t>J Musculoskelet Neuronal Interact</w:t>
      </w:r>
      <w:r w:rsidRPr="00DC237D">
        <w:rPr>
          <w:rFonts w:ascii="Book Antiqua" w:eastAsia="宋体" w:hAnsi="Book Antiqua" w:cs="宋体"/>
          <w:color w:val="auto"/>
          <w:lang w:eastAsia="zh-CN"/>
        </w:rPr>
        <w:t> 2011; </w:t>
      </w:r>
      <w:r w:rsidRPr="00DC237D">
        <w:rPr>
          <w:rFonts w:ascii="Book Antiqua" w:eastAsia="宋体" w:hAnsi="Book Antiqua" w:cs="宋体"/>
          <w:b/>
          <w:bCs/>
          <w:color w:val="auto"/>
          <w:lang w:eastAsia="zh-CN"/>
        </w:rPr>
        <w:t>11</w:t>
      </w:r>
      <w:r w:rsidRPr="00DC237D">
        <w:rPr>
          <w:rFonts w:ascii="Book Antiqua" w:eastAsia="宋体" w:hAnsi="Book Antiqua" w:cs="宋体"/>
          <w:color w:val="auto"/>
          <w:lang w:eastAsia="zh-CN"/>
        </w:rPr>
        <w:t>: 124-132 [PMID: 21625049]</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 xml:space="preserve">39 </w:t>
      </w:r>
      <w:hyperlink r:id="rId25" w:history="1">
        <w:r w:rsidRPr="00DC237D">
          <w:rPr>
            <w:rFonts w:ascii="Book Antiqua" w:eastAsia="宋体" w:hAnsi="Book Antiqua" w:cs="宋体"/>
            <w:b/>
            <w:color w:val="auto"/>
            <w:lang w:eastAsia="zh-CN"/>
          </w:rPr>
          <w:t>Hutchinson ID</w:t>
        </w:r>
      </w:hyperlink>
      <w:r w:rsidRPr="00DC237D">
        <w:rPr>
          <w:rFonts w:ascii="Book Antiqua" w:eastAsia="宋体" w:hAnsi="Book Antiqua" w:cs="宋体"/>
          <w:color w:val="auto"/>
          <w:lang w:eastAsia="zh-CN"/>
        </w:rPr>
        <w:t>, </w:t>
      </w:r>
      <w:hyperlink r:id="rId26" w:history="1">
        <w:r w:rsidRPr="00DC237D">
          <w:rPr>
            <w:rFonts w:ascii="Book Antiqua" w:eastAsia="宋体" w:hAnsi="Book Antiqua" w:cs="宋体"/>
            <w:color w:val="auto"/>
            <w:lang w:eastAsia="zh-CN"/>
          </w:rPr>
          <w:t>Rodeo SA</w:t>
        </w:r>
      </w:hyperlink>
      <w:r w:rsidRPr="00DC237D">
        <w:rPr>
          <w:rFonts w:ascii="Book Antiqua" w:eastAsia="宋体" w:hAnsi="Book Antiqua" w:cs="宋体"/>
          <w:color w:val="auto"/>
          <w:lang w:eastAsia="zh-CN"/>
        </w:rPr>
        <w:t>, </w:t>
      </w:r>
      <w:hyperlink r:id="rId27" w:history="1">
        <w:r w:rsidRPr="00DC237D">
          <w:rPr>
            <w:rFonts w:ascii="Book Antiqua" w:eastAsia="宋体" w:hAnsi="Book Antiqua" w:cs="宋体"/>
            <w:color w:val="auto"/>
            <w:lang w:eastAsia="zh-CN"/>
          </w:rPr>
          <w:t>Perrone GS</w:t>
        </w:r>
      </w:hyperlink>
      <w:r w:rsidRPr="00DC237D">
        <w:rPr>
          <w:rFonts w:ascii="Book Antiqua" w:eastAsia="宋体" w:hAnsi="Book Antiqua" w:cs="宋体"/>
          <w:color w:val="auto"/>
          <w:lang w:eastAsia="zh-CN"/>
        </w:rPr>
        <w:t>, </w:t>
      </w:r>
      <w:hyperlink r:id="rId28" w:history="1">
        <w:r w:rsidRPr="00DC237D">
          <w:rPr>
            <w:rFonts w:ascii="Book Antiqua" w:eastAsia="宋体" w:hAnsi="Book Antiqua" w:cs="宋体"/>
            <w:color w:val="auto"/>
            <w:lang w:eastAsia="zh-CN"/>
          </w:rPr>
          <w:t>Murray MM</w:t>
        </w:r>
      </w:hyperlink>
      <w:r w:rsidRPr="00DC237D">
        <w:rPr>
          <w:rFonts w:ascii="Book Antiqua" w:eastAsia="宋体" w:hAnsi="Book Antiqua" w:cs="宋体"/>
          <w:color w:val="auto"/>
          <w:lang w:eastAsia="zh-CN"/>
        </w:rPr>
        <w:t>. Can Platelet-Rich Plasma Enhance Anterior Cruciate Ligament and Meniscal Repair? </w:t>
      </w:r>
      <w:r w:rsidRPr="00DC237D">
        <w:rPr>
          <w:rFonts w:ascii="Book Antiqua" w:eastAsia="宋体" w:hAnsi="Book Antiqua" w:cs="宋体"/>
          <w:i/>
          <w:iCs/>
          <w:color w:val="auto"/>
          <w:lang w:eastAsia="zh-CN"/>
        </w:rPr>
        <w:t>J Knee Surg</w:t>
      </w:r>
      <w:r w:rsidRPr="00DC237D">
        <w:rPr>
          <w:rFonts w:ascii="Book Antiqua" w:eastAsia="宋体" w:hAnsi="Book Antiqua" w:cs="宋体"/>
          <w:color w:val="auto"/>
          <w:lang w:eastAsia="zh-CN"/>
        </w:rPr>
        <w:t xml:space="preserve"> 2014; </w:t>
      </w:r>
      <w:r w:rsidRPr="00DC237D">
        <w:rPr>
          <w:rFonts w:ascii="Book Antiqua" w:hAnsi="Book Antiqua" w:cs="Arial"/>
          <w:color w:val="auto"/>
          <w:shd w:val="clear" w:color="auto" w:fill="FFFFFF"/>
        </w:rPr>
        <w:t>Epub ahead of print</w:t>
      </w:r>
      <w:r w:rsidRPr="00DC237D">
        <w:rPr>
          <w:rFonts w:ascii="Book Antiqua" w:eastAsia="宋体" w:hAnsi="Book Antiqua" w:cs="宋体"/>
          <w:color w:val="auto"/>
          <w:lang w:eastAsia="zh-CN"/>
        </w:rPr>
        <w:t> [PMID: 25101873 DOI: 10.1055/s-0034-1387166]</w:t>
      </w:r>
    </w:p>
    <w:p w:rsidR="005A6B69" w:rsidRPr="00DC237D" w:rsidRDefault="005A6B69" w:rsidP="00D8293D">
      <w:pPr>
        <w:spacing w:line="360" w:lineRule="auto"/>
        <w:jc w:val="both"/>
        <w:rPr>
          <w:rFonts w:ascii="Book Antiqua" w:eastAsia="宋体" w:hAnsi="Book Antiqua" w:cs="宋体"/>
          <w:color w:val="auto"/>
          <w:lang w:eastAsia="zh-CN"/>
        </w:rPr>
      </w:pPr>
      <w:r w:rsidRPr="00DC237D">
        <w:rPr>
          <w:rFonts w:ascii="Book Antiqua" w:eastAsia="宋体" w:hAnsi="Book Antiqua" w:cs="宋体"/>
          <w:color w:val="auto"/>
          <w:lang w:eastAsia="zh-CN"/>
        </w:rPr>
        <w:t>40 </w:t>
      </w:r>
      <w:r w:rsidRPr="00DC237D">
        <w:rPr>
          <w:rFonts w:ascii="Book Antiqua" w:eastAsia="宋体" w:hAnsi="Book Antiqua" w:cs="宋体"/>
          <w:b/>
          <w:bCs/>
          <w:color w:val="auto"/>
          <w:lang w:eastAsia="zh-CN"/>
        </w:rPr>
        <w:t>Murray MM</w:t>
      </w:r>
      <w:r w:rsidRPr="00DC237D">
        <w:rPr>
          <w:rFonts w:ascii="Book Antiqua" w:eastAsia="宋体" w:hAnsi="Book Antiqua" w:cs="宋体"/>
          <w:color w:val="auto"/>
          <w:lang w:eastAsia="zh-CN"/>
        </w:rPr>
        <w:t>, Fleming BC. Use of a bioactive scaffold to stimulate anterior cruciate ligament healing also minimizes posttraumatic osteoarthritis after surgery. </w:t>
      </w:r>
      <w:r w:rsidRPr="00DC237D">
        <w:rPr>
          <w:rFonts w:ascii="Book Antiqua" w:eastAsia="宋体" w:hAnsi="Book Antiqua" w:cs="宋体"/>
          <w:i/>
          <w:iCs/>
          <w:color w:val="auto"/>
          <w:lang w:eastAsia="zh-CN"/>
        </w:rPr>
        <w:t>Am J Sports Med</w:t>
      </w:r>
      <w:r w:rsidRPr="00DC237D">
        <w:rPr>
          <w:rFonts w:ascii="Book Antiqua" w:eastAsia="宋体" w:hAnsi="Book Antiqua" w:cs="宋体"/>
          <w:color w:val="auto"/>
          <w:lang w:eastAsia="zh-CN"/>
        </w:rPr>
        <w:t> 2013; </w:t>
      </w:r>
      <w:r w:rsidRPr="00DC237D">
        <w:rPr>
          <w:rFonts w:ascii="Book Antiqua" w:eastAsia="宋体" w:hAnsi="Book Antiqua" w:cs="宋体"/>
          <w:b/>
          <w:bCs/>
          <w:color w:val="auto"/>
          <w:lang w:eastAsia="zh-CN"/>
        </w:rPr>
        <w:t>41</w:t>
      </w:r>
      <w:r w:rsidRPr="00DC237D">
        <w:rPr>
          <w:rFonts w:ascii="Book Antiqua" w:eastAsia="宋体" w:hAnsi="Book Antiqua" w:cs="宋体"/>
          <w:color w:val="auto"/>
          <w:lang w:eastAsia="zh-CN"/>
        </w:rPr>
        <w:t>: 1762-1770 [PMID: 23857883 DOI: 10.1177/0363546513483446]</w:t>
      </w:r>
    </w:p>
    <w:p w:rsidR="005A6B69" w:rsidRPr="00DC237D" w:rsidRDefault="005A6B69" w:rsidP="00D8293D">
      <w:pPr>
        <w:spacing w:line="360" w:lineRule="auto"/>
        <w:jc w:val="both"/>
        <w:rPr>
          <w:rFonts w:ascii="Book Antiqua" w:hAnsi="Book Antiqua"/>
          <w:color w:val="auto"/>
        </w:rPr>
      </w:pPr>
    </w:p>
    <w:p w:rsidR="005A6B69" w:rsidRPr="00A13C29" w:rsidRDefault="005A6B69" w:rsidP="00BB5ED4">
      <w:pPr>
        <w:spacing w:line="360" w:lineRule="auto"/>
        <w:jc w:val="right"/>
        <w:rPr>
          <w:rFonts w:ascii="Book Antiqua" w:eastAsia="宋体" w:hAnsi="Book Antiqua"/>
          <w:lang w:eastAsia="zh-CN"/>
        </w:rPr>
      </w:pPr>
      <w:r>
        <w:rPr>
          <w:rFonts w:ascii="Book Antiqua" w:eastAsia="宋体" w:hAnsi="Book Antiqua"/>
          <w:b/>
          <w:lang w:eastAsia="zh-CN"/>
        </w:rPr>
        <w:t xml:space="preserve">  </w:t>
      </w:r>
      <w:r w:rsidRPr="00E55DBA">
        <w:rPr>
          <w:rFonts w:ascii="Book Antiqua" w:hAnsi="Book Antiqua"/>
          <w:b/>
        </w:rPr>
        <w:t>P- Reviewer:</w:t>
      </w:r>
      <w:r>
        <w:rPr>
          <w:rFonts w:ascii="Book Antiqua" w:eastAsia="宋体" w:hAnsi="Book Antiqua"/>
          <w:b/>
          <w:lang w:eastAsia="zh-CN"/>
        </w:rPr>
        <w:t xml:space="preserve"> </w:t>
      </w:r>
      <w:r w:rsidRPr="00A13C29">
        <w:rPr>
          <w:rFonts w:ascii="Book Antiqua" w:hAnsi="Book Antiqua"/>
        </w:rPr>
        <w:t>Chandra D, Li XD, Minana MD, Matsui Y</w:t>
      </w:r>
    </w:p>
    <w:p w:rsidR="005A6B69" w:rsidRPr="00E55DBA" w:rsidRDefault="005A6B69" w:rsidP="00161B90">
      <w:pPr>
        <w:spacing w:line="360" w:lineRule="auto"/>
        <w:ind w:left="520" w:hangingChars="200" w:hanging="520"/>
        <w:jc w:val="right"/>
        <w:rPr>
          <w:rFonts w:ascii="Book Antiqua" w:hAnsi="Book Antiqua"/>
        </w:rPr>
      </w:pPr>
      <w:r w:rsidRPr="00E55DBA">
        <w:rPr>
          <w:rFonts w:ascii="Book Antiqua" w:hAnsi="Book Antiqua"/>
          <w:b/>
        </w:rPr>
        <w:t>S- Editor:</w:t>
      </w:r>
      <w:r w:rsidRPr="00E55DBA">
        <w:rPr>
          <w:rFonts w:ascii="Book Antiqua" w:hAnsi="Book Antiqua"/>
        </w:rPr>
        <w:t xml:space="preserve"> Gong XM</w:t>
      </w:r>
    </w:p>
    <w:p w:rsidR="005A6B69" w:rsidRPr="00E55DBA" w:rsidRDefault="005A6B69" w:rsidP="00161B90">
      <w:pPr>
        <w:spacing w:line="360" w:lineRule="auto"/>
        <w:ind w:left="520" w:hangingChars="200" w:hanging="520"/>
        <w:jc w:val="right"/>
        <w:rPr>
          <w:rFonts w:ascii="Book Antiqua" w:hAnsi="Book Antiqua"/>
          <w:b/>
        </w:rPr>
      </w:pPr>
      <w:r w:rsidRPr="00E55DBA">
        <w:rPr>
          <w:rFonts w:ascii="Book Antiqua" w:hAnsi="Book Antiqua"/>
          <w:b/>
        </w:rPr>
        <w:t>L- Editor:</w:t>
      </w:r>
      <w:r w:rsidRPr="00E55DBA">
        <w:rPr>
          <w:rFonts w:ascii="Book Antiqua" w:hAnsi="Book Antiqua"/>
        </w:rPr>
        <w:t xml:space="preserve"> </w:t>
      </w:r>
      <w:r w:rsidRPr="00E55DBA">
        <w:rPr>
          <w:rFonts w:ascii="Book Antiqua" w:hAnsi="Book Antiqua"/>
          <w:b/>
        </w:rPr>
        <w:t>E- Editor:</w:t>
      </w:r>
    </w:p>
    <w:p w:rsidR="005A6B69" w:rsidRDefault="005A6B69" w:rsidP="00BB5ED4">
      <w:pPr>
        <w:spacing w:line="360" w:lineRule="auto"/>
        <w:jc w:val="both"/>
        <w:rPr>
          <w:rFonts w:ascii="Book Antiqua" w:eastAsia="宋体" w:hAnsi="Book Antiqua"/>
          <w:color w:val="auto"/>
          <w:lang w:eastAsia="zh-CN"/>
        </w:rPr>
      </w:pPr>
    </w:p>
    <w:p w:rsidR="005A6B69" w:rsidRDefault="005A6B69" w:rsidP="00BB5ED4">
      <w:pPr>
        <w:spacing w:line="360" w:lineRule="auto"/>
        <w:jc w:val="both"/>
        <w:rPr>
          <w:rFonts w:ascii="Book Antiqua" w:eastAsia="宋体" w:hAnsi="Book Antiqua"/>
          <w:color w:val="auto"/>
          <w:lang w:eastAsia="zh-CN"/>
        </w:rPr>
      </w:pPr>
      <w:r w:rsidRPr="009A4BDC">
        <w:rPr>
          <w:rFonts w:ascii="Book Antiqua" w:hAnsi="Book Antiqua"/>
          <w:color w:val="auto"/>
        </w:rPr>
        <w:br w:type="page"/>
      </w:r>
      <w:r w:rsidR="00161B90">
        <w:rPr>
          <w:rFonts w:ascii="Book Antiqua" w:hAnsi="Book Antiqua"/>
          <w:noProof/>
          <w:color w:val="auto"/>
        </w:rPr>
        <w:drawing>
          <wp:inline distT="0" distB="0" distL="0" distR="0">
            <wp:extent cx="5201920" cy="382016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1920" cy="3820160"/>
                    </a:xfrm>
                    <a:prstGeom prst="rect">
                      <a:avLst/>
                    </a:prstGeom>
                    <a:noFill/>
                    <a:ln>
                      <a:noFill/>
                    </a:ln>
                  </pic:spPr>
                </pic:pic>
              </a:graphicData>
            </a:graphic>
          </wp:inline>
        </w:drawing>
      </w:r>
    </w:p>
    <w:p w:rsidR="005A6B69" w:rsidRPr="00B219FE" w:rsidRDefault="005A6B69" w:rsidP="00BB5ED4">
      <w:pPr>
        <w:pStyle w:val="Reviewer2"/>
        <w:jc w:val="both"/>
        <w:rPr>
          <w:rFonts w:ascii="Book Antiqua" w:eastAsia="宋体" w:hAnsi="Book Antiqua"/>
          <w:color w:val="auto"/>
          <w:lang w:eastAsia="zh-CN"/>
        </w:rPr>
      </w:pPr>
      <w:r w:rsidRPr="009A4BDC">
        <w:rPr>
          <w:rFonts w:ascii="Book Antiqua" w:hAnsi="Book Antiqua"/>
          <w:b/>
          <w:color w:val="auto"/>
        </w:rPr>
        <w:t>Figure 1 Dynamic intraligamentary stabilization screw called Ligamys© (Mathys, inc. Bettlach, Switzerland).</w:t>
      </w:r>
      <w:r w:rsidRPr="009A4BDC">
        <w:rPr>
          <w:rFonts w:ascii="Book Antiqua" w:hAnsi="Book Antiqua"/>
          <w:color w:val="auto"/>
        </w:rPr>
        <w:t xml:space="preserve"> A: Close-up of the outside of the screw made of titanium and illustrating with a mounted lace which mimics the polyethylene string that is mounted in the real surgery to stabilize the knee joint in case of an ACL</w:t>
      </w:r>
      <w:r>
        <w:rPr>
          <w:rFonts w:ascii="Book Antiqua" w:hAnsi="Book Antiqua"/>
          <w:color w:val="auto"/>
        </w:rPr>
        <w:t xml:space="preserve"> rupture</w:t>
      </w:r>
      <w:r>
        <w:rPr>
          <w:rFonts w:ascii="Book Antiqua" w:eastAsia="宋体" w:hAnsi="Book Antiqua"/>
          <w:color w:val="auto"/>
          <w:lang w:eastAsia="zh-CN"/>
        </w:rPr>
        <w:t>;</w:t>
      </w:r>
      <w:r w:rsidRPr="009A4BDC">
        <w:rPr>
          <w:rFonts w:ascii="Book Antiqua" w:hAnsi="Book Antiqua"/>
          <w:color w:val="auto"/>
        </w:rPr>
        <w:t xml:space="preserve"> B: Inside of the dynamic fixation screw with the spring that takes the dynamic load of t</w:t>
      </w:r>
      <w:r>
        <w:rPr>
          <w:rFonts w:ascii="Book Antiqua" w:hAnsi="Book Antiqua"/>
          <w:color w:val="auto"/>
        </w:rPr>
        <w:t>he ACL and stabilizes the joint</w:t>
      </w:r>
      <w:r>
        <w:rPr>
          <w:rFonts w:ascii="Book Antiqua" w:eastAsia="宋体" w:hAnsi="Book Antiqua"/>
          <w:color w:val="auto"/>
          <w:lang w:eastAsia="zh-CN"/>
        </w:rPr>
        <w:t>;</w:t>
      </w:r>
      <w:r w:rsidRPr="009A4BDC">
        <w:rPr>
          <w:rFonts w:ascii="Book Antiqua" w:hAnsi="Book Antiqua"/>
          <w:color w:val="auto"/>
        </w:rPr>
        <w:t xml:space="preserve"> C: Illustration of the exact position of the </w:t>
      </w:r>
      <w:r w:rsidRPr="00B219FE">
        <w:rPr>
          <w:rFonts w:ascii="Book Antiqua" w:hAnsi="Book Antiqua"/>
          <w:color w:val="auto"/>
        </w:rPr>
        <w:t>dynamic intraligamentary stabilization</w:t>
      </w:r>
      <w:r w:rsidRPr="009A4BDC">
        <w:rPr>
          <w:rFonts w:ascii="Book Antiqua" w:hAnsi="Book Antiqua"/>
          <w:color w:val="auto"/>
        </w:rPr>
        <w:t xml:space="preserve"> </w:t>
      </w:r>
      <w:r w:rsidRPr="009A4BDC">
        <w:rPr>
          <w:rFonts w:ascii="Book Antiqua" w:hAnsi="Book Antiqua"/>
          <w:i/>
          <w:color w:val="auto"/>
        </w:rPr>
        <w:t>in situ</w:t>
      </w:r>
      <w:r w:rsidRPr="009A4BDC">
        <w:rPr>
          <w:rFonts w:ascii="Book Antiqua" w:hAnsi="Book Antiqua"/>
          <w:color w:val="auto"/>
        </w:rPr>
        <w:t xml:space="preserve"> in the knee joint</w:t>
      </w:r>
      <w:r>
        <w:rPr>
          <w:rFonts w:ascii="Book Antiqua" w:eastAsia="宋体" w:hAnsi="Book Antiqua"/>
          <w:color w:val="auto"/>
          <w:lang w:eastAsia="zh-CN"/>
        </w:rPr>
        <w:t xml:space="preserve">. ACL: </w:t>
      </w:r>
      <w:r w:rsidRPr="009A4BDC">
        <w:rPr>
          <w:rFonts w:ascii="Book Antiqua" w:hAnsi="Book Antiqua"/>
          <w:color w:val="auto"/>
        </w:rPr>
        <w:t xml:space="preserve"> Anterior cruciate ligament</w:t>
      </w:r>
      <w:r>
        <w:rPr>
          <w:rFonts w:ascii="Book Antiqua" w:eastAsia="宋体" w:hAnsi="Book Antiqua"/>
          <w:color w:val="auto"/>
          <w:lang w:eastAsia="zh-CN"/>
        </w:rPr>
        <w:t>.</w:t>
      </w: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t xml:space="preserve"> </w:t>
      </w:r>
    </w:p>
    <w:p w:rsidR="005A6B69" w:rsidRPr="009A4BDC" w:rsidRDefault="005A6B69" w:rsidP="00BB5ED4">
      <w:pPr>
        <w:spacing w:line="360" w:lineRule="auto"/>
        <w:jc w:val="both"/>
        <w:rPr>
          <w:rFonts w:ascii="Book Antiqua" w:hAnsi="Book Antiqua"/>
          <w:color w:val="auto"/>
        </w:rPr>
      </w:pP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p>
    <w:p w:rsidR="005A6B69" w:rsidRPr="009A4BDC" w:rsidRDefault="00161B90" w:rsidP="00BB5ED4">
      <w:pPr>
        <w:spacing w:line="360" w:lineRule="auto"/>
        <w:jc w:val="both"/>
        <w:rPr>
          <w:rFonts w:ascii="Book Antiqua" w:hAnsi="Book Antiqua"/>
          <w:color w:val="auto"/>
        </w:rPr>
      </w:pPr>
      <w:r>
        <w:rPr>
          <w:rFonts w:ascii="Book Antiqua" w:hAnsi="Book Antiqua"/>
          <w:noProof/>
          <w:color w:val="auto"/>
        </w:rPr>
        <w:drawing>
          <wp:inline distT="0" distB="0" distL="0" distR="0">
            <wp:extent cx="3779520" cy="506984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9520" cy="5069840"/>
                    </a:xfrm>
                    <a:prstGeom prst="rect">
                      <a:avLst/>
                    </a:prstGeom>
                    <a:noFill/>
                    <a:ln>
                      <a:noFill/>
                    </a:ln>
                  </pic:spPr>
                </pic:pic>
              </a:graphicData>
            </a:graphic>
          </wp:inline>
        </w:drawing>
      </w:r>
    </w:p>
    <w:p w:rsidR="005A6B69" w:rsidRPr="009A4BDC" w:rsidRDefault="005A6B69" w:rsidP="00BB5ED4">
      <w:pPr>
        <w:spacing w:line="360" w:lineRule="auto"/>
        <w:jc w:val="both"/>
        <w:rPr>
          <w:rFonts w:ascii="Book Antiqua" w:hAnsi="Book Antiqua"/>
          <w:color w:val="auto"/>
        </w:rPr>
      </w:pPr>
    </w:p>
    <w:p w:rsidR="005A6B69" w:rsidRPr="004D23E8" w:rsidRDefault="005A6B69" w:rsidP="00BB5ED4">
      <w:pPr>
        <w:pStyle w:val="Reviewer2"/>
        <w:jc w:val="both"/>
        <w:rPr>
          <w:rFonts w:ascii="Book Antiqua" w:eastAsia="宋体" w:hAnsi="Book Antiqua"/>
          <w:color w:val="auto"/>
          <w:lang w:eastAsia="zh-CN"/>
        </w:rPr>
      </w:pPr>
      <w:r w:rsidRPr="009A4BDC">
        <w:rPr>
          <w:rFonts w:ascii="Book Antiqua" w:hAnsi="Book Antiqua"/>
          <w:b/>
          <w:color w:val="auto"/>
        </w:rPr>
        <w:t>Figure 2 Overview of current regenerative approaches to imp</w:t>
      </w:r>
      <w:r>
        <w:rPr>
          <w:rFonts w:ascii="Book Antiqua" w:hAnsi="Book Antiqua"/>
          <w:b/>
          <w:color w:val="auto"/>
        </w:rPr>
        <w:t>rove anterior cruciate ligament</w:t>
      </w:r>
      <w:r w:rsidRPr="009A4BDC">
        <w:rPr>
          <w:rFonts w:ascii="Book Antiqua" w:hAnsi="Book Antiqua"/>
          <w:b/>
          <w:color w:val="auto"/>
        </w:rPr>
        <w:t xml:space="preserve"> rupture treatment in combination of the dynamic intraligamentary stabilization approach</w:t>
      </w:r>
      <w:r w:rsidRPr="009A4BDC">
        <w:rPr>
          <w:rFonts w:ascii="Book Antiqua" w:hAnsi="Book Antiqua"/>
          <w:color w:val="auto"/>
        </w:rPr>
        <w:t>. A: First m</w:t>
      </w:r>
      <w:r>
        <w:rPr>
          <w:rFonts w:ascii="Book Antiqua" w:hAnsi="Book Antiqua"/>
          <w:color w:val="auto"/>
        </w:rPr>
        <w:t>esenchymal stem cells</w:t>
      </w:r>
      <w:r w:rsidRPr="009A4BDC">
        <w:rPr>
          <w:rFonts w:ascii="Book Antiqua" w:hAnsi="Book Antiqua"/>
          <w:color w:val="auto"/>
        </w:rPr>
        <w:t xml:space="preserve"> and/or primary ACL-tenocytes are pre-seeded on collagen patches (</w:t>
      </w:r>
      <w:r>
        <w:rPr>
          <w:rFonts w:ascii="Book Antiqua" w:hAnsi="Book Antiqua"/>
          <w:color w:val="auto"/>
        </w:rPr>
        <w:t>shown in blue)</w:t>
      </w:r>
      <w:r>
        <w:rPr>
          <w:rFonts w:ascii="Book Antiqua" w:eastAsia="宋体" w:hAnsi="Book Antiqua"/>
          <w:color w:val="auto"/>
          <w:lang w:eastAsia="zh-CN"/>
        </w:rPr>
        <w:t>;</w:t>
      </w:r>
      <w:r w:rsidRPr="009A4BDC">
        <w:rPr>
          <w:rFonts w:ascii="Book Antiqua" w:hAnsi="Book Antiqua"/>
          <w:color w:val="auto"/>
        </w:rPr>
        <w:t xml:space="preserve"> B: Ruptured ACL</w:t>
      </w:r>
      <w:r>
        <w:rPr>
          <w:rFonts w:ascii="Book Antiqua" w:eastAsia="宋体" w:hAnsi="Book Antiqua"/>
          <w:color w:val="auto"/>
          <w:lang w:eastAsia="zh-CN"/>
        </w:rPr>
        <w:t>;</w:t>
      </w:r>
      <w:r w:rsidRPr="009A4BDC">
        <w:rPr>
          <w:rFonts w:ascii="Book Antiqua" w:hAnsi="Book Antiqua"/>
          <w:color w:val="auto"/>
        </w:rPr>
        <w:t xml:space="preserve"> C: DIS approach takes over major mechanical load and stabilizes the knee, whereas collagen patch wrapped around the ACL provides an ideal solution to improve clinical outcome.</w:t>
      </w:r>
      <w:r>
        <w:rPr>
          <w:rFonts w:ascii="Book Antiqua" w:eastAsia="宋体" w:hAnsi="Book Antiqua"/>
          <w:color w:val="auto"/>
          <w:lang w:eastAsia="zh-CN"/>
        </w:rPr>
        <w:t xml:space="preserve"> ACL: </w:t>
      </w:r>
      <w:r w:rsidRPr="009A4BDC">
        <w:rPr>
          <w:rFonts w:ascii="Book Antiqua" w:hAnsi="Book Antiqua"/>
          <w:color w:val="auto"/>
        </w:rPr>
        <w:t xml:space="preserve"> Anterior cruciate ligament</w:t>
      </w:r>
      <w:r>
        <w:rPr>
          <w:rFonts w:ascii="Book Antiqua" w:eastAsia="宋体" w:hAnsi="Book Antiqua"/>
          <w:color w:val="auto"/>
          <w:lang w:eastAsia="zh-CN"/>
        </w:rPr>
        <w:t xml:space="preserve">; DIS: </w:t>
      </w:r>
      <w:r w:rsidRPr="004D23E8">
        <w:rPr>
          <w:rFonts w:ascii="Book Antiqua" w:hAnsi="Book Antiqua"/>
          <w:color w:val="auto"/>
        </w:rPr>
        <w:t>Dynamic intraligamentary stabilization</w:t>
      </w:r>
      <w:r>
        <w:rPr>
          <w:rFonts w:ascii="Book Antiqua" w:eastAsia="宋体" w:hAnsi="Book Antiqua"/>
          <w:color w:val="auto"/>
          <w:lang w:eastAsia="zh-CN"/>
        </w:rPr>
        <w:t>.</w:t>
      </w:r>
    </w:p>
    <w:p w:rsidR="005A6B69" w:rsidRPr="009A4BDC" w:rsidRDefault="005A6B69" w:rsidP="00BB5ED4">
      <w:pPr>
        <w:spacing w:line="360" w:lineRule="auto"/>
        <w:jc w:val="both"/>
        <w:rPr>
          <w:rFonts w:ascii="Book Antiqua" w:hAnsi="Book Antiqua"/>
          <w:color w:val="auto"/>
        </w:rPr>
      </w:pP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p>
    <w:p w:rsidR="005A6B69" w:rsidRPr="009A4BDC" w:rsidRDefault="00161B90" w:rsidP="00BB5ED4">
      <w:pPr>
        <w:spacing w:line="360" w:lineRule="auto"/>
        <w:jc w:val="both"/>
        <w:rPr>
          <w:rFonts w:ascii="Book Antiqua" w:hAnsi="Book Antiqua"/>
          <w:color w:val="auto"/>
        </w:rPr>
      </w:pPr>
      <w:r>
        <w:rPr>
          <w:rFonts w:ascii="Book Antiqua" w:hAnsi="Book Antiqua"/>
          <w:noProof/>
          <w:color w:val="auto"/>
        </w:rPr>
        <w:drawing>
          <wp:inline distT="0" distB="0" distL="0" distR="0">
            <wp:extent cx="5191760" cy="42062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760" cy="4206240"/>
                    </a:xfrm>
                    <a:prstGeom prst="rect">
                      <a:avLst/>
                    </a:prstGeom>
                    <a:noFill/>
                    <a:ln>
                      <a:noFill/>
                    </a:ln>
                  </pic:spPr>
                </pic:pic>
              </a:graphicData>
            </a:graphic>
          </wp:inline>
        </w:drawing>
      </w:r>
    </w:p>
    <w:p w:rsidR="005A6B69" w:rsidRPr="00952A2E" w:rsidRDefault="005A6B69" w:rsidP="00BB5ED4">
      <w:pPr>
        <w:pStyle w:val="SenteBibliography"/>
        <w:spacing w:line="360" w:lineRule="auto"/>
        <w:jc w:val="both"/>
        <w:rPr>
          <w:rFonts w:ascii="Book Antiqua" w:eastAsia="宋体" w:hAnsi="Book Antiqua"/>
          <w:color w:val="auto"/>
          <w:lang w:val="en-US" w:eastAsia="zh-CN"/>
        </w:rPr>
      </w:pPr>
      <w:r w:rsidRPr="009A4BDC">
        <w:rPr>
          <w:rFonts w:ascii="Book Antiqua" w:hAnsi="Book Antiqua"/>
          <w:b/>
          <w:color w:val="auto"/>
          <w:lang w:val="en-US"/>
        </w:rPr>
        <w:t xml:space="preserve">Figure 3 Experimental design of </w:t>
      </w:r>
      <w:r w:rsidRPr="009A4BDC">
        <w:rPr>
          <w:rFonts w:ascii="Book Antiqua" w:hAnsi="Book Antiqua"/>
          <w:b/>
          <w:i/>
          <w:color w:val="auto"/>
          <w:lang w:val="en-US"/>
        </w:rPr>
        <w:t>in vitro</w:t>
      </w:r>
      <w:r w:rsidRPr="009A4BDC">
        <w:rPr>
          <w:rFonts w:ascii="Book Antiqua" w:hAnsi="Book Antiqua"/>
          <w:b/>
          <w:color w:val="auto"/>
          <w:lang w:val="en-US"/>
        </w:rPr>
        <w:t xml:space="preserve"> testing of cyto-compatibility.</w:t>
      </w:r>
      <w:r w:rsidRPr="009A4BDC">
        <w:rPr>
          <w:rFonts w:ascii="Book Antiqua" w:hAnsi="Book Antiqua"/>
          <w:color w:val="auto"/>
          <w:lang w:val="en-US"/>
        </w:rPr>
        <w:t xml:space="preserve"> All monolayer and collagen patch </w:t>
      </w:r>
      <w:r>
        <w:rPr>
          <w:rFonts w:ascii="Book Antiqua" w:hAnsi="Book Antiqua"/>
          <w:color w:val="auto"/>
          <w:lang w:val="en-US"/>
        </w:rPr>
        <w:t>cultures were run for 7 d</w:t>
      </w:r>
      <w:r w:rsidRPr="009A4BDC">
        <w:rPr>
          <w:rFonts w:ascii="Book Antiqua" w:hAnsi="Book Antiqua"/>
          <w:color w:val="auto"/>
          <w:lang w:val="en-US"/>
        </w:rPr>
        <w:t xml:space="preserve"> under standard culture conditions (37°C at 100% humidity and 5% CO</w:t>
      </w:r>
      <w:r w:rsidRPr="009A4BDC">
        <w:rPr>
          <w:rFonts w:ascii="Book Antiqua" w:hAnsi="Book Antiqua"/>
          <w:color w:val="auto"/>
          <w:vertAlign w:val="subscript"/>
          <w:lang w:val="en-US"/>
        </w:rPr>
        <w:t>2</w:t>
      </w:r>
      <w:r w:rsidRPr="009A4BDC">
        <w:rPr>
          <w:rFonts w:ascii="Book Antiqua" w:hAnsi="Book Antiqua"/>
          <w:color w:val="auto"/>
          <w:lang w:val="en-US"/>
        </w:rPr>
        <w:t>) in high glucose Dulbecco’s Modified Eagle Medium and 10% fetal calf serum.</w:t>
      </w:r>
      <w:r>
        <w:rPr>
          <w:rFonts w:ascii="Book Antiqua" w:eastAsia="宋体" w:hAnsi="Book Antiqua"/>
          <w:color w:val="auto"/>
          <w:lang w:val="en-US" w:eastAsia="zh-CN"/>
        </w:rPr>
        <w:t xml:space="preserve"> </w:t>
      </w:r>
      <w:r>
        <w:rPr>
          <w:rFonts w:ascii="Book Antiqua" w:hAnsi="Book Antiqua"/>
          <w:color w:val="auto"/>
          <w:lang w:val="en-US"/>
        </w:rPr>
        <w:t xml:space="preserve">MSC: </w:t>
      </w:r>
      <w:r w:rsidRPr="009A4BDC">
        <w:rPr>
          <w:rFonts w:ascii="Book Antiqua" w:hAnsi="Book Antiqua"/>
          <w:color w:val="auto"/>
        </w:rPr>
        <w:t>Mesenchymal stem cell</w:t>
      </w:r>
      <w:r>
        <w:rPr>
          <w:rFonts w:ascii="Book Antiqua" w:eastAsia="宋体" w:hAnsi="Book Antiqua"/>
          <w:color w:val="auto"/>
          <w:lang w:eastAsia="zh-CN"/>
        </w:rPr>
        <w:t xml:space="preserve">; TC: </w:t>
      </w:r>
      <w:r w:rsidRPr="009A4BDC">
        <w:rPr>
          <w:rFonts w:ascii="Book Antiqua" w:hAnsi="Book Antiqua"/>
          <w:color w:val="auto"/>
        </w:rPr>
        <w:t>Tenocyte</w:t>
      </w:r>
      <w:r>
        <w:rPr>
          <w:rFonts w:ascii="Book Antiqua" w:eastAsia="宋体" w:hAnsi="Book Antiqua"/>
          <w:color w:val="auto"/>
          <w:lang w:eastAsia="zh-CN"/>
        </w:rPr>
        <w:t>.</w:t>
      </w: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r w:rsidR="00161B90">
        <w:rPr>
          <w:rFonts w:ascii="Book Antiqua" w:hAnsi="Book Antiqua"/>
          <w:noProof/>
          <w:color w:val="auto"/>
        </w:rPr>
        <w:drawing>
          <wp:inline distT="0" distB="0" distL="0" distR="0">
            <wp:extent cx="4612640" cy="80772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640" cy="8077200"/>
                    </a:xfrm>
                    <a:prstGeom prst="rect">
                      <a:avLst/>
                    </a:prstGeom>
                    <a:noFill/>
                    <a:ln>
                      <a:noFill/>
                    </a:ln>
                  </pic:spPr>
                </pic:pic>
              </a:graphicData>
            </a:graphic>
          </wp:inline>
        </w:drawing>
      </w:r>
    </w:p>
    <w:p w:rsidR="005A6B69" w:rsidRPr="00FC0BE4" w:rsidRDefault="005A6B69" w:rsidP="00BB5ED4">
      <w:pPr>
        <w:pStyle w:val="Reviewer2"/>
        <w:jc w:val="both"/>
        <w:rPr>
          <w:rFonts w:ascii="Book Antiqua" w:eastAsia="宋体" w:hAnsi="Book Antiqua"/>
          <w:color w:val="auto"/>
          <w:lang w:eastAsia="zh-CN"/>
        </w:rPr>
      </w:pPr>
      <w:r w:rsidRPr="009A4BDC">
        <w:rPr>
          <w:rFonts w:ascii="Book Antiqua" w:hAnsi="Book Antiqua"/>
          <w:b/>
          <w:color w:val="auto"/>
        </w:rPr>
        <w:t>Figure 4</w:t>
      </w:r>
      <w:r w:rsidRPr="009A4BDC">
        <w:rPr>
          <w:rFonts w:ascii="Book Antiqua" w:hAnsi="Book Antiqua"/>
          <w:color w:val="auto"/>
        </w:rPr>
        <w:t xml:space="preserve"> </w:t>
      </w:r>
      <w:r w:rsidRPr="007A003B">
        <w:rPr>
          <w:rFonts w:ascii="Book Antiqua" w:hAnsi="Book Antiqua"/>
          <w:b/>
          <w:color w:val="auto"/>
        </w:rPr>
        <w:t xml:space="preserve">Z-projections of confocal laser scanning microscope images of 200 µm 3D-stacks through the collagen patches of mesenchymal stem cells and anterior cruciate ligament-derived tenocytes on day 1 and after </w:t>
      </w:r>
      <w:r w:rsidRPr="00556F27">
        <w:rPr>
          <w:rFonts w:ascii="Book Antiqua" w:hAnsi="Book Antiqua"/>
          <w:b/>
          <w:color w:val="auto"/>
        </w:rPr>
        <w:t>7 days of culture on Novocart</w:t>
      </w:r>
      <w:r w:rsidRPr="00556F27">
        <w:rPr>
          <w:rFonts w:ascii="Book Antiqua" w:hAnsi="Book Antiqua" w:cs="Lucida Grande"/>
          <w:b/>
          <w:color w:val="auto"/>
        </w:rPr>
        <w:t>™</w:t>
      </w:r>
      <w:r w:rsidRPr="00556F27">
        <w:rPr>
          <w:rFonts w:ascii="Book Antiqua" w:hAnsi="Book Antiqua"/>
          <w:b/>
          <w:color w:val="auto"/>
        </w:rPr>
        <w:t xml:space="preserve"> and Chondro-Gide</w:t>
      </w:r>
      <w:r>
        <w:rPr>
          <w:rFonts w:ascii="Book Antiqua" w:hAnsi="Book Antiqua" w:cs="Lucida Grande"/>
          <w:b/>
          <w:color w:val="auto"/>
        </w:rPr>
        <w:t>™</w:t>
      </w:r>
      <w:r w:rsidRPr="00556F27">
        <w:rPr>
          <w:rFonts w:ascii="Book Antiqua" w:hAnsi="Book Antiqua"/>
          <w:b/>
          <w:color w:val="auto"/>
        </w:rPr>
        <w:t xml:space="preserve">. </w:t>
      </w:r>
      <w:r w:rsidRPr="009A4BDC">
        <w:rPr>
          <w:rFonts w:ascii="Book Antiqua" w:hAnsi="Book Antiqua"/>
          <w:color w:val="auto"/>
        </w:rPr>
        <w:t>Cells were stained with Vybrant</w:t>
      </w:r>
      <w:r w:rsidRPr="009A4BDC">
        <w:rPr>
          <w:rFonts w:ascii="Book Antiqua" w:hAnsi="Book Antiqua" w:cs="Lucida Grande"/>
          <w:color w:val="auto"/>
        </w:rPr>
        <w:t>™</w:t>
      </w:r>
      <w:r w:rsidRPr="009A4BDC">
        <w:rPr>
          <w:rFonts w:ascii="Book Antiqua" w:hAnsi="Book Antiqua"/>
          <w:color w:val="auto"/>
        </w:rPr>
        <w:t xml:space="preserve"> DiO (DiO = green, MSCs) and DiL membrane tracker dyes (DiL = red, TCs) prior to seeding. Last row are scanning electron microscope pictures of the ce</w:t>
      </w:r>
      <w:r>
        <w:rPr>
          <w:rFonts w:ascii="Book Antiqua" w:hAnsi="Book Antiqua"/>
          <w:color w:val="auto"/>
        </w:rPr>
        <w:t>ll-seeded scaffolds after 7 d</w:t>
      </w:r>
      <w:r w:rsidRPr="009A4BDC">
        <w:rPr>
          <w:rFonts w:ascii="Book Antiqua" w:hAnsi="Book Antiqua"/>
          <w:color w:val="auto"/>
        </w:rPr>
        <w:t xml:space="preserve"> of culture showing adherence and shape of the MSCs and tenocytes on the scaffolds. Note that for </w:t>
      </w:r>
      <w:r w:rsidRPr="007A003B">
        <w:rPr>
          <w:rFonts w:ascii="Book Antiqua" w:hAnsi="Book Antiqua"/>
          <w:color w:val="auto"/>
        </w:rPr>
        <w:t>Chondro-Gide</w:t>
      </w:r>
      <w:r w:rsidRPr="007A003B">
        <w:rPr>
          <w:rFonts w:ascii="Book Antiqua" w:hAnsi="Book Antiqua" w:cs="Lucida Grande"/>
          <w:color w:val="auto"/>
        </w:rPr>
        <w:t>™</w:t>
      </w:r>
      <w:r w:rsidRPr="009A4BDC">
        <w:rPr>
          <w:rFonts w:ascii="Book Antiqua" w:hAnsi="Book Antiqua"/>
          <w:color w:val="auto"/>
        </w:rPr>
        <w:t xml:space="preserve"> patches these are only images from TCs seeded scaffolds. For the </w:t>
      </w:r>
      <w:r w:rsidRPr="007A003B">
        <w:rPr>
          <w:rFonts w:ascii="Book Antiqua" w:hAnsi="Book Antiqua"/>
          <w:color w:val="auto"/>
        </w:rPr>
        <w:t>Novocart</w:t>
      </w:r>
      <w:r w:rsidRPr="007A003B">
        <w:rPr>
          <w:rFonts w:ascii="Book Antiqua" w:hAnsi="Book Antiqua" w:cs="Lucida Grande"/>
          <w:color w:val="auto"/>
        </w:rPr>
        <w:t>™</w:t>
      </w:r>
      <w:r w:rsidRPr="007A003B">
        <w:rPr>
          <w:rFonts w:ascii="Book Antiqua" w:hAnsi="Book Antiqua"/>
          <w:color w:val="auto"/>
        </w:rPr>
        <w:t xml:space="preserve"> </w:t>
      </w:r>
      <w:r w:rsidRPr="009A4BDC">
        <w:rPr>
          <w:rFonts w:ascii="Book Antiqua" w:hAnsi="Book Antiqua"/>
          <w:color w:val="auto"/>
        </w:rPr>
        <w:t>patches the right most image is from an experiment containing a premix of cells, and the left most and center SEM image are from experiments with MSCs seeded scaffolds.</w:t>
      </w:r>
      <w:r>
        <w:rPr>
          <w:rFonts w:ascii="Book Antiqua" w:eastAsia="宋体" w:hAnsi="Book Antiqua"/>
          <w:color w:val="auto"/>
          <w:lang w:eastAsia="zh-CN"/>
        </w:rPr>
        <w:t xml:space="preserve"> MSC: </w:t>
      </w:r>
      <w:r w:rsidRPr="007A003B">
        <w:rPr>
          <w:rFonts w:ascii="Book Antiqua" w:hAnsi="Book Antiqua"/>
          <w:color w:val="auto"/>
        </w:rPr>
        <w:t>Mesenchymal stem cell</w:t>
      </w:r>
      <w:r w:rsidRPr="007A003B">
        <w:rPr>
          <w:rFonts w:ascii="Book Antiqua" w:eastAsia="宋体" w:hAnsi="Book Antiqua"/>
          <w:color w:val="auto"/>
          <w:lang w:eastAsia="zh-CN"/>
        </w:rPr>
        <w:t xml:space="preserve">; </w:t>
      </w:r>
      <w:r>
        <w:rPr>
          <w:rFonts w:ascii="Book Antiqua" w:eastAsia="宋体" w:hAnsi="Book Antiqua"/>
          <w:color w:val="auto"/>
          <w:lang w:eastAsia="zh-CN"/>
        </w:rPr>
        <w:t xml:space="preserve">ACL-TC: </w:t>
      </w:r>
      <w:r w:rsidRPr="007A003B">
        <w:rPr>
          <w:rFonts w:ascii="Book Antiqua" w:hAnsi="Book Antiqua"/>
          <w:color w:val="auto"/>
        </w:rPr>
        <w:t>Anterior cruciate ligament</w:t>
      </w:r>
      <w:r w:rsidRPr="007A003B">
        <w:rPr>
          <w:rFonts w:ascii="Book Antiqua" w:eastAsia="宋体" w:hAnsi="Book Antiqua"/>
          <w:color w:val="auto"/>
          <w:lang w:eastAsia="zh-CN"/>
        </w:rPr>
        <w:t>-</w:t>
      </w:r>
      <w:r w:rsidRPr="007A003B">
        <w:rPr>
          <w:rFonts w:ascii="Book Antiqua" w:hAnsi="Book Antiqua"/>
          <w:color w:val="auto"/>
        </w:rPr>
        <w:t>derived tenocyte</w:t>
      </w:r>
      <w:r>
        <w:rPr>
          <w:rFonts w:ascii="Book Antiqua" w:eastAsia="宋体" w:hAnsi="Book Antiqua"/>
          <w:color w:val="auto"/>
          <w:lang w:eastAsia="zh-CN"/>
        </w:rPr>
        <w:t xml:space="preserve">; SEM: </w:t>
      </w:r>
      <w:r w:rsidRPr="009A4BDC">
        <w:rPr>
          <w:rFonts w:ascii="Book Antiqua" w:hAnsi="Book Antiqua"/>
          <w:color w:val="auto"/>
        </w:rPr>
        <w:t>Scanning electron microscope</w:t>
      </w:r>
      <w:r>
        <w:rPr>
          <w:rFonts w:ascii="Book Antiqua" w:eastAsia="宋体" w:hAnsi="Book Antiqua"/>
          <w:color w:val="auto"/>
          <w:lang w:eastAsia="zh-CN"/>
        </w:rPr>
        <w:t>.</w:t>
      </w: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r w:rsidR="00161B90">
        <w:rPr>
          <w:rFonts w:ascii="Book Antiqua" w:hAnsi="Book Antiqua"/>
          <w:noProof/>
          <w:color w:val="auto"/>
        </w:rPr>
        <w:drawing>
          <wp:inline distT="0" distB="0" distL="0" distR="0">
            <wp:extent cx="5232400" cy="3881120"/>
            <wp:effectExtent l="0" t="0" r="0" b="508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2400" cy="3881120"/>
                    </a:xfrm>
                    <a:prstGeom prst="rect">
                      <a:avLst/>
                    </a:prstGeom>
                    <a:noFill/>
                    <a:ln>
                      <a:noFill/>
                    </a:ln>
                  </pic:spPr>
                </pic:pic>
              </a:graphicData>
            </a:graphic>
          </wp:inline>
        </w:drawing>
      </w:r>
    </w:p>
    <w:p w:rsidR="005A6B69" w:rsidRPr="009A4BDC" w:rsidRDefault="005A6B69" w:rsidP="00BB5ED4">
      <w:pPr>
        <w:spacing w:line="360" w:lineRule="auto"/>
        <w:jc w:val="both"/>
        <w:rPr>
          <w:rFonts w:ascii="Book Antiqua" w:hAnsi="Book Antiqua"/>
          <w:color w:val="auto"/>
        </w:rPr>
      </w:pPr>
    </w:p>
    <w:p w:rsidR="005A6B69" w:rsidRPr="00FC0BE4" w:rsidRDefault="005A6B69" w:rsidP="00BB5ED4">
      <w:pPr>
        <w:pStyle w:val="Reviewer2"/>
        <w:jc w:val="both"/>
        <w:rPr>
          <w:rFonts w:ascii="Book Antiqua" w:eastAsia="宋体" w:hAnsi="Book Antiqua"/>
          <w:color w:val="auto"/>
          <w:lang w:eastAsia="zh-CN"/>
        </w:rPr>
      </w:pPr>
      <w:r w:rsidRPr="009A4BDC">
        <w:rPr>
          <w:rFonts w:ascii="Book Antiqua" w:hAnsi="Book Antiqua"/>
          <w:b/>
          <w:color w:val="auto"/>
        </w:rPr>
        <w:t>Figure 5 DNA content of collagen patches</w:t>
      </w:r>
      <w:r>
        <w:rPr>
          <w:rFonts w:ascii="Book Antiqua" w:eastAsia="宋体" w:hAnsi="Book Antiqua"/>
          <w:b/>
          <w:color w:val="auto"/>
          <w:lang w:eastAsia="zh-CN"/>
        </w:rPr>
        <w:t xml:space="preserve">. </w:t>
      </w:r>
      <w:r w:rsidRPr="00D34A63">
        <w:rPr>
          <w:rFonts w:ascii="Book Antiqua" w:hAnsi="Book Antiqua"/>
          <w:color w:val="auto"/>
        </w:rPr>
        <w:t xml:space="preserve">DNA content of collagen patches </w:t>
      </w:r>
      <w:r w:rsidRPr="009A4BDC">
        <w:rPr>
          <w:rFonts w:ascii="Book Antiqua" w:hAnsi="Book Antiqua"/>
          <w:color w:val="auto"/>
        </w:rPr>
        <w:t>seeded with anterior cruciate ligament-derived tenocytes (TCs) and/or MSCs on Novocart</w:t>
      </w:r>
      <w:r w:rsidRPr="009A4BDC">
        <w:rPr>
          <w:rFonts w:ascii="Book Antiqua" w:hAnsi="Book Antiqua" w:cs="Lucida Grande"/>
          <w:color w:val="auto"/>
        </w:rPr>
        <w:t>™</w:t>
      </w:r>
      <w:r>
        <w:rPr>
          <w:rFonts w:ascii="Book Antiqua" w:hAnsi="Book Antiqua"/>
          <w:color w:val="auto"/>
        </w:rPr>
        <w:t xml:space="preserve"> and Chondro-</w:t>
      </w:r>
      <w:r w:rsidRPr="009A4BDC">
        <w:rPr>
          <w:rFonts w:ascii="Book Antiqua" w:hAnsi="Book Antiqua"/>
          <w:color w:val="auto"/>
        </w:rPr>
        <w:t>Gide</w:t>
      </w:r>
      <w:r w:rsidRPr="009A4BDC">
        <w:rPr>
          <w:rFonts w:ascii="Book Antiqua" w:hAnsi="Book Antiqua" w:cs="Lucida Grande"/>
          <w:color w:val="auto"/>
        </w:rPr>
        <w:t>™</w:t>
      </w:r>
      <w:r w:rsidRPr="009A4BDC">
        <w:rPr>
          <w:rFonts w:ascii="Book Antiqua" w:hAnsi="Book Antiqua"/>
          <w:color w:val="auto"/>
        </w:rPr>
        <w:t xml:space="preserve"> normalized per dry weight per carrier for the collagen patches for day 1 and day 7 of the experiment (values are means ± SEM, N = 3 experiments for day 1, 4 experiments for day 7). Note the large amount of DNA present in material controls. </w:t>
      </w:r>
      <w:r>
        <w:rPr>
          <w:rFonts w:ascii="Book Antiqua" w:eastAsia="宋体" w:hAnsi="Book Antiqua"/>
          <w:color w:val="auto"/>
          <w:lang w:eastAsia="zh-CN"/>
        </w:rPr>
        <w:t xml:space="preserve">MSCs: </w:t>
      </w:r>
      <w:r w:rsidRPr="009A4BDC">
        <w:rPr>
          <w:rFonts w:ascii="Book Antiqua" w:hAnsi="Book Antiqua"/>
          <w:color w:val="auto"/>
        </w:rPr>
        <w:t>Mesenchymal stem cell</w:t>
      </w:r>
      <w:r>
        <w:rPr>
          <w:rFonts w:ascii="Book Antiqua" w:eastAsia="宋体" w:hAnsi="Book Antiqua"/>
          <w:color w:val="auto"/>
          <w:lang w:eastAsia="zh-CN"/>
        </w:rPr>
        <w:t>s.</w:t>
      </w:r>
    </w:p>
    <w:p w:rsidR="005A6B69" w:rsidRPr="009A4BDC" w:rsidRDefault="005A6B69" w:rsidP="00BB5ED4">
      <w:pPr>
        <w:spacing w:line="360" w:lineRule="auto"/>
        <w:jc w:val="both"/>
        <w:rPr>
          <w:rFonts w:ascii="Book Antiqua" w:hAnsi="Book Antiqua"/>
          <w:color w:val="auto"/>
        </w:rPr>
      </w:pPr>
    </w:p>
    <w:p w:rsidR="005A6B69" w:rsidRPr="009A4BDC" w:rsidRDefault="005A6B69" w:rsidP="00BB5ED4">
      <w:pPr>
        <w:spacing w:line="360" w:lineRule="auto"/>
        <w:jc w:val="both"/>
        <w:rPr>
          <w:rFonts w:ascii="Book Antiqua" w:hAnsi="Book Antiqua"/>
          <w:color w:val="auto"/>
        </w:rPr>
      </w:pP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p>
    <w:p w:rsidR="005A6B69" w:rsidRDefault="00161B90" w:rsidP="00BB5ED4">
      <w:pPr>
        <w:spacing w:line="360" w:lineRule="auto"/>
        <w:jc w:val="both"/>
        <w:rPr>
          <w:rFonts w:ascii="Book Antiqua" w:eastAsia="宋体" w:hAnsi="Book Antiqua"/>
          <w:noProof/>
          <w:color w:val="auto"/>
          <w:lang w:eastAsia="zh-CN"/>
        </w:rPr>
      </w:pPr>
      <w:r>
        <w:rPr>
          <w:rFonts w:ascii="Book Antiqua" w:hAnsi="Book Antiqua"/>
          <w:noProof/>
          <w:color w:val="auto"/>
        </w:rPr>
        <w:drawing>
          <wp:inline distT="0" distB="0" distL="0" distR="0">
            <wp:extent cx="5262880" cy="630936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880" cy="6309360"/>
                    </a:xfrm>
                    <a:prstGeom prst="rect">
                      <a:avLst/>
                    </a:prstGeom>
                    <a:noFill/>
                    <a:ln>
                      <a:noFill/>
                    </a:ln>
                  </pic:spPr>
                </pic:pic>
              </a:graphicData>
            </a:graphic>
          </wp:inline>
        </w:drawing>
      </w:r>
    </w:p>
    <w:p w:rsidR="005A6B69" w:rsidRPr="00214658" w:rsidRDefault="005A6B69" w:rsidP="00BB5ED4">
      <w:pPr>
        <w:pStyle w:val="Reviewer2"/>
        <w:jc w:val="both"/>
        <w:rPr>
          <w:rFonts w:ascii="Book Antiqua" w:eastAsia="宋体" w:hAnsi="Book Antiqua"/>
          <w:color w:val="auto"/>
          <w:lang w:eastAsia="zh-CN"/>
        </w:rPr>
      </w:pPr>
      <w:r w:rsidRPr="009A4BDC">
        <w:rPr>
          <w:rFonts w:ascii="Book Antiqua" w:hAnsi="Book Antiqua"/>
          <w:b/>
          <w:color w:val="auto"/>
        </w:rPr>
        <w:t xml:space="preserve">Figure 6 </w:t>
      </w:r>
      <w:r w:rsidRPr="00224175">
        <w:rPr>
          <w:rFonts w:ascii="Book Antiqua" w:hAnsi="Book Antiqua"/>
          <w:b/>
          <w:color w:val="auto"/>
        </w:rPr>
        <w:t>Mitochondrial cell activity</w:t>
      </w:r>
      <w:r>
        <w:rPr>
          <w:rFonts w:ascii="Book Antiqua" w:eastAsia="宋体" w:hAnsi="Book Antiqua"/>
          <w:b/>
          <w:color w:val="auto"/>
          <w:lang w:eastAsia="zh-CN"/>
        </w:rPr>
        <w:t xml:space="preserve">. </w:t>
      </w:r>
      <w:r w:rsidRPr="008809FA">
        <w:rPr>
          <w:rFonts w:ascii="Book Antiqua" w:hAnsi="Book Antiqua"/>
          <w:color w:val="auto"/>
        </w:rPr>
        <w:t>Mitochondrial cell activity measured by resazurin red assay of collagen patches</w:t>
      </w:r>
      <w:r w:rsidRPr="008809FA">
        <w:rPr>
          <w:rFonts w:ascii="Book Antiqua" w:eastAsia="宋体" w:hAnsi="Book Antiqua"/>
          <w:color w:val="auto"/>
          <w:lang w:eastAsia="zh-CN"/>
        </w:rPr>
        <w:t xml:space="preserve"> </w:t>
      </w:r>
      <w:r w:rsidRPr="009A4BDC">
        <w:rPr>
          <w:rFonts w:ascii="Book Antiqua" w:hAnsi="Book Antiqua"/>
          <w:color w:val="auto"/>
        </w:rPr>
        <w:t>seeded with anterior cruciate ligament -derived tenocytes</w:t>
      </w:r>
      <w:r>
        <w:rPr>
          <w:rFonts w:ascii="Book Antiqua" w:eastAsia="宋体" w:hAnsi="Book Antiqua"/>
          <w:color w:val="auto"/>
          <w:lang w:eastAsia="zh-CN"/>
        </w:rPr>
        <w:t xml:space="preserve"> </w:t>
      </w:r>
      <w:r w:rsidRPr="009A4BDC">
        <w:rPr>
          <w:rFonts w:ascii="Book Antiqua" w:hAnsi="Book Antiqua"/>
          <w:color w:val="auto"/>
        </w:rPr>
        <w:t xml:space="preserve">(TCs) and/or </w:t>
      </w:r>
      <w:r>
        <w:rPr>
          <w:rFonts w:ascii="Book Antiqua" w:eastAsia="宋体" w:hAnsi="Book Antiqua"/>
          <w:color w:val="auto"/>
          <w:lang w:eastAsia="zh-CN"/>
        </w:rPr>
        <w:t>MSC</w:t>
      </w:r>
      <w:r w:rsidRPr="009A4BDC">
        <w:rPr>
          <w:rFonts w:ascii="Book Antiqua" w:hAnsi="Book Antiqua"/>
          <w:color w:val="auto"/>
        </w:rPr>
        <w:t xml:space="preserve"> on NC</w:t>
      </w:r>
      <w:r>
        <w:rPr>
          <w:rFonts w:ascii="Book Antiqua" w:hAnsi="Book Antiqua"/>
          <w:color w:val="auto"/>
        </w:rPr>
        <w:t xml:space="preserve"> and </w:t>
      </w:r>
      <w:r>
        <w:rPr>
          <w:rFonts w:ascii="Book Antiqua" w:eastAsia="宋体" w:hAnsi="Book Antiqua"/>
          <w:color w:val="auto"/>
          <w:lang w:eastAsia="zh-CN"/>
        </w:rPr>
        <w:t>CG</w:t>
      </w:r>
      <w:r w:rsidRPr="009A4BDC">
        <w:rPr>
          <w:rFonts w:ascii="Book Antiqua" w:hAnsi="Book Antiqua"/>
          <w:color w:val="auto"/>
        </w:rPr>
        <w:t xml:space="preserve"> normalized per dry weight carrier for the collagen patches for day 1 and day 7 of the experiment (values are means ± SEM, N = 4 experiments for CG and N = 5 experiments for NC). * denotes </w:t>
      </w:r>
      <w:r w:rsidRPr="00214658">
        <w:rPr>
          <w:rFonts w:ascii="Book Antiqua" w:hAnsi="Book Antiqua"/>
          <w:i/>
          <w:color w:val="auto"/>
        </w:rPr>
        <w:t>P</w:t>
      </w:r>
      <w:r w:rsidRPr="009A4BDC">
        <w:rPr>
          <w:rFonts w:ascii="Book Antiqua" w:hAnsi="Book Antiqua"/>
          <w:color w:val="auto"/>
        </w:rPr>
        <w:t xml:space="preserve"> &lt; 0.01.</w:t>
      </w:r>
      <w:r>
        <w:rPr>
          <w:rFonts w:ascii="Book Antiqua" w:eastAsia="宋体" w:hAnsi="Book Antiqua"/>
          <w:color w:val="auto"/>
          <w:lang w:eastAsia="zh-CN"/>
        </w:rPr>
        <w:t xml:space="preserve"> MSC: </w:t>
      </w:r>
      <w:r w:rsidRPr="009A4BDC">
        <w:rPr>
          <w:rFonts w:ascii="Book Antiqua" w:hAnsi="Book Antiqua"/>
          <w:color w:val="auto"/>
        </w:rPr>
        <w:t>Mesenchymal stem cell</w:t>
      </w:r>
      <w:r>
        <w:rPr>
          <w:rFonts w:ascii="Book Antiqua" w:eastAsia="宋体" w:hAnsi="Book Antiqua"/>
          <w:color w:val="auto"/>
          <w:lang w:eastAsia="zh-CN"/>
        </w:rPr>
        <w:t xml:space="preserve">; NC: </w:t>
      </w:r>
      <w:r w:rsidRPr="009A4BDC">
        <w:rPr>
          <w:rFonts w:ascii="Book Antiqua" w:hAnsi="Book Antiqua"/>
          <w:color w:val="auto"/>
        </w:rPr>
        <w:t>Novocart</w:t>
      </w:r>
      <w:r w:rsidRPr="009A4BDC">
        <w:rPr>
          <w:rFonts w:ascii="Book Antiqua" w:hAnsi="Book Antiqua" w:cs="Lucida Grande"/>
          <w:color w:val="auto"/>
        </w:rPr>
        <w:t>™</w:t>
      </w:r>
      <w:r>
        <w:rPr>
          <w:rFonts w:ascii="Book Antiqua" w:eastAsia="宋体" w:hAnsi="Book Antiqua" w:cs="Lucida Grande"/>
          <w:color w:val="auto"/>
          <w:lang w:eastAsia="zh-CN"/>
        </w:rPr>
        <w:t xml:space="preserve">; CG: </w:t>
      </w:r>
      <w:r>
        <w:rPr>
          <w:rFonts w:ascii="Book Antiqua" w:hAnsi="Book Antiqua"/>
          <w:color w:val="auto"/>
        </w:rPr>
        <w:t>Chondro</w:t>
      </w:r>
      <w:r w:rsidRPr="009A4BDC">
        <w:rPr>
          <w:rFonts w:ascii="Book Antiqua" w:hAnsi="Book Antiqua"/>
          <w:color w:val="auto"/>
        </w:rPr>
        <w:t>- Gide</w:t>
      </w:r>
      <w:r w:rsidRPr="009A4BDC">
        <w:rPr>
          <w:rFonts w:ascii="Book Antiqua" w:hAnsi="Book Antiqua" w:cs="Lucida Grande"/>
          <w:color w:val="auto"/>
        </w:rPr>
        <w:t>™</w:t>
      </w:r>
      <w:r>
        <w:rPr>
          <w:rFonts w:ascii="Book Antiqua" w:eastAsia="宋体" w:hAnsi="Book Antiqua" w:cs="Lucida Grande"/>
          <w:color w:val="auto"/>
          <w:lang w:eastAsia="zh-CN"/>
        </w:rPr>
        <w:t xml:space="preserve">; </w:t>
      </w:r>
      <w:r>
        <w:rPr>
          <w:rFonts w:ascii="Book Antiqua" w:eastAsia="宋体" w:hAnsi="Book Antiqua"/>
          <w:color w:val="auto"/>
          <w:lang w:eastAsia="zh-CN"/>
        </w:rPr>
        <w:t xml:space="preserve">SEM: </w:t>
      </w:r>
      <w:r w:rsidRPr="009A4BDC">
        <w:rPr>
          <w:rFonts w:ascii="Book Antiqua" w:hAnsi="Book Antiqua"/>
          <w:color w:val="auto"/>
        </w:rPr>
        <w:t>Scanning electron microscope</w:t>
      </w:r>
      <w:r>
        <w:rPr>
          <w:rFonts w:ascii="Book Antiqua" w:eastAsia="宋体" w:hAnsi="Book Antiqua"/>
          <w:color w:val="auto"/>
          <w:lang w:eastAsia="zh-CN"/>
        </w:rPr>
        <w:t xml:space="preserve">. </w:t>
      </w: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p>
    <w:p w:rsidR="005A6B69" w:rsidRPr="009A4BDC" w:rsidRDefault="00161B90" w:rsidP="00BB5ED4">
      <w:pPr>
        <w:spacing w:line="360" w:lineRule="auto"/>
        <w:jc w:val="both"/>
        <w:rPr>
          <w:rFonts w:ascii="Book Antiqua" w:hAnsi="Book Antiqua"/>
          <w:color w:val="auto"/>
        </w:rPr>
      </w:pPr>
      <w:r>
        <w:rPr>
          <w:rFonts w:ascii="Book Antiqua" w:hAnsi="Book Antiqua"/>
          <w:noProof/>
          <w:color w:val="auto"/>
        </w:rPr>
        <w:drawing>
          <wp:inline distT="0" distB="0" distL="0" distR="0">
            <wp:extent cx="4226560" cy="79857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6560" cy="7985760"/>
                    </a:xfrm>
                    <a:prstGeom prst="rect">
                      <a:avLst/>
                    </a:prstGeom>
                    <a:noFill/>
                    <a:ln>
                      <a:noFill/>
                    </a:ln>
                  </pic:spPr>
                </pic:pic>
              </a:graphicData>
            </a:graphic>
          </wp:inline>
        </w:drawing>
      </w:r>
    </w:p>
    <w:p w:rsidR="005A6B69" w:rsidRPr="003622D0" w:rsidRDefault="005A6B69" w:rsidP="00BB5ED4">
      <w:pPr>
        <w:pStyle w:val="SenteBibliography"/>
        <w:spacing w:line="360" w:lineRule="auto"/>
        <w:jc w:val="both"/>
        <w:rPr>
          <w:rFonts w:ascii="Book Antiqua" w:hAnsi="Book Antiqua"/>
          <w:color w:val="auto"/>
          <w:lang w:val="en-US"/>
        </w:rPr>
      </w:pPr>
      <w:r w:rsidRPr="00B82BCB">
        <w:rPr>
          <w:rFonts w:ascii="Book Antiqua" w:hAnsi="Book Antiqua"/>
          <w:b/>
          <w:color w:val="auto"/>
          <w:lang w:val="en-US"/>
        </w:rPr>
        <w:t xml:space="preserve">Figure </w:t>
      </w:r>
      <w:r>
        <w:rPr>
          <w:rFonts w:ascii="Book Antiqua" w:hAnsi="Book Antiqua"/>
          <w:b/>
          <w:color w:val="auto"/>
          <w:lang w:val="en-US"/>
        </w:rPr>
        <w:t xml:space="preserve">7 </w:t>
      </w:r>
      <w:r w:rsidRPr="003622D0">
        <w:rPr>
          <w:rFonts w:ascii="Book Antiqua" w:hAnsi="Book Antiqua"/>
          <w:b/>
          <w:color w:val="auto"/>
          <w:lang w:val="en-US"/>
        </w:rPr>
        <w:t>Hydroxy-Proline</w:t>
      </w:r>
      <w:r w:rsidRPr="003622D0">
        <w:rPr>
          <w:rFonts w:ascii="Book Antiqua" w:hAnsi="Book Antiqua"/>
          <w:b/>
          <w:color w:val="auto"/>
        </w:rPr>
        <w:t xml:space="preserve"> </w:t>
      </w:r>
      <w:r w:rsidRPr="003622D0">
        <w:rPr>
          <w:rFonts w:ascii="Book Antiqua" w:eastAsia="宋体" w:hAnsi="Book Antiqua"/>
          <w:b/>
          <w:color w:val="auto"/>
          <w:lang w:eastAsia="zh-CN"/>
        </w:rPr>
        <w:t xml:space="preserve">and </w:t>
      </w:r>
      <w:r w:rsidRPr="003622D0">
        <w:rPr>
          <w:rFonts w:ascii="Book Antiqua" w:hAnsi="Book Antiqua"/>
          <w:b/>
          <w:color w:val="auto"/>
          <w:lang w:val="en-US"/>
        </w:rPr>
        <w:t>glycosaminoglycan</w:t>
      </w:r>
      <w:r w:rsidRPr="003622D0">
        <w:rPr>
          <w:rFonts w:ascii="Book Antiqua" w:hAnsi="Book Antiqua"/>
          <w:b/>
          <w:color w:val="auto"/>
        </w:rPr>
        <w:t xml:space="preserve"> content</w:t>
      </w:r>
      <w:r>
        <w:rPr>
          <w:rFonts w:ascii="Book Antiqua" w:eastAsia="宋体" w:hAnsi="Book Antiqua"/>
          <w:color w:val="auto"/>
          <w:lang w:eastAsia="zh-CN"/>
        </w:rPr>
        <w:t>.</w:t>
      </w:r>
      <w:r>
        <w:rPr>
          <w:rFonts w:ascii="Book Antiqua" w:hAnsi="Book Antiqua"/>
          <w:b/>
          <w:color w:val="auto"/>
          <w:lang w:val="en-US"/>
        </w:rPr>
        <w:t xml:space="preserve"> </w:t>
      </w:r>
      <w:r w:rsidRPr="008809FA">
        <w:rPr>
          <w:rFonts w:ascii="Book Antiqua" w:hAnsi="Book Antiqua"/>
          <w:color w:val="auto"/>
          <w:lang w:val="en-US"/>
        </w:rPr>
        <w:t>A</w:t>
      </w:r>
      <w:r w:rsidRPr="008809FA">
        <w:rPr>
          <w:rFonts w:ascii="Book Antiqua" w:eastAsia="宋体" w:hAnsi="Book Antiqua"/>
          <w:color w:val="auto"/>
          <w:lang w:val="en-US" w:eastAsia="zh-CN"/>
        </w:rPr>
        <w:t>:</w:t>
      </w:r>
      <w:r w:rsidRPr="00B82BCB">
        <w:rPr>
          <w:rFonts w:ascii="Book Antiqua" w:hAnsi="Book Antiqua"/>
          <w:b/>
          <w:color w:val="auto"/>
          <w:lang w:val="en-US"/>
        </w:rPr>
        <w:t xml:space="preserve"> </w:t>
      </w:r>
      <w:r w:rsidRPr="003622D0">
        <w:rPr>
          <w:rFonts w:ascii="Book Antiqua" w:hAnsi="Book Antiqua"/>
          <w:color w:val="auto"/>
          <w:lang w:val="en-US"/>
        </w:rPr>
        <w:t>HYP content assay</w:t>
      </w:r>
      <w:r w:rsidRPr="003622D0">
        <w:rPr>
          <w:rFonts w:ascii="Book Antiqua" w:eastAsia="宋体" w:hAnsi="Book Antiqua"/>
          <w:color w:val="auto"/>
          <w:lang w:val="en-US" w:eastAsia="zh-CN"/>
        </w:rPr>
        <w:t>;</w:t>
      </w:r>
      <w:r w:rsidRPr="003622D0">
        <w:rPr>
          <w:rFonts w:ascii="Book Antiqua" w:hAnsi="Book Antiqua"/>
          <w:color w:val="auto"/>
          <w:lang w:val="en-US"/>
        </w:rPr>
        <w:t xml:space="preserve"> B</w:t>
      </w:r>
      <w:r w:rsidRPr="003622D0">
        <w:rPr>
          <w:rFonts w:ascii="Book Antiqua" w:eastAsia="宋体" w:hAnsi="Book Antiqua"/>
          <w:color w:val="auto"/>
          <w:lang w:val="en-US" w:eastAsia="zh-CN"/>
        </w:rPr>
        <w:t>:</w:t>
      </w:r>
      <w:r w:rsidRPr="003622D0">
        <w:rPr>
          <w:rFonts w:ascii="Book Antiqua" w:hAnsi="Book Antiqua"/>
          <w:color w:val="auto"/>
          <w:lang w:val="en-US"/>
        </w:rPr>
        <w:t xml:space="preserve"> GAG of collagen patches seeded </w:t>
      </w:r>
      <w:r>
        <w:rPr>
          <w:rFonts w:ascii="Book Antiqua" w:hAnsi="Book Antiqua"/>
          <w:color w:val="auto"/>
          <w:lang w:val="en-US"/>
        </w:rPr>
        <w:t>with anterior cruciate ligament</w:t>
      </w:r>
      <w:r w:rsidRPr="003622D0">
        <w:rPr>
          <w:rFonts w:ascii="Book Antiqua" w:hAnsi="Book Antiqua"/>
          <w:color w:val="auto"/>
          <w:lang w:val="en-US"/>
        </w:rPr>
        <w:t xml:space="preserve">-TCs and/or MSCs on NC and </w:t>
      </w:r>
      <w:r>
        <w:rPr>
          <w:rFonts w:ascii="Book Antiqua" w:eastAsia="宋体" w:hAnsi="Book Antiqua"/>
          <w:color w:val="auto"/>
          <w:lang w:val="en-US" w:eastAsia="zh-CN"/>
        </w:rPr>
        <w:t>CG</w:t>
      </w:r>
      <w:r w:rsidRPr="003622D0">
        <w:rPr>
          <w:rFonts w:ascii="Book Antiqua" w:hAnsi="Book Antiqua"/>
          <w:color w:val="auto"/>
          <w:lang w:val="en-US"/>
        </w:rPr>
        <w:t xml:space="preserve"> normalized per dry weight carrier for the collagen patches for day 1 and day 7 of the experiment (values are means ± SEM, N = 3 experiments for day 1, 4 for day 7)</w:t>
      </w:r>
      <w:r w:rsidRPr="003622D0">
        <w:rPr>
          <w:rFonts w:ascii="Book Antiqua" w:eastAsia="宋体" w:hAnsi="Book Antiqua"/>
          <w:color w:val="auto"/>
          <w:lang w:val="en-US" w:eastAsia="zh-CN"/>
        </w:rPr>
        <w:t>;</w:t>
      </w:r>
      <w:r w:rsidRPr="003622D0">
        <w:rPr>
          <w:rFonts w:ascii="Book Antiqua" w:hAnsi="Book Antiqua"/>
          <w:color w:val="auto"/>
          <w:lang w:val="en-US"/>
        </w:rPr>
        <w:t xml:space="preserve"> C</w:t>
      </w:r>
      <w:r w:rsidRPr="003622D0">
        <w:rPr>
          <w:rFonts w:ascii="Book Antiqua" w:eastAsia="宋体" w:hAnsi="Book Antiqua"/>
          <w:color w:val="auto"/>
          <w:lang w:val="en-US" w:eastAsia="zh-CN"/>
        </w:rPr>
        <w:t>:</w:t>
      </w:r>
      <w:r w:rsidRPr="003622D0">
        <w:rPr>
          <w:rFonts w:ascii="Book Antiqua" w:hAnsi="Book Antiqua"/>
          <w:color w:val="auto"/>
          <w:lang w:val="en-US"/>
        </w:rPr>
        <w:t xml:space="preserve"> Percentage change of HYP to GAG ratio relative to day 1 of NC and CG patches. ** denotes a significant </w:t>
      </w:r>
      <w:r w:rsidRPr="003622D0">
        <w:rPr>
          <w:rFonts w:ascii="Book Antiqua" w:hAnsi="Book Antiqua"/>
          <w:i/>
          <w:color w:val="auto"/>
          <w:lang w:val="en-US"/>
        </w:rPr>
        <w:t>P</w:t>
      </w:r>
      <w:r w:rsidRPr="003622D0">
        <w:rPr>
          <w:rFonts w:ascii="Book Antiqua" w:hAnsi="Book Antiqua"/>
          <w:color w:val="auto"/>
          <w:lang w:val="en-US"/>
        </w:rPr>
        <w:t xml:space="preserve"> &lt; 0.01.</w:t>
      </w:r>
      <w:r>
        <w:rPr>
          <w:rFonts w:ascii="Book Antiqua" w:eastAsia="宋体" w:hAnsi="Book Antiqua"/>
          <w:color w:val="auto"/>
          <w:lang w:val="en-US" w:eastAsia="zh-CN"/>
        </w:rPr>
        <w:t xml:space="preserve"> GAG: </w:t>
      </w:r>
      <w:r w:rsidRPr="009A4BDC">
        <w:rPr>
          <w:rFonts w:ascii="Book Antiqua" w:hAnsi="Book Antiqua"/>
          <w:color w:val="auto"/>
          <w:lang w:val="en-US"/>
        </w:rPr>
        <w:t>Glycosaminoglycan</w:t>
      </w:r>
      <w:r>
        <w:rPr>
          <w:rFonts w:ascii="Book Antiqua" w:eastAsia="宋体" w:hAnsi="Book Antiqua"/>
          <w:color w:val="auto"/>
          <w:lang w:val="en-US" w:eastAsia="zh-CN"/>
        </w:rPr>
        <w:t xml:space="preserve">; HYP: </w:t>
      </w:r>
      <w:r w:rsidRPr="009A4BDC">
        <w:rPr>
          <w:rFonts w:ascii="Book Antiqua" w:hAnsi="Book Antiqua"/>
          <w:color w:val="auto"/>
          <w:lang w:val="en-US"/>
        </w:rPr>
        <w:t>Hydroxy-proline</w:t>
      </w:r>
      <w:r>
        <w:rPr>
          <w:rFonts w:ascii="Book Antiqua" w:eastAsia="宋体" w:hAnsi="Book Antiqua"/>
          <w:color w:val="auto"/>
          <w:lang w:val="en-US" w:eastAsia="zh-CN"/>
        </w:rPr>
        <w:t xml:space="preserve">; MSC: </w:t>
      </w:r>
      <w:r w:rsidRPr="009A4BDC">
        <w:rPr>
          <w:rFonts w:ascii="Book Antiqua" w:hAnsi="Book Antiqua"/>
          <w:color w:val="auto"/>
          <w:lang w:val="en-US"/>
        </w:rPr>
        <w:t>Mesenchymal stem cell</w:t>
      </w:r>
      <w:r>
        <w:rPr>
          <w:rFonts w:ascii="Book Antiqua" w:eastAsia="宋体" w:hAnsi="Book Antiqua"/>
          <w:color w:val="auto"/>
          <w:lang w:val="en-US" w:eastAsia="zh-CN"/>
        </w:rPr>
        <w:t xml:space="preserve">; TC: </w:t>
      </w:r>
      <w:r w:rsidRPr="009A4BDC">
        <w:rPr>
          <w:rFonts w:ascii="Book Antiqua" w:hAnsi="Book Antiqua"/>
          <w:color w:val="auto"/>
          <w:lang w:val="en-US"/>
        </w:rPr>
        <w:t>Tenocytes</w:t>
      </w:r>
      <w:r>
        <w:rPr>
          <w:rFonts w:ascii="Book Antiqua" w:eastAsia="宋体" w:hAnsi="Book Antiqua"/>
          <w:color w:val="auto"/>
          <w:lang w:val="en-US" w:eastAsia="zh-CN"/>
        </w:rPr>
        <w:t xml:space="preserve">; NC: </w:t>
      </w:r>
      <w:r w:rsidRPr="009A4BDC">
        <w:rPr>
          <w:rFonts w:ascii="Book Antiqua" w:hAnsi="Book Antiqua"/>
          <w:color w:val="auto"/>
          <w:lang w:val="en-US"/>
        </w:rPr>
        <w:t>Novocart</w:t>
      </w:r>
      <w:r w:rsidRPr="009A4BDC">
        <w:rPr>
          <w:rFonts w:ascii="Book Antiqua" w:hAnsi="Book Antiqua" w:cs="Lucida Grande"/>
          <w:color w:val="auto"/>
          <w:lang w:val="en-US"/>
        </w:rPr>
        <w:t>™</w:t>
      </w:r>
      <w:r>
        <w:rPr>
          <w:rFonts w:ascii="Book Antiqua" w:eastAsia="宋体" w:hAnsi="Book Antiqua" w:cs="Lucida Grande"/>
          <w:color w:val="auto"/>
          <w:lang w:val="en-US" w:eastAsia="zh-CN"/>
        </w:rPr>
        <w:t xml:space="preserve">; CG: </w:t>
      </w:r>
      <w:r w:rsidRPr="009A4BDC">
        <w:rPr>
          <w:rFonts w:ascii="Book Antiqua" w:hAnsi="Book Antiqua"/>
          <w:color w:val="auto"/>
          <w:lang w:val="en-US"/>
        </w:rPr>
        <w:t>Chondro-Gide</w:t>
      </w:r>
      <w:r w:rsidRPr="009A4BDC">
        <w:rPr>
          <w:rFonts w:ascii="Book Antiqua" w:hAnsi="Book Antiqua" w:cs="Lucida Grande"/>
          <w:color w:val="auto"/>
          <w:lang w:val="en-US"/>
        </w:rPr>
        <w:t>™</w:t>
      </w:r>
      <w:r>
        <w:rPr>
          <w:rFonts w:ascii="Book Antiqua" w:eastAsia="宋体" w:hAnsi="Book Antiqua" w:cs="Lucida Grande"/>
          <w:color w:val="auto"/>
          <w:lang w:val="en-US" w:eastAsia="zh-CN"/>
        </w:rPr>
        <w:t xml:space="preserve">; </w:t>
      </w:r>
      <w:r>
        <w:rPr>
          <w:rFonts w:ascii="Book Antiqua" w:eastAsia="宋体" w:hAnsi="Book Antiqua"/>
          <w:color w:val="auto"/>
          <w:lang w:eastAsia="zh-CN"/>
        </w:rPr>
        <w:t xml:space="preserve">SEM: </w:t>
      </w:r>
      <w:r w:rsidRPr="009A4BDC">
        <w:rPr>
          <w:rFonts w:ascii="Book Antiqua" w:hAnsi="Book Antiqua"/>
          <w:color w:val="auto"/>
        </w:rPr>
        <w:t>Scanning electron microscope</w:t>
      </w:r>
      <w:r>
        <w:rPr>
          <w:rFonts w:ascii="Book Antiqua" w:eastAsia="宋体" w:hAnsi="Book Antiqua"/>
          <w:color w:val="auto"/>
          <w:lang w:eastAsia="zh-CN"/>
        </w:rPr>
        <w:t>.</w:t>
      </w:r>
    </w:p>
    <w:p w:rsidR="005A6B69" w:rsidRPr="00CC2F3E" w:rsidRDefault="005A6B69" w:rsidP="00BB5ED4">
      <w:pPr>
        <w:spacing w:line="360" w:lineRule="auto"/>
        <w:jc w:val="both"/>
        <w:rPr>
          <w:rFonts w:ascii="Book Antiqua" w:eastAsia="宋体" w:hAnsi="Book Antiqua"/>
          <w:color w:val="auto"/>
          <w:lang w:eastAsia="zh-CN"/>
        </w:rPr>
      </w:pPr>
    </w:p>
    <w:p w:rsidR="005A6B69" w:rsidRPr="009A4BDC" w:rsidRDefault="005A6B69" w:rsidP="00BB5ED4">
      <w:pPr>
        <w:spacing w:line="360" w:lineRule="auto"/>
        <w:jc w:val="both"/>
        <w:rPr>
          <w:rFonts w:ascii="Book Antiqua" w:hAnsi="Book Antiqua"/>
          <w:color w:val="auto"/>
        </w:rPr>
      </w:pPr>
      <w:r w:rsidRPr="009A4BDC">
        <w:rPr>
          <w:rFonts w:ascii="Book Antiqua" w:hAnsi="Book Antiqua"/>
          <w:color w:val="auto"/>
        </w:rPr>
        <w:br w:type="page"/>
      </w:r>
      <w:r w:rsidR="00161B90">
        <w:rPr>
          <w:rFonts w:ascii="Book Antiqua" w:hAnsi="Book Antiqua"/>
          <w:noProof/>
          <w:color w:val="auto"/>
        </w:rPr>
        <w:drawing>
          <wp:inline distT="0" distB="0" distL="0" distR="0">
            <wp:extent cx="5242560" cy="72440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2560" cy="7244080"/>
                    </a:xfrm>
                    <a:prstGeom prst="rect">
                      <a:avLst/>
                    </a:prstGeom>
                    <a:noFill/>
                    <a:ln>
                      <a:noFill/>
                    </a:ln>
                  </pic:spPr>
                </pic:pic>
              </a:graphicData>
            </a:graphic>
          </wp:inline>
        </w:drawing>
      </w:r>
    </w:p>
    <w:p w:rsidR="005A6B69" w:rsidRPr="00D34A63" w:rsidRDefault="005A6B69" w:rsidP="00BB5ED4">
      <w:pPr>
        <w:pStyle w:val="SenteBibliography"/>
        <w:spacing w:line="360" w:lineRule="auto"/>
        <w:jc w:val="both"/>
        <w:rPr>
          <w:rFonts w:ascii="Book Antiqua" w:eastAsia="宋体" w:hAnsi="Book Antiqua"/>
          <w:color w:val="auto"/>
          <w:lang w:val="en-US" w:eastAsia="zh-CN"/>
        </w:rPr>
      </w:pPr>
      <w:r w:rsidRPr="009A4BDC">
        <w:rPr>
          <w:rFonts w:ascii="Book Antiqua" w:hAnsi="Book Antiqua"/>
          <w:b/>
          <w:color w:val="auto"/>
          <w:lang w:val="en-US"/>
        </w:rPr>
        <w:t xml:space="preserve">Figure 8 Relative gene expression of major extracellular matrix genes important for </w:t>
      </w:r>
      <w:r w:rsidRPr="00D34A63">
        <w:rPr>
          <w:rFonts w:ascii="Book Antiqua" w:hAnsi="Book Antiqua"/>
          <w:b/>
          <w:color w:val="auto"/>
        </w:rPr>
        <w:t>anterior cruciate ligament</w:t>
      </w:r>
      <w:r w:rsidRPr="00D34A63">
        <w:rPr>
          <w:rFonts w:ascii="Book Antiqua" w:hAnsi="Book Antiqua"/>
          <w:b/>
          <w:color w:val="auto"/>
          <w:lang w:val="en-US"/>
        </w:rPr>
        <w:t xml:space="preserve"> </w:t>
      </w:r>
      <w:r w:rsidRPr="009A4BDC">
        <w:rPr>
          <w:rFonts w:ascii="Book Antiqua" w:hAnsi="Book Antiqua"/>
          <w:b/>
          <w:color w:val="auto"/>
          <w:lang w:val="en-US"/>
        </w:rPr>
        <w:t>repair and mesenchymal stem cells</w:t>
      </w:r>
      <w:r>
        <w:rPr>
          <w:rFonts w:ascii="Book Antiqua" w:eastAsia="宋体" w:hAnsi="Book Antiqua"/>
          <w:b/>
          <w:color w:val="auto"/>
          <w:lang w:val="en-US" w:eastAsia="zh-CN"/>
        </w:rPr>
        <w:t xml:space="preserve"> </w:t>
      </w:r>
      <w:r w:rsidRPr="009A4BDC">
        <w:rPr>
          <w:rFonts w:ascii="Book Antiqua" w:hAnsi="Book Antiqua"/>
          <w:b/>
          <w:color w:val="auto"/>
          <w:lang w:val="en-US"/>
        </w:rPr>
        <w:t>differentiation grown on 3D collagen patches</w:t>
      </w:r>
      <w:r w:rsidRPr="009A4BDC">
        <w:rPr>
          <w:rFonts w:ascii="Book Antiqua" w:hAnsi="Book Antiqua"/>
          <w:color w:val="auto"/>
          <w:lang w:val="en-US"/>
        </w:rPr>
        <w:t>,</w:t>
      </w:r>
      <w:r w:rsidRPr="00D34A63">
        <w:rPr>
          <w:rFonts w:ascii="Book Antiqua" w:hAnsi="Book Antiqua"/>
          <w:b/>
          <w:color w:val="auto"/>
          <w:lang w:val="en-US"/>
        </w:rPr>
        <w:t xml:space="preserve"> </w:t>
      </w:r>
      <w:r w:rsidRPr="00D34A63">
        <w:rPr>
          <w:rFonts w:ascii="Book Antiqua" w:hAnsi="Book Antiqua"/>
          <w:b/>
          <w:i/>
          <w:color w:val="auto"/>
          <w:lang w:val="en-US"/>
        </w:rPr>
        <w:t>i.e.</w:t>
      </w:r>
      <w:r w:rsidRPr="00D34A63">
        <w:rPr>
          <w:rFonts w:ascii="Book Antiqua" w:eastAsia="宋体" w:hAnsi="Book Antiqua"/>
          <w:color w:val="auto"/>
          <w:lang w:val="en-US" w:eastAsia="zh-CN"/>
        </w:rPr>
        <w:t>,</w:t>
      </w:r>
      <w:r w:rsidRPr="00D34A63">
        <w:rPr>
          <w:rFonts w:ascii="Book Antiqua" w:hAnsi="Book Antiqua"/>
          <w:b/>
          <w:color w:val="auto"/>
          <w:lang w:val="en-US"/>
        </w:rPr>
        <w:t xml:space="preserve"> Novocart</w:t>
      </w:r>
      <w:r w:rsidRPr="00D34A63">
        <w:rPr>
          <w:rFonts w:ascii="Book Antiqua" w:hAnsi="Book Antiqua" w:cs="Lucida Grande"/>
          <w:b/>
          <w:color w:val="auto"/>
          <w:lang w:val="en-US"/>
        </w:rPr>
        <w:t>™ and ChondroGide™</w:t>
      </w:r>
      <w:r w:rsidRPr="009A4BDC">
        <w:rPr>
          <w:rFonts w:ascii="Book Antiqua" w:hAnsi="Book Antiqua"/>
          <w:color w:val="auto"/>
          <w:lang w:val="en-US"/>
        </w:rPr>
        <w:t xml:space="preserve">. </w:t>
      </w:r>
      <w:r w:rsidRPr="00D34A63">
        <w:rPr>
          <w:rFonts w:ascii="Book Antiqua" w:hAnsi="Book Antiqua"/>
          <w:color w:val="auto"/>
          <w:lang w:val="en-US"/>
        </w:rPr>
        <w:t>A</w:t>
      </w:r>
      <w:r w:rsidRPr="00D34A63">
        <w:rPr>
          <w:rFonts w:ascii="Book Antiqua" w:eastAsia="宋体" w:hAnsi="Book Antiqua"/>
          <w:color w:val="auto"/>
          <w:lang w:val="en-US" w:eastAsia="zh-CN"/>
        </w:rPr>
        <w:t>:</w:t>
      </w:r>
      <w:r w:rsidRPr="009A4BDC">
        <w:rPr>
          <w:rFonts w:ascii="Book Antiqua" w:hAnsi="Book Antiqua"/>
          <w:color w:val="auto"/>
          <w:lang w:val="en-US"/>
        </w:rPr>
        <w:t xml:space="preserve"> Gene expression of </w:t>
      </w:r>
      <w:r w:rsidRPr="007A003B">
        <w:rPr>
          <w:rFonts w:ascii="Book Antiqua" w:hAnsi="Book Antiqua"/>
          <w:color w:val="auto"/>
        </w:rPr>
        <w:t>anterior cruciate ligament</w:t>
      </w:r>
      <w:r w:rsidRPr="009A4BDC">
        <w:rPr>
          <w:rFonts w:ascii="Book Antiqua" w:hAnsi="Book Antiqua"/>
          <w:color w:val="auto"/>
          <w:lang w:val="en-US"/>
        </w:rPr>
        <w:t>-derived tenocy</w:t>
      </w:r>
      <w:r>
        <w:rPr>
          <w:rFonts w:ascii="Book Antiqua" w:hAnsi="Book Antiqua"/>
          <w:color w:val="auto"/>
          <w:lang w:val="en-US"/>
        </w:rPr>
        <w:t>tes (TCs) relative to day 0 TCs</w:t>
      </w:r>
      <w:r>
        <w:rPr>
          <w:rFonts w:ascii="Book Antiqua" w:eastAsia="宋体" w:hAnsi="Book Antiqua"/>
          <w:color w:val="auto"/>
          <w:lang w:val="en-US" w:eastAsia="zh-CN"/>
        </w:rPr>
        <w:t>;</w:t>
      </w:r>
      <w:r w:rsidRPr="009A4BDC">
        <w:rPr>
          <w:rFonts w:ascii="Book Antiqua" w:hAnsi="Book Antiqua"/>
          <w:color w:val="auto"/>
          <w:lang w:val="en-US"/>
        </w:rPr>
        <w:t xml:space="preserve"> </w:t>
      </w:r>
      <w:r w:rsidRPr="00D34A63">
        <w:rPr>
          <w:rFonts w:ascii="Book Antiqua" w:hAnsi="Book Antiqua"/>
          <w:color w:val="auto"/>
          <w:lang w:val="en-US"/>
        </w:rPr>
        <w:t>B</w:t>
      </w:r>
      <w:r w:rsidRPr="00D34A63">
        <w:rPr>
          <w:rFonts w:ascii="Book Antiqua" w:eastAsia="宋体" w:hAnsi="Book Antiqua"/>
          <w:color w:val="auto"/>
          <w:lang w:val="en-US" w:eastAsia="zh-CN"/>
        </w:rPr>
        <w:t>:</w:t>
      </w:r>
      <w:r w:rsidRPr="009A4BDC">
        <w:rPr>
          <w:rFonts w:ascii="Book Antiqua" w:hAnsi="Book Antiqua"/>
          <w:color w:val="auto"/>
          <w:lang w:val="en-US"/>
        </w:rPr>
        <w:t xml:space="preserve"> Gene expression of bone marrow-derived MSCs relative to day 0 MSCs (values are means ± SEM, N = 4 experiments for CG and N = 5 for NC).</w:t>
      </w:r>
      <w:r>
        <w:rPr>
          <w:rFonts w:ascii="Book Antiqua" w:eastAsia="宋体" w:hAnsi="Book Antiqua"/>
          <w:color w:val="auto"/>
          <w:lang w:val="en-US" w:eastAsia="zh-CN"/>
        </w:rPr>
        <w:t xml:space="preserve">  MSC: </w:t>
      </w:r>
      <w:r w:rsidRPr="00D34A63">
        <w:rPr>
          <w:rFonts w:ascii="Book Antiqua" w:hAnsi="Book Antiqua"/>
          <w:color w:val="auto"/>
          <w:lang w:val="en-US"/>
        </w:rPr>
        <w:t>Mesenchymal stem cell</w:t>
      </w:r>
      <w:r w:rsidRPr="00D34A63">
        <w:rPr>
          <w:rFonts w:ascii="Book Antiqua" w:eastAsia="宋体" w:hAnsi="Book Antiqua"/>
          <w:color w:val="auto"/>
          <w:lang w:val="en-US" w:eastAsia="zh-CN"/>
        </w:rPr>
        <w:t xml:space="preserve">; </w:t>
      </w:r>
      <w:r>
        <w:rPr>
          <w:rFonts w:ascii="Book Antiqua" w:eastAsia="宋体" w:hAnsi="Book Antiqua"/>
          <w:color w:val="auto"/>
          <w:lang w:val="en-US" w:eastAsia="zh-CN"/>
        </w:rPr>
        <w:t xml:space="preserve">NC: </w:t>
      </w:r>
      <w:r w:rsidRPr="00D34A63">
        <w:rPr>
          <w:rFonts w:ascii="Book Antiqua" w:hAnsi="Book Antiqua"/>
          <w:color w:val="auto"/>
          <w:lang w:val="en-US"/>
        </w:rPr>
        <w:t>Novocart</w:t>
      </w:r>
      <w:r w:rsidRPr="00D34A63">
        <w:rPr>
          <w:rFonts w:ascii="Book Antiqua" w:hAnsi="Book Antiqua" w:cs="Lucida Grande"/>
          <w:color w:val="auto"/>
          <w:lang w:val="en-US"/>
        </w:rPr>
        <w:t>™</w:t>
      </w:r>
      <w:r w:rsidRPr="00D34A63">
        <w:rPr>
          <w:rFonts w:ascii="Book Antiqua" w:eastAsia="宋体" w:hAnsi="Book Antiqua" w:cs="Lucida Grande"/>
          <w:color w:val="auto"/>
          <w:lang w:val="en-US" w:eastAsia="zh-CN"/>
        </w:rPr>
        <w:t xml:space="preserve">; CG: </w:t>
      </w:r>
      <w:r w:rsidRPr="00D34A63">
        <w:rPr>
          <w:rFonts w:ascii="Book Antiqua" w:hAnsi="Book Antiqua" w:cs="Lucida Grande"/>
          <w:color w:val="auto"/>
          <w:lang w:val="en-US"/>
        </w:rPr>
        <w:t>ChondroGide™</w:t>
      </w:r>
      <w:r>
        <w:rPr>
          <w:rFonts w:ascii="Book Antiqua" w:eastAsia="宋体" w:hAnsi="Book Antiqua" w:cs="Lucida Grande"/>
          <w:color w:val="auto"/>
          <w:lang w:val="en-US" w:eastAsia="zh-CN"/>
        </w:rPr>
        <w:t xml:space="preserve">; </w:t>
      </w:r>
      <w:r>
        <w:rPr>
          <w:rFonts w:ascii="Book Antiqua" w:eastAsia="宋体" w:hAnsi="Book Antiqua"/>
          <w:color w:val="auto"/>
          <w:lang w:eastAsia="zh-CN"/>
        </w:rPr>
        <w:t xml:space="preserve">SEM: </w:t>
      </w:r>
      <w:r w:rsidRPr="009A4BDC">
        <w:rPr>
          <w:rFonts w:ascii="Book Antiqua" w:hAnsi="Book Antiqua"/>
          <w:color w:val="auto"/>
        </w:rPr>
        <w:t>Scanning electron microscope</w:t>
      </w:r>
      <w:r>
        <w:rPr>
          <w:rFonts w:ascii="Book Antiqua" w:eastAsia="宋体" w:hAnsi="Book Antiqua"/>
          <w:color w:val="auto"/>
          <w:lang w:eastAsia="zh-CN"/>
        </w:rPr>
        <w:t>.</w:t>
      </w:r>
    </w:p>
    <w:p w:rsidR="005A6B69" w:rsidRPr="009A4BDC" w:rsidRDefault="005A6B69" w:rsidP="00BB5ED4">
      <w:pPr>
        <w:spacing w:line="360" w:lineRule="auto"/>
        <w:jc w:val="both"/>
        <w:rPr>
          <w:rFonts w:ascii="Book Antiqua" w:hAnsi="Book Antiqua"/>
          <w:color w:val="auto"/>
        </w:rPr>
      </w:pPr>
    </w:p>
    <w:p w:rsidR="005A6B69" w:rsidRPr="00D34A63" w:rsidRDefault="005A6B69" w:rsidP="00BB5ED4">
      <w:pPr>
        <w:spacing w:line="360" w:lineRule="auto"/>
        <w:jc w:val="both"/>
        <w:rPr>
          <w:rFonts w:ascii="Book Antiqua" w:eastAsia="宋体" w:hAnsi="Book Antiqua"/>
          <w:b/>
          <w:lang w:eastAsia="zh-CN"/>
        </w:rPr>
      </w:pPr>
      <w:r w:rsidRPr="009A4BDC">
        <w:br w:type="page"/>
      </w:r>
      <w:r w:rsidRPr="00D34A63">
        <w:rPr>
          <w:rFonts w:ascii="Book Antiqua" w:hAnsi="Book Antiqua"/>
          <w:b/>
        </w:rPr>
        <w:t>Table 1</w:t>
      </w:r>
      <w:r w:rsidRPr="00D34A63">
        <w:rPr>
          <w:rFonts w:ascii="Book Antiqua" w:eastAsia="宋体" w:hAnsi="Book Antiqua"/>
          <w:b/>
          <w:lang w:eastAsia="zh-CN"/>
        </w:rPr>
        <w:t xml:space="preserve"> </w:t>
      </w:r>
      <w:r w:rsidRPr="00D34A63">
        <w:rPr>
          <w:rFonts w:ascii="Book Antiqua" w:hAnsi="Book Antiqua"/>
          <w:b/>
        </w:rPr>
        <w:t xml:space="preserve">Summary of the Donor tissue that was used to harvest and expand primary cells, </w:t>
      </w:r>
      <w:r w:rsidRPr="00D34A63">
        <w:rPr>
          <w:rFonts w:ascii="Book Antiqua" w:hAnsi="Book Antiqua"/>
          <w:b/>
          <w:i/>
        </w:rPr>
        <w:t>i.e.</w:t>
      </w:r>
      <w:r>
        <w:rPr>
          <w:rFonts w:ascii="Book Antiqua" w:eastAsia="宋体" w:hAnsi="Book Antiqua"/>
          <w:b/>
          <w:lang w:eastAsia="zh-CN"/>
        </w:rPr>
        <w:t>,</w:t>
      </w:r>
      <w:r w:rsidRPr="00D34A63">
        <w:rPr>
          <w:rFonts w:ascii="Book Antiqua" w:hAnsi="Book Antiqua"/>
          <w:b/>
        </w:rPr>
        <w:t xml:space="preserve"> bone marrow derived mesenchymal stem cells and anterior cruciate ligament-derived tenocytes and stage of passage for 3D culture experiment</w:t>
      </w:r>
    </w:p>
    <w:tbl>
      <w:tblPr>
        <w:tblW w:w="8310" w:type="dxa"/>
        <w:tblInd w:w="103" w:type="dxa"/>
        <w:tblLook w:val="00A0" w:firstRow="1" w:lastRow="0" w:firstColumn="1" w:lastColumn="0" w:noHBand="0" w:noVBand="0"/>
      </w:tblPr>
      <w:tblGrid>
        <w:gridCol w:w="1658"/>
        <w:gridCol w:w="676"/>
        <w:gridCol w:w="1159"/>
        <w:gridCol w:w="1488"/>
        <w:gridCol w:w="1408"/>
        <w:gridCol w:w="1921"/>
      </w:tblGrid>
      <w:tr w:rsidR="005A6B69" w:rsidRPr="009A4BDC" w:rsidTr="00AC3ED5">
        <w:trPr>
          <w:trHeight w:val="280"/>
        </w:trPr>
        <w:tc>
          <w:tcPr>
            <w:tcW w:w="3493" w:type="dxa"/>
            <w:gridSpan w:val="3"/>
            <w:tcBorders>
              <w:top w:val="single" w:sz="4" w:space="0" w:color="auto"/>
              <w:left w:val="single" w:sz="4" w:space="0" w:color="auto"/>
              <w:bottom w:val="single" w:sz="4" w:space="0" w:color="auto"/>
              <w:right w:val="nil"/>
            </w:tcBorders>
            <w:shd w:val="clear" w:color="000000" w:fill="DCE6F1"/>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MSCs Donor Characteristics</w:t>
            </w:r>
          </w:p>
        </w:tc>
        <w:tc>
          <w:tcPr>
            <w:tcW w:w="1488" w:type="dxa"/>
            <w:tcBorders>
              <w:top w:val="single" w:sz="4" w:space="0" w:color="auto"/>
              <w:left w:val="nil"/>
              <w:bottom w:val="single" w:sz="4" w:space="0" w:color="auto"/>
              <w:right w:val="nil"/>
            </w:tcBorders>
            <w:shd w:val="clear" w:color="000000" w:fill="DCE6F1"/>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 </w:t>
            </w:r>
          </w:p>
        </w:tc>
        <w:tc>
          <w:tcPr>
            <w:tcW w:w="1408" w:type="dxa"/>
            <w:tcBorders>
              <w:top w:val="single" w:sz="4" w:space="0" w:color="auto"/>
              <w:left w:val="nil"/>
              <w:bottom w:val="single" w:sz="4" w:space="0" w:color="auto"/>
              <w:right w:val="nil"/>
            </w:tcBorders>
            <w:shd w:val="clear" w:color="000000" w:fill="DCE6F1"/>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 </w:t>
            </w:r>
          </w:p>
        </w:tc>
        <w:tc>
          <w:tcPr>
            <w:tcW w:w="1921" w:type="dxa"/>
            <w:tcBorders>
              <w:top w:val="single" w:sz="4" w:space="0" w:color="auto"/>
              <w:left w:val="nil"/>
              <w:bottom w:val="single" w:sz="4" w:space="0" w:color="auto"/>
              <w:right w:val="single" w:sz="4" w:space="0" w:color="auto"/>
            </w:tcBorders>
            <w:shd w:val="clear" w:color="000000" w:fill="DCE6F1"/>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 </w:t>
            </w:r>
          </w:p>
        </w:tc>
      </w:tr>
      <w:tr w:rsidR="005A6B69" w:rsidRPr="009A4BDC" w:rsidTr="00AC3ED5">
        <w:trPr>
          <w:trHeight w:val="280"/>
        </w:trPr>
        <w:tc>
          <w:tcPr>
            <w:tcW w:w="1658" w:type="dxa"/>
            <w:tcBorders>
              <w:top w:val="nil"/>
              <w:left w:val="single" w:sz="4" w:space="0" w:color="auto"/>
              <w:bottom w:val="single" w:sz="4" w:space="0" w:color="auto"/>
              <w:right w:val="nil"/>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Experiment</w:t>
            </w:r>
          </w:p>
        </w:tc>
        <w:tc>
          <w:tcPr>
            <w:tcW w:w="676"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ID</w:t>
            </w:r>
          </w:p>
        </w:tc>
        <w:tc>
          <w:tcPr>
            <w:tcW w:w="1159"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Passage</w:t>
            </w:r>
          </w:p>
        </w:tc>
        <w:tc>
          <w:tcPr>
            <w:tcW w:w="1488"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Donor gender</w:t>
            </w:r>
          </w:p>
        </w:tc>
        <w:tc>
          <w:tcPr>
            <w:tcW w:w="1408"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Donor age</w:t>
            </w:r>
          </w:p>
        </w:tc>
        <w:tc>
          <w:tcPr>
            <w:tcW w:w="1921" w:type="dxa"/>
            <w:tcBorders>
              <w:top w:val="nil"/>
              <w:left w:val="nil"/>
              <w:bottom w:val="single" w:sz="4" w:space="0" w:color="auto"/>
              <w:right w:val="single" w:sz="4" w:space="0" w:color="auto"/>
            </w:tcBorders>
            <w:noWrap/>
            <w:vAlign w:val="bottom"/>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Source</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62</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m</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75</w:t>
            </w:r>
          </w:p>
        </w:tc>
        <w:tc>
          <w:tcPr>
            <w:tcW w:w="1921" w:type="dxa"/>
            <w:tcBorders>
              <w:top w:val="nil"/>
              <w:left w:val="nil"/>
              <w:bottom w:val="nil"/>
              <w:right w:val="single" w:sz="4" w:space="0" w:color="auto"/>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Lumbar</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62</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m</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75</w:t>
            </w:r>
          </w:p>
        </w:tc>
        <w:tc>
          <w:tcPr>
            <w:tcW w:w="1921" w:type="dxa"/>
            <w:tcBorders>
              <w:top w:val="nil"/>
              <w:left w:val="nil"/>
              <w:bottom w:val="nil"/>
              <w:right w:val="single" w:sz="4" w:space="0" w:color="auto"/>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Lumbar</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3</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65</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84</w:t>
            </w:r>
          </w:p>
        </w:tc>
        <w:tc>
          <w:tcPr>
            <w:tcW w:w="1921" w:type="dxa"/>
            <w:tcBorders>
              <w:top w:val="nil"/>
              <w:left w:val="nil"/>
              <w:bottom w:val="nil"/>
              <w:right w:val="single" w:sz="4" w:space="0" w:color="auto"/>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Lower limbs</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4</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47</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m</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64</w:t>
            </w:r>
          </w:p>
        </w:tc>
        <w:tc>
          <w:tcPr>
            <w:tcW w:w="1921" w:type="dxa"/>
            <w:tcBorders>
              <w:top w:val="nil"/>
              <w:left w:val="nil"/>
              <w:bottom w:val="nil"/>
              <w:right w:val="single" w:sz="4" w:space="0" w:color="auto"/>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Thoracal</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5</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48</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m</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55</w:t>
            </w:r>
          </w:p>
        </w:tc>
        <w:tc>
          <w:tcPr>
            <w:tcW w:w="1921" w:type="dxa"/>
            <w:tcBorders>
              <w:top w:val="nil"/>
              <w:left w:val="nil"/>
              <w:bottom w:val="nil"/>
              <w:right w:val="single" w:sz="4" w:space="0" w:color="auto"/>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Thoracal</w:t>
            </w:r>
          </w:p>
        </w:tc>
      </w:tr>
      <w:tr w:rsidR="005A6B69" w:rsidRPr="009A4BDC" w:rsidTr="00AC3ED5">
        <w:trPr>
          <w:trHeight w:val="280"/>
        </w:trPr>
        <w:tc>
          <w:tcPr>
            <w:tcW w:w="1658" w:type="dxa"/>
            <w:tcBorders>
              <w:top w:val="nil"/>
              <w:left w:val="single" w:sz="4" w:space="0" w:color="auto"/>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p>
        </w:tc>
        <w:tc>
          <w:tcPr>
            <w:tcW w:w="676"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p>
        </w:tc>
        <w:tc>
          <w:tcPr>
            <w:tcW w:w="1159"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p>
        </w:tc>
        <w:tc>
          <w:tcPr>
            <w:tcW w:w="1488"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p>
        </w:tc>
        <w:tc>
          <w:tcPr>
            <w:tcW w:w="1408" w:type="dxa"/>
            <w:tcBorders>
              <w:top w:val="nil"/>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p>
        </w:tc>
        <w:tc>
          <w:tcPr>
            <w:tcW w:w="1921" w:type="dxa"/>
            <w:tcBorders>
              <w:top w:val="nil"/>
              <w:left w:val="nil"/>
              <w:bottom w:val="single" w:sz="4" w:space="0" w:color="auto"/>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p>
        </w:tc>
      </w:tr>
      <w:tr w:rsidR="005A6B69" w:rsidRPr="009A4BDC" w:rsidTr="00AC3ED5">
        <w:trPr>
          <w:trHeight w:val="280"/>
        </w:trPr>
        <w:tc>
          <w:tcPr>
            <w:tcW w:w="6389" w:type="dxa"/>
            <w:gridSpan w:val="5"/>
            <w:tcBorders>
              <w:top w:val="single" w:sz="4" w:space="0" w:color="auto"/>
              <w:left w:val="single" w:sz="4" w:space="0" w:color="auto"/>
              <w:bottom w:val="single" w:sz="4" w:space="0" w:color="auto"/>
              <w:right w:val="nil"/>
            </w:tcBorders>
            <w:shd w:val="clear" w:color="000000" w:fill="DCE6F1"/>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TCs Donor Characteristics</w:t>
            </w:r>
          </w:p>
        </w:tc>
        <w:tc>
          <w:tcPr>
            <w:tcW w:w="1921" w:type="dxa"/>
            <w:tcBorders>
              <w:top w:val="single" w:sz="4" w:space="0" w:color="auto"/>
              <w:left w:val="nil"/>
              <w:bottom w:val="single" w:sz="4" w:space="0" w:color="auto"/>
              <w:right w:val="single" w:sz="4" w:space="0" w:color="auto"/>
            </w:tcBorders>
            <w:shd w:val="clear" w:color="000000" w:fill="DCE6F1"/>
            <w:noWrap/>
            <w:vAlign w:val="bottom"/>
          </w:tcPr>
          <w:p w:rsidR="005A6B69" w:rsidRPr="009A4BDC" w:rsidRDefault="005A6B69" w:rsidP="00AC3ED5">
            <w:pPr>
              <w:spacing w:line="360" w:lineRule="auto"/>
              <w:jc w:val="both"/>
              <w:rPr>
                <w:rFonts w:ascii="Book Antiqua" w:hAnsi="Book Antiqua"/>
                <w:color w:val="auto"/>
              </w:rPr>
            </w:pPr>
          </w:p>
        </w:tc>
      </w:tr>
      <w:tr w:rsidR="005A6B69" w:rsidRPr="009A4BDC" w:rsidTr="00AC3ED5">
        <w:trPr>
          <w:trHeight w:val="280"/>
        </w:trPr>
        <w:tc>
          <w:tcPr>
            <w:tcW w:w="1658" w:type="dxa"/>
            <w:tcBorders>
              <w:top w:val="single" w:sz="4" w:space="0" w:color="auto"/>
              <w:left w:val="single" w:sz="4" w:space="0" w:color="auto"/>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Experiment</w:t>
            </w:r>
          </w:p>
        </w:tc>
        <w:tc>
          <w:tcPr>
            <w:tcW w:w="676" w:type="dxa"/>
            <w:tcBorders>
              <w:top w:val="single" w:sz="4" w:space="0" w:color="auto"/>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ID</w:t>
            </w:r>
          </w:p>
        </w:tc>
        <w:tc>
          <w:tcPr>
            <w:tcW w:w="1159" w:type="dxa"/>
            <w:tcBorders>
              <w:top w:val="single" w:sz="4" w:space="0" w:color="auto"/>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Passage</w:t>
            </w:r>
          </w:p>
        </w:tc>
        <w:tc>
          <w:tcPr>
            <w:tcW w:w="1488" w:type="dxa"/>
            <w:tcBorders>
              <w:top w:val="single" w:sz="4" w:space="0" w:color="auto"/>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Donor gender</w:t>
            </w:r>
          </w:p>
        </w:tc>
        <w:tc>
          <w:tcPr>
            <w:tcW w:w="1408" w:type="dxa"/>
            <w:tcBorders>
              <w:top w:val="single" w:sz="4" w:space="0" w:color="auto"/>
              <w:left w:val="nil"/>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Donor age</w:t>
            </w:r>
          </w:p>
        </w:tc>
        <w:tc>
          <w:tcPr>
            <w:tcW w:w="1921" w:type="dxa"/>
            <w:tcBorders>
              <w:top w:val="nil"/>
              <w:left w:val="nil"/>
              <w:bottom w:val="single" w:sz="4" w:space="0" w:color="auto"/>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b/>
                <w:bCs/>
                <w:color w:val="auto"/>
              </w:rPr>
              <w:t>Source</w:t>
            </w:r>
          </w:p>
        </w:tc>
      </w:tr>
      <w:tr w:rsidR="005A6B69" w:rsidRPr="009A4BDC" w:rsidTr="00AC3ED5">
        <w:trPr>
          <w:trHeight w:val="280"/>
        </w:trPr>
        <w:tc>
          <w:tcPr>
            <w:tcW w:w="1658" w:type="dxa"/>
            <w:tcBorders>
              <w:top w:val="single" w:sz="4" w:space="0" w:color="auto"/>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676" w:type="dxa"/>
            <w:tcBorders>
              <w:top w:val="single" w:sz="4" w:space="0" w:color="auto"/>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66</w:t>
            </w:r>
          </w:p>
        </w:tc>
        <w:tc>
          <w:tcPr>
            <w:tcW w:w="1159" w:type="dxa"/>
            <w:tcBorders>
              <w:top w:val="single" w:sz="4" w:space="0" w:color="auto"/>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1488" w:type="dxa"/>
            <w:tcBorders>
              <w:top w:val="single" w:sz="4" w:space="0" w:color="auto"/>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single" w:sz="4" w:space="0" w:color="auto"/>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62</w:t>
            </w:r>
          </w:p>
        </w:tc>
        <w:tc>
          <w:tcPr>
            <w:tcW w:w="1921" w:type="dxa"/>
            <w:tcBorders>
              <w:top w:val="single" w:sz="4" w:space="0" w:color="auto"/>
              <w:left w:val="nil"/>
              <w:bottom w:val="nil"/>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ACL</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66</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62</w:t>
            </w:r>
          </w:p>
        </w:tc>
        <w:tc>
          <w:tcPr>
            <w:tcW w:w="1921" w:type="dxa"/>
            <w:tcBorders>
              <w:top w:val="nil"/>
              <w:left w:val="nil"/>
              <w:bottom w:val="nil"/>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ACL</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3</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67</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38</w:t>
            </w:r>
          </w:p>
        </w:tc>
        <w:tc>
          <w:tcPr>
            <w:tcW w:w="1921" w:type="dxa"/>
            <w:tcBorders>
              <w:top w:val="nil"/>
              <w:left w:val="nil"/>
              <w:bottom w:val="nil"/>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ACL</w:t>
            </w:r>
          </w:p>
        </w:tc>
      </w:tr>
      <w:tr w:rsidR="005A6B69" w:rsidRPr="009A4BDC" w:rsidTr="00AC3ED5">
        <w:trPr>
          <w:trHeight w:val="280"/>
        </w:trPr>
        <w:tc>
          <w:tcPr>
            <w:tcW w:w="1658" w:type="dxa"/>
            <w:tcBorders>
              <w:top w:val="nil"/>
              <w:left w:val="single" w:sz="4" w:space="0" w:color="auto"/>
              <w:bottom w:val="nil"/>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4</w:t>
            </w:r>
          </w:p>
        </w:tc>
        <w:tc>
          <w:tcPr>
            <w:tcW w:w="676"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67</w:t>
            </w:r>
          </w:p>
        </w:tc>
        <w:tc>
          <w:tcPr>
            <w:tcW w:w="1159"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2</w:t>
            </w:r>
          </w:p>
        </w:tc>
        <w:tc>
          <w:tcPr>
            <w:tcW w:w="148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nil"/>
              <w:left w:val="nil"/>
              <w:bottom w:val="nil"/>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38</w:t>
            </w:r>
          </w:p>
        </w:tc>
        <w:tc>
          <w:tcPr>
            <w:tcW w:w="1921" w:type="dxa"/>
            <w:tcBorders>
              <w:top w:val="nil"/>
              <w:left w:val="nil"/>
              <w:bottom w:val="nil"/>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ACL</w:t>
            </w:r>
          </w:p>
        </w:tc>
      </w:tr>
      <w:tr w:rsidR="005A6B69" w:rsidRPr="009A4BDC" w:rsidTr="00AC3ED5">
        <w:trPr>
          <w:trHeight w:val="280"/>
        </w:trPr>
        <w:tc>
          <w:tcPr>
            <w:tcW w:w="1658" w:type="dxa"/>
            <w:tcBorders>
              <w:top w:val="nil"/>
              <w:left w:val="single" w:sz="4" w:space="0" w:color="auto"/>
              <w:bottom w:val="single" w:sz="4" w:space="0" w:color="auto"/>
              <w:right w:val="nil"/>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5</w:t>
            </w:r>
          </w:p>
        </w:tc>
        <w:tc>
          <w:tcPr>
            <w:tcW w:w="676" w:type="dxa"/>
            <w:tcBorders>
              <w:top w:val="nil"/>
              <w:left w:val="nil"/>
              <w:bottom w:val="single" w:sz="4" w:space="0" w:color="auto"/>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70</w:t>
            </w:r>
          </w:p>
        </w:tc>
        <w:tc>
          <w:tcPr>
            <w:tcW w:w="1159" w:type="dxa"/>
            <w:tcBorders>
              <w:top w:val="nil"/>
              <w:left w:val="nil"/>
              <w:bottom w:val="single" w:sz="4" w:space="0" w:color="auto"/>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w:t>
            </w:r>
          </w:p>
        </w:tc>
        <w:tc>
          <w:tcPr>
            <w:tcW w:w="1488" w:type="dxa"/>
            <w:tcBorders>
              <w:top w:val="nil"/>
              <w:left w:val="nil"/>
              <w:bottom w:val="single" w:sz="4" w:space="0" w:color="auto"/>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f</w:t>
            </w:r>
          </w:p>
        </w:tc>
        <w:tc>
          <w:tcPr>
            <w:tcW w:w="1408" w:type="dxa"/>
            <w:tcBorders>
              <w:top w:val="nil"/>
              <w:left w:val="nil"/>
              <w:bottom w:val="single" w:sz="4" w:space="0" w:color="auto"/>
              <w:right w:val="nil"/>
            </w:tcBorders>
            <w:noWrap/>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74</w:t>
            </w:r>
          </w:p>
        </w:tc>
        <w:tc>
          <w:tcPr>
            <w:tcW w:w="1921" w:type="dxa"/>
            <w:tcBorders>
              <w:top w:val="nil"/>
              <w:left w:val="nil"/>
              <w:bottom w:val="single" w:sz="4" w:space="0" w:color="auto"/>
              <w:right w:val="single" w:sz="4" w:space="0" w:color="auto"/>
            </w:tcBorders>
            <w:noWrap/>
            <w:vAlign w:val="bottom"/>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ACL</w:t>
            </w:r>
          </w:p>
        </w:tc>
      </w:tr>
    </w:tbl>
    <w:p w:rsidR="005A6B69" w:rsidRPr="00EB01A4" w:rsidRDefault="005A6B69" w:rsidP="00BB5ED4">
      <w:pPr>
        <w:pStyle w:val="FreeForm"/>
        <w:spacing w:line="360" w:lineRule="auto"/>
        <w:jc w:val="both"/>
        <w:rPr>
          <w:rFonts w:ascii="Book Antiqua" w:eastAsia="宋体" w:hAnsi="Book Antiqua"/>
          <w:color w:val="auto"/>
          <w:lang w:eastAsia="zh-CN"/>
        </w:rPr>
      </w:pPr>
      <w:r>
        <w:rPr>
          <w:rFonts w:ascii="Book Antiqua" w:eastAsia="宋体" w:hAnsi="Book Antiqua"/>
          <w:color w:val="auto"/>
          <w:lang w:eastAsia="zh-CN"/>
        </w:rPr>
        <w:t xml:space="preserve">MSC: </w:t>
      </w:r>
      <w:r w:rsidRPr="00D34A63">
        <w:rPr>
          <w:rFonts w:ascii="Book Antiqua" w:hAnsi="Book Antiqua"/>
          <w:color w:val="auto"/>
        </w:rPr>
        <w:t>Mesenchymal stem cell</w:t>
      </w:r>
      <w:r w:rsidRPr="00D34A63">
        <w:rPr>
          <w:rFonts w:ascii="Book Antiqua" w:eastAsia="宋体" w:hAnsi="Book Antiqua"/>
          <w:color w:val="auto"/>
          <w:lang w:eastAsia="zh-CN"/>
        </w:rPr>
        <w:t>;</w:t>
      </w:r>
      <w:r>
        <w:rPr>
          <w:rFonts w:ascii="Book Antiqua" w:eastAsia="宋体" w:hAnsi="Book Antiqua"/>
          <w:color w:val="auto"/>
          <w:lang w:eastAsia="zh-CN"/>
        </w:rPr>
        <w:t xml:space="preserve"> TC: </w:t>
      </w:r>
      <w:r w:rsidRPr="007A003B">
        <w:rPr>
          <w:rFonts w:ascii="Book Antiqua" w:hAnsi="Book Antiqua"/>
          <w:color w:val="auto"/>
        </w:rPr>
        <w:t>Tenocyte</w:t>
      </w:r>
      <w:r>
        <w:rPr>
          <w:rFonts w:ascii="Book Antiqua" w:eastAsia="宋体" w:hAnsi="Book Antiqua"/>
          <w:color w:val="auto"/>
          <w:lang w:eastAsia="zh-CN"/>
        </w:rPr>
        <w:t xml:space="preserve">; ACL: </w:t>
      </w:r>
      <w:r w:rsidRPr="007A003B">
        <w:rPr>
          <w:rFonts w:ascii="Book Antiqua" w:hAnsi="Book Antiqua"/>
          <w:color w:val="auto"/>
        </w:rPr>
        <w:t>Anterior cruciate ligament</w:t>
      </w:r>
      <w:r>
        <w:rPr>
          <w:rFonts w:ascii="Book Antiqua" w:eastAsia="宋体" w:hAnsi="Book Antiqua"/>
          <w:color w:val="auto"/>
          <w:lang w:eastAsia="zh-CN"/>
        </w:rPr>
        <w:t>.</w:t>
      </w:r>
    </w:p>
    <w:p w:rsidR="005A6B69" w:rsidRPr="00BB5ED4" w:rsidRDefault="005A6B69" w:rsidP="00BB5ED4">
      <w:pPr>
        <w:pStyle w:val="FreeForm"/>
        <w:spacing w:line="360" w:lineRule="auto"/>
        <w:jc w:val="both"/>
        <w:rPr>
          <w:rFonts w:ascii="Book Antiqua" w:eastAsia="宋体" w:hAnsi="Book Antiqua"/>
          <w:color w:val="auto"/>
          <w:lang w:eastAsia="zh-CN"/>
        </w:rPr>
        <w:sectPr w:rsidR="005A6B69" w:rsidRPr="00BB5ED4" w:rsidSect="007C62C0">
          <w:footerReference w:type="even" r:id="rId37"/>
          <w:footerReference w:type="default" r:id="rId38"/>
          <w:pgSz w:w="11907" w:h="16840" w:code="9"/>
          <w:pgMar w:top="1440" w:right="1797" w:bottom="1440" w:left="1797" w:header="709" w:footer="709" w:gutter="0"/>
          <w:cols w:space="708"/>
        </w:sectPr>
      </w:pPr>
    </w:p>
    <w:p w:rsidR="005A6B69" w:rsidRPr="00BA38A6" w:rsidRDefault="005A6B69" w:rsidP="00BB5ED4">
      <w:pPr>
        <w:pStyle w:val="FreeForm"/>
        <w:spacing w:line="360" w:lineRule="auto"/>
        <w:jc w:val="both"/>
        <w:rPr>
          <w:rFonts w:ascii="Book Antiqua" w:eastAsia="宋体" w:hAnsi="Book Antiqua"/>
          <w:b/>
          <w:color w:val="auto"/>
          <w:lang w:eastAsia="zh-CN"/>
        </w:rPr>
      </w:pPr>
      <w:r w:rsidRPr="00BA38A6">
        <w:rPr>
          <w:rFonts w:ascii="Book Antiqua" w:hAnsi="Book Antiqua"/>
          <w:b/>
          <w:color w:val="auto"/>
        </w:rPr>
        <w:t>Table 2</w:t>
      </w:r>
      <w:r w:rsidRPr="00BA38A6">
        <w:rPr>
          <w:rFonts w:ascii="Book Antiqua" w:eastAsia="宋体" w:hAnsi="Book Antiqua"/>
          <w:b/>
          <w:color w:val="auto"/>
          <w:lang w:eastAsia="zh-CN"/>
        </w:rPr>
        <w:t xml:space="preserve"> </w:t>
      </w:r>
      <w:r w:rsidRPr="00BA38A6">
        <w:rPr>
          <w:rFonts w:ascii="Book Antiqua" w:hAnsi="Book Antiqua"/>
          <w:b/>
          <w:color w:val="auto"/>
        </w:rPr>
        <w:t>Real-time polymerase chain reaction primers used for real-time polymerase chain reaction</w:t>
      </w:r>
      <w:r w:rsidRPr="00BA38A6">
        <w:rPr>
          <w:rFonts w:ascii="Book Antiqua" w:eastAsia="宋体" w:hAnsi="Book Antiqua"/>
          <w:b/>
          <w:color w:val="auto"/>
          <w:lang w:eastAsia="zh-CN"/>
        </w:rPr>
        <w:t xml:space="preserve"> </w:t>
      </w:r>
    </w:p>
    <w:tbl>
      <w:tblPr>
        <w:tblW w:w="13065" w:type="dxa"/>
        <w:tblInd w:w="93" w:type="dxa"/>
        <w:tblBorders>
          <w:top w:val="single" w:sz="4" w:space="0" w:color="auto"/>
          <w:left w:val="single" w:sz="4" w:space="0" w:color="auto"/>
          <w:bottom w:val="single" w:sz="4" w:space="0" w:color="auto"/>
          <w:right w:val="single" w:sz="4" w:space="0" w:color="auto"/>
          <w:insideH w:val="single" w:sz="2" w:space="0" w:color="F2F2F2"/>
          <w:insideV w:val="single" w:sz="2" w:space="0" w:color="F2F2F2"/>
        </w:tblBorders>
        <w:tblLook w:val="00A0" w:firstRow="1" w:lastRow="0" w:firstColumn="1" w:lastColumn="0" w:noHBand="0" w:noVBand="0"/>
      </w:tblPr>
      <w:tblGrid>
        <w:gridCol w:w="1780"/>
        <w:gridCol w:w="3080"/>
        <w:gridCol w:w="4245"/>
        <w:gridCol w:w="3960"/>
      </w:tblGrid>
      <w:tr w:rsidR="005A6B69" w:rsidRPr="009A4BDC" w:rsidTr="00AC3ED5">
        <w:trPr>
          <w:trHeight w:val="344"/>
        </w:trPr>
        <w:tc>
          <w:tcPr>
            <w:tcW w:w="1780" w:type="dxa"/>
            <w:tcBorders>
              <w:top w:val="single" w:sz="4" w:space="0" w:color="auto"/>
              <w:bottom w:val="single" w:sz="8" w:space="0" w:color="auto"/>
            </w:tcBorders>
            <w:shd w:val="clear" w:color="000000" w:fill="FFFFFF"/>
          </w:tcPr>
          <w:p w:rsidR="005A6B69" w:rsidRPr="009A4BDC" w:rsidRDefault="005A6B69" w:rsidP="00AC3ED5">
            <w:pPr>
              <w:spacing w:line="360" w:lineRule="auto"/>
              <w:jc w:val="both"/>
              <w:rPr>
                <w:rFonts w:ascii="Book Antiqua" w:hAnsi="Book Antiqua"/>
                <w:b/>
                <w:color w:val="auto"/>
              </w:rPr>
            </w:pPr>
            <w:r w:rsidRPr="009A4BDC">
              <w:rPr>
                <w:rFonts w:ascii="Book Antiqua" w:hAnsi="Book Antiqua"/>
                <w:b/>
                <w:color w:val="auto"/>
              </w:rPr>
              <w:t>Abbreviation</w:t>
            </w:r>
          </w:p>
        </w:tc>
        <w:tc>
          <w:tcPr>
            <w:tcW w:w="3080" w:type="dxa"/>
            <w:tcBorders>
              <w:top w:val="single" w:sz="4" w:space="0" w:color="auto"/>
              <w:bottom w:val="single" w:sz="8" w:space="0" w:color="auto"/>
            </w:tcBorders>
            <w:shd w:val="clear" w:color="000000" w:fill="FFFFFF"/>
          </w:tcPr>
          <w:p w:rsidR="005A6B69" w:rsidRPr="009A4BDC" w:rsidRDefault="005A6B69" w:rsidP="00AC3ED5">
            <w:pPr>
              <w:spacing w:line="360" w:lineRule="auto"/>
              <w:jc w:val="both"/>
              <w:rPr>
                <w:rFonts w:ascii="Book Antiqua" w:hAnsi="Book Antiqua"/>
                <w:b/>
                <w:bCs/>
                <w:color w:val="auto"/>
              </w:rPr>
            </w:pPr>
            <w:r w:rsidRPr="009A4BDC">
              <w:rPr>
                <w:rFonts w:ascii="Book Antiqua" w:hAnsi="Book Antiqua"/>
                <w:b/>
                <w:bCs/>
                <w:color w:val="auto"/>
              </w:rPr>
              <w:t>Gene name</w:t>
            </w:r>
          </w:p>
        </w:tc>
        <w:tc>
          <w:tcPr>
            <w:tcW w:w="4245" w:type="dxa"/>
            <w:tcBorders>
              <w:top w:val="single" w:sz="4" w:space="0" w:color="auto"/>
              <w:bottom w:val="single" w:sz="8" w:space="0" w:color="auto"/>
            </w:tcBorders>
            <w:shd w:val="clear" w:color="000000" w:fill="FFFFFF"/>
          </w:tcPr>
          <w:p w:rsidR="005A6B69" w:rsidRPr="009A4BDC" w:rsidRDefault="005A6B69" w:rsidP="00AC3ED5">
            <w:pPr>
              <w:spacing w:line="360" w:lineRule="auto"/>
              <w:jc w:val="both"/>
              <w:rPr>
                <w:rFonts w:ascii="Book Antiqua" w:hAnsi="Book Antiqua"/>
                <w:b/>
                <w:color w:val="auto"/>
              </w:rPr>
            </w:pPr>
            <w:r w:rsidRPr="009A4BDC">
              <w:rPr>
                <w:rFonts w:ascii="Book Antiqua" w:hAnsi="Book Antiqua"/>
                <w:b/>
                <w:color w:val="auto"/>
              </w:rPr>
              <w:t>Forward</w:t>
            </w:r>
          </w:p>
        </w:tc>
        <w:tc>
          <w:tcPr>
            <w:tcW w:w="3960" w:type="dxa"/>
            <w:tcBorders>
              <w:top w:val="single" w:sz="4" w:space="0" w:color="auto"/>
              <w:bottom w:val="single" w:sz="8" w:space="0" w:color="auto"/>
            </w:tcBorders>
            <w:shd w:val="clear" w:color="000000" w:fill="FFFFFF"/>
          </w:tcPr>
          <w:p w:rsidR="005A6B69" w:rsidRPr="009A4BDC" w:rsidRDefault="005A6B69" w:rsidP="00AC3ED5">
            <w:pPr>
              <w:spacing w:line="360" w:lineRule="auto"/>
              <w:jc w:val="both"/>
              <w:rPr>
                <w:rFonts w:ascii="Book Antiqua" w:hAnsi="Book Antiqua"/>
                <w:b/>
                <w:color w:val="auto"/>
              </w:rPr>
            </w:pPr>
            <w:r w:rsidRPr="009A4BDC">
              <w:rPr>
                <w:rFonts w:ascii="Book Antiqua" w:hAnsi="Book Antiqua"/>
                <w:b/>
                <w:color w:val="auto"/>
              </w:rPr>
              <w:t>Reverse</w:t>
            </w:r>
          </w:p>
        </w:tc>
      </w:tr>
      <w:tr w:rsidR="005A6B69" w:rsidRPr="009A4BDC" w:rsidTr="00AC3ED5">
        <w:trPr>
          <w:trHeight w:val="340"/>
        </w:trPr>
        <w:tc>
          <w:tcPr>
            <w:tcW w:w="1780" w:type="dxa"/>
            <w:tcBorders>
              <w:top w:val="single" w:sz="8"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18S</w:t>
            </w:r>
          </w:p>
        </w:tc>
        <w:tc>
          <w:tcPr>
            <w:tcW w:w="3080" w:type="dxa"/>
            <w:tcBorders>
              <w:top w:val="single" w:sz="8" w:space="0" w:color="auto"/>
            </w:tcBorders>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18S Ribosomal RNA</w:t>
            </w:r>
          </w:p>
        </w:tc>
        <w:tc>
          <w:tcPr>
            <w:tcW w:w="4245" w:type="dxa"/>
            <w:tcBorders>
              <w:top w:val="single" w:sz="8"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CGA TGC GGC GGC GTT ATT C</w:t>
            </w:r>
          </w:p>
        </w:tc>
        <w:tc>
          <w:tcPr>
            <w:tcW w:w="3960" w:type="dxa"/>
            <w:tcBorders>
              <w:top w:val="single" w:sz="8"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TCT GTC AAT CCT GTC CGT GTC C</w:t>
            </w:r>
          </w:p>
        </w:tc>
      </w:tr>
      <w:tr w:rsidR="005A6B69" w:rsidRPr="009A4BDC" w:rsidTr="00AC3ED5">
        <w:trPr>
          <w:trHeight w:val="340"/>
        </w:trPr>
        <w:tc>
          <w:tcPr>
            <w:tcW w:w="178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HsACAN</w:t>
            </w:r>
          </w:p>
        </w:tc>
        <w:tc>
          <w:tcPr>
            <w:tcW w:w="3080" w:type="dxa"/>
            <w:shd w:val="clear" w:color="000000" w:fill="FFFFFF"/>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AGGRECAN core protein</w:t>
            </w:r>
          </w:p>
        </w:tc>
        <w:tc>
          <w:tcPr>
            <w:tcW w:w="4245"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CAT CAC TGC AGC TGT CAC</w:t>
            </w:r>
          </w:p>
        </w:tc>
        <w:tc>
          <w:tcPr>
            <w:tcW w:w="396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AGC AGC ACT ACC TCC TTC</w:t>
            </w:r>
          </w:p>
        </w:tc>
      </w:tr>
      <w:tr w:rsidR="005A6B69" w:rsidRPr="009A4BDC" w:rsidTr="00AC3ED5">
        <w:trPr>
          <w:trHeight w:val="340"/>
        </w:trPr>
        <w:tc>
          <w:tcPr>
            <w:tcW w:w="178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Hs_col1A2#2</w:t>
            </w:r>
          </w:p>
        </w:tc>
        <w:tc>
          <w:tcPr>
            <w:tcW w:w="3080" w:type="dxa"/>
            <w:shd w:val="clear" w:color="000000" w:fill="FFFFFF"/>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Collagen 1 A2</w:t>
            </w:r>
          </w:p>
        </w:tc>
        <w:tc>
          <w:tcPr>
            <w:tcW w:w="4245"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 xml:space="preserve">GTG GCA GTG ATG GAA GTG </w:t>
            </w:r>
          </w:p>
        </w:tc>
        <w:tc>
          <w:tcPr>
            <w:tcW w:w="396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CAC CAG TAA GGC CGT TTG</w:t>
            </w:r>
          </w:p>
        </w:tc>
      </w:tr>
      <w:tr w:rsidR="005A6B69" w:rsidRPr="009A4BDC" w:rsidTr="00AC3ED5">
        <w:trPr>
          <w:trHeight w:val="340"/>
        </w:trPr>
        <w:tc>
          <w:tcPr>
            <w:tcW w:w="178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Hs_col2v3</w:t>
            </w:r>
          </w:p>
        </w:tc>
        <w:tc>
          <w:tcPr>
            <w:tcW w:w="3080" w:type="dxa"/>
            <w:shd w:val="clear" w:color="000000" w:fill="FFFFFF"/>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Collagen 2 A1</w:t>
            </w:r>
          </w:p>
        </w:tc>
        <w:tc>
          <w:tcPr>
            <w:tcW w:w="4245"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AGCAAGAGCAAGGAGAAG</w:t>
            </w:r>
          </w:p>
        </w:tc>
        <w:tc>
          <w:tcPr>
            <w:tcW w:w="3960" w:type="dxa"/>
            <w:shd w:val="clear" w:color="000000" w:fill="FFFFFF"/>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GGGAGCCAGATTGTCATC</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Hs_Col3A1</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Collagen 3 A1</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GTG AGC CTG GTA AGA ATG G</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CCT GGA ACA CCT GGA ATA C</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Hs_TNC</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Tenascin C</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CAC GCT GAG GTT GAT GTT C</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GTT GAT GGT CGC TGG ATT G</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Hs_SCXA</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Scleraxis A</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CAC CAA CAG CGT GAA CAC</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GCA GCG TCT CAA TCT TGG A</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Hs_SCXB</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Scleraxis B</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CAC CAA CAG CGT GAA CAC</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GCA GCG TCT CAA TCT TGG A</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Hs_TNMD</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Tenomodulin</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ACA AGC AAG TGA GGA AGA A</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GAC GGC AGT AAA TAC AAC AAT</w:t>
            </w:r>
          </w:p>
        </w:tc>
      </w:tr>
      <w:tr w:rsidR="005A6B69" w:rsidRPr="009A4BDC" w:rsidTr="00AC3ED5">
        <w:trPr>
          <w:trHeight w:val="340"/>
        </w:trPr>
        <w:tc>
          <w:tcPr>
            <w:tcW w:w="178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Hs_MMP13</w:t>
            </w:r>
          </w:p>
        </w:tc>
        <w:tc>
          <w:tcPr>
            <w:tcW w:w="3080" w:type="dxa"/>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Collagenase 3</w:t>
            </w:r>
          </w:p>
        </w:tc>
        <w:tc>
          <w:tcPr>
            <w:tcW w:w="4245"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AGT GGT GGT GAT GAA GAT</w:t>
            </w:r>
          </w:p>
        </w:tc>
        <w:tc>
          <w:tcPr>
            <w:tcW w:w="3960" w:type="dxa"/>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CTA AGG TGT TAT CGT CAA GTT</w:t>
            </w:r>
          </w:p>
        </w:tc>
      </w:tr>
      <w:tr w:rsidR="005A6B69" w:rsidRPr="009A4BDC" w:rsidTr="00AC3ED5">
        <w:trPr>
          <w:trHeight w:val="340"/>
        </w:trPr>
        <w:tc>
          <w:tcPr>
            <w:tcW w:w="1780" w:type="dxa"/>
            <w:tcBorders>
              <w:bottom w:val="single" w:sz="4"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Hs_MMP3</w:t>
            </w:r>
          </w:p>
        </w:tc>
        <w:tc>
          <w:tcPr>
            <w:tcW w:w="3080" w:type="dxa"/>
            <w:tcBorders>
              <w:bottom w:val="single" w:sz="4" w:space="0" w:color="auto"/>
            </w:tcBorders>
            <w:noWrap/>
          </w:tcPr>
          <w:p w:rsidR="005A6B69" w:rsidRPr="009A4BDC" w:rsidRDefault="005A6B69" w:rsidP="00AC3ED5">
            <w:pPr>
              <w:spacing w:line="360" w:lineRule="auto"/>
              <w:jc w:val="both"/>
              <w:rPr>
                <w:rFonts w:ascii="Book Antiqua" w:hAnsi="Book Antiqua"/>
                <w:bCs/>
                <w:color w:val="auto"/>
              </w:rPr>
            </w:pPr>
            <w:r w:rsidRPr="009A4BDC">
              <w:rPr>
                <w:rFonts w:ascii="Book Antiqua" w:hAnsi="Book Antiqua"/>
                <w:bCs/>
                <w:color w:val="auto"/>
              </w:rPr>
              <w:t>Matrix metallopeptidase 3</w:t>
            </w:r>
          </w:p>
        </w:tc>
        <w:tc>
          <w:tcPr>
            <w:tcW w:w="4245" w:type="dxa"/>
            <w:tcBorders>
              <w:bottom w:val="single" w:sz="4"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CAA GGC ATA GAG ACA ACA TAG A</w:t>
            </w:r>
          </w:p>
        </w:tc>
        <w:tc>
          <w:tcPr>
            <w:tcW w:w="3960" w:type="dxa"/>
            <w:tcBorders>
              <w:bottom w:val="single" w:sz="4" w:space="0" w:color="auto"/>
            </w:tcBorders>
          </w:tcPr>
          <w:p w:rsidR="005A6B69" w:rsidRPr="009A4BDC" w:rsidRDefault="005A6B69" w:rsidP="00AC3ED5">
            <w:pPr>
              <w:spacing w:line="360" w:lineRule="auto"/>
              <w:jc w:val="both"/>
              <w:rPr>
                <w:rFonts w:ascii="Book Antiqua" w:hAnsi="Book Antiqua"/>
                <w:color w:val="auto"/>
              </w:rPr>
            </w:pPr>
            <w:r w:rsidRPr="009A4BDC">
              <w:rPr>
                <w:rFonts w:ascii="Book Antiqua" w:hAnsi="Book Antiqua"/>
                <w:color w:val="auto"/>
              </w:rPr>
              <w:t>GCA CAG CAA CAG TAG GAT</w:t>
            </w:r>
          </w:p>
        </w:tc>
      </w:tr>
    </w:tbl>
    <w:p w:rsidR="005A6B69" w:rsidRPr="00BA38A6" w:rsidRDefault="005A6B69" w:rsidP="00BB5ED4">
      <w:pPr>
        <w:spacing w:line="360" w:lineRule="auto"/>
        <w:jc w:val="both"/>
        <w:rPr>
          <w:rFonts w:eastAsia="宋体"/>
          <w:lang w:eastAsia="zh-CN"/>
        </w:rPr>
      </w:pPr>
      <w:r w:rsidRPr="00BA38A6">
        <w:rPr>
          <w:rFonts w:ascii="Book Antiqua" w:hAnsi="Book Antiqua"/>
          <w:color w:val="auto"/>
        </w:rPr>
        <w:t>All primers were run at 61°C T</w:t>
      </w:r>
      <w:r w:rsidRPr="00BA38A6">
        <w:rPr>
          <w:rFonts w:ascii="Book Antiqua" w:hAnsi="Book Antiqua"/>
          <w:color w:val="auto"/>
          <w:vertAlign w:val="subscript"/>
        </w:rPr>
        <w:t>a</w:t>
      </w:r>
      <w:r w:rsidRPr="00BA38A6">
        <w:rPr>
          <w:rFonts w:ascii="Book Antiqua" w:hAnsi="Book Antiqua"/>
          <w:color w:val="auto"/>
        </w:rPr>
        <w:t xml:space="preserve"> (annealing temperature) and a two-step protocol (95°C for 10 s and 61 °C for 30 s) and 45 cycles</w:t>
      </w:r>
      <w:r>
        <w:rPr>
          <w:rFonts w:ascii="Book Antiqua" w:eastAsia="宋体" w:hAnsi="Book Antiqua"/>
          <w:color w:val="auto"/>
          <w:lang w:eastAsia="zh-CN"/>
        </w:rPr>
        <w:t>.</w:t>
      </w:r>
    </w:p>
    <w:sectPr w:rsidR="005A6B69" w:rsidRPr="00BA38A6" w:rsidSect="00BB5ED4">
      <w:footerReference w:type="even" r:id="rId39"/>
      <w:footerReference w:type="default" r:id="rId40"/>
      <w:pgSz w:w="16840" w:h="11907" w:orient="landscape" w:code="9"/>
      <w:pgMar w:top="1797" w:right="1440" w:bottom="1797" w:left="1440"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890" w:rsidRDefault="000A1890" w:rsidP="00787741">
      <w:r>
        <w:separator/>
      </w:r>
    </w:p>
  </w:endnote>
  <w:endnote w:type="continuationSeparator" w:id="0">
    <w:p w:rsidR="000A1890" w:rsidRDefault="000A1890" w:rsidP="0078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ﾍ｣ﾓ ﾃｯ">
    <w:altName w:val="ＭＳ ゴシック"/>
    <w:panose1 w:val="00000000000000000000"/>
    <w:charset w:val="80"/>
    <w:family w:val="auto"/>
    <w:notTrueType/>
    <w:pitch w:val="variable"/>
    <w:sig w:usb0="00000001" w:usb1="08070000" w:usb2="00000010" w:usb3="00000000" w:csb0="00020000" w:csb1="00000000"/>
  </w:font>
  <w:font w:name="･ﾒ･鬣ｮ･ﾎｽﾇ･ｴ Pro W3">
    <w:altName w:val="ＭＳ ゴシック"/>
    <w:panose1 w:val="00000000000000000000"/>
    <w:charset w:val="80"/>
    <w:family w:val="auto"/>
    <w:notTrueType/>
    <w:pitch w:val="variable"/>
    <w:sig w:usb0="00000001" w:usb1="08070000" w:usb2="00000010" w:usb3="00000000" w:csb0="00020000" w:csb1="00000000"/>
  </w:font>
  <w:font w:name="Times New Roman Italic">
    <w:panose1 w:val="02020503050405090304"/>
    <w:charset w:val="00"/>
    <w:family w:val="auto"/>
    <w:pitch w:val="variable"/>
    <w:sig w:usb0="E0000AFF" w:usb1="00007843" w:usb2="00000001" w:usb3="00000000" w:csb0="000001B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华文细黑">
    <w:charset w:val="50"/>
    <w:family w:val="auto"/>
    <w:pitch w:val="variable"/>
    <w:sig w:usb0="00000287" w:usb1="080F0000" w:usb2="00000010" w:usb3="00000000" w:csb0="00040001" w:csb1="00000000"/>
  </w:font>
  <w:font w:name="Tahoma">
    <w:panose1 w:val="020B06040305040402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69" w:rsidRDefault="005A6B69" w:rsidP="00FF62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6B69" w:rsidRDefault="005A6B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69" w:rsidRDefault="005A6B69" w:rsidP="00FF62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1B90">
      <w:rPr>
        <w:rStyle w:val="PageNumber"/>
        <w:noProof/>
      </w:rPr>
      <w:t>1</w:t>
    </w:r>
    <w:r>
      <w:rPr>
        <w:rStyle w:val="PageNumber"/>
      </w:rPr>
      <w:fldChar w:fldCharType="end"/>
    </w:r>
  </w:p>
  <w:p w:rsidR="005A6B69" w:rsidRDefault="005A6B6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69" w:rsidRDefault="005A6B69" w:rsidP="00FF62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6B69" w:rsidRDefault="005A6B6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69" w:rsidRDefault="005A6B69" w:rsidP="00FF62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1B90">
      <w:rPr>
        <w:rStyle w:val="PageNumber"/>
        <w:noProof/>
      </w:rPr>
      <w:t>39</w:t>
    </w:r>
    <w:r>
      <w:rPr>
        <w:rStyle w:val="PageNumber"/>
      </w:rPr>
      <w:fldChar w:fldCharType="end"/>
    </w:r>
  </w:p>
  <w:p w:rsidR="005A6B69" w:rsidRDefault="005A6B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890" w:rsidRDefault="000A1890" w:rsidP="00787741">
      <w:r>
        <w:separator/>
      </w:r>
    </w:p>
  </w:footnote>
  <w:footnote w:type="continuationSeparator" w:id="0">
    <w:p w:rsidR="000A1890" w:rsidRDefault="000A1890" w:rsidP="007877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noLineBreaksAfter w:lang="zh-CN" w:val="$([{£¥·‘“〈《「『【〔〖〝﹙﹛﹝＄（．［｛￡￥"/>
  <w:noLineBreaksBefore w:lang="zh-CN" w:val="!%),.:;&gt;?]}¢¨°·ˇˉ―‖’”…‰′″›℃∶、。〃〉》」』】〕〗〞︶︺︾﹀﹄﹚﹜﹞！＂％＇），．：；？］｀｜｝～￠"/>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CB1"/>
    <w:rsid w:val="00010355"/>
    <w:rsid w:val="00010407"/>
    <w:rsid w:val="00021A96"/>
    <w:rsid w:val="00024D87"/>
    <w:rsid w:val="00034523"/>
    <w:rsid w:val="0003513B"/>
    <w:rsid w:val="00043267"/>
    <w:rsid w:val="00045065"/>
    <w:rsid w:val="00050637"/>
    <w:rsid w:val="000560E4"/>
    <w:rsid w:val="00056162"/>
    <w:rsid w:val="00065968"/>
    <w:rsid w:val="00066618"/>
    <w:rsid w:val="00071742"/>
    <w:rsid w:val="00081D92"/>
    <w:rsid w:val="00097E42"/>
    <w:rsid w:val="000A1890"/>
    <w:rsid w:val="000A61C2"/>
    <w:rsid w:val="000B7544"/>
    <w:rsid w:val="000C4811"/>
    <w:rsid w:val="000C5F85"/>
    <w:rsid w:val="000D4A0C"/>
    <w:rsid w:val="000F5A53"/>
    <w:rsid w:val="00106C61"/>
    <w:rsid w:val="001179F0"/>
    <w:rsid w:val="00126B16"/>
    <w:rsid w:val="00127610"/>
    <w:rsid w:val="001417BC"/>
    <w:rsid w:val="001446F1"/>
    <w:rsid w:val="0014673D"/>
    <w:rsid w:val="00153DF4"/>
    <w:rsid w:val="00161B90"/>
    <w:rsid w:val="001808A6"/>
    <w:rsid w:val="0018111F"/>
    <w:rsid w:val="00191593"/>
    <w:rsid w:val="00193148"/>
    <w:rsid w:val="0019473C"/>
    <w:rsid w:val="001A691A"/>
    <w:rsid w:val="001B74E7"/>
    <w:rsid w:val="001C335D"/>
    <w:rsid w:val="001D096A"/>
    <w:rsid w:val="001D5F63"/>
    <w:rsid w:val="001E3817"/>
    <w:rsid w:val="001E58BD"/>
    <w:rsid w:val="001E7FDB"/>
    <w:rsid w:val="001F0548"/>
    <w:rsid w:val="001F691D"/>
    <w:rsid w:val="002117B7"/>
    <w:rsid w:val="00214658"/>
    <w:rsid w:val="0021712E"/>
    <w:rsid w:val="00224175"/>
    <w:rsid w:val="0025399C"/>
    <w:rsid w:val="002561CE"/>
    <w:rsid w:val="002701B7"/>
    <w:rsid w:val="00270C05"/>
    <w:rsid w:val="002716FB"/>
    <w:rsid w:val="00273E97"/>
    <w:rsid w:val="00283E6A"/>
    <w:rsid w:val="00285047"/>
    <w:rsid w:val="0028793B"/>
    <w:rsid w:val="002A2A36"/>
    <w:rsid w:val="002A63A5"/>
    <w:rsid w:val="002B15A8"/>
    <w:rsid w:val="002B69ED"/>
    <w:rsid w:val="002B6B02"/>
    <w:rsid w:val="002C0643"/>
    <w:rsid w:val="002D445C"/>
    <w:rsid w:val="002D52C2"/>
    <w:rsid w:val="002D57C9"/>
    <w:rsid w:val="002E60C4"/>
    <w:rsid w:val="002F10BD"/>
    <w:rsid w:val="00307AF2"/>
    <w:rsid w:val="00307CEB"/>
    <w:rsid w:val="00312031"/>
    <w:rsid w:val="0031630B"/>
    <w:rsid w:val="00316C16"/>
    <w:rsid w:val="003172A1"/>
    <w:rsid w:val="003260BB"/>
    <w:rsid w:val="00334D3F"/>
    <w:rsid w:val="0033597B"/>
    <w:rsid w:val="003622D0"/>
    <w:rsid w:val="00370A3A"/>
    <w:rsid w:val="00375086"/>
    <w:rsid w:val="00380ED0"/>
    <w:rsid w:val="0038577B"/>
    <w:rsid w:val="00397FA4"/>
    <w:rsid w:val="003B60BE"/>
    <w:rsid w:val="003C19B1"/>
    <w:rsid w:val="003E2A8E"/>
    <w:rsid w:val="003F25FC"/>
    <w:rsid w:val="003F55B4"/>
    <w:rsid w:val="003F71A1"/>
    <w:rsid w:val="00402C8B"/>
    <w:rsid w:val="00424D38"/>
    <w:rsid w:val="00436E8E"/>
    <w:rsid w:val="00437E14"/>
    <w:rsid w:val="00443656"/>
    <w:rsid w:val="0045094C"/>
    <w:rsid w:val="00470D96"/>
    <w:rsid w:val="00481867"/>
    <w:rsid w:val="004863B4"/>
    <w:rsid w:val="0048748B"/>
    <w:rsid w:val="00491BC4"/>
    <w:rsid w:val="0049634D"/>
    <w:rsid w:val="004967A0"/>
    <w:rsid w:val="004C4457"/>
    <w:rsid w:val="004C6B16"/>
    <w:rsid w:val="004D071E"/>
    <w:rsid w:val="004D23E8"/>
    <w:rsid w:val="004E470D"/>
    <w:rsid w:val="004F17EE"/>
    <w:rsid w:val="004F3A4D"/>
    <w:rsid w:val="004F3C9D"/>
    <w:rsid w:val="004F4C51"/>
    <w:rsid w:val="005061CF"/>
    <w:rsid w:val="00513F36"/>
    <w:rsid w:val="00522AF3"/>
    <w:rsid w:val="00540C61"/>
    <w:rsid w:val="00556F27"/>
    <w:rsid w:val="00563BC6"/>
    <w:rsid w:val="0057599E"/>
    <w:rsid w:val="005A1199"/>
    <w:rsid w:val="005A6B69"/>
    <w:rsid w:val="005A7BE3"/>
    <w:rsid w:val="005D7722"/>
    <w:rsid w:val="005E1D93"/>
    <w:rsid w:val="005E284C"/>
    <w:rsid w:val="005E4324"/>
    <w:rsid w:val="005F34FD"/>
    <w:rsid w:val="005F7DC3"/>
    <w:rsid w:val="00607174"/>
    <w:rsid w:val="00607AD2"/>
    <w:rsid w:val="00631B8F"/>
    <w:rsid w:val="006325E9"/>
    <w:rsid w:val="00636F29"/>
    <w:rsid w:val="00640F7A"/>
    <w:rsid w:val="0064421C"/>
    <w:rsid w:val="00651156"/>
    <w:rsid w:val="00651A7D"/>
    <w:rsid w:val="006740F6"/>
    <w:rsid w:val="00674F74"/>
    <w:rsid w:val="0068659D"/>
    <w:rsid w:val="00691722"/>
    <w:rsid w:val="006934DF"/>
    <w:rsid w:val="0069726E"/>
    <w:rsid w:val="006A55D6"/>
    <w:rsid w:val="006A6AC4"/>
    <w:rsid w:val="006B0686"/>
    <w:rsid w:val="006B1A17"/>
    <w:rsid w:val="006B3742"/>
    <w:rsid w:val="006C2AED"/>
    <w:rsid w:val="006C3983"/>
    <w:rsid w:val="006C4B4D"/>
    <w:rsid w:val="006D0304"/>
    <w:rsid w:val="006E4ACF"/>
    <w:rsid w:val="006F2054"/>
    <w:rsid w:val="006F3ED9"/>
    <w:rsid w:val="006F47BB"/>
    <w:rsid w:val="006F7715"/>
    <w:rsid w:val="0070253C"/>
    <w:rsid w:val="00705C89"/>
    <w:rsid w:val="00724A10"/>
    <w:rsid w:val="00740350"/>
    <w:rsid w:val="007506CC"/>
    <w:rsid w:val="00765B5C"/>
    <w:rsid w:val="00777F92"/>
    <w:rsid w:val="00780876"/>
    <w:rsid w:val="00787741"/>
    <w:rsid w:val="00795E40"/>
    <w:rsid w:val="00797213"/>
    <w:rsid w:val="007A003B"/>
    <w:rsid w:val="007A4037"/>
    <w:rsid w:val="007B1325"/>
    <w:rsid w:val="007B46EF"/>
    <w:rsid w:val="007C100A"/>
    <w:rsid w:val="007C62C0"/>
    <w:rsid w:val="007D67F0"/>
    <w:rsid w:val="007E15DC"/>
    <w:rsid w:val="007E3565"/>
    <w:rsid w:val="007E3746"/>
    <w:rsid w:val="007E6745"/>
    <w:rsid w:val="007F1145"/>
    <w:rsid w:val="0080491A"/>
    <w:rsid w:val="00804DE2"/>
    <w:rsid w:val="00813656"/>
    <w:rsid w:val="00813F02"/>
    <w:rsid w:val="008146DF"/>
    <w:rsid w:val="00832D33"/>
    <w:rsid w:val="00846E58"/>
    <w:rsid w:val="00847BD8"/>
    <w:rsid w:val="008626E6"/>
    <w:rsid w:val="008630C2"/>
    <w:rsid w:val="008710E0"/>
    <w:rsid w:val="00876395"/>
    <w:rsid w:val="008809FA"/>
    <w:rsid w:val="008833AA"/>
    <w:rsid w:val="008A1672"/>
    <w:rsid w:val="008A52EB"/>
    <w:rsid w:val="008B7805"/>
    <w:rsid w:val="008C40AD"/>
    <w:rsid w:val="008C4FDC"/>
    <w:rsid w:val="008E0AF7"/>
    <w:rsid w:val="008E14E3"/>
    <w:rsid w:val="008E39FD"/>
    <w:rsid w:val="008E42E1"/>
    <w:rsid w:val="008F6234"/>
    <w:rsid w:val="008F77C4"/>
    <w:rsid w:val="00911816"/>
    <w:rsid w:val="00912FF7"/>
    <w:rsid w:val="00913D5C"/>
    <w:rsid w:val="009208A0"/>
    <w:rsid w:val="009211EB"/>
    <w:rsid w:val="00926F44"/>
    <w:rsid w:val="009318A3"/>
    <w:rsid w:val="00952A2E"/>
    <w:rsid w:val="00966286"/>
    <w:rsid w:val="00975B24"/>
    <w:rsid w:val="00990EA6"/>
    <w:rsid w:val="0099390D"/>
    <w:rsid w:val="009A1726"/>
    <w:rsid w:val="009A4BDC"/>
    <w:rsid w:val="009A4EEF"/>
    <w:rsid w:val="009A7729"/>
    <w:rsid w:val="009C74B0"/>
    <w:rsid w:val="009E505A"/>
    <w:rsid w:val="009F24E8"/>
    <w:rsid w:val="009F6017"/>
    <w:rsid w:val="009F7DCB"/>
    <w:rsid w:val="00A13C29"/>
    <w:rsid w:val="00A47B80"/>
    <w:rsid w:val="00A51983"/>
    <w:rsid w:val="00A53C8B"/>
    <w:rsid w:val="00A578E8"/>
    <w:rsid w:val="00A60147"/>
    <w:rsid w:val="00A72754"/>
    <w:rsid w:val="00A80495"/>
    <w:rsid w:val="00A81293"/>
    <w:rsid w:val="00A81CA9"/>
    <w:rsid w:val="00A8394E"/>
    <w:rsid w:val="00A87D19"/>
    <w:rsid w:val="00A949F5"/>
    <w:rsid w:val="00AA654F"/>
    <w:rsid w:val="00AC3ED5"/>
    <w:rsid w:val="00AC6422"/>
    <w:rsid w:val="00AC6ED3"/>
    <w:rsid w:val="00AE133E"/>
    <w:rsid w:val="00AF3FF4"/>
    <w:rsid w:val="00B01DBA"/>
    <w:rsid w:val="00B03BCB"/>
    <w:rsid w:val="00B11CC8"/>
    <w:rsid w:val="00B20872"/>
    <w:rsid w:val="00B219FE"/>
    <w:rsid w:val="00B27E7D"/>
    <w:rsid w:val="00B46B9A"/>
    <w:rsid w:val="00B70156"/>
    <w:rsid w:val="00B82BCB"/>
    <w:rsid w:val="00B85F57"/>
    <w:rsid w:val="00B86CE9"/>
    <w:rsid w:val="00B93B42"/>
    <w:rsid w:val="00BA29E7"/>
    <w:rsid w:val="00BA38A6"/>
    <w:rsid w:val="00BB2216"/>
    <w:rsid w:val="00BB5ED4"/>
    <w:rsid w:val="00BD2E24"/>
    <w:rsid w:val="00BE3C04"/>
    <w:rsid w:val="00BE631B"/>
    <w:rsid w:val="00BF06BA"/>
    <w:rsid w:val="00BF5EA8"/>
    <w:rsid w:val="00C05840"/>
    <w:rsid w:val="00C1016F"/>
    <w:rsid w:val="00C24101"/>
    <w:rsid w:val="00C341A0"/>
    <w:rsid w:val="00C35230"/>
    <w:rsid w:val="00C46D65"/>
    <w:rsid w:val="00C51969"/>
    <w:rsid w:val="00C724FF"/>
    <w:rsid w:val="00C76C35"/>
    <w:rsid w:val="00C90D1B"/>
    <w:rsid w:val="00C954C5"/>
    <w:rsid w:val="00CA418A"/>
    <w:rsid w:val="00CA63D3"/>
    <w:rsid w:val="00CB0DB2"/>
    <w:rsid w:val="00CB215C"/>
    <w:rsid w:val="00CB247C"/>
    <w:rsid w:val="00CB264A"/>
    <w:rsid w:val="00CC2F3E"/>
    <w:rsid w:val="00CD3758"/>
    <w:rsid w:val="00CD6FD5"/>
    <w:rsid w:val="00CE0DDA"/>
    <w:rsid w:val="00CF649C"/>
    <w:rsid w:val="00CF70B3"/>
    <w:rsid w:val="00D20198"/>
    <w:rsid w:val="00D21C7F"/>
    <w:rsid w:val="00D25CF2"/>
    <w:rsid w:val="00D34A63"/>
    <w:rsid w:val="00D3788E"/>
    <w:rsid w:val="00D42017"/>
    <w:rsid w:val="00D524B7"/>
    <w:rsid w:val="00D71096"/>
    <w:rsid w:val="00D73FA3"/>
    <w:rsid w:val="00D8293D"/>
    <w:rsid w:val="00D864DE"/>
    <w:rsid w:val="00D90CB1"/>
    <w:rsid w:val="00D91ABE"/>
    <w:rsid w:val="00D94098"/>
    <w:rsid w:val="00D94F01"/>
    <w:rsid w:val="00DA10D2"/>
    <w:rsid w:val="00DB69CE"/>
    <w:rsid w:val="00DC237D"/>
    <w:rsid w:val="00DC6B41"/>
    <w:rsid w:val="00DD1D62"/>
    <w:rsid w:val="00DD2224"/>
    <w:rsid w:val="00DE4D61"/>
    <w:rsid w:val="00E1398B"/>
    <w:rsid w:val="00E366B0"/>
    <w:rsid w:val="00E433D1"/>
    <w:rsid w:val="00E4626B"/>
    <w:rsid w:val="00E55DBA"/>
    <w:rsid w:val="00E62CC5"/>
    <w:rsid w:val="00E701DB"/>
    <w:rsid w:val="00E767A4"/>
    <w:rsid w:val="00E76D12"/>
    <w:rsid w:val="00E8593E"/>
    <w:rsid w:val="00E9504B"/>
    <w:rsid w:val="00E9671A"/>
    <w:rsid w:val="00EA380D"/>
    <w:rsid w:val="00EB01A4"/>
    <w:rsid w:val="00ED39A4"/>
    <w:rsid w:val="00EE600F"/>
    <w:rsid w:val="00EF2287"/>
    <w:rsid w:val="00F00334"/>
    <w:rsid w:val="00F06675"/>
    <w:rsid w:val="00F070AD"/>
    <w:rsid w:val="00F13029"/>
    <w:rsid w:val="00F27398"/>
    <w:rsid w:val="00F30AF4"/>
    <w:rsid w:val="00F316A1"/>
    <w:rsid w:val="00F378F8"/>
    <w:rsid w:val="00F43972"/>
    <w:rsid w:val="00F505F8"/>
    <w:rsid w:val="00F552BE"/>
    <w:rsid w:val="00F6288F"/>
    <w:rsid w:val="00F74CC6"/>
    <w:rsid w:val="00F77FDE"/>
    <w:rsid w:val="00F87080"/>
    <w:rsid w:val="00F91475"/>
    <w:rsid w:val="00F9197D"/>
    <w:rsid w:val="00FB78D6"/>
    <w:rsid w:val="00FC0BE4"/>
    <w:rsid w:val="00FC6093"/>
    <w:rsid w:val="00FD6397"/>
    <w:rsid w:val="00FE2988"/>
    <w:rsid w:val="00FF6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ﾍ｣ﾓ ﾃｯ"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9A4"/>
    <w:rPr>
      <w:rFonts w:eastAsia="･ﾒ･鬣ｮ･ﾎｽﾇ･ｴ Pro W3"/>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uiPriority w:val="99"/>
    <w:rsid w:val="00ED39A4"/>
    <w:rPr>
      <w:rFonts w:eastAsia="･ﾒ･鬣ｮ･ﾎｽﾇ･ｴ Pro W3"/>
      <w:color w:val="000000"/>
      <w:sz w:val="24"/>
      <w:szCs w:val="24"/>
      <w:lang w:eastAsia="en-US"/>
    </w:rPr>
  </w:style>
  <w:style w:type="paragraph" w:customStyle="1" w:styleId="Authors">
    <w:name w:val="Authors"/>
    <w:next w:val="Normal"/>
    <w:uiPriority w:val="99"/>
    <w:rsid w:val="00ED39A4"/>
    <w:pPr>
      <w:tabs>
        <w:tab w:val="left" w:pos="284"/>
      </w:tabs>
      <w:spacing w:before="80"/>
      <w:jc w:val="center"/>
    </w:pPr>
    <w:rPr>
      <w:rFonts w:eastAsia="･ﾒ･鬣ｮ･ﾎｽﾇ･ｴ Pro W3"/>
      <w:color w:val="000000"/>
      <w:sz w:val="24"/>
      <w:szCs w:val="24"/>
      <w:lang w:val="en-GB" w:eastAsia="en-US"/>
    </w:rPr>
  </w:style>
  <w:style w:type="paragraph" w:customStyle="1" w:styleId="Affiliation">
    <w:name w:val="Affiliation"/>
    <w:next w:val="Normal"/>
    <w:uiPriority w:val="99"/>
    <w:rsid w:val="00ED39A4"/>
    <w:pPr>
      <w:tabs>
        <w:tab w:val="left" w:pos="284"/>
      </w:tabs>
      <w:spacing w:before="80"/>
      <w:jc w:val="center"/>
    </w:pPr>
    <w:rPr>
      <w:rFonts w:ascii="Times New Roman Italic" w:eastAsia="･ﾒ･鬣ｮ･ﾎｽﾇ･ｴ Pro W3" w:hAnsi="Times New Roman Italic"/>
      <w:color w:val="000000"/>
      <w:sz w:val="24"/>
      <w:szCs w:val="24"/>
      <w:lang w:val="en-GB" w:eastAsia="en-US"/>
    </w:rPr>
  </w:style>
  <w:style w:type="character" w:styleId="Hyperlink">
    <w:name w:val="Hyperlink"/>
    <w:uiPriority w:val="99"/>
    <w:rsid w:val="00ED39A4"/>
    <w:rPr>
      <w:rFonts w:cs="Times New Roman"/>
      <w:color w:val="0000FF"/>
      <w:u w:val="single"/>
    </w:rPr>
  </w:style>
  <w:style w:type="paragraph" w:customStyle="1" w:styleId="Textbody">
    <w:name w:val="Textbody"/>
    <w:basedOn w:val="Normal"/>
    <w:uiPriority w:val="99"/>
    <w:rsid w:val="00ED39A4"/>
    <w:pPr>
      <w:ind w:firstLine="425"/>
      <w:jc w:val="both"/>
    </w:pPr>
    <w:rPr>
      <w:rFonts w:eastAsia="｣ﾍ｣ﾓ ﾃｯ"/>
      <w:color w:val="auto"/>
      <w:sz w:val="20"/>
    </w:rPr>
  </w:style>
  <w:style w:type="character" w:styleId="CommentReference">
    <w:name w:val="annotation reference"/>
    <w:uiPriority w:val="99"/>
    <w:rsid w:val="00ED39A4"/>
    <w:rPr>
      <w:rFonts w:cs="Times New Roman"/>
      <w:sz w:val="18"/>
      <w:szCs w:val="18"/>
    </w:rPr>
  </w:style>
  <w:style w:type="paragraph" w:styleId="CommentText">
    <w:name w:val="annotation text"/>
    <w:basedOn w:val="Normal"/>
    <w:link w:val="CommentTextChar"/>
    <w:uiPriority w:val="99"/>
    <w:rsid w:val="00ED39A4"/>
  </w:style>
  <w:style w:type="character" w:customStyle="1" w:styleId="CommentTextChar">
    <w:name w:val="Comment Text Char"/>
    <w:link w:val="CommentText"/>
    <w:uiPriority w:val="99"/>
    <w:locked/>
    <w:rsid w:val="00ED39A4"/>
    <w:rPr>
      <w:rFonts w:eastAsia="･ﾒ･鬣ｮ･ﾎｽﾇ･ｴ Pro W3" w:cs="Times New Roman"/>
      <w:color w:val="000000"/>
      <w:sz w:val="24"/>
      <w:szCs w:val="24"/>
      <w:lang w:eastAsia="en-US"/>
    </w:rPr>
  </w:style>
  <w:style w:type="paragraph" w:styleId="BalloonText">
    <w:name w:val="Balloon Text"/>
    <w:basedOn w:val="Normal"/>
    <w:link w:val="BalloonTextChar"/>
    <w:uiPriority w:val="99"/>
    <w:semiHidden/>
    <w:rsid w:val="00ED39A4"/>
    <w:rPr>
      <w:rFonts w:ascii="Lucida Grande" w:hAnsi="Lucida Grande" w:cs="Lucida Grande"/>
      <w:sz w:val="18"/>
      <w:szCs w:val="18"/>
    </w:rPr>
  </w:style>
  <w:style w:type="character" w:customStyle="1" w:styleId="BalloonTextChar">
    <w:name w:val="Balloon Text Char"/>
    <w:link w:val="BalloonText"/>
    <w:uiPriority w:val="99"/>
    <w:semiHidden/>
    <w:locked/>
    <w:rsid w:val="00ED39A4"/>
    <w:rPr>
      <w:rFonts w:ascii="Lucida Grande" w:eastAsia="･ﾒ･鬣ｮ･ﾎｽﾇ･ｴ Pro W3" w:hAnsi="Lucida Grande" w:cs="Lucida Grande"/>
      <w:color w:val="000000"/>
      <w:sz w:val="18"/>
      <w:szCs w:val="18"/>
      <w:lang w:eastAsia="en-US"/>
    </w:rPr>
  </w:style>
  <w:style w:type="paragraph" w:styleId="Footer">
    <w:name w:val="footer"/>
    <w:basedOn w:val="Normal"/>
    <w:link w:val="FooterChar"/>
    <w:uiPriority w:val="99"/>
    <w:rsid w:val="00787741"/>
    <w:pPr>
      <w:tabs>
        <w:tab w:val="center" w:pos="4153"/>
        <w:tab w:val="right" w:pos="8306"/>
      </w:tabs>
    </w:pPr>
  </w:style>
  <w:style w:type="character" w:customStyle="1" w:styleId="FooterChar">
    <w:name w:val="Footer Char"/>
    <w:link w:val="Footer"/>
    <w:uiPriority w:val="99"/>
    <w:locked/>
    <w:rsid w:val="00787741"/>
    <w:rPr>
      <w:rFonts w:eastAsia="･ﾒ･鬣ｮ･ﾎｽﾇ･ｴ Pro W3" w:cs="Times New Roman"/>
      <w:color w:val="000000"/>
      <w:sz w:val="24"/>
      <w:szCs w:val="24"/>
      <w:lang w:eastAsia="en-US"/>
    </w:rPr>
  </w:style>
  <w:style w:type="character" w:styleId="PageNumber">
    <w:name w:val="page number"/>
    <w:uiPriority w:val="99"/>
    <w:semiHidden/>
    <w:rsid w:val="00787741"/>
    <w:rPr>
      <w:rFonts w:cs="Times New Roman"/>
    </w:rPr>
  </w:style>
  <w:style w:type="character" w:styleId="LineNumber">
    <w:name w:val="line number"/>
    <w:uiPriority w:val="99"/>
    <w:semiHidden/>
    <w:rsid w:val="00787741"/>
    <w:rPr>
      <w:rFonts w:cs="Times New Roman"/>
    </w:rPr>
  </w:style>
  <w:style w:type="paragraph" w:customStyle="1" w:styleId="Reviewer2">
    <w:name w:val="Reviewer 2"/>
    <w:uiPriority w:val="99"/>
    <w:rsid w:val="00787741"/>
    <w:pPr>
      <w:spacing w:line="360" w:lineRule="auto"/>
    </w:pPr>
    <w:rPr>
      <w:rFonts w:eastAsia="･ﾒ･鬣ｮ･ﾎｽﾇ･ｴ Pro W3"/>
      <w:color w:val="25903C"/>
      <w:sz w:val="24"/>
      <w:szCs w:val="24"/>
      <w:lang w:eastAsia="en-US"/>
    </w:rPr>
  </w:style>
  <w:style w:type="paragraph" w:customStyle="1" w:styleId="Reviewer11">
    <w:name w:val="Reviewer 11"/>
    <w:uiPriority w:val="99"/>
    <w:rsid w:val="00787741"/>
    <w:pPr>
      <w:spacing w:line="360" w:lineRule="auto"/>
    </w:pPr>
    <w:rPr>
      <w:rFonts w:eastAsia="･ﾒ･鬣ｮ･ﾎｽﾇ･ｴ Pro W3"/>
      <w:color w:val="0000FF"/>
      <w:sz w:val="24"/>
      <w:szCs w:val="24"/>
      <w:lang w:eastAsia="en-US"/>
    </w:rPr>
  </w:style>
  <w:style w:type="paragraph" w:customStyle="1" w:styleId="FreeForm">
    <w:name w:val="Free Form"/>
    <w:uiPriority w:val="99"/>
    <w:rsid w:val="00787741"/>
    <w:rPr>
      <w:rFonts w:eastAsia="･ﾒ･鬣ｮ･ﾎｽﾇ･ｴ Pro W3"/>
      <w:color w:val="000000"/>
      <w:sz w:val="24"/>
      <w:szCs w:val="24"/>
      <w:lang w:eastAsia="en-US"/>
    </w:rPr>
  </w:style>
  <w:style w:type="paragraph" w:customStyle="1" w:styleId="SenteBibliography">
    <w:name w:val="SenteBibliography"/>
    <w:uiPriority w:val="99"/>
    <w:rsid w:val="00787741"/>
    <w:rPr>
      <w:rFonts w:eastAsia="･ﾒ･鬣ｮ･ﾎｽﾇ･ｴ Pro W3"/>
      <w:color w:val="000000"/>
      <w:sz w:val="24"/>
      <w:szCs w:val="24"/>
      <w:lang w:val="en-GB" w:eastAsia="en-US"/>
    </w:rPr>
  </w:style>
  <w:style w:type="paragraph" w:styleId="CommentSubject">
    <w:name w:val="annotation subject"/>
    <w:basedOn w:val="CommentText"/>
    <w:next w:val="CommentText"/>
    <w:link w:val="CommentSubjectChar"/>
    <w:uiPriority w:val="99"/>
    <w:semiHidden/>
    <w:rsid w:val="009208A0"/>
    <w:rPr>
      <w:b/>
      <w:bCs/>
      <w:sz w:val="20"/>
      <w:szCs w:val="20"/>
    </w:rPr>
  </w:style>
  <w:style w:type="character" w:customStyle="1" w:styleId="CommentSubjectChar">
    <w:name w:val="Comment Subject Char"/>
    <w:link w:val="CommentSubject"/>
    <w:uiPriority w:val="99"/>
    <w:semiHidden/>
    <w:locked/>
    <w:rsid w:val="009208A0"/>
    <w:rPr>
      <w:rFonts w:eastAsia="･ﾒ･鬣ｮ･ﾎｽﾇ･ｴ Pro W3" w:cs="Times New Roman"/>
      <w:b/>
      <w:bCs/>
      <w:color w:val="000000"/>
      <w:sz w:val="24"/>
      <w:szCs w:val="24"/>
      <w:lang w:eastAsia="en-US"/>
    </w:rPr>
  </w:style>
  <w:style w:type="paragraph" w:styleId="Revision">
    <w:name w:val="Revision"/>
    <w:hidden/>
    <w:uiPriority w:val="99"/>
    <w:semiHidden/>
    <w:rsid w:val="00D94F01"/>
    <w:rPr>
      <w:rFonts w:eastAsia="･ﾒ･鬣ｮ･ﾎｽﾇ･ｴ Pro W3"/>
      <w:color w:val="000000"/>
      <w:sz w:val="24"/>
      <w:szCs w:val="24"/>
      <w:lang w:eastAsia="en-US"/>
    </w:rPr>
  </w:style>
  <w:style w:type="paragraph" w:styleId="NormalWeb">
    <w:name w:val="Normal (Web)"/>
    <w:basedOn w:val="Normal"/>
    <w:uiPriority w:val="99"/>
    <w:rsid w:val="007E3746"/>
    <w:pPr>
      <w:spacing w:before="100" w:beforeAutospacing="1" w:after="100" w:afterAutospacing="1"/>
    </w:pPr>
    <w:rPr>
      <w:rFonts w:ascii="Times" w:eastAsia="｣ﾍ｣ﾓ ﾃｯ" w:hAnsi="Times"/>
      <w:color w:val="auto"/>
      <w:sz w:val="20"/>
      <w:szCs w:val="20"/>
      <w:lang w:val="de-CH"/>
    </w:rPr>
  </w:style>
  <w:style w:type="character" w:customStyle="1" w:styleId="apple-converted-space">
    <w:name w:val="apple-converted-space"/>
    <w:uiPriority w:val="99"/>
    <w:rsid w:val="00911816"/>
    <w:rPr>
      <w:rFonts w:cs="Times New Roman"/>
    </w:rPr>
  </w:style>
  <w:style w:type="character" w:styleId="Emphasis">
    <w:name w:val="Emphasis"/>
    <w:qFormat/>
    <w:locked/>
    <w:rsid w:val="00911816"/>
    <w:rPr>
      <w:rFonts w:cs="Times New Roman"/>
      <w:i/>
      <w:iCs/>
    </w:rPr>
  </w:style>
  <w:style w:type="character" w:customStyle="1" w:styleId="labellist">
    <w:name w:val="label_list"/>
    <w:uiPriority w:val="99"/>
    <w:rsid w:val="002A2A36"/>
    <w:rPr>
      <w:rFonts w:cs="Times New Roman"/>
    </w:rPr>
  </w:style>
  <w:style w:type="paragraph" w:styleId="Header">
    <w:name w:val="header"/>
    <w:basedOn w:val="Normal"/>
    <w:link w:val="HeaderChar"/>
    <w:uiPriority w:val="99"/>
    <w:unhideWhenUsed/>
    <w:rsid w:val="00DB69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DB69CE"/>
    <w:rPr>
      <w:rFonts w:eastAsia="･ﾒ･鬣ｮ･ﾎｽﾇ･ｴ Pro W3"/>
      <w:color w:val="000000"/>
      <w:kern w:val="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ﾍ｣ﾓ ﾃｯ"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9A4"/>
    <w:rPr>
      <w:rFonts w:eastAsia="･ﾒ･鬣ｮ･ﾎｽﾇ･ｴ Pro W3"/>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uiPriority w:val="99"/>
    <w:rsid w:val="00ED39A4"/>
    <w:rPr>
      <w:rFonts w:eastAsia="･ﾒ･鬣ｮ･ﾎｽﾇ･ｴ Pro W3"/>
      <w:color w:val="000000"/>
      <w:sz w:val="24"/>
      <w:szCs w:val="24"/>
      <w:lang w:eastAsia="en-US"/>
    </w:rPr>
  </w:style>
  <w:style w:type="paragraph" w:customStyle="1" w:styleId="Authors">
    <w:name w:val="Authors"/>
    <w:next w:val="Normal"/>
    <w:uiPriority w:val="99"/>
    <w:rsid w:val="00ED39A4"/>
    <w:pPr>
      <w:tabs>
        <w:tab w:val="left" w:pos="284"/>
      </w:tabs>
      <w:spacing w:before="80"/>
      <w:jc w:val="center"/>
    </w:pPr>
    <w:rPr>
      <w:rFonts w:eastAsia="･ﾒ･鬣ｮ･ﾎｽﾇ･ｴ Pro W3"/>
      <w:color w:val="000000"/>
      <w:sz w:val="24"/>
      <w:szCs w:val="24"/>
      <w:lang w:val="en-GB" w:eastAsia="en-US"/>
    </w:rPr>
  </w:style>
  <w:style w:type="paragraph" w:customStyle="1" w:styleId="Affiliation">
    <w:name w:val="Affiliation"/>
    <w:next w:val="Normal"/>
    <w:uiPriority w:val="99"/>
    <w:rsid w:val="00ED39A4"/>
    <w:pPr>
      <w:tabs>
        <w:tab w:val="left" w:pos="284"/>
      </w:tabs>
      <w:spacing w:before="80"/>
      <w:jc w:val="center"/>
    </w:pPr>
    <w:rPr>
      <w:rFonts w:ascii="Times New Roman Italic" w:eastAsia="･ﾒ･鬣ｮ･ﾎｽﾇ･ｴ Pro W3" w:hAnsi="Times New Roman Italic"/>
      <w:color w:val="000000"/>
      <w:sz w:val="24"/>
      <w:szCs w:val="24"/>
      <w:lang w:val="en-GB" w:eastAsia="en-US"/>
    </w:rPr>
  </w:style>
  <w:style w:type="character" w:styleId="Hyperlink">
    <w:name w:val="Hyperlink"/>
    <w:uiPriority w:val="99"/>
    <w:rsid w:val="00ED39A4"/>
    <w:rPr>
      <w:rFonts w:cs="Times New Roman"/>
      <w:color w:val="0000FF"/>
      <w:u w:val="single"/>
    </w:rPr>
  </w:style>
  <w:style w:type="paragraph" w:customStyle="1" w:styleId="Textbody">
    <w:name w:val="Textbody"/>
    <w:basedOn w:val="Normal"/>
    <w:uiPriority w:val="99"/>
    <w:rsid w:val="00ED39A4"/>
    <w:pPr>
      <w:ind w:firstLine="425"/>
      <w:jc w:val="both"/>
    </w:pPr>
    <w:rPr>
      <w:rFonts w:eastAsia="｣ﾍ｣ﾓ ﾃｯ"/>
      <w:color w:val="auto"/>
      <w:sz w:val="20"/>
    </w:rPr>
  </w:style>
  <w:style w:type="character" w:styleId="CommentReference">
    <w:name w:val="annotation reference"/>
    <w:uiPriority w:val="99"/>
    <w:rsid w:val="00ED39A4"/>
    <w:rPr>
      <w:rFonts w:cs="Times New Roman"/>
      <w:sz w:val="18"/>
      <w:szCs w:val="18"/>
    </w:rPr>
  </w:style>
  <w:style w:type="paragraph" w:styleId="CommentText">
    <w:name w:val="annotation text"/>
    <w:basedOn w:val="Normal"/>
    <w:link w:val="CommentTextChar"/>
    <w:uiPriority w:val="99"/>
    <w:rsid w:val="00ED39A4"/>
  </w:style>
  <w:style w:type="character" w:customStyle="1" w:styleId="CommentTextChar">
    <w:name w:val="Comment Text Char"/>
    <w:link w:val="CommentText"/>
    <w:uiPriority w:val="99"/>
    <w:locked/>
    <w:rsid w:val="00ED39A4"/>
    <w:rPr>
      <w:rFonts w:eastAsia="･ﾒ･鬣ｮ･ﾎｽﾇ･ｴ Pro W3" w:cs="Times New Roman"/>
      <w:color w:val="000000"/>
      <w:sz w:val="24"/>
      <w:szCs w:val="24"/>
      <w:lang w:eastAsia="en-US"/>
    </w:rPr>
  </w:style>
  <w:style w:type="paragraph" w:styleId="BalloonText">
    <w:name w:val="Balloon Text"/>
    <w:basedOn w:val="Normal"/>
    <w:link w:val="BalloonTextChar"/>
    <w:uiPriority w:val="99"/>
    <w:semiHidden/>
    <w:rsid w:val="00ED39A4"/>
    <w:rPr>
      <w:rFonts w:ascii="Lucida Grande" w:hAnsi="Lucida Grande" w:cs="Lucida Grande"/>
      <w:sz w:val="18"/>
      <w:szCs w:val="18"/>
    </w:rPr>
  </w:style>
  <w:style w:type="character" w:customStyle="1" w:styleId="BalloonTextChar">
    <w:name w:val="Balloon Text Char"/>
    <w:link w:val="BalloonText"/>
    <w:uiPriority w:val="99"/>
    <w:semiHidden/>
    <w:locked/>
    <w:rsid w:val="00ED39A4"/>
    <w:rPr>
      <w:rFonts w:ascii="Lucida Grande" w:eastAsia="･ﾒ･鬣ｮ･ﾎｽﾇ･ｴ Pro W3" w:hAnsi="Lucida Grande" w:cs="Lucida Grande"/>
      <w:color w:val="000000"/>
      <w:sz w:val="18"/>
      <w:szCs w:val="18"/>
      <w:lang w:eastAsia="en-US"/>
    </w:rPr>
  </w:style>
  <w:style w:type="paragraph" w:styleId="Footer">
    <w:name w:val="footer"/>
    <w:basedOn w:val="Normal"/>
    <w:link w:val="FooterChar"/>
    <w:uiPriority w:val="99"/>
    <w:rsid w:val="00787741"/>
    <w:pPr>
      <w:tabs>
        <w:tab w:val="center" w:pos="4153"/>
        <w:tab w:val="right" w:pos="8306"/>
      </w:tabs>
    </w:pPr>
  </w:style>
  <w:style w:type="character" w:customStyle="1" w:styleId="FooterChar">
    <w:name w:val="Footer Char"/>
    <w:link w:val="Footer"/>
    <w:uiPriority w:val="99"/>
    <w:locked/>
    <w:rsid w:val="00787741"/>
    <w:rPr>
      <w:rFonts w:eastAsia="･ﾒ･鬣ｮ･ﾎｽﾇ･ｴ Pro W3" w:cs="Times New Roman"/>
      <w:color w:val="000000"/>
      <w:sz w:val="24"/>
      <w:szCs w:val="24"/>
      <w:lang w:eastAsia="en-US"/>
    </w:rPr>
  </w:style>
  <w:style w:type="character" w:styleId="PageNumber">
    <w:name w:val="page number"/>
    <w:uiPriority w:val="99"/>
    <w:semiHidden/>
    <w:rsid w:val="00787741"/>
    <w:rPr>
      <w:rFonts w:cs="Times New Roman"/>
    </w:rPr>
  </w:style>
  <w:style w:type="character" w:styleId="LineNumber">
    <w:name w:val="line number"/>
    <w:uiPriority w:val="99"/>
    <w:semiHidden/>
    <w:rsid w:val="00787741"/>
    <w:rPr>
      <w:rFonts w:cs="Times New Roman"/>
    </w:rPr>
  </w:style>
  <w:style w:type="paragraph" w:customStyle="1" w:styleId="Reviewer2">
    <w:name w:val="Reviewer 2"/>
    <w:uiPriority w:val="99"/>
    <w:rsid w:val="00787741"/>
    <w:pPr>
      <w:spacing w:line="360" w:lineRule="auto"/>
    </w:pPr>
    <w:rPr>
      <w:rFonts w:eastAsia="･ﾒ･鬣ｮ･ﾎｽﾇ･ｴ Pro W3"/>
      <w:color w:val="25903C"/>
      <w:sz w:val="24"/>
      <w:szCs w:val="24"/>
      <w:lang w:eastAsia="en-US"/>
    </w:rPr>
  </w:style>
  <w:style w:type="paragraph" w:customStyle="1" w:styleId="Reviewer11">
    <w:name w:val="Reviewer 11"/>
    <w:uiPriority w:val="99"/>
    <w:rsid w:val="00787741"/>
    <w:pPr>
      <w:spacing w:line="360" w:lineRule="auto"/>
    </w:pPr>
    <w:rPr>
      <w:rFonts w:eastAsia="･ﾒ･鬣ｮ･ﾎｽﾇ･ｴ Pro W3"/>
      <w:color w:val="0000FF"/>
      <w:sz w:val="24"/>
      <w:szCs w:val="24"/>
      <w:lang w:eastAsia="en-US"/>
    </w:rPr>
  </w:style>
  <w:style w:type="paragraph" w:customStyle="1" w:styleId="FreeForm">
    <w:name w:val="Free Form"/>
    <w:uiPriority w:val="99"/>
    <w:rsid w:val="00787741"/>
    <w:rPr>
      <w:rFonts w:eastAsia="･ﾒ･鬣ｮ･ﾎｽﾇ･ｴ Pro W3"/>
      <w:color w:val="000000"/>
      <w:sz w:val="24"/>
      <w:szCs w:val="24"/>
      <w:lang w:eastAsia="en-US"/>
    </w:rPr>
  </w:style>
  <w:style w:type="paragraph" w:customStyle="1" w:styleId="SenteBibliography">
    <w:name w:val="SenteBibliography"/>
    <w:uiPriority w:val="99"/>
    <w:rsid w:val="00787741"/>
    <w:rPr>
      <w:rFonts w:eastAsia="･ﾒ･鬣ｮ･ﾎｽﾇ･ｴ Pro W3"/>
      <w:color w:val="000000"/>
      <w:sz w:val="24"/>
      <w:szCs w:val="24"/>
      <w:lang w:val="en-GB" w:eastAsia="en-US"/>
    </w:rPr>
  </w:style>
  <w:style w:type="paragraph" w:styleId="CommentSubject">
    <w:name w:val="annotation subject"/>
    <w:basedOn w:val="CommentText"/>
    <w:next w:val="CommentText"/>
    <w:link w:val="CommentSubjectChar"/>
    <w:uiPriority w:val="99"/>
    <w:semiHidden/>
    <w:rsid w:val="009208A0"/>
    <w:rPr>
      <w:b/>
      <w:bCs/>
      <w:sz w:val="20"/>
      <w:szCs w:val="20"/>
    </w:rPr>
  </w:style>
  <w:style w:type="character" w:customStyle="1" w:styleId="CommentSubjectChar">
    <w:name w:val="Comment Subject Char"/>
    <w:link w:val="CommentSubject"/>
    <w:uiPriority w:val="99"/>
    <w:semiHidden/>
    <w:locked/>
    <w:rsid w:val="009208A0"/>
    <w:rPr>
      <w:rFonts w:eastAsia="･ﾒ･鬣ｮ･ﾎｽﾇ･ｴ Pro W3" w:cs="Times New Roman"/>
      <w:b/>
      <w:bCs/>
      <w:color w:val="000000"/>
      <w:sz w:val="24"/>
      <w:szCs w:val="24"/>
      <w:lang w:eastAsia="en-US"/>
    </w:rPr>
  </w:style>
  <w:style w:type="paragraph" w:styleId="Revision">
    <w:name w:val="Revision"/>
    <w:hidden/>
    <w:uiPriority w:val="99"/>
    <w:semiHidden/>
    <w:rsid w:val="00D94F01"/>
    <w:rPr>
      <w:rFonts w:eastAsia="･ﾒ･鬣ｮ･ﾎｽﾇ･ｴ Pro W3"/>
      <w:color w:val="000000"/>
      <w:sz w:val="24"/>
      <w:szCs w:val="24"/>
      <w:lang w:eastAsia="en-US"/>
    </w:rPr>
  </w:style>
  <w:style w:type="paragraph" w:styleId="NormalWeb">
    <w:name w:val="Normal (Web)"/>
    <w:basedOn w:val="Normal"/>
    <w:uiPriority w:val="99"/>
    <w:rsid w:val="007E3746"/>
    <w:pPr>
      <w:spacing w:before="100" w:beforeAutospacing="1" w:after="100" w:afterAutospacing="1"/>
    </w:pPr>
    <w:rPr>
      <w:rFonts w:ascii="Times" w:eastAsia="｣ﾍ｣ﾓ ﾃｯ" w:hAnsi="Times"/>
      <w:color w:val="auto"/>
      <w:sz w:val="20"/>
      <w:szCs w:val="20"/>
      <w:lang w:val="de-CH"/>
    </w:rPr>
  </w:style>
  <w:style w:type="character" w:customStyle="1" w:styleId="apple-converted-space">
    <w:name w:val="apple-converted-space"/>
    <w:uiPriority w:val="99"/>
    <w:rsid w:val="00911816"/>
    <w:rPr>
      <w:rFonts w:cs="Times New Roman"/>
    </w:rPr>
  </w:style>
  <w:style w:type="character" w:styleId="Emphasis">
    <w:name w:val="Emphasis"/>
    <w:qFormat/>
    <w:locked/>
    <w:rsid w:val="00911816"/>
    <w:rPr>
      <w:rFonts w:cs="Times New Roman"/>
      <w:i/>
      <w:iCs/>
    </w:rPr>
  </w:style>
  <w:style w:type="character" w:customStyle="1" w:styleId="labellist">
    <w:name w:val="label_list"/>
    <w:uiPriority w:val="99"/>
    <w:rsid w:val="002A2A36"/>
    <w:rPr>
      <w:rFonts w:cs="Times New Roman"/>
    </w:rPr>
  </w:style>
  <w:style w:type="paragraph" w:styleId="Header">
    <w:name w:val="header"/>
    <w:basedOn w:val="Normal"/>
    <w:link w:val="HeaderChar"/>
    <w:uiPriority w:val="99"/>
    <w:unhideWhenUsed/>
    <w:rsid w:val="00DB69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DB69CE"/>
    <w:rPr>
      <w:rFonts w:eastAsia="･ﾒ･鬣ｮ･ﾎｽﾇ･ｴ Pro W3"/>
      <w:color w:val="000000"/>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8432">
      <w:marLeft w:val="0"/>
      <w:marRight w:val="0"/>
      <w:marTop w:val="0"/>
      <w:marBottom w:val="0"/>
      <w:divBdr>
        <w:top w:val="none" w:sz="0" w:space="0" w:color="auto"/>
        <w:left w:val="none" w:sz="0" w:space="0" w:color="auto"/>
        <w:bottom w:val="none" w:sz="0" w:space="0" w:color="auto"/>
        <w:right w:val="none" w:sz="0" w:space="0" w:color="auto"/>
      </w:divBdr>
    </w:div>
    <w:div w:id="480738436">
      <w:marLeft w:val="0"/>
      <w:marRight w:val="0"/>
      <w:marTop w:val="0"/>
      <w:marBottom w:val="0"/>
      <w:divBdr>
        <w:top w:val="none" w:sz="0" w:space="0" w:color="auto"/>
        <w:left w:val="none" w:sz="0" w:space="0" w:color="auto"/>
        <w:bottom w:val="none" w:sz="0" w:space="0" w:color="auto"/>
        <w:right w:val="none" w:sz="0" w:space="0" w:color="auto"/>
      </w:divBdr>
      <w:divsChild>
        <w:div w:id="480738457">
          <w:marLeft w:val="0"/>
          <w:marRight w:val="0"/>
          <w:marTop w:val="0"/>
          <w:marBottom w:val="0"/>
          <w:divBdr>
            <w:top w:val="none" w:sz="0" w:space="0" w:color="auto"/>
            <w:left w:val="none" w:sz="0" w:space="0" w:color="auto"/>
            <w:bottom w:val="none" w:sz="0" w:space="0" w:color="auto"/>
            <w:right w:val="none" w:sz="0" w:space="0" w:color="auto"/>
          </w:divBdr>
          <w:divsChild>
            <w:div w:id="480738435">
              <w:marLeft w:val="0"/>
              <w:marRight w:val="0"/>
              <w:marTop w:val="0"/>
              <w:marBottom w:val="0"/>
              <w:divBdr>
                <w:top w:val="none" w:sz="0" w:space="0" w:color="auto"/>
                <w:left w:val="none" w:sz="0" w:space="0" w:color="auto"/>
                <w:bottom w:val="none" w:sz="0" w:space="0" w:color="auto"/>
                <w:right w:val="none" w:sz="0" w:space="0" w:color="auto"/>
              </w:divBdr>
              <w:divsChild>
                <w:div w:id="480738445">
                  <w:marLeft w:val="0"/>
                  <w:marRight w:val="0"/>
                  <w:marTop w:val="0"/>
                  <w:marBottom w:val="0"/>
                  <w:divBdr>
                    <w:top w:val="none" w:sz="0" w:space="0" w:color="auto"/>
                    <w:left w:val="none" w:sz="0" w:space="0" w:color="auto"/>
                    <w:bottom w:val="none" w:sz="0" w:space="0" w:color="auto"/>
                    <w:right w:val="none" w:sz="0" w:space="0" w:color="auto"/>
                  </w:divBdr>
                  <w:divsChild>
                    <w:div w:id="4807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8439">
      <w:marLeft w:val="0"/>
      <w:marRight w:val="0"/>
      <w:marTop w:val="0"/>
      <w:marBottom w:val="0"/>
      <w:divBdr>
        <w:top w:val="none" w:sz="0" w:space="0" w:color="auto"/>
        <w:left w:val="none" w:sz="0" w:space="0" w:color="auto"/>
        <w:bottom w:val="none" w:sz="0" w:space="0" w:color="auto"/>
        <w:right w:val="none" w:sz="0" w:space="0" w:color="auto"/>
      </w:divBdr>
      <w:divsChild>
        <w:div w:id="480738455">
          <w:marLeft w:val="0"/>
          <w:marRight w:val="0"/>
          <w:marTop w:val="0"/>
          <w:marBottom w:val="0"/>
          <w:divBdr>
            <w:top w:val="none" w:sz="0" w:space="0" w:color="auto"/>
            <w:left w:val="none" w:sz="0" w:space="0" w:color="auto"/>
            <w:bottom w:val="none" w:sz="0" w:space="0" w:color="auto"/>
            <w:right w:val="none" w:sz="0" w:space="0" w:color="auto"/>
          </w:divBdr>
          <w:divsChild>
            <w:div w:id="480738440">
              <w:marLeft w:val="0"/>
              <w:marRight w:val="0"/>
              <w:marTop w:val="0"/>
              <w:marBottom w:val="0"/>
              <w:divBdr>
                <w:top w:val="none" w:sz="0" w:space="0" w:color="auto"/>
                <w:left w:val="none" w:sz="0" w:space="0" w:color="auto"/>
                <w:bottom w:val="none" w:sz="0" w:space="0" w:color="auto"/>
                <w:right w:val="none" w:sz="0" w:space="0" w:color="auto"/>
              </w:divBdr>
              <w:divsChild>
                <w:div w:id="480738451">
                  <w:marLeft w:val="0"/>
                  <w:marRight w:val="0"/>
                  <w:marTop w:val="0"/>
                  <w:marBottom w:val="0"/>
                  <w:divBdr>
                    <w:top w:val="none" w:sz="0" w:space="0" w:color="auto"/>
                    <w:left w:val="none" w:sz="0" w:space="0" w:color="auto"/>
                    <w:bottom w:val="none" w:sz="0" w:space="0" w:color="auto"/>
                    <w:right w:val="none" w:sz="0" w:space="0" w:color="auto"/>
                  </w:divBdr>
                  <w:divsChild>
                    <w:div w:id="4807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8442">
      <w:marLeft w:val="0"/>
      <w:marRight w:val="0"/>
      <w:marTop w:val="0"/>
      <w:marBottom w:val="0"/>
      <w:divBdr>
        <w:top w:val="none" w:sz="0" w:space="0" w:color="auto"/>
        <w:left w:val="none" w:sz="0" w:space="0" w:color="auto"/>
        <w:bottom w:val="none" w:sz="0" w:space="0" w:color="auto"/>
        <w:right w:val="none" w:sz="0" w:space="0" w:color="auto"/>
      </w:divBdr>
    </w:div>
    <w:div w:id="480738443">
      <w:marLeft w:val="0"/>
      <w:marRight w:val="0"/>
      <w:marTop w:val="0"/>
      <w:marBottom w:val="0"/>
      <w:divBdr>
        <w:top w:val="none" w:sz="0" w:space="0" w:color="auto"/>
        <w:left w:val="none" w:sz="0" w:space="0" w:color="auto"/>
        <w:bottom w:val="none" w:sz="0" w:space="0" w:color="auto"/>
        <w:right w:val="none" w:sz="0" w:space="0" w:color="auto"/>
      </w:divBdr>
    </w:div>
    <w:div w:id="480738447">
      <w:marLeft w:val="0"/>
      <w:marRight w:val="0"/>
      <w:marTop w:val="0"/>
      <w:marBottom w:val="0"/>
      <w:divBdr>
        <w:top w:val="none" w:sz="0" w:space="0" w:color="auto"/>
        <w:left w:val="none" w:sz="0" w:space="0" w:color="auto"/>
        <w:bottom w:val="none" w:sz="0" w:space="0" w:color="auto"/>
        <w:right w:val="none" w:sz="0" w:space="0" w:color="auto"/>
      </w:divBdr>
    </w:div>
    <w:div w:id="480738448">
      <w:marLeft w:val="0"/>
      <w:marRight w:val="0"/>
      <w:marTop w:val="0"/>
      <w:marBottom w:val="0"/>
      <w:divBdr>
        <w:top w:val="none" w:sz="0" w:space="0" w:color="auto"/>
        <w:left w:val="none" w:sz="0" w:space="0" w:color="auto"/>
        <w:bottom w:val="none" w:sz="0" w:space="0" w:color="auto"/>
        <w:right w:val="none" w:sz="0" w:space="0" w:color="auto"/>
      </w:divBdr>
    </w:div>
    <w:div w:id="480738449">
      <w:marLeft w:val="0"/>
      <w:marRight w:val="0"/>
      <w:marTop w:val="0"/>
      <w:marBottom w:val="0"/>
      <w:divBdr>
        <w:top w:val="none" w:sz="0" w:space="0" w:color="auto"/>
        <w:left w:val="none" w:sz="0" w:space="0" w:color="auto"/>
        <w:bottom w:val="none" w:sz="0" w:space="0" w:color="auto"/>
        <w:right w:val="none" w:sz="0" w:space="0" w:color="auto"/>
      </w:divBdr>
    </w:div>
    <w:div w:id="480738452">
      <w:marLeft w:val="0"/>
      <w:marRight w:val="0"/>
      <w:marTop w:val="0"/>
      <w:marBottom w:val="0"/>
      <w:divBdr>
        <w:top w:val="none" w:sz="0" w:space="0" w:color="auto"/>
        <w:left w:val="none" w:sz="0" w:space="0" w:color="auto"/>
        <w:bottom w:val="none" w:sz="0" w:space="0" w:color="auto"/>
        <w:right w:val="none" w:sz="0" w:space="0" w:color="auto"/>
      </w:divBdr>
      <w:divsChild>
        <w:div w:id="480738441">
          <w:marLeft w:val="0"/>
          <w:marRight w:val="0"/>
          <w:marTop w:val="0"/>
          <w:marBottom w:val="0"/>
          <w:divBdr>
            <w:top w:val="none" w:sz="0" w:space="0" w:color="auto"/>
            <w:left w:val="none" w:sz="0" w:space="0" w:color="auto"/>
            <w:bottom w:val="none" w:sz="0" w:space="0" w:color="auto"/>
            <w:right w:val="none" w:sz="0" w:space="0" w:color="auto"/>
          </w:divBdr>
          <w:divsChild>
            <w:div w:id="480738446">
              <w:marLeft w:val="0"/>
              <w:marRight w:val="0"/>
              <w:marTop w:val="0"/>
              <w:marBottom w:val="0"/>
              <w:divBdr>
                <w:top w:val="none" w:sz="0" w:space="0" w:color="auto"/>
                <w:left w:val="none" w:sz="0" w:space="0" w:color="auto"/>
                <w:bottom w:val="none" w:sz="0" w:space="0" w:color="auto"/>
                <w:right w:val="none" w:sz="0" w:space="0" w:color="auto"/>
              </w:divBdr>
              <w:divsChild>
                <w:div w:id="4807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38453">
      <w:marLeft w:val="0"/>
      <w:marRight w:val="0"/>
      <w:marTop w:val="0"/>
      <w:marBottom w:val="0"/>
      <w:divBdr>
        <w:top w:val="none" w:sz="0" w:space="0" w:color="auto"/>
        <w:left w:val="none" w:sz="0" w:space="0" w:color="auto"/>
        <w:bottom w:val="none" w:sz="0" w:space="0" w:color="auto"/>
        <w:right w:val="none" w:sz="0" w:space="0" w:color="auto"/>
      </w:divBdr>
      <w:divsChild>
        <w:div w:id="480738437">
          <w:marLeft w:val="0"/>
          <w:marRight w:val="0"/>
          <w:marTop w:val="0"/>
          <w:marBottom w:val="0"/>
          <w:divBdr>
            <w:top w:val="none" w:sz="0" w:space="0" w:color="auto"/>
            <w:left w:val="none" w:sz="0" w:space="0" w:color="auto"/>
            <w:bottom w:val="none" w:sz="0" w:space="0" w:color="auto"/>
            <w:right w:val="none" w:sz="0" w:space="0" w:color="auto"/>
          </w:divBdr>
          <w:divsChild>
            <w:div w:id="480738433">
              <w:marLeft w:val="0"/>
              <w:marRight w:val="0"/>
              <w:marTop w:val="0"/>
              <w:marBottom w:val="0"/>
              <w:divBdr>
                <w:top w:val="none" w:sz="0" w:space="0" w:color="auto"/>
                <w:left w:val="none" w:sz="0" w:space="0" w:color="auto"/>
                <w:bottom w:val="none" w:sz="0" w:space="0" w:color="auto"/>
                <w:right w:val="none" w:sz="0" w:space="0" w:color="auto"/>
              </w:divBdr>
              <w:divsChild>
                <w:div w:id="480738438">
                  <w:marLeft w:val="0"/>
                  <w:marRight w:val="0"/>
                  <w:marTop w:val="0"/>
                  <w:marBottom w:val="0"/>
                  <w:divBdr>
                    <w:top w:val="none" w:sz="0" w:space="0" w:color="auto"/>
                    <w:left w:val="none" w:sz="0" w:space="0" w:color="auto"/>
                    <w:bottom w:val="none" w:sz="0" w:space="0" w:color="auto"/>
                    <w:right w:val="none" w:sz="0" w:space="0" w:color="auto"/>
                  </w:divBdr>
                  <w:divsChild>
                    <w:div w:id="4807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8454">
      <w:marLeft w:val="0"/>
      <w:marRight w:val="0"/>
      <w:marTop w:val="0"/>
      <w:marBottom w:val="0"/>
      <w:divBdr>
        <w:top w:val="none" w:sz="0" w:space="0" w:color="auto"/>
        <w:left w:val="none" w:sz="0" w:space="0" w:color="auto"/>
        <w:bottom w:val="none" w:sz="0" w:space="0" w:color="auto"/>
        <w:right w:val="none" w:sz="0" w:space="0" w:color="auto"/>
      </w:divBdr>
    </w:div>
    <w:div w:id="480738458">
      <w:marLeft w:val="0"/>
      <w:marRight w:val="0"/>
      <w:marTop w:val="0"/>
      <w:marBottom w:val="0"/>
      <w:divBdr>
        <w:top w:val="none" w:sz="0" w:space="0" w:color="auto"/>
        <w:left w:val="none" w:sz="0" w:space="0" w:color="auto"/>
        <w:bottom w:val="none" w:sz="0" w:space="0" w:color="auto"/>
        <w:right w:val="none" w:sz="0" w:space="0" w:color="auto"/>
      </w:divBdr>
      <w:divsChild>
        <w:div w:id="480738444">
          <w:marLeft w:val="0"/>
          <w:marRight w:val="0"/>
          <w:marTop w:val="0"/>
          <w:marBottom w:val="0"/>
          <w:divBdr>
            <w:top w:val="none" w:sz="0" w:space="0" w:color="auto"/>
            <w:left w:val="none" w:sz="0" w:space="0" w:color="auto"/>
            <w:bottom w:val="none" w:sz="0" w:space="0" w:color="auto"/>
            <w:right w:val="none" w:sz="0" w:space="0" w:color="auto"/>
          </w:divBdr>
          <w:divsChild>
            <w:div w:id="480738434">
              <w:marLeft w:val="0"/>
              <w:marRight w:val="0"/>
              <w:marTop w:val="0"/>
              <w:marBottom w:val="0"/>
              <w:divBdr>
                <w:top w:val="none" w:sz="0" w:space="0" w:color="auto"/>
                <w:left w:val="none" w:sz="0" w:space="0" w:color="auto"/>
                <w:bottom w:val="none" w:sz="0" w:space="0" w:color="auto"/>
                <w:right w:val="none" w:sz="0" w:space="0" w:color="auto"/>
              </w:divBdr>
              <w:divsChild>
                <w:div w:id="4807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Proffen%20BL%5BAuthor%5D&amp;cauthor=true&amp;cauthor_uid=24633008" TargetMode="External"/><Relationship Id="rId21" Type="http://schemas.openxmlformats.org/officeDocument/2006/relationships/hyperlink" Target="http://www.ncbi.nlm.nih.gov/pubmed?term=Vavken%20P%5BAuthor%5D&amp;cauthor=true&amp;cauthor_uid=24633008" TargetMode="External"/><Relationship Id="rId22" Type="http://schemas.openxmlformats.org/officeDocument/2006/relationships/hyperlink" Target="http://www.ncbi.nlm.nih.gov/pubmed?term=Shalvoy%20MR%5BAuthor%5D&amp;cauthor=true&amp;cauthor_uid=24633008" TargetMode="External"/><Relationship Id="rId23" Type="http://schemas.openxmlformats.org/officeDocument/2006/relationships/hyperlink" Target="http://www.ncbi.nlm.nih.gov/pubmed?term=Machan%20JT%5BAuthor%5D&amp;cauthor=true&amp;cauthor_uid=24633008" TargetMode="External"/><Relationship Id="rId24" Type="http://schemas.openxmlformats.org/officeDocument/2006/relationships/hyperlink" Target="http://www.ncbi.nlm.nih.gov/pubmed?term=Murray%20MM%5BAuthor%5D&amp;cauthor=true&amp;cauthor_uid=24633008" TargetMode="External"/><Relationship Id="rId25" Type="http://schemas.openxmlformats.org/officeDocument/2006/relationships/hyperlink" Target="http://www.ncbi.nlm.nih.gov/pubmed?term=Hutchinson%20ID%5BAuthor%5D&amp;cauthor=true&amp;cauthor_uid=25101873" TargetMode="External"/><Relationship Id="rId26" Type="http://schemas.openxmlformats.org/officeDocument/2006/relationships/hyperlink" Target="http://www.ncbi.nlm.nih.gov/pubmed?term=Rodeo%20SA%5BAuthor%5D&amp;cauthor=true&amp;cauthor_uid=25101873" TargetMode="External"/><Relationship Id="rId27" Type="http://schemas.openxmlformats.org/officeDocument/2006/relationships/hyperlink" Target="http://www.ncbi.nlm.nih.gov/pubmed?term=Perrone%20GS%5BAuthor%5D&amp;cauthor=true&amp;cauthor_uid=25101873" TargetMode="External"/><Relationship Id="rId28" Type="http://schemas.openxmlformats.org/officeDocument/2006/relationships/hyperlink" Target="http://www.ncbi.nlm.nih.gov/pubmed?term=Murray%20MM%5BAuthor%5D&amp;cauthor=true&amp;cauthor_uid=25101873" TargetMode="External"/><Relationship Id="rId29" Type="http://schemas.openxmlformats.org/officeDocument/2006/relationships/image" Target="media/image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emf"/><Relationship Id="rId31" Type="http://schemas.openxmlformats.org/officeDocument/2006/relationships/image" Target="media/image3.emf"/><Relationship Id="rId32" Type="http://schemas.openxmlformats.org/officeDocument/2006/relationships/image" Target="media/image4.emf"/><Relationship Id="rId9" Type="http://schemas.openxmlformats.org/officeDocument/2006/relationships/hyperlink" Target="http://www.ncbi.nlm.nih.gov/pubmed?term=Gribble%20PA%5BAuthor%5D&amp;cauthor=true&amp;cauthor_uid=25232663" TargetMode="External"/><Relationship Id="rId6" Type="http://schemas.openxmlformats.org/officeDocument/2006/relationships/endnotes" Target="endnotes.xml"/><Relationship Id="rId7" Type="http://schemas.openxmlformats.org/officeDocument/2006/relationships/hyperlink" Target="mailto:benjamin.gantenbein@istb.unibe.ch" TargetMode="External"/><Relationship Id="rId8" Type="http://schemas.openxmlformats.org/officeDocument/2006/relationships/hyperlink" Target="http://www.ncbi.nlm.nih.gov/pubmed?term=Luc%20B%5BAuthor%5D&amp;cauthor=true&amp;cauthor_uid=25232663" TargetMode="External"/><Relationship Id="rId33" Type="http://schemas.openxmlformats.org/officeDocument/2006/relationships/image" Target="media/image5.emf"/><Relationship Id="rId34" Type="http://schemas.openxmlformats.org/officeDocument/2006/relationships/image" Target="media/image6.emf"/><Relationship Id="rId35" Type="http://schemas.openxmlformats.org/officeDocument/2006/relationships/image" Target="media/image7.emf"/><Relationship Id="rId36" Type="http://schemas.openxmlformats.org/officeDocument/2006/relationships/image" Target="media/image8.emf"/><Relationship Id="rId10" Type="http://schemas.openxmlformats.org/officeDocument/2006/relationships/hyperlink" Target="http://www.ncbi.nlm.nih.gov/pubmed?term=Pietrosimone%20BG%5BAuthor%5D&amp;cauthor=true&amp;cauthor_uid=25232663" TargetMode="External"/><Relationship Id="rId11" Type="http://schemas.openxmlformats.org/officeDocument/2006/relationships/hyperlink" Target="http://www.ncbi.nlm.nih.gov/pubmed?term=Eggli%20S%5BAuthor%5D&amp;cauthor=true&amp;cauthor_uid=24651979" TargetMode="External"/><Relationship Id="rId12" Type="http://schemas.openxmlformats.org/officeDocument/2006/relationships/hyperlink" Target="http://www.ncbi.nlm.nih.gov/pubmed?term=Kohlhof%20H%5BAuthor%5D&amp;cauthor=true&amp;cauthor_uid=24651979" TargetMode="External"/><Relationship Id="rId13" Type="http://schemas.openxmlformats.org/officeDocument/2006/relationships/hyperlink" Target="http://www.ncbi.nlm.nih.gov/pubmed?term=Zumstein%20M%5BAuthor%5D&amp;cauthor=true&amp;cauthor_uid=24651979" TargetMode="External"/><Relationship Id="rId14" Type="http://schemas.openxmlformats.org/officeDocument/2006/relationships/hyperlink" Target="http://www.ncbi.nlm.nih.gov/pubmed?term=Henle%20P%5BAuthor%5D&amp;cauthor=true&amp;cauthor_uid=24651979" TargetMode="External"/><Relationship Id="rId15" Type="http://schemas.openxmlformats.org/officeDocument/2006/relationships/hyperlink" Target="http://www.ncbi.nlm.nih.gov/pubmed?term=Hartel%20M%5BAuthor%5D&amp;cauthor=true&amp;cauthor_uid=24651979" TargetMode="External"/><Relationship Id="rId16" Type="http://schemas.openxmlformats.org/officeDocument/2006/relationships/hyperlink" Target="http://www.ncbi.nlm.nih.gov/pubmed?term=Evangelopoulos%20DS%5BAuthor%5D&amp;cauthor=true&amp;cauthor_uid=24651979" TargetMode="External"/><Relationship Id="rId17" Type="http://schemas.openxmlformats.org/officeDocument/2006/relationships/hyperlink" Target="http://www.ncbi.nlm.nih.gov/pubmed?term=Bonel%20H%5BAuthor%5D&amp;cauthor=true&amp;cauthor_uid=24651979" TargetMode="External"/><Relationship Id="rId18" Type="http://schemas.openxmlformats.org/officeDocument/2006/relationships/hyperlink" Target="http://www.ncbi.nlm.nih.gov/pubmed?term=Kohl%20S%5BAuthor%5D&amp;cauthor=true&amp;cauthor_uid=24651979" TargetMode="External"/><Relationship Id="rId19" Type="http://schemas.openxmlformats.org/officeDocument/2006/relationships/hyperlink" Target="http://www.ncbi.nlm.nih.gov/pubmed?term=Fleming%20BC%5BAuthor%5D&amp;cauthor=true&amp;cauthor_uid=24633008"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footer" Target="footer4.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8625</Words>
  <Characters>49163</Characters>
  <Application>Microsoft Macintosh Word</Application>
  <DocSecurity>0</DocSecurity>
  <Lines>409</Lines>
  <Paragraphs>115</Paragraphs>
  <ScaleCrop>false</ScaleCrop>
  <Company>ARTORG</Company>
  <LinksUpToDate>false</LinksUpToDate>
  <CharactersWithSpaces>57673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Gantenbein-Ritter</dc:creator>
  <cp:keywords/>
  <dc:description/>
  <cp:lastModifiedBy>NA MA</cp:lastModifiedBy>
  <cp:revision>2</cp:revision>
  <cp:lastPrinted>2014-10-02T07:13:00Z</cp:lastPrinted>
  <dcterms:created xsi:type="dcterms:W3CDTF">2014-11-27T18:48:00Z</dcterms:created>
  <dcterms:modified xsi:type="dcterms:W3CDTF">2014-11-27T18:48:00Z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P_IDX">
    <vt:lpwstr>4</vt:lpwstr>
  </property>
</Properties>
</file>