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5D" w:rsidRPr="00C10ABF" w:rsidRDefault="0001465D" w:rsidP="00F25235">
      <w:pPr>
        <w:widowControl/>
        <w:spacing w:line="360" w:lineRule="auto"/>
        <w:rPr>
          <w:rFonts w:ascii="Book Antiqua" w:hAnsi="Book Antiqua"/>
          <w:b/>
          <w:kern w:val="0"/>
          <w:sz w:val="24"/>
          <w:szCs w:val="24"/>
          <w:lang w:eastAsia="en-US"/>
        </w:rPr>
      </w:pPr>
      <w:r w:rsidRPr="00C10ABF">
        <w:rPr>
          <w:rFonts w:ascii="Book Antiqua" w:hAnsi="Book Antiqua"/>
          <w:b/>
          <w:kern w:val="0"/>
          <w:sz w:val="24"/>
          <w:szCs w:val="24"/>
          <w:lang w:eastAsia="en-US"/>
        </w:rPr>
        <w:t>Name of journal: World Journal of Diabetes</w:t>
      </w:r>
    </w:p>
    <w:p w:rsidR="0001465D" w:rsidRPr="00C10ABF" w:rsidRDefault="0001465D" w:rsidP="00F25235">
      <w:pPr>
        <w:widowControl/>
        <w:spacing w:line="360" w:lineRule="auto"/>
        <w:rPr>
          <w:rFonts w:ascii="Book Antiqua" w:hAnsi="Book Antiqua"/>
          <w:b/>
          <w:kern w:val="0"/>
          <w:sz w:val="24"/>
          <w:szCs w:val="24"/>
          <w:lang w:eastAsia="en-US"/>
        </w:rPr>
      </w:pPr>
      <w:r w:rsidRPr="00C10ABF">
        <w:rPr>
          <w:rFonts w:ascii="Book Antiqua" w:hAnsi="Book Antiqua"/>
          <w:b/>
          <w:kern w:val="0"/>
          <w:sz w:val="24"/>
          <w:szCs w:val="24"/>
          <w:lang w:eastAsia="en-US"/>
        </w:rPr>
        <w:t>ESPS Manuscript NO: 13424</w:t>
      </w:r>
    </w:p>
    <w:p w:rsidR="0001465D" w:rsidRPr="00C10ABF" w:rsidRDefault="0001465D" w:rsidP="00F25235">
      <w:pPr>
        <w:widowControl/>
        <w:spacing w:line="360" w:lineRule="auto"/>
        <w:rPr>
          <w:rFonts w:ascii="Book Antiqua" w:hAnsi="Book Antiqua"/>
          <w:b/>
          <w:kern w:val="0"/>
          <w:sz w:val="24"/>
          <w:szCs w:val="24"/>
        </w:rPr>
      </w:pPr>
      <w:r w:rsidRPr="00C10ABF">
        <w:rPr>
          <w:rFonts w:ascii="Book Antiqua" w:hAnsi="Book Antiqua"/>
          <w:b/>
          <w:kern w:val="0"/>
          <w:sz w:val="24"/>
          <w:szCs w:val="24"/>
          <w:lang w:eastAsia="en-US"/>
        </w:rPr>
        <w:t>Columns: Review</w:t>
      </w:r>
    </w:p>
    <w:p w:rsidR="0001465D" w:rsidRPr="00C10ABF" w:rsidRDefault="0001465D" w:rsidP="00F25235">
      <w:pPr>
        <w:snapToGrid w:val="0"/>
        <w:spacing w:line="360" w:lineRule="auto"/>
        <w:rPr>
          <w:rFonts w:ascii="Book Antiqua" w:hAnsi="Book Antiqua"/>
          <w:b/>
          <w:sz w:val="24"/>
          <w:szCs w:val="24"/>
          <w:lang w:eastAsia="zh-CN"/>
        </w:rPr>
      </w:pP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b/>
          <w:sz w:val="24"/>
          <w:szCs w:val="24"/>
        </w:rPr>
        <w:t xml:space="preserve">Diabetes therapies in hemodialysis patients: </w:t>
      </w:r>
      <w:r w:rsidR="00C10ABF" w:rsidRPr="00C10ABF">
        <w:rPr>
          <w:rFonts w:ascii="Book Antiqua" w:hAnsi="Book Antiqua"/>
          <w:b/>
          <w:sz w:val="24"/>
          <w:szCs w:val="24"/>
        </w:rPr>
        <w:t>Dipeptidase-4</w:t>
      </w:r>
      <w:r w:rsidRPr="00C10ABF">
        <w:rPr>
          <w:rFonts w:ascii="Book Antiqua" w:hAnsi="Book Antiqua"/>
          <w:b/>
          <w:sz w:val="24"/>
          <w:szCs w:val="24"/>
        </w:rPr>
        <w:t xml:space="preserve"> inhibitors</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Nakamura</w:t>
      </w:r>
      <w:r w:rsidRPr="00C10ABF">
        <w:rPr>
          <w:rFonts w:ascii="Book Antiqua" w:eastAsia="宋体" w:hAnsi="Book Antiqua"/>
          <w:sz w:val="24"/>
          <w:szCs w:val="24"/>
          <w:lang w:eastAsia="zh-CN"/>
        </w:rPr>
        <w:t xml:space="preserve"> Y </w:t>
      </w:r>
      <w:r w:rsidRPr="00C10ABF">
        <w:rPr>
          <w:rFonts w:ascii="Book Antiqua" w:eastAsia="宋体" w:hAnsi="Book Antiqua"/>
          <w:i/>
          <w:sz w:val="24"/>
          <w:szCs w:val="24"/>
          <w:lang w:eastAsia="zh-CN"/>
        </w:rPr>
        <w:t>et al</w:t>
      </w:r>
      <w:r w:rsidRPr="00C10ABF">
        <w:rPr>
          <w:rFonts w:ascii="Book Antiqua" w:eastAsia="宋体" w:hAnsi="Book Antiqua"/>
          <w:sz w:val="24"/>
          <w:szCs w:val="24"/>
          <w:lang w:eastAsia="zh-CN"/>
        </w:rPr>
        <w:t>.</w:t>
      </w:r>
      <w:r w:rsidRPr="00C10ABF">
        <w:rPr>
          <w:rFonts w:ascii="Book Antiqua" w:hAnsi="Book Antiqua"/>
          <w:sz w:val="24"/>
          <w:szCs w:val="24"/>
        </w:rPr>
        <w:t xml:space="preserve"> Dipeptidase-4 inhibitors for hemodialysis patients</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Yuya Nakamura, Hitomi Hasegawa, Mayumi Tsuji, Yuko Udaka, Masatomo Mihara, Tatsuo Shimizu, Michiyasu Inoue, Yoshikazu Goto, Hiromichi Gotoh, Masahiro Inagaki,</w:t>
      </w:r>
      <w:r w:rsidRPr="00C10ABF">
        <w:rPr>
          <w:rFonts w:ascii="Book Antiqua" w:hAnsi="Book Antiqua"/>
          <w:sz w:val="24"/>
          <w:szCs w:val="24"/>
          <w:vertAlign w:val="superscript"/>
        </w:rPr>
        <w:t xml:space="preserve"> </w:t>
      </w:r>
      <w:r w:rsidRPr="00C10ABF">
        <w:rPr>
          <w:rFonts w:ascii="Book Antiqua" w:hAnsi="Book Antiqua"/>
          <w:sz w:val="24"/>
          <w:szCs w:val="24"/>
        </w:rPr>
        <w:t>Katsuji Oguchi</w:t>
      </w:r>
    </w:p>
    <w:p w:rsidR="0001465D" w:rsidRPr="00C10ABF" w:rsidRDefault="0001465D" w:rsidP="00F25235">
      <w:pPr>
        <w:snapToGrid w:val="0"/>
        <w:spacing w:line="360" w:lineRule="auto"/>
        <w:rPr>
          <w:rFonts w:ascii="Book Antiqua" w:eastAsia="宋体" w:hAnsi="Book Antiqua"/>
          <w:sz w:val="24"/>
          <w:szCs w:val="24"/>
          <w:lang w:eastAsia="zh-CN"/>
        </w:rPr>
      </w:pP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b/>
          <w:sz w:val="24"/>
          <w:szCs w:val="24"/>
        </w:rPr>
        <w:t>Yuya Nakamura, Masatomo Mihara, Tatsuo Shimizu, Michiyasu Inoue, Yoshikazu Goto</w:t>
      </w:r>
      <w:r w:rsidRPr="00C10ABF">
        <w:rPr>
          <w:rFonts w:ascii="Book Antiqua" w:hAnsi="Book Antiqua"/>
          <w:sz w:val="24"/>
          <w:szCs w:val="24"/>
        </w:rPr>
        <w:t xml:space="preserve">, </w:t>
      </w:r>
      <w:r w:rsidRPr="00C10ABF">
        <w:rPr>
          <w:rFonts w:ascii="Book Antiqua" w:hAnsi="Book Antiqua"/>
          <w:b/>
          <w:sz w:val="24"/>
          <w:szCs w:val="24"/>
        </w:rPr>
        <w:t xml:space="preserve">Hiromichi Gotoh, </w:t>
      </w:r>
      <w:r w:rsidRPr="00C10ABF">
        <w:rPr>
          <w:rFonts w:ascii="Book Antiqua" w:hAnsi="Book Antiqua"/>
          <w:sz w:val="24"/>
          <w:szCs w:val="24"/>
        </w:rPr>
        <w:t>Saiyu Soka Hospital, Kitaya, Soka-city Saitama-ken 340-0046, Japan</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b/>
          <w:sz w:val="24"/>
          <w:szCs w:val="24"/>
        </w:rPr>
        <w:t>Hitomi Hasegawa, Mayumi Tsuji, Yuko Udaka, Katsuji Oguchi</w:t>
      </w:r>
      <w:r w:rsidRPr="00C10ABF">
        <w:rPr>
          <w:rFonts w:ascii="Book Antiqua" w:hAnsi="Book Antiqua"/>
          <w:sz w:val="24"/>
          <w:szCs w:val="24"/>
        </w:rPr>
        <w:t>, Department of Pharmacology, School of Medicine, Showa University, Hatanodai, Shinagawa-ku, Tokyo 142-8555, Japan</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b/>
          <w:sz w:val="24"/>
          <w:szCs w:val="24"/>
        </w:rPr>
        <w:t>Masahiro Inagaki</w:t>
      </w:r>
      <w:r w:rsidRPr="00C10ABF">
        <w:rPr>
          <w:rFonts w:ascii="Book Antiqua" w:hAnsi="Book Antiqua"/>
          <w:sz w:val="24"/>
          <w:szCs w:val="24"/>
        </w:rPr>
        <w:t>, Department of Chemistry, College of Arts and Sciences, Showa University, Kamiyoshida, Fujiyoshida-city, Yamanashi-ken 403-0005, Japan</w:t>
      </w:r>
    </w:p>
    <w:p w:rsidR="0001465D" w:rsidRPr="00C10ABF" w:rsidRDefault="0001465D" w:rsidP="00F25235">
      <w:pPr>
        <w:snapToGrid w:val="0"/>
        <w:spacing w:line="360" w:lineRule="auto"/>
        <w:rPr>
          <w:rFonts w:ascii="Book Antiqua" w:eastAsia="宋体" w:hAnsi="Book Antiqua"/>
          <w:sz w:val="24"/>
          <w:szCs w:val="24"/>
          <w:lang w:eastAsia="zh-CN"/>
        </w:rPr>
      </w:pPr>
    </w:p>
    <w:p w:rsidR="0001465D" w:rsidRPr="00C10ABF" w:rsidRDefault="0001465D" w:rsidP="00192CFF">
      <w:pPr>
        <w:spacing w:line="360" w:lineRule="auto"/>
        <w:rPr>
          <w:rFonts w:ascii="Book Antiqua" w:eastAsia="宋体" w:hAnsi="Book Antiqua"/>
          <w:b/>
          <w:sz w:val="24"/>
          <w:lang w:eastAsia="zh-CN"/>
        </w:rPr>
      </w:pPr>
      <w:r w:rsidRPr="00C10ABF">
        <w:rPr>
          <w:rFonts w:ascii="Book Antiqua" w:hAnsi="Book Antiqua"/>
          <w:b/>
          <w:sz w:val="24"/>
        </w:rPr>
        <w:t>Author contributions:</w:t>
      </w:r>
      <w:r w:rsidRPr="00C10ABF">
        <w:rPr>
          <w:rFonts w:ascii="Book Antiqua" w:eastAsia="宋体" w:hAnsi="Book Antiqua"/>
          <w:b/>
          <w:sz w:val="24"/>
          <w:lang w:eastAsia="zh-CN"/>
        </w:rPr>
        <w:t xml:space="preserve"> </w:t>
      </w:r>
      <w:r w:rsidRPr="00C10ABF">
        <w:rPr>
          <w:rFonts w:ascii="Book Antiqua" w:hAnsi="Book Antiqua"/>
          <w:sz w:val="24"/>
          <w:szCs w:val="24"/>
        </w:rPr>
        <w:t xml:space="preserve">Nakamura Y devised the study concept and design; Nakamura Y searched the literature; Nakamura Y, Shimizu T, Goto Y </w:t>
      </w:r>
      <w:r w:rsidRPr="00C10ABF">
        <w:rPr>
          <w:rFonts w:ascii="Book Antiqua" w:eastAsia="宋体" w:hAnsi="Book Antiqua"/>
          <w:sz w:val="24"/>
          <w:szCs w:val="24"/>
          <w:lang w:eastAsia="zh-CN"/>
        </w:rPr>
        <w:t xml:space="preserve">and </w:t>
      </w:r>
      <w:r w:rsidRPr="00C10ABF">
        <w:rPr>
          <w:rFonts w:ascii="Book Antiqua" w:hAnsi="Book Antiqua"/>
          <w:sz w:val="24"/>
          <w:szCs w:val="24"/>
        </w:rPr>
        <w:t xml:space="preserve">Gotoh H analyzed the literature; Nakamura Y, Hasegawa H, Udaka Y </w:t>
      </w:r>
      <w:r w:rsidRPr="00C10ABF">
        <w:rPr>
          <w:rFonts w:ascii="Book Antiqua" w:eastAsia="宋体" w:hAnsi="Book Antiqua"/>
          <w:sz w:val="24"/>
          <w:szCs w:val="24"/>
          <w:lang w:eastAsia="zh-CN"/>
        </w:rPr>
        <w:t xml:space="preserve">and </w:t>
      </w:r>
      <w:r w:rsidRPr="00C10ABF">
        <w:rPr>
          <w:rFonts w:ascii="Book Antiqua" w:hAnsi="Book Antiqua"/>
          <w:sz w:val="24"/>
          <w:szCs w:val="24"/>
        </w:rPr>
        <w:t>Mihara M interpreted the literature; Nakamura Y drafted the article; Nakamura Y, Tsuji M and Inagaki M revised the article for important intellectual content; Oguchi K gave final approval for the article.</w:t>
      </w:r>
    </w:p>
    <w:p w:rsidR="0001465D" w:rsidRPr="00C10ABF" w:rsidRDefault="0001465D" w:rsidP="00F25235">
      <w:pPr>
        <w:snapToGrid w:val="0"/>
        <w:spacing w:line="360" w:lineRule="auto"/>
        <w:rPr>
          <w:rFonts w:ascii="Book Antiqua" w:hAnsi="Book Antiqua"/>
          <w:sz w:val="24"/>
          <w:szCs w:val="24"/>
          <w:lang w:eastAsia="zh-CN"/>
        </w:rPr>
      </w:pPr>
    </w:p>
    <w:p w:rsidR="0001465D" w:rsidRPr="00C10ABF" w:rsidRDefault="0001465D" w:rsidP="00F25235">
      <w:pPr>
        <w:pStyle w:val="CommentText"/>
        <w:adjustRightInd w:val="0"/>
        <w:snapToGrid w:val="0"/>
        <w:spacing w:line="360" w:lineRule="auto"/>
        <w:rPr>
          <w:rFonts w:ascii="Book Antiqua" w:hAnsi="Book Antiqua" w:cs="Gulim"/>
          <w:sz w:val="24"/>
          <w:szCs w:val="24"/>
          <w:lang w:eastAsia="ja-JP"/>
        </w:rPr>
      </w:pPr>
      <w:r w:rsidRPr="00C10ABF">
        <w:rPr>
          <w:rFonts w:ascii="Book Antiqua" w:hAnsi="Book Antiqua"/>
          <w:b/>
          <w:sz w:val="24"/>
        </w:rPr>
        <w:t>Conflict-of-interest:</w:t>
      </w:r>
      <w:r w:rsidRPr="00C10ABF">
        <w:rPr>
          <w:rFonts w:ascii="Book Antiqua" w:hAnsi="Book Antiqua" w:cs="Gulim"/>
          <w:sz w:val="24"/>
          <w:szCs w:val="24"/>
          <w:lang w:eastAsia="ja-JP"/>
        </w:rPr>
        <w:t xml:space="preserve"> There are no conflicts of interest.</w:t>
      </w:r>
    </w:p>
    <w:p w:rsidR="0001465D" w:rsidRPr="00C10ABF" w:rsidRDefault="0001465D" w:rsidP="00F25235">
      <w:pPr>
        <w:pStyle w:val="CommentText"/>
        <w:adjustRightInd w:val="0"/>
        <w:snapToGrid w:val="0"/>
        <w:spacing w:line="360" w:lineRule="auto"/>
        <w:rPr>
          <w:rFonts w:ascii="Book Antiqua" w:eastAsia="宋体" w:hAnsi="Book Antiqua" w:cs="Gulim"/>
          <w:b/>
          <w:sz w:val="24"/>
          <w:szCs w:val="24"/>
        </w:rPr>
      </w:pPr>
    </w:p>
    <w:p w:rsidR="0001465D" w:rsidRPr="00C10ABF" w:rsidRDefault="0001465D" w:rsidP="005E6E13">
      <w:pPr>
        <w:wordWrap w:val="0"/>
        <w:spacing w:line="360" w:lineRule="auto"/>
        <w:rPr>
          <w:sz w:val="24"/>
          <w:szCs w:val="24"/>
        </w:rPr>
      </w:pPr>
      <w:bookmarkStart w:id="0" w:name="OLE_LINK507"/>
      <w:bookmarkStart w:id="1" w:name="OLE_LINK506"/>
      <w:bookmarkStart w:id="2" w:name="OLE_LINK496"/>
      <w:bookmarkStart w:id="3" w:name="OLE_LINK479"/>
      <w:r w:rsidRPr="00C10ABF">
        <w:rPr>
          <w:rFonts w:ascii="Book Antiqua" w:hAnsi="Book Antiqua"/>
          <w:b/>
          <w:sz w:val="24"/>
          <w:szCs w:val="24"/>
        </w:rPr>
        <w:t xml:space="preserve">Open-Access: </w:t>
      </w:r>
      <w:r w:rsidRPr="00C10ABF">
        <w:rPr>
          <w:rFonts w:ascii="Book Antiqua" w:hAnsi="Book Antiqua"/>
          <w:sz w:val="24"/>
          <w:szCs w:val="24"/>
        </w:rPr>
        <w:t>This article is an open-access article which was selected by an in-house editor and fully peer-reviewed by external reviewers. It is distributed i</w:t>
      </w:r>
      <w:r w:rsidRPr="00C10ABF">
        <w:rPr>
          <w:rFonts w:ascii="Book Antiqua" w:hAnsi="Book Antiqua"/>
          <w:sz w:val="24"/>
          <w:szCs w:val="24"/>
        </w:rPr>
        <w:lastRenderedPageBreak/>
        <w:t>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01465D" w:rsidRPr="00C10ABF" w:rsidRDefault="0001465D" w:rsidP="00F25235">
      <w:pPr>
        <w:pStyle w:val="CommentText"/>
        <w:adjustRightInd w:val="0"/>
        <w:snapToGrid w:val="0"/>
        <w:spacing w:line="360" w:lineRule="auto"/>
        <w:rPr>
          <w:rFonts w:ascii="Book Antiqua" w:eastAsia="宋体" w:hAnsi="Book Antiqua" w:cs="Gulim"/>
          <w:b/>
          <w:sz w:val="24"/>
          <w:szCs w:val="24"/>
        </w:rPr>
      </w:pPr>
    </w:p>
    <w:p w:rsidR="0001465D" w:rsidRPr="00C10ABF" w:rsidRDefault="0001465D" w:rsidP="00C10ABF">
      <w:pPr>
        <w:spacing w:line="360" w:lineRule="auto"/>
        <w:ind w:rightChars="50" w:right="105"/>
        <w:rPr>
          <w:rStyle w:val="Hyperlink"/>
          <w:rFonts w:ascii="Book Antiqua" w:eastAsia="宋体" w:hAnsi="Book Antiqua"/>
          <w:color w:val="auto"/>
          <w:sz w:val="24"/>
          <w:szCs w:val="24"/>
          <w:u w:val="none"/>
          <w:lang w:eastAsia="zh-CN"/>
        </w:rPr>
      </w:pPr>
      <w:r w:rsidRPr="00C10ABF">
        <w:rPr>
          <w:rFonts w:ascii="Book Antiqua" w:hAnsi="Book Antiqua"/>
          <w:b/>
          <w:sz w:val="24"/>
        </w:rPr>
        <w:t>Correspondence to:</w:t>
      </w:r>
      <w:r w:rsidRPr="00C10ABF">
        <w:rPr>
          <w:rFonts w:ascii="Book Antiqua" w:eastAsia="宋体" w:hAnsi="Book Antiqua" w:cs="Arial"/>
          <w:b/>
          <w:bCs/>
          <w:sz w:val="24"/>
          <w:lang w:eastAsia="zh-CN"/>
        </w:rPr>
        <w:t xml:space="preserve"> </w:t>
      </w:r>
      <w:r w:rsidRPr="00C10ABF">
        <w:rPr>
          <w:rFonts w:ascii="Book Antiqua" w:hAnsi="Book Antiqua"/>
          <w:b/>
          <w:sz w:val="24"/>
          <w:szCs w:val="24"/>
        </w:rPr>
        <w:t>Yuya Nakamura, MD</w:t>
      </w:r>
      <w:r w:rsidRPr="00C10ABF">
        <w:rPr>
          <w:rFonts w:ascii="Book Antiqua" w:hAnsi="Book Antiqua"/>
          <w:sz w:val="24"/>
          <w:szCs w:val="24"/>
        </w:rPr>
        <w:t>, Saiyu Soka Hospital, 1-21-37, Kitaya, Soka-city Saitama-ken 340-0046, Japan. y.nakamura@med.showa-u.ac.jp</w:t>
      </w:r>
      <w:r w:rsidRPr="00C10ABF">
        <w:rPr>
          <w:rStyle w:val="Hyperlink"/>
          <w:rFonts w:ascii="Book Antiqua" w:hAnsi="Book Antiqua"/>
          <w:color w:val="auto"/>
          <w:sz w:val="24"/>
          <w:szCs w:val="24"/>
          <w:u w:val="none"/>
        </w:rPr>
        <w:t xml:space="preserve"> </w:t>
      </w:r>
    </w:p>
    <w:p w:rsidR="0001465D" w:rsidRPr="00C10ABF" w:rsidRDefault="0001465D" w:rsidP="00C10ABF">
      <w:pPr>
        <w:spacing w:line="360" w:lineRule="auto"/>
        <w:ind w:rightChars="50" w:right="105"/>
        <w:rPr>
          <w:rStyle w:val="Hyperlink"/>
          <w:rFonts w:ascii="Book Antiqua" w:eastAsia="宋体" w:hAnsi="Book Antiqua" w:cs="Arial"/>
          <w:b/>
          <w:bCs/>
          <w:color w:val="auto"/>
          <w:sz w:val="24"/>
          <w:u w:val="none"/>
          <w:lang w:eastAsia="zh-CN"/>
        </w:rPr>
      </w:pPr>
    </w:p>
    <w:p w:rsidR="0001465D" w:rsidRPr="00C10ABF" w:rsidRDefault="0001465D" w:rsidP="00F25235">
      <w:pPr>
        <w:snapToGrid w:val="0"/>
        <w:spacing w:line="360" w:lineRule="auto"/>
        <w:rPr>
          <w:rStyle w:val="Hyperlink"/>
          <w:rFonts w:ascii="Book Antiqua" w:eastAsia="宋体" w:hAnsi="Book Antiqua"/>
          <w:color w:val="auto"/>
          <w:sz w:val="24"/>
          <w:szCs w:val="24"/>
          <w:u w:val="none"/>
          <w:lang w:eastAsia="zh-CN"/>
        </w:rPr>
      </w:pPr>
      <w:r w:rsidRPr="00C10ABF">
        <w:rPr>
          <w:rFonts w:ascii="Book Antiqua" w:hAnsi="Book Antiqua"/>
          <w:b/>
          <w:bCs/>
          <w:sz w:val="24"/>
        </w:rPr>
        <w:t>Telephone:</w:t>
      </w:r>
      <w:r w:rsidRPr="00C10ABF">
        <w:rPr>
          <w:rStyle w:val="Hyperlink"/>
          <w:rFonts w:ascii="Book Antiqua" w:hAnsi="Book Antiqua"/>
          <w:color w:val="auto"/>
          <w:sz w:val="24"/>
          <w:szCs w:val="24"/>
          <w:u w:val="none"/>
        </w:rPr>
        <w:t xml:space="preserve"> </w:t>
      </w:r>
      <w:r w:rsidR="00C10ABF">
        <w:rPr>
          <w:rFonts w:ascii="Book Antiqua" w:hAnsi="Book Antiqua"/>
          <w:sz w:val="24"/>
          <w:szCs w:val="24"/>
        </w:rPr>
        <w:t>+81-4-8944</w:t>
      </w:r>
      <w:r w:rsidRPr="00C10ABF">
        <w:rPr>
          <w:rFonts w:ascii="Book Antiqua" w:hAnsi="Book Antiqua"/>
          <w:sz w:val="24"/>
          <w:szCs w:val="24"/>
        </w:rPr>
        <w:t>6111</w:t>
      </w:r>
      <w:r w:rsidRPr="00C10ABF">
        <w:rPr>
          <w:rStyle w:val="Hyperlink"/>
          <w:rFonts w:ascii="Book Antiqua" w:hAnsi="Book Antiqua"/>
          <w:color w:val="auto"/>
          <w:sz w:val="24"/>
          <w:szCs w:val="24"/>
          <w:u w:val="none"/>
        </w:rPr>
        <w:t xml:space="preserve"> </w:t>
      </w:r>
    </w:p>
    <w:p w:rsidR="0001465D" w:rsidRPr="00C10ABF" w:rsidRDefault="0001465D" w:rsidP="00F25235">
      <w:pPr>
        <w:snapToGrid w:val="0"/>
        <w:spacing w:line="360" w:lineRule="auto"/>
        <w:rPr>
          <w:rFonts w:ascii="Book Antiqua" w:hAnsi="Book Antiqua"/>
          <w:sz w:val="24"/>
          <w:szCs w:val="24"/>
          <w:lang w:eastAsia="zh-CN"/>
        </w:rPr>
      </w:pPr>
      <w:r w:rsidRPr="00C10ABF">
        <w:rPr>
          <w:rStyle w:val="Hyperlink"/>
          <w:rFonts w:ascii="Book Antiqua" w:hAnsi="Book Antiqua"/>
          <w:b/>
          <w:color w:val="auto"/>
          <w:sz w:val="24"/>
          <w:szCs w:val="24"/>
          <w:u w:val="none"/>
        </w:rPr>
        <w:t>Fax:</w:t>
      </w:r>
      <w:r w:rsidRPr="00C10ABF">
        <w:rPr>
          <w:rStyle w:val="Hyperlink"/>
          <w:rFonts w:ascii="Book Antiqua" w:hAnsi="Book Antiqua"/>
          <w:color w:val="auto"/>
          <w:sz w:val="24"/>
          <w:szCs w:val="24"/>
          <w:u w:val="none"/>
        </w:rPr>
        <w:t xml:space="preserve"> </w:t>
      </w:r>
      <w:r w:rsidR="00C10ABF">
        <w:rPr>
          <w:rFonts w:ascii="Book Antiqua" w:hAnsi="Book Antiqua"/>
          <w:sz w:val="24"/>
          <w:szCs w:val="24"/>
        </w:rPr>
        <w:t>+81-4-8944</w:t>
      </w:r>
      <w:r w:rsidRPr="00C10ABF">
        <w:rPr>
          <w:rFonts w:ascii="Book Antiqua" w:hAnsi="Book Antiqua"/>
          <w:sz w:val="24"/>
          <w:szCs w:val="24"/>
        </w:rPr>
        <w:t>8080</w:t>
      </w:r>
    </w:p>
    <w:p w:rsidR="0001465D" w:rsidRPr="00C10ABF" w:rsidRDefault="0001465D" w:rsidP="00F25235">
      <w:pPr>
        <w:snapToGrid w:val="0"/>
        <w:spacing w:line="360" w:lineRule="auto"/>
        <w:rPr>
          <w:rFonts w:ascii="Book Antiqua" w:hAnsi="Book Antiqua"/>
          <w:sz w:val="24"/>
          <w:szCs w:val="24"/>
          <w:u w:val="single"/>
          <w:lang w:eastAsia="zh-CN"/>
        </w:rPr>
      </w:pPr>
    </w:p>
    <w:p w:rsidR="0001465D" w:rsidRPr="00C10ABF" w:rsidRDefault="0001465D" w:rsidP="005E6E13">
      <w:pPr>
        <w:spacing w:line="360" w:lineRule="auto"/>
        <w:rPr>
          <w:rFonts w:ascii="Book Antiqua" w:eastAsia="宋体" w:hAnsi="Book Antiqua"/>
          <w:b/>
          <w:sz w:val="24"/>
          <w:lang w:eastAsia="zh-CN"/>
        </w:rPr>
      </w:pPr>
      <w:r w:rsidRPr="00C10ABF">
        <w:rPr>
          <w:rFonts w:ascii="Book Antiqua" w:hAnsi="Book Antiqua"/>
          <w:b/>
          <w:sz w:val="24"/>
        </w:rPr>
        <w:t>Received:</w:t>
      </w:r>
      <w:r w:rsidRPr="00C10ABF">
        <w:rPr>
          <w:rFonts w:ascii="Book Antiqua" w:eastAsia="宋体" w:hAnsi="Book Antiqua"/>
          <w:b/>
          <w:sz w:val="24"/>
          <w:lang w:eastAsia="zh-CN"/>
        </w:rPr>
        <w:t xml:space="preserve"> </w:t>
      </w:r>
      <w:r w:rsidRPr="00C10ABF">
        <w:rPr>
          <w:rFonts w:ascii="Book Antiqua" w:eastAsia="宋体" w:hAnsi="Book Antiqua"/>
          <w:sz w:val="24"/>
          <w:lang w:eastAsia="zh-CN"/>
        </w:rPr>
        <w:t>August 22, 2014</w:t>
      </w:r>
    </w:p>
    <w:p w:rsidR="0001465D" w:rsidRPr="00C10ABF" w:rsidRDefault="0001465D" w:rsidP="005E6E13">
      <w:pPr>
        <w:spacing w:line="360" w:lineRule="auto"/>
        <w:rPr>
          <w:rFonts w:ascii="Book Antiqua" w:eastAsia="宋体" w:hAnsi="Book Antiqua"/>
          <w:b/>
          <w:sz w:val="24"/>
          <w:lang w:eastAsia="zh-CN"/>
        </w:rPr>
      </w:pPr>
      <w:r w:rsidRPr="00C10ABF">
        <w:rPr>
          <w:rFonts w:ascii="Book Antiqua" w:hAnsi="Book Antiqua"/>
          <w:b/>
          <w:sz w:val="24"/>
        </w:rPr>
        <w:t>Peer-review started:</w:t>
      </w:r>
      <w:r w:rsidRPr="00C10ABF">
        <w:rPr>
          <w:rFonts w:ascii="Book Antiqua" w:eastAsia="宋体" w:hAnsi="Book Antiqua"/>
          <w:b/>
          <w:sz w:val="24"/>
          <w:lang w:eastAsia="zh-CN"/>
        </w:rPr>
        <w:t xml:space="preserve"> </w:t>
      </w:r>
      <w:r w:rsidRPr="00C10ABF">
        <w:rPr>
          <w:rFonts w:ascii="Book Antiqua" w:eastAsia="宋体" w:hAnsi="Book Antiqua"/>
          <w:sz w:val="24"/>
          <w:lang w:eastAsia="zh-CN"/>
        </w:rPr>
        <w:t>August 23, 2014</w:t>
      </w:r>
    </w:p>
    <w:p w:rsidR="0001465D" w:rsidRPr="00C10ABF" w:rsidRDefault="0001465D" w:rsidP="005E6E13">
      <w:pPr>
        <w:spacing w:line="360" w:lineRule="auto"/>
        <w:rPr>
          <w:rFonts w:ascii="Book Antiqua" w:eastAsia="宋体" w:hAnsi="Book Antiqua"/>
          <w:b/>
          <w:sz w:val="24"/>
          <w:lang w:eastAsia="zh-CN"/>
        </w:rPr>
      </w:pPr>
      <w:r w:rsidRPr="00C10ABF">
        <w:rPr>
          <w:rFonts w:ascii="Book Antiqua" w:hAnsi="Book Antiqua"/>
          <w:b/>
          <w:sz w:val="24"/>
        </w:rPr>
        <w:t>First decision:</w:t>
      </w:r>
      <w:r w:rsidRPr="00C10ABF">
        <w:rPr>
          <w:rFonts w:ascii="Book Antiqua" w:eastAsia="宋体" w:hAnsi="Book Antiqua"/>
          <w:b/>
          <w:sz w:val="24"/>
          <w:lang w:eastAsia="zh-CN"/>
        </w:rPr>
        <w:t xml:space="preserve"> </w:t>
      </w:r>
      <w:r w:rsidRPr="00C10ABF">
        <w:rPr>
          <w:rFonts w:ascii="Book Antiqua" w:eastAsia="宋体" w:hAnsi="Book Antiqua"/>
          <w:sz w:val="24"/>
          <w:lang w:eastAsia="zh-CN"/>
        </w:rPr>
        <w:t>September 28, 2014</w:t>
      </w:r>
    </w:p>
    <w:p w:rsidR="0001465D" w:rsidRPr="00C10ABF" w:rsidRDefault="0001465D" w:rsidP="005E6E13">
      <w:pPr>
        <w:spacing w:line="360" w:lineRule="auto"/>
        <w:rPr>
          <w:rFonts w:ascii="Book Antiqua" w:eastAsia="宋体" w:hAnsi="Book Antiqua"/>
          <w:b/>
          <w:sz w:val="24"/>
          <w:lang w:eastAsia="zh-CN"/>
        </w:rPr>
      </w:pPr>
      <w:r w:rsidRPr="00C10ABF">
        <w:rPr>
          <w:rFonts w:ascii="Book Antiqua" w:hAnsi="Book Antiqua"/>
          <w:b/>
          <w:sz w:val="24"/>
        </w:rPr>
        <w:t xml:space="preserve">Revised: </w:t>
      </w:r>
      <w:r w:rsidRPr="00C10ABF">
        <w:rPr>
          <w:rFonts w:ascii="Book Antiqua" w:eastAsia="宋体" w:hAnsi="Book Antiqua"/>
          <w:sz w:val="24"/>
          <w:lang w:eastAsia="zh-CN"/>
        </w:rPr>
        <w:t>March 16, 2015</w:t>
      </w:r>
    </w:p>
    <w:p w:rsidR="0001465D" w:rsidRPr="0037272C" w:rsidRDefault="0001465D" w:rsidP="005E6E13">
      <w:pPr>
        <w:spacing w:line="360" w:lineRule="auto"/>
        <w:rPr>
          <w:rFonts w:ascii="Book Antiqua" w:hAnsi="Book Antiqua"/>
          <w:sz w:val="24"/>
        </w:rPr>
      </w:pPr>
      <w:r w:rsidRPr="00C10ABF">
        <w:rPr>
          <w:rFonts w:ascii="Book Antiqua" w:hAnsi="Book Antiqua"/>
          <w:b/>
          <w:sz w:val="24"/>
        </w:rPr>
        <w:t>Accepted:</w:t>
      </w:r>
      <w:r w:rsidR="0037272C" w:rsidRPr="0037272C">
        <w:t xml:space="preserve"> </w:t>
      </w:r>
      <w:r w:rsidR="0037272C" w:rsidRPr="0037272C">
        <w:rPr>
          <w:rFonts w:ascii="Book Antiqua" w:hAnsi="Book Antiqua"/>
          <w:sz w:val="24"/>
        </w:rPr>
        <w:t>April 1, 2015</w:t>
      </w:r>
      <w:r w:rsidRPr="0037272C">
        <w:rPr>
          <w:rFonts w:ascii="Book Antiqua" w:hAnsi="Book Antiqua"/>
          <w:sz w:val="24"/>
        </w:rPr>
        <w:t xml:space="preserve"> </w:t>
      </w:r>
    </w:p>
    <w:p w:rsidR="0001465D" w:rsidRPr="00C10ABF" w:rsidRDefault="0001465D" w:rsidP="005E6E13">
      <w:pPr>
        <w:spacing w:line="360" w:lineRule="auto"/>
        <w:rPr>
          <w:rFonts w:ascii="Book Antiqua" w:hAnsi="Book Antiqua"/>
          <w:b/>
          <w:sz w:val="24"/>
        </w:rPr>
      </w:pPr>
      <w:r w:rsidRPr="00C10ABF">
        <w:rPr>
          <w:rFonts w:ascii="Book Antiqua" w:hAnsi="Book Antiqua"/>
          <w:b/>
          <w:sz w:val="24"/>
        </w:rPr>
        <w:t>Article in press:</w:t>
      </w:r>
    </w:p>
    <w:p w:rsidR="0001465D" w:rsidRPr="00C10ABF" w:rsidRDefault="0001465D" w:rsidP="005E6E13">
      <w:pPr>
        <w:spacing w:line="360" w:lineRule="auto"/>
        <w:rPr>
          <w:rFonts w:ascii="Book Antiqua" w:hAnsi="Book Antiqua"/>
          <w:b/>
          <w:sz w:val="24"/>
        </w:rPr>
      </w:pPr>
      <w:r w:rsidRPr="00C10ABF">
        <w:rPr>
          <w:rFonts w:ascii="Book Antiqua" w:hAnsi="Book Antiqua"/>
          <w:b/>
          <w:sz w:val="24"/>
        </w:rPr>
        <w:t xml:space="preserve">Published online: </w:t>
      </w:r>
    </w:p>
    <w:p w:rsidR="0001465D" w:rsidRPr="00C10ABF" w:rsidRDefault="0001465D" w:rsidP="005E6E13">
      <w:pPr>
        <w:widowControl/>
        <w:spacing w:line="360" w:lineRule="auto"/>
        <w:rPr>
          <w:rFonts w:ascii="Book Antiqua" w:eastAsia="宋体" w:hAnsi="Book Antiqua"/>
          <w:b/>
          <w:sz w:val="24"/>
          <w:szCs w:val="24"/>
          <w:lang w:eastAsia="zh-CN"/>
        </w:rPr>
      </w:pP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b/>
          <w:sz w:val="24"/>
          <w:szCs w:val="24"/>
        </w:rPr>
        <w:t xml:space="preserve">Abstract </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Although several previous studies have been published on the effects of dipeptidase-4 (DPP-4) inhibitors in diabetic hemodialysis (HD) patients,</w:t>
      </w:r>
      <w:r w:rsidRPr="00C10ABF" w:rsidDel="005558B9">
        <w:rPr>
          <w:rFonts w:ascii="Book Antiqua" w:hAnsi="Book Antiqua"/>
          <w:sz w:val="24"/>
          <w:szCs w:val="24"/>
        </w:rPr>
        <w:t xml:space="preserve"> </w:t>
      </w:r>
      <w:r w:rsidRPr="00C10ABF">
        <w:rPr>
          <w:rFonts w:ascii="Book Antiqua" w:hAnsi="Book Antiqua"/>
          <w:sz w:val="24"/>
          <w:szCs w:val="24"/>
        </w:rPr>
        <w:t>the findings have yet to be reviewed comprehensively. Eyesight failure caused by diabetic retinopathy and aging-related dementia make multiple daily insulin injections difficult for HD patients. Therefore, we reviewed the effects of DPP-4 inhibitors with a focus on oral antidiabetic drugs as a new treatment strategy in HD patients with diabetes. The following 7 DPP-4 inhibitors are available worldwide: sitagliptin, vildagliptin, alogliptin, linagliptin, teneligliptin, anagliptin, and saxagliptin. All of these are administered once daily with dose adjustments in HD patients. Four types of oral antidiabetic drugs can be administered for combination oral therapy with DPP-4 inhibitors, including sulfonylureas, meglitinide, thiazolidinediones, and alpha-glucosidase inhibitor. Nine studies examined the antidiabetic effects in HD patients. Treatments decreased hemoglobin A1c and glycated albumin levels by 0.3% to 1.3% and 1.7% to 4.9%, respectively. The efficacy of DPP-4 inhibitor treatment is high among HD patients, and no patients exhibited significant severe adverse effects such as hypoglycemia and liver dysfunction. DPP-4 inhibitors are key drugs in new treatment strategies for HD patients with diabetes and with limited choices for diabetes treatment.</w:t>
      </w:r>
    </w:p>
    <w:p w:rsidR="0001465D" w:rsidRPr="00C10ABF" w:rsidRDefault="0001465D" w:rsidP="00F25235">
      <w:pPr>
        <w:snapToGrid w:val="0"/>
        <w:spacing w:line="360" w:lineRule="auto"/>
        <w:rPr>
          <w:rFonts w:ascii="Book Antiqua" w:hAnsi="Book Antiqua"/>
          <w:sz w:val="24"/>
          <w:szCs w:val="24"/>
          <w:lang w:eastAsia="zh-CN"/>
        </w:rPr>
      </w:pP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b/>
          <w:sz w:val="24"/>
          <w:szCs w:val="24"/>
        </w:rPr>
        <w:t>Key words:</w:t>
      </w:r>
      <w:r w:rsidRPr="00C10ABF">
        <w:rPr>
          <w:rFonts w:ascii="Book Antiqua" w:hAnsi="Book Antiqua"/>
          <w:sz w:val="24"/>
          <w:szCs w:val="24"/>
        </w:rPr>
        <w:t xml:space="preserve"> Dipeptidase-4</w:t>
      </w:r>
      <w:r w:rsidRPr="00C10ABF">
        <w:rPr>
          <w:rFonts w:ascii="Book Antiqua" w:hAnsi="Book Antiqua"/>
          <w:kern w:val="0"/>
          <w:sz w:val="24"/>
          <w:szCs w:val="24"/>
        </w:rPr>
        <w:t xml:space="preserve"> inhibitors</w:t>
      </w:r>
      <w:r w:rsidRPr="00C10ABF">
        <w:rPr>
          <w:rFonts w:ascii="Book Antiqua" w:hAnsi="Book Antiqua"/>
          <w:kern w:val="0"/>
          <w:sz w:val="24"/>
          <w:szCs w:val="24"/>
          <w:lang w:eastAsia="zh-CN"/>
        </w:rPr>
        <w:t>;</w:t>
      </w:r>
      <w:r w:rsidRPr="00C10ABF">
        <w:rPr>
          <w:rFonts w:ascii="Book Antiqua" w:hAnsi="Book Antiqua"/>
          <w:kern w:val="0"/>
          <w:sz w:val="24"/>
          <w:szCs w:val="24"/>
        </w:rPr>
        <w:t xml:space="preserve"> </w:t>
      </w:r>
      <w:r w:rsidRPr="00C10ABF">
        <w:rPr>
          <w:rFonts w:ascii="Book Antiqua" w:hAnsi="Book Antiqua"/>
          <w:sz w:val="24"/>
          <w:szCs w:val="24"/>
        </w:rPr>
        <w:t>Hemodialysis</w:t>
      </w:r>
      <w:r w:rsidRPr="00C10ABF">
        <w:rPr>
          <w:rFonts w:ascii="Book Antiqua" w:hAnsi="Book Antiqua"/>
          <w:sz w:val="24"/>
          <w:szCs w:val="24"/>
          <w:lang w:eastAsia="zh-CN"/>
        </w:rPr>
        <w:t>;</w:t>
      </w:r>
      <w:r w:rsidRPr="00C10ABF">
        <w:rPr>
          <w:rFonts w:ascii="Book Antiqua" w:hAnsi="Book Antiqua"/>
          <w:sz w:val="24"/>
          <w:szCs w:val="24"/>
        </w:rPr>
        <w:t xml:space="preserve"> Diabetes mellitus</w:t>
      </w:r>
      <w:r w:rsidRPr="00C10ABF">
        <w:rPr>
          <w:rFonts w:ascii="Book Antiqua" w:hAnsi="Book Antiqua"/>
          <w:sz w:val="24"/>
          <w:szCs w:val="24"/>
          <w:lang w:eastAsia="zh-CN"/>
        </w:rPr>
        <w:t>;</w:t>
      </w:r>
      <w:r w:rsidRPr="00C10ABF">
        <w:rPr>
          <w:rFonts w:ascii="Book Antiqua" w:hAnsi="Book Antiqua"/>
          <w:sz w:val="24"/>
          <w:szCs w:val="24"/>
        </w:rPr>
        <w:t xml:space="preserve"> Blood glucose-related factors</w:t>
      </w:r>
      <w:r w:rsidRPr="00C10ABF">
        <w:rPr>
          <w:rFonts w:ascii="Book Antiqua" w:hAnsi="Book Antiqua"/>
          <w:sz w:val="24"/>
          <w:szCs w:val="24"/>
          <w:lang w:eastAsia="zh-CN"/>
        </w:rPr>
        <w:t>;</w:t>
      </w:r>
      <w:r w:rsidRPr="00C10ABF">
        <w:rPr>
          <w:rFonts w:ascii="Book Antiqua" w:hAnsi="Book Antiqua"/>
          <w:sz w:val="24"/>
          <w:szCs w:val="24"/>
        </w:rPr>
        <w:t xml:space="preserve"> Anti-inflammatory effects</w:t>
      </w:r>
    </w:p>
    <w:p w:rsidR="0001465D" w:rsidRPr="00C10ABF" w:rsidRDefault="0001465D" w:rsidP="00F25235">
      <w:pPr>
        <w:snapToGrid w:val="0"/>
        <w:spacing w:line="360" w:lineRule="auto"/>
        <w:rPr>
          <w:rFonts w:ascii="Book Antiqua" w:eastAsia="宋体" w:hAnsi="Book Antiqua"/>
          <w:sz w:val="24"/>
          <w:szCs w:val="24"/>
          <w:lang w:eastAsia="zh-CN"/>
        </w:rPr>
      </w:pPr>
    </w:p>
    <w:p w:rsidR="0001465D" w:rsidRPr="00C10ABF" w:rsidRDefault="0001465D" w:rsidP="005E6E13">
      <w:pPr>
        <w:snapToGrid w:val="0"/>
        <w:spacing w:line="360" w:lineRule="auto"/>
        <w:rPr>
          <w:rFonts w:ascii="Book Antiqua" w:hAnsi="Book Antiqua"/>
          <w:sz w:val="24"/>
        </w:rPr>
      </w:pPr>
      <w:bookmarkStart w:id="4" w:name="OLE_LINK13"/>
      <w:bookmarkStart w:id="5" w:name="OLE_LINK14"/>
      <w:r w:rsidRPr="00C10ABF">
        <w:rPr>
          <w:rFonts w:ascii="Book Antiqua" w:hAnsi="Book Antiqua"/>
          <w:sz w:val="24"/>
        </w:rPr>
        <w:t xml:space="preserve">© </w:t>
      </w:r>
      <w:bookmarkStart w:id="6" w:name="OLE_LINK6"/>
      <w:bookmarkStart w:id="7" w:name="OLE_LINK7"/>
      <w:bookmarkStart w:id="8" w:name="OLE_LINK8"/>
      <w:r w:rsidRPr="00C10ABF">
        <w:rPr>
          <w:rFonts w:ascii="Book Antiqua" w:hAnsi="Book Antiqua"/>
          <w:b/>
          <w:sz w:val="24"/>
        </w:rPr>
        <w:t>The Author(s) 2015</w:t>
      </w:r>
      <w:r w:rsidRPr="00C10ABF">
        <w:rPr>
          <w:rFonts w:ascii="Book Antiqua" w:hAnsi="Book Antiqua"/>
          <w:sz w:val="24"/>
        </w:rPr>
        <w:t>. Published by Baishideng Publishing Group Inc. All rights reserved.</w:t>
      </w:r>
    </w:p>
    <w:bookmarkEnd w:id="4"/>
    <w:bookmarkEnd w:id="5"/>
    <w:bookmarkEnd w:id="6"/>
    <w:bookmarkEnd w:id="7"/>
    <w:bookmarkEnd w:id="8"/>
    <w:p w:rsidR="0001465D" w:rsidRPr="00C10ABF" w:rsidRDefault="0001465D" w:rsidP="00F25235">
      <w:pPr>
        <w:snapToGrid w:val="0"/>
        <w:spacing w:line="360" w:lineRule="auto"/>
        <w:rPr>
          <w:rFonts w:ascii="Book Antiqua" w:eastAsia="宋体" w:hAnsi="Book Antiqua"/>
          <w:sz w:val="24"/>
          <w:szCs w:val="24"/>
          <w:lang w:eastAsia="zh-CN"/>
        </w:rPr>
      </w:pPr>
    </w:p>
    <w:p w:rsidR="0001465D" w:rsidRPr="00C10ABF" w:rsidRDefault="0001465D" w:rsidP="00F25235">
      <w:pPr>
        <w:snapToGrid w:val="0"/>
        <w:spacing w:line="360" w:lineRule="auto"/>
        <w:rPr>
          <w:rFonts w:ascii="Book Antiqua" w:hAnsi="Book Antiqua"/>
          <w:b/>
          <w:sz w:val="24"/>
          <w:szCs w:val="24"/>
          <w:lang w:eastAsia="zh-CN"/>
        </w:rPr>
      </w:pPr>
      <w:r w:rsidRPr="00C10ABF">
        <w:rPr>
          <w:rFonts w:ascii="Book Antiqua" w:hAnsi="Book Antiqua"/>
          <w:b/>
          <w:sz w:val="24"/>
          <w:szCs w:val="24"/>
        </w:rPr>
        <w:t>Core tip</w:t>
      </w:r>
      <w:r w:rsidRPr="00C10ABF">
        <w:rPr>
          <w:rFonts w:ascii="Book Antiqua" w:hAnsi="Book Antiqua"/>
          <w:b/>
          <w:sz w:val="24"/>
          <w:szCs w:val="24"/>
          <w:lang w:eastAsia="zh-CN"/>
        </w:rPr>
        <w:t xml:space="preserve">: </w:t>
      </w:r>
      <w:r w:rsidRPr="00C10ABF">
        <w:rPr>
          <w:rFonts w:ascii="Book Antiqua" w:hAnsi="Book Antiqua"/>
          <w:kern w:val="0"/>
          <w:sz w:val="24"/>
          <w:szCs w:val="24"/>
        </w:rPr>
        <w:t xml:space="preserve">Until now, the effectiveness of </w:t>
      </w:r>
      <w:r w:rsidRPr="00C10ABF">
        <w:rPr>
          <w:rFonts w:ascii="Book Antiqua" w:hAnsi="Book Antiqua"/>
          <w:sz w:val="24"/>
          <w:szCs w:val="24"/>
        </w:rPr>
        <w:t>dipeptidase-4</w:t>
      </w:r>
      <w:r w:rsidRPr="00C10ABF">
        <w:rPr>
          <w:rFonts w:ascii="Book Antiqua" w:eastAsia="宋体" w:hAnsi="Book Antiqua"/>
          <w:sz w:val="24"/>
          <w:szCs w:val="24"/>
          <w:lang w:eastAsia="zh-CN"/>
        </w:rPr>
        <w:t xml:space="preserve"> (</w:t>
      </w:r>
      <w:r w:rsidRPr="00C10ABF">
        <w:rPr>
          <w:rFonts w:ascii="Book Antiqua" w:hAnsi="Book Antiqua"/>
          <w:kern w:val="0"/>
          <w:sz w:val="24"/>
          <w:szCs w:val="24"/>
        </w:rPr>
        <w:t>DPP-4</w:t>
      </w:r>
      <w:r w:rsidRPr="00C10ABF">
        <w:rPr>
          <w:rFonts w:ascii="Book Antiqua" w:eastAsia="宋体" w:hAnsi="Book Antiqua"/>
          <w:kern w:val="0"/>
          <w:sz w:val="24"/>
          <w:szCs w:val="24"/>
          <w:lang w:eastAsia="zh-CN"/>
        </w:rPr>
        <w:t>)</w:t>
      </w:r>
      <w:r w:rsidRPr="00C10ABF">
        <w:rPr>
          <w:rFonts w:ascii="Book Antiqua" w:hAnsi="Book Antiqua"/>
          <w:kern w:val="0"/>
          <w:sz w:val="24"/>
          <w:szCs w:val="24"/>
        </w:rPr>
        <w:t xml:space="preserve"> inhibitors on diabetic </w:t>
      </w:r>
      <w:r w:rsidRPr="00C10ABF">
        <w:rPr>
          <w:rFonts w:ascii="Book Antiqua" w:hAnsi="Book Antiqua"/>
          <w:sz w:val="24"/>
          <w:szCs w:val="24"/>
        </w:rPr>
        <w:t>hemodialysis</w:t>
      </w:r>
      <w:r w:rsidRPr="00C10ABF">
        <w:rPr>
          <w:rFonts w:ascii="Book Antiqua" w:hAnsi="Book Antiqua"/>
          <w:kern w:val="0"/>
          <w:sz w:val="24"/>
          <w:szCs w:val="24"/>
        </w:rPr>
        <w:t xml:space="preserve"> </w:t>
      </w:r>
      <w:r w:rsidRPr="00C10ABF">
        <w:rPr>
          <w:rFonts w:ascii="Book Antiqua" w:eastAsia="宋体" w:hAnsi="Book Antiqua"/>
          <w:kern w:val="0"/>
          <w:sz w:val="24"/>
          <w:szCs w:val="24"/>
          <w:lang w:eastAsia="zh-CN"/>
        </w:rPr>
        <w:t>(</w:t>
      </w:r>
      <w:r w:rsidRPr="00C10ABF">
        <w:rPr>
          <w:rFonts w:ascii="Book Antiqua" w:hAnsi="Book Antiqua"/>
          <w:kern w:val="0"/>
          <w:sz w:val="24"/>
          <w:szCs w:val="24"/>
        </w:rPr>
        <w:t>HD</w:t>
      </w:r>
      <w:r w:rsidRPr="00C10ABF">
        <w:rPr>
          <w:rFonts w:ascii="Book Antiqua" w:eastAsia="宋体" w:hAnsi="Book Antiqua"/>
          <w:kern w:val="0"/>
          <w:sz w:val="24"/>
          <w:szCs w:val="24"/>
          <w:lang w:eastAsia="zh-CN"/>
        </w:rPr>
        <w:t>)</w:t>
      </w:r>
      <w:r w:rsidRPr="00C10ABF">
        <w:rPr>
          <w:rFonts w:ascii="Book Antiqua" w:hAnsi="Book Antiqua"/>
          <w:kern w:val="0"/>
          <w:sz w:val="24"/>
          <w:szCs w:val="24"/>
        </w:rPr>
        <w:t xml:space="preserve"> patients has not been reviewed. A</w:t>
      </w:r>
      <w:r w:rsidRPr="00C10ABF">
        <w:rPr>
          <w:rFonts w:ascii="Book Antiqua" w:hAnsi="Book Antiqua"/>
          <w:sz w:val="24"/>
          <w:szCs w:val="24"/>
        </w:rPr>
        <w:t>ll 7 DPP-4 inhibitors are available for HD patients; administration is once daily with dose adjustments. The effectiveness of DPP-4 inhibitor treatment in HD patients is high, and adverse events do not increase as a result.</w:t>
      </w:r>
      <w:r w:rsidRPr="00C10ABF">
        <w:rPr>
          <w:rFonts w:ascii="Book Antiqua" w:hAnsi="Book Antiqua"/>
          <w:kern w:val="0"/>
          <w:sz w:val="24"/>
          <w:szCs w:val="24"/>
        </w:rPr>
        <w:t xml:space="preserve"> </w:t>
      </w:r>
      <w:r w:rsidRPr="00C10ABF">
        <w:rPr>
          <w:rFonts w:ascii="Book Antiqua" w:hAnsi="Book Antiqua"/>
          <w:sz w:val="24"/>
          <w:szCs w:val="24"/>
        </w:rPr>
        <w:t>DPP-4 inhibitors may prevent inflammation and atherosclerosis, which are principal prognostic factors for HD patients. In summary, DPP-4 inhibitors are key drugs in new treatment strategies for HD patients with diabetes and limited choices for its treatment.</w:t>
      </w:r>
    </w:p>
    <w:p w:rsidR="0001465D" w:rsidRPr="00C10ABF" w:rsidRDefault="0001465D" w:rsidP="00F25235">
      <w:pPr>
        <w:snapToGrid w:val="0"/>
        <w:spacing w:line="360" w:lineRule="auto"/>
        <w:rPr>
          <w:rFonts w:ascii="Book Antiqua" w:hAnsi="Book Antiqua"/>
          <w:kern w:val="0"/>
          <w:sz w:val="24"/>
          <w:szCs w:val="24"/>
        </w:rPr>
      </w:pPr>
    </w:p>
    <w:p w:rsidR="0001465D" w:rsidRPr="00C10ABF" w:rsidRDefault="0001465D" w:rsidP="003679F6">
      <w:pPr>
        <w:snapToGrid w:val="0"/>
        <w:spacing w:line="360" w:lineRule="auto"/>
        <w:rPr>
          <w:rFonts w:ascii="Book Antiqua" w:eastAsia="宋体" w:hAnsi="Book Antiqua"/>
          <w:sz w:val="24"/>
          <w:szCs w:val="24"/>
          <w:lang w:eastAsia="zh-CN"/>
        </w:rPr>
      </w:pPr>
      <w:r w:rsidRPr="00C10ABF">
        <w:rPr>
          <w:rFonts w:ascii="Book Antiqua" w:hAnsi="Book Antiqua"/>
          <w:sz w:val="24"/>
          <w:szCs w:val="24"/>
        </w:rPr>
        <w:t>Nakamura</w:t>
      </w:r>
      <w:r w:rsidRPr="00C10ABF">
        <w:rPr>
          <w:rFonts w:ascii="Book Antiqua" w:eastAsia="宋体" w:hAnsi="Book Antiqua"/>
          <w:sz w:val="24"/>
          <w:szCs w:val="24"/>
          <w:lang w:eastAsia="zh-CN"/>
        </w:rPr>
        <w:t xml:space="preserve"> Y</w:t>
      </w:r>
      <w:r w:rsidRPr="00C10ABF">
        <w:rPr>
          <w:rFonts w:ascii="Book Antiqua" w:hAnsi="Book Antiqua"/>
          <w:sz w:val="24"/>
          <w:szCs w:val="24"/>
        </w:rPr>
        <w:t>, Hasegawa</w:t>
      </w:r>
      <w:r w:rsidRPr="00C10ABF">
        <w:rPr>
          <w:rFonts w:ascii="Book Antiqua" w:eastAsia="宋体" w:hAnsi="Book Antiqua"/>
          <w:sz w:val="24"/>
          <w:szCs w:val="24"/>
          <w:lang w:eastAsia="zh-CN"/>
        </w:rPr>
        <w:t xml:space="preserve"> H</w:t>
      </w:r>
      <w:r w:rsidRPr="00C10ABF">
        <w:rPr>
          <w:rFonts w:ascii="Book Antiqua" w:hAnsi="Book Antiqua"/>
          <w:sz w:val="24"/>
          <w:szCs w:val="24"/>
        </w:rPr>
        <w:t>, Tsuji</w:t>
      </w:r>
      <w:r w:rsidRPr="00C10ABF">
        <w:rPr>
          <w:rFonts w:ascii="Book Antiqua" w:eastAsia="宋体" w:hAnsi="Book Antiqua"/>
          <w:sz w:val="24"/>
          <w:szCs w:val="24"/>
          <w:lang w:eastAsia="zh-CN"/>
        </w:rPr>
        <w:t xml:space="preserve"> M</w:t>
      </w:r>
      <w:r w:rsidRPr="00C10ABF">
        <w:rPr>
          <w:rFonts w:ascii="Book Antiqua" w:hAnsi="Book Antiqua"/>
          <w:sz w:val="24"/>
          <w:szCs w:val="24"/>
        </w:rPr>
        <w:t>, Udaka</w:t>
      </w:r>
      <w:r w:rsidRPr="00C10ABF">
        <w:rPr>
          <w:rFonts w:ascii="Book Antiqua" w:eastAsia="宋体" w:hAnsi="Book Antiqua"/>
          <w:sz w:val="24"/>
          <w:szCs w:val="24"/>
          <w:lang w:eastAsia="zh-CN"/>
        </w:rPr>
        <w:t xml:space="preserve"> Y</w:t>
      </w:r>
      <w:r w:rsidRPr="00C10ABF">
        <w:rPr>
          <w:rFonts w:ascii="Book Antiqua" w:hAnsi="Book Antiqua"/>
          <w:sz w:val="24"/>
          <w:szCs w:val="24"/>
        </w:rPr>
        <w:t>, Mihara</w:t>
      </w:r>
      <w:r w:rsidRPr="00C10ABF">
        <w:rPr>
          <w:rFonts w:ascii="Book Antiqua" w:eastAsia="宋体" w:hAnsi="Book Antiqua"/>
          <w:sz w:val="24"/>
          <w:szCs w:val="24"/>
          <w:lang w:eastAsia="zh-CN"/>
        </w:rPr>
        <w:t xml:space="preserve"> M</w:t>
      </w:r>
      <w:r w:rsidRPr="00C10ABF">
        <w:rPr>
          <w:rFonts w:ascii="Book Antiqua" w:hAnsi="Book Antiqua"/>
          <w:sz w:val="24"/>
          <w:szCs w:val="24"/>
        </w:rPr>
        <w:t>, Shimizu</w:t>
      </w:r>
      <w:r w:rsidRPr="00C10ABF">
        <w:rPr>
          <w:rFonts w:ascii="Book Antiqua" w:eastAsia="宋体" w:hAnsi="Book Antiqua"/>
          <w:sz w:val="24"/>
          <w:szCs w:val="24"/>
          <w:lang w:eastAsia="zh-CN"/>
        </w:rPr>
        <w:t xml:space="preserve"> T</w:t>
      </w:r>
      <w:r w:rsidRPr="00C10ABF">
        <w:rPr>
          <w:rFonts w:ascii="Book Antiqua" w:hAnsi="Book Antiqua"/>
          <w:sz w:val="24"/>
          <w:szCs w:val="24"/>
        </w:rPr>
        <w:t>, Inoue</w:t>
      </w:r>
      <w:r w:rsidRPr="00C10ABF">
        <w:rPr>
          <w:rFonts w:ascii="Book Antiqua" w:eastAsia="宋体" w:hAnsi="Book Antiqua"/>
          <w:sz w:val="24"/>
          <w:szCs w:val="24"/>
          <w:lang w:eastAsia="zh-CN"/>
        </w:rPr>
        <w:t xml:space="preserve"> M</w:t>
      </w:r>
      <w:r w:rsidRPr="00C10ABF">
        <w:rPr>
          <w:rFonts w:ascii="Book Antiqua" w:hAnsi="Book Antiqua"/>
          <w:sz w:val="24"/>
          <w:szCs w:val="24"/>
        </w:rPr>
        <w:t>, Goto</w:t>
      </w:r>
      <w:r w:rsidRPr="00C10ABF">
        <w:rPr>
          <w:rFonts w:ascii="Book Antiqua" w:eastAsia="宋体" w:hAnsi="Book Antiqua"/>
          <w:sz w:val="24"/>
          <w:szCs w:val="24"/>
          <w:lang w:eastAsia="zh-CN"/>
        </w:rPr>
        <w:t xml:space="preserve"> Y</w:t>
      </w:r>
      <w:r w:rsidRPr="00C10ABF">
        <w:rPr>
          <w:rFonts w:ascii="Book Antiqua" w:hAnsi="Book Antiqua"/>
          <w:sz w:val="24"/>
          <w:szCs w:val="24"/>
        </w:rPr>
        <w:t>, Gotoh</w:t>
      </w:r>
      <w:r w:rsidRPr="00C10ABF">
        <w:rPr>
          <w:rFonts w:ascii="Book Antiqua" w:eastAsia="宋体" w:hAnsi="Book Antiqua"/>
          <w:sz w:val="24"/>
          <w:szCs w:val="24"/>
          <w:lang w:eastAsia="zh-CN"/>
        </w:rPr>
        <w:t xml:space="preserve"> H</w:t>
      </w:r>
      <w:r w:rsidRPr="00C10ABF">
        <w:rPr>
          <w:rFonts w:ascii="Book Antiqua" w:hAnsi="Book Antiqua"/>
          <w:sz w:val="24"/>
          <w:szCs w:val="24"/>
        </w:rPr>
        <w:t>, Inagaki</w:t>
      </w:r>
      <w:r w:rsidRPr="00C10ABF">
        <w:rPr>
          <w:rFonts w:ascii="Book Antiqua" w:eastAsia="宋体" w:hAnsi="Book Antiqua"/>
          <w:sz w:val="24"/>
          <w:szCs w:val="24"/>
          <w:lang w:eastAsia="zh-CN"/>
        </w:rPr>
        <w:t xml:space="preserve"> M</w:t>
      </w:r>
      <w:r w:rsidRPr="00C10ABF">
        <w:rPr>
          <w:rFonts w:ascii="Book Antiqua" w:hAnsi="Book Antiqua"/>
          <w:sz w:val="24"/>
          <w:szCs w:val="24"/>
        </w:rPr>
        <w:t>,</w:t>
      </w:r>
      <w:r w:rsidRPr="00C10ABF">
        <w:rPr>
          <w:rFonts w:ascii="Book Antiqua" w:hAnsi="Book Antiqua"/>
          <w:sz w:val="24"/>
          <w:szCs w:val="24"/>
          <w:vertAlign w:val="superscript"/>
        </w:rPr>
        <w:t xml:space="preserve"> </w:t>
      </w:r>
      <w:r w:rsidRPr="00C10ABF">
        <w:rPr>
          <w:rFonts w:ascii="Book Antiqua" w:hAnsi="Book Antiqua"/>
          <w:sz w:val="24"/>
          <w:szCs w:val="24"/>
        </w:rPr>
        <w:t>Oguchi</w:t>
      </w:r>
      <w:r w:rsidRPr="00C10ABF">
        <w:rPr>
          <w:rFonts w:ascii="Book Antiqua" w:eastAsia="宋体" w:hAnsi="Book Antiqua"/>
          <w:sz w:val="24"/>
          <w:szCs w:val="24"/>
          <w:lang w:eastAsia="zh-CN"/>
        </w:rPr>
        <w:t xml:space="preserve"> K. </w:t>
      </w:r>
      <w:r w:rsidRPr="00C10ABF">
        <w:rPr>
          <w:rFonts w:ascii="Book Antiqua" w:hAnsi="Book Antiqua"/>
          <w:sz w:val="24"/>
          <w:szCs w:val="24"/>
        </w:rPr>
        <w:t>Diabetes therapies in hemodialysis patients: DDP-4 inhibitors</w:t>
      </w:r>
      <w:r w:rsidRPr="00C10ABF">
        <w:rPr>
          <w:rFonts w:ascii="Book Antiqua" w:eastAsia="宋体" w:hAnsi="Book Antiqua"/>
          <w:sz w:val="24"/>
          <w:szCs w:val="24"/>
          <w:lang w:eastAsia="zh-CN"/>
        </w:rPr>
        <w:t xml:space="preserve">. </w:t>
      </w:r>
      <w:r w:rsidRPr="00C10ABF">
        <w:rPr>
          <w:rFonts w:ascii="Book Antiqua" w:hAnsi="Book Antiqua"/>
          <w:i/>
          <w:iCs/>
          <w:sz w:val="24"/>
          <w:szCs w:val="24"/>
        </w:rPr>
        <w:t>World J Diabetes</w:t>
      </w:r>
      <w:r w:rsidRPr="00C10ABF">
        <w:rPr>
          <w:rFonts w:ascii="Book Antiqua" w:eastAsia="宋体" w:hAnsi="Book Antiqua"/>
          <w:iCs/>
          <w:sz w:val="24"/>
          <w:szCs w:val="24"/>
          <w:lang w:eastAsia="zh-CN"/>
        </w:rPr>
        <w:t xml:space="preserve"> 2015; </w:t>
      </w:r>
      <w:r w:rsidRPr="00C10ABF">
        <w:rPr>
          <w:rFonts w:ascii="Book Antiqua" w:hAnsi="Book Antiqua"/>
          <w:iCs/>
          <w:sz w:val="24"/>
        </w:rPr>
        <w:t xml:space="preserve">In press </w:t>
      </w:r>
    </w:p>
    <w:p w:rsidR="0001465D" w:rsidRPr="00C10ABF" w:rsidRDefault="0001465D" w:rsidP="00F25235">
      <w:pPr>
        <w:widowControl/>
        <w:snapToGrid w:val="0"/>
        <w:spacing w:line="360" w:lineRule="auto"/>
        <w:rPr>
          <w:rFonts w:ascii="Book Antiqua" w:eastAsia="宋体" w:hAnsi="Book Antiqua"/>
          <w:b/>
          <w:sz w:val="24"/>
          <w:szCs w:val="24"/>
          <w:lang w:eastAsia="zh-CN"/>
        </w:rPr>
      </w:pP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b/>
          <w:sz w:val="24"/>
          <w:szCs w:val="24"/>
        </w:rPr>
        <w:t>INTRODUCTION</w:t>
      </w: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sz w:val="24"/>
          <w:szCs w:val="24"/>
        </w:rPr>
        <w:t>Diabetes is the biggest cause of renal failure worldwide</w:t>
      </w:r>
      <w:r w:rsidRPr="00C10ABF">
        <w:rPr>
          <w:rFonts w:ascii="Book Antiqua" w:hAnsi="Book Antiqua"/>
          <w:sz w:val="24"/>
          <w:szCs w:val="24"/>
          <w:vertAlign w:val="superscript"/>
        </w:rPr>
        <w:t>[1,2]</w:t>
      </w:r>
      <w:r w:rsidRPr="00C10ABF">
        <w:rPr>
          <w:rFonts w:ascii="Book Antiqua" w:hAnsi="Book Antiqua"/>
          <w:sz w:val="24"/>
          <w:szCs w:val="24"/>
        </w:rPr>
        <w:t>. Diabetes treatment is an very important factor in the overall survival of hemodialysis (HD) patients</w:t>
      </w:r>
      <w:r w:rsidRPr="00C10ABF">
        <w:rPr>
          <w:rFonts w:ascii="Book Antiqua" w:hAnsi="Book Antiqua"/>
          <w:sz w:val="24"/>
          <w:szCs w:val="24"/>
          <w:vertAlign w:val="superscript"/>
        </w:rPr>
        <w:t>[3,4]</w:t>
      </w:r>
      <w:r w:rsidRPr="00C10ABF">
        <w:rPr>
          <w:rFonts w:ascii="Book Antiqua" w:hAnsi="Book Antiqua"/>
          <w:sz w:val="24"/>
          <w:szCs w:val="24"/>
        </w:rPr>
        <w:t>. While insulin therapy is the primary treatment for HD patients, impaired eyesight caused by diabetic retinopathy and aging-related dementia make multiple daily insulin injections difficult for many patients</w:t>
      </w:r>
      <w:r w:rsidRPr="00C10ABF">
        <w:rPr>
          <w:rFonts w:ascii="Book Antiqua" w:hAnsi="Book Antiqua"/>
          <w:sz w:val="24"/>
          <w:szCs w:val="24"/>
          <w:vertAlign w:val="superscript"/>
        </w:rPr>
        <w:t>[5]</w:t>
      </w:r>
      <w:r w:rsidRPr="00C10ABF">
        <w:rPr>
          <w:rFonts w:ascii="Book Antiqua" w:hAnsi="Book Antiqua"/>
          <w:sz w:val="24"/>
          <w:szCs w:val="24"/>
        </w:rPr>
        <w:t>. Moreover, in HD patients, many diabetes oral medicines cause serious side effects such as hypoglycemia and lactic acidosis. Hence, the development of new diabetes oral medicines with little or no side effects is needed for these patients.</w:t>
      </w:r>
    </w:p>
    <w:p w:rsidR="0001465D" w:rsidRPr="00C10ABF" w:rsidRDefault="0001465D" w:rsidP="00C10ABF">
      <w:pPr>
        <w:snapToGrid w:val="0"/>
        <w:spacing w:line="360" w:lineRule="auto"/>
        <w:ind w:firstLineChars="100" w:firstLine="240"/>
        <w:rPr>
          <w:rFonts w:ascii="Book Antiqua" w:hAnsi="Book Antiqua"/>
          <w:kern w:val="0"/>
          <w:sz w:val="24"/>
          <w:szCs w:val="24"/>
        </w:rPr>
      </w:pPr>
      <w:r w:rsidRPr="00C10ABF">
        <w:rPr>
          <w:rFonts w:ascii="Book Antiqua" w:hAnsi="Book Antiqua"/>
          <w:sz w:val="24"/>
          <w:szCs w:val="24"/>
        </w:rPr>
        <w:t>Dipeptidase-4 (DPP-4) inhibitors are the most highly used diabetic drugs and show both a lower incidence of hypoglycemia and good safety</w:t>
      </w:r>
      <w:r w:rsidRPr="00C10ABF">
        <w:rPr>
          <w:rFonts w:ascii="Book Antiqua" w:hAnsi="Book Antiqua"/>
          <w:sz w:val="24"/>
          <w:szCs w:val="24"/>
          <w:vertAlign w:val="superscript"/>
        </w:rPr>
        <w:t>[6]</w:t>
      </w:r>
      <w:r w:rsidRPr="00C10ABF">
        <w:rPr>
          <w:rFonts w:ascii="Book Antiqua" w:hAnsi="Book Antiqua"/>
          <w:kern w:val="0"/>
          <w:sz w:val="24"/>
          <w:szCs w:val="24"/>
        </w:rPr>
        <w:t xml:space="preserve">. In addition, </w:t>
      </w:r>
      <w:r w:rsidRPr="00C10ABF">
        <w:rPr>
          <w:rFonts w:ascii="Book Antiqua" w:hAnsi="Book Antiqua"/>
          <w:sz w:val="24"/>
          <w:szCs w:val="24"/>
        </w:rPr>
        <w:t>they induce an ingestion control effect and may also prevent atherosclerosis and reduce cardiovascular events</w:t>
      </w:r>
      <w:r w:rsidRPr="00C10ABF">
        <w:rPr>
          <w:rFonts w:ascii="Book Antiqua" w:hAnsi="Book Antiqua"/>
          <w:sz w:val="24"/>
          <w:szCs w:val="24"/>
          <w:vertAlign w:val="superscript"/>
        </w:rPr>
        <w:t>[7,8]</w:t>
      </w:r>
      <w:r w:rsidRPr="00C10ABF">
        <w:rPr>
          <w:rFonts w:ascii="Book Antiqua" w:hAnsi="Book Antiqua"/>
          <w:kern w:val="0"/>
          <w:sz w:val="24"/>
          <w:szCs w:val="24"/>
        </w:rPr>
        <w:t xml:space="preserve">. Therefore, </w:t>
      </w:r>
      <w:r w:rsidRPr="00C10ABF">
        <w:rPr>
          <w:rFonts w:ascii="Book Antiqua" w:hAnsi="Book Antiqua"/>
          <w:sz w:val="24"/>
          <w:szCs w:val="24"/>
        </w:rPr>
        <w:t xml:space="preserve">these medications are strongly expected to improve the quality of life and prognosis of diabetic HD patients. </w:t>
      </w:r>
    </w:p>
    <w:p w:rsidR="0001465D" w:rsidRPr="00C10ABF" w:rsidRDefault="0001465D" w:rsidP="00C10ABF">
      <w:pPr>
        <w:snapToGrid w:val="0"/>
        <w:spacing w:line="360" w:lineRule="auto"/>
        <w:ind w:firstLineChars="100" w:firstLine="240"/>
        <w:rPr>
          <w:rFonts w:ascii="Book Antiqua" w:hAnsi="Book Antiqua"/>
          <w:sz w:val="24"/>
          <w:szCs w:val="24"/>
        </w:rPr>
      </w:pPr>
      <w:r w:rsidRPr="00C10ABF">
        <w:rPr>
          <w:rFonts w:ascii="Book Antiqua" w:hAnsi="Book Antiqua"/>
          <w:sz w:val="24"/>
          <w:szCs w:val="24"/>
        </w:rPr>
        <w:t>As a new class of diabetic medications, sodium-glucose co-transporter 2 (SGLT2) inhibitors both inhibit glucose reabsorption in renal tubules and increase glucose excretion, but cannot be administered to dialysis patients. G-protein–coupled receptor 40 (GPR40) agonist, GPR119 receptor agonist, and glucokinase activators are new antidiabetic medications currently in clinical trials and thus are not yet available. Therefore, DPP-4 inhibitors have been the mainstay drugs during the past several years for HD patients with diabetes. Accordingly, a comprehensive research of the pharmacokinetics and pharmacodynamics of DPP-4 inhibitors in HD patients is important. Some reports have investigated the effectiveness of DPP-4 inhibitors in HD patients</w:t>
      </w:r>
      <w:r w:rsidRPr="00C10ABF">
        <w:rPr>
          <w:rFonts w:ascii="Book Antiqua" w:hAnsi="Book Antiqua"/>
          <w:sz w:val="24"/>
          <w:szCs w:val="24"/>
          <w:vertAlign w:val="superscript"/>
        </w:rPr>
        <w:t>[9-18]</w:t>
      </w:r>
      <w:r w:rsidRPr="00C10ABF">
        <w:rPr>
          <w:rFonts w:ascii="Book Antiqua" w:hAnsi="Book Antiqua"/>
          <w:sz w:val="24"/>
          <w:szCs w:val="24"/>
        </w:rPr>
        <w:t>. However, there has been no review of new treatment strategies for HD patients who have diabetes and limited choices for its treatment. Therefore, this review evaluated the effects of DPP-4 inhibitors as a new therapeutic strategy for diabetic patients.</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eastAsia="宋体" w:hAnsi="Book Antiqua"/>
          <w:b/>
          <w:sz w:val="24"/>
          <w:szCs w:val="24"/>
          <w:lang w:eastAsia="zh-CN"/>
        </w:rPr>
      </w:pPr>
      <w:r w:rsidRPr="00C10ABF">
        <w:rPr>
          <w:rFonts w:ascii="Book Antiqua" w:hAnsi="Book Antiqua"/>
          <w:b/>
          <w:sz w:val="24"/>
          <w:szCs w:val="24"/>
        </w:rPr>
        <w:t>SEARCH STRATEGY</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A MEDLINE search (1966 to July 2014) for published clinical studies and pertinent review articles published in English was conducted with the following keywords: “DPP-4 inhibitor,” “hemodialysis,” “end stage renal disease,” “sitagliptin,” “vildagliptin,” “alogliptin,” “linagliptin,” “teneligliptin,” “anagliptin,” “saxagliptin,” “glucagon-like peptide-1 (GLP-1),” “insulin,” “glucagon,” and “insulin resistance.” References of identified articles were searched for additional relevant sources. Articles relevant to the efficacy, safety, and pharmacology of DPP-4 inhibitors in HD patients were also identified from the references cited in works obtained from the MEDLINE search results.</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eastAsia="宋体" w:hAnsi="Book Antiqua"/>
          <w:b/>
          <w:sz w:val="24"/>
          <w:szCs w:val="24"/>
          <w:lang w:eastAsia="zh-CN"/>
        </w:rPr>
      </w:pPr>
      <w:r w:rsidRPr="00C10ABF">
        <w:rPr>
          <w:rFonts w:ascii="Book Antiqua" w:hAnsi="Book Antiqua"/>
          <w:b/>
          <w:sz w:val="24"/>
          <w:szCs w:val="24"/>
        </w:rPr>
        <w:t>SEVEN DPP-4 INHIBITORS</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At present, 7 DPP-4 inhibitors are available worldwide: sitagliptin, vildagliptin, alogliptin, linagliptin, teneligliptin, anagliptin, and saxagliptin. All DPP-4 inhibitors are available to HD patients, and administration is once daily. However, the dose adjustments are different for each DPP-4 inhibitor. Five DPP-4 inhibitors are excreted renally (</w:t>
      </w:r>
      <w:r w:rsidRPr="00C10ABF">
        <w:rPr>
          <w:rFonts w:ascii="Book Antiqua" w:hAnsi="Book Antiqua"/>
          <w:i/>
          <w:sz w:val="24"/>
          <w:szCs w:val="24"/>
        </w:rPr>
        <w:t>i.e.</w:t>
      </w:r>
      <w:r w:rsidRPr="00C10ABF">
        <w:rPr>
          <w:rFonts w:ascii="Book Antiqua" w:hAnsi="Book Antiqua"/>
          <w:sz w:val="24"/>
          <w:szCs w:val="24"/>
        </w:rPr>
        <w:t>, sitagliptin, vildagliptin, alogliptin, anagliptin, and saxagliptin). Meanwhile, both linagliptin and teneligliptin are excreted through bile; therefore, a reduction of the dose is unnecessary for HD patients. In particular, the renal excretion rate of linagliptin is 5%, which is the lowest among the DPP-4 inhibitors</w:t>
      </w:r>
      <w:r w:rsidRPr="00C10ABF">
        <w:rPr>
          <w:rFonts w:ascii="Book Antiqua" w:hAnsi="Book Antiqua"/>
          <w:sz w:val="24"/>
          <w:szCs w:val="24"/>
          <w:vertAlign w:val="superscript"/>
        </w:rPr>
        <w:t>[19]</w:t>
      </w:r>
      <w:r w:rsidRPr="00C10ABF">
        <w:rPr>
          <w:rFonts w:ascii="Book Antiqua" w:hAnsi="Book Antiqua"/>
          <w:sz w:val="24"/>
          <w:szCs w:val="24"/>
        </w:rPr>
        <w:t>. Therefore, linagliptin is easy to use in patients with renal failure including HD patients. DPP-4 inhibitors interact with dipeptidase-4 in 2 different ways</w:t>
      </w:r>
      <w:r w:rsidRPr="00C10ABF">
        <w:rPr>
          <w:rFonts w:ascii="Book Antiqua" w:hAnsi="Book Antiqua"/>
          <w:sz w:val="24"/>
          <w:szCs w:val="24"/>
          <w:vertAlign w:val="superscript"/>
        </w:rPr>
        <w:t>[20]</w:t>
      </w:r>
      <w:r w:rsidRPr="00C10ABF">
        <w:rPr>
          <w:rFonts w:ascii="Book Antiqua" w:hAnsi="Book Antiqua"/>
          <w:sz w:val="24"/>
          <w:szCs w:val="24"/>
        </w:rPr>
        <w:t>. The inhibition of DPP-4 by vildagliptin and saxagliptin is a 2-step process entailing the formation of a reversible covalent enzyme-inhibitor complex; this is characterized by slow rates of inhibitor binding and inhibitor dissociation, and results in the enzyme equilibrating slowly between its active and inactive forms</w:t>
      </w:r>
      <w:r w:rsidRPr="00C10ABF">
        <w:rPr>
          <w:rFonts w:ascii="Book Antiqua" w:hAnsi="Book Antiqua"/>
          <w:sz w:val="24"/>
          <w:szCs w:val="24"/>
          <w:vertAlign w:val="superscript"/>
        </w:rPr>
        <w:t>[21,22]</w:t>
      </w:r>
      <w:r w:rsidRPr="00C10ABF">
        <w:rPr>
          <w:rFonts w:ascii="Book Antiqua" w:hAnsi="Book Antiqua"/>
          <w:sz w:val="24"/>
          <w:szCs w:val="24"/>
        </w:rPr>
        <w:t>. In contrast, the other DPP-4 inhibitors form noncovalent bonds (</w:t>
      </w:r>
      <w:r w:rsidRPr="00C10ABF">
        <w:rPr>
          <w:rFonts w:ascii="Book Antiqua" w:hAnsi="Book Antiqua"/>
          <w:i/>
          <w:sz w:val="24"/>
          <w:szCs w:val="24"/>
        </w:rPr>
        <w:t>i.e.</w:t>
      </w:r>
      <w:r w:rsidRPr="00C10ABF">
        <w:rPr>
          <w:rFonts w:ascii="Book Antiqua" w:hAnsi="Book Antiqua"/>
          <w:sz w:val="24"/>
          <w:szCs w:val="24"/>
        </w:rPr>
        <w:t>, hydrogen bonds) with residues present in the catalytic site</w:t>
      </w:r>
      <w:r w:rsidRPr="00C10ABF">
        <w:rPr>
          <w:rFonts w:ascii="Book Antiqua" w:hAnsi="Book Antiqua"/>
          <w:sz w:val="24"/>
          <w:szCs w:val="24"/>
          <w:vertAlign w:val="superscript"/>
        </w:rPr>
        <w:t>[23-25]</w:t>
      </w:r>
      <w:r w:rsidRPr="00C10ABF">
        <w:rPr>
          <w:rFonts w:ascii="Book Antiqua" w:hAnsi="Book Antiqua"/>
          <w:sz w:val="24"/>
          <w:szCs w:val="24"/>
        </w:rPr>
        <w:t>. Some metabolites of DPP-4 inhibitors have drug activities. For example, 5-hydroxysaxagliptin is a metabolite of saxagliptin and has a half of the activity of the original drug</w:t>
      </w:r>
      <w:r w:rsidRPr="00C10ABF">
        <w:rPr>
          <w:rFonts w:ascii="Book Antiqua" w:hAnsi="Book Antiqua"/>
          <w:sz w:val="24"/>
          <w:szCs w:val="24"/>
          <w:vertAlign w:val="superscript"/>
        </w:rPr>
        <w:t>[26]</w:t>
      </w:r>
      <w:r w:rsidRPr="00C10ABF">
        <w:rPr>
          <w:rFonts w:ascii="Book Antiqua" w:hAnsi="Book Antiqua"/>
          <w:sz w:val="24"/>
          <w:szCs w:val="24"/>
        </w:rPr>
        <w:t>. Therefore, unchanged substances are not representative of the effects of all drugs</w:t>
      </w:r>
      <w:r w:rsidRPr="00C10ABF">
        <w:rPr>
          <w:rFonts w:ascii="Book Antiqua" w:eastAsia="宋体" w:hAnsi="Book Antiqua"/>
          <w:sz w:val="24"/>
          <w:szCs w:val="24"/>
          <w:lang w:eastAsia="zh-CN"/>
        </w:rPr>
        <w:t xml:space="preserve"> </w:t>
      </w:r>
      <w:r w:rsidRPr="00C10ABF">
        <w:rPr>
          <w:rFonts w:ascii="Book Antiqua" w:hAnsi="Book Antiqua"/>
          <w:sz w:val="24"/>
          <w:szCs w:val="24"/>
        </w:rPr>
        <w:t>(Table 1).</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Sitagliptin</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The molecular weight of sitagliptin is 523.32 Da, and the administration therapeutic dosage is 25 mg once daily in HD patients. The bioavailability of this medicine is 87%</w:t>
      </w:r>
      <w:r w:rsidRPr="00C10ABF">
        <w:rPr>
          <w:rFonts w:ascii="Book Antiqua" w:hAnsi="Book Antiqua"/>
          <w:sz w:val="24"/>
          <w:szCs w:val="24"/>
          <w:vertAlign w:val="superscript"/>
        </w:rPr>
        <w:t>[27]</w:t>
      </w:r>
      <w:r w:rsidRPr="00C10ABF">
        <w:rPr>
          <w:rFonts w:ascii="Book Antiqua" w:hAnsi="Book Antiqua"/>
          <w:sz w:val="24"/>
          <w:szCs w:val="24"/>
        </w:rPr>
        <w:t>, and the protein-binding rate is 38%</w:t>
      </w:r>
      <w:r w:rsidRPr="00C10ABF">
        <w:rPr>
          <w:rFonts w:ascii="Book Antiqua" w:hAnsi="Book Antiqua"/>
          <w:sz w:val="24"/>
          <w:szCs w:val="24"/>
          <w:vertAlign w:val="superscript"/>
        </w:rPr>
        <w:t>[28]</w:t>
      </w:r>
      <w:r w:rsidRPr="00C10ABF">
        <w:rPr>
          <w:rFonts w:ascii="Book Antiqua" w:hAnsi="Book Antiqua"/>
          <w:sz w:val="24"/>
          <w:szCs w:val="24"/>
        </w:rPr>
        <w:t>. Hepatic metabolism by CYP3A4 and CYP2C8 is low, and active metabolites are not produced. Therefore, most sitagliptin is excreted unchanged in the urine (87%) and feces (13%)</w:t>
      </w:r>
      <w:r w:rsidRPr="00C10ABF">
        <w:rPr>
          <w:rFonts w:ascii="Book Antiqua" w:hAnsi="Book Antiqua"/>
          <w:sz w:val="24"/>
          <w:szCs w:val="24"/>
          <w:vertAlign w:val="superscript"/>
        </w:rPr>
        <w:t>[29]</w:t>
      </w:r>
      <w:r w:rsidRPr="00C10ABF">
        <w:rPr>
          <w:rFonts w:ascii="Book Antiqua" w:hAnsi="Book Antiqua"/>
          <w:sz w:val="24"/>
          <w:szCs w:val="24"/>
        </w:rPr>
        <w:t>. After the administration of sitagliptin 50 mg, compared to cohorts with normal renal function, HD patients had 1.4-fold higher observed plasma maximum concentration (Cmax) levels, 4.5-fold higher area under the curve</w:t>
      </w:r>
      <w:r w:rsidRPr="00C10ABF">
        <w:rPr>
          <w:rFonts w:ascii="Book Antiqua" w:eastAsia="宋体" w:hAnsi="Book Antiqua"/>
          <w:sz w:val="24"/>
          <w:szCs w:val="24"/>
          <w:lang w:eastAsia="zh-CN"/>
        </w:rPr>
        <w:t xml:space="preserve"> (AUC)</w:t>
      </w:r>
      <w:r w:rsidRPr="00C10ABF">
        <w:rPr>
          <w:rFonts w:ascii="Book Antiqua" w:hAnsi="Book Antiqua"/>
          <w:sz w:val="24"/>
          <w:szCs w:val="24"/>
        </w:rPr>
        <w:t>, and a 2.2-fold higher half-life (t</w:t>
      </w:r>
      <w:r w:rsidRPr="00C10ABF">
        <w:rPr>
          <w:rFonts w:ascii="Book Antiqua" w:hAnsi="Book Antiqua"/>
          <w:sz w:val="24"/>
          <w:szCs w:val="24"/>
          <w:vertAlign w:val="subscript"/>
        </w:rPr>
        <w:t>1/2</w:t>
      </w:r>
      <w:r w:rsidRPr="00C10ABF">
        <w:rPr>
          <w:rFonts w:ascii="Book Antiqua" w:hAnsi="Book Antiqua"/>
          <w:sz w:val="24"/>
          <w:szCs w:val="24"/>
        </w:rPr>
        <w:t>)</w:t>
      </w:r>
      <w:r w:rsidRPr="00C10ABF">
        <w:rPr>
          <w:rFonts w:ascii="Book Antiqua" w:hAnsi="Book Antiqua"/>
          <w:sz w:val="24"/>
          <w:szCs w:val="24"/>
          <w:vertAlign w:val="superscript"/>
        </w:rPr>
        <w:t>[28,30]</w:t>
      </w:r>
      <w:r w:rsidRPr="00C10ABF">
        <w:rPr>
          <w:rFonts w:ascii="Book Antiqua" w:hAnsi="Book Antiqua"/>
          <w:sz w:val="24"/>
          <w:szCs w:val="24"/>
        </w:rPr>
        <w:t>. Furthermore, 13.5% of this drug is excreted by 4 h of HD</w:t>
      </w:r>
      <w:r w:rsidRPr="00C10ABF">
        <w:rPr>
          <w:rFonts w:ascii="Book Antiqua" w:hAnsi="Book Antiqua"/>
          <w:sz w:val="24"/>
          <w:szCs w:val="24"/>
          <w:vertAlign w:val="superscript"/>
        </w:rPr>
        <w:t>[31]</w:t>
      </w:r>
      <w:r w:rsidRPr="00C10ABF">
        <w:rPr>
          <w:rFonts w:ascii="Book Antiqua" w:hAnsi="Book Antiqua"/>
          <w:sz w:val="24"/>
          <w:szCs w:val="24"/>
        </w:rPr>
        <w:t>.</w:t>
      </w:r>
    </w:p>
    <w:p w:rsidR="0001465D" w:rsidRPr="00C10ABF" w:rsidRDefault="0001465D" w:rsidP="00F25235">
      <w:pPr>
        <w:snapToGrid w:val="0"/>
        <w:spacing w:line="360" w:lineRule="auto"/>
        <w:rPr>
          <w:rFonts w:ascii="Book Antiqua" w:hAnsi="Book Antiqua"/>
          <w:sz w:val="24"/>
          <w:szCs w:val="24"/>
          <w:vertAlign w:val="superscript"/>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Vildagliptin</w:t>
      </w: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sz w:val="24"/>
          <w:szCs w:val="24"/>
        </w:rPr>
        <w:t>Vildagliptin has a molecular weight of 303.40 Da and is administered therapeutically at a dosage of 50 mg once daily in HD patients. The bioavailability and protein binding rate are 85%</w:t>
      </w:r>
      <w:r w:rsidRPr="00C10ABF">
        <w:rPr>
          <w:rFonts w:ascii="Book Antiqua" w:hAnsi="Book Antiqua"/>
          <w:sz w:val="24"/>
          <w:szCs w:val="24"/>
          <w:vertAlign w:val="superscript"/>
        </w:rPr>
        <w:t xml:space="preserve">[32,33] </w:t>
      </w:r>
      <w:r w:rsidRPr="00C10ABF">
        <w:rPr>
          <w:rFonts w:ascii="Book Antiqua" w:hAnsi="Book Antiqua"/>
          <w:sz w:val="24"/>
          <w:szCs w:val="24"/>
        </w:rPr>
        <w:t>and 9.3%</w:t>
      </w:r>
      <w:r w:rsidRPr="00C10ABF">
        <w:rPr>
          <w:rFonts w:ascii="Book Antiqua" w:hAnsi="Book Antiqua"/>
          <w:sz w:val="24"/>
          <w:szCs w:val="24"/>
          <w:vertAlign w:val="superscript"/>
        </w:rPr>
        <w:t>[33,34]</w:t>
      </w:r>
      <w:r w:rsidRPr="00C10ABF">
        <w:rPr>
          <w:rFonts w:ascii="Book Antiqua" w:hAnsi="Book Antiqua"/>
          <w:sz w:val="24"/>
          <w:szCs w:val="24"/>
        </w:rPr>
        <w:t>, respectively. The mean elimination t</w:t>
      </w:r>
      <w:r w:rsidRPr="00C10ABF">
        <w:rPr>
          <w:rFonts w:ascii="Book Antiqua" w:hAnsi="Book Antiqua"/>
          <w:sz w:val="24"/>
          <w:szCs w:val="24"/>
          <w:vertAlign w:val="subscript"/>
        </w:rPr>
        <w:t>1/2</w:t>
      </w:r>
      <w:r w:rsidRPr="00C10ABF">
        <w:rPr>
          <w:rFonts w:ascii="Book Antiqua" w:hAnsi="Book Antiqua"/>
          <w:sz w:val="24"/>
          <w:szCs w:val="24"/>
        </w:rPr>
        <w:t xml:space="preserve"> after intravenous administration is short (about 2 h), and the amount of renal excretion of unchanged vildagliptin is 23% of the oral administration dose</w:t>
      </w:r>
      <w:r w:rsidRPr="00C10ABF">
        <w:rPr>
          <w:rFonts w:ascii="Book Antiqua" w:hAnsi="Book Antiqua"/>
          <w:sz w:val="24"/>
          <w:szCs w:val="24"/>
          <w:vertAlign w:val="superscript"/>
        </w:rPr>
        <w:t>[34,35]</w:t>
      </w:r>
      <w:r w:rsidRPr="00C10ABF">
        <w:rPr>
          <w:rFonts w:ascii="Book Antiqua" w:hAnsi="Book Antiqua"/>
          <w:sz w:val="24"/>
          <w:szCs w:val="24"/>
        </w:rPr>
        <w:t>. Relative to cohorts with normal renal function, HD patients who received an administration of vildagliptin 50 mg had 1.4-fold and 2.0-fold higher Cmax levels and AUC, respectively. Following the administration of vildagliptin 100 mg, HD patients had 2.0-fold higher t</w:t>
      </w:r>
      <w:r w:rsidRPr="00C10ABF">
        <w:rPr>
          <w:rFonts w:ascii="Book Antiqua" w:hAnsi="Book Antiqua"/>
          <w:sz w:val="24"/>
          <w:szCs w:val="24"/>
          <w:vertAlign w:val="subscript"/>
        </w:rPr>
        <w:t xml:space="preserve">1/2 </w:t>
      </w:r>
      <w:r w:rsidRPr="00C10ABF">
        <w:rPr>
          <w:rFonts w:ascii="Book Antiqua" w:hAnsi="Book Antiqua"/>
          <w:sz w:val="24"/>
          <w:szCs w:val="24"/>
        </w:rPr>
        <w:t>as compared to those with normal renal function. Additionally, 3% of this drug is removed by 4 h of HD</w:t>
      </w:r>
      <w:r w:rsidRPr="00C10ABF">
        <w:rPr>
          <w:rFonts w:ascii="Book Antiqua" w:hAnsi="Book Antiqua"/>
          <w:sz w:val="24"/>
          <w:szCs w:val="24"/>
          <w:vertAlign w:val="superscript"/>
        </w:rPr>
        <w:t>[34]</w:t>
      </w:r>
      <w:r w:rsidRPr="00C10ABF">
        <w:rPr>
          <w:rFonts w:ascii="Book Antiqua" w:hAnsi="Book Antiqua"/>
          <w:sz w:val="24"/>
          <w:szCs w:val="24"/>
        </w:rPr>
        <w:t>.</w:t>
      </w:r>
    </w:p>
    <w:p w:rsidR="0001465D" w:rsidRPr="00C10ABF" w:rsidRDefault="0001465D" w:rsidP="00C10ABF">
      <w:pPr>
        <w:snapToGrid w:val="0"/>
        <w:spacing w:line="360" w:lineRule="auto"/>
        <w:ind w:firstLineChars="200" w:firstLine="480"/>
        <w:rPr>
          <w:rFonts w:ascii="Book Antiqua" w:hAnsi="Book Antiqua"/>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Alogliptin</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At a molecular weight of 339.39 Da,</w:t>
      </w:r>
      <w:r w:rsidRPr="00C10ABF" w:rsidDel="00E11B6D">
        <w:rPr>
          <w:rFonts w:ascii="Book Antiqua" w:hAnsi="Book Antiqua"/>
          <w:sz w:val="24"/>
          <w:szCs w:val="24"/>
        </w:rPr>
        <w:t xml:space="preserve"> </w:t>
      </w:r>
      <w:r w:rsidRPr="00C10ABF">
        <w:rPr>
          <w:rFonts w:ascii="Book Antiqua" w:hAnsi="Book Antiqua"/>
          <w:sz w:val="24"/>
          <w:szCs w:val="24"/>
        </w:rPr>
        <w:t>alogliptin is administered at a therapeutic dosage of 6.25 mg once daily in HD patients. Its bioavailability is 100%, and the protein-binding rate is 28.2</w:t>
      </w:r>
      <w:r w:rsidRPr="00C10ABF">
        <w:rPr>
          <w:rFonts w:ascii="Book Antiqua" w:eastAsia="宋体" w:hAnsi="Book Antiqua"/>
          <w:sz w:val="24"/>
          <w:szCs w:val="24"/>
          <w:lang w:eastAsia="zh-CN"/>
        </w:rPr>
        <w:t>%</w:t>
      </w:r>
      <w:r w:rsidRPr="00C10ABF">
        <w:rPr>
          <w:rFonts w:ascii="Book Antiqua" w:hAnsi="Book Antiqua"/>
          <w:sz w:val="24"/>
          <w:szCs w:val="24"/>
        </w:rPr>
        <w:t>–38.4%</w:t>
      </w:r>
      <w:r w:rsidRPr="00C10ABF">
        <w:rPr>
          <w:rFonts w:ascii="Book Antiqua" w:hAnsi="Book Antiqua"/>
          <w:sz w:val="24"/>
          <w:szCs w:val="24"/>
          <w:vertAlign w:val="superscript"/>
        </w:rPr>
        <w:t>[36]</w:t>
      </w:r>
      <w:r w:rsidRPr="00C10ABF">
        <w:rPr>
          <w:rFonts w:ascii="Book Antiqua" w:hAnsi="Book Antiqua"/>
          <w:sz w:val="24"/>
          <w:szCs w:val="24"/>
        </w:rPr>
        <w:t>. In comparison to cohorts with normal renal function, HD patients had 3.2-fold and 3.8-fold higher Cmax levels and AUC, respectively, following administration of alogliptin 50 mg. The t</w:t>
      </w:r>
      <w:r w:rsidRPr="00C10ABF">
        <w:rPr>
          <w:rFonts w:ascii="Book Antiqua" w:hAnsi="Book Antiqua"/>
          <w:sz w:val="24"/>
          <w:szCs w:val="24"/>
          <w:vertAlign w:val="subscript"/>
        </w:rPr>
        <w:t>1/2</w:t>
      </w:r>
      <w:r w:rsidRPr="00C10ABF">
        <w:rPr>
          <w:rFonts w:ascii="Book Antiqua" w:hAnsi="Book Antiqua"/>
          <w:sz w:val="24"/>
          <w:szCs w:val="24"/>
        </w:rPr>
        <w:t xml:space="preserve"> is unknown in HD patients. Furthermore, 7.2% of this drug is removed by 4 h of HD</w:t>
      </w:r>
      <w:r w:rsidRPr="00C10ABF">
        <w:rPr>
          <w:rFonts w:ascii="Book Antiqua" w:hAnsi="Book Antiqua"/>
          <w:sz w:val="24"/>
          <w:szCs w:val="24"/>
          <w:vertAlign w:val="superscript"/>
        </w:rPr>
        <w:t>[36,37]</w:t>
      </w:r>
      <w:r w:rsidRPr="00C10ABF">
        <w:rPr>
          <w:rFonts w:ascii="Book Antiqua" w:hAnsi="Book Antiqua"/>
          <w:sz w:val="24"/>
          <w:szCs w:val="24"/>
        </w:rPr>
        <w:t>.</w:t>
      </w:r>
      <w:r w:rsidRPr="00C10ABF">
        <w:rPr>
          <w:rFonts w:ascii="Book Antiqua" w:hAnsi="Book Antiqua"/>
          <w:sz w:val="24"/>
          <w:szCs w:val="24"/>
          <w:vertAlign w:val="superscript"/>
        </w:rPr>
        <w:t xml:space="preserve"> </w:t>
      </w:r>
    </w:p>
    <w:p w:rsidR="0001465D" w:rsidRPr="00C10ABF" w:rsidRDefault="0001465D" w:rsidP="00C10ABF">
      <w:pPr>
        <w:snapToGrid w:val="0"/>
        <w:spacing w:line="360" w:lineRule="auto"/>
        <w:ind w:firstLineChars="200" w:firstLine="480"/>
        <w:rPr>
          <w:rFonts w:ascii="Book Antiqua" w:hAnsi="Book Antiqua"/>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Linagliptin</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Linagliptin has a molecular weight of 472.54 Da, and the therapeutic dosage is 5 mg once daily in HD patients. Its bioavailability and protein binding rate are 30%</w:t>
      </w:r>
      <w:r w:rsidRPr="00C10ABF">
        <w:rPr>
          <w:rFonts w:ascii="Book Antiqua" w:hAnsi="Book Antiqua"/>
          <w:sz w:val="24"/>
          <w:szCs w:val="24"/>
          <w:vertAlign w:val="superscript"/>
        </w:rPr>
        <w:t>[38,39]</w:t>
      </w:r>
      <w:r w:rsidRPr="00C10ABF">
        <w:rPr>
          <w:rFonts w:ascii="Book Antiqua" w:hAnsi="Book Antiqua"/>
          <w:sz w:val="24"/>
          <w:szCs w:val="24"/>
        </w:rPr>
        <w:t xml:space="preserve"> and &gt;</w:t>
      </w:r>
      <w:r w:rsidRPr="00C10ABF">
        <w:rPr>
          <w:rFonts w:ascii="Book Antiqua" w:eastAsia="宋体" w:hAnsi="Book Antiqua"/>
          <w:sz w:val="24"/>
          <w:szCs w:val="24"/>
          <w:lang w:eastAsia="zh-CN"/>
        </w:rPr>
        <w:t xml:space="preserve"> </w:t>
      </w:r>
      <w:r w:rsidRPr="00C10ABF">
        <w:rPr>
          <w:rFonts w:ascii="Book Antiqua" w:hAnsi="Book Antiqua"/>
          <w:sz w:val="24"/>
          <w:szCs w:val="24"/>
        </w:rPr>
        <w:t>80%</w:t>
      </w:r>
      <w:r w:rsidRPr="00C10ABF">
        <w:rPr>
          <w:rFonts w:ascii="Book Antiqua" w:hAnsi="Book Antiqua"/>
          <w:sz w:val="24"/>
          <w:szCs w:val="24"/>
          <w:vertAlign w:val="superscript"/>
        </w:rPr>
        <w:t>[19]</w:t>
      </w:r>
      <w:r w:rsidRPr="00C10ABF">
        <w:rPr>
          <w:rFonts w:ascii="Book Antiqua" w:hAnsi="Book Antiqua"/>
          <w:sz w:val="24"/>
          <w:szCs w:val="24"/>
        </w:rPr>
        <w:t>, respectively. Relative to cohorts with normal renal function, the HD patients showed 1.5-fold higher Cmax levels and 1.5-fold higher AUC after the administration of linagliptin 5 mg. The t</w:t>
      </w:r>
      <w:r w:rsidRPr="00C10ABF">
        <w:rPr>
          <w:rFonts w:ascii="Book Antiqua" w:hAnsi="Book Antiqua"/>
          <w:sz w:val="24"/>
          <w:szCs w:val="24"/>
          <w:vertAlign w:val="subscript"/>
        </w:rPr>
        <w:t>1/2</w:t>
      </w:r>
      <w:r w:rsidRPr="00C10ABF">
        <w:rPr>
          <w:rFonts w:ascii="Book Antiqua" w:hAnsi="Book Antiqua"/>
          <w:sz w:val="24"/>
          <w:szCs w:val="24"/>
        </w:rPr>
        <w:t xml:space="preserve"> and dialyzability are unknown in HD patients</w:t>
      </w:r>
      <w:r w:rsidRPr="00C10ABF">
        <w:rPr>
          <w:rFonts w:ascii="Book Antiqua" w:hAnsi="Book Antiqua"/>
          <w:sz w:val="24"/>
          <w:szCs w:val="24"/>
          <w:vertAlign w:val="superscript"/>
        </w:rPr>
        <w:t>[40,41]</w:t>
      </w:r>
      <w:r w:rsidRPr="00C10ABF">
        <w:rPr>
          <w:rFonts w:ascii="Book Antiqua" w:hAnsi="Book Antiqua"/>
          <w:sz w:val="24"/>
          <w:szCs w:val="24"/>
        </w:rPr>
        <w:t>.</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Teneligliptin</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The molecular weight of teneligliptin is 628.86 Da, and the therapeutic dosage is 20 mg once daily in HD patients. Its bioavailability is unknown, and the protein-binding rate is 77.6</w:t>
      </w:r>
      <w:r w:rsidRPr="00C10ABF">
        <w:rPr>
          <w:rFonts w:ascii="Book Antiqua" w:eastAsia="宋体" w:hAnsi="Book Antiqua"/>
          <w:sz w:val="24"/>
          <w:szCs w:val="24"/>
          <w:lang w:eastAsia="zh-CN"/>
        </w:rPr>
        <w:t>%</w:t>
      </w:r>
      <w:r w:rsidRPr="00C10ABF">
        <w:rPr>
          <w:rFonts w:ascii="Book Antiqua" w:hAnsi="Book Antiqua"/>
          <w:sz w:val="24"/>
          <w:szCs w:val="24"/>
        </w:rPr>
        <w:t>–82.2%</w:t>
      </w:r>
      <w:r w:rsidRPr="00C10ABF">
        <w:rPr>
          <w:rFonts w:ascii="Book Antiqua" w:hAnsi="Book Antiqua"/>
          <w:sz w:val="24"/>
          <w:szCs w:val="24"/>
          <w:vertAlign w:val="superscript"/>
        </w:rPr>
        <w:t>[42]</w:t>
      </w:r>
      <w:r w:rsidRPr="00C10ABF">
        <w:rPr>
          <w:rFonts w:ascii="Book Antiqua" w:hAnsi="Book Antiqua"/>
          <w:sz w:val="24"/>
          <w:szCs w:val="24"/>
        </w:rPr>
        <w:t>. Compared to cohorts with normal renal function, HD patients had 4.5-fold higher AUC after teneligliptin 20 mg administration. The Cmax levels and t</w:t>
      </w:r>
      <w:r w:rsidRPr="00C10ABF">
        <w:rPr>
          <w:rFonts w:ascii="Book Antiqua" w:hAnsi="Book Antiqua"/>
          <w:sz w:val="24"/>
          <w:szCs w:val="24"/>
          <w:vertAlign w:val="subscript"/>
        </w:rPr>
        <w:t>1/2</w:t>
      </w:r>
      <w:r w:rsidRPr="00C10ABF">
        <w:rPr>
          <w:rFonts w:ascii="Book Antiqua" w:hAnsi="Book Antiqua"/>
          <w:sz w:val="24"/>
          <w:szCs w:val="24"/>
        </w:rPr>
        <w:t xml:space="preserve"> in HD patients are the same as those in subjects with normal renal function after teneligliptin 20 mg administration. Furthermore, 15.6% of this drug is removed by 4 h of HD</w:t>
      </w:r>
      <w:r w:rsidRPr="00C10ABF">
        <w:rPr>
          <w:rFonts w:ascii="Book Antiqua" w:hAnsi="Book Antiqua"/>
          <w:sz w:val="24"/>
          <w:szCs w:val="24"/>
          <w:vertAlign w:val="superscript"/>
        </w:rPr>
        <w:t>[42]</w:t>
      </w:r>
      <w:r w:rsidRPr="00C10ABF">
        <w:rPr>
          <w:rFonts w:ascii="Book Antiqua" w:hAnsi="Book Antiqua"/>
          <w:sz w:val="24"/>
          <w:szCs w:val="24"/>
        </w:rPr>
        <w:t>.</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Anagliptin</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Anagliptin has a molecular weight of 383.45 Da, and is administered at a therapeutic dose of 100 mg once daily in HD patients. Its bioavailability and protein-binding rate are 73.2% and 37.1</w:t>
      </w:r>
      <w:r w:rsidRPr="00C10ABF">
        <w:rPr>
          <w:rFonts w:ascii="Book Antiqua" w:eastAsia="宋体" w:hAnsi="Book Antiqua"/>
          <w:sz w:val="24"/>
          <w:szCs w:val="24"/>
          <w:lang w:eastAsia="zh-CN"/>
        </w:rPr>
        <w:t>%</w:t>
      </w:r>
      <w:r w:rsidRPr="00C10ABF">
        <w:rPr>
          <w:rFonts w:ascii="Book Antiqua" w:hAnsi="Book Antiqua"/>
          <w:sz w:val="24"/>
          <w:szCs w:val="24"/>
        </w:rPr>
        <w:t>–48.2%, respectively</w:t>
      </w:r>
      <w:r w:rsidRPr="00C10ABF">
        <w:rPr>
          <w:rFonts w:ascii="Book Antiqua" w:hAnsi="Book Antiqua"/>
          <w:sz w:val="24"/>
          <w:szCs w:val="24"/>
          <w:vertAlign w:val="superscript"/>
        </w:rPr>
        <w:t>[43]</w:t>
      </w:r>
      <w:r w:rsidRPr="00C10ABF">
        <w:rPr>
          <w:rFonts w:ascii="Book Antiqua" w:hAnsi="Book Antiqua"/>
          <w:sz w:val="24"/>
          <w:szCs w:val="24"/>
        </w:rPr>
        <w:t>. Relative to cohorts with normal renal function, HD patients had 1.4-fold higher Cmax levels, 3.2-fold higher AUC, and 0.9-fold higher t</w:t>
      </w:r>
      <w:r w:rsidRPr="00C10ABF">
        <w:rPr>
          <w:rFonts w:ascii="Book Antiqua" w:hAnsi="Book Antiqua"/>
          <w:sz w:val="24"/>
          <w:szCs w:val="24"/>
          <w:vertAlign w:val="subscript"/>
        </w:rPr>
        <w:t>1/2</w:t>
      </w:r>
      <w:r w:rsidRPr="00C10ABF">
        <w:rPr>
          <w:rFonts w:ascii="Book Antiqua" w:hAnsi="Book Antiqua"/>
          <w:sz w:val="24"/>
          <w:szCs w:val="24"/>
        </w:rPr>
        <w:t xml:space="preserve"> after anagliptin 400 mg administration</w:t>
      </w:r>
      <w:r w:rsidRPr="00C10ABF">
        <w:rPr>
          <w:rFonts w:ascii="Book Antiqua" w:hAnsi="Book Antiqua"/>
          <w:sz w:val="24"/>
          <w:szCs w:val="24"/>
          <w:vertAlign w:val="superscript"/>
        </w:rPr>
        <w:t>[43]</w:t>
      </w:r>
      <w:r w:rsidRPr="00C10ABF">
        <w:rPr>
          <w:rFonts w:ascii="Book Antiqua" w:hAnsi="Book Antiqua"/>
          <w:sz w:val="24"/>
          <w:szCs w:val="24"/>
        </w:rPr>
        <w:t>. The dialyzability of this drug in HD patients is unknown.</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Saxagliptin</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At a molecular weight of 333.43 Da, saxagliptin is administered at a therapeutic dosage of 2.5 mg once daily in HD patients. Its protein-binding rate is negligible</w:t>
      </w:r>
      <w:r w:rsidRPr="00C10ABF">
        <w:rPr>
          <w:rFonts w:ascii="Book Antiqua" w:hAnsi="Book Antiqua"/>
          <w:sz w:val="24"/>
          <w:szCs w:val="24"/>
          <w:vertAlign w:val="superscript"/>
        </w:rPr>
        <w:t>[44]</w:t>
      </w:r>
      <w:r w:rsidRPr="00C10ABF">
        <w:rPr>
          <w:rFonts w:ascii="Book Antiqua" w:hAnsi="Book Antiqua"/>
          <w:sz w:val="24"/>
          <w:szCs w:val="24"/>
        </w:rPr>
        <w:t>. Compared to cohorts with normal renal function, HD patients had a 2.1-fold higher AUC after saxagliptin 10 mg administration</w:t>
      </w:r>
      <w:r w:rsidRPr="00C10ABF">
        <w:rPr>
          <w:rFonts w:ascii="Book Antiqua" w:hAnsi="Book Antiqua"/>
          <w:sz w:val="24"/>
          <w:szCs w:val="24"/>
          <w:vertAlign w:val="superscript"/>
        </w:rPr>
        <w:t>[45]</w:t>
      </w:r>
      <w:r w:rsidRPr="00C10ABF">
        <w:rPr>
          <w:rFonts w:ascii="Book Antiqua" w:hAnsi="Book Antiqua"/>
          <w:sz w:val="24"/>
          <w:szCs w:val="24"/>
        </w:rPr>
        <w:t>. The Cmax levels and t</w:t>
      </w:r>
      <w:r w:rsidRPr="00C10ABF">
        <w:rPr>
          <w:rFonts w:ascii="Book Antiqua" w:hAnsi="Book Antiqua"/>
          <w:sz w:val="24"/>
          <w:szCs w:val="24"/>
          <w:vertAlign w:val="subscript"/>
        </w:rPr>
        <w:t>1/2</w:t>
      </w:r>
      <w:r w:rsidRPr="00C10ABF">
        <w:rPr>
          <w:rFonts w:ascii="Book Antiqua" w:hAnsi="Book Antiqua"/>
          <w:sz w:val="24"/>
          <w:szCs w:val="24"/>
        </w:rPr>
        <w:t xml:space="preserve"> are unknown in HD patients. Furthermore, 4.0% of this drug is removed by 4 h of HD</w:t>
      </w:r>
      <w:r w:rsidRPr="00C10ABF">
        <w:rPr>
          <w:rFonts w:ascii="Book Antiqua" w:hAnsi="Book Antiqua"/>
          <w:sz w:val="24"/>
          <w:szCs w:val="24"/>
          <w:vertAlign w:val="superscript"/>
        </w:rPr>
        <w:t>[45]</w:t>
      </w:r>
      <w:r w:rsidRPr="00C10ABF">
        <w:rPr>
          <w:rFonts w:ascii="Book Antiqua" w:hAnsi="Book Antiqua"/>
          <w:sz w:val="24"/>
          <w:szCs w:val="24"/>
        </w:rPr>
        <w:t>.</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b/>
          <w:sz w:val="24"/>
          <w:szCs w:val="24"/>
        </w:rPr>
        <w:t xml:space="preserve">COMBINATION THERAPIES OF ORAL ANTIDIABETIC DRUGS WITH DPP-4 INHIBITORS IN HD PATIENTS </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At present, 7 types of oral antidiabetic drugs are available worldwide: sulfonylureas, meglitinides, biguanides, thiazolidinediones, alpha-glucosidase inhibitors, SGLT2 inhibitors, and DPP-4 inhibitors. Beyond agreement on DPP-4 inhibitors, the guidelines differ with respect to the oral diabetes therapeutic drugs that can be administered to HD patients, and countries vary as to recommendations on oral antidiabetic medicines</w:t>
      </w:r>
      <w:r w:rsidRPr="00C10ABF">
        <w:rPr>
          <w:rFonts w:ascii="Book Antiqua" w:hAnsi="Book Antiqua"/>
          <w:sz w:val="24"/>
          <w:szCs w:val="24"/>
          <w:vertAlign w:val="superscript"/>
        </w:rPr>
        <w:t>[46]</w:t>
      </w:r>
      <w:r w:rsidRPr="00C10ABF">
        <w:rPr>
          <w:rFonts w:ascii="Book Antiqua" w:hAnsi="Book Antiqua"/>
          <w:sz w:val="24"/>
          <w:szCs w:val="24"/>
        </w:rPr>
        <w:t>. According to the Kidney Disease Outcomes Quality Initiative (KDOQI), glipizide (sulfonylurea), gliclazide (sulfonylurea), repaglinide (meglitinide), and thiazolidinediones can be administered to HD patients. In the guideline of the Japanese Society for Dialysis Therapy, HD patients can take repaglinide (meglitinide), mitiglinide calcium hydrate (meglitinide), and alpha-glucosidase inhibitor. Some reports state that gliquidone can be administered to HD patients</w:t>
      </w:r>
      <w:r w:rsidRPr="00C10ABF">
        <w:rPr>
          <w:rFonts w:ascii="Book Antiqua" w:hAnsi="Book Antiqua"/>
          <w:sz w:val="24"/>
          <w:szCs w:val="24"/>
          <w:vertAlign w:val="superscript"/>
        </w:rPr>
        <w:t>[47]</w:t>
      </w:r>
      <w:r w:rsidRPr="00C10ABF">
        <w:rPr>
          <w:rFonts w:ascii="Book Antiqua" w:hAnsi="Book Antiqua"/>
          <w:sz w:val="24"/>
          <w:szCs w:val="24"/>
        </w:rPr>
        <w:t>.</w:t>
      </w:r>
      <w:r w:rsidRPr="00C10ABF">
        <w:rPr>
          <w:rFonts w:ascii="Book Antiqua" w:hAnsi="Book Antiqua"/>
          <w:sz w:val="24"/>
          <w:szCs w:val="24"/>
          <w:vertAlign w:val="superscript"/>
        </w:rPr>
        <w:t xml:space="preserve"> </w:t>
      </w:r>
      <w:r w:rsidRPr="00C10ABF">
        <w:rPr>
          <w:rFonts w:ascii="Book Antiqua" w:hAnsi="Book Antiqua"/>
          <w:sz w:val="24"/>
          <w:szCs w:val="24"/>
        </w:rPr>
        <w:t>Many oral diabetes therapeutic drugs induce serious side effects in HD patients. In particular, sulfonylureas, biguanides, and thiazolidinediones can induce hypoglycemia, lactic acidosis, and fluid retention, respectively. Only a few oral antidiabetic drugs can be administered to HD patients before the use of DPP-4 inhibitors. Therefore, the side effects of drugs administered concomitant with DPP-4 inhibitors muse be examined in detail</w:t>
      </w:r>
      <w:r w:rsidRPr="00C10ABF">
        <w:rPr>
          <w:rFonts w:ascii="Book Antiqua" w:eastAsia="宋体" w:hAnsi="Book Antiqua"/>
          <w:sz w:val="24"/>
          <w:szCs w:val="24"/>
          <w:lang w:eastAsia="zh-CN"/>
        </w:rPr>
        <w:t xml:space="preserve"> </w:t>
      </w:r>
      <w:r w:rsidRPr="00C10ABF">
        <w:rPr>
          <w:rFonts w:ascii="Book Antiqua" w:hAnsi="Book Antiqua"/>
          <w:sz w:val="24"/>
          <w:szCs w:val="24"/>
        </w:rPr>
        <w:t>(Table 2).</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Sulfonylureas</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With progressive decreases in kidney function, the clearance of sulfonylureas and their active metabolites decrease, and the t</w:t>
      </w:r>
      <w:r w:rsidRPr="00C10ABF">
        <w:rPr>
          <w:rFonts w:ascii="Book Antiqua" w:hAnsi="Book Antiqua"/>
          <w:sz w:val="24"/>
          <w:szCs w:val="24"/>
          <w:vertAlign w:val="subscript"/>
        </w:rPr>
        <w:t>1/2</w:t>
      </w:r>
      <w:r w:rsidRPr="00C10ABF">
        <w:rPr>
          <w:rFonts w:ascii="Book Antiqua" w:hAnsi="Book Antiqua"/>
          <w:sz w:val="24"/>
          <w:szCs w:val="24"/>
        </w:rPr>
        <w:t xml:space="preserve"> is prolonged</w:t>
      </w:r>
      <w:r w:rsidRPr="00C10ABF">
        <w:rPr>
          <w:rFonts w:ascii="Book Antiqua" w:hAnsi="Book Antiqua"/>
          <w:sz w:val="24"/>
          <w:szCs w:val="24"/>
          <w:vertAlign w:val="superscript"/>
        </w:rPr>
        <w:t>48-51]</w:t>
      </w:r>
      <w:r w:rsidRPr="00C10ABF">
        <w:rPr>
          <w:rFonts w:ascii="Book Antiqua" w:hAnsi="Book Antiqua"/>
          <w:sz w:val="24"/>
          <w:szCs w:val="24"/>
        </w:rPr>
        <w:t>. First-generation sulfonylureas should generally be avoided in HD patients because they depend on the kidney to eliminate both the original drug and active metabolites. Accordingly, the t</w:t>
      </w:r>
      <w:r w:rsidRPr="00C10ABF">
        <w:rPr>
          <w:rFonts w:ascii="Book Antiqua" w:hAnsi="Book Antiqua"/>
          <w:sz w:val="24"/>
          <w:szCs w:val="24"/>
          <w:vertAlign w:val="subscript"/>
        </w:rPr>
        <w:t>1/2</w:t>
      </w:r>
      <w:r w:rsidRPr="00C10ABF">
        <w:rPr>
          <w:rFonts w:ascii="Book Antiqua" w:hAnsi="Book Antiqua"/>
          <w:sz w:val="24"/>
          <w:szCs w:val="24"/>
        </w:rPr>
        <w:t xml:space="preserve"> and risk of hypoglycemia increase. According to the KDOQI, glipizide and gliclazide are among the usable second-generation sulfonylureas because they do not produce active metabolites or increase the risk of hypoglycemia in patients with decreased renal function. Glipizide</w:t>
      </w:r>
      <w:r w:rsidRPr="00C10ABF">
        <w:rPr>
          <w:rFonts w:ascii="Book Antiqua" w:hAnsi="Book Antiqua"/>
          <w:kern w:val="0"/>
          <w:sz w:val="24"/>
          <w:szCs w:val="24"/>
        </w:rPr>
        <w:t xml:space="preserve"> and </w:t>
      </w:r>
      <w:r w:rsidRPr="00C10ABF">
        <w:rPr>
          <w:rFonts w:ascii="Book Antiqua" w:hAnsi="Book Antiqua"/>
          <w:sz w:val="24"/>
          <w:szCs w:val="24"/>
        </w:rPr>
        <w:t>gliclazide</w:t>
      </w:r>
      <w:r w:rsidRPr="00C10ABF">
        <w:rPr>
          <w:rFonts w:ascii="Book Antiqua" w:hAnsi="Book Antiqua"/>
          <w:kern w:val="0"/>
          <w:sz w:val="24"/>
          <w:szCs w:val="24"/>
        </w:rPr>
        <w:t xml:space="preserve"> are administered at a dose of 2.5</w:t>
      </w:r>
      <w:r w:rsidRPr="00C10ABF">
        <w:rPr>
          <w:rFonts w:ascii="Book Antiqua" w:hAnsi="Book Antiqua"/>
          <w:sz w:val="24"/>
          <w:szCs w:val="24"/>
        </w:rPr>
        <w:t>–</w:t>
      </w:r>
      <w:r w:rsidRPr="00C10ABF">
        <w:rPr>
          <w:rFonts w:ascii="Book Antiqua" w:hAnsi="Book Antiqua"/>
          <w:kern w:val="0"/>
          <w:sz w:val="24"/>
          <w:szCs w:val="24"/>
        </w:rPr>
        <w:t>10 mg/d</w:t>
      </w:r>
      <w:r w:rsidRPr="00C10ABF">
        <w:rPr>
          <w:rFonts w:ascii="Book Antiqua" w:hAnsi="Book Antiqua"/>
          <w:sz w:val="24"/>
          <w:szCs w:val="24"/>
          <w:vertAlign w:val="superscript"/>
        </w:rPr>
        <w:t>[47]</w:t>
      </w:r>
      <w:r w:rsidRPr="00C10ABF">
        <w:rPr>
          <w:rFonts w:ascii="Book Antiqua" w:hAnsi="Book Antiqua"/>
          <w:kern w:val="0"/>
          <w:sz w:val="24"/>
          <w:szCs w:val="24"/>
        </w:rPr>
        <w:t xml:space="preserve"> and 40–240 mg/d</w:t>
      </w:r>
      <w:r w:rsidRPr="00C10ABF">
        <w:rPr>
          <w:rFonts w:ascii="Book Antiqua" w:hAnsi="Book Antiqua"/>
          <w:sz w:val="24"/>
          <w:szCs w:val="24"/>
          <w:vertAlign w:val="superscript"/>
        </w:rPr>
        <w:t>[47,52]</w:t>
      </w:r>
      <w:r w:rsidRPr="00C10ABF">
        <w:rPr>
          <w:rFonts w:ascii="Book Antiqua" w:hAnsi="Book Antiqua"/>
          <w:kern w:val="0"/>
          <w:sz w:val="24"/>
          <w:szCs w:val="24"/>
        </w:rPr>
        <w:t xml:space="preserve">, respectively There are also reports of the administration of </w:t>
      </w:r>
      <w:r w:rsidRPr="00C10ABF">
        <w:rPr>
          <w:rFonts w:ascii="Book Antiqua" w:hAnsi="Book Antiqua"/>
          <w:sz w:val="24"/>
          <w:szCs w:val="24"/>
        </w:rPr>
        <w:t>gliquidone in HD patients at a more than twice daily dose of 45–60 mg</w:t>
      </w:r>
      <w:r w:rsidRPr="00C10ABF">
        <w:rPr>
          <w:rFonts w:ascii="Book Antiqua" w:hAnsi="Book Antiqua"/>
          <w:sz w:val="24"/>
          <w:szCs w:val="24"/>
          <w:vertAlign w:val="superscript"/>
        </w:rPr>
        <w:t>[47]</w:t>
      </w:r>
      <w:r w:rsidRPr="00C10ABF">
        <w:rPr>
          <w:rFonts w:ascii="Book Antiqua" w:hAnsi="Book Antiqua"/>
          <w:sz w:val="24"/>
          <w:szCs w:val="24"/>
        </w:rPr>
        <w:t>.</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Meglitinides</w:t>
      </w:r>
      <w:r w:rsidRPr="00C10ABF" w:rsidDel="00151EA4">
        <w:rPr>
          <w:rFonts w:ascii="Book Antiqua" w:hAnsi="Book Antiqua"/>
          <w:b/>
          <w:i/>
          <w:sz w:val="24"/>
          <w:szCs w:val="24"/>
        </w:rPr>
        <w:t xml:space="preserve"> </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According to the KDOQI and guideline of the Japanese Society for Dialysis Therapy, repaglinide and mitiglinide calcium hydrate (mitiglinide) can be administered to HD patients.</w:t>
      </w:r>
      <w:r w:rsidRPr="00C10ABF">
        <w:rPr>
          <w:rFonts w:ascii="Book Antiqua" w:hAnsi="Book Antiqua"/>
          <w:b/>
          <w:sz w:val="24"/>
          <w:szCs w:val="24"/>
        </w:rPr>
        <w:t xml:space="preserve"> </w:t>
      </w:r>
      <w:r w:rsidRPr="00C10ABF">
        <w:rPr>
          <w:rFonts w:ascii="Book Antiqua" w:hAnsi="Book Antiqua"/>
          <w:sz w:val="24"/>
          <w:szCs w:val="24"/>
        </w:rPr>
        <w:t>In those with an estimated glomerular filtration rate (eGFR) of &lt;</w:t>
      </w:r>
      <w:r w:rsidRPr="00C10ABF">
        <w:rPr>
          <w:rFonts w:ascii="Book Antiqua" w:eastAsia="宋体" w:hAnsi="Book Antiqua"/>
          <w:sz w:val="24"/>
          <w:szCs w:val="24"/>
          <w:lang w:eastAsia="zh-CN"/>
        </w:rPr>
        <w:t xml:space="preserve"> </w:t>
      </w:r>
      <w:r w:rsidRPr="00C10ABF">
        <w:rPr>
          <w:rFonts w:ascii="Book Antiqua" w:hAnsi="Book Antiqua"/>
          <w:sz w:val="24"/>
          <w:szCs w:val="24"/>
        </w:rPr>
        <w:t>30 mL/min, repaglinide results in a 4-fold increase in the t</w:t>
      </w:r>
      <w:r w:rsidRPr="00C10ABF">
        <w:rPr>
          <w:rFonts w:ascii="Book Antiqua" w:hAnsi="Book Antiqua"/>
          <w:sz w:val="24"/>
          <w:szCs w:val="24"/>
          <w:vertAlign w:val="subscript"/>
        </w:rPr>
        <w:t>1/2</w:t>
      </w:r>
      <w:r w:rsidRPr="00C10ABF">
        <w:rPr>
          <w:rFonts w:ascii="Book Antiqua" w:hAnsi="Book Antiqua"/>
          <w:sz w:val="24"/>
          <w:szCs w:val="24"/>
        </w:rPr>
        <w:t xml:space="preserve"> after 1 wk following it administration, as well as increase in AUC, in comparison to subjects with no renal failure. However, no changes are seen in the maximal plasma concentration, suggesting chronic kidney disease (CKD) influences both the metabolism and hepatic clearance of this medicine rather than bioavailability</w:t>
      </w:r>
      <w:r w:rsidRPr="00C10ABF">
        <w:rPr>
          <w:rFonts w:ascii="Book Antiqua" w:hAnsi="Book Antiqua"/>
          <w:sz w:val="24"/>
          <w:szCs w:val="24"/>
          <w:vertAlign w:val="superscript"/>
        </w:rPr>
        <w:t>[47,53]</w:t>
      </w:r>
      <w:r w:rsidRPr="00C10ABF">
        <w:rPr>
          <w:rFonts w:ascii="Book Antiqua" w:hAnsi="Book Antiqua"/>
          <w:sz w:val="24"/>
          <w:szCs w:val="24"/>
        </w:rPr>
        <w:t>. Furthermore, active metabolite concentrations do not increase with repaglinide</w:t>
      </w:r>
      <w:r w:rsidRPr="00C10ABF">
        <w:rPr>
          <w:rFonts w:ascii="Book Antiqua" w:hAnsi="Book Antiqua"/>
          <w:sz w:val="24"/>
          <w:szCs w:val="24"/>
          <w:vertAlign w:val="superscript"/>
        </w:rPr>
        <w:t>[1]</w:t>
      </w:r>
      <w:r w:rsidRPr="00C10ABF">
        <w:rPr>
          <w:rFonts w:ascii="Book Antiqua" w:hAnsi="Book Antiqua"/>
          <w:sz w:val="24"/>
          <w:szCs w:val="24"/>
        </w:rPr>
        <w:t>. Therefore, there is no relationship between renal failure and risk of hypoglycemia for this medicine in treated patients</w:t>
      </w:r>
      <w:r w:rsidRPr="00C10ABF">
        <w:rPr>
          <w:rFonts w:ascii="Book Antiqua" w:hAnsi="Book Antiqua"/>
          <w:sz w:val="24"/>
          <w:szCs w:val="24"/>
          <w:vertAlign w:val="superscript"/>
        </w:rPr>
        <w:t>[54]</w:t>
      </w:r>
      <w:r w:rsidRPr="00C10ABF">
        <w:rPr>
          <w:rFonts w:ascii="Book Antiqua" w:hAnsi="Book Antiqua"/>
          <w:sz w:val="24"/>
          <w:szCs w:val="24"/>
        </w:rPr>
        <w:t>. Repaglinide is usually taken preprandially at each meal at a dose of 0.5–12 mg/d</w:t>
      </w:r>
      <w:r w:rsidRPr="00C10ABF">
        <w:rPr>
          <w:rFonts w:ascii="Book Antiqua" w:hAnsi="Book Antiqua"/>
          <w:sz w:val="24"/>
          <w:szCs w:val="24"/>
          <w:vertAlign w:val="superscript"/>
        </w:rPr>
        <w:t>[47,55]</w:t>
      </w:r>
      <w:r w:rsidRPr="00C10ABF">
        <w:rPr>
          <w:rFonts w:ascii="Book Antiqua" w:hAnsi="Book Antiqua"/>
          <w:sz w:val="24"/>
          <w:szCs w:val="24"/>
        </w:rPr>
        <w:t>. Mitiglinide acts on liver metabolism</w:t>
      </w:r>
      <w:r w:rsidRPr="00C10ABF">
        <w:rPr>
          <w:rFonts w:ascii="Book Antiqua" w:hAnsi="Book Antiqua"/>
          <w:sz w:val="24"/>
          <w:szCs w:val="24"/>
          <w:vertAlign w:val="superscript"/>
        </w:rPr>
        <w:t>[56]</w:t>
      </w:r>
      <w:r w:rsidRPr="00C10ABF">
        <w:rPr>
          <w:rFonts w:ascii="Book Antiqua" w:hAnsi="Book Antiqua"/>
          <w:sz w:val="24"/>
          <w:szCs w:val="24"/>
        </w:rPr>
        <w:t>; hence, the metabolites of mitiglinide calcium hydrate have no antidiabetic effects. Therefore, the risk of hypoglycemia from this drug is low in HD patients. Accordingly, HD patients can take this drug preprandially at each meal at a dose of 7.5–15 mg/d.</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Thiazolidinediones</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As rosiglitazone is metabolized in the liver, it is not necessary to reduce its dose in patients with renal failure</w:t>
      </w:r>
      <w:r w:rsidRPr="00C10ABF">
        <w:rPr>
          <w:rFonts w:ascii="Book Antiqua" w:hAnsi="Book Antiqua"/>
          <w:sz w:val="24"/>
          <w:szCs w:val="24"/>
          <w:vertAlign w:val="superscript"/>
        </w:rPr>
        <w:t>[57]</w:t>
      </w:r>
      <w:r w:rsidRPr="00C10ABF">
        <w:rPr>
          <w:rFonts w:ascii="Book Antiqua" w:hAnsi="Book Antiqua"/>
          <w:sz w:val="24"/>
          <w:szCs w:val="24"/>
        </w:rPr>
        <w:t>, since it does not increase the risk of hypoglycemia in CKD patients. Meanwhile, pioglitazone shows similar pharmokinetic properties between patients with or without CKD because of its high molecular weight, protein-binding competency, and hepatic metabolism, and there is no effects in HD patients</w:t>
      </w:r>
      <w:r w:rsidRPr="00C10ABF">
        <w:rPr>
          <w:rFonts w:ascii="Book Antiqua" w:hAnsi="Book Antiqua"/>
          <w:sz w:val="24"/>
          <w:szCs w:val="24"/>
          <w:vertAlign w:val="superscript"/>
        </w:rPr>
        <w:t>[58,59]</w:t>
      </w:r>
      <w:r w:rsidRPr="00C10ABF">
        <w:rPr>
          <w:rFonts w:ascii="Book Antiqua" w:hAnsi="Book Antiqua"/>
          <w:sz w:val="24"/>
          <w:szCs w:val="24"/>
        </w:rPr>
        <w:t>. Therefore, it is not necessary to adjust the dose in CKD patients. Pioglitazone</w:t>
      </w:r>
      <w:r w:rsidRPr="00C10ABF">
        <w:rPr>
          <w:rFonts w:ascii="Book Antiqua" w:hAnsi="Book Antiqua"/>
          <w:kern w:val="0"/>
          <w:sz w:val="24"/>
          <w:szCs w:val="24"/>
        </w:rPr>
        <w:t xml:space="preserve"> is administered once daily at a dose of 15</w:t>
      </w:r>
      <w:r w:rsidRPr="00C10ABF">
        <w:rPr>
          <w:rFonts w:ascii="Book Antiqua" w:hAnsi="Book Antiqua"/>
          <w:sz w:val="24"/>
          <w:szCs w:val="24"/>
        </w:rPr>
        <w:t>–</w:t>
      </w:r>
      <w:r w:rsidRPr="00C10ABF">
        <w:rPr>
          <w:rFonts w:ascii="Book Antiqua" w:hAnsi="Book Antiqua"/>
          <w:kern w:val="0"/>
          <w:sz w:val="24"/>
          <w:szCs w:val="24"/>
        </w:rPr>
        <w:t xml:space="preserve">45 mg. There are </w:t>
      </w:r>
      <w:r w:rsidRPr="00C10ABF">
        <w:rPr>
          <w:rFonts w:ascii="Book Antiqua" w:hAnsi="Book Antiqua"/>
          <w:sz w:val="24"/>
          <w:szCs w:val="24"/>
        </w:rPr>
        <w:t>no specific data regarding fluid retention in CKD patients. Nevertheless, there is the potential risk of congestive heart failure by fluid overload, particularly in those patients with both renal and cardiac failure.</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Alpha-glucosidase inhibitors</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Alpha-glucosidase inhibitors increase glucagon-like peptide-1 levels and reduce gastric inhibitory polypeptide responses after eating. Therefore, combination therapies with DPP-4 inhibitors may be more effective</w:t>
      </w:r>
      <w:r w:rsidRPr="00C10ABF">
        <w:rPr>
          <w:rFonts w:ascii="Book Antiqua" w:hAnsi="Book Antiqua"/>
          <w:sz w:val="24"/>
          <w:szCs w:val="24"/>
          <w:vertAlign w:val="superscript"/>
        </w:rPr>
        <w:t>[60]</w:t>
      </w:r>
      <w:r w:rsidRPr="00C10ABF">
        <w:rPr>
          <w:rFonts w:ascii="Book Antiqua" w:hAnsi="Book Antiqua"/>
          <w:sz w:val="24"/>
          <w:szCs w:val="24"/>
        </w:rPr>
        <w:t>.</w:t>
      </w:r>
    </w:p>
    <w:p w:rsidR="0001465D" w:rsidRPr="00C10ABF" w:rsidRDefault="0001465D" w:rsidP="00C10ABF">
      <w:pPr>
        <w:snapToGrid w:val="0"/>
        <w:spacing w:line="360" w:lineRule="auto"/>
        <w:ind w:firstLineChars="100" w:firstLine="240"/>
        <w:rPr>
          <w:rFonts w:ascii="Book Antiqua" w:hAnsi="Book Antiqua"/>
          <w:sz w:val="24"/>
          <w:szCs w:val="24"/>
        </w:rPr>
      </w:pPr>
      <w:r w:rsidRPr="00C10ABF">
        <w:rPr>
          <w:rFonts w:ascii="Book Antiqua" w:hAnsi="Book Antiqua"/>
          <w:sz w:val="24"/>
          <w:szCs w:val="24"/>
        </w:rPr>
        <w:t>The guideline of the Japanese Society for Dialysis Therapy states that all 3 types of alpha-glucosidase inhibitors can be administered in HD patients. Voglibose is not absorbed in the blood and is orally administered before each meal at 0.6–0.9 mg/d</w:t>
      </w:r>
      <w:r w:rsidRPr="00C10ABF">
        <w:rPr>
          <w:rFonts w:ascii="Book Antiqua" w:hAnsi="Book Antiqua"/>
          <w:sz w:val="24"/>
          <w:szCs w:val="24"/>
          <w:vertAlign w:val="superscript"/>
        </w:rPr>
        <w:t>[61]</w:t>
      </w:r>
      <w:r w:rsidRPr="00C10ABF">
        <w:rPr>
          <w:rFonts w:ascii="Book Antiqua" w:hAnsi="Book Antiqua"/>
          <w:sz w:val="24"/>
          <w:szCs w:val="24"/>
        </w:rPr>
        <w:t>. The plasma levels of acarbose and its metabolites increase several fold in patients with renal failure. The peak plasma concentration and exposure of this drug in patients with severe renal impairment (eGFR &lt; 25 mL/min) are 5- and 6-fold higher than in patients with normal renal function, respectively</w:t>
      </w:r>
      <w:r w:rsidRPr="00C10ABF">
        <w:rPr>
          <w:rFonts w:ascii="Book Antiqua" w:hAnsi="Book Antiqua"/>
          <w:sz w:val="24"/>
          <w:szCs w:val="24"/>
          <w:vertAlign w:val="superscript"/>
        </w:rPr>
        <w:t>[46,48]</w:t>
      </w:r>
      <w:r w:rsidRPr="00C10ABF">
        <w:rPr>
          <w:rFonts w:ascii="Book Antiqua" w:hAnsi="Book Antiqua"/>
          <w:sz w:val="24"/>
          <w:szCs w:val="24"/>
        </w:rPr>
        <w:t>. However, only a small amount of acarbose is absorbed, since its bioavailability is very low</w:t>
      </w:r>
      <w:r w:rsidRPr="00C10ABF">
        <w:rPr>
          <w:rFonts w:ascii="Book Antiqua" w:hAnsi="Book Antiqua"/>
          <w:sz w:val="24"/>
          <w:szCs w:val="24"/>
          <w:vertAlign w:val="superscript"/>
        </w:rPr>
        <w:t>[62]</w:t>
      </w:r>
      <w:r w:rsidRPr="00C10ABF">
        <w:rPr>
          <w:rFonts w:ascii="Book Antiqua" w:hAnsi="Book Antiqua"/>
          <w:sz w:val="24"/>
          <w:szCs w:val="24"/>
        </w:rPr>
        <w:t>. Additionally, its metabolites have very small antidiabetic effects. Acarbose is orally administered before each meal at 75–300 mg/d. Miglitol accumulates with a decrease in renal function. Those patients with an eGFR of &lt;</w:t>
      </w:r>
      <w:r w:rsidRPr="00C10ABF">
        <w:rPr>
          <w:rFonts w:ascii="Book Antiqua" w:eastAsia="宋体" w:hAnsi="Book Antiqua"/>
          <w:sz w:val="24"/>
          <w:szCs w:val="24"/>
          <w:lang w:eastAsia="zh-CN"/>
        </w:rPr>
        <w:t xml:space="preserve"> </w:t>
      </w:r>
      <w:r w:rsidRPr="00C10ABF">
        <w:rPr>
          <w:rFonts w:ascii="Book Antiqua" w:hAnsi="Book Antiqua"/>
          <w:sz w:val="24"/>
          <w:szCs w:val="24"/>
        </w:rPr>
        <w:t>25 mL/min and taking 75 mg miglitol (25 mg three times a day) have double the plasma exposure as subjects with an eGFR of &gt;</w:t>
      </w:r>
      <w:r w:rsidRPr="00C10ABF">
        <w:rPr>
          <w:rFonts w:ascii="Book Antiqua" w:eastAsia="宋体" w:hAnsi="Book Antiqua"/>
          <w:sz w:val="24"/>
          <w:szCs w:val="24"/>
          <w:lang w:eastAsia="zh-CN"/>
        </w:rPr>
        <w:t xml:space="preserve"> </w:t>
      </w:r>
      <w:r w:rsidRPr="00C10ABF">
        <w:rPr>
          <w:rFonts w:ascii="Book Antiqua" w:hAnsi="Book Antiqua"/>
          <w:sz w:val="24"/>
          <w:szCs w:val="24"/>
        </w:rPr>
        <w:t>60 mL/min</w:t>
      </w:r>
      <w:r w:rsidRPr="00C10ABF">
        <w:rPr>
          <w:rFonts w:ascii="Book Antiqua" w:hAnsi="Book Antiqua"/>
          <w:sz w:val="24"/>
          <w:szCs w:val="24"/>
          <w:vertAlign w:val="superscript"/>
        </w:rPr>
        <w:t>[46]</w:t>
      </w:r>
      <w:r w:rsidRPr="00C10ABF">
        <w:rPr>
          <w:rFonts w:ascii="Book Antiqua" w:hAnsi="Book Antiqua"/>
          <w:sz w:val="24"/>
          <w:szCs w:val="24"/>
        </w:rPr>
        <w:t>. However, miglitol has no antidiabetic effects. The molecular weight of miglitol (383.45 Da) is low, and its protein binding rate is &lt;</w:t>
      </w:r>
      <w:r w:rsidRPr="00C10ABF">
        <w:rPr>
          <w:rFonts w:ascii="Book Antiqua" w:eastAsia="宋体" w:hAnsi="Book Antiqua"/>
          <w:sz w:val="24"/>
          <w:szCs w:val="24"/>
          <w:lang w:eastAsia="zh-CN"/>
        </w:rPr>
        <w:t xml:space="preserve"> </w:t>
      </w:r>
      <w:r w:rsidRPr="00C10ABF">
        <w:rPr>
          <w:rFonts w:ascii="Book Antiqua" w:hAnsi="Book Antiqua"/>
          <w:sz w:val="24"/>
          <w:szCs w:val="24"/>
        </w:rPr>
        <w:t>3.9%. Therefore, miglitol is eliminated by HD treatment. Miglitol is orally administered at 150–300 mg/d, usually before each meal</w:t>
      </w:r>
      <w:r w:rsidRPr="00C10ABF">
        <w:rPr>
          <w:rFonts w:ascii="Book Antiqua" w:hAnsi="Book Antiqua"/>
          <w:sz w:val="24"/>
          <w:szCs w:val="24"/>
          <w:vertAlign w:val="superscript"/>
        </w:rPr>
        <w:t>[47,63]</w:t>
      </w:r>
      <w:r w:rsidRPr="00C10ABF">
        <w:rPr>
          <w:rFonts w:ascii="Book Antiqua" w:hAnsi="Book Antiqua"/>
          <w:sz w:val="24"/>
          <w:szCs w:val="24"/>
        </w:rPr>
        <w:t>.</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b/>
          <w:sz w:val="24"/>
          <w:szCs w:val="24"/>
        </w:rPr>
        <w:t>EFFICACIES OF DPP-4 INHIBITORS IN HD PATIENTS</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The effectiveness of DPP-4 inhibitors is summarized in Table 3. DPP-4 inhibitor treatment</w:t>
      </w:r>
      <w:r w:rsidRPr="00C10ABF" w:rsidDel="00F72880">
        <w:rPr>
          <w:rFonts w:ascii="Book Antiqua" w:hAnsi="Book Antiqua"/>
          <w:sz w:val="24"/>
          <w:szCs w:val="24"/>
        </w:rPr>
        <w:t xml:space="preserve"> </w:t>
      </w:r>
      <w:r w:rsidRPr="00C10ABF">
        <w:rPr>
          <w:rFonts w:ascii="Book Antiqua" w:hAnsi="Book Antiqua"/>
          <w:sz w:val="24"/>
          <w:szCs w:val="24"/>
        </w:rPr>
        <w:t>decreases hemoglobin A1c (HbA1c) and glycated albumin (GA) levels by 0.3</w:t>
      </w:r>
      <w:r w:rsidRPr="00C10ABF">
        <w:rPr>
          <w:rFonts w:ascii="Book Antiqua" w:eastAsia="宋体" w:hAnsi="Book Antiqua"/>
          <w:sz w:val="24"/>
          <w:szCs w:val="24"/>
          <w:lang w:eastAsia="zh-CN"/>
        </w:rPr>
        <w:t>%</w:t>
      </w:r>
      <w:r w:rsidRPr="00C10ABF">
        <w:rPr>
          <w:rFonts w:ascii="Book Antiqua" w:hAnsi="Book Antiqua"/>
          <w:sz w:val="24"/>
          <w:szCs w:val="24"/>
        </w:rPr>
        <w:t>–1.3% and 1.7</w:t>
      </w:r>
      <w:r w:rsidRPr="00C10ABF">
        <w:rPr>
          <w:rFonts w:ascii="Book Antiqua" w:eastAsia="宋体" w:hAnsi="Book Antiqua"/>
          <w:sz w:val="24"/>
          <w:szCs w:val="24"/>
          <w:lang w:eastAsia="zh-CN"/>
        </w:rPr>
        <w:t>%</w:t>
      </w:r>
      <w:r w:rsidRPr="00C10ABF">
        <w:rPr>
          <w:rFonts w:ascii="Book Antiqua" w:hAnsi="Book Antiqua"/>
          <w:sz w:val="24"/>
          <w:szCs w:val="24"/>
        </w:rPr>
        <w:t>–4.9%, respectively. It is difficult to compare the effects of DPP-4 inhibitors, because the strength and selectivity of DPP-4 inhibition are related to their respective therapeutic effects. Moreover, the curative effects of these drugs might be related to ethnicity. For example, some studies report greater effectiveness of DPP-4 inhibitor treatment in Japanese patients with diabetes based on the evaluation of GA levels</w:t>
      </w:r>
      <w:r w:rsidRPr="00C10ABF">
        <w:rPr>
          <w:rFonts w:ascii="Book Antiqua" w:hAnsi="Book Antiqua"/>
          <w:sz w:val="24"/>
          <w:szCs w:val="24"/>
          <w:vertAlign w:val="superscript"/>
        </w:rPr>
        <w:t>[64-66]</w:t>
      </w:r>
      <w:r w:rsidRPr="00C10ABF">
        <w:rPr>
          <w:rFonts w:ascii="Book Antiqua" w:hAnsi="Book Antiqua"/>
          <w:sz w:val="24"/>
          <w:szCs w:val="24"/>
        </w:rPr>
        <w:t>.</w:t>
      </w:r>
    </w:p>
    <w:p w:rsidR="0001465D" w:rsidRPr="00C10ABF" w:rsidRDefault="0001465D" w:rsidP="00F25235">
      <w:pPr>
        <w:snapToGrid w:val="0"/>
        <w:spacing w:line="360" w:lineRule="auto"/>
        <w:rPr>
          <w:rFonts w:ascii="Book Antiqua" w:hAnsi="Book Antiqua"/>
          <w:b/>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Monotherapy</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Eight studies have investigated the diabetes therapeutic effects of DPP-4 inhibitors only in HD patients and not CKD patients. Of these, seven studied the antidiabetic effectiveness of only DPP-4 inhibitor monotherapy (</w:t>
      </w:r>
      <w:r w:rsidRPr="00C10ABF">
        <w:rPr>
          <w:rFonts w:ascii="Book Antiqua" w:hAnsi="Book Antiqua"/>
          <w:i/>
          <w:sz w:val="24"/>
          <w:szCs w:val="24"/>
        </w:rPr>
        <w:t>i.e.</w:t>
      </w:r>
      <w:r w:rsidRPr="00C10ABF">
        <w:rPr>
          <w:rFonts w:ascii="Book Antiqua" w:hAnsi="Book Antiqua"/>
          <w:sz w:val="24"/>
          <w:szCs w:val="24"/>
        </w:rPr>
        <w:t>, sitagliptin, vildagliptin, alogliptin, linagliptin, and teneligliptin) (Table 3). However, there have been no studies of anagliptin or saxagliptin monotherapy.</w:t>
      </w:r>
    </w:p>
    <w:p w:rsidR="0001465D" w:rsidRPr="00C10ABF" w:rsidRDefault="0001465D" w:rsidP="00C10ABF">
      <w:pPr>
        <w:snapToGrid w:val="0"/>
        <w:spacing w:line="360" w:lineRule="auto"/>
        <w:ind w:firstLineChars="100" w:firstLine="240"/>
        <w:rPr>
          <w:rFonts w:ascii="Book Antiqua" w:hAnsi="Book Antiqua"/>
          <w:b/>
          <w:sz w:val="24"/>
          <w:szCs w:val="24"/>
        </w:rPr>
      </w:pPr>
      <w:r w:rsidRPr="00C10ABF">
        <w:rPr>
          <w:rFonts w:ascii="Book Antiqua" w:eastAsia="宋体" w:hAnsi="Book Antiqua" w:cs="宋体"/>
          <w:bCs/>
          <w:kern w:val="0"/>
          <w:sz w:val="24"/>
          <w:szCs w:val="24"/>
          <w:lang w:eastAsia="zh-CN"/>
        </w:rPr>
        <w:t>Arjona Ferreira</w:t>
      </w:r>
      <w:r w:rsidRPr="00C10ABF">
        <w:rPr>
          <w:rFonts w:ascii="Book Antiqua" w:hAnsi="Book Antiqua"/>
          <w:sz w:val="24"/>
          <w:szCs w:val="24"/>
        </w:rPr>
        <w:t xml:space="preserve"> </w:t>
      </w:r>
      <w:r w:rsidRPr="00C10ABF">
        <w:rPr>
          <w:rFonts w:ascii="Book Antiqua" w:hAnsi="Book Antiqua"/>
          <w:i/>
          <w:sz w:val="24"/>
          <w:szCs w:val="24"/>
        </w:rPr>
        <w:t>et al</w:t>
      </w:r>
      <w:r w:rsidRPr="00C10ABF">
        <w:rPr>
          <w:rFonts w:ascii="Book Antiqua" w:hAnsi="Book Antiqua"/>
          <w:sz w:val="24"/>
          <w:szCs w:val="24"/>
          <w:vertAlign w:val="superscript"/>
        </w:rPr>
        <w:t>[9]</w:t>
      </w:r>
      <w:r w:rsidRPr="00C10ABF">
        <w:rPr>
          <w:rFonts w:ascii="Book Antiqua" w:hAnsi="Book Antiqua"/>
          <w:sz w:val="24"/>
          <w:szCs w:val="24"/>
        </w:rPr>
        <w:t xml:space="preserve"> investigated the efficacies of sitagliptin monotherapy in 64 diabetic HD patients. All patients were administered sitagliptin 25 mg once daily for the monotherapy research. Forty patients newly started sitagliptin therapy, and 24 switched from other medications. Mean HbA1c and fasting plasma glucose levels decreased from 7.95</w:t>
      </w:r>
      <w:r w:rsidRPr="00C10ABF">
        <w:rPr>
          <w:rFonts w:ascii="Book Antiqua" w:eastAsia="宋体" w:hAnsi="Book Antiqua"/>
          <w:sz w:val="24"/>
          <w:szCs w:val="24"/>
          <w:lang w:eastAsia="zh-CN"/>
        </w:rPr>
        <w:t>%</w:t>
      </w:r>
      <w:r w:rsidRPr="00C10ABF">
        <w:rPr>
          <w:rFonts w:ascii="Book Antiqua" w:hAnsi="Book Antiqua"/>
          <w:sz w:val="24"/>
          <w:szCs w:val="24"/>
        </w:rPr>
        <w:t xml:space="preserve"> to 7.2% and from 159 to 133 mg/dL, respectively, 12 mo after treatment initiation.</w:t>
      </w:r>
    </w:p>
    <w:p w:rsidR="0001465D" w:rsidRPr="00C10ABF" w:rsidRDefault="0001465D" w:rsidP="00C10ABF">
      <w:pPr>
        <w:snapToGrid w:val="0"/>
        <w:spacing w:line="360" w:lineRule="auto"/>
        <w:ind w:firstLineChars="100" w:firstLine="240"/>
        <w:rPr>
          <w:rFonts w:ascii="Book Antiqua" w:hAnsi="Book Antiqua"/>
          <w:sz w:val="24"/>
          <w:szCs w:val="24"/>
        </w:rPr>
      </w:pPr>
      <w:r w:rsidRPr="00C10ABF">
        <w:rPr>
          <w:rFonts w:ascii="Book Antiqua" w:hAnsi="Book Antiqua"/>
          <w:sz w:val="24"/>
          <w:szCs w:val="24"/>
        </w:rPr>
        <w:t xml:space="preserve">Three studies have evaluated vildagliptin monotherapy in HD patients. Of these, 2 studied only vildagliptin monotherapy, while the other was a subanalysis study in which the patients were categorized into either vildagliptin monotherapy or combination therapy groups. Ito </w:t>
      </w:r>
      <w:r w:rsidRPr="00C10ABF">
        <w:rPr>
          <w:rFonts w:ascii="Book Antiqua" w:hAnsi="Book Antiqua"/>
          <w:i/>
          <w:sz w:val="24"/>
          <w:szCs w:val="24"/>
        </w:rPr>
        <w:t>et al</w:t>
      </w:r>
      <w:r w:rsidRPr="00C10ABF">
        <w:rPr>
          <w:rFonts w:ascii="Book Antiqua" w:hAnsi="Book Antiqua"/>
          <w:sz w:val="24"/>
          <w:szCs w:val="24"/>
          <w:vertAlign w:val="superscript"/>
        </w:rPr>
        <w:t>[10]</w:t>
      </w:r>
      <w:r w:rsidRPr="00C10ABF">
        <w:rPr>
          <w:rFonts w:ascii="Book Antiqua" w:hAnsi="Book Antiqua"/>
          <w:sz w:val="24"/>
          <w:szCs w:val="24"/>
        </w:rPr>
        <w:t xml:space="preserve"> investigated the efficacies of vildagliptin monotherapy in 5 diabetic HD patients who were following diet and exercise regimens. All patients were administered vildagliptin 50 mg once daily for the monotherapy research. At 6 mo after treatment, HbA1c and GA levels had decreased from 6.0</w:t>
      </w:r>
      <w:r w:rsidRPr="00C10ABF">
        <w:rPr>
          <w:rFonts w:ascii="Book Antiqua" w:eastAsia="宋体" w:hAnsi="Book Antiqua"/>
          <w:sz w:val="24"/>
          <w:szCs w:val="24"/>
          <w:lang w:eastAsia="zh-CN"/>
        </w:rPr>
        <w:t>%</w:t>
      </w:r>
      <w:r w:rsidRPr="00C10ABF">
        <w:rPr>
          <w:rFonts w:ascii="Book Antiqua" w:hAnsi="Book Antiqua"/>
          <w:sz w:val="24"/>
          <w:szCs w:val="24"/>
        </w:rPr>
        <w:t xml:space="preserve"> ± 0.3% and 21.8</w:t>
      </w:r>
      <w:r w:rsidRPr="00C10ABF">
        <w:rPr>
          <w:rFonts w:ascii="Book Antiqua" w:eastAsia="宋体" w:hAnsi="Book Antiqua"/>
          <w:sz w:val="24"/>
          <w:szCs w:val="24"/>
          <w:lang w:eastAsia="zh-CN"/>
        </w:rPr>
        <w:t>%</w:t>
      </w:r>
      <w:r w:rsidRPr="00C10ABF">
        <w:rPr>
          <w:rFonts w:ascii="Book Antiqua" w:hAnsi="Book Antiqua"/>
          <w:sz w:val="24"/>
          <w:szCs w:val="24"/>
        </w:rPr>
        <w:t xml:space="preserve"> ± 2.6% to 5.5</w:t>
      </w:r>
      <w:r w:rsidRPr="00C10ABF">
        <w:rPr>
          <w:rFonts w:ascii="Book Antiqua" w:eastAsia="宋体" w:hAnsi="Book Antiqua"/>
          <w:sz w:val="24"/>
          <w:szCs w:val="24"/>
          <w:lang w:eastAsia="zh-CN"/>
        </w:rPr>
        <w:t>%</w:t>
      </w:r>
      <w:r w:rsidRPr="00C10ABF">
        <w:rPr>
          <w:rFonts w:ascii="Book Antiqua" w:hAnsi="Book Antiqua"/>
          <w:sz w:val="24"/>
          <w:szCs w:val="24"/>
        </w:rPr>
        <w:t xml:space="preserve"> ± 0.6% and 19.7</w:t>
      </w:r>
      <w:r w:rsidRPr="00C10ABF">
        <w:rPr>
          <w:rFonts w:ascii="Book Antiqua" w:eastAsia="宋体" w:hAnsi="Book Antiqua"/>
          <w:sz w:val="24"/>
          <w:szCs w:val="24"/>
          <w:lang w:eastAsia="zh-CN"/>
        </w:rPr>
        <w:t>%</w:t>
      </w:r>
      <w:r w:rsidRPr="00C10ABF">
        <w:rPr>
          <w:rFonts w:ascii="Book Antiqua" w:hAnsi="Book Antiqua"/>
          <w:sz w:val="24"/>
          <w:szCs w:val="24"/>
        </w:rPr>
        <w:t xml:space="preserve"> ± 3.3%, respectively. Kume </w:t>
      </w:r>
      <w:r w:rsidRPr="00C10ABF">
        <w:rPr>
          <w:rFonts w:ascii="Book Antiqua" w:hAnsi="Book Antiqua"/>
          <w:i/>
          <w:sz w:val="24"/>
          <w:szCs w:val="24"/>
        </w:rPr>
        <w:t>et al</w:t>
      </w:r>
      <w:r w:rsidRPr="00C10ABF">
        <w:rPr>
          <w:rFonts w:ascii="Book Antiqua" w:hAnsi="Book Antiqua"/>
          <w:sz w:val="24"/>
          <w:szCs w:val="24"/>
          <w:vertAlign w:val="superscript"/>
        </w:rPr>
        <w:t>[11]</w:t>
      </w:r>
      <w:r w:rsidRPr="00C10ABF">
        <w:rPr>
          <w:rFonts w:ascii="Book Antiqua" w:hAnsi="Book Antiqua"/>
          <w:sz w:val="24"/>
          <w:szCs w:val="24"/>
        </w:rPr>
        <w:t xml:space="preserve"> investigated the efficacies of vildagliptin monotherapy in 26 diabetic HD patients. Sixteen patients newly started sitagliptin therapy, and 7 patients switched from other oral antidiabetic drugs (3 patients were unknown). All patients were administered vildagliptin 50 mg once daily for the monotherapy research. Mean GA and postprandial plasma glucose (PPG) levels had decreased from 23.8% to 21.2% and 204 to 157 mg/dL respectively, 6 mo after treatment initiation. In the subanalysis study, all 9 patients were administered an initial dose of vildagliptin 50 mg once daily. Thereafter, if 8 wk of continuous vildagliptin administration did not result in the target HbA1c value (&lt;</w:t>
      </w:r>
      <w:r w:rsidRPr="00C10ABF">
        <w:rPr>
          <w:rFonts w:ascii="Book Antiqua" w:eastAsia="宋体" w:hAnsi="Book Antiqua"/>
          <w:sz w:val="24"/>
          <w:szCs w:val="24"/>
          <w:lang w:eastAsia="zh-CN"/>
        </w:rPr>
        <w:t xml:space="preserve"> </w:t>
      </w:r>
      <w:r w:rsidRPr="00C10ABF">
        <w:rPr>
          <w:rFonts w:ascii="Book Antiqua" w:hAnsi="Book Antiqua"/>
          <w:sz w:val="24"/>
          <w:szCs w:val="24"/>
        </w:rPr>
        <w:t>7.0%) or GA value (&lt;</w:t>
      </w:r>
      <w:r w:rsidRPr="00C10ABF">
        <w:rPr>
          <w:rFonts w:ascii="Book Antiqua" w:eastAsia="宋体" w:hAnsi="Book Antiqua"/>
          <w:sz w:val="24"/>
          <w:szCs w:val="24"/>
          <w:lang w:eastAsia="zh-CN"/>
        </w:rPr>
        <w:t xml:space="preserve"> </w:t>
      </w:r>
      <w:r w:rsidRPr="00C10ABF">
        <w:rPr>
          <w:rFonts w:ascii="Book Antiqua" w:hAnsi="Book Antiqua"/>
          <w:sz w:val="24"/>
          <w:szCs w:val="24"/>
        </w:rPr>
        <w:t xml:space="preserve">21.0%) being achieved, the vildagliptin dose was increased to 100 mg daily from week 8. The HbA1c, GA, and PPG levels showed mean changes of </w:t>
      </w:r>
      <w:r w:rsidRPr="00C10ABF">
        <w:rPr>
          <w:rFonts w:ascii="Book Antiqua" w:eastAsia="MS Gothic" w:hAnsi="Book Antiqua"/>
          <w:sz w:val="24"/>
          <w:szCs w:val="24"/>
        </w:rPr>
        <w:t>−</w:t>
      </w:r>
      <w:r w:rsidRPr="00C10ABF">
        <w:rPr>
          <w:rFonts w:ascii="Book Antiqua" w:hAnsi="Book Antiqua"/>
          <w:sz w:val="24"/>
          <w:szCs w:val="24"/>
        </w:rPr>
        <w:t xml:space="preserve">0.7%, </w:t>
      </w:r>
      <w:r w:rsidRPr="00C10ABF">
        <w:rPr>
          <w:rFonts w:ascii="Book Antiqua" w:eastAsia="MS Gothic" w:hAnsi="Book Antiqua"/>
          <w:sz w:val="24"/>
          <w:szCs w:val="24"/>
        </w:rPr>
        <w:t>−</w:t>
      </w:r>
      <w:r w:rsidRPr="00C10ABF">
        <w:rPr>
          <w:rFonts w:ascii="Book Antiqua" w:hAnsi="Book Antiqua"/>
          <w:sz w:val="24"/>
          <w:szCs w:val="24"/>
        </w:rPr>
        <w:t xml:space="preserve">4.6%, and </w:t>
      </w:r>
      <w:r w:rsidRPr="00C10ABF">
        <w:rPr>
          <w:rFonts w:ascii="Book Antiqua" w:eastAsia="MS Gothic" w:hAnsi="Book Antiqua"/>
          <w:sz w:val="24"/>
          <w:szCs w:val="24"/>
        </w:rPr>
        <w:t>−</w:t>
      </w:r>
      <w:r w:rsidRPr="00C10ABF">
        <w:rPr>
          <w:rFonts w:ascii="Book Antiqua" w:hAnsi="Book Antiqua"/>
          <w:sz w:val="24"/>
          <w:szCs w:val="24"/>
        </w:rPr>
        <w:t>54 mg/dL in the monotherapy group</w:t>
      </w:r>
      <w:r w:rsidRPr="00C10ABF">
        <w:rPr>
          <w:rFonts w:ascii="Book Antiqua" w:hAnsi="Book Antiqua"/>
          <w:sz w:val="24"/>
          <w:szCs w:val="24"/>
          <w:vertAlign w:val="superscript"/>
        </w:rPr>
        <w:t>[12]</w:t>
      </w:r>
      <w:r w:rsidRPr="00C10ABF">
        <w:rPr>
          <w:rFonts w:ascii="Book Antiqua" w:hAnsi="Book Antiqua"/>
          <w:sz w:val="24"/>
          <w:szCs w:val="24"/>
        </w:rPr>
        <w:t>.</w:t>
      </w:r>
    </w:p>
    <w:p w:rsidR="0001465D" w:rsidRPr="00C10ABF" w:rsidRDefault="0001465D" w:rsidP="00C10ABF">
      <w:pPr>
        <w:snapToGrid w:val="0"/>
        <w:spacing w:line="360" w:lineRule="auto"/>
        <w:ind w:firstLineChars="100" w:firstLine="240"/>
        <w:rPr>
          <w:rFonts w:ascii="Book Antiqua" w:hAnsi="Book Antiqua"/>
          <w:b/>
          <w:sz w:val="24"/>
          <w:szCs w:val="24"/>
        </w:rPr>
      </w:pPr>
      <w:r w:rsidRPr="00C10ABF">
        <w:rPr>
          <w:rFonts w:ascii="Book Antiqua" w:hAnsi="Book Antiqua"/>
          <w:sz w:val="24"/>
          <w:szCs w:val="24"/>
        </w:rPr>
        <w:t xml:space="preserve">Nakamura </w:t>
      </w:r>
      <w:r w:rsidRPr="00C10ABF">
        <w:rPr>
          <w:rFonts w:ascii="Book Antiqua" w:hAnsi="Book Antiqua"/>
          <w:i/>
          <w:sz w:val="24"/>
          <w:szCs w:val="24"/>
        </w:rPr>
        <w:t>et al</w:t>
      </w:r>
      <w:r w:rsidRPr="00C10ABF">
        <w:rPr>
          <w:rFonts w:ascii="Book Antiqua" w:hAnsi="Book Antiqua"/>
          <w:sz w:val="24"/>
          <w:szCs w:val="24"/>
          <w:vertAlign w:val="superscript"/>
        </w:rPr>
        <w:t>[13]</w:t>
      </w:r>
      <w:r w:rsidRPr="00C10ABF">
        <w:rPr>
          <w:rFonts w:ascii="Book Antiqua" w:hAnsi="Book Antiqua"/>
          <w:sz w:val="24"/>
          <w:szCs w:val="24"/>
        </w:rPr>
        <w:t xml:space="preserve"> investigated the diabetes therapeutic effects of alogliptin and linagliptin monotherapy in HD patients in 2 studies. In the study of alogliptin monotherapy, 16 diabetic HD patients </w:t>
      </w:r>
      <w:r w:rsidRPr="00C10ABF">
        <w:rPr>
          <w:rFonts w:ascii="Book Antiqua" w:hAnsi="Book Antiqua"/>
          <w:kern w:val="0"/>
          <w:sz w:val="24"/>
          <w:szCs w:val="24"/>
        </w:rPr>
        <w:t xml:space="preserve">were eligible </w:t>
      </w:r>
      <w:r w:rsidRPr="00C10ABF">
        <w:rPr>
          <w:rFonts w:ascii="Book Antiqua" w:hAnsi="Book Antiqua"/>
          <w:sz w:val="24"/>
          <w:szCs w:val="24"/>
        </w:rPr>
        <w:t>based on diet and exercise regimens</w:t>
      </w:r>
      <w:r w:rsidRPr="00C10ABF">
        <w:rPr>
          <w:rFonts w:ascii="Book Antiqua" w:hAnsi="Book Antiqua"/>
          <w:kern w:val="0"/>
          <w:sz w:val="24"/>
          <w:szCs w:val="24"/>
        </w:rPr>
        <w:t xml:space="preserve">. </w:t>
      </w:r>
      <w:r w:rsidRPr="00C10ABF">
        <w:rPr>
          <w:rFonts w:ascii="Book Antiqua" w:hAnsi="Book Antiqua"/>
          <w:sz w:val="24"/>
          <w:szCs w:val="24"/>
        </w:rPr>
        <w:t>All patients were administered alogliptin 6.25 mg once daily. At 2 years after treatment initiation, the HbA1c and GA levels had decreased from 7.1</w:t>
      </w:r>
      <w:r w:rsidRPr="00C10ABF">
        <w:rPr>
          <w:rFonts w:ascii="Book Antiqua" w:eastAsia="宋体" w:hAnsi="Book Antiqua"/>
          <w:sz w:val="24"/>
          <w:szCs w:val="24"/>
          <w:lang w:eastAsia="zh-CN"/>
        </w:rPr>
        <w:t>%</w:t>
      </w:r>
      <w:r w:rsidRPr="00C10ABF">
        <w:rPr>
          <w:rFonts w:ascii="Book Antiqua" w:hAnsi="Book Antiqua"/>
          <w:sz w:val="24"/>
          <w:szCs w:val="24"/>
        </w:rPr>
        <w:t xml:space="preserve"> ± 0.2% to 5.8</w:t>
      </w:r>
      <w:r w:rsidRPr="00C10ABF">
        <w:rPr>
          <w:rFonts w:ascii="Book Antiqua" w:eastAsia="宋体" w:hAnsi="Book Antiqua"/>
          <w:sz w:val="24"/>
          <w:szCs w:val="24"/>
          <w:lang w:eastAsia="zh-CN"/>
        </w:rPr>
        <w:t>%</w:t>
      </w:r>
      <w:r w:rsidRPr="00C10ABF">
        <w:rPr>
          <w:rFonts w:ascii="Book Antiqua" w:hAnsi="Book Antiqua"/>
          <w:sz w:val="24"/>
          <w:szCs w:val="24"/>
        </w:rPr>
        <w:t xml:space="preserve"> ± 1.6% and from 22.5</w:t>
      </w:r>
      <w:r w:rsidRPr="00C10ABF">
        <w:rPr>
          <w:rFonts w:ascii="Book Antiqua" w:eastAsia="宋体" w:hAnsi="Book Antiqua"/>
          <w:sz w:val="24"/>
          <w:szCs w:val="24"/>
          <w:lang w:eastAsia="zh-CN"/>
        </w:rPr>
        <w:t>%</w:t>
      </w:r>
      <w:r w:rsidRPr="00C10ABF">
        <w:rPr>
          <w:rFonts w:ascii="Book Antiqua" w:hAnsi="Book Antiqua"/>
          <w:sz w:val="24"/>
          <w:szCs w:val="24"/>
        </w:rPr>
        <w:t xml:space="preserve"> ± 0.7% to 19.6</w:t>
      </w:r>
      <w:r w:rsidRPr="00C10ABF">
        <w:rPr>
          <w:rFonts w:ascii="Book Antiqua" w:eastAsia="宋体" w:hAnsi="Book Antiqua"/>
          <w:sz w:val="24"/>
          <w:szCs w:val="24"/>
          <w:lang w:eastAsia="zh-CN"/>
        </w:rPr>
        <w:t>%</w:t>
      </w:r>
      <w:r w:rsidRPr="00C10ABF">
        <w:rPr>
          <w:rFonts w:ascii="Book Antiqua" w:hAnsi="Book Antiqua"/>
          <w:sz w:val="24"/>
          <w:szCs w:val="24"/>
        </w:rPr>
        <w:t xml:space="preserve"> ± 0.6%</w:t>
      </w:r>
      <w:r w:rsidRPr="00C10ABF">
        <w:rPr>
          <w:rFonts w:ascii="Book Antiqua" w:hAnsi="Book Antiqua"/>
          <w:sz w:val="24"/>
          <w:szCs w:val="24"/>
          <w:vertAlign w:val="superscript"/>
        </w:rPr>
        <w:t>[13]</w:t>
      </w:r>
      <w:r w:rsidRPr="00C10ABF">
        <w:rPr>
          <w:rFonts w:ascii="Book Antiqua" w:hAnsi="Book Antiqua"/>
          <w:sz w:val="24"/>
          <w:szCs w:val="24"/>
        </w:rPr>
        <w:t>.</w:t>
      </w:r>
      <w:r w:rsidRPr="00C10ABF">
        <w:rPr>
          <w:rFonts w:ascii="Book Antiqua" w:hAnsi="Book Antiqua"/>
          <w:b/>
          <w:sz w:val="24"/>
          <w:szCs w:val="24"/>
        </w:rPr>
        <w:t xml:space="preserve"> </w:t>
      </w:r>
      <w:r w:rsidRPr="00C10ABF">
        <w:rPr>
          <w:rFonts w:ascii="Book Antiqua" w:hAnsi="Book Antiqua"/>
          <w:sz w:val="24"/>
          <w:szCs w:val="24"/>
        </w:rPr>
        <w:t>In the study of linagliptin monotherapy, 21 diabetic HD patients were eligible based on diet and exercise regimens. All patients were administered linagliptin 5 mg once daily. GA levels decreased from 21.3</w:t>
      </w:r>
      <w:r w:rsidRPr="00C10ABF">
        <w:rPr>
          <w:rFonts w:ascii="Book Antiqua" w:eastAsia="宋体" w:hAnsi="Book Antiqua"/>
          <w:sz w:val="24"/>
          <w:szCs w:val="24"/>
          <w:lang w:eastAsia="zh-CN"/>
        </w:rPr>
        <w:t>%</w:t>
      </w:r>
      <w:r w:rsidRPr="00C10ABF">
        <w:rPr>
          <w:rFonts w:ascii="Book Antiqua" w:hAnsi="Book Antiqua"/>
          <w:sz w:val="24"/>
          <w:szCs w:val="24"/>
        </w:rPr>
        <w:t xml:space="preserve"> ± 0.6% to 18.0% ± 0.6% 6 mo after treatment initiation</w:t>
      </w:r>
      <w:r w:rsidRPr="00C10ABF">
        <w:rPr>
          <w:rFonts w:ascii="Book Antiqua" w:hAnsi="Book Antiqua"/>
          <w:sz w:val="24"/>
          <w:szCs w:val="24"/>
          <w:vertAlign w:val="superscript"/>
        </w:rPr>
        <w:t>[14]</w:t>
      </w:r>
      <w:r w:rsidRPr="00C10ABF">
        <w:rPr>
          <w:rFonts w:ascii="Book Antiqua" w:hAnsi="Book Antiqua"/>
          <w:sz w:val="24"/>
          <w:szCs w:val="24"/>
        </w:rPr>
        <w:t>.</w:t>
      </w:r>
    </w:p>
    <w:p w:rsidR="0001465D" w:rsidRPr="00C10ABF" w:rsidRDefault="0001465D" w:rsidP="00C10ABF">
      <w:pPr>
        <w:snapToGrid w:val="0"/>
        <w:spacing w:line="360" w:lineRule="auto"/>
        <w:ind w:firstLineChars="100" w:firstLine="240"/>
        <w:rPr>
          <w:rFonts w:ascii="Book Antiqua" w:hAnsi="Book Antiqua"/>
          <w:sz w:val="24"/>
          <w:szCs w:val="24"/>
        </w:rPr>
      </w:pPr>
      <w:r w:rsidRPr="00C10ABF">
        <w:rPr>
          <w:rFonts w:ascii="Book Antiqua" w:hAnsi="Book Antiqua"/>
          <w:sz w:val="24"/>
          <w:szCs w:val="24"/>
        </w:rPr>
        <w:t xml:space="preserve">Otsuki </w:t>
      </w:r>
      <w:r w:rsidRPr="00C10ABF">
        <w:rPr>
          <w:rFonts w:ascii="Book Antiqua" w:hAnsi="Book Antiqua"/>
          <w:i/>
          <w:sz w:val="24"/>
          <w:szCs w:val="24"/>
        </w:rPr>
        <w:t>et al</w:t>
      </w:r>
      <w:r w:rsidRPr="00C10ABF">
        <w:rPr>
          <w:rFonts w:ascii="Book Antiqua" w:hAnsi="Book Antiqua"/>
          <w:sz w:val="24"/>
          <w:szCs w:val="24"/>
          <w:vertAlign w:val="superscript"/>
        </w:rPr>
        <w:t>[15]</w:t>
      </w:r>
      <w:r w:rsidRPr="00C10ABF">
        <w:rPr>
          <w:rFonts w:ascii="Book Antiqua" w:hAnsi="Book Antiqua"/>
          <w:sz w:val="24"/>
          <w:szCs w:val="24"/>
        </w:rPr>
        <w:t xml:space="preserve"> investigated the efficacies of teneligliptin monotherapy in 14 diabetic HD patients. All patients were administered teneligliptin 20 mg once daily. Seven patients newly started teneligliptin therapy, and 7 patients switched from other medications. The mean changes in HbA1c and GA were </w:t>
      </w:r>
      <w:r w:rsidRPr="00C10ABF">
        <w:rPr>
          <w:rFonts w:ascii="Book Antiqua" w:eastAsia="MS Gothic" w:hAnsi="Book Antiqua"/>
          <w:sz w:val="24"/>
          <w:szCs w:val="24"/>
        </w:rPr>
        <w:t>−</w:t>
      </w:r>
      <w:r w:rsidRPr="00C10ABF">
        <w:rPr>
          <w:rFonts w:ascii="Book Antiqua" w:hAnsi="Book Antiqua"/>
          <w:sz w:val="24"/>
          <w:szCs w:val="24"/>
        </w:rPr>
        <w:t>0.3</w:t>
      </w:r>
      <w:r w:rsidRPr="00C10ABF">
        <w:rPr>
          <w:rFonts w:ascii="Book Antiqua" w:eastAsia="宋体" w:hAnsi="Book Antiqua"/>
          <w:sz w:val="24"/>
          <w:szCs w:val="24"/>
          <w:lang w:eastAsia="zh-CN"/>
        </w:rPr>
        <w:t>%</w:t>
      </w:r>
      <w:r w:rsidRPr="00C10ABF">
        <w:rPr>
          <w:rFonts w:ascii="Book Antiqua" w:hAnsi="Book Antiqua"/>
          <w:sz w:val="24"/>
          <w:szCs w:val="24"/>
        </w:rPr>
        <w:t xml:space="preserve"> to </w:t>
      </w:r>
      <w:r w:rsidRPr="00C10ABF">
        <w:rPr>
          <w:rFonts w:ascii="Book Antiqua" w:eastAsia="MS Gothic" w:hAnsi="Book Antiqua"/>
          <w:sz w:val="24"/>
          <w:szCs w:val="24"/>
        </w:rPr>
        <w:t>−</w:t>
      </w:r>
      <w:r w:rsidRPr="00C10ABF">
        <w:rPr>
          <w:rFonts w:ascii="Book Antiqua" w:hAnsi="Book Antiqua"/>
          <w:sz w:val="24"/>
          <w:szCs w:val="24"/>
        </w:rPr>
        <w:t xml:space="preserve">0.8% and </w:t>
      </w:r>
      <w:r w:rsidRPr="00C10ABF">
        <w:rPr>
          <w:rFonts w:ascii="Book Antiqua" w:eastAsia="MS Gothic" w:hAnsi="Book Antiqua"/>
          <w:sz w:val="24"/>
          <w:szCs w:val="24"/>
        </w:rPr>
        <w:t>−</w:t>
      </w:r>
      <w:r w:rsidRPr="00C10ABF">
        <w:rPr>
          <w:rFonts w:ascii="Book Antiqua" w:hAnsi="Book Antiqua"/>
          <w:sz w:val="24"/>
          <w:szCs w:val="24"/>
        </w:rPr>
        <w:t>1.7</w:t>
      </w:r>
      <w:r w:rsidRPr="00C10ABF">
        <w:rPr>
          <w:rFonts w:ascii="Book Antiqua" w:eastAsia="宋体" w:hAnsi="Book Antiqua"/>
          <w:sz w:val="24"/>
          <w:szCs w:val="24"/>
          <w:lang w:eastAsia="zh-CN"/>
        </w:rPr>
        <w:t>%</w:t>
      </w:r>
      <w:r w:rsidRPr="00C10ABF">
        <w:rPr>
          <w:rFonts w:ascii="Book Antiqua" w:hAnsi="Book Antiqua"/>
          <w:sz w:val="24"/>
          <w:szCs w:val="24"/>
        </w:rPr>
        <w:t xml:space="preserve"> to </w:t>
      </w:r>
      <w:r w:rsidRPr="00C10ABF">
        <w:rPr>
          <w:rFonts w:ascii="Book Antiqua" w:eastAsia="MS Gothic" w:hAnsi="Book Antiqua"/>
          <w:sz w:val="24"/>
          <w:szCs w:val="24"/>
        </w:rPr>
        <w:t>−</w:t>
      </w:r>
      <w:r w:rsidRPr="00C10ABF">
        <w:rPr>
          <w:rFonts w:ascii="Book Antiqua" w:hAnsi="Book Antiqua"/>
          <w:sz w:val="24"/>
          <w:szCs w:val="24"/>
        </w:rPr>
        <w:t>2.3% after treatment</w:t>
      </w:r>
      <w:r w:rsidRPr="00C10ABF">
        <w:rPr>
          <w:rFonts w:ascii="Book Antiqua" w:hAnsi="Book Antiqua"/>
          <w:sz w:val="24"/>
          <w:szCs w:val="24"/>
          <w:vertAlign w:val="superscript"/>
        </w:rPr>
        <w:t>[15]</w:t>
      </w:r>
      <w:r w:rsidRPr="00C10ABF">
        <w:rPr>
          <w:rFonts w:ascii="Book Antiqua" w:hAnsi="Book Antiqua"/>
          <w:sz w:val="24"/>
          <w:szCs w:val="24"/>
        </w:rPr>
        <w:t>.</w:t>
      </w:r>
    </w:p>
    <w:p w:rsidR="0001465D" w:rsidRPr="00C10ABF" w:rsidRDefault="0001465D" w:rsidP="00F25235">
      <w:pPr>
        <w:snapToGrid w:val="0"/>
        <w:spacing w:line="360" w:lineRule="auto"/>
        <w:rPr>
          <w:rFonts w:ascii="Book Antiqua" w:hAnsi="Book Antiqua"/>
          <w:b/>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 xml:space="preserve">Monotherapy and combination therapies </w:t>
      </w: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sz w:val="24"/>
          <w:szCs w:val="24"/>
        </w:rPr>
        <w:t>Two studies have evaluated the combined efficacies of both monotherapy and combination oral diabetic therapy with DPP-4 inhibitors in HD patients.</w:t>
      </w:r>
      <w:r w:rsidRPr="00C10ABF">
        <w:rPr>
          <w:rFonts w:ascii="Book Antiqua" w:hAnsi="Book Antiqua"/>
          <w:b/>
          <w:sz w:val="24"/>
          <w:szCs w:val="24"/>
        </w:rPr>
        <w:t xml:space="preserve"> </w:t>
      </w:r>
      <w:r w:rsidRPr="00C10ABF">
        <w:rPr>
          <w:rFonts w:ascii="Book Antiqua" w:hAnsi="Book Antiqua"/>
          <w:sz w:val="24"/>
          <w:szCs w:val="24"/>
        </w:rPr>
        <w:t xml:space="preserve">In the evaluation of combination therapy with vildagliptin, 30 HD patients with diabetes </w:t>
      </w:r>
      <w:r w:rsidRPr="00C10ABF">
        <w:rPr>
          <w:rFonts w:ascii="Book Antiqua" w:hAnsi="Book Antiqua"/>
          <w:kern w:val="0"/>
          <w:sz w:val="24"/>
          <w:szCs w:val="24"/>
        </w:rPr>
        <w:t xml:space="preserve">were eligible to participate. </w:t>
      </w:r>
      <w:r w:rsidRPr="00C10ABF">
        <w:rPr>
          <w:rFonts w:ascii="Book Antiqua" w:hAnsi="Book Antiqua"/>
          <w:sz w:val="24"/>
          <w:szCs w:val="24"/>
        </w:rPr>
        <w:t>All patients were administered vildagliptin 50 mg once daily as an initial dose. Nine patients newly started vildagliptin therapy, and 21 patients switched from other medications. Thereafter, if 8 wk of continuous vildagliptin administration did not result in the target HbA1c value (&lt;</w:t>
      </w:r>
      <w:r w:rsidRPr="00C10ABF">
        <w:rPr>
          <w:rFonts w:ascii="Book Antiqua" w:eastAsia="宋体" w:hAnsi="Book Antiqua"/>
          <w:sz w:val="24"/>
          <w:szCs w:val="24"/>
          <w:lang w:eastAsia="zh-CN"/>
        </w:rPr>
        <w:t xml:space="preserve"> </w:t>
      </w:r>
      <w:r w:rsidRPr="00C10ABF">
        <w:rPr>
          <w:rFonts w:ascii="Book Antiqua" w:hAnsi="Book Antiqua"/>
          <w:sz w:val="24"/>
          <w:szCs w:val="24"/>
        </w:rPr>
        <w:t>7.0%) or GA value (&lt;</w:t>
      </w:r>
      <w:r w:rsidRPr="00C10ABF">
        <w:rPr>
          <w:rFonts w:ascii="Book Antiqua" w:eastAsia="宋体" w:hAnsi="Book Antiqua"/>
          <w:sz w:val="24"/>
          <w:szCs w:val="24"/>
          <w:lang w:eastAsia="zh-CN"/>
        </w:rPr>
        <w:t xml:space="preserve"> </w:t>
      </w:r>
      <w:r w:rsidRPr="00C10ABF">
        <w:rPr>
          <w:rFonts w:ascii="Book Antiqua" w:hAnsi="Book Antiqua"/>
          <w:sz w:val="24"/>
          <w:szCs w:val="24"/>
        </w:rPr>
        <w:t>21.0%) being achieved, the vildagliptin dose was increased to 100 mg daily from week 8; this was done in 19 patients. Another 11 patients were administered 50 mg daily. Mean HbA1c, GA, and PPG decreased from 6.7% to 6.1%, 24.5% to 20.5%, and 186 to 140 mg/dL, respectively, 6 mo after treatment initiation</w:t>
      </w:r>
      <w:r w:rsidRPr="00C10ABF">
        <w:rPr>
          <w:rFonts w:ascii="Book Antiqua" w:hAnsi="Book Antiqua"/>
          <w:sz w:val="24"/>
          <w:szCs w:val="24"/>
          <w:vertAlign w:val="superscript"/>
        </w:rPr>
        <w:t>[12]</w:t>
      </w:r>
      <w:r w:rsidRPr="00C10ABF">
        <w:rPr>
          <w:rFonts w:ascii="Book Antiqua" w:hAnsi="Book Antiqua"/>
          <w:sz w:val="24"/>
          <w:szCs w:val="24"/>
        </w:rPr>
        <w:t>.</w:t>
      </w:r>
    </w:p>
    <w:p w:rsidR="0001465D" w:rsidRPr="00C10ABF" w:rsidRDefault="0001465D" w:rsidP="00C10ABF">
      <w:pPr>
        <w:snapToGrid w:val="0"/>
        <w:spacing w:line="360" w:lineRule="auto"/>
        <w:ind w:firstLineChars="100" w:firstLine="240"/>
        <w:rPr>
          <w:rFonts w:ascii="Book Antiqua" w:hAnsi="Book Antiqua"/>
          <w:b/>
          <w:sz w:val="24"/>
          <w:szCs w:val="24"/>
        </w:rPr>
      </w:pPr>
      <w:r w:rsidRPr="00C10ABF">
        <w:rPr>
          <w:rFonts w:ascii="Book Antiqua" w:hAnsi="Book Antiqua"/>
          <w:sz w:val="24"/>
          <w:szCs w:val="24"/>
        </w:rPr>
        <w:t>In the study of combination therapy with alogliptin,</w:t>
      </w:r>
      <w:r w:rsidRPr="00C10ABF">
        <w:rPr>
          <w:rFonts w:ascii="Book Antiqua" w:hAnsi="Book Antiqua"/>
          <w:b/>
          <w:sz w:val="24"/>
          <w:szCs w:val="24"/>
        </w:rPr>
        <w:t xml:space="preserve"> </w:t>
      </w:r>
      <w:r w:rsidRPr="00C10ABF">
        <w:rPr>
          <w:rFonts w:ascii="Book Antiqua" w:hAnsi="Book Antiqua"/>
          <w:sz w:val="24"/>
          <w:szCs w:val="24"/>
        </w:rPr>
        <w:t>30 HD patients with diabetes were eligible. All patients were administered alogliptin 6.25 mg once daily. Fifteen patients newly started sitagliptin therapy, and 15 patients switched from other medications. Mean HbA1c, GA, and PPG decreased from 7.1% to 6.3%, 25.6% to 20.7%, and 212 to 156 mg/dL, respectively, 12 mo after treatment initiation. When patients were divided into the alogliptin monotherapy and combination (alogliptin plus mitiglinide and/or voglibose) therapy groups (</w:t>
      </w:r>
      <w:r w:rsidRPr="00C10ABF">
        <w:rPr>
          <w:rFonts w:ascii="Book Antiqua" w:hAnsi="Book Antiqua"/>
          <w:i/>
          <w:sz w:val="24"/>
          <w:szCs w:val="24"/>
        </w:rPr>
        <w:t>n</w:t>
      </w:r>
      <w:r w:rsidRPr="00C10ABF">
        <w:rPr>
          <w:rFonts w:ascii="Book Antiqua" w:hAnsi="Book Antiqua"/>
          <w:sz w:val="24"/>
          <w:szCs w:val="24"/>
        </w:rPr>
        <w:t xml:space="preserve"> = 15 each), the mean changes in GA and PPG were greater in the monotherapy group (the specific decreases are unclear)</w:t>
      </w:r>
      <w:r w:rsidRPr="00C10ABF">
        <w:rPr>
          <w:rFonts w:ascii="Book Antiqua" w:hAnsi="Book Antiqua"/>
          <w:sz w:val="24"/>
          <w:szCs w:val="24"/>
          <w:vertAlign w:val="superscript"/>
        </w:rPr>
        <w:t>[16]</w:t>
      </w:r>
      <w:r w:rsidRPr="00C10ABF">
        <w:rPr>
          <w:rFonts w:ascii="Book Antiqua" w:hAnsi="Book Antiqua"/>
          <w:sz w:val="24"/>
          <w:szCs w:val="24"/>
        </w:rPr>
        <w:t>.</w:t>
      </w:r>
    </w:p>
    <w:p w:rsidR="0001465D" w:rsidRPr="00C10ABF" w:rsidRDefault="0001465D" w:rsidP="00C10ABF">
      <w:pPr>
        <w:snapToGrid w:val="0"/>
        <w:spacing w:line="360" w:lineRule="auto"/>
        <w:ind w:firstLineChars="100" w:firstLine="240"/>
        <w:rPr>
          <w:rFonts w:ascii="Book Antiqua" w:hAnsi="Book Antiqua"/>
          <w:b/>
          <w:sz w:val="24"/>
          <w:szCs w:val="24"/>
        </w:rPr>
      </w:pPr>
      <w:r w:rsidRPr="00C10ABF">
        <w:rPr>
          <w:rFonts w:ascii="Book Antiqua" w:hAnsi="Book Antiqua"/>
          <w:sz w:val="24"/>
          <w:szCs w:val="24"/>
        </w:rPr>
        <w:t>There is one subanalysis study of DPP-4 inhibitors that included only HD patients from among those with CKD. A total of 19 HD patients with diabetes were eligible. All patients were administered saxagliptin 2.5 mg once daily. The diabetes treatments before saxagliptin therapy were unknown. Mean HbA1c and PPG decreased from 8.75</w:t>
      </w:r>
      <w:r w:rsidRPr="00C10ABF">
        <w:rPr>
          <w:rFonts w:ascii="Book Antiqua" w:eastAsia="宋体" w:hAnsi="Book Antiqua"/>
          <w:sz w:val="24"/>
          <w:szCs w:val="24"/>
          <w:lang w:eastAsia="zh-CN"/>
        </w:rPr>
        <w:t>%</w:t>
      </w:r>
      <w:r w:rsidRPr="00C10ABF">
        <w:rPr>
          <w:rFonts w:ascii="Book Antiqua" w:hAnsi="Book Antiqua"/>
          <w:sz w:val="24"/>
          <w:szCs w:val="24"/>
        </w:rPr>
        <w:t xml:space="preserve"> to 7.5% and 177 to 138 mg/dL, respectively, 12 mo after treatment initiation (the details of monotherapy and combination therapies are unclear)</w:t>
      </w:r>
      <w:r w:rsidRPr="00C10ABF">
        <w:rPr>
          <w:rFonts w:ascii="Book Antiqua" w:hAnsi="Book Antiqua"/>
          <w:sz w:val="24"/>
          <w:szCs w:val="24"/>
          <w:vertAlign w:val="superscript"/>
        </w:rPr>
        <w:t>[17,18]</w:t>
      </w:r>
      <w:r w:rsidRPr="00C10ABF">
        <w:rPr>
          <w:rFonts w:ascii="Book Antiqua" w:eastAsia="宋体" w:hAnsi="Book Antiqua"/>
          <w:sz w:val="24"/>
          <w:szCs w:val="24"/>
          <w:vertAlign w:val="superscript"/>
          <w:lang w:eastAsia="zh-CN"/>
        </w:rPr>
        <w:t xml:space="preserve"> </w:t>
      </w:r>
      <w:r w:rsidRPr="00C10ABF">
        <w:rPr>
          <w:rFonts w:ascii="Book Antiqua" w:hAnsi="Book Antiqua"/>
          <w:sz w:val="24"/>
          <w:szCs w:val="24"/>
        </w:rPr>
        <w:t xml:space="preserve">(Table </w:t>
      </w:r>
      <w:r w:rsidRPr="00C10ABF">
        <w:rPr>
          <w:rFonts w:ascii="Book Antiqua" w:eastAsia="宋体" w:hAnsi="Book Antiqua"/>
          <w:sz w:val="24"/>
          <w:szCs w:val="24"/>
          <w:lang w:eastAsia="zh-CN"/>
        </w:rPr>
        <w:t>4</w:t>
      </w:r>
      <w:r w:rsidRPr="00C10ABF">
        <w:rPr>
          <w:rFonts w:ascii="Book Antiqua" w:hAnsi="Book Antiqua"/>
          <w:sz w:val="24"/>
          <w:szCs w:val="24"/>
        </w:rPr>
        <w:t>).</w:t>
      </w:r>
      <w:r w:rsidRPr="00C10ABF">
        <w:rPr>
          <w:rFonts w:ascii="Book Antiqua" w:hAnsi="Book Antiqua"/>
          <w:b/>
          <w:sz w:val="24"/>
          <w:szCs w:val="24"/>
        </w:rPr>
        <w:t xml:space="preserve"> </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i/>
          <w:sz w:val="24"/>
          <w:szCs w:val="24"/>
        </w:rPr>
      </w:pPr>
      <w:r w:rsidRPr="00C10ABF">
        <w:rPr>
          <w:rFonts w:ascii="Book Antiqua" w:hAnsi="Book Antiqua"/>
          <w:b/>
          <w:i/>
          <w:sz w:val="24"/>
          <w:szCs w:val="24"/>
        </w:rPr>
        <w:t>Glycemic control parameters</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Blood glucose is a principal parameter for assessing the effects of diabetes therapy. Blood is collected at 3 time points: PPG, fasting plasma glucose, and the start of HD treatment. Therefore, it is difficult to compare blood glucose levels among studies. GA may more accurately reflect glycemic control, because HbA1c, the more general available parameter, is falsely low in HD patients</w:t>
      </w:r>
      <w:r w:rsidRPr="00C10ABF">
        <w:rPr>
          <w:rFonts w:ascii="Book Antiqua" w:hAnsi="Book Antiqua"/>
          <w:sz w:val="24"/>
          <w:szCs w:val="24"/>
          <w:vertAlign w:val="superscript"/>
        </w:rPr>
        <w:t>[67-69]</w:t>
      </w:r>
      <w:r w:rsidRPr="00C10ABF">
        <w:rPr>
          <w:rFonts w:ascii="Book Antiqua" w:hAnsi="Book Antiqua"/>
          <w:sz w:val="24"/>
          <w:szCs w:val="24"/>
        </w:rPr>
        <w:t>. This probably results from the shortened survival time of erythrocytes in CKD patients, as well as the reduced time for the glucose–hemoglobin chemical reaction to occur</w:t>
      </w:r>
      <w:r w:rsidRPr="00C10ABF">
        <w:rPr>
          <w:rFonts w:ascii="Book Antiqua" w:hAnsi="Book Antiqua"/>
          <w:sz w:val="24"/>
          <w:szCs w:val="24"/>
          <w:vertAlign w:val="superscript"/>
        </w:rPr>
        <w:t>[70]</w:t>
      </w:r>
      <w:r w:rsidRPr="00C10ABF">
        <w:rPr>
          <w:rFonts w:ascii="Book Antiqua" w:hAnsi="Book Antiqua"/>
          <w:sz w:val="24"/>
          <w:szCs w:val="24"/>
        </w:rPr>
        <w:t>. Another reason underlying the falsely low HbA1c levels in HD patients is related to the erythropoietin injections and resultant increase in younger erythrocytes</w:t>
      </w:r>
      <w:r w:rsidRPr="00C10ABF">
        <w:rPr>
          <w:rFonts w:ascii="Book Antiqua" w:hAnsi="Book Antiqua"/>
          <w:sz w:val="24"/>
          <w:szCs w:val="24"/>
          <w:vertAlign w:val="superscript"/>
        </w:rPr>
        <w:t>[71]</w:t>
      </w:r>
      <w:r w:rsidRPr="00C10ABF">
        <w:rPr>
          <w:rFonts w:ascii="Book Antiqua" w:hAnsi="Book Antiqua"/>
          <w:sz w:val="24"/>
          <w:szCs w:val="24"/>
        </w:rPr>
        <w:t>.</w:t>
      </w:r>
      <w:r w:rsidRPr="00C10ABF">
        <w:rPr>
          <w:rFonts w:ascii="Book Antiqua" w:hAnsi="Book Antiqua"/>
          <w:b/>
          <w:sz w:val="24"/>
          <w:szCs w:val="24"/>
        </w:rPr>
        <w:t xml:space="preserve"> </w:t>
      </w:r>
      <w:r w:rsidRPr="00C10ABF">
        <w:rPr>
          <w:rFonts w:ascii="Book Antiqua" w:hAnsi="Book Antiqua"/>
          <w:sz w:val="24"/>
          <w:szCs w:val="24"/>
        </w:rPr>
        <w:t>GA is a predictor of death, hospitalization, and cardiovascular events in HD patients with diabetes</w:t>
      </w:r>
      <w:r w:rsidRPr="00C10ABF">
        <w:rPr>
          <w:rFonts w:ascii="Book Antiqua" w:hAnsi="Book Antiqua"/>
          <w:sz w:val="24"/>
          <w:szCs w:val="24"/>
          <w:vertAlign w:val="superscript"/>
        </w:rPr>
        <w:t>[72,73]</w:t>
      </w:r>
      <w:r w:rsidRPr="00C10ABF">
        <w:rPr>
          <w:rFonts w:ascii="Book Antiqua" w:hAnsi="Book Antiqua"/>
          <w:sz w:val="24"/>
          <w:szCs w:val="24"/>
        </w:rPr>
        <w:t>.</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b/>
          <w:sz w:val="24"/>
          <w:szCs w:val="24"/>
        </w:rPr>
        <w:t>IMPACTS OF DPP-4 INHIBITORS ON BLOOD GLUCOSE-RELATED FACTORS IN HD PATIENTS</w:t>
      </w: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sz w:val="24"/>
          <w:szCs w:val="24"/>
        </w:rPr>
        <w:t>Some studies have investigated the impacts of DPP-4 inhibitors on blood glucose-related factors (</w:t>
      </w:r>
      <w:r w:rsidRPr="00C10ABF">
        <w:rPr>
          <w:rFonts w:ascii="Book Antiqua" w:hAnsi="Book Antiqua"/>
          <w:i/>
          <w:sz w:val="24"/>
          <w:szCs w:val="24"/>
        </w:rPr>
        <w:t>i.e.</w:t>
      </w:r>
      <w:r w:rsidRPr="00C10ABF">
        <w:rPr>
          <w:rFonts w:ascii="Book Antiqua" w:hAnsi="Book Antiqua"/>
          <w:sz w:val="24"/>
          <w:szCs w:val="24"/>
        </w:rPr>
        <w:t>, insulin, glucagon, and insulin resistance) in HD patients. In the study of sitagliptin, HOMA-IR increased 12 mo after sitagliptin treatment, while fasting insulin, proinsulin, proinsulin/insulin ratio, and HOMA-IR showed no changes from baseline</w:t>
      </w:r>
      <w:r w:rsidRPr="00C10ABF">
        <w:rPr>
          <w:rFonts w:ascii="Book Antiqua" w:hAnsi="Book Antiqua"/>
          <w:sz w:val="24"/>
          <w:szCs w:val="24"/>
          <w:vertAlign w:val="superscript"/>
        </w:rPr>
        <w:t>[9]</w:t>
      </w:r>
      <w:r w:rsidRPr="00C10ABF">
        <w:rPr>
          <w:rFonts w:ascii="Book Antiqua" w:hAnsi="Book Antiqua"/>
          <w:sz w:val="24"/>
          <w:szCs w:val="24"/>
        </w:rPr>
        <w:t>.</w:t>
      </w:r>
      <w:r w:rsidRPr="00C10ABF">
        <w:rPr>
          <w:rFonts w:ascii="Book Antiqua" w:hAnsi="Book Antiqua"/>
          <w:b/>
          <w:sz w:val="24"/>
          <w:szCs w:val="24"/>
        </w:rPr>
        <w:t xml:space="preserve"> </w:t>
      </w:r>
      <w:r w:rsidRPr="00C10ABF">
        <w:rPr>
          <w:rFonts w:ascii="Book Antiqua" w:hAnsi="Book Antiqua"/>
          <w:sz w:val="24"/>
          <w:szCs w:val="24"/>
        </w:rPr>
        <w:t>Meanwhile, the study of vildagliptin investigated insulin and C-peptide but observed no significant differences for these parameters from baseline after 6 mo</w:t>
      </w:r>
      <w:r w:rsidRPr="00C10ABF">
        <w:rPr>
          <w:rFonts w:ascii="Book Antiqua" w:hAnsi="Book Antiqua"/>
          <w:sz w:val="24"/>
          <w:szCs w:val="24"/>
          <w:vertAlign w:val="superscript"/>
        </w:rPr>
        <w:t>[11]</w:t>
      </w:r>
      <w:r w:rsidRPr="00C10ABF">
        <w:rPr>
          <w:rFonts w:ascii="Book Antiqua" w:hAnsi="Book Antiqua"/>
          <w:sz w:val="24"/>
          <w:szCs w:val="24"/>
        </w:rPr>
        <w:t>.</w:t>
      </w:r>
      <w:r w:rsidRPr="00C10ABF">
        <w:rPr>
          <w:rFonts w:ascii="Book Antiqua" w:hAnsi="Book Antiqua"/>
          <w:b/>
          <w:sz w:val="24"/>
          <w:szCs w:val="24"/>
        </w:rPr>
        <w:t xml:space="preserve"> </w:t>
      </w:r>
      <w:r w:rsidRPr="00C10ABF">
        <w:rPr>
          <w:rFonts w:ascii="Book Antiqua" w:hAnsi="Book Antiqua"/>
          <w:sz w:val="24"/>
          <w:szCs w:val="24"/>
        </w:rPr>
        <w:t>The study of alogliptin investigated insulin, C-peptide, and glucagon monthly for 3 mo. However, they were not significantly different before and after alogliptin treatment</w:t>
      </w:r>
      <w:r w:rsidRPr="00C10ABF">
        <w:rPr>
          <w:rFonts w:ascii="Book Antiqua" w:hAnsi="Book Antiqua"/>
          <w:sz w:val="24"/>
          <w:szCs w:val="24"/>
          <w:vertAlign w:val="superscript"/>
        </w:rPr>
        <w:t>[13]</w:t>
      </w:r>
      <w:r w:rsidRPr="00C10ABF">
        <w:rPr>
          <w:rFonts w:ascii="Book Antiqua" w:hAnsi="Book Antiqua"/>
          <w:sz w:val="24"/>
          <w:szCs w:val="24"/>
        </w:rPr>
        <w:t>. In the study of teneligliptin, C-peptide level at baseline was 4.94 ng/mL and increased significantly to 5.96 ng/mL after 5 mo of treatment</w:t>
      </w:r>
      <w:r w:rsidRPr="00C10ABF">
        <w:rPr>
          <w:rFonts w:ascii="Book Antiqua" w:hAnsi="Book Antiqua"/>
          <w:sz w:val="24"/>
          <w:szCs w:val="24"/>
          <w:vertAlign w:val="superscript"/>
        </w:rPr>
        <w:t>[15]</w:t>
      </w:r>
      <w:r w:rsidRPr="00C10ABF">
        <w:rPr>
          <w:rFonts w:ascii="Book Antiqua" w:hAnsi="Book Antiqua"/>
          <w:sz w:val="24"/>
          <w:szCs w:val="24"/>
        </w:rPr>
        <w:t>. Three studies assessed active GLP-1 levels before and after DPP-4 inhibitor treatment in HD patients. Samples were taken before the start of HD treatment, and active GLP-1 levels increased 2–3 fold after DPP-4 inhibitor therapy</w:t>
      </w:r>
      <w:r w:rsidRPr="00C10ABF">
        <w:rPr>
          <w:rFonts w:ascii="Book Antiqua" w:hAnsi="Book Antiqua"/>
          <w:sz w:val="24"/>
          <w:szCs w:val="24"/>
          <w:vertAlign w:val="superscript"/>
        </w:rPr>
        <w:t>[11, 13,14]</w:t>
      </w:r>
      <w:r w:rsidRPr="00C10ABF">
        <w:rPr>
          <w:rFonts w:ascii="Book Antiqua" w:hAnsi="Book Antiqua"/>
          <w:sz w:val="24"/>
          <w:szCs w:val="24"/>
        </w:rPr>
        <w:t>.</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b/>
          <w:sz w:val="24"/>
          <w:szCs w:val="24"/>
        </w:rPr>
        <w:t>ANTI-INFLAMMATORY EFFECTIVENESS OF DPP-4 INHIBITORS IN HD PATIENTS</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Inflammation is an important prognostic factor in HD patients</w:t>
      </w:r>
      <w:r w:rsidRPr="00C10ABF">
        <w:rPr>
          <w:rFonts w:ascii="Book Antiqua" w:hAnsi="Book Antiqua"/>
          <w:sz w:val="24"/>
          <w:szCs w:val="24"/>
          <w:vertAlign w:val="superscript"/>
        </w:rPr>
        <w:t>[74]</w:t>
      </w:r>
      <w:r w:rsidRPr="00C10ABF">
        <w:rPr>
          <w:rFonts w:ascii="Book Antiqua" w:hAnsi="Book Antiqua"/>
          <w:sz w:val="24"/>
          <w:szCs w:val="24"/>
        </w:rPr>
        <w:t>. Therefore, if DPP-4 inhibitors prevent inflammation and atherosclerosis, they may improve the prognosis of HD patients. However, almost no research has investigated the anti-inflammatory or anti-atherosclerosis efficacies of DPP-4 inhibitors in HD patients. Only 2 reports have assessed the anti-inflammatory efficacies of DPP-4 inhibitors in HD patients. In the study of vildagliptin, interleukin-6 levels decreased after 6 mo, although not significantly</w:t>
      </w:r>
      <w:r w:rsidRPr="00C10ABF">
        <w:rPr>
          <w:rFonts w:ascii="Book Antiqua" w:hAnsi="Book Antiqua"/>
          <w:sz w:val="24"/>
          <w:szCs w:val="24"/>
          <w:vertAlign w:val="superscript"/>
        </w:rPr>
        <w:t>[11]</w:t>
      </w:r>
      <w:r w:rsidRPr="00C10ABF">
        <w:rPr>
          <w:rFonts w:ascii="Book Antiqua" w:hAnsi="Book Antiqua"/>
          <w:sz w:val="24"/>
          <w:szCs w:val="24"/>
        </w:rPr>
        <w:t>. In the study of linagliptin, PGE2 and interleukin-6 levels decreased significantly</w:t>
      </w:r>
      <w:r w:rsidRPr="00C10ABF">
        <w:rPr>
          <w:rFonts w:ascii="Book Antiqua" w:hAnsi="Book Antiqua"/>
          <w:sz w:val="24"/>
          <w:szCs w:val="24"/>
          <w:vertAlign w:val="superscript"/>
        </w:rPr>
        <w:t>[14]</w:t>
      </w:r>
      <w:r w:rsidRPr="00C10ABF">
        <w:rPr>
          <w:rFonts w:ascii="Book Antiqua" w:hAnsi="Book Antiqua"/>
          <w:sz w:val="24"/>
          <w:szCs w:val="24"/>
        </w:rPr>
        <w:t>.</w:t>
      </w:r>
      <w:r w:rsidRPr="00C10ABF">
        <w:rPr>
          <w:rFonts w:ascii="Book Antiqua" w:hAnsi="Book Antiqua"/>
          <w:b/>
          <w:sz w:val="24"/>
          <w:szCs w:val="24"/>
        </w:rPr>
        <w:t xml:space="preserve"> </w:t>
      </w:r>
      <w:r w:rsidRPr="00C10ABF">
        <w:rPr>
          <w:rFonts w:ascii="Book Antiqua" w:hAnsi="Book Antiqua"/>
          <w:sz w:val="24"/>
          <w:szCs w:val="24"/>
        </w:rPr>
        <w:t>Four mechanisms have been proposed to underlie the anti-inflammation properties of linagliptin: increased GLP-1</w:t>
      </w:r>
      <w:r w:rsidRPr="00C10ABF">
        <w:rPr>
          <w:rFonts w:ascii="Book Antiqua" w:hAnsi="Book Antiqua"/>
          <w:sz w:val="24"/>
          <w:szCs w:val="24"/>
          <w:vertAlign w:val="superscript"/>
        </w:rPr>
        <w:t>[75,76]</w:t>
      </w:r>
      <w:r w:rsidRPr="00C10ABF">
        <w:rPr>
          <w:rFonts w:ascii="Book Antiqua" w:hAnsi="Book Antiqua"/>
          <w:sz w:val="24"/>
          <w:szCs w:val="24"/>
        </w:rPr>
        <w:t>, DPP-4 (CD26) suppression</w:t>
      </w:r>
      <w:r w:rsidRPr="00C10ABF">
        <w:rPr>
          <w:rFonts w:ascii="Book Antiqua" w:hAnsi="Book Antiqua"/>
          <w:sz w:val="24"/>
          <w:szCs w:val="24"/>
          <w:vertAlign w:val="superscript"/>
        </w:rPr>
        <w:t>[77,78]</w:t>
      </w:r>
      <w:r w:rsidRPr="00C10ABF">
        <w:rPr>
          <w:rFonts w:ascii="Book Antiqua" w:hAnsi="Book Antiqua"/>
          <w:sz w:val="24"/>
          <w:szCs w:val="24"/>
        </w:rPr>
        <w:t>, xanthine-related skeletal structure, and a diabetic therapy effect</w:t>
      </w:r>
      <w:r w:rsidRPr="00C10ABF">
        <w:rPr>
          <w:rFonts w:ascii="Book Antiqua" w:hAnsi="Book Antiqua"/>
          <w:sz w:val="24"/>
          <w:szCs w:val="24"/>
          <w:vertAlign w:val="superscript"/>
        </w:rPr>
        <w:t>[79,80]</w:t>
      </w:r>
      <w:r w:rsidRPr="00C10ABF">
        <w:rPr>
          <w:rFonts w:ascii="Book Antiqua" w:hAnsi="Book Antiqua"/>
          <w:sz w:val="24"/>
          <w:szCs w:val="24"/>
        </w:rPr>
        <w:t>. Increased GLP-1, DPP-4 suppression, and an antidiabetic effect are the effects that are common among all DPP-4 inhibitors. However, among the 7 DPP-4 inhibitors, linagliptin is the only one with xanthine-related skeletal structure effects. The pharmacological anti-inflammatory mechanisms of xanthine-related skeletal structure are unknown. The meta-analysis of the cardiovascular events with DPP-4 inhibitors examined 73678 patients in a total of 82 randomized controlled trials including the SAVOR-TIMI 53 and EXAMINE trials</w:t>
      </w:r>
      <w:r w:rsidRPr="00C10ABF">
        <w:rPr>
          <w:rFonts w:ascii="Book Antiqua" w:hAnsi="Book Antiqua"/>
          <w:sz w:val="24"/>
          <w:szCs w:val="24"/>
          <w:vertAlign w:val="superscript"/>
        </w:rPr>
        <w:t>[81-83]</w:t>
      </w:r>
      <w:r w:rsidRPr="00C10ABF">
        <w:rPr>
          <w:rFonts w:ascii="Book Antiqua" w:hAnsi="Book Antiqua"/>
          <w:sz w:val="24"/>
          <w:szCs w:val="24"/>
        </w:rPr>
        <w:t>. Only linagliptin reduced major adverse cardiovascular events compared to placebo/alternative diabetes therapy. This suggests the anti-inflammatory effectiveness of linagliptin may be involved in its anti-atherosclerotic effects.</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b/>
          <w:sz w:val="24"/>
          <w:szCs w:val="24"/>
        </w:rPr>
        <w:t>SAFETY/TOLERABILITY</w:t>
      </w:r>
    </w:p>
    <w:p w:rsidR="0001465D" w:rsidRPr="00C10ABF" w:rsidRDefault="0001465D" w:rsidP="00F25235">
      <w:pPr>
        <w:snapToGrid w:val="0"/>
        <w:spacing w:line="360" w:lineRule="auto"/>
        <w:rPr>
          <w:rFonts w:ascii="Book Antiqua" w:hAnsi="Book Antiqua"/>
          <w:sz w:val="24"/>
          <w:szCs w:val="24"/>
        </w:rPr>
      </w:pPr>
      <w:r w:rsidRPr="00C10ABF">
        <w:rPr>
          <w:rFonts w:ascii="Book Antiqua" w:hAnsi="Book Antiqua"/>
          <w:sz w:val="24"/>
          <w:szCs w:val="24"/>
        </w:rPr>
        <w:t>Hypoglycemia is the most serious general side effect of diabetes treatment. In clinical trial data, the incidence of hypoglycemic events due to DPP-4 inhibitors ranges from &lt;</w:t>
      </w:r>
      <w:r w:rsidRPr="00C10ABF">
        <w:rPr>
          <w:rFonts w:ascii="Book Antiqua" w:eastAsia="宋体" w:hAnsi="Book Antiqua"/>
          <w:sz w:val="24"/>
          <w:szCs w:val="24"/>
          <w:lang w:eastAsia="zh-CN"/>
        </w:rPr>
        <w:t xml:space="preserve"> </w:t>
      </w:r>
      <w:r w:rsidRPr="00C10ABF">
        <w:rPr>
          <w:rFonts w:ascii="Book Antiqua" w:hAnsi="Book Antiqua"/>
          <w:sz w:val="24"/>
          <w:szCs w:val="24"/>
        </w:rPr>
        <w:t>0.1</w:t>
      </w:r>
      <w:r w:rsidRPr="00C10ABF">
        <w:rPr>
          <w:rFonts w:ascii="Book Antiqua" w:eastAsia="宋体" w:hAnsi="Book Antiqua"/>
          <w:sz w:val="24"/>
          <w:szCs w:val="24"/>
          <w:lang w:eastAsia="zh-CN"/>
        </w:rPr>
        <w:t>%</w:t>
      </w:r>
      <w:r w:rsidRPr="00C10ABF">
        <w:rPr>
          <w:rFonts w:ascii="Book Antiqua" w:hAnsi="Book Antiqua"/>
          <w:sz w:val="24"/>
          <w:szCs w:val="24"/>
        </w:rPr>
        <w:t>–5%. Meta-analysis of data from clinical trials indicated few hypoglycemic events due to vildagliptin and sitagliptin</w:t>
      </w:r>
      <w:r w:rsidRPr="00C10ABF">
        <w:rPr>
          <w:rFonts w:ascii="Book Antiqua" w:hAnsi="Book Antiqua"/>
          <w:sz w:val="24"/>
          <w:szCs w:val="24"/>
          <w:vertAlign w:val="superscript"/>
        </w:rPr>
        <w:t>[6]</w:t>
      </w:r>
      <w:r w:rsidRPr="00C10ABF">
        <w:rPr>
          <w:rFonts w:ascii="Book Antiqua" w:hAnsi="Book Antiqua"/>
          <w:sz w:val="24"/>
          <w:szCs w:val="24"/>
        </w:rPr>
        <w:t>. Adverse events other than hypoglycemia due to DPP-4 inhibitors include rash, hives, abdominal fullness, pancreatitis, constipation, headache, giddiness, nasopharyngitis, headache, and upper respiratory tract infection. However, the occurrence of these side reactions is low</w:t>
      </w:r>
      <w:r w:rsidRPr="00C10ABF">
        <w:rPr>
          <w:rFonts w:ascii="Book Antiqua" w:hAnsi="Book Antiqua"/>
          <w:sz w:val="24"/>
          <w:szCs w:val="24"/>
          <w:vertAlign w:val="superscript"/>
        </w:rPr>
        <w:t>[84]</w:t>
      </w:r>
      <w:r w:rsidRPr="00C10ABF">
        <w:rPr>
          <w:rFonts w:ascii="Book Antiqua" w:hAnsi="Book Antiqua"/>
          <w:sz w:val="24"/>
          <w:szCs w:val="24"/>
        </w:rPr>
        <w:t>.</w:t>
      </w:r>
    </w:p>
    <w:p w:rsidR="0001465D" w:rsidRPr="00C10ABF" w:rsidRDefault="0001465D" w:rsidP="00C10ABF">
      <w:pPr>
        <w:snapToGrid w:val="0"/>
        <w:spacing w:line="360" w:lineRule="auto"/>
        <w:ind w:firstLineChars="100" w:firstLine="240"/>
        <w:rPr>
          <w:rFonts w:ascii="Book Antiqua" w:hAnsi="Book Antiqua"/>
          <w:sz w:val="24"/>
          <w:szCs w:val="24"/>
        </w:rPr>
      </w:pPr>
      <w:r w:rsidRPr="00C10ABF">
        <w:rPr>
          <w:rFonts w:ascii="Book Antiqua" w:hAnsi="Book Antiqua"/>
          <w:sz w:val="24"/>
          <w:szCs w:val="24"/>
        </w:rPr>
        <w:t>One study reports higher incidences of cellulitis and headache (6.3%) with sitagliptin compared to glipizide</w:t>
      </w:r>
      <w:r w:rsidRPr="00C10ABF">
        <w:rPr>
          <w:rFonts w:ascii="Book Antiqua" w:hAnsi="Book Antiqua"/>
          <w:sz w:val="24"/>
          <w:szCs w:val="24"/>
          <w:vertAlign w:val="superscript"/>
        </w:rPr>
        <w:t>[9]</w:t>
      </w:r>
      <w:r w:rsidRPr="00C10ABF">
        <w:rPr>
          <w:rFonts w:ascii="Book Antiqua" w:hAnsi="Book Antiqua"/>
          <w:sz w:val="24"/>
          <w:szCs w:val="24"/>
        </w:rPr>
        <w:t>. One patient experienced a drug-related rash</w:t>
      </w:r>
      <w:r w:rsidRPr="00C10ABF">
        <w:rPr>
          <w:rFonts w:ascii="Book Antiqua" w:hAnsi="Book Antiqua"/>
          <w:sz w:val="24"/>
          <w:szCs w:val="24"/>
          <w:vertAlign w:val="superscript"/>
        </w:rPr>
        <w:t>[13]</w:t>
      </w:r>
      <w:r w:rsidRPr="00C10ABF">
        <w:rPr>
          <w:rFonts w:ascii="Book Antiqua" w:hAnsi="Book Antiqua"/>
          <w:sz w:val="24"/>
          <w:szCs w:val="24"/>
        </w:rPr>
        <w:t>,</w:t>
      </w:r>
      <w:r w:rsidRPr="00C10ABF">
        <w:rPr>
          <w:rFonts w:ascii="Book Antiqua" w:hAnsi="Book Antiqua"/>
          <w:b/>
          <w:sz w:val="24"/>
          <w:szCs w:val="24"/>
        </w:rPr>
        <w:t xml:space="preserve"> </w:t>
      </w:r>
      <w:r w:rsidRPr="00C10ABF">
        <w:rPr>
          <w:rFonts w:ascii="Book Antiqua" w:hAnsi="Book Antiqua"/>
          <w:sz w:val="24"/>
          <w:szCs w:val="24"/>
        </w:rPr>
        <w:t>and another experienced constipation</w:t>
      </w:r>
      <w:r w:rsidRPr="00C10ABF">
        <w:rPr>
          <w:rFonts w:ascii="Book Antiqua" w:hAnsi="Book Antiqua"/>
          <w:sz w:val="24"/>
          <w:szCs w:val="24"/>
          <w:vertAlign w:val="superscript"/>
        </w:rPr>
        <w:t>[15]</w:t>
      </w:r>
      <w:r w:rsidRPr="00C10ABF">
        <w:rPr>
          <w:rFonts w:ascii="Book Antiqua" w:hAnsi="Book Antiqua"/>
          <w:sz w:val="24"/>
          <w:szCs w:val="24"/>
        </w:rPr>
        <w:t>.</w:t>
      </w:r>
      <w:r w:rsidRPr="00C10ABF">
        <w:rPr>
          <w:rFonts w:ascii="Book Antiqua" w:hAnsi="Book Antiqua"/>
          <w:b/>
          <w:sz w:val="24"/>
          <w:szCs w:val="24"/>
        </w:rPr>
        <w:t xml:space="preserve"> </w:t>
      </w:r>
      <w:r w:rsidRPr="00C10ABF">
        <w:rPr>
          <w:rFonts w:ascii="Book Antiqua" w:hAnsi="Book Antiqua"/>
          <w:sz w:val="24"/>
          <w:szCs w:val="24"/>
        </w:rPr>
        <w:t>However, in 8 studies that evaluated the diabetes therapeutic effects of DPP-4 inhibitors in HD patients, no patients showed severe side effects (</w:t>
      </w:r>
      <w:r w:rsidRPr="00C10ABF">
        <w:rPr>
          <w:rFonts w:ascii="Book Antiqua" w:hAnsi="Book Antiqua"/>
          <w:i/>
          <w:sz w:val="24"/>
          <w:szCs w:val="24"/>
        </w:rPr>
        <w:t>e.g.</w:t>
      </w:r>
      <w:r w:rsidRPr="00C10ABF">
        <w:rPr>
          <w:rFonts w:ascii="Book Antiqua" w:hAnsi="Book Antiqua"/>
          <w:sz w:val="24"/>
          <w:szCs w:val="24"/>
        </w:rPr>
        <w:t xml:space="preserve">, hypoglycemia and liver dysfunction). Therefore, adverse events resulting from DPP-4 inhibitor treatments do not occur at a higher incidence than in HD patients. </w:t>
      </w: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b/>
          <w:sz w:val="24"/>
          <w:szCs w:val="24"/>
        </w:rPr>
        <w:t>CONCLUSION</w:t>
      </w:r>
    </w:p>
    <w:p w:rsidR="0001465D" w:rsidRPr="00C10ABF" w:rsidRDefault="0001465D" w:rsidP="00F25235">
      <w:pPr>
        <w:snapToGrid w:val="0"/>
        <w:spacing w:line="360" w:lineRule="auto"/>
        <w:rPr>
          <w:rFonts w:ascii="Book Antiqua" w:hAnsi="Book Antiqua"/>
          <w:b/>
          <w:sz w:val="24"/>
          <w:szCs w:val="24"/>
        </w:rPr>
      </w:pPr>
      <w:r w:rsidRPr="00C10ABF">
        <w:rPr>
          <w:rFonts w:ascii="Book Antiqua" w:hAnsi="Book Antiqua"/>
          <w:sz w:val="24"/>
          <w:szCs w:val="24"/>
        </w:rPr>
        <w:t>Treating HD patients with DPP-4 inhibitors does not result in an increased incidence of adverse events. Furthermore, DPP-4 inhibitors are strongly anticipated to be effective in HD patients with diabetes. Moreover, drugs with anti-inflammatory and anti-atherosclerotic effects are attractive options for HD patients, whose prognosis is associated with inflammation and atherosclerosis. DPP-4 inhibitors are key drugs that are part of new treatment strategies for HD patients with diabetes, whose choices for diabetes treatment are limited. A once-weekly oral DPP-4 inhibitor, SYR-472</w:t>
      </w:r>
      <w:r w:rsidRPr="00C10ABF">
        <w:rPr>
          <w:rFonts w:ascii="Book Antiqua" w:hAnsi="Book Antiqua"/>
          <w:sz w:val="24"/>
          <w:szCs w:val="24"/>
          <w:vertAlign w:val="superscript"/>
        </w:rPr>
        <w:t>[85]</w:t>
      </w:r>
      <w:r w:rsidRPr="00C10ABF">
        <w:rPr>
          <w:rFonts w:ascii="Book Antiqua" w:hAnsi="Book Antiqua"/>
          <w:sz w:val="24"/>
          <w:szCs w:val="24"/>
        </w:rPr>
        <w:t>, which could reduce the number of required administrations, might be approved in the future. Therefore, the number of treatment options for HD for diabetic patients is anticipated to increase.</w:t>
      </w:r>
      <w:r w:rsidRPr="00C10ABF">
        <w:rPr>
          <w:rFonts w:ascii="Book Antiqua" w:hAnsi="Book Antiqua"/>
          <w:b/>
          <w:sz w:val="24"/>
          <w:szCs w:val="24"/>
        </w:rPr>
        <w:t xml:space="preserve"> </w:t>
      </w:r>
    </w:p>
    <w:p w:rsidR="0001465D" w:rsidRPr="00C10ABF" w:rsidRDefault="0001465D" w:rsidP="001E72C9">
      <w:pPr>
        <w:snapToGrid w:val="0"/>
        <w:spacing w:line="360" w:lineRule="auto"/>
        <w:rPr>
          <w:rFonts w:ascii="Book Antiqua" w:hAnsi="Book Antiqua"/>
          <w:b/>
          <w:sz w:val="24"/>
          <w:szCs w:val="24"/>
        </w:rPr>
      </w:pPr>
    </w:p>
    <w:p w:rsidR="0001465D" w:rsidRPr="00C10ABF" w:rsidRDefault="0001465D" w:rsidP="001E72C9">
      <w:pPr>
        <w:snapToGrid w:val="0"/>
        <w:spacing w:line="360" w:lineRule="auto"/>
        <w:rPr>
          <w:rFonts w:ascii="Book Antiqua" w:hAnsi="Book Antiqua"/>
          <w:b/>
          <w:sz w:val="24"/>
          <w:szCs w:val="24"/>
        </w:rPr>
      </w:pPr>
      <w:r w:rsidRPr="00C10ABF">
        <w:rPr>
          <w:rFonts w:ascii="Book Antiqua" w:hAnsi="Book Antiqua"/>
          <w:b/>
          <w:sz w:val="24"/>
          <w:szCs w:val="24"/>
        </w:rPr>
        <w:t>REFERENCES</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 xml:space="preserve">1 </w:t>
      </w:r>
      <w:hyperlink r:id="rId8" w:history="1">
        <w:r w:rsidRPr="00C10ABF">
          <w:rPr>
            <w:rFonts w:ascii="Book Antiqua" w:eastAsia="宋体" w:hAnsi="Book Antiqua" w:cs="宋体"/>
            <w:b/>
            <w:kern w:val="0"/>
            <w:sz w:val="24"/>
            <w:szCs w:val="24"/>
            <w:lang w:eastAsia="zh-CN"/>
          </w:rPr>
          <w:t>KDOQI</w:t>
        </w:r>
      </w:hyperlink>
      <w:r w:rsidRPr="00C10ABF">
        <w:rPr>
          <w:rFonts w:ascii="Book Antiqua" w:eastAsia="宋体" w:hAnsi="Book Antiqua" w:cs="宋体"/>
          <w:kern w:val="0"/>
          <w:sz w:val="24"/>
          <w:szCs w:val="24"/>
          <w:lang w:eastAsia="zh-CN"/>
        </w:rPr>
        <w:t>. KDOQI Clinical Practice Guidelines and Clinical Practice Recommendations for Diabetes and Chronic Kidney Disease. </w:t>
      </w:r>
      <w:r w:rsidRPr="00C10ABF">
        <w:rPr>
          <w:rFonts w:ascii="Book Antiqua" w:eastAsia="宋体" w:hAnsi="Book Antiqua" w:cs="宋体"/>
          <w:i/>
          <w:iCs/>
          <w:kern w:val="0"/>
          <w:sz w:val="24"/>
          <w:szCs w:val="24"/>
          <w:lang w:eastAsia="zh-CN"/>
        </w:rPr>
        <w:t>Am J Kidney Dis</w:t>
      </w:r>
      <w:r w:rsidRPr="00C10ABF">
        <w:rPr>
          <w:rFonts w:ascii="Book Antiqua" w:eastAsia="宋体" w:hAnsi="Book Antiqua" w:cs="宋体"/>
          <w:kern w:val="0"/>
          <w:sz w:val="24"/>
          <w:szCs w:val="24"/>
          <w:lang w:eastAsia="zh-CN"/>
        </w:rPr>
        <w:t> 2007; </w:t>
      </w:r>
      <w:r w:rsidRPr="00C10ABF">
        <w:rPr>
          <w:rFonts w:ascii="Book Antiqua" w:eastAsia="宋体" w:hAnsi="Book Antiqua" w:cs="宋体"/>
          <w:b/>
          <w:bCs/>
          <w:kern w:val="0"/>
          <w:sz w:val="24"/>
          <w:szCs w:val="24"/>
          <w:lang w:eastAsia="zh-CN"/>
        </w:rPr>
        <w:t>49</w:t>
      </w:r>
      <w:r w:rsidRPr="00C10ABF">
        <w:rPr>
          <w:rFonts w:ascii="Book Antiqua" w:eastAsia="宋体" w:hAnsi="Book Antiqua" w:cs="宋体"/>
          <w:kern w:val="0"/>
          <w:sz w:val="24"/>
          <w:szCs w:val="24"/>
          <w:lang w:eastAsia="zh-CN"/>
        </w:rPr>
        <w:t>: S12-154 [PMID: 17276798]</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2 KDIGO 2012 clinical practice guideline for the evaluation and management of chronic kidney disease. K</w:t>
      </w:r>
      <w:r w:rsidRPr="00C10ABF">
        <w:rPr>
          <w:rFonts w:ascii="Book Antiqua" w:eastAsia="宋体" w:hAnsi="Book Antiqua" w:cs="宋体"/>
          <w:i/>
          <w:kern w:val="0"/>
          <w:sz w:val="24"/>
          <w:szCs w:val="24"/>
          <w:lang w:eastAsia="zh-CN"/>
        </w:rPr>
        <w:t>idney Int Suppl</w:t>
      </w:r>
      <w:r w:rsidRPr="00C10ABF">
        <w:rPr>
          <w:rFonts w:ascii="Book Antiqua" w:eastAsia="宋体" w:hAnsi="Book Antiqua" w:cs="宋体"/>
          <w:kern w:val="0"/>
          <w:sz w:val="24"/>
          <w:szCs w:val="24"/>
          <w:lang w:eastAsia="zh-CN"/>
        </w:rPr>
        <w:t xml:space="preserve"> 2013; </w:t>
      </w:r>
      <w:r w:rsidRPr="00C10ABF">
        <w:rPr>
          <w:rFonts w:ascii="Book Antiqua" w:eastAsia="宋体" w:hAnsi="Book Antiqua" w:cs="宋体"/>
          <w:b/>
          <w:kern w:val="0"/>
          <w:sz w:val="24"/>
          <w:szCs w:val="24"/>
          <w:lang w:eastAsia="zh-CN"/>
        </w:rPr>
        <w:t>3</w:t>
      </w:r>
      <w:r w:rsidRPr="00C10ABF">
        <w:rPr>
          <w:rFonts w:ascii="Book Antiqua" w:eastAsia="宋体" w:hAnsi="Book Antiqua" w:cs="宋体"/>
          <w:kern w:val="0"/>
          <w:sz w:val="24"/>
          <w:szCs w:val="24"/>
          <w:lang w:eastAsia="zh-CN"/>
        </w:rPr>
        <w:t>: 1-150</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3 </w:t>
      </w:r>
      <w:r w:rsidRPr="00C10ABF">
        <w:rPr>
          <w:rFonts w:ascii="Book Antiqua" w:eastAsia="宋体" w:hAnsi="Book Antiqua" w:cs="宋体"/>
          <w:b/>
          <w:bCs/>
          <w:kern w:val="0"/>
          <w:sz w:val="24"/>
          <w:szCs w:val="24"/>
          <w:lang w:eastAsia="zh-CN"/>
        </w:rPr>
        <w:t>Shima K</w:t>
      </w:r>
      <w:r w:rsidRPr="00C10ABF">
        <w:rPr>
          <w:rFonts w:ascii="Book Antiqua" w:eastAsia="宋体" w:hAnsi="Book Antiqua" w:cs="宋体"/>
          <w:kern w:val="0"/>
          <w:sz w:val="24"/>
          <w:szCs w:val="24"/>
          <w:lang w:eastAsia="zh-CN"/>
        </w:rPr>
        <w:t>, Komatsu M, Kawahara K, Minaguchi J, Kawashima S. Stringent glycaemic control prolongs survival in diabetic patients with end-stage renal disease on haemodialysis. </w:t>
      </w:r>
      <w:r w:rsidRPr="00C10ABF">
        <w:rPr>
          <w:rFonts w:ascii="Book Antiqua" w:eastAsia="宋体" w:hAnsi="Book Antiqua" w:cs="宋体"/>
          <w:i/>
          <w:iCs/>
          <w:kern w:val="0"/>
          <w:sz w:val="24"/>
          <w:szCs w:val="24"/>
          <w:lang w:eastAsia="zh-CN"/>
        </w:rPr>
        <w:t>Nephrology</w:t>
      </w:r>
      <w:r w:rsidRPr="00C10ABF">
        <w:rPr>
          <w:rFonts w:ascii="Book Antiqua" w:eastAsia="宋体" w:hAnsi="Book Antiqua" w:cs="宋体"/>
          <w:iCs/>
          <w:kern w:val="0"/>
          <w:sz w:val="24"/>
          <w:szCs w:val="24"/>
          <w:lang w:eastAsia="zh-CN"/>
        </w:rPr>
        <w:t xml:space="preserve"> (Carlton)</w:t>
      </w:r>
      <w:r w:rsidRPr="00C10ABF">
        <w:rPr>
          <w:rFonts w:ascii="Book Antiqua" w:eastAsia="宋体" w:hAnsi="Book Antiqua" w:cs="宋体"/>
          <w:kern w:val="0"/>
          <w:sz w:val="24"/>
          <w:szCs w:val="24"/>
          <w:lang w:eastAsia="zh-CN"/>
        </w:rPr>
        <w:t> 2010; </w:t>
      </w:r>
      <w:r w:rsidRPr="00C10ABF">
        <w:rPr>
          <w:rFonts w:ascii="Book Antiqua" w:eastAsia="宋体" w:hAnsi="Book Antiqua" w:cs="宋体"/>
          <w:b/>
          <w:bCs/>
          <w:kern w:val="0"/>
          <w:sz w:val="24"/>
          <w:szCs w:val="24"/>
          <w:lang w:eastAsia="zh-CN"/>
        </w:rPr>
        <w:t>15</w:t>
      </w:r>
      <w:r w:rsidRPr="00C10ABF">
        <w:rPr>
          <w:rFonts w:ascii="Book Antiqua" w:eastAsia="宋体" w:hAnsi="Book Antiqua" w:cs="宋体"/>
          <w:kern w:val="0"/>
          <w:sz w:val="24"/>
          <w:szCs w:val="24"/>
          <w:lang w:eastAsia="zh-CN"/>
        </w:rPr>
        <w:t>: 632-638 [PMID: 20883284 DOI: 10.1111/j.1440-1797.2010.01273.x]</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4 </w:t>
      </w:r>
      <w:r w:rsidRPr="00C10ABF">
        <w:rPr>
          <w:rFonts w:ascii="Book Antiqua" w:eastAsia="宋体" w:hAnsi="Book Antiqua" w:cs="宋体"/>
          <w:b/>
          <w:bCs/>
          <w:kern w:val="0"/>
          <w:sz w:val="24"/>
          <w:szCs w:val="24"/>
          <w:lang w:eastAsia="zh-CN"/>
        </w:rPr>
        <w:t>Ishimura E</w:t>
      </w:r>
      <w:r w:rsidRPr="00C10ABF">
        <w:rPr>
          <w:rFonts w:ascii="Book Antiqua" w:eastAsia="宋体" w:hAnsi="Book Antiqua" w:cs="宋体"/>
          <w:kern w:val="0"/>
          <w:sz w:val="24"/>
          <w:szCs w:val="24"/>
          <w:lang w:eastAsia="zh-CN"/>
        </w:rPr>
        <w:t>, Okuno S, Kono K, Fujino-Kato Y, Maeno Y, Kagitani S, Tsuboniwa N, Nagasue K, Maekawa K, Yamakawa T, Inaba M, Nishizawa Y. Glycemic control and survival of diabetic hemodialysis patients--importance of lower hemoglobin A1C levels. </w:t>
      </w:r>
      <w:r w:rsidRPr="00C10ABF">
        <w:rPr>
          <w:rFonts w:ascii="Book Antiqua" w:eastAsia="宋体" w:hAnsi="Book Antiqua" w:cs="宋体"/>
          <w:i/>
          <w:iCs/>
          <w:kern w:val="0"/>
          <w:sz w:val="24"/>
          <w:szCs w:val="24"/>
          <w:lang w:eastAsia="zh-CN"/>
        </w:rPr>
        <w:t>Diabetes Res Clin Pract</w:t>
      </w:r>
      <w:r w:rsidRPr="00C10ABF">
        <w:rPr>
          <w:rFonts w:ascii="Book Antiqua" w:eastAsia="宋体" w:hAnsi="Book Antiqua" w:cs="宋体"/>
          <w:kern w:val="0"/>
          <w:sz w:val="24"/>
          <w:szCs w:val="24"/>
          <w:lang w:eastAsia="zh-CN"/>
        </w:rPr>
        <w:t> 2009; </w:t>
      </w:r>
      <w:r w:rsidRPr="00C10ABF">
        <w:rPr>
          <w:rFonts w:ascii="Book Antiqua" w:eastAsia="宋体" w:hAnsi="Book Antiqua" w:cs="宋体"/>
          <w:b/>
          <w:bCs/>
          <w:kern w:val="0"/>
          <w:sz w:val="24"/>
          <w:szCs w:val="24"/>
          <w:lang w:eastAsia="zh-CN"/>
        </w:rPr>
        <w:t>83</w:t>
      </w:r>
      <w:r w:rsidRPr="00C10ABF">
        <w:rPr>
          <w:rFonts w:ascii="Book Antiqua" w:eastAsia="宋体" w:hAnsi="Book Antiqua" w:cs="宋体"/>
          <w:kern w:val="0"/>
          <w:sz w:val="24"/>
          <w:szCs w:val="24"/>
          <w:lang w:eastAsia="zh-CN"/>
        </w:rPr>
        <w:t>: 320-326 [PMID: 19135755 DOI: 10.1016/j.diabres.2008.11.038]</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5 </w:t>
      </w:r>
      <w:r w:rsidRPr="00C10ABF">
        <w:rPr>
          <w:rFonts w:ascii="Book Antiqua" w:eastAsia="宋体" w:hAnsi="Book Antiqua" w:cs="宋体"/>
          <w:b/>
          <w:bCs/>
          <w:kern w:val="0"/>
          <w:sz w:val="24"/>
          <w:szCs w:val="24"/>
          <w:lang w:eastAsia="zh-CN"/>
        </w:rPr>
        <w:t>Abbatecola AM</w:t>
      </w:r>
      <w:r w:rsidRPr="00C10ABF">
        <w:rPr>
          <w:rFonts w:ascii="Book Antiqua" w:eastAsia="宋体" w:hAnsi="Book Antiqua" w:cs="宋体"/>
          <w:kern w:val="0"/>
          <w:sz w:val="24"/>
          <w:szCs w:val="24"/>
          <w:lang w:eastAsia="zh-CN"/>
        </w:rPr>
        <w:t>, Maggi S, Paolisso G. New approaches to treating type 2 diabetes mellitus in the elderly: role of incretin therapies. </w:t>
      </w:r>
      <w:r w:rsidRPr="00C10ABF">
        <w:rPr>
          <w:rFonts w:ascii="Book Antiqua" w:eastAsia="宋体" w:hAnsi="Book Antiqua" w:cs="宋体"/>
          <w:i/>
          <w:iCs/>
          <w:kern w:val="0"/>
          <w:sz w:val="24"/>
          <w:szCs w:val="24"/>
          <w:lang w:eastAsia="zh-CN"/>
        </w:rPr>
        <w:t>Drugs Aging</w:t>
      </w:r>
      <w:r w:rsidRPr="00C10ABF">
        <w:rPr>
          <w:rFonts w:ascii="Book Antiqua" w:eastAsia="宋体" w:hAnsi="Book Antiqua" w:cs="宋体"/>
          <w:kern w:val="0"/>
          <w:sz w:val="24"/>
          <w:szCs w:val="24"/>
          <w:lang w:eastAsia="zh-CN"/>
        </w:rPr>
        <w:t> 2008; </w:t>
      </w:r>
      <w:r w:rsidRPr="00C10ABF">
        <w:rPr>
          <w:rFonts w:ascii="Book Antiqua" w:eastAsia="宋体" w:hAnsi="Book Antiqua" w:cs="宋体"/>
          <w:b/>
          <w:bCs/>
          <w:kern w:val="0"/>
          <w:sz w:val="24"/>
          <w:szCs w:val="24"/>
          <w:lang w:eastAsia="zh-CN"/>
        </w:rPr>
        <w:t>25</w:t>
      </w:r>
      <w:r w:rsidRPr="00C10ABF">
        <w:rPr>
          <w:rFonts w:ascii="Book Antiqua" w:eastAsia="宋体" w:hAnsi="Book Antiqua" w:cs="宋体"/>
          <w:kern w:val="0"/>
          <w:sz w:val="24"/>
          <w:szCs w:val="24"/>
          <w:lang w:eastAsia="zh-CN"/>
        </w:rPr>
        <w:t>: 913-925 [PMID: 18947259 DOI: 10.2165/0002512-200825110-00002]</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6 </w:t>
      </w:r>
      <w:r w:rsidRPr="00C10ABF">
        <w:rPr>
          <w:rFonts w:ascii="Book Antiqua" w:eastAsia="宋体" w:hAnsi="Book Antiqua" w:cs="宋体"/>
          <w:b/>
          <w:bCs/>
          <w:kern w:val="0"/>
          <w:sz w:val="24"/>
          <w:szCs w:val="24"/>
          <w:lang w:eastAsia="zh-CN"/>
        </w:rPr>
        <w:t>Williams-Herman D</w:t>
      </w:r>
      <w:r w:rsidRPr="00C10ABF">
        <w:rPr>
          <w:rFonts w:ascii="Book Antiqua" w:eastAsia="宋体" w:hAnsi="Book Antiqua" w:cs="宋体"/>
          <w:kern w:val="0"/>
          <w:sz w:val="24"/>
          <w:szCs w:val="24"/>
          <w:lang w:eastAsia="zh-CN"/>
        </w:rPr>
        <w:t>, Round E, Swern AS, Musser B, Davies MJ, Stein PP, Kaufman KD, Amatruda JM. Safety and tolerability of sitagliptin in patients with type 2 diabetes: a pooled analysis. </w:t>
      </w:r>
      <w:r w:rsidRPr="00C10ABF">
        <w:rPr>
          <w:rFonts w:ascii="Book Antiqua" w:eastAsia="宋体" w:hAnsi="Book Antiqua" w:cs="宋体"/>
          <w:i/>
          <w:iCs/>
          <w:kern w:val="0"/>
          <w:sz w:val="24"/>
          <w:szCs w:val="24"/>
          <w:lang w:eastAsia="zh-CN"/>
        </w:rPr>
        <w:t>BMC Endocr Disord</w:t>
      </w:r>
      <w:r w:rsidRPr="00C10ABF">
        <w:rPr>
          <w:rFonts w:ascii="Book Antiqua" w:eastAsia="宋体" w:hAnsi="Book Antiqua" w:cs="宋体"/>
          <w:kern w:val="0"/>
          <w:sz w:val="24"/>
          <w:szCs w:val="24"/>
          <w:lang w:eastAsia="zh-CN"/>
        </w:rPr>
        <w:t> 2008; </w:t>
      </w:r>
      <w:r w:rsidRPr="00C10ABF">
        <w:rPr>
          <w:rFonts w:ascii="Book Antiqua" w:eastAsia="宋体" w:hAnsi="Book Antiqua" w:cs="宋体"/>
          <w:b/>
          <w:bCs/>
          <w:kern w:val="0"/>
          <w:sz w:val="24"/>
          <w:szCs w:val="24"/>
          <w:lang w:eastAsia="zh-CN"/>
        </w:rPr>
        <w:t>8</w:t>
      </w:r>
      <w:r w:rsidRPr="00C10ABF">
        <w:rPr>
          <w:rFonts w:ascii="Book Antiqua" w:eastAsia="宋体" w:hAnsi="Book Antiqua" w:cs="宋体"/>
          <w:kern w:val="0"/>
          <w:sz w:val="24"/>
          <w:szCs w:val="24"/>
          <w:lang w:eastAsia="zh-CN"/>
        </w:rPr>
        <w:t>: 14 [PMID: 18954434 DOI: 10.1186/1472-6823-8-14]</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7 </w:t>
      </w:r>
      <w:r w:rsidRPr="00C10ABF">
        <w:rPr>
          <w:rFonts w:ascii="Book Antiqua" w:eastAsia="宋体" w:hAnsi="Book Antiqua" w:cs="宋体"/>
          <w:b/>
          <w:bCs/>
          <w:kern w:val="0"/>
          <w:sz w:val="24"/>
          <w:szCs w:val="24"/>
          <w:lang w:eastAsia="zh-CN"/>
        </w:rPr>
        <w:t>Shah Z</w:t>
      </w:r>
      <w:r w:rsidRPr="00C10ABF">
        <w:rPr>
          <w:rFonts w:ascii="Book Antiqua" w:eastAsia="宋体" w:hAnsi="Book Antiqua" w:cs="宋体"/>
          <w:kern w:val="0"/>
          <w:sz w:val="24"/>
          <w:szCs w:val="24"/>
          <w:lang w:eastAsia="zh-CN"/>
        </w:rPr>
        <w:t>, Kampfrath T, Deiuliis JA, Zhong J, Pineda C, Ying Z, Xu X, Lu B, Moffatt-Bruce S, Durairaj R, Sun Q, Mihai G, Maiseyeu A, Rajagopalan S. Long-term dipeptidyl-peptidase 4 inhibition reduces atherosclerosis and inflammation via effects on monocyte recruitment and chemotaxis. </w:t>
      </w:r>
      <w:r w:rsidRPr="00C10ABF">
        <w:rPr>
          <w:rFonts w:ascii="Book Antiqua" w:eastAsia="宋体" w:hAnsi="Book Antiqua" w:cs="宋体"/>
          <w:i/>
          <w:iCs/>
          <w:kern w:val="0"/>
          <w:sz w:val="24"/>
          <w:szCs w:val="24"/>
          <w:lang w:eastAsia="zh-CN"/>
        </w:rPr>
        <w:t>Circulation</w:t>
      </w:r>
      <w:r w:rsidRPr="00C10ABF">
        <w:rPr>
          <w:rFonts w:ascii="Book Antiqua" w:eastAsia="宋体" w:hAnsi="Book Antiqua" w:cs="宋体"/>
          <w:kern w:val="0"/>
          <w:sz w:val="24"/>
          <w:szCs w:val="24"/>
          <w:lang w:eastAsia="zh-CN"/>
        </w:rPr>
        <w:t> 2011; </w:t>
      </w:r>
      <w:r w:rsidRPr="00C10ABF">
        <w:rPr>
          <w:rFonts w:ascii="Book Antiqua" w:eastAsia="宋体" w:hAnsi="Book Antiqua" w:cs="宋体"/>
          <w:b/>
          <w:bCs/>
          <w:kern w:val="0"/>
          <w:sz w:val="24"/>
          <w:szCs w:val="24"/>
          <w:lang w:eastAsia="zh-CN"/>
        </w:rPr>
        <w:t>124</w:t>
      </w:r>
      <w:r w:rsidRPr="00C10ABF">
        <w:rPr>
          <w:rFonts w:ascii="Book Antiqua" w:eastAsia="宋体" w:hAnsi="Book Antiqua" w:cs="宋体"/>
          <w:kern w:val="0"/>
          <w:sz w:val="24"/>
          <w:szCs w:val="24"/>
          <w:lang w:eastAsia="zh-CN"/>
        </w:rPr>
        <w:t>: 2338-2349 [PMID: 22007077 DOI: 10.1161/CIRCULATIONAHA.111.041418]</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8 </w:t>
      </w:r>
      <w:r w:rsidRPr="00C10ABF">
        <w:rPr>
          <w:rFonts w:ascii="Book Antiqua" w:eastAsia="宋体" w:hAnsi="Book Antiqua" w:cs="宋体"/>
          <w:b/>
          <w:bCs/>
          <w:kern w:val="0"/>
          <w:sz w:val="24"/>
          <w:szCs w:val="24"/>
          <w:lang w:eastAsia="zh-CN"/>
        </w:rPr>
        <w:t>Scheen AJ</w:t>
      </w:r>
      <w:r w:rsidRPr="00C10ABF">
        <w:rPr>
          <w:rFonts w:ascii="Book Antiqua" w:eastAsia="宋体" w:hAnsi="Book Antiqua" w:cs="宋体"/>
          <w:kern w:val="0"/>
          <w:sz w:val="24"/>
          <w:szCs w:val="24"/>
          <w:lang w:eastAsia="zh-CN"/>
        </w:rPr>
        <w:t>. Cardiovascular effects of gliptins. </w:t>
      </w:r>
      <w:r w:rsidRPr="00C10ABF">
        <w:rPr>
          <w:rFonts w:ascii="Book Antiqua" w:eastAsia="宋体" w:hAnsi="Book Antiqua" w:cs="宋体"/>
          <w:i/>
          <w:iCs/>
          <w:kern w:val="0"/>
          <w:sz w:val="24"/>
          <w:szCs w:val="24"/>
          <w:lang w:eastAsia="zh-CN"/>
        </w:rPr>
        <w:t>Nat Rev Cardiol</w:t>
      </w:r>
      <w:r w:rsidRPr="00C10ABF">
        <w:rPr>
          <w:rFonts w:ascii="Book Antiqua" w:eastAsia="宋体" w:hAnsi="Book Antiqua" w:cs="宋体"/>
          <w:kern w:val="0"/>
          <w:sz w:val="24"/>
          <w:szCs w:val="24"/>
          <w:lang w:eastAsia="zh-CN"/>
        </w:rPr>
        <w:t> 2013; </w:t>
      </w:r>
      <w:r w:rsidRPr="00C10ABF">
        <w:rPr>
          <w:rFonts w:ascii="Book Antiqua" w:eastAsia="宋体" w:hAnsi="Book Antiqua" w:cs="宋体"/>
          <w:b/>
          <w:bCs/>
          <w:kern w:val="0"/>
          <w:sz w:val="24"/>
          <w:szCs w:val="24"/>
          <w:lang w:eastAsia="zh-CN"/>
        </w:rPr>
        <w:t>10</w:t>
      </w:r>
      <w:r w:rsidRPr="00C10ABF">
        <w:rPr>
          <w:rFonts w:ascii="Book Antiqua" w:eastAsia="宋体" w:hAnsi="Book Antiqua" w:cs="宋体"/>
          <w:kern w:val="0"/>
          <w:sz w:val="24"/>
          <w:szCs w:val="24"/>
          <w:lang w:eastAsia="zh-CN"/>
        </w:rPr>
        <w:t>: 73-84 [PMID: 23296071 DOI: 10.1038/nrcardio.2012.183]</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9 </w:t>
      </w:r>
      <w:r w:rsidRPr="00C10ABF">
        <w:rPr>
          <w:rFonts w:ascii="Book Antiqua" w:eastAsia="宋体" w:hAnsi="Book Antiqua" w:cs="宋体"/>
          <w:b/>
          <w:bCs/>
          <w:kern w:val="0"/>
          <w:sz w:val="24"/>
          <w:szCs w:val="24"/>
          <w:lang w:eastAsia="zh-CN"/>
        </w:rPr>
        <w:t>Arjona Ferreira JC</w:t>
      </w:r>
      <w:r w:rsidRPr="00C10ABF">
        <w:rPr>
          <w:rFonts w:ascii="Book Antiqua" w:eastAsia="宋体" w:hAnsi="Book Antiqua" w:cs="宋体"/>
          <w:kern w:val="0"/>
          <w:sz w:val="24"/>
          <w:szCs w:val="24"/>
          <w:lang w:eastAsia="zh-CN"/>
        </w:rPr>
        <w:t>, Corry D, Mogensen CE, Sloan L, Xu L, Golm GT, Gonzalez EJ, Davies MJ, Kaufman KD, Goldstein BJ. Efficacy and safety of sitagliptin in patients with type 2 diabetes and ESRD receiving dialysis: a 54-week randomized trial. </w:t>
      </w:r>
      <w:r w:rsidRPr="00C10ABF">
        <w:rPr>
          <w:rFonts w:ascii="Book Antiqua" w:eastAsia="宋体" w:hAnsi="Book Antiqua" w:cs="宋体"/>
          <w:i/>
          <w:iCs/>
          <w:kern w:val="0"/>
          <w:sz w:val="24"/>
          <w:szCs w:val="24"/>
          <w:lang w:eastAsia="zh-CN"/>
        </w:rPr>
        <w:t>Am J Kidney Dis</w:t>
      </w:r>
      <w:r w:rsidRPr="00C10ABF">
        <w:rPr>
          <w:rFonts w:ascii="Book Antiqua" w:eastAsia="宋体" w:hAnsi="Book Antiqua" w:cs="宋体"/>
          <w:kern w:val="0"/>
          <w:sz w:val="24"/>
          <w:szCs w:val="24"/>
          <w:lang w:eastAsia="zh-CN"/>
        </w:rPr>
        <w:t> 2013; </w:t>
      </w:r>
      <w:r w:rsidRPr="00C10ABF">
        <w:rPr>
          <w:rFonts w:ascii="Book Antiqua" w:eastAsia="宋体" w:hAnsi="Book Antiqua" w:cs="宋体"/>
          <w:b/>
          <w:bCs/>
          <w:kern w:val="0"/>
          <w:sz w:val="24"/>
          <w:szCs w:val="24"/>
          <w:lang w:eastAsia="zh-CN"/>
        </w:rPr>
        <w:t>61</w:t>
      </w:r>
      <w:r w:rsidRPr="00C10ABF">
        <w:rPr>
          <w:rFonts w:ascii="Book Antiqua" w:eastAsia="宋体" w:hAnsi="Book Antiqua" w:cs="宋体"/>
          <w:kern w:val="0"/>
          <w:sz w:val="24"/>
          <w:szCs w:val="24"/>
          <w:lang w:eastAsia="zh-CN"/>
        </w:rPr>
        <w:t>: 579-587 [PMID: 23352379 DOI: 10.1053/j.ajkd.2012.11.043]</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10 </w:t>
      </w:r>
      <w:r w:rsidRPr="00C10ABF">
        <w:rPr>
          <w:rFonts w:ascii="Book Antiqua" w:eastAsia="宋体" w:hAnsi="Book Antiqua" w:cs="宋体"/>
          <w:b/>
          <w:bCs/>
          <w:kern w:val="0"/>
          <w:sz w:val="24"/>
          <w:szCs w:val="24"/>
          <w:lang w:eastAsia="zh-CN"/>
        </w:rPr>
        <w:t>Ito H</w:t>
      </w:r>
      <w:r w:rsidRPr="00C10ABF">
        <w:rPr>
          <w:rFonts w:ascii="Book Antiqua" w:eastAsia="宋体" w:hAnsi="Book Antiqua" w:cs="宋体"/>
          <w:kern w:val="0"/>
          <w:sz w:val="24"/>
          <w:szCs w:val="24"/>
          <w:lang w:eastAsia="zh-CN"/>
        </w:rPr>
        <w:t>, Mifune M, Matsuyama E, Furusho M, Omoto T, Shinozaki M, Nishio S, Antoku S, Abe M, Togane M, Koga S, Sanaka T. Vildagliptin is Effective for Glycemic Control in Diabetic Patients Undergoing either Hemodialysis or Peritoneal Dialysis. </w:t>
      </w:r>
      <w:r w:rsidRPr="00C10ABF">
        <w:rPr>
          <w:rFonts w:ascii="Book Antiqua" w:eastAsia="宋体" w:hAnsi="Book Antiqua" w:cs="宋体"/>
          <w:i/>
          <w:iCs/>
          <w:kern w:val="0"/>
          <w:sz w:val="24"/>
          <w:szCs w:val="24"/>
          <w:lang w:eastAsia="zh-CN"/>
        </w:rPr>
        <w:t>Diabetes Ther</w:t>
      </w:r>
      <w:r w:rsidRPr="00C10ABF">
        <w:rPr>
          <w:rFonts w:ascii="Book Antiqua" w:eastAsia="宋体" w:hAnsi="Book Antiqua" w:cs="宋体"/>
          <w:kern w:val="0"/>
          <w:sz w:val="24"/>
          <w:szCs w:val="24"/>
          <w:lang w:eastAsia="zh-CN"/>
        </w:rPr>
        <w:t> 2013; </w:t>
      </w:r>
      <w:r w:rsidRPr="00C10ABF">
        <w:rPr>
          <w:rFonts w:ascii="Book Antiqua" w:eastAsia="宋体" w:hAnsi="Book Antiqua" w:cs="宋体"/>
          <w:b/>
          <w:bCs/>
          <w:kern w:val="0"/>
          <w:sz w:val="24"/>
          <w:szCs w:val="24"/>
          <w:lang w:eastAsia="zh-CN"/>
        </w:rPr>
        <w:t>4</w:t>
      </w:r>
      <w:r w:rsidRPr="00C10ABF">
        <w:rPr>
          <w:rFonts w:ascii="Book Antiqua" w:eastAsia="宋体" w:hAnsi="Book Antiqua" w:cs="宋体"/>
          <w:kern w:val="0"/>
          <w:sz w:val="24"/>
          <w:szCs w:val="24"/>
          <w:lang w:eastAsia="zh-CN"/>
        </w:rPr>
        <w:t>: 321-329 [PMID: 23801219 DOI: 10.1007/s13300-013-0029-8]</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11 </w:t>
      </w:r>
      <w:r w:rsidRPr="00C10ABF">
        <w:rPr>
          <w:rFonts w:ascii="Book Antiqua" w:eastAsia="宋体" w:hAnsi="Book Antiqua" w:cs="宋体"/>
          <w:b/>
          <w:bCs/>
          <w:kern w:val="0"/>
          <w:sz w:val="24"/>
          <w:szCs w:val="24"/>
          <w:lang w:eastAsia="zh-CN"/>
        </w:rPr>
        <w:t>Kume S</w:t>
      </w:r>
      <w:r w:rsidRPr="00C10ABF">
        <w:rPr>
          <w:rFonts w:ascii="Book Antiqua" w:eastAsia="宋体" w:hAnsi="Book Antiqua" w:cs="宋体"/>
          <w:kern w:val="0"/>
          <w:sz w:val="24"/>
          <w:szCs w:val="24"/>
          <w:lang w:eastAsia="zh-CN"/>
        </w:rPr>
        <w:t>, Uzu T, Takagi C, Kondo M, Okabe T, Araki S, Isshiki K, Takeda N, Kondo K, Haneda M, Koya D, Nishio Y, Kashiwagi A, Maegawa H. Efficacy and tolerability of vildagliptin in type 2 diabetic patients on hemodialysis. </w:t>
      </w:r>
      <w:r w:rsidRPr="00C10ABF">
        <w:rPr>
          <w:rFonts w:ascii="Book Antiqua" w:eastAsia="宋体" w:hAnsi="Book Antiqua" w:cs="宋体"/>
          <w:i/>
          <w:iCs/>
          <w:kern w:val="0"/>
          <w:sz w:val="24"/>
          <w:szCs w:val="24"/>
          <w:lang w:eastAsia="zh-CN"/>
        </w:rPr>
        <w:t>J Diabetes Investig</w:t>
      </w:r>
      <w:r w:rsidRPr="00C10ABF">
        <w:rPr>
          <w:rFonts w:ascii="Book Antiqua" w:eastAsia="宋体" w:hAnsi="Book Antiqua" w:cs="宋体"/>
          <w:kern w:val="0"/>
          <w:sz w:val="24"/>
          <w:szCs w:val="24"/>
          <w:lang w:eastAsia="zh-CN"/>
        </w:rPr>
        <w:t> 2012; </w:t>
      </w:r>
      <w:r w:rsidRPr="00C10ABF">
        <w:rPr>
          <w:rFonts w:ascii="Book Antiqua" w:eastAsia="宋体" w:hAnsi="Book Antiqua" w:cs="宋体"/>
          <w:b/>
          <w:bCs/>
          <w:kern w:val="0"/>
          <w:sz w:val="24"/>
          <w:szCs w:val="24"/>
          <w:lang w:eastAsia="zh-CN"/>
        </w:rPr>
        <w:t>3</w:t>
      </w:r>
      <w:r w:rsidRPr="00C10ABF">
        <w:rPr>
          <w:rFonts w:ascii="Book Antiqua" w:eastAsia="宋体" w:hAnsi="Book Antiqua" w:cs="宋体"/>
          <w:kern w:val="0"/>
          <w:sz w:val="24"/>
          <w:szCs w:val="24"/>
          <w:lang w:eastAsia="zh-CN"/>
        </w:rPr>
        <w:t>: 298-301 [PMID: 24843580 DOI: 10.1111/j.2040-1124.2011.00169.x]</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12 </w:t>
      </w:r>
      <w:r w:rsidRPr="00C10ABF">
        <w:rPr>
          <w:rFonts w:ascii="Book Antiqua" w:eastAsia="宋体" w:hAnsi="Book Antiqua" w:cs="宋体"/>
          <w:b/>
          <w:bCs/>
          <w:kern w:val="0"/>
          <w:sz w:val="24"/>
          <w:szCs w:val="24"/>
          <w:lang w:eastAsia="zh-CN"/>
        </w:rPr>
        <w:t>Ito M</w:t>
      </w:r>
      <w:r w:rsidRPr="00C10ABF">
        <w:rPr>
          <w:rFonts w:ascii="Book Antiqua" w:eastAsia="宋体" w:hAnsi="Book Antiqua" w:cs="宋体"/>
          <w:kern w:val="0"/>
          <w:sz w:val="24"/>
          <w:szCs w:val="24"/>
          <w:lang w:eastAsia="zh-CN"/>
        </w:rPr>
        <w:t>, Abe M, Okada K, Sasaki H, Maruyama N, Tsuchida M, Higuchi T, Kikuchi F, Soma M. The dipeptidyl peptidase-4 (DPP-4) inhibitor vildagliptin improves glycemic control in type 2 diabetic patients undergoing hemodialysis. </w:t>
      </w:r>
      <w:r w:rsidRPr="00C10ABF">
        <w:rPr>
          <w:rFonts w:ascii="Book Antiqua" w:eastAsia="宋体" w:hAnsi="Book Antiqua" w:cs="宋体"/>
          <w:i/>
          <w:iCs/>
          <w:kern w:val="0"/>
          <w:sz w:val="24"/>
          <w:szCs w:val="24"/>
          <w:lang w:eastAsia="zh-CN"/>
        </w:rPr>
        <w:t>Endocr J</w:t>
      </w:r>
      <w:r w:rsidRPr="00C10ABF">
        <w:rPr>
          <w:rFonts w:ascii="Book Antiqua" w:eastAsia="宋体" w:hAnsi="Book Antiqua" w:cs="宋体"/>
          <w:kern w:val="0"/>
          <w:sz w:val="24"/>
          <w:szCs w:val="24"/>
          <w:lang w:eastAsia="zh-CN"/>
        </w:rPr>
        <w:t> 2011; </w:t>
      </w:r>
      <w:r w:rsidRPr="00C10ABF">
        <w:rPr>
          <w:rFonts w:ascii="Book Antiqua" w:eastAsia="宋体" w:hAnsi="Book Antiqua" w:cs="宋体"/>
          <w:b/>
          <w:bCs/>
          <w:kern w:val="0"/>
          <w:sz w:val="24"/>
          <w:szCs w:val="24"/>
          <w:lang w:eastAsia="zh-CN"/>
        </w:rPr>
        <w:t>58</w:t>
      </w:r>
      <w:r w:rsidRPr="00C10ABF">
        <w:rPr>
          <w:rFonts w:ascii="Book Antiqua" w:eastAsia="宋体" w:hAnsi="Book Antiqua" w:cs="宋体"/>
          <w:kern w:val="0"/>
          <w:sz w:val="24"/>
          <w:szCs w:val="24"/>
          <w:lang w:eastAsia="zh-CN"/>
        </w:rPr>
        <w:t>: 979-987 [PMID: 21921362]</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13 </w:t>
      </w:r>
      <w:r w:rsidRPr="00C10ABF">
        <w:rPr>
          <w:rFonts w:ascii="Book Antiqua" w:eastAsia="宋体" w:hAnsi="Book Antiqua" w:cs="宋体"/>
          <w:b/>
          <w:bCs/>
          <w:kern w:val="0"/>
          <w:sz w:val="24"/>
          <w:szCs w:val="24"/>
          <w:lang w:eastAsia="zh-CN"/>
        </w:rPr>
        <w:t>Nakamura Y</w:t>
      </w:r>
      <w:r w:rsidRPr="00C10ABF">
        <w:rPr>
          <w:rFonts w:ascii="Book Antiqua" w:eastAsia="宋体" w:hAnsi="Book Antiqua" w:cs="宋体"/>
          <w:kern w:val="0"/>
          <w:sz w:val="24"/>
          <w:szCs w:val="24"/>
          <w:lang w:eastAsia="zh-CN"/>
        </w:rPr>
        <w:t>, Inagaki M, Shimizu T, Fujita K, Inoue M, Gotoh H, Oguchi K, Goto Y. Long-term effects of alogliptin benzoate in hemodialysis patients with diabetes: a 2-year study. </w:t>
      </w:r>
      <w:r w:rsidRPr="00C10ABF">
        <w:rPr>
          <w:rFonts w:ascii="Book Antiqua" w:eastAsia="宋体" w:hAnsi="Book Antiqua" w:cs="宋体"/>
          <w:i/>
          <w:iCs/>
          <w:kern w:val="0"/>
          <w:sz w:val="24"/>
          <w:szCs w:val="24"/>
          <w:lang w:eastAsia="zh-CN"/>
        </w:rPr>
        <w:t>Nephron Clin Pract</w:t>
      </w:r>
      <w:r w:rsidRPr="00C10ABF">
        <w:rPr>
          <w:rFonts w:ascii="Book Antiqua" w:eastAsia="宋体" w:hAnsi="Book Antiqua" w:cs="宋体"/>
          <w:kern w:val="0"/>
          <w:sz w:val="24"/>
          <w:szCs w:val="24"/>
          <w:lang w:eastAsia="zh-CN"/>
        </w:rPr>
        <w:t> 2013; </w:t>
      </w:r>
      <w:r w:rsidRPr="00C10ABF">
        <w:rPr>
          <w:rFonts w:ascii="Book Antiqua" w:eastAsia="宋体" w:hAnsi="Book Antiqua" w:cs="宋体"/>
          <w:b/>
          <w:bCs/>
          <w:kern w:val="0"/>
          <w:sz w:val="24"/>
          <w:szCs w:val="24"/>
          <w:lang w:eastAsia="zh-CN"/>
        </w:rPr>
        <w:t>123</w:t>
      </w:r>
      <w:r w:rsidRPr="00C10ABF">
        <w:rPr>
          <w:rFonts w:ascii="Book Antiqua" w:eastAsia="宋体" w:hAnsi="Book Antiqua" w:cs="宋体"/>
          <w:kern w:val="0"/>
          <w:sz w:val="24"/>
          <w:szCs w:val="24"/>
          <w:lang w:eastAsia="zh-CN"/>
        </w:rPr>
        <w:t>: 46-51 [PMID: 23774306 DOI: 10.1159/000351678]</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14 </w:t>
      </w:r>
      <w:r w:rsidRPr="00C10ABF">
        <w:rPr>
          <w:rFonts w:ascii="Book Antiqua" w:eastAsia="宋体" w:hAnsi="Book Antiqua" w:cs="宋体"/>
          <w:b/>
          <w:bCs/>
          <w:kern w:val="0"/>
          <w:sz w:val="24"/>
          <w:szCs w:val="24"/>
          <w:lang w:eastAsia="zh-CN"/>
        </w:rPr>
        <w:t>Nakamura Y</w:t>
      </w:r>
      <w:r w:rsidRPr="00C10ABF">
        <w:rPr>
          <w:rFonts w:ascii="Book Antiqua" w:eastAsia="宋体" w:hAnsi="Book Antiqua" w:cs="宋体"/>
          <w:kern w:val="0"/>
          <w:sz w:val="24"/>
          <w:szCs w:val="24"/>
          <w:lang w:eastAsia="zh-CN"/>
        </w:rPr>
        <w:t>, Tsuji M, Hasegawa H, Kimura K, Fujita K, Inoue M, Shimizu T, Gotoh H, Goto Y, Inagaki M, Oguchi K. Anti-inflammatory effects of linagliptin in hemodialysis patients with diabetes. </w:t>
      </w:r>
      <w:r w:rsidRPr="00C10ABF">
        <w:rPr>
          <w:rFonts w:ascii="Book Antiqua" w:eastAsia="宋体" w:hAnsi="Book Antiqua" w:cs="宋体"/>
          <w:i/>
          <w:iCs/>
          <w:kern w:val="0"/>
          <w:sz w:val="24"/>
          <w:szCs w:val="24"/>
          <w:lang w:eastAsia="zh-CN"/>
        </w:rPr>
        <w:t>Hemodial Int</w:t>
      </w:r>
      <w:r w:rsidRPr="00C10ABF">
        <w:rPr>
          <w:rFonts w:ascii="Book Antiqua" w:eastAsia="宋体" w:hAnsi="Book Antiqua" w:cs="宋体"/>
          <w:kern w:val="0"/>
          <w:sz w:val="24"/>
          <w:szCs w:val="24"/>
          <w:lang w:eastAsia="zh-CN"/>
        </w:rPr>
        <w:t> 2014; </w:t>
      </w:r>
      <w:r w:rsidRPr="00C10ABF">
        <w:rPr>
          <w:rFonts w:ascii="Book Antiqua" w:eastAsia="宋体" w:hAnsi="Book Antiqua" w:cs="宋体"/>
          <w:b/>
          <w:bCs/>
          <w:kern w:val="0"/>
          <w:sz w:val="24"/>
          <w:szCs w:val="24"/>
          <w:lang w:eastAsia="zh-CN"/>
        </w:rPr>
        <w:t>18</w:t>
      </w:r>
      <w:r w:rsidRPr="00C10ABF">
        <w:rPr>
          <w:rFonts w:ascii="Book Antiqua" w:eastAsia="宋体" w:hAnsi="Book Antiqua" w:cs="宋体"/>
          <w:kern w:val="0"/>
          <w:sz w:val="24"/>
          <w:szCs w:val="24"/>
          <w:lang w:eastAsia="zh-CN"/>
        </w:rPr>
        <w:t>: 433-442 [PMID: 24405885 DOI: 10.1111/hdi.12127]</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15 </w:t>
      </w:r>
      <w:r w:rsidRPr="00C10ABF">
        <w:rPr>
          <w:rFonts w:ascii="Book Antiqua" w:eastAsia="宋体" w:hAnsi="Book Antiqua" w:cs="宋体"/>
          <w:b/>
          <w:bCs/>
          <w:kern w:val="0"/>
          <w:sz w:val="24"/>
          <w:szCs w:val="24"/>
          <w:lang w:eastAsia="zh-CN"/>
        </w:rPr>
        <w:t>Otsuki H</w:t>
      </w:r>
      <w:r w:rsidRPr="00C10ABF">
        <w:rPr>
          <w:rFonts w:ascii="Book Antiqua" w:eastAsia="宋体" w:hAnsi="Book Antiqua" w:cs="宋体"/>
          <w:kern w:val="0"/>
          <w:sz w:val="24"/>
          <w:szCs w:val="24"/>
          <w:lang w:eastAsia="zh-CN"/>
        </w:rPr>
        <w:t>, Kosaka T, Nakamura K, Shimomura F, Kuwahara Y, Tsukamoto T. Safety and efficacy of teneligliptin: a novel DPP-4 inhibitor for hemodialysis patients with type 2 diabetes. </w:t>
      </w:r>
      <w:r w:rsidRPr="00C10ABF">
        <w:rPr>
          <w:rFonts w:ascii="Book Antiqua" w:eastAsia="宋体" w:hAnsi="Book Antiqua" w:cs="宋体"/>
          <w:i/>
          <w:iCs/>
          <w:kern w:val="0"/>
          <w:sz w:val="24"/>
          <w:szCs w:val="24"/>
          <w:lang w:eastAsia="zh-CN"/>
        </w:rPr>
        <w:t>Int Urol Nephrol</w:t>
      </w:r>
      <w:r w:rsidRPr="00C10ABF">
        <w:rPr>
          <w:rFonts w:ascii="Book Antiqua" w:eastAsia="宋体" w:hAnsi="Book Antiqua" w:cs="宋体"/>
          <w:kern w:val="0"/>
          <w:sz w:val="24"/>
          <w:szCs w:val="24"/>
          <w:lang w:eastAsia="zh-CN"/>
        </w:rPr>
        <w:t> 2014; </w:t>
      </w:r>
      <w:r w:rsidRPr="00C10ABF">
        <w:rPr>
          <w:rFonts w:ascii="Book Antiqua" w:eastAsia="宋体" w:hAnsi="Book Antiqua" w:cs="宋体"/>
          <w:b/>
          <w:bCs/>
          <w:kern w:val="0"/>
          <w:sz w:val="24"/>
          <w:szCs w:val="24"/>
          <w:lang w:eastAsia="zh-CN"/>
        </w:rPr>
        <w:t>46</w:t>
      </w:r>
      <w:r w:rsidRPr="00C10ABF">
        <w:rPr>
          <w:rFonts w:ascii="Book Antiqua" w:eastAsia="宋体" w:hAnsi="Book Antiqua" w:cs="宋体"/>
          <w:kern w:val="0"/>
          <w:sz w:val="24"/>
          <w:szCs w:val="24"/>
          <w:lang w:eastAsia="zh-CN"/>
        </w:rPr>
        <w:t>: 427-432 [PMID: 24014134 DOI: 10.1007/s11255-013-0552-6]</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16 </w:t>
      </w:r>
      <w:r w:rsidRPr="00C10ABF">
        <w:rPr>
          <w:rFonts w:ascii="Book Antiqua" w:eastAsia="宋体" w:hAnsi="Book Antiqua" w:cs="宋体"/>
          <w:b/>
          <w:bCs/>
          <w:kern w:val="0"/>
          <w:sz w:val="24"/>
          <w:szCs w:val="24"/>
          <w:lang w:eastAsia="zh-CN"/>
        </w:rPr>
        <w:t>Fujii Y</w:t>
      </w:r>
      <w:r w:rsidRPr="00C10ABF">
        <w:rPr>
          <w:rFonts w:ascii="Book Antiqua" w:eastAsia="宋体" w:hAnsi="Book Antiqua" w:cs="宋体"/>
          <w:kern w:val="0"/>
          <w:sz w:val="24"/>
          <w:szCs w:val="24"/>
          <w:lang w:eastAsia="zh-CN"/>
        </w:rPr>
        <w:t>, Abe M, Higuchi T, Mizuno M, Suzuki H, Matsumoto S, Ito M, Maruyama N, Okada K, Soma M. The dipeptidyl peptidase-4 inhibitor alogliptin improves glycemic control in type 2 diabetic patients undergoing hemodialysis. </w:t>
      </w:r>
      <w:r w:rsidRPr="00C10ABF">
        <w:rPr>
          <w:rFonts w:ascii="Book Antiqua" w:eastAsia="宋体" w:hAnsi="Book Antiqua" w:cs="宋体"/>
          <w:i/>
          <w:iCs/>
          <w:kern w:val="0"/>
          <w:sz w:val="24"/>
          <w:szCs w:val="24"/>
          <w:lang w:eastAsia="zh-CN"/>
        </w:rPr>
        <w:t>Expert Opin Pharmacother</w:t>
      </w:r>
      <w:r w:rsidRPr="00C10ABF">
        <w:rPr>
          <w:rFonts w:ascii="Book Antiqua" w:eastAsia="宋体" w:hAnsi="Book Antiqua" w:cs="宋体"/>
          <w:kern w:val="0"/>
          <w:sz w:val="24"/>
          <w:szCs w:val="24"/>
          <w:lang w:eastAsia="zh-CN"/>
        </w:rPr>
        <w:t> 2013; </w:t>
      </w:r>
      <w:r w:rsidRPr="00C10ABF">
        <w:rPr>
          <w:rFonts w:ascii="Book Antiqua" w:eastAsia="宋体" w:hAnsi="Book Antiqua" w:cs="宋体"/>
          <w:b/>
          <w:bCs/>
          <w:kern w:val="0"/>
          <w:sz w:val="24"/>
          <w:szCs w:val="24"/>
          <w:lang w:eastAsia="zh-CN"/>
        </w:rPr>
        <w:t>14</w:t>
      </w:r>
      <w:r w:rsidRPr="00C10ABF">
        <w:rPr>
          <w:rFonts w:ascii="Book Antiqua" w:eastAsia="宋体" w:hAnsi="Book Antiqua" w:cs="宋体"/>
          <w:kern w:val="0"/>
          <w:sz w:val="24"/>
          <w:szCs w:val="24"/>
          <w:lang w:eastAsia="zh-CN"/>
        </w:rPr>
        <w:t>: 259-267 [PMID: 23289982 DOI: 10.1517/14656566.2013.761690]</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17 </w:t>
      </w:r>
      <w:r w:rsidRPr="00C10ABF">
        <w:rPr>
          <w:rFonts w:ascii="Book Antiqua" w:eastAsia="宋体" w:hAnsi="Book Antiqua" w:cs="宋体"/>
          <w:b/>
          <w:bCs/>
          <w:kern w:val="0"/>
          <w:sz w:val="24"/>
          <w:szCs w:val="24"/>
          <w:lang w:eastAsia="zh-CN"/>
        </w:rPr>
        <w:t>Nowicki M</w:t>
      </w:r>
      <w:r w:rsidRPr="00C10ABF">
        <w:rPr>
          <w:rFonts w:ascii="Book Antiqua" w:eastAsia="宋体" w:hAnsi="Book Antiqua" w:cs="宋体"/>
          <w:kern w:val="0"/>
          <w:sz w:val="24"/>
          <w:szCs w:val="24"/>
          <w:lang w:eastAsia="zh-CN"/>
        </w:rPr>
        <w:t>, Rychlik I, Haller H, Warren M, Suchower L, Gause-Nilsson I, Schützer KM. Long-term treatment with the dipeptidyl peptidase-4 inhibitor saxagliptin in patients with type 2 diabetes mellitus and renal impairment: a randomised controlled 52-week efficacy and safety study. </w:t>
      </w:r>
      <w:r w:rsidRPr="00C10ABF">
        <w:rPr>
          <w:rFonts w:ascii="Book Antiqua" w:eastAsia="宋体" w:hAnsi="Book Antiqua" w:cs="宋体"/>
          <w:i/>
          <w:iCs/>
          <w:kern w:val="0"/>
          <w:sz w:val="24"/>
          <w:szCs w:val="24"/>
          <w:lang w:eastAsia="zh-CN"/>
        </w:rPr>
        <w:t>Int J Clin Pract</w:t>
      </w:r>
      <w:r w:rsidRPr="00C10ABF">
        <w:rPr>
          <w:rFonts w:ascii="Book Antiqua" w:eastAsia="宋体" w:hAnsi="Book Antiqua" w:cs="宋体"/>
          <w:kern w:val="0"/>
          <w:sz w:val="24"/>
          <w:szCs w:val="24"/>
          <w:lang w:eastAsia="zh-CN"/>
        </w:rPr>
        <w:t> 2011; </w:t>
      </w:r>
      <w:r w:rsidRPr="00C10ABF">
        <w:rPr>
          <w:rFonts w:ascii="Book Antiqua" w:eastAsia="宋体" w:hAnsi="Book Antiqua" w:cs="宋体"/>
          <w:b/>
          <w:bCs/>
          <w:kern w:val="0"/>
          <w:sz w:val="24"/>
          <w:szCs w:val="24"/>
          <w:lang w:eastAsia="zh-CN"/>
        </w:rPr>
        <w:t>65</w:t>
      </w:r>
      <w:r w:rsidRPr="00C10ABF">
        <w:rPr>
          <w:rFonts w:ascii="Book Antiqua" w:eastAsia="宋体" w:hAnsi="Book Antiqua" w:cs="宋体"/>
          <w:kern w:val="0"/>
          <w:sz w:val="24"/>
          <w:szCs w:val="24"/>
          <w:lang w:eastAsia="zh-CN"/>
        </w:rPr>
        <w:t>: 1230-1239 [PMID: 21977965 DOI: 10.1111/j.1742-1241.2011.02812.x]</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18 </w:t>
      </w:r>
      <w:r w:rsidRPr="00C10ABF">
        <w:rPr>
          <w:rFonts w:ascii="Book Antiqua" w:eastAsia="宋体" w:hAnsi="Book Antiqua" w:cs="宋体"/>
          <w:b/>
          <w:bCs/>
          <w:kern w:val="0"/>
          <w:sz w:val="24"/>
          <w:szCs w:val="24"/>
          <w:lang w:eastAsia="zh-CN"/>
        </w:rPr>
        <w:t>Nowicki M</w:t>
      </w:r>
      <w:r w:rsidRPr="00C10ABF">
        <w:rPr>
          <w:rFonts w:ascii="Book Antiqua" w:eastAsia="宋体" w:hAnsi="Book Antiqua" w:cs="宋体"/>
          <w:kern w:val="0"/>
          <w:sz w:val="24"/>
          <w:szCs w:val="24"/>
          <w:lang w:eastAsia="zh-CN"/>
        </w:rPr>
        <w:t>, Rychlik I, Haller H, Warren ML, Suchower L, Gause-Nilsson I. Saxagliptin improves glycaemic control and is well tolerated in patients with type 2 diabetes mellitus and renal impairment. </w:t>
      </w:r>
      <w:r w:rsidRPr="00C10ABF">
        <w:rPr>
          <w:rFonts w:ascii="Book Antiqua" w:eastAsia="宋体" w:hAnsi="Book Antiqua" w:cs="宋体"/>
          <w:i/>
          <w:iCs/>
          <w:kern w:val="0"/>
          <w:sz w:val="24"/>
          <w:szCs w:val="24"/>
          <w:lang w:eastAsia="zh-CN"/>
        </w:rPr>
        <w:t>Diabetes Obes Metab</w:t>
      </w:r>
      <w:r w:rsidRPr="00C10ABF">
        <w:rPr>
          <w:rFonts w:ascii="Book Antiqua" w:eastAsia="宋体" w:hAnsi="Book Antiqua" w:cs="宋体"/>
          <w:kern w:val="0"/>
          <w:sz w:val="24"/>
          <w:szCs w:val="24"/>
          <w:lang w:eastAsia="zh-CN"/>
        </w:rPr>
        <w:t> 2011; </w:t>
      </w:r>
      <w:r w:rsidRPr="00C10ABF">
        <w:rPr>
          <w:rFonts w:ascii="Book Antiqua" w:eastAsia="宋体" w:hAnsi="Book Antiqua" w:cs="宋体"/>
          <w:b/>
          <w:bCs/>
          <w:kern w:val="0"/>
          <w:sz w:val="24"/>
          <w:szCs w:val="24"/>
          <w:lang w:eastAsia="zh-CN"/>
        </w:rPr>
        <w:t>13</w:t>
      </w:r>
      <w:r w:rsidRPr="00C10ABF">
        <w:rPr>
          <w:rFonts w:ascii="Book Antiqua" w:eastAsia="宋体" w:hAnsi="Book Antiqua" w:cs="宋体"/>
          <w:kern w:val="0"/>
          <w:sz w:val="24"/>
          <w:szCs w:val="24"/>
          <w:lang w:eastAsia="zh-CN"/>
        </w:rPr>
        <w:t>: 523-532 [PMID: 21332627 DOI: 10.1111/j.1463-1326.2011.01382.x]</w:t>
      </w:r>
    </w:p>
    <w:p w:rsidR="0001465D" w:rsidRPr="00C10ABF" w:rsidRDefault="0001465D" w:rsidP="001A72C5">
      <w:pPr>
        <w:wordWrap w:val="0"/>
        <w:spacing w:line="360" w:lineRule="auto"/>
        <w:rPr>
          <w:rFonts w:ascii="Book Antiqua" w:eastAsia="宋体" w:hAnsi="Book Antiqua"/>
          <w:sz w:val="24"/>
          <w:szCs w:val="24"/>
          <w:lang w:eastAsia="zh-CN"/>
        </w:rPr>
      </w:pPr>
      <w:r w:rsidRPr="00C10ABF">
        <w:rPr>
          <w:rFonts w:ascii="Book Antiqua" w:eastAsia="宋体" w:hAnsi="Book Antiqua" w:cs="宋体"/>
          <w:kern w:val="0"/>
          <w:sz w:val="24"/>
          <w:szCs w:val="24"/>
          <w:lang w:eastAsia="zh-CN"/>
        </w:rPr>
        <w:t xml:space="preserve">19 </w:t>
      </w:r>
      <w:r w:rsidRPr="00C10ABF">
        <w:rPr>
          <w:rFonts w:ascii="Book Antiqua" w:hAnsi="Book Antiqua"/>
          <w:b/>
          <w:sz w:val="24"/>
          <w:szCs w:val="24"/>
        </w:rPr>
        <w:t>Boehringer Ingelheim Pharmaceuticals, Inc</w:t>
      </w:r>
      <w:r w:rsidRPr="00C10ABF">
        <w:rPr>
          <w:rFonts w:ascii="Book Antiqua" w:hAnsi="Book Antiqua"/>
          <w:sz w:val="24"/>
          <w:szCs w:val="24"/>
        </w:rPr>
        <w:t>. Tradjenta</w:t>
      </w:r>
      <w:r w:rsidRPr="00C10ABF">
        <w:rPr>
          <w:rFonts w:ascii="Book Antiqua" w:hAnsi="Book Antiqua"/>
          <w:sz w:val="24"/>
          <w:szCs w:val="24"/>
          <w:vertAlign w:val="superscript"/>
        </w:rPr>
        <w:t>®</w:t>
      </w:r>
      <w:r w:rsidRPr="00C10ABF">
        <w:rPr>
          <w:rFonts w:ascii="Book Antiqua" w:hAnsi="Book Antiqua"/>
          <w:sz w:val="24"/>
          <w:szCs w:val="24"/>
        </w:rPr>
        <w:t xml:space="preserve"> (linagliptin) tablets</w:t>
      </w:r>
      <w:r w:rsidRPr="00C10ABF">
        <w:rPr>
          <w:rFonts w:ascii="Book Antiqua" w:eastAsia="宋体" w:hAnsi="Book Antiqua"/>
          <w:sz w:val="24"/>
          <w:szCs w:val="24"/>
          <w:lang w:eastAsia="zh-CN"/>
        </w:rPr>
        <w:t>.</w:t>
      </w:r>
      <w:r w:rsidRPr="00C10ABF">
        <w:rPr>
          <w:rFonts w:ascii="Book Antiqua" w:hAnsi="Book Antiqua"/>
          <w:sz w:val="24"/>
          <w:szCs w:val="24"/>
        </w:rPr>
        <w:t xml:space="preserve"> </w:t>
      </w:r>
      <w:r w:rsidRPr="00C10ABF">
        <w:rPr>
          <w:rFonts w:ascii="Book Antiqua" w:hAnsi="Book Antiqua" w:cs="宋体"/>
          <w:kern w:val="0"/>
          <w:sz w:val="24"/>
          <w:szCs w:val="24"/>
        </w:rPr>
        <w:t>Available from: URL:</w:t>
      </w:r>
      <w:r w:rsidRPr="00C10ABF">
        <w:rPr>
          <w:rFonts w:ascii="Book Antiqua" w:hAnsi="Book Antiqua"/>
          <w:sz w:val="24"/>
          <w:szCs w:val="24"/>
        </w:rPr>
        <w:t xml:space="preserve"> http://bidocs.boehringer-ingelheim.com/BIWebAccess/ViewServlet.ser?docBase=renetnt&amp;folderPath=/Prescribing+Information/PIs/Tradjenta/Tradjenta.pdf</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20 </w:t>
      </w:r>
      <w:r w:rsidRPr="00C10ABF">
        <w:rPr>
          <w:rFonts w:ascii="Book Antiqua" w:eastAsia="宋体" w:hAnsi="Book Antiqua" w:cs="宋体"/>
          <w:b/>
          <w:bCs/>
          <w:kern w:val="0"/>
          <w:sz w:val="24"/>
          <w:szCs w:val="24"/>
          <w:lang w:eastAsia="zh-CN"/>
        </w:rPr>
        <w:t>Deacon CF</w:t>
      </w:r>
      <w:r w:rsidRPr="00C10ABF">
        <w:rPr>
          <w:rFonts w:ascii="Book Antiqua" w:eastAsia="宋体" w:hAnsi="Book Antiqua" w:cs="宋体"/>
          <w:kern w:val="0"/>
          <w:sz w:val="24"/>
          <w:szCs w:val="24"/>
          <w:lang w:eastAsia="zh-CN"/>
        </w:rPr>
        <w:t>. Dipeptidyl peptidase-4 inhibitors in the treatment of type 2 diabetes: a comparative review. </w:t>
      </w:r>
      <w:r w:rsidRPr="00C10ABF">
        <w:rPr>
          <w:rFonts w:ascii="Book Antiqua" w:eastAsia="宋体" w:hAnsi="Book Antiqua" w:cs="宋体"/>
          <w:i/>
          <w:iCs/>
          <w:kern w:val="0"/>
          <w:sz w:val="24"/>
          <w:szCs w:val="24"/>
          <w:lang w:eastAsia="zh-CN"/>
        </w:rPr>
        <w:t>Diabetes Obes Metab</w:t>
      </w:r>
      <w:r w:rsidRPr="00C10ABF">
        <w:rPr>
          <w:rFonts w:ascii="Book Antiqua" w:eastAsia="宋体" w:hAnsi="Book Antiqua" w:cs="宋体"/>
          <w:kern w:val="0"/>
          <w:sz w:val="24"/>
          <w:szCs w:val="24"/>
          <w:lang w:eastAsia="zh-CN"/>
        </w:rPr>
        <w:t> 2011; </w:t>
      </w:r>
      <w:r w:rsidRPr="00C10ABF">
        <w:rPr>
          <w:rFonts w:ascii="Book Antiqua" w:eastAsia="宋体" w:hAnsi="Book Antiqua" w:cs="宋体"/>
          <w:b/>
          <w:bCs/>
          <w:kern w:val="0"/>
          <w:sz w:val="24"/>
          <w:szCs w:val="24"/>
          <w:lang w:eastAsia="zh-CN"/>
        </w:rPr>
        <w:t>13</w:t>
      </w:r>
      <w:r w:rsidRPr="00C10ABF">
        <w:rPr>
          <w:rFonts w:ascii="Book Antiqua" w:eastAsia="宋体" w:hAnsi="Book Antiqua" w:cs="宋体"/>
          <w:kern w:val="0"/>
          <w:sz w:val="24"/>
          <w:szCs w:val="24"/>
          <w:lang w:eastAsia="zh-CN"/>
        </w:rPr>
        <w:t>: 7-18 [PMID: 21114598 DOI: 10.1111/j.1463-1326.2010.01306.x]</w:t>
      </w:r>
    </w:p>
    <w:p w:rsidR="0001465D" w:rsidRPr="00C10ABF" w:rsidRDefault="0001465D" w:rsidP="001A72C5">
      <w:pPr>
        <w:widowControl/>
        <w:wordWrap w:val="0"/>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21 </w:t>
      </w:r>
      <w:r w:rsidRPr="00C10ABF">
        <w:rPr>
          <w:rFonts w:ascii="Book Antiqua" w:eastAsia="宋体" w:hAnsi="Book Antiqua" w:cs="宋体"/>
          <w:b/>
          <w:bCs/>
          <w:kern w:val="0"/>
          <w:sz w:val="24"/>
          <w:szCs w:val="24"/>
          <w:lang w:eastAsia="zh-CN"/>
        </w:rPr>
        <w:t>Brandt I</w:t>
      </w:r>
      <w:r w:rsidRPr="00C10ABF">
        <w:rPr>
          <w:rFonts w:ascii="Book Antiqua" w:eastAsia="宋体" w:hAnsi="Book Antiqua" w:cs="宋体"/>
          <w:kern w:val="0"/>
          <w:sz w:val="24"/>
          <w:szCs w:val="24"/>
          <w:lang w:eastAsia="zh-CN"/>
        </w:rPr>
        <w:t>, Joossens J, Chen X, Maes MB, Scharpé S, De Meester I, Lambeir AM. Inhibition of dipeptidyl-peptidase IV catalyzed peptide truncation by Vildagliptin ((2S)-{[(3-hydroxyadamantan-1-yl)amino]acetyl}-pyrrolidine-2-carbonitrile). </w:t>
      </w:r>
      <w:r w:rsidRPr="00C10ABF">
        <w:rPr>
          <w:rFonts w:ascii="Book Antiqua" w:eastAsia="宋体" w:hAnsi="Book Antiqua" w:cs="宋体"/>
          <w:i/>
          <w:iCs/>
          <w:kern w:val="0"/>
          <w:sz w:val="24"/>
          <w:szCs w:val="24"/>
          <w:lang w:eastAsia="zh-CN"/>
        </w:rPr>
        <w:t>Biochem Pharmacol</w:t>
      </w:r>
      <w:r w:rsidRPr="00C10ABF">
        <w:rPr>
          <w:rFonts w:ascii="Book Antiqua" w:eastAsia="宋体" w:hAnsi="Book Antiqua" w:cs="宋体"/>
          <w:kern w:val="0"/>
          <w:sz w:val="24"/>
          <w:szCs w:val="24"/>
          <w:lang w:eastAsia="zh-CN"/>
        </w:rPr>
        <w:t> 2005; </w:t>
      </w:r>
      <w:r w:rsidRPr="00C10ABF">
        <w:rPr>
          <w:rFonts w:ascii="Book Antiqua" w:eastAsia="宋体" w:hAnsi="Book Antiqua" w:cs="宋体"/>
          <w:b/>
          <w:bCs/>
          <w:kern w:val="0"/>
          <w:sz w:val="24"/>
          <w:szCs w:val="24"/>
          <w:lang w:eastAsia="zh-CN"/>
        </w:rPr>
        <w:t>70</w:t>
      </w:r>
      <w:r w:rsidRPr="00C10ABF">
        <w:rPr>
          <w:rFonts w:ascii="Book Antiqua" w:eastAsia="宋体" w:hAnsi="Book Antiqua" w:cs="宋体"/>
          <w:kern w:val="0"/>
          <w:sz w:val="24"/>
          <w:szCs w:val="24"/>
          <w:lang w:eastAsia="zh-CN"/>
        </w:rPr>
        <w:t xml:space="preserve">: 134-143 [PMID: 15907807 DOI: </w:t>
      </w:r>
      <w:r w:rsidRPr="00C10ABF">
        <w:rPr>
          <w:rFonts w:ascii="Book Antiqua" w:hAnsi="Book Antiqua"/>
          <w:sz w:val="24"/>
          <w:szCs w:val="24"/>
          <w:shd w:val="clear" w:color="auto" w:fill="FFFFFF"/>
        </w:rPr>
        <w:t>10.1016/j.bcp.2005.04.009</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22 </w:t>
      </w:r>
      <w:r w:rsidRPr="00C10ABF">
        <w:rPr>
          <w:rFonts w:ascii="Book Antiqua" w:eastAsia="宋体" w:hAnsi="Book Antiqua" w:cs="宋体"/>
          <w:b/>
          <w:bCs/>
          <w:kern w:val="0"/>
          <w:sz w:val="24"/>
          <w:szCs w:val="24"/>
          <w:lang w:eastAsia="zh-CN"/>
        </w:rPr>
        <w:t>Kim YB</w:t>
      </w:r>
      <w:r w:rsidRPr="00C10ABF">
        <w:rPr>
          <w:rFonts w:ascii="Book Antiqua" w:eastAsia="宋体" w:hAnsi="Book Antiqua" w:cs="宋体"/>
          <w:kern w:val="0"/>
          <w:sz w:val="24"/>
          <w:szCs w:val="24"/>
          <w:lang w:eastAsia="zh-CN"/>
        </w:rPr>
        <w:t>, Kopcho LM, Kirby MS, Hamann LG, Weigelt CA, Metzler WJ, Marcinkeviciene J. Mechanism of Gly-Pro-pNA cleavage catalyzed by dipeptidyl peptidase-IV and its inhibition by saxagliptin (BMS-477118). </w:t>
      </w:r>
      <w:r w:rsidRPr="00C10ABF">
        <w:rPr>
          <w:rFonts w:ascii="Book Antiqua" w:eastAsia="宋体" w:hAnsi="Book Antiqua" w:cs="宋体"/>
          <w:i/>
          <w:iCs/>
          <w:kern w:val="0"/>
          <w:sz w:val="24"/>
          <w:szCs w:val="24"/>
          <w:lang w:eastAsia="zh-CN"/>
        </w:rPr>
        <w:t>Arch Biochem Biophys</w:t>
      </w:r>
      <w:r w:rsidRPr="00C10ABF">
        <w:rPr>
          <w:rFonts w:ascii="Book Antiqua" w:eastAsia="宋体" w:hAnsi="Book Antiqua" w:cs="宋体"/>
          <w:kern w:val="0"/>
          <w:sz w:val="24"/>
          <w:szCs w:val="24"/>
          <w:lang w:eastAsia="zh-CN"/>
        </w:rPr>
        <w:t> 2006; </w:t>
      </w:r>
      <w:r w:rsidRPr="00C10ABF">
        <w:rPr>
          <w:rFonts w:ascii="Book Antiqua" w:eastAsia="宋体" w:hAnsi="Book Antiqua" w:cs="宋体"/>
          <w:b/>
          <w:bCs/>
          <w:kern w:val="0"/>
          <w:sz w:val="24"/>
          <w:szCs w:val="24"/>
          <w:lang w:eastAsia="zh-CN"/>
        </w:rPr>
        <w:t>445</w:t>
      </w:r>
      <w:r w:rsidRPr="00C10ABF">
        <w:rPr>
          <w:rFonts w:ascii="Book Antiqua" w:eastAsia="宋体" w:hAnsi="Book Antiqua" w:cs="宋体"/>
          <w:kern w:val="0"/>
          <w:sz w:val="24"/>
          <w:szCs w:val="24"/>
          <w:lang w:eastAsia="zh-CN"/>
        </w:rPr>
        <w:t xml:space="preserve">: 9-18 [PMID: 16364232 DOI: </w:t>
      </w:r>
      <w:r w:rsidRPr="00C10ABF">
        <w:rPr>
          <w:rFonts w:ascii="Book Antiqua" w:hAnsi="Book Antiqua"/>
          <w:sz w:val="24"/>
          <w:szCs w:val="24"/>
          <w:shd w:val="clear" w:color="auto" w:fill="FFFFFF"/>
        </w:rPr>
        <w:t>10.1016/j.abb.2005.11.010</w:t>
      </w:r>
      <w:r w:rsidRPr="00C10ABF">
        <w:rPr>
          <w:rFonts w:ascii="Book Antiqua" w:eastAsia="宋体" w:hAnsi="Book Antiqua" w:cs="宋体"/>
          <w:kern w:val="0"/>
          <w:sz w:val="24"/>
          <w:szCs w:val="24"/>
          <w:lang w:eastAsia="zh-CN"/>
        </w:rPr>
        <w:t>]</w:t>
      </w:r>
    </w:p>
    <w:p w:rsidR="0001465D" w:rsidRPr="00C10ABF" w:rsidRDefault="0001465D" w:rsidP="001A72C5">
      <w:pPr>
        <w:widowControl/>
        <w:wordWrap w:val="0"/>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23 </w:t>
      </w:r>
      <w:r w:rsidRPr="00C10ABF">
        <w:rPr>
          <w:rFonts w:ascii="Book Antiqua" w:eastAsia="宋体" w:hAnsi="Book Antiqua" w:cs="宋体"/>
          <w:b/>
          <w:bCs/>
          <w:kern w:val="0"/>
          <w:sz w:val="24"/>
          <w:szCs w:val="24"/>
          <w:lang w:eastAsia="zh-CN"/>
        </w:rPr>
        <w:t>Kim D</w:t>
      </w:r>
      <w:r w:rsidRPr="00C10ABF">
        <w:rPr>
          <w:rFonts w:ascii="Book Antiqua" w:eastAsia="宋体" w:hAnsi="Book Antiqua" w:cs="宋体"/>
          <w:kern w:val="0"/>
          <w:sz w:val="24"/>
          <w:szCs w:val="24"/>
          <w:lang w:eastAsia="zh-CN"/>
        </w:rPr>
        <w:t>, Wang L, Beconi M, Eiermann GJ, Fisher MH, He H, Hickey GJ, Kowalchick JE, Leiting B, Lyons K, Marsilio F, McCann ME, Patel RA, Petrov A, Scapin G, Patel SB, Roy RS, Wu JK, Wyvratt MJ, Zhang BB, Zhu L, Thornberry NA, Weber AE. (2R)-4-oxo-4-[3-(trifluoromethyl)-5,6-dihydro[1,2,4]triazolo[4,3-a]pyrazin-7(8H)-yl]-1-(2,4,5-trifluorophenyl)butan-2-amine: a potent, orally active dipeptidyl peptidase IV inhibitor for the treatment of type 2 diabetes. </w:t>
      </w:r>
      <w:r w:rsidRPr="00C10ABF">
        <w:rPr>
          <w:rFonts w:ascii="Book Antiqua" w:eastAsia="宋体" w:hAnsi="Book Antiqua" w:cs="宋体"/>
          <w:i/>
          <w:iCs/>
          <w:kern w:val="0"/>
          <w:sz w:val="24"/>
          <w:szCs w:val="24"/>
          <w:lang w:eastAsia="zh-CN"/>
        </w:rPr>
        <w:t>J Med Chem</w:t>
      </w:r>
      <w:r w:rsidRPr="00C10ABF">
        <w:rPr>
          <w:rFonts w:ascii="Book Antiqua" w:eastAsia="宋体" w:hAnsi="Book Antiqua" w:cs="宋体"/>
          <w:kern w:val="0"/>
          <w:sz w:val="24"/>
          <w:szCs w:val="24"/>
          <w:lang w:eastAsia="zh-CN"/>
        </w:rPr>
        <w:t> 2005; </w:t>
      </w:r>
      <w:r w:rsidRPr="00C10ABF">
        <w:rPr>
          <w:rFonts w:ascii="Book Antiqua" w:eastAsia="宋体" w:hAnsi="Book Antiqua" w:cs="宋体"/>
          <w:b/>
          <w:bCs/>
          <w:kern w:val="0"/>
          <w:sz w:val="24"/>
          <w:szCs w:val="24"/>
          <w:lang w:eastAsia="zh-CN"/>
        </w:rPr>
        <w:t>48</w:t>
      </w:r>
      <w:r w:rsidRPr="00C10ABF">
        <w:rPr>
          <w:rFonts w:ascii="Book Antiqua" w:eastAsia="宋体" w:hAnsi="Book Antiqua" w:cs="宋体"/>
          <w:kern w:val="0"/>
          <w:sz w:val="24"/>
          <w:szCs w:val="24"/>
          <w:lang w:eastAsia="zh-CN"/>
        </w:rPr>
        <w:t xml:space="preserve">: 141-151 [PMID: 15634008 DOI: </w:t>
      </w:r>
      <w:r w:rsidRPr="00C10ABF">
        <w:rPr>
          <w:rFonts w:ascii="Book Antiqua" w:hAnsi="Book Antiqua"/>
          <w:sz w:val="24"/>
          <w:szCs w:val="24"/>
          <w:shd w:val="clear" w:color="auto" w:fill="FFFFFF"/>
        </w:rPr>
        <w:t>10.1021/jm0493156</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24 </w:t>
      </w:r>
      <w:r w:rsidRPr="00C10ABF">
        <w:rPr>
          <w:rFonts w:ascii="Book Antiqua" w:eastAsia="宋体" w:hAnsi="Book Antiqua" w:cs="宋体"/>
          <w:b/>
          <w:bCs/>
          <w:kern w:val="0"/>
          <w:sz w:val="24"/>
          <w:szCs w:val="24"/>
          <w:lang w:eastAsia="zh-CN"/>
        </w:rPr>
        <w:t>Feng J</w:t>
      </w:r>
      <w:r w:rsidRPr="00C10ABF">
        <w:rPr>
          <w:rFonts w:ascii="Book Antiqua" w:eastAsia="宋体" w:hAnsi="Book Antiqua" w:cs="宋体"/>
          <w:kern w:val="0"/>
          <w:sz w:val="24"/>
          <w:szCs w:val="24"/>
          <w:lang w:eastAsia="zh-CN"/>
        </w:rPr>
        <w:t>, Zhang Z, Wallace MB, Stafford JA, Kaldor SW, Kassel DB, Navre M, Shi L, Skene RJ, Asakawa T, Takeuchi K, Xu R, Webb DR, Gwaltney SL. Discovery of alogliptin: a potent, selective, bioavailable, and efficacious inhibitor of dipeptidyl peptidase IV. </w:t>
      </w:r>
      <w:r w:rsidRPr="00C10ABF">
        <w:rPr>
          <w:rFonts w:ascii="Book Antiqua" w:eastAsia="宋体" w:hAnsi="Book Antiqua" w:cs="宋体"/>
          <w:i/>
          <w:iCs/>
          <w:kern w:val="0"/>
          <w:sz w:val="24"/>
          <w:szCs w:val="24"/>
          <w:lang w:eastAsia="zh-CN"/>
        </w:rPr>
        <w:t>J Med Chem</w:t>
      </w:r>
      <w:r w:rsidRPr="00C10ABF">
        <w:rPr>
          <w:rFonts w:ascii="Book Antiqua" w:eastAsia="宋体" w:hAnsi="Book Antiqua" w:cs="宋体"/>
          <w:kern w:val="0"/>
          <w:sz w:val="24"/>
          <w:szCs w:val="24"/>
          <w:lang w:eastAsia="zh-CN"/>
        </w:rPr>
        <w:t> 2007; </w:t>
      </w:r>
      <w:r w:rsidRPr="00C10ABF">
        <w:rPr>
          <w:rFonts w:ascii="Book Antiqua" w:eastAsia="宋体" w:hAnsi="Book Antiqua" w:cs="宋体"/>
          <w:b/>
          <w:bCs/>
          <w:kern w:val="0"/>
          <w:sz w:val="24"/>
          <w:szCs w:val="24"/>
          <w:lang w:eastAsia="zh-CN"/>
        </w:rPr>
        <w:t>50</w:t>
      </w:r>
      <w:r w:rsidRPr="00C10ABF">
        <w:rPr>
          <w:rFonts w:ascii="Book Antiqua" w:eastAsia="宋体" w:hAnsi="Book Antiqua" w:cs="宋体"/>
          <w:kern w:val="0"/>
          <w:sz w:val="24"/>
          <w:szCs w:val="24"/>
          <w:lang w:eastAsia="zh-CN"/>
        </w:rPr>
        <w:t xml:space="preserve">: 2297-2300 [PMID: 17441705 DOI: </w:t>
      </w:r>
      <w:r w:rsidRPr="00C10ABF">
        <w:rPr>
          <w:rFonts w:ascii="Book Antiqua" w:hAnsi="Book Antiqua"/>
          <w:sz w:val="24"/>
          <w:szCs w:val="24"/>
          <w:shd w:val="clear" w:color="auto" w:fill="FFFFFF"/>
        </w:rPr>
        <w:t>10.1021/jm070104l</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25 </w:t>
      </w:r>
      <w:r w:rsidRPr="00C10ABF">
        <w:rPr>
          <w:rFonts w:ascii="Book Antiqua" w:eastAsia="宋体" w:hAnsi="Book Antiqua" w:cs="宋体"/>
          <w:b/>
          <w:bCs/>
          <w:kern w:val="0"/>
          <w:sz w:val="24"/>
          <w:szCs w:val="24"/>
          <w:lang w:eastAsia="zh-CN"/>
        </w:rPr>
        <w:t>Eckhardt M</w:t>
      </w:r>
      <w:r w:rsidRPr="00C10ABF">
        <w:rPr>
          <w:rFonts w:ascii="Book Antiqua" w:eastAsia="宋体" w:hAnsi="Book Antiqua" w:cs="宋体"/>
          <w:kern w:val="0"/>
          <w:sz w:val="24"/>
          <w:szCs w:val="24"/>
          <w:lang w:eastAsia="zh-CN"/>
        </w:rPr>
        <w:t>, Langkopf E, Mark M, Tadayyon M, Thomas L, Nar H, Pfrengle W, Guth B, Lotz R, Sieger P, Fuchs H, Himmelsbach F. 8-(3-(R)-aminopiperidin-1-yl)-7-but-2-ynyl-3-methyl-1-(4-methyl-quinazolin-2-ylmethyl)-3,7-dihydropurine-2,6-dione (BI 1356), a highly potent, selective, long-acting, and orally bioavailable DPP-4 inhibitor for the treatment of type 2 diabetes. </w:t>
      </w:r>
      <w:r w:rsidRPr="00C10ABF">
        <w:rPr>
          <w:rFonts w:ascii="Book Antiqua" w:eastAsia="宋体" w:hAnsi="Book Antiqua" w:cs="宋体"/>
          <w:i/>
          <w:iCs/>
          <w:kern w:val="0"/>
          <w:sz w:val="24"/>
          <w:szCs w:val="24"/>
          <w:lang w:eastAsia="zh-CN"/>
        </w:rPr>
        <w:t>J Med Chem</w:t>
      </w:r>
      <w:r w:rsidRPr="00C10ABF">
        <w:rPr>
          <w:rFonts w:ascii="Book Antiqua" w:eastAsia="宋体" w:hAnsi="Book Antiqua" w:cs="宋体"/>
          <w:kern w:val="0"/>
          <w:sz w:val="24"/>
          <w:szCs w:val="24"/>
          <w:lang w:eastAsia="zh-CN"/>
        </w:rPr>
        <w:t> 2007; </w:t>
      </w:r>
      <w:r w:rsidRPr="00C10ABF">
        <w:rPr>
          <w:rFonts w:ascii="Book Antiqua" w:eastAsia="宋体" w:hAnsi="Book Antiqua" w:cs="宋体"/>
          <w:b/>
          <w:bCs/>
          <w:kern w:val="0"/>
          <w:sz w:val="24"/>
          <w:szCs w:val="24"/>
          <w:lang w:eastAsia="zh-CN"/>
        </w:rPr>
        <w:t>50</w:t>
      </w:r>
      <w:r w:rsidRPr="00C10ABF">
        <w:rPr>
          <w:rFonts w:ascii="Book Antiqua" w:eastAsia="宋体" w:hAnsi="Book Antiqua" w:cs="宋体"/>
          <w:kern w:val="0"/>
          <w:sz w:val="24"/>
          <w:szCs w:val="24"/>
          <w:lang w:eastAsia="zh-CN"/>
        </w:rPr>
        <w:t xml:space="preserve">: 6450-6453 [PMID: 18052023 DOI: </w:t>
      </w:r>
      <w:r w:rsidRPr="00C10ABF">
        <w:rPr>
          <w:rFonts w:ascii="Book Antiqua" w:hAnsi="Book Antiqua"/>
          <w:sz w:val="24"/>
          <w:szCs w:val="24"/>
          <w:shd w:val="clear" w:color="auto" w:fill="FFFFFF"/>
        </w:rPr>
        <w:t>10.1021/jm701280z</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26 </w:t>
      </w:r>
      <w:r w:rsidRPr="00C10ABF">
        <w:rPr>
          <w:rFonts w:ascii="Book Antiqua" w:eastAsia="宋体" w:hAnsi="Book Antiqua" w:cs="宋体"/>
          <w:b/>
          <w:bCs/>
          <w:kern w:val="0"/>
          <w:sz w:val="24"/>
          <w:szCs w:val="24"/>
          <w:lang w:eastAsia="zh-CN"/>
        </w:rPr>
        <w:t>Dhillon S</w:t>
      </w:r>
      <w:r w:rsidRPr="00C10ABF">
        <w:rPr>
          <w:rFonts w:ascii="Book Antiqua" w:eastAsia="宋体" w:hAnsi="Book Antiqua" w:cs="宋体"/>
          <w:kern w:val="0"/>
          <w:sz w:val="24"/>
          <w:szCs w:val="24"/>
          <w:lang w:eastAsia="zh-CN"/>
        </w:rPr>
        <w:t>, Weber J. Saxagliptin. </w:t>
      </w:r>
      <w:r w:rsidRPr="00C10ABF">
        <w:rPr>
          <w:rFonts w:ascii="Book Antiqua" w:eastAsia="宋体" w:hAnsi="Book Antiqua" w:cs="宋体"/>
          <w:i/>
          <w:iCs/>
          <w:kern w:val="0"/>
          <w:sz w:val="24"/>
          <w:szCs w:val="24"/>
          <w:lang w:eastAsia="zh-CN"/>
        </w:rPr>
        <w:t>Drugs</w:t>
      </w:r>
      <w:r w:rsidRPr="00C10ABF">
        <w:rPr>
          <w:rFonts w:ascii="Book Antiqua" w:eastAsia="宋体" w:hAnsi="Book Antiqua" w:cs="宋体"/>
          <w:kern w:val="0"/>
          <w:sz w:val="24"/>
          <w:szCs w:val="24"/>
          <w:lang w:eastAsia="zh-CN"/>
        </w:rPr>
        <w:t> 2009; </w:t>
      </w:r>
      <w:r w:rsidRPr="00C10ABF">
        <w:rPr>
          <w:rFonts w:ascii="Book Antiqua" w:eastAsia="宋体" w:hAnsi="Book Antiqua" w:cs="宋体"/>
          <w:b/>
          <w:bCs/>
          <w:kern w:val="0"/>
          <w:sz w:val="24"/>
          <w:szCs w:val="24"/>
          <w:lang w:eastAsia="zh-CN"/>
        </w:rPr>
        <w:t>69</w:t>
      </w:r>
      <w:r w:rsidRPr="00C10ABF">
        <w:rPr>
          <w:rFonts w:ascii="Book Antiqua" w:eastAsia="宋体" w:hAnsi="Book Antiqua" w:cs="宋体"/>
          <w:kern w:val="0"/>
          <w:sz w:val="24"/>
          <w:szCs w:val="24"/>
          <w:lang w:eastAsia="zh-CN"/>
        </w:rPr>
        <w:t>: 2103-2114 [PMID: 19791828 DOI: 10.2165/11201170-000000000-00000]</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27 </w:t>
      </w:r>
      <w:r w:rsidRPr="00C10ABF">
        <w:rPr>
          <w:rFonts w:ascii="Book Antiqua" w:eastAsia="宋体" w:hAnsi="Book Antiqua" w:cs="宋体"/>
          <w:b/>
          <w:bCs/>
          <w:kern w:val="0"/>
          <w:sz w:val="24"/>
          <w:szCs w:val="24"/>
          <w:lang w:eastAsia="zh-CN"/>
        </w:rPr>
        <w:t>Bergman A</w:t>
      </w:r>
      <w:r w:rsidRPr="00C10ABF">
        <w:rPr>
          <w:rFonts w:ascii="Book Antiqua" w:eastAsia="宋体" w:hAnsi="Book Antiqua" w:cs="宋体"/>
          <w:kern w:val="0"/>
          <w:sz w:val="24"/>
          <w:szCs w:val="24"/>
          <w:lang w:eastAsia="zh-CN"/>
        </w:rPr>
        <w:t>, Ebel D, Liu F, Stone J, Wang A, Zeng W, Chen L, Dilzer S, Lasseter K, Herman G, Wagner J, Krishna R. Absolute bioavailability of sitagliptin, an oral dipeptidyl peptidase-4 inhibitor, in healthy volunteers. </w:t>
      </w:r>
      <w:r w:rsidRPr="00C10ABF">
        <w:rPr>
          <w:rFonts w:ascii="Book Antiqua" w:eastAsia="宋体" w:hAnsi="Book Antiqua" w:cs="宋体"/>
          <w:i/>
          <w:iCs/>
          <w:kern w:val="0"/>
          <w:sz w:val="24"/>
          <w:szCs w:val="24"/>
          <w:lang w:eastAsia="zh-CN"/>
        </w:rPr>
        <w:t>Biopharm Drug Dispos</w:t>
      </w:r>
      <w:r w:rsidRPr="00C10ABF">
        <w:rPr>
          <w:rFonts w:ascii="Book Antiqua" w:eastAsia="宋体" w:hAnsi="Book Antiqua" w:cs="宋体"/>
          <w:kern w:val="0"/>
          <w:sz w:val="24"/>
          <w:szCs w:val="24"/>
          <w:lang w:eastAsia="zh-CN"/>
        </w:rPr>
        <w:t> 2007; </w:t>
      </w:r>
      <w:r w:rsidRPr="00C10ABF">
        <w:rPr>
          <w:rFonts w:ascii="Book Antiqua" w:eastAsia="宋体" w:hAnsi="Book Antiqua" w:cs="宋体"/>
          <w:b/>
          <w:bCs/>
          <w:kern w:val="0"/>
          <w:sz w:val="24"/>
          <w:szCs w:val="24"/>
          <w:lang w:eastAsia="zh-CN"/>
        </w:rPr>
        <w:t>28</w:t>
      </w:r>
      <w:r w:rsidRPr="00C10ABF">
        <w:rPr>
          <w:rFonts w:ascii="Book Antiqua" w:eastAsia="宋体" w:hAnsi="Book Antiqua" w:cs="宋体"/>
          <w:kern w:val="0"/>
          <w:sz w:val="24"/>
          <w:szCs w:val="24"/>
          <w:lang w:eastAsia="zh-CN"/>
        </w:rPr>
        <w:t>: 315-322 [PMID: 17575559]</w:t>
      </w:r>
    </w:p>
    <w:p w:rsidR="0001465D" w:rsidRPr="00C10ABF" w:rsidRDefault="0001465D" w:rsidP="001A72C5">
      <w:pPr>
        <w:spacing w:line="360" w:lineRule="auto"/>
        <w:rPr>
          <w:rFonts w:ascii="Book Antiqua" w:eastAsia="宋体" w:hAnsi="Book Antiqua"/>
          <w:sz w:val="24"/>
          <w:szCs w:val="24"/>
          <w:lang w:eastAsia="zh-CN"/>
        </w:rPr>
      </w:pPr>
      <w:r w:rsidRPr="00C10ABF">
        <w:rPr>
          <w:rFonts w:ascii="Book Antiqua" w:eastAsia="宋体" w:hAnsi="Book Antiqua" w:cs="宋体"/>
          <w:kern w:val="0"/>
          <w:sz w:val="24"/>
          <w:szCs w:val="24"/>
          <w:lang w:eastAsia="zh-CN"/>
        </w:rPr>
        <w:t xml:space="preserve">28 </w:t>
      </w:r>
      <w:r w:rsidRPr="00C10ABF">
        <w:rPr>
          <w:rFonts w:ascii="Book Antiqua" w:hAnsi="Book Antiqua"/>
          <w:b/>
          <w:sz w:val="24"/>
          <w:szCs w:val="24"/>
        </w:rPr>
        <w:t xml:space="preserve">Merck </w:t>
      </w:r>
      <w:r w:rsidRPr="00C10ABF">
        <w:rPr>
          <w:rFonts w:ascii="Book Antiqua" w:eastAsia="宋体" w:hAnsi="Book Antiqua"/>
          <w:b/>
          <w:sz w:val="24"/>
          <w:szCs w:val="24"/>
          <w:lang w:eastAsia="zh-CN"/>
        </w:rPr>
        <w:t>and</w:t>
      </w:r>
      <w:r w:rsidRPr="00C10ABF">
        <w:rPr>
          <w:rFonts w:ascii="Book Antiqua" w:hAnsi="Book Antiqua"/>
          <w:b/>
          <w:sz w:val="24"/>
          <w:szCs w:val="24"/>
        </w:rPr>
        <w:t xml:space="preserve"> Co., Inc</w:t>
      </w:r>
      <w:r w:rsidRPr="00C10ABF">
        <w:rPr>
          <w:rFonts w:ascii="Book Antiqua" w:hAnsi="Book Antiqua"/>
          <w:sz w:val="24"/>
          <w:szCs w:val="24"/>
        </w:rPr>
        <w:t>. JANUVIA</w:t>
      </w:r>
      <w:r w:rsidRPr="00C10ABF">
        <w:rPr>
          <w:rFonts w:ascii="Book Antiqua" w:hAnsi="Book Antiqua"/>
          <w:sz w:val="24"/>
          <w:szCs w:val="24"/>
          <w:vertAlign w:val="superscript"/>
        </w:rPr>
        <w:t>®</w:t>
      </w:r>
      <w:r w:rsidRPr="00C10ABF">
        <w:rPr>
          <w:rFonts w:ascii="Book Antiqua" w:hAnsi="Book Antiqua"/>
          <w:sz w:val="24"/>
          <w:szCs w:val="24"/>
        </w:rPr>
        <w:t xml:space="preserve"> (sitagliptin) tablets</w:t>
      </w:r>
      <w:r w:rsidRPr="00C10ABF">
        <w:rPr>
          <w:rFonts w:ascii="Book Antiqua" w:eastAsia="宋体" w:hAnsi="Book Antiqua"/>
          <w:sz w:val="24"/>
          <w:szCs w:val="24"/>
          <w:lang w:eastAsia="zh-CN"/>
        </w:rPr>
        <w:t>.</w:t>
      </w:r>
      <w:r w:rsidRPr="00C10ABF">
        <w:rPr>
          <w:rFonts w:ascii="Book Antiqua" w:hAnsi="Book Antiqua"/>
          <w:sz w:val="24"/>
          <w:szCs w:val="24"/>
        </w:rPr>
        <w:t xml:space="preserve"> </w:t>
      </w:r>
      <w:r w:rsidRPr="00C10ABF">
        <w:rPr>
          <w:rFonts w:ascii="Book Antiqua" w:hAnsi="Book Antiqua" w:cs="宋体"/>
          <w:kern w:val="0"/>
          <w:sz w:val="24"/>
          <w:szCs w:val="24"/>
        </w:rPr>
        <w:t>Available from: URL:</w:t>
      </w:r>
      <w:r w:rsidRPr="00C10ABF">
        <w:rPr>
          <w:rFonts w:ascii="Book Antiqua" w:hAnsi="Book Antiqua"/>
          <w:sz w:val="24"/>
          <w:szCs w:val="24"/>
        </w:rPr>
        <w:t xml:space="preserve"> http://www.merck.com/product/usa/pi_circulars/j/januvia/januvia_pi.pdf</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29 </w:t>
      </w:r>
      <w:r w:rsidRPr="00C10ABF">
        <w:rPr>
          <w:rFonts w:ascii="Book Antiqua" w:eastAsia="宋体" w:hAnsi="Book Antiqua" w:cs="宋体"/>
          <w:b/>
          <w:bCs/>
          <w:kern w:val="0"/>
          <w:sz w:val="24"/>
          <w:szCs w:val="24"/>
          <w:lang w:eastAsia="zh-CN"/>
        </w:rPr>
        <w:t>Vincent SH</w:t>
      </w:r>
      <w:r w:rsidRPr="00C10ABF">
        <w:rPr>
          <w:rFonts w:ascii="Book Antiqua" w:eastAsia="宋体" w:hAnsi="Book Antiqua" w:cs="宋体"/>
          <w:kern w:val="0"/>
          <w:sz w:val="24"/>
          <w:szCs w:val="24"/>
          <w:lang w:eastAsia="zh-CN"/>
        </w:rPr>
        <w:t>, Reed JR, Bergman AJ, Elmore CS, Zhu B, Xu S, Ebel D, Larson P, Zeng W, Chen L, Dilzer S, Lasseter K, Gottesdiener K, Wagner JA, Herman GA. Metabolism and excretion of the dipeptidyl peptidase 4 inhibitor [14C]sitagliptin in humans. </w:t>
      </w:r>
      <w:r w:rsidRPr="00C10ABF">
        <w:rPr>
          <w:rFonts w:ascii="Book Antiqua" w:eastAsia="宋体" w:hAnsi="Book Antiqua" w:cs="宋体"/>
          <w:i/>
          <w:iCs/>
          <w:kern w:val="0"/>
          <w:sz w:val="24"/>
          <w:szCs w:val="24"/>
          <w:lang w:eastAsia="zh-CN"/>
        </w:rPr>
        <w:t>Drug Metab Dispos</w:t>
      </w:r>
      <w:r w:rsidRPr="00C10ABF">
        <w:rPr>
          <w:rFonts w:ascii="Book Antiqua" w:eastAsia="宋体" w:hAnsi="Book Antiqua" w:cs="宋体"/>
          <w:kern w:val="0"/>
          <w:sz w:val="24"/>
          <w:szCs w:val="24"/>
          <w:lang w:eastAsia="zh-CN"/>
        </w:rPr>
        <w:t> 2007; </w:t>
      </w:r>
      <w:r w:rsidRPr="00C10ABF">
        <w:rPr>
          <w:rFonts w:ascii="Book Antiqua" w:eastAsia="宋体" w:hAnsi="Book Antiqua" w:cs="宋体"/>
          <w:b/>
          <w:bCs/>
          <w:kern w:val="0"/>
          <w:sz w:val="24"/>
          <w:szCs w:val="24"/>
          <w:lang w:eastAsia="zh-CN"/>
        </w:rPr>
        <w:t>35</w:t>
      </w:r>
      <w:r w:rsidRPr="00C10ABF">
        <w:rPr>
          <w:rFonts w:ascii="Book Antiqua" w:eastAsia="宋体" w:hAnsi="Book Antiqua" w:cs="宋体"/>
          <w:kern w:val="0"/>
          <w:sz w:val="24"/>
          <w:szCs w:val="24"/>
          <w:lang w:eastAsia="zh-CN"/>
        </w:rPr>
        <w:t xml:space="preserve">: 533-538 [PMID: 17220239 DOI: </w:t>
      </w:r>
      <w:r w:rsidRPr="00C10ABF">
        <w:rPr>
          <w:rFonts w:ascii="Book Antiqua" w:hAnsi="Book Antiqua"/>
          <w:sz w:val="24"/>
          <w:szCs w:val="24"/>
          <w:shd w:val="clear" w:color="auto" w:fill="FFFFFF"/>
        </w:rPr>
        <w:t>10.1124/dmd.106.013136</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30 </w:t>
      </w:r>
      <w:r w:rsidRPr="00C10ABF">
        <w:rPr>
          <w:rFonts w:ascii="Book Antiqua" w:eastAsia="宋体" w:hAnsi="Book Antiqua" w:cs="宋体"/>
          <w:b/>
          <w:bCs/>
          <w:kern w:val="0"/>
          <w:sz w:val="24"/>
          <w:szCs w:val="24"/>
          <w:lang w:eastAsia="zh-CN"/>
        </w:rPr>
        <w:t>Herman GA</w:t>
      </w:r>
      <w:r w:rsidRPr="00C10ABF">
        <w:rPr>
          <w:rFonts w:ascii="Book Antiqua" w:eastAsia="宋体" w:hAnsi="Book Antiqua" w:cs="宋体"/>
          <w:kern w:val="0"/>
          <w:sz w:val="24"/>
          <w:szCs w:val="24"/>
          <w:lang w:eastAsia="zh-CN"/>
        </w:rPr>
        <w:t>, Stevens C, Van Dyck K, Bergman A, Yi B, De Smet M, Snyder K, Hilliard D, Tanen M, Tanaka W, Wang AQ, Zeng W, Musson D, Winchell G, Davies MJ, Ramael S, Gottesdiener KM, Wagner JA. Pharmacokinetics and pharmacodynamics of sitagliptin, an inhibitor of dipeptidyl peptidase IV, in healthy subjects: results from two randomized, double-blind, placebo-controlled studies with single oral doses. </w:t>
      </w:r>
      <w:r w:rsidRPr="00C10ABF">
        <w:rPr>
          <w:rFonts w:ascii="Book Antiqua" w:eastAsia="宋体" w:hAnsi="Book Antiqua" w:cs="宋体"/>
          <w:i/>
          <w:iCs/>
          <w:kern w:val="0"/>
          <w:sz w:val="24"/>
          <w:szCs w:val="24"/>
          <w:lang w:eastAsia="zh-CN"/>
        </w:rPr>
        <w:t>Clin Pharmacol Ther</w:t>
      </w:r>
      <w:r w:rsidRPr="00C10ABF">
        <w:rPr>
          <w:rFonts w:ascii="Book Antiqua" w:eastAsia="宋体" w:hAnsi="Book Antiqua" w:cs="宋体"/>
          <w:kern w:val="0"/>
          <w:sz w:val="24"/>
          <w:szCs w:val="24"/>
          <w:lang w:eastAsia="zh-CN"/>
        </w:rPr>
        <w:t> 2005; </w:t>
      </w:r>
      <w:r w:rsidRPr="00C10ABF">
        <w:rPr>
          <w:rFonts w:ascii="Book Antiqua" w:eastAsia="宋体" w:hAnsi="Book Antiqua" w:cs="宋体"/>
          <w:b/>
          <w:bCs/>
          <w:kern w:val="0"/>
          <w:sz w:val="24"/>
          <w:szCs w:val="24"/>
          <w:lang w:eastAsia="zh-CN"/>
        </w:rPr>
        <w:t>78</w:t>
      </w:r>
      <w:r w:rsidRPr="00C10ABF">
        <w:rPr>
          <w:rFonts w:ascii="Book Antiqua" w:eastAsia="宋体" w:hAnsi="Book Antiqua" w:cs="宋体"/>
          <w:kern w:val="0"/>
          <w:sz w:val="24"/>
          <w:szCs w:val="24"/>
          <w:lang w:eastAsia="zh-CN"/>
        </w:rPr>
        <w:t xml:space="preserve">: 675-688 [PMID: 16338283 DOI: </w:t>
      </w:r>
      <w:r w:rsidRPr="00C10ABF">
        <w:rPr>
          <w:rFonts w:ascii="Book Antiqua" w:hAnsi="Book Antiqua"/>
          <w:sz w:val="24"/>
          <w:szCs w:val="24"/>
          <w:shd w:val="clear" w:color="auto" w:fill="FFFFFF"/>
        </w:rPr>
        <w:t>10.1016/j.clpt.2005.09.002</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31 </w:t>
      </w:r>
      <w:r w:rsidRPr="00C10ABF">
        <w:rPr>
          <w:rFonts w:ascii="Book Antiqua" w:eastAsia="宋体" w:hAnsi="Book Antiqua" w:cs="宋体"/>
          <w:b/>
          <w:bCs/>
          <w:kern w:val="0"/>
          <w:sz w:val="24"/>
          <w:szCs w:val="24"/>
          <w:lang w:eastAsia="zh-CN"/>
        </w:rPr>
        <w:t>Bergman AJ</w:t>
      </w:r>
      <w:r w:rsidRPr="00C10ABF">
        <w:rPr>
          <w:rFonts w:ascii="Book Antiqua" w:eastAsia="宋体" w:hAnsi="Book Antiqua" w:cs="宋体"/>
          <w:kern w:val="0"/>
          <w:sz w:val="24"/>
          <w:szCs w:val="24"/>
          <w:lang w:eastAsia="zh-CN"/>
        </w:rPr>
        <w:t>, Cote J, Yi B, Marbury T, Swan SK, Smith W, Gottesdiener K, Wagner J, Herman GA. Effect of renal insufficiency on the pharmacokinetics of sitagliptin, a dipeptidyl peptidase-4 inhibitor. </w:t>
      </w:r>
      <w:r w:rsidRPr="00C10ABF">
        <w:rPr>
          <w:rFonts w:ascii="Book Antiqua" w:eastAsia="宋体" w:hAnsi="Book Antiqua" w:cs="宋体"/>
          <w:i/>
          <w:iCs/>
          <w:kern w:val="0"/>
          <w:sz w:val="24"/>
          <w:szCs w:val="24"/>
          <w:lang w:eastAsia="zh-CN"/>
        </w:rPr>
        <w:t>Diabetes Care</w:t>
      </w:r>
      <w:r w:rsidRPr="00C10ABF">
        <w:rPr>
          <w:rFonts w:ascii="Book Antiqua" w:eastAsia="宋体" w:hAnsi="Book Antiqua" w:cs="宋体"/>
          <w:kern w:val="0"/>
          <w:sz w:val="24"/>
          <w:szCs w:val="24"/>
          <w:lang w:eastAsia="zh-CN"/>
        </w:rPr>
        <w:t> 2007; </w:t>
      </w:r>
      <w:r w:rsidRPr="00C10ABF">
        <w:rPr>
          <w:rFonts w:ascii="Book Antiqua" w:eastAsia="宋体" w:hAnsi="Book Antiqua" w:cs="宋体"/>
          <w:b/>
          <w:bCs/>
          <w:kern w:val="0"/>
          <w:sz w:val="24"/>
          <w:szCs w:val="24"/>
          <w:lang w:eastAsia="zh-CN"/>
        </w:rPr>
        <w:t>30</w:t>
      </w:r>
      <w:r w:rsidRPr="00C10ABF">
        <w:rPr>
          <w:rFonts w:ascii="Book Antiqua" w:eastAsia="宋体" w:hAnsi="Book Antiqua" w:cs="宋体"/>
          <w:kern w:val="0"/>
          <w:sz w:val="24"/>
          <w:szCs w:val="24"/>
          <w:lang w:eastAsia="zh-CN"/>
        </w:rPr>
        <w:t>: 1862-1864 [PMID: 17468348 DOI:</w:t>
      </w:r>
      <w:r w:rsidRPr="00C10ABF">
        <w:rPr>
          <w:rFonts w:ascii="Book Antiqua" w:hAnsi="Book Antiqua"/>
          <w:sz w:val="24"/>
          <w:szCs w:val="24"/>
        </w:rPr>
        <w:t xml:space="preserve"> </w:t>
      </w:r>
      <w:r w:rsidRPr="00C10ABF">
        <w:rPr>
          <w:rFonts w:ascii="Book Antiqua" w:hAnsi="Book Antiqua"/>
          <w:sz w:val="24"/>
          <w:szCs w:val="24"/>
          <w:shd w:val="clear" w:color="auto" w:fill="FFFFFF"/>
        </w:rPr>
        <w:t>10.2337/dc06-2545</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32 </w:t>
      </w:r>
      <w:r w:rsidRPr="00C10ABF">
        <w:rPr>
          <w:rFonts w:ascii="Book Antiqua" w:eastAsia="宋体" w:hAnsi="Book Antiqua" w:cs="宋体"/>
          <w:b/>
          <w:bCs/>
          <w:kern w:val="0"/>
          <w:sz w:val="24"/>
          <w:szCs w:val="24"/>
          <w:lang w:eastAsia="zh-CN"/>
        </w:rPr>
        <w:t>He YL</w:t>
      </w:r>
      <w:r w:rsidRPr="00C10ABF">
        <w:rPr>
          <w:rFonts w:ascii="Book Antiqua" w:eastAsia="宋体" w:hAnsi="Book Antiqua" w:cs="宋体"/>
          <w:kern w:val="0"/>
          <w:sz w:val="24"/>
          <w:szCs w:val="24"/>
          <w:lang w:eastAsia="zh-CN"/>
        </w:rPr>
        <w:t>, Sadler BM, Sabo R, Balez S, Wang Y, Campestrini J, Laurent A, Ligueros-Saylan M, Howard D. The absolute oral bioavailability and population-based pharmacokinetic modelling of a novel dipeptidylpeptidase-IV inhibitor, vildagliptin, in healthy volunteers. </w:t>
      </w:r>
      <w:r w:rsidRPr="00C10ABF">
        <w:rPr>
          <w:rFonts w:ascii="Book Antiqua" w:eastAsia="宋体" w:hAnsi="Book Antiqua" w:cs="宋体"/>
          <w:i/>
          <w:iCs/>
          <w:kern w:val="0"/>
          <w:sz w:val="24"/>
          <w:szCs w:val="24"/>
          <w:lang w:eastAsia="zh-CN"/>
        </w:rPr>
        <w:t>Clin Pharmacokinet</w:t>
      </w:r>
      <w:r w:rsidRPr="00C10ABF">
        <w:rPr>
          <w:rFonts w:ascii="Book Antiqua" w:eastAsia="宋体" w:hAnsi="Book Antiqua" w:cs="宋体"/>
          <w:kern w:val="0"/>
          <w:sz w:val="24"/>
          <w:szCs w:val="24"/>
          <w:lang w:eastAsia="zh-CN"/>
        </w:rPr>
        <w:t> 2007; </w:t>
      </w:r>
      <w:r w:rsidRPr="00C10ABF">
        <w:rPr>
          <w:rFonts w:ascii="Book Antiqua" w:eastAsia="宋体" w:hAnsi="Book Antiqua" w:cs="宋体"/>
          <w:b/>
          <w:bCs/>
          <w:kern w:val="0"/>
          <w:sz w:val="24"/>
          <w:szCs w:val="24"/>
          <w:lang w:eastAsia="zh-CN"/>
        </w:rPr>
        <w:t>46</w:t>
      </w:r>
      <w:r w:rsidRPr="00C10ABF">
        <w:rPr>
          <w:rFonts w:ascii="Book Antiqua" w:eastAsia="宋体" w:hAnsi="Book Antiqua" w:cs="宋体"/>
          <w:kern w:val="0"/>
          <w:sz w:val="24"/>
          <w:szCs w:val="24"/>
          <w:lang w:eastAsia="zh-CN"/>
        </w:rPr>
        <w:t xml:space="preserve">: 787-802 [PMID: 17713976 DOI: </w:t>
      </w:r>
      <w:r w:rsidRPr="00C10ABF">
        <w:rPr>
          <w:rFonts w:ascii="Book Antiqua" w:hAnsi="Book Antiqua"/>
          <w:sz w:val="24"/>
          <w:szCs w:val="24"/>
          <w:shd w:val="clear" w:color="auto" w:fill="FFFFFF"/>
        </w:rPr>
        <w:t>10.2165/00003088-200746090-00006</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33 </w:t>
      </w:r>
      <w:r w:rsidRPr="00C10ABF">
        <w:rPr>
          <w:rFonts w:ascii="Book Antiqua" w:eastAsia="宋体" w:hAnsi="Book Antiqua" w:cs="宋体"/>
          <w:b/>
          <w:bCs/>
          <w:kern w:val="0"/>
          <w:sz w:val="24"/>
          <w:szCs w:val="24"/>
          <w:lang w:eastAsia="zh-CN"/>
        </w:rPr>
        <w:t>He YL</w:t>
      </w:r>
      <w:r w:rsidRPr="00C10ABF">
        <w:rPr>
          <w:rFonts w:ascii="Book Antiqua" w:eastAsia="宋体" w:hAnsi="Book Antiqua" w:cs="宋体"/>
          <w:kern w:val="0"/>
          <w:sz w:val="24"/>
          <w:szCs w:val="24"/>
          <w:lang w:eastAsia="zh-CN"/>
        </w:rPr>
        <w:t>. Clinical pharmacokinetics and pharmacodynamics of vildagliptin. </w:t>
      </w:r>
      <w:r w:rsidRPr="00C10ABF">
        <w:rPr>
          <w:rFonts w:ascii="Book Antiqua" w:eastAsia="宋体" w:hAnsi="Book Antiqua" w:cs="宋体"/>
          <w:i/>
          <w:iCs/>
          <w:kern w:val="0"/>
          <w:sz w:val="24"/>
          <w:szCs w:val="24"/>
          <w:lang w:eastAsia="zh-CN"/>
        </w:rPr>
        <w:t>Clin Pharmacokinet</w:t>
      </w:r>
      <w:r w:rsidRPr="00C10ABF">
        <w:rPr>
          <w:rFonts w:ascii="Book Antiqua" w:eastAsia="宋体" w:hAnsi="Book Antiqua" w:cs="宋体"/>
          <w:kern w:val="0"/>
          <w:sz w:val="24"/>
          <w:szCs w:val="24"/>
          <w:lang w:eastAsia="zh-CN"/>
        </w:rPr>
        <w:t> 2012; </w:t>
      </w:r>
      <w:r w:rsidRPr="00C10ABF">
        <w:rPr>
          <w:rFonts w:ascii="Book Antiqua" w:eastAsia="宋体" w:hAnsi="Book Antiqua" w:cs="宋体"/>
          <w:b/>
          <w:bCs/>
          <w:kern w:val="0"/>
          <w:sz w:val="24"/>
          <w:szCs w:val="24"/>
          <w:lang w:eastAsia="zh-CN"/>
        </w:rPr>
        <w:t>51</w:t>
      </w:r>
      <w:r w:rsidRPr="00C10ABF">
        <w:rPr>
          <w:rFonts w:ascii="Book Antiqua" w:eastAsia="宋体" w:hAnsi="Book Antiqua" w:cs="宋体"/>
          <w:kern w:val="0"/>
          <w:sz w:val="24"/>
          <w:szCs w:val="24"/>
          <w:lang w:eastAsia="zh-CN"/>
        </w:rPr>
        <w:t>: 147-162 [PMID: 22339447 DOI: 10.2165/11598080-000000000-00000]</w:t>
      </w:r>
    </w:p>
    <w:p w:rsidR="0001465D" w:rsidRPr="00C10ABF" w:rsidRDefault="0001465D" w:rsidP="001A72C5">
      <w:pPr>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3</w:t>
      </w:r>
      <w:r w:rsidRPr="00C10ABF">
        <w:rPr>
          <w:rFonts w:ascii="Book Antiqua" w:eastAsia="宋体" w:hAnsi="Book Antiqua" w:cs="宋体"/>
          <w:b/>
          <w:kern w:val="0"/>
          <w:sz w:val="24"/>
          <w:szCs w:val="24"/>
          <w:lang w:eastAsia="zh-CN"/>
        </w:rPr>
        <w:t>4 Novartis</w:t>
      </w:r>
      <w:r w:rsidRPr="00C10ABF">
        <w:rPr>
          <w:rFonts w:ascii="Book Antiqua" w:eastAsia="宋体" w:hAnsi="Book Antiqua" w:cs="宋体"/>
          <w:kern w:val="0"/>
          <w:sz w:val="24"/>
          <w:szCs w:val="24"/>
          <w:lang w:eastAsia="zh-CN"/>
        </w:rPr>
        <w:t>. GALVUS (vildagliptin) tablets.</w:t>
      </w:r>
      <w:r w:rsidRPr="00C10ABF">
        <w:rPr>
          <w:rFonts w:ascii="Book Antiqua" w:hAnsi="Book Antiqua" w:cs="宋体"/>
          <w:kern w:val="0"/>
          <w:sz w:val="24"/>
          <w:szCs w:val="24"/>
        </w:rPr>
        <w:t xml:space="preserve"> Available from: URL:</w:t>
      </w:r>
      <w:r w:rsidRPr="00C10ABF">
        <w:rPr>
          <w:rFonts w:ascii="Book Antiqua" w:eastAsia="宋体" w:hAnsi="Book Antiqua" w:cs="宋体"/>
          <w:kern w:val="0"/>
          <w:sz w:val="24"/>
          <w:szCs w:val="24"/>
          <w:lang w:eastAsia="zh-CN"/>
        </w:rPr>
        <w:t xml:space="preserve"> http: //www.ema.europa.eu/docs/en_GB/document_library/EPAR_-_Product_Information/human/000771/WC500020327.pdf</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35 </w:t>
      </w:r>
      <w:r w:rsidRPr="00C10ABF">
        <w:rPr>
          <w:rFonts w:ascii="Book Antiqua" w:eastAsia="宋体" w:hAnsi="Book Antiqua" w:cs="宋体"/>
          <w:b/>
          <w:bCs/>
          <w:kern w:val="0"/>
          <w:sz w:val="24"/>
          <w:szCs w:val="24"/>
          <w:lang w:eastAsia="zh-CN"/>
        </w:rPr>
        <w:t>He H</w:t>
      </w:r>
      <w:r w:rsidRPr="00C10ABF">
        <w:rPr>
          <w:rFonts w:ascii="Book Antiqua" w:eastAsia="宋体" w:hAnsi="Book Antiqua" w:cs="宋体"/>
          <w:kern w:val="0"/>
          <w:sz w:val="24"/>
          <w:szCs w:val="24"/>
          <w:lang w:eastAsia="zh-CN"/>
        </w:rPr>
        <w:t>, Tran P, Yin H, Smith H, Batard Y, Wang L, Einolf H, Gu H, Mangold JB, Fischer V, Howard D. Absorption, metabolism, and excretion of [14C]vildagliptin, a novel dipeptidyl peptidase 4 inhibitor, in humans. </w:t>
      </w:r>
      <w:r w:rsidRPr="00C10ABF">
        <w:rPr>
          <w:rFonts w:ascii="Book Antiqua" w:eastAsia="宋体" w:hAnsi="Book Antiqua" w:cs="宋体"/>
          <w:i/>
          <w:iCs/>
          <w:kern w:val="0"/>
          <w:sz w:val="24"/>
          <w:szCs w:val="24"/>
          <w:lang w:eastAsia="zh-CN"/>
        </w:rPr>
        <w:t>Drug Metab Dispos</w:t>
      </w:r>
      <w:r w:rsidRPr="00C10ABF">
        <w:rPr>
          <w:rFonts w:ascii="Book Antiqua" w:eastAsia="宋体" w:hAnsi="Book Antiqua" w:cs="宋体"/>
          <w:kern w:val="0"/>
          <w:sz w:val="24"/>
          <w:szCs w:val="24"/>
          <w:lang w:eastAsia="zh-CN"/>
        </w:rPr>
        <w:t> 2009; </w:t>
      </w:r>
      <w:r w:rsidRPr="00C10ABF">
        <w:rPr>
          <w:rFonts w:ascii="Book Antiqua" w:eastAsia="宋体" w:hAnsi="Book Antiqua" w:cs="宋体"/>
          <w:b/>
          <w:bCs/>
          <w:kern w:val="0"/>
          <w:sz w:val="24"/>
          <w:szCs w:val="24"/>
          <w:lang w:eastAsia="zh-CN"/>
        </w:rPr>
        <w:t>37</w:t>
      </w:r>
      <w:r w:rsidRPr="00C10ABF">
        <w:rPr>
          <w:rFonts w:ascii="Book Antiqua" w:eastAsia="宋体" w:hAnsi="Book Antiqua" w:cs="宋体"/>
          <w:kern w:val="0"/>
          <w:sz w:val="24"/>
          <w:szCs w:val="24"/>
          <w:lang w:eastAsia="zh-CN"/>
        </w:rPr>
        <w:t>: 536-544 [PMID: 19074975 DOI: 10.1124/dmd.108.023010]</w:t>
      </w:r>
    </w:p>
    <w:p w:rsidR="0001465D" w:rsidRPr="00C10ABF" w:rsidRDefault="0001465D" w:rsidP="001A72C5">
      <w:pPr>
        <w:wordWrap w:val="0"/>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 xml:space="preserve">36 </w:t>
      </w:r>
      <w:r w:rsidRPr="00C10ABF">
        <w:rPr>
          <w:rFonts w:ascii="Book Antiqua" w:eastAsia="宋体" w:hAnsi="Book Antiqua" w:cs="宋体"/>
          <w:b/>
          <w:kern w:val="0"/>
          <w:sz w:val="24"/>
          <w:szCs w:val="24"/>
          <w:lang w:eastAsia="zh-CN"/>
        </w:rPr>
        <w:t>Takeda Pharmaceuticals America, Inc</w:t>
      </w:r>
      <w:r w:rsidRPr="00C10ABF">
        <w:rPr>
          <w:rFonts w:ascii="Book Antiqua" w:eastAsia="宋体" w:hAnsi="Book Antiqua" w:cs="宋体"/>
          <w:kern w:val="0"/>
          <w:sz w:val="24"/>
          <w:szCs w:val="24"/>
          <w:lang w:eastAsia="zh-CN"/>
        </w:rPr>
        <w:t xml:space="preserve">. NESINA (alogliptin) tablets. </w:t>
      </w:r>
      <w:r w:rsidRPr="00C10ABF">
        <w:rPr>
          <w:rFonts w:ascii="Book Antiqua" w:hAnsi="Book Antiqua" w:cs="宋体"/>
          <w:kern w:val="0"/>
          <w:sz w:val="24"/>
          <w:szCs w:val="24"/>
        </w:rPr>
        <w:t>Available from: URL:</w:t>
      </w:r>
      <w:r w:rsidRPr="00C10ABF">
        <w:rPr>
          <w:rFonts w:ascii="Book Antiqua" w:eastAsia="宋体" w:hAnsi="Book Antiqua" w:cs="宋体"/>
          <w:kern w:val="0"/>
          <w:sz w:val="24"/>
          <w:szCs w:val="24"/>
          <w:lang w:eastAsia="zh-CN"/>
        </w:rPr>
        <w:t xml:space="preserve"> http: //general.takedapharm.com/content/file.aspx?FileTypeCode=NESINAPI&amp;cacheRandomizer=5f127f98-5b5b-460e-901d-e79fd3ed21fb</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37 </w:t>
      </w:r>
      <w:r w:rsidRPr="00C10ABF">
        <w:rPr>
          <w:rFonts w:ascii="Book Antiqua" w:eastAsia="宋体" w:hAnsi="Book Antiqua" w:cs="宋体"/>
          <w:b/>
          <w:bCs/>
          <w:kern w:val="0"/>
          <w:sz w:val="24"/>
          <w:szCs w:val="24"/>
          <w:lang w:eastAsia="zh-CN"/>
        </w:rPr>
        <w:t>Christopher R</w:t>
      </w:r>
      <w:r w:rsidRPr="00C10ABF">
        <w:rPr>
          <w:rFonts w:ascii="Book Antiqua" w:eastAsia="宋体" w:hAnsi="Book Antiqua" w:cs="宋体"/>
          <w:kern w:val="0"/>
          <w:sz w:val="24"/>
          <w:szCs w:val="24"/>
          <w:lang w:eastAsia="zh-CN"/>
        </w:rPr>
        <w:t>, Covington P, Davenport M, Fleck P, Mekki QA, Wann ER, Karim A. Pharmacokinetics, pharmacodynamics, and tolerability of single increasing doses of the dipeptidyl peptidase-4 inhibitor alogliptin in healthy male subjects. </w:t>
      </w:r>
      <w:r w:rsidRPr="00C10ABF">
        <w:rPr>
          <w:rFonts w:ascii="Book Antiqua" w:eastAsia="宋体" w:hAnsi="Book Antiqua" w:cs="宋体"/>
          <w:i/>
          <w:iCs/>
          <w:kern w:val="0"/>
          <w:sz w:val="24"/>
          <w:szCs w:val="24"/>
          <w:lang w:eastAsia="zh-CN"/>
        </w:rPr>
        <w:t>Clin Ther</w:t>
      </w:r>
      <w:r w:rsidRPr="00C10ABF">
        <w:rPr>
          <w:rFonts w:ascii="Book Antiqua" w:eastAsia="宋体" w:hAnsi="Book Antiqua" w:cs="宋体"/>
          <w:kern w:val="0"/>
          <w:sz w:val="24"/>
          <w:szCs w:val="24"/>
          <w:lang w:eastAsia="zh-CN"/>
        </w:rPr>
        <w:t> 2008; </w:t>
      </w:r>
      <w:r w:rsidRPr="00C10ABF">
        <w:rPr>
          <w:rFonts w:ascii="Book Antiqua" w:eastAsia="宋体" w:hAnsi="Book Antiqua" w:cs="宋体"/>
          <w:b/>
          <w:bCs/>
          <w:kern w:val="0"/>
          <w:sz w:val="24"/>
          <w:szCs w:val="24"/>
          <w:lang w:eastAsia="zh-CN"/>
        </w:rPr>
        <w:t>30</w:t>
      </w:r>
      <w:r w:rsidRPr="00C10ABF">
        <w:rPr>
          <w:rFonts w:ascii="Book Antiqua" w:eastAsia="宋体" w:hAnsi="Book Antiqua" w:cs="宋体"/>
          <w:kern w:val="0"/>
          <w:sz w:val="24"/>
          <w:szCs w:val="24"/>
          <w:lang w:eastAsia="zh-CN"/>
        </w:rPr>
        <w:t>: 513-527 [PMID: 18405789 DOI: 10.1016/j.clinthera.2008.03.005]</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38 </w:t>
      </w:r>
      <w:r w:rsidRPr="00C10ABF">
        <w:rPr>
          <w:rFonts w:ascii="Book Antiqua" w:eastAsia="宋体" w:hAnsi="Book Antiqua" w:cs="宋体"/>
          <w:b/>
          <w:bCs/>
          <w:kern w:val="0"/>
          <w:sz w:val="24"/>
          <w:szCs w:val="24"/>
          <w:lang w:eastAsia="zh-CN"/>
        </w:rPr>
        <w:t>Retlich S</w:t>
      </w:r>
      <w:r w:rsidRPr="00C10ABF">
        <w:rPr>
          <w:rFonts w:ascii="Book Antiqua" w:eastAsia="宋体" w:hAnsi="Book Antiqua" w:cs="宋体"/>
          <w:kern w:val="0"/>
          <w:sz w:val="24"/>
          <w:szCs w:val="24"/>
          <w:lang w:eastAsia="zh-CN"/>
        </w:rPr>
        <w:t>, Duval V, Ring A, Staab A, Hüttner S, Jungnik A, Jaehde U, Dugi KA, Graefe-Mody U. Pharmacokinetics and pharmacodynamics of single rising intravenous doses (0.5 mg-10 mg) and determination of absolute bioavailability of the dipeptidyl peptidase-4 inhibitor linagliptin (BI 1356) in healthy male subjects. </w:t>
      </w:r>
      <w:r w:rsidRPr="00C10ABF">
        <w:rPr>
          <w:rFonts w:ascii="Book Antiqua" w:eastAsia="宋体" w:hAnsi="Book Antiqua" w:cs="宋体"/>
          <w:i/>
          <w:iCs/>
          <w:kern w:val="0"/>
          <w:sz w:val="24"/>
          <w:szCs w:val="24"/>
          <w:lang w:eastAsia="zh-CN"/>
        </w:rPr>
        <w:t>Clin Pharmacokinet</w:t>
      </w:r>
      <w:r w:rsidRPr="00C10ABF">
        <w:rPr>
          <w:rFonts w:ascii="Book Antiqua" w:eastAsia="宋体" w:hAnsi="Book Antiqua" w:cs="宋体"/>
          <w:kern w:val="0"/>
          <w:sz w:val="24"/>
          <w:szCs w:val="24"/>
          <w:lang w:eastAsia="zh-CN"/>
        </w:rPr>
        <w:t> 2010; </w:t>
      </w:r>
      <w:r w:rsidRPr="00C10ABF">
        <w:rPr>
          <w:rFonts w:ascii="Book Antiqua" w:eastAsia="宋体" w:hAnsi="Book Antiqua" w:cs="宋体"/>
          <w:b/>
          <w:bCs/>
          <w:kern w:val="0"/>
          <w:sz w:val="24"/>
          <w:szCs w:val="24"/>
          <w:lang w:eastAsia="zh-CN"/>
        </w:rPr>
        <w:t>49</w:t>
      </w:r>
      <w:r w:rsidRPr="00C10ABF">
        <w:rPr>
          <w:rFonts w:ascii="Book Antiqua" w:eastAsia="宋体" w:hAnsi="Book Antiqua" w:cs="宋体"/>
          <w:kern w:val="0"/>
          <w:sz w:val="24"/>
          <w:szCs w:val="24"/>
          <w:lang w:eastAsia="zh-CN"/>
        </w:rPr>
        <w:t>: 829-840 [PMID: 21053992 DOI: 10.2165/11536620-000000000-00000]</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39 </w:t>
      </w:r>
      <w:r w:rsidRPr="00C10ABF">
        <w:rPr>
          <w:rFonts w:ascii="Book Antiqua" w:eastAsia="宋体" w:hAnsi="Book Antiqua" w:cs="宋体"/>
          <w:b/>
          <w:bCs/>
          <w:kern w:val="0"/>
          <w:sz w:val="24"/>
          <w:szCs w:val="24"/>
          <w:lang w:eastAsia="zh-CN"/>
        </w:rPr>
        <w:t>Graefe-Mody U</w:t>
      </w:r>
      <w:r w:rsidRPr="00C10ABF">
        <w:rPr>
          <w:rFonts w:ascii="Book Antiqua" w:eastAsia="宋体" w:hAnsi="Book Antiqua" w:cs="宋体"/>
          <w:kern w:val="0"/>
          <w:sz w:val="24"/>
          <w:szCs w:val="24"/>
          <w:lang w:eastAsia="zh-CN"/>
        </w:rPr>
        <w:t>, Friedrich C, Port A, Ring A, Retlich S, Heise T, Halabi A, Woerle HJ. Effect of renal impairment on the pharmacokinetics of the dipeptidyl peptidase-4 inhibitor linagliptin(*). </w:t>
      </w:r>
      <w:r w:rsidRPr="00C10ABF">
        <w:rPr>
          <w:rFonts w:ascii="Book Antiqua" w:eastAsia="宋体" w:hAnsi="Book Antiqua" w:cs="宋体"/>
          <w:i/>
          <w:iCs/>
          <w:kern w:val="0"/>
          <w:sz w:val="24"/>
          <w:szCs w:val="24"/>
          <w:lang w:eastAsia="zh-CN"/>
        </w:rPr>
        <w:t>Diabetes Obes Metab</w:t>
      </w:r>
      <w:r w:rsidRPr="00C10ABF">
        <w:rPr>
          <w:rFonts w:ascii="Book Antiqua" w:eastAsia="宋体" w:hAnsi="Book Antiqua" w:cs="宋体"/>
          <w:kern w:val="0"/>
          <w:sz w:val="24"/>
          <w:szCs w:val="24"/>
          <w:lang w:eastAsia="zh-CN"/>
        </w:rPr>
        <w:t> 2011; </w:t>
      </w:r>
      <w:r w:rsidRPr="00C10ABF">
        <w:rPr>
          <w:rFonts w:ascii="Book Antiqua" w:eastAsia="宋体" w:hAnsi="Book Antiqua" w:cs="宋体"/>
          <w:b/>
          <w:bCs/>
          <w:kern w:val="0"/>
          <w:sz w:val="24"/>
          <w:szCs w:val="24"/>
          <w:lang w:eastAsia="zh-CN"/>
        </w:rPr>
        <w:t>13</w:t>
      </w:r>
      <w:r w:rsidRPr="00C10ABF">
        <w:rPr>
          <w:rFonts w:ascii="Book Antiqua" w:eastAsia="宋体" w:hAnsi="Book Antiqua" w:cs="宋体"/>
          <w:kern w:val="0"/>
          <w:sz w:val="24"/>
          <w:szCs w:val="24"/>
          <w:lang w:eastAsia="zh-CN"/>
        </w:rPr>
        <w:t>: 939-946 [PMID: 21672124 DOI: 10.1111/j.1463-1326.2011.01458.x]</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40 </w:t>
      </w:r>
      <w:r w:rsidRPr="00C10ABF">
        <w:rPr>
          <w:rFonts w:ascii="Book Antiqua" w:eastAsia="宋体" w:hAnsi="Book Antiqua" w:cs="宋体"/>
          <w:b/>
          <w:bCs/>
          <w:kern w:val="0"/>
          <w:sz w:val="24"/>
          <w:szCs w:val="24"/>
          <w:lang w:eastAsia="zh-CN"/>
        </w:rPr>
        <w:t>Blech S</w:t>
      </w:r>
      <w:r w:rsidRPr="00C10ABF">
        <w:rPr>
          <w:rFonts w:ascii="Book Antiqua" w:eastAsia="宋体" w:hAnsi="Book Antiqua" w:cs="宋体"/>
          <w:kern w:val="0"/>
          <w:sz w:val="24"/>
          <w:szCs w:val="24"/>
          <w:lang w:eastAsia="zh-CN"/>
        </w:rPr>
        <w:t>, Ludwig-Schwellinger E, Gräfe-Mody EU, Withopf B, Wagner K. The metabolism and disposition of the oral dipeptidyl peptidase-4 inhibitor, linagliptin, in humans. </w:t>
      </w:r>
      <w:r w:rsidRPr="00C10ABF">
        <w:rPr>
          <w:rFonts w:ascii="Book Antiqua" w:eastAsia="宋体" w:hAnsi="Book Antiqua" w:cs="宋体"/>
          <w:i/>
          <w:iCs/>
          <w:kern w:val="0"/>
          <w:sz w:val="24"/>
          <w:szCs w:val="24"/>
          <w:lang w:eastAsia="zh-CN"/>
        </w:rPr>
        <w:t>Drug Metab Dispos</w:t>
      </w:r>
      <w:r w:rsidRPr="00C10ABF">
        <w:rPr>
          <w:rFonts w:ascii="Book Antiqua" w:eastAsia="宋体" w:hAnsi="Book Antiqua" w:cs="宋体"/>
          <w:kern w:val="0"/>
          <w:sz w:val="24"/>
          <w:szCs w:val="24"/>
          <w:lang w:eastAsia="zh-CN"/>
        </w:rPr>
        <w:t> 2010; </w:t>
      </w:r>
      <w:r w:rsidRPr="00C10ABF">
        <w:rPr>
          <w:rFonts w:ascii="Book Antiqua" w:eastAsia="宋体" w:hAnsi="Book Antiqua" w:cs="宋体"/>
          <w:b/>
          <w:bCs/>
          <w:kern w:val="0"/>
          <w:sz w:val="24"/>
          <w:szCs w:val="24"/>
          <w:lang w:eastAsia="zh-CN"/>
        </w:rPr>
        <w:t>38</w:t>
      </w:r>
      <w:r w:rsidRPr="00C10ABF">
        <w:rPr>
          <w:rFonts w:ascii="Book Antiqua" w:eastAsia="宋体" w:hAnsi="Book Antiqua" w:cs="宋体"/>
          <w:kern w:val="0"/>
          <w:sz w:val="24"/>
          <w:szCs w:val="24"/>
          <w:lang w:eastAsia="zh-CN"/>
        </w:rPr>
        <w:t>: 667-678 [PMID: 20086031 DOI: 10.1124/dmd.109.031476]</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41 </w:t>
      </w:r>
      <w:r w:rsidRPr="00C10ABF">
        <w:rPr>
          <w:rFonts w:ascii="Book Antiqua" w:eastAsia="宋体" w:hAnsi="Book Antiqua" w:cs="宋体"/>
          <w:b/>
          <w:bCs/>
          <w:kern w:val="0"/>
          <w:sz w:val="24"/>
          <w:szCs w:val="24"/>
          <w:lang w:eastAsia="zh-CN"/>
        </w:rPr>
        <w:t>Hüttner S</w:t>
      </w:r>
      <w:r w:rsidRPr="00C10ABF">
        <w:rPr>
          <w:rFonts w:ascii="Book Antiqua" w:eastAsia="宋体" w:hAnsi="Book Antiqua" w:cs="宋体"/>
          <w:kern w:val="0"/>
          <w:sz w:val="24"/>
          <w:szCs w:val="24"/>
          <w:lang w:eastAsia="zh-CN"/>
        </w:rPr>
        <w:t>, Graefe-Mody EU, Withopf B, Ring A, Dugi KA. Safety, tolerability, pharmacokinetics, and pharmacodynamics of single oral doses of BI 1356, an inhibitor of dipeptidyl peptidase 4, in healthy male volunteers. </w:t>
      </w:r>
      <w:r w:rsidRPr="00C10ABF">
        <w:rPr>
          <w:rFonts w:ascii="Book Antiqua" w:eastAsia="宋体" w:hAnsi="Book Antiqua" w:cs="宋体"/>
          <w:i/>
          <w:iCs/>
          <w:kern w:val="0"/>
          <w:sz w:val="24"/>
          <w:szCs w:val="24"/>
          <w:lang w:eastAsia="zh-CN"/>
        </w:rPr>
        <w:t>J Clin Pharmacol</w:t>
      </w:r>
      <w:r w:rsidRPr="00C10ABF">
        <w:rPr>
          <w:rFonts w:ascii="Book Antiqua" w:eastAsia="宋体" w:hAnsi="Book Antiqua" w:cs="宋体"/>
          <w:kern w:val="0"/>
          <w:sz w:val="24"/>
          <w:szCs w:val="24"/>
          <w:lang w:eastAsia="zh-CN"/>
        </w:rPr>
        <w:t> 2008; </w:t>
      </w:r>
      <w:r w:rsidRPr="00C10ABF">
        <w:rPr>
          <w:rFonts w:ascii="Book Antiqua" w:eastAsia="宋体" w:hAnsi="Book Antiqua" w:cs="宋体"/>
          <w:b/>
          <w:bCs/>
          <w:kern w:val="0"/>
          <w:sz w:val="24"/>
          <w:szCs w:val="24"/>
          <w:lang w:eastAsia="zh-CN"/>
        </w:rPr>
        <w:t>48</w:t>
      </w:r>
      <w:r w:rsidRPr="00C10ABF">
        <w:rPr>
          <w:rFonts w:ascii="Book Antiqua" w:eastAsia="宋体" w:hAnsi="Book Antiqua" w:cs="宋体"/>
          <w:kern w:val="0"/>
          <w:sz w:val="24"/>
          <w:szCs w:val="24"/>
          <w:lang w:eastAsia="zh-CN"/>
        </w:rPr>
        <w:t>: 1171-1178 [PMID: 18812608 DOI: 10.1177/0091270008323753]</w:t>
      </w:r>
    </w:p>
    <w:p w:rsidR="0001465D" w:rsidRPr="00C10ABF" w:rsidRDefault="0001465D" w:rsidP="00C10ABF">
      <w:pPr>
        <w:snapToGrid w:val="0"/>
        <w:spacing w:line="360" w:lineRule="auto"/>
        <w:ind w:leftChars="-29" w:left="-61"/>
        <w:rPr>
          <w:rFonts w:ascii="Book Antiqua" w:eastAsia="宋体" w:hAnsi="Book Antiqua"/>
          <w:sz w:val="24"/>
          <w:szCs w:val="24"/>
          <w:lang w:eastAsia="zh-CN"/>
        </w:rPr>
      </w:pPr>
      <w:r w:rsidRPr="00C10ABF">
        <w:rPr>
          <w:rFonts w:ascii="Book Antiqua" w:eastAsia="宋体" w:hAnsi="Book Antiqua" w:cs="宋体"/>
          <w:kern w:val="0"/>
          <w:sz w:val="24"/>
          <w:szCs w:val="24"/>
          <w:lang w:eastAsia="zh-CN"/>
        </w:rPr>
        <w:t xml:space="preserve">42 </w:t>
      </w:r>
      <w:r w:rsidRPr="00C10ABF">
        <w:rPr>
          <w:rFonts w:ascii="Book Antiqua" w:hAnsi="Book Antiqua"/>
          <w:b/>
          <w:sz w:val="24"/>
          <w:szCs w:val="24"/>
        </w:rPr>
        <w:t>Mitsubishi Tanabe Pharma Corporation</w:t>
      </w:r>
      <w:r w:rsidRPr="00C10ABF">
        <w:rPr>
          <w:rFonts w:ascii="Book Antiqua" w:hAnsi="Book Antiqua"/>
          <w:sz w:val="24"/>
          <w:szCs w:val="24"/>
        </w:rPr>
        <w:t>. TENELIA</w:t>
      </w:r>
      <w:r w:rsidRPr="00C10ABF">
        <w:rPr>
          <w:rFonts w:ascii="Book Antiqua" w:hAnsi="Book Antiqua"/>
          <w:sz w:val="24"/>
          <w:szCs w:val="24"/>
          <w:vertAlign w:val="superscript"/>
        </w:rPr>
        <w:t>®</w:t>
      </w:r>
      <w:r w:rsidRPr="00C10ABF">
        <w:rPr>
          <w:rFonts w:ascii="Book Antiqua" w:hAnsi="Book Antiqua"/>
          <w:sz w:val="24"/>
          <w:szCs w:val="24"/>
        </w:rPr>
        <w:t xml:space="preserve"> (teneligliptin) tablets</w:t>
      </w:r>
      <w:r w:rsidRPr="00C10ABF">
        <w:rPr>
          <w:rFonts w:ascii="Book Antiqua" w:eastAsia="宋体" w:hAnsi="Book Antiqua"/>
          <w:sz w:val="24"/>
          <w:szCs w:val="24"/>
          <w:lang w:eastAsia="zh-CN"/>
        </w:rPr>
        <w:t>.</w:t>
      </w:r>
      <w:r w:rsidRPr="00C10ABF">
        <w:rPr>
          <w:rFonts w:ascii="Book Antiqua" w:hAnsi="Book Antiqua"/>
          <w:sz w:val="24"/>
          <w:szCs w:val="24"/>
        </w:rPr>
        <w:t xml:space="preserve"> Available from: URL: http://di.mt-pharma.co.jp/file/dc/tnl.pdf</w:t>
      </w:r>
    </w:p>
    <w:p w:rsidR="0001465D" w:rsidRPr="00C10ABF" w:rsidRDefault="0001465D" w:rsidP="00C10ABF">
      <w:pPr>
        <w:wordWrap w:val="0"/>
        <w:spacing w:line="360" w:lineRule="auto"/>
        <w:ind w:rightChars="50" w:right="105"/>
        <w:rPr>
          <w:rFonts w:ascii="Book Antiqua" w:eastAsia="宋体" w:hAnsi="Book Antiqua"/>
          <w:sz w:val="24"/>
          <w:szCs w:val="24"/>
          <w:lang w:eastAsia="zh-CN"/>
        </w:rPr>
      </w:pPr>
      <w:r w:rsidRPr="00C10ABF">
        <w:rPr>
          <w:rFonts w:ascii="Book Antiqua" w:eastAsia="宋体" w:hAnsi="Book Antiqua" w:cs="宋体"/>
          <w:kern w:val="0"/>
          <w:sz w:val="24"/>
          <w:szCs w:val="24"/>
          <w:lang w:eastAsia="zh-CN"/>
        </w:rPr>
        <w:t xml:space="preserve">43 </w:t>
      </w:r>
      <w:r w:rsidRPr="00C10ABF">
        <w:rPr>
          <w:rFonts w:ascii="Book Antiqua" w:hAnsi="Book Antiqua"/>
          <w:b/>
          <w:sz w:val="24"/>
          <w:szCs w:val="24"/>
        </w:rPr>
        <w:t>Sanwa Kagaku Kenkyusho Co., Ltd</w:t>
      </w:r>
      <w:r w:rsidRPr="00C10ABF">
        <w:rPr>
          <w:rFonts w:ascii="Book Antiqua" w:hAnsi="Book Antiqua"/>
          <w:sz w:val="24"/>
          <w:szCs w:val="24"/>
        </w:rPr>
        <w:t>. SUINY</w:t>
      </w:r>
      <w:r w:rsidRPr="00C10ABF">
        <w:rPr>
          <w:rFonts w:ascii="Book Antiqua" w:hAnsi="Book Antiqua"/>
          <w:sz w:val="24"/>
          <w:szCs w:val="24"/>
          <w:vertAlign w:val="superscript"/>
        </w:rPr>
        <w:t>®</w:t>
      </w:r>
      <w:r w:rsidRPr="00C10ABF">
        <w:rPr>
          <w:rFonts w:ascii="Book Antiqua" w:hAnsi="Book Antiqua"/>
          <w:sz w:val="24"/>
          <w:szCs w:val="24"/>
        </w:rPr>
        <w:t xml:space="preserve"> (analigliptin) tablets</w:t>
      </w:r>
      <w:r w:rsidRPr="00C10ABF">
        <w:rPr>
          <w:rFonts w:ascii="Book Antiqua" w:eastAsia="宋体" w:hAnsi="Book Antiqua"/>
          <w:sz w:val="24"/>
          <w:szCs w:val="24"/>
          <w:lang w:eastAsia="zh-CN"/>
        </w:rPr>
        <w:t xml:space="preserve">. </w:t>
      </w:r>
      <w:r w:rsidRPr="00C10ABF">
        <w:rPr>
          <w:rFonts w:ascii="Book Antiqua" w:hAnsi="Book Antiqua" w:cs="宋体"/>
          <w:kern w:val="0"/>
          <w:sz w:val="24"/>
          <w:szCs w:val="24"/>
        </w:rPr>
        <w:t>Available</w:t>
      </w:r>
      <w:r w:rsidR="0037272C">
        <w:rPr>
          <w:rFonts w:ascii="Book Antiqua" w:hAnsi="Book Antiqua" w:cs="宋体"/>
          <w:kern w:val="0"/>
          <w:sz w:val="24"/>
          <w:szCs w:val="24"/>
        </w:rPr>
        <w:t xml:space="preserve"> </w:t>
      </w:r>
      <w:bookmarkStart w:id="9" w:name="_GoBack"/>
      <w:bookmarkEnd w:id="9"/>
      <w:r w:rsidRPr="00C10ABF">
        <w:rPr>
          <w:rFonts w:ascii="Book Antiqua" w:hAnsi="Book Antiqua" w:cs="宋体"/>
          <w:kern w:val="0"/>
          <w:sz w:val="24"/>
          <w:szCs w:val="24"/>
        </w:rPr>
        <w:t>from: URL:</w:t>
      </w:r>
      <w:r w:rsidRPr="00C10ABF">
        <w:rPr>
          <w:rFonts w:ascii="Book Antiqua" w:hAnsi="Book Antiqua"/>
          <w:sz w:val="24"/>
          <w:szCs w:val="24"/>
        </w:rPr>
        <w:t xml:space="preserve"> http://med.skk-net.com/resources/show?colum=refference_files&amp;field=doc_mng&amp;num=1&amp;thread_id=62130fa3-64ac-4128-94be-ea451bdb930e</w:t>
      </w:r>
    </w:p>
    <w:p w:rsidR="0001465D" w:rsidRPr="00C10ABF" w:rsidRDefault="0001465D" w:rsidP="00C10ABF">
      <w:pPr>
        <w:wordWrap w:val="0"/>
        <w:spacing w:line="360" w:lineRule="auto"/>
        <w:ind w:rightChars="50" w:right="105"/>
        <w:rPr>
          <w:rFonts w:ascii="Book Antiqua" w:hAnsi="Book Antiqua"/>
          <w:sz w:val="24"/>
          <w:szCs w:val="24"/>
        </w:rPr>
      </w:pPr>
      <w:r w:rsidRPr="00C10ABF">
        <w:rPr>
          <w:rFonts w:ascii="Book Antiqua" w:eastAsia="宋体" w:hAnsi="Book Antiqua" w:cs="宋体"/>
          <w:kern w:val="0"/>
          <w:sz w:val="24"/>
          <w:szCs w:val="24"/>
          <w:lang w:eastAsia="zh-CN"/>
        </w:rPr>
        <w:t xml:space="preserve">44 </w:t>
      </w:r>
      <w:r w:rsidRPr="00C10ABF">
        <w:rPr>
          <w:rFonts w:ascii="Book Antiqua" w:hAnsi="Book Antiqua"/>
          <w:b/>
          <w:sz w:val="24"/>
          <w:szCs w:val="24"/>
        </w:rPr>
        <w:t>AstraZeneca Pharmaceuticals LP Company</w:t>
      </w:r>
      <w:r w:rsidRPr="00C10ABF">
        <w:rPr>
          <w:rFonts w:ascii="Book Antiqua" w:hAnsi="Book Antiqua"/>
          <w:sz w:val="24"/>
          <w:szCs w:val="24"/>
        </w:rPr>
        <w:t>. ONGLYZA</w:t>
      </w:r>
      <w:r w:rsidRPr="00C10ABF">
        <w:rPr>
          <w:rFonts w:ascii="Book Antiqua" w:hAnsi="Book Antiqua"/>
          <w:sz w:val="24"/>
          <w:szCs w:val="24"/>
          <w:vertAlign w:val="superscript"/>
        </w:rPr>
        <w:t>®</w:t>
      </w:r>
      <w:r w:rsidRPr="00C10ABF">
        <w:rPr>
          <w:rFonts w:ascii="Book Antiqua" w:hAnsi="Book Antiqua"/>
          <w:sz w:val="24"/>
          <w:szCs w:val="24"/>
        </w:rPr>
        <w:t xml:space="preserve"> (saxagliptin) tablets</w:t>
      </w:r>
      <w:r w:rsidRPr="00C10ABF">
        <w:rPr>
          <w:rFonts w:ascii="Book Antiqua" w:eastAsia="宋体" w:hAnsi="Book Antiqua"/>
          <w:sz w:val="24"/>
          <w:szCs w:val="24"/>
          <w:lang w:eastAsia="zh-CN"/>
        </w:rPr>
        <w:t>.</w:t>
      </w:r>
      <w:r w:rsidR="0037272C">
        <w:rPr>
          <w:rFonts w:ascii="Book Antiqua" w:eastAsia="宋体" w:hAnsi="Book Antiqua"/>
          <w:sz w:val="24"/>
          <w:szCs w:val="24"/>
          <w:lang w:eastAsia="zh-CN"/>
        </w:rPr>
        <w:t xml:space="preserve"> </w:t>
      </w:r>
      <w:r w:rsidRPr="00C10ABF">
        <w:rPr>
          <w:rFonts w:ascii="Book Antiqua" w:hAnsi="Book Antiqua" w:cs="宋体"/>
          <w:kern w:val="0"/>
          <w:sz w:val="24"/>
          <w:szCs w:val="24"/>
        </w:rPr>
        <w:t>Available from: URL:</w:t>
      </w:r>
      <w:r w:rsidRPr="00C10ABF">
        <w:rPr>
          <w:rFonts w:ascii="Book Antiqua" w:eastAsia="宋体" w:hAnsi="Book Antiqua" w:cs="宋体"/>
          <w:kern w:val="0"/>
          <w:sz w:val="24"/>
          <w:szCs w:val="24"/>
          <w:lang w:eastAsia="zh-CN"/>
        </w:rPr>
        <w:t xml:space="preserve"> </w:t>
      </w:r>
      <w:r w:rsidRPr="00C10ABF">
        <w:rPr>
          <w:rFonts w:ascii="Book Antiqua" w:hAnsi="Book Antiqua"/>
          <w:sz w:val="24"/>
          <w:szCs w:val="24"/>
        </w:rPr>
        <w:t>http://www1.astrazeneca-us.com/pi/pi_onglyza.pdf#page=1</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45 </w:t>
      </w:r>
      <w:r w:rsidRPr="00C10ABF">
        <w:rPr>
          <w:rFonts w:ascii="Book Antiqua" w:eastAsia="宋体" w:hAnsi="Book Antiqua" w:cs="宋体"/>
          <w:b/>
          <w:bCs/>
          <w:kern w:val="0"/>
          <w:sz w:val="24"/>
          <w:szCs w:val="24"/>
          <w:lang w:eastAsia="zh-CN"/>
        </w:rPr>
        <w:t>Boulton DW</w:t>
      </w:r>
      <w:r w:rsidRPr="00C10ABF">
        <w:rPr>
          <w:rFonts w:ascii="Book Antiqua" w:eastAsia="宋体" w:hAnsi="Book Antiqua" w:cs="宋体"/>
          <w:kern w:val="0"/>
          <w:sz w:val="24"/>
          <w:szCs w:val="24"/>
          <w:lang w:eastAsia="zh-CN"/>
        </w:rPr>
        <w:t>, Li L, Frevert EU, Tang A, Castaneda L, Vachharajani NN, Kornhauser DM, Patel CG. Influence of renal or hepatic impairment on the pharmacokinetics of saxagliptin. </w:t>
      </w:r>
      <w:r w:rsidRPr="00C10ABF">
        <w:rPr>
          <w:rFonts w:ascii="Book Antiqua" w:eastAsia="宋体" w:hAnsi="Book Antiqua" w:cs="宋体"/>
          <w:i/>
          <w:iCs/>
          <w:kern w:val="0"/>
          <w:sz w:val="24"/>
          <w:szCs w:val="24"/>
          <w:lang w:eastAsia="zh-CN"/>
        </w:rPr>
        <w:t>Clin Pharmacokinet</w:t>
      </w:r>
      <w:r w:rsidRPr="00C10ABF">
        <w:rPr>
          <w:rFonts w:ascii="Book Antiqua" w:eastAsia="宋体" w:hAnsi="Book Antiqua" w:cs="宋体"/>
          <w:kern w:val="0"/>
          <w:sz w:val="24"/>
          <w:szCs w:val="24"/>
          <w:lang w:eastAsia="zh-CN"/>
        </w:rPr>
        <w:t> 2011; </w:t>
      </w:r>
      <w:r w:rsidRPr="00C10ABF">
        <w:rPr>
          <w:rFonts w:ascii="Book Antiqua" w:eastAsia="宋体" w:hAnsi="Book Antiqua" w:cs="宋体"/>
          <w:b/>
          <w:bCs/>
          <w:kern w:val="0"/>
          <w:sz w:val="24"/>
          <w:szCs w:val="24"/>
          <w:lang w:eastAsia="zh-CN"/>
        </w:rPr>
        <w:t>50</w:t>
      </w:r>
      <w:r w:rsidRPr="00C10ABF">
        <w:rPr>
          <w:rFonts w:ascii="Book Antiqua" w:eastAsia="宋体" w:hAnsi="Book Antiqua" w:cs="宋体"/>
          <w:kern w:val="0"/>
          <w:sz w:val="24"/>
          <w:szCs w:val="24"/>
          <w:lang w:eastAsia="zh-CN"/>
        </w:rPr>
        <w:t>: 253-265 [PMID: 21348538 DOI: 10.2165/11584350-000000000-00000]</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46 </w:t>
      </w:r>
      <w:r w:rsidRPr="00C10ABF">
        <w:rPr>
          <w:rFonts w:ascii="Book Antiqua" w:eastAsia="宋体" w:hAnsi="Book Antiqua" w:cs="宋体"/>
          <w:b/>
          <w:bCs/>
          <w:kern w:val="0"/>
          <w:sz w:val="24"/>
          <w:szCs w:val="24"/>
          <w:lang w:eastAsia="zh-CN"/>
        </w:rPr>
        <w:t>Abe M</w:t>
      </w:r>
      <w:r w:rsidRPr="00C10ABF">
        <w:rPr>
          <w:rFonts w:ascii="Book Antiqua" w:eastAsia="宋体" w:hAnsi="Book Antiqua" w:cs="宋体"/>
          <w:kern w:val="0"/>
          <w:sz w:val="24"/>
          <w:szCs w:val="24"/>
          <w:lang w:eastAsia="zh-CN"/>
        </w:rPr>
        <w:t>, Okada K, Soma M. Antidiabetic agents in patients with chronic kidney disease and end-stage renal disease on dialysis: metabolism and clinical practice. </w:t>
      </w:r>
      <w:r w:rsidRPr="00C10ABF">
        <w:rPr>
          <w:rFonts w:ascii="Book Antiqua" w:eastAsia="宋体" w:hAnsi="Book Antiqua" w:cs="宋体"/>
          <w:i/>
          <w:iCs/>
          <w:kern w:val="0"/>
          <w:sz w:val="24"/>
          <w:szCs w:val="24"/>
          <w:lang w:eastAsia="zh-CN"/>
        </w:rPr>
        <w:t>Curr Drug Metab</w:t>
      </w:r>
      <w:r w:rsidRPr="00C10ABF">
        <w:rPr>
          <w:rFonts w:ascii="Book Antiqua" w:eastAsia="宋体" w:hAnsi="Book Antiqua" w:cs="宋体"/>
          <w:kern w:val="0"/>
          <w:sz w:val="24"/>
          <w:szCs w:val="24"/>
          <w:lang w:eastAsia="zh-CN"/>
        </w:rPr>
        <w:t> 2011; </w:t>
      </w:r>
      <w:r w:rsidRPr="00C10ABF">
        <w:rPr>
          <w:rFonts w:ascii="Book Antiqua" w:eastAsia="宋体" w:hAnsi="Book Antiqua" w:cs="宋体"/>
          <w:b/>
          <w:bCs/>
          <w:kern w:val="0"/>
          <w:sz w:val="24"/>
          <w:szCs w:val="24"/>
          <w:lang w:eastAsia="zh-CN"/>
        </w:rPr>
        <w:t>12</w:t>
      </w:r>
      <w:r w:rsidRPr="00C10ABF">
        <w:rPr>
          <w:rFonts w:ascii="Book Antiqua" w:eastAsia="宋体" w:hAnsi="Book Antiqua" w:cs="宋体"/>
          <w:kern w:val="0"/>
          <w:sz w:val="24"/>
          <w:szCs w:val="24"/>
          <w:lang w:eastAsia="zh-CN"/>
        </w:rPr>
        <w:t>: 57-69 [PMID: 21303332]</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47 </w:t>
      </w:r>
      <w:r w:rsidRPr="00C10ABF">
        <w:rPr>
          <w:rFonts w:ascii="Book Antiqua" w:eastAsia="宋体" w:hAnsi="Book Antiqua" w:cs="宋体"/>
          <w:b/>
          <w:bCs/>
          <w:kern w:val="0"/>
          <w:sz w:val="24"/>
          <w:szCs w:val="24"/>
          <w:lang w:eastAsia="zh-CN"/>
        </w:rPr>
        <w:t>Arnouts P</w:t>
      </w:r>
      <w:r w:rsidRPr="00C10ABF">
        <w:rPr>
          <w:rFonts w:ascii="Book Antiqua" w:eastAsia="宋体" w:hAnsi="Book Antiqua" w:cs="宋体"/>
          <w:kern w:val="0"/>
          <w:sz w:val="24"/>
          <w:szCs w:val="24"/>
          <w:lang w:eastAsia="zh-CN"/>
        </w:rPr>
        <w:t>, Bolignano D, Nistor I, Bilo H, Gnudi L, Heaf J, van Biesen W. Glucose-lowering drugs in patients with chronic kidney disease: a narrative review on pharmacokinetic properties. </w:t>
      </w:r>
      <w:r w:rsidRPr="00C10ABF">
        <w:rPr>
          <w:rFonts w:ascii="Book Antiqua" w:eastAsia="宋体" w:hAnsi="Book Antiqua" w:cs="宋体"/>
          <w:i/>
          <w:iCs/>
          <w:kern w:val="0"/>
          <w:sz w:val="24"/>
          <w:szCs w:val="24"/>
          <w:lang w:eastAsia="zh-CN"/>
        </w:rPr>
        <w:t>Nephrol Dial Transplant</w:t>
      </w:r>
      <w:r w:rsidRPr="00C10ABF">
        <w:rPr>
          <w:rFonts w:ascii="Book Antiqua" w:eastAsia="宋体" w:hAnsi="Book Antiqua" w:cs="宋体"/>
          <w:kern w:val="0"/>
          <w:sz w:val="24"/>
          <w:szCs w:val="24"/>
          <w:lang w:eastAsia="zh-CN"/>
        </w:rPr>
        <w:t> 2014; </w:t>
      </w:r>
      <w:r w:rsidRPr="00C10ABF">
        <w:rPr>
          <w:rFonts w:ascii="Book Antiqua" w:eastAsia="宋体" w:hAnsi="Book Antiqua" w:cs="宋体"/>
          <w:b/>
          <w:bCs/>
          <w:kern w:val="0"/>
          <w:sz w:val="24"/>
          <w:szCs w:val="24"/>
          <w:lang w:eastAsia="zh-CN"/>
        </w:rPr>
        <w:t>29</w:t>
      </w:r>
      <w:r w:rsidRPr="00C10ABF">
        <w:rPr>
          <w:rFonts w:ascii="Book Antiqua" w:eastAsia="宋体" w:hAnsi="Book Antiqua" w:cs="宋体"/>
          <w:kern w:val="0"/>
          <w:sz w:val="24"/>
          <w:szCs w:val="24"/>
          <w:lang w:eastAsia="zh-CN"/>
        </w:rPr>
        <w:t>: 1284-1300 [PMID: 24322578 DOI: 10.1093/ndt/gft462]</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48 </w:t>
      </w:r>
      <w:r w:rsidRPr="00C10ABF">
        <w:rPr>
          <w:rFonts w:ascii="Book Antiqua" w:eastAsia="宋体" w:hAnsi="Book Antiqua" w:cs="宋体"/>
          <w:b/>
          <w:bCs/>
          <w:kern w:val="0"/>
          <w:sz w:val="24"/>
          <w:szCs w:val="24"/>
          <w:lang w:eastAsia="zh-CN"/>
        </w:rPr>
        <w:t>Charpentier G</w:t>
      </w:r>
      <w:r w:rsidRPr="00C10ABF">
        <w:rPr>
          <w:rFonts w:ascii="Book Antiqua" w:eastAsia="宋体" w:hAnsi="Book Antiqua" w:cs="宋体"/>
          <w:kern w:val="0"/>
          <w:sz w:val="24"/>
          <w:szCs w:val="24"/>
          <w:lang w:eastAsia="zh-CN"/>
        </w:rPr>
        <w:t>, Riveline JP, Varroud-Vial M. Management of drugs affecting blood glucose in diabetic patients with renal failure. </w:t>
      </w:r>
      <w:r w:rsidRPr="00C10ABF">
        <w:rPr>
          <w:rFonts w:ascii="Book Antiqua" w:eastAsia="宋体" w:hAnsi="Book Antiqua" w:cs="宋体"/>
          <w:i/>
          <w:iCs/>
          <w:kern w:val="0"/>
          <w:sz w:val="24"/>
          <w:szCs w:val="24"/>
          <w:lang w:eastAsia="zh-CN"/>
        </w:rPr>
        <w:t>Diabetes Metab</w:t>
      </w:r>
      <w:r w:rsidRPr="00C10ABF">
        <w:rPr>
          <w:rFonts w:ascii="Book Antiqua" w:eastAsia="宋体" w:hAnsi="Book Antiqua" w:cs="宋体"/>
          <w:kern w:val="0"/>
          <w:sz w:val="24"/>
          <w:szCs w:val="24"/>
          <w:lang w:eastAsia="zh-CN"/>
        </w:rPr>
        <w:t> 2000; </w:t>
      </w:r>
      <w:r w:rsidRPr="00C10ABF">
        <w:rPr>
          <w:rFonts w:ascii="Book Antiqua" w:eastAsia="宋体" w:hAnsi="Book Antiqua" w:cs="宋体"/>
          <w:b/>
          <w:bCs/>
          <w:kern w:val="0"/>
          <w:sz w:val="24"/>
          <w:szCs w:val="24"/>
          <w:lang w:eastAsia="zh-CN"/>
        </w:rPr>
        <w:t xml:space="preserve">26 </w:t>
      </w:r>
      <w:r w:rsidRPr="00C10ABF">
        <w:rPr>
          <w:rFonts w:ascii="Book Antiqua" w:eastAsia="宋体" w:hAnsi="Book Antiqua" w:cs="宋体"/>
          <w:bCs/>
          <w:kern w:val="0"/>
          <w:sz w:val="24"/>
          <w:szCs w:val="24"/>
          <w:lang w:eastAsia="zh-CN"/>
        </w:rPr>
        <w:t>Suppl 4</w:t>
      </w:r>
      <w:r w:rsidRPr="00C10ABF">
        <w:rPr>
          <w:rFonts w:ascii="Book Antiqua" w:eastAsia="宋体" w:hAnsi="Book Antiqua" w:cs="宋体"/>
          <w:kern w:val="0"/>
          <w:sz w:val="24"/>
          <w:szCs w:val="24"/>
          <w:lang w:eastAsia="zh-CN"/>
        </w:rPr>
        <w:t>: 73-85 [PMID: 10922977]</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49 </w:t>
      </w:r>
      <w:r w:rsidRPr="00C10ABF">
        <w:rPr>
          <w:rFonts w:ascii="Book Antiqua" w:eastAsia="宋体" w:hAnsi="Book Antiqua" w:cs="宋体"/>
          <w:b/>
          <w:bCs/>
          <w:kern w:val="0"/>
          <w:sz w:val="24"/>
          <w:szCs w:val="24"/>
          <w:lang w:eastAsia="zh-CN"/>
        </w:rPr>
        <w:t>Balant L</w:t>
      </w:r>
      <w:r w:rsidRPr="00C10ABF">
        <w:rPr>
          <w:rFonts w:ascii="Book Antiqua" w:eastAsia="宋体" w:hAnsi="Book Antiqua" w:cs="宋体"/>
          <w:kern w:val="0"/>
          <w:sz w:val="24"/>
          <w:szCs w:val="24"/>
          <w:lang w:eastAsia="zh-CN"/>
        </w:rPr>
        <w:t>, Zahnd G, Gorgia A, Schwarz R, Fabre J. Pharmacokinetics of glipizide in man: influence of renal insufficiency. </w:t>
      </w:r>
      <w:r w:rsidRPr="00C10ABF">
        <w:rPr>
          <w:rFonts w:ascii="Book Antiqua" w:eastAsia="宋体" w:hAnsi="Book Antiqua" w:cs="宋体"/>
          <w:i/>
          <w:iCs/>
          <w:kern w:val="0"/>
          <w:sz w:val="24"/>
          <w:szCs w:val="24"/>
          <w:lang w:eastAsia="zh-CN"/>
        </w:rPr>
        <w:t>Diabetologia</w:t>
      </w:r>
      <w:r w:rsidRPr="00C10ABF">
        <w:rPr>
          <w:rFonts w:ascii="Book Antiqua" w:eastAsia="宋体" w:hAnsi="Book Antiqua" w:cs="宋体"/>
          <w:kern w:val="0"/>
          <w:sz w:val="24"/>
          <w:szCs w:val="24"/>
          <w:lang w:eastAsia="zh-CN"/>
        </w:rPr>
        <w:t> 1973; 331-338 [PMID: 4772979 DOI:</w:t>
      </w:r>
      <w:r w:rsidRPr="00C10ABF">
        <w:rPr>
          <w:rFonts w:ascii="Book Antiqua" w:hAnsi="Book Antiqua"/>
          <w:sz w:val="24"/>
          <w:szCs w:val="24"/>
        </w:rPr>
        <w:t xml:space="preserve"> </w:t>
      </w:r>
      <w:r w:rsidRPr="00C10ABF">
        <w:rPr>
          <w:rFonts w:ascii="Book Antiqua" w:hAnsi="Book Antiqua"/>
          <w:sz w:val="24"/>
          <w:szCs w:val="24"/>
          <w:shd w:val="clear" w:color="auto" w:fill="FFFFFF"/>
        </w:rPr>
        <w:t>10.1007/BF01218443</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50 </w:t>
      </w:r>
      <w:r w:rsidRPr="00C10ABF">
        <w:rPr>
          <w:rFonts w:ascii="Book Antiqua" w:eastAsia="宋体" w:hAnsi="Book Antiqua" w:cs="宋体"/>
          <w:b/>
          <w:bCs/>
          <w:kern w:val="0"/>
          <w:sz w:val="24"/>
          <w:szCs w:val="24"/>
          <w:lang w:eastAsia="zh-CN"/>
        </w:rPr>
        <w:t>Palmer KJ</w:t>
      </w:r>
      <w:r w:rsidRPr="00C10ABF">
        <w:rPr>
          <w:rFonts w:ascii="Book Antiqua" w:eastAsia="宋体" w:hAnsi="Book Antiqua" w:cs="宋体"/>
          <w:kern w:val="0"/>
          <w:sz w:val="24"/>
          <w:szCs w:val="24"/>
          <w:lang w:eastAsia="zh-CN"/>
        </w:rPr>
        <w:t>, Brogden RN. Gliclazide. An update of its pharmacological properties and therapeutic efficacy in non-insulin-dependent diabetes mellitus. </w:t>
      </w:r>
      <w:r w:rsidRPr="00C10ABF">
        <w:rPr>
          <w:rFonts w:ascii="Book Antiqua" w:eastAsia="宋体" w:hAnsi="Book Antiqua" w:cs="宋体"/>
          <w:i/>
          <w:iCs/>
          <w:kern w:val="0"/>
          <w:sz w:val="24"/>
          <w:szCs w:val="24"/>
          <w:lang w:eastAsia="zh-CN"/>
        </w:rPr>
        <w:t>Drugs</w:t>
      </w:r>
      <w:r w:rsidRPr="00C10ABF">
        <w:rPr>
          <w:rFonts w:ascii="Book Antiqua" w:eastAsia="宋体" w:hAnsi="Book Antiqua" w:cs="宋体"/>
          <w:kern w:val="0"/>
          <w:sz w:val="24"/>
          <w:szCs w:val="24"/>
          <w:lang w:eastAsia="zh-CN"/>
        </w:rPr>
        <w:t> 1993; </w:t>
      </w:r>
      <w:r w:rsidRPr="00C10ABF">
        <w:rPr>
          <w:rFonts w:ascii="Book Antiqua" w:eastAsia="宋体" w:hAnsi="Book Antiqua" w:cs="宋体"/>
          <w:b/>
          <w:bCs/>
          <w:kern w:val="0"/>
          <w:sz w:val="24"/>
          <w:szCs w:val="24"/>
          <w:lang w:eastAsia="zh-CN"/>
        </w:rPr>
        <w:t>46</w:t>
      </w:r>
      <w:r w:rsidRPr="00C10ABF">
        <w:rPr>
          <w:rFonts w:ascii="Book Antiqua" w:eastAsia="宋体" w:hAnsi="Book Antiqua" w:cs="宋体"/>
          <w:kern w:val="0"/>
          <w:sz w:val="24"/>
          <w:szCs w:val="24"/>
          <w:lang w:eastAsia="zh-CN"/>
        </w:rPr>
        <w:t xml:space="preserve">: 92-125 [PMID: 7691511 DOI: </w:t>
      </w:r>
      <w:r w:rsidRPr="00C10ABF">
        <w:rPr>
          <w:rFonts w:ascii="Book Antiqua" w:hAnsi="Book Antiqua"/>
          <w:sz w:val="24"/>
          <w:szCs w:val="24"/>
          <w:shd w:val="clear" w:color="auto" w:fill="FFFFFF"/>
        </w:rPr>
        <w:t>10.2165/00003495-199346010-00007</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51 </w:t>
      </w:r>
      <w:r w:rsidRPr="00C10ABF">
        <w:rPr>
          <w:rFonts w:ascii="Book Antiqua" w:eastAsia="宋体" w:hAnsi="Book Antiqua" w:cs="宋体"/>
          <w:b/>
          <w:bCs/>
          <w:kern w:val="0"/>
          <w:sz w:val="24"/>
          <w:szCs w:val="24"/>
          <w:lang w:eastAsia="zh-CN"/>
        </w:rPr>
        <w:t>Harrower AD</w:t>
      </w:r>
      <w:r w:rsidRPr="00C10ABF">
        <w:rPr>
          <w:rFonts w:ascii="Book Antiqua" w:eastAsia="宋体" w:hAnsi="Book Antiqua" w:cs="宋体"/>
          <w:kern w:val="0"/>
          <w:sz w:val="24"/>
          <w:szCs w:val="24"/>
          <w:lang w:eastAsia="zh-CN"/>
        </w:rPr>
        <w:t>. Pharmacokinetics of oral antihyperglycaemic agents in patients with renal insufficiency. </w:t>
      </w:r>
      <w:r w:rsidRPr="00C10ABF">
        <w:rPr>
          <w:rFonts w:ascii="Book Antiqua" w:eastAsia="宋体" w:hAnsi="Book Antiqua" w:cs="宋体"/>
          <w:i/>
          <w:iCs/>
          <w:kern w:val="0"/>
          <w:sz w:val="24"/>
          <w:szCs w:val="24"/>
          <w:lang w:eastAsia="zh-CN"/>
        </w:rPr>
        <w:t>Clin Pharmacokinet</w:t>
      </w:r>
      <w:r w:rsidRPr="00C10ABF">
        <w:rPr>
          <w:rFonts w:ascii="Book Antiqua" w:eastAsia="宋体" w:hAnsi="Book Antiqua" w:cs="宋体"/>
          <w:kern w:val="0"/>
          <w:sz w:val="24"/>
          <w:szCs w:val="24"/>
          <w:lang w:eastAsia="zh-CN"/>
        </w:rPr>
        <w:t> 1996; </w:t>
      </w:r>
      <w:r w:rsidRPr="00C10ABF">
        <w:rPr>
          <w:rFonts w:ascii="Book Antiqua" w:eastAsia="宋体" w:hAnsi="Book Antiqua" w:cs="宋体"/>
          <w:b/>
          <w:bCs/>
          <w:kern w:val="0"/>
          <w:sz w:val="24"/>
          <w:szCs w:val="24"/>
          <w:lang w:eastAsia="zh-CN"/>
        </w:rPr>
        <w:t>31</w:t>
      </w:r>
      <w:r w:rsidRPr="00C10ABF">
        <w:rPr>
          <w:rFonts w:ascii="Book Antiqua" w:eastAsia="宋体" w:hAnsi="Book Antiqua" w:cs="宋体"/>
          <w:kern w:val="0"/>
          <w:sz w:val="24"/>
          <w:szCs w:val="24"/>
          <w:lang w:eastAsia="zh-CN"/>
        </w:rPr>
        <w:t xml:space="preserve">: 111-119 [PMID: 8853933 DOI: </w:t>
      </w:r>
      <w:r w:rsidRPr="00C10ABF">
        <w:rPr>
          <w:rFonts w:ascii="Book Antiqua" w:hAnsi="Book Antiqua"/>
          <w:sz w:val="24"/>
          <w:szCs w:val="24"/>
          <w:shd w:val="clear" w:color="auto" w:fill="FFFFFF"/>
        </w:rPr>
        <w:t>10.2165/00003088-199631020-00003</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52 </w:t>
      </w:r>
      <w:r w:rsidRPr="00C10ABF">
        <w:rPr>
          <w:rFonts w:ascii="Book Antiqua" w:eastAsia="宋体" w:hAnsi="Book Antiqua" w:cs="宋体"/>
          <w:b/>
          <w:bCs/>
          <w:kern w:val="0"/>
          <w:sz w:val="24"/>
          <w:szCs w:val="24"/>
          <w:lang w:eastAsia="zh-CN"/>
        </w:rPr>
        <w:t>Campbell DB</w:t>
      </w:r>
      <w:r w:rsidRPr="00C10ABF">
        <w:rPr>
          <w:rFonts w:ascii="Book Antiqua" w:eastAsia="宋体" w:hAnsi="Book Antiqua" w:cs="宋体"/>
          <w:kern w:val="0"/>
          <w:sz w:val="24"/>
          <w:szCs w:val="24"/>
          <w:lang w:eastAsia="zh-CN"/>
        </w:rPr>
        <w:t>, Lavielle R, Nathan C. The mode of action and clinical pharmacology of gliclazide: a review. </w:t>
      </w:r>
      <w:r w:rsidRPr="00C10ABF">
        <w:rPr>
          <w:rFonts w:ascii="Book Antiqua" w:eastAsia="宋体" w:hAnsi="Book Antiqua" w:cs="宋体"/>
          <w:i/>
          <w:iCs/>
          <w:kern w:val="0"/>
          <w:sz w:val="24"/>
          <w:szCs w:val="24"/>
          <w:lang w:eastAsia="zh-CN"/>
        </w:rPr>
        <w:t>Diabetes Res Clin Pract</w:t>
      </w:r>
      <w:r w:rsidRPr="00C10ABF">
        <w:rPr>
          <w:rFonts w:ascii="Book Antiqua" w:eastAsia="宋体" w:hAnsi="Book Antiqua" w:cs="宋体"/>
          <w:kern w:val="0"/>
          <w:sz w:val="24"/>
          <w:szCs w:val="24"/>
          <w:lang w:eastAsia="zh-CN"/>
        </w:rPr>
        <w:t> 1991; </w:t>
      </w:r>
      <w:r w:rsidRPr="00C10ABF">
        <w:rPr>
          <w:rFonts w:ascii="Book Antiqua" w:eastAsia="宋体" w:hAnsi="Book Antiqua" w:cs="宋体"/>
          <w:b/>
          <w:bCs/>
          <w:kern w:val="0"/>
          <w:sz w:val="24"/>
          <w:szCs w:val="24"/>
          <w:lang w:eastAsia="zh-CN"/>
        </w:rPr>
        <w:t xml:space="preserve">14 </w:t>
      </w:r>
      <w:r w:rsidRPr="00C10ABF">
        <w:rPr>
          <w:rFonts w:ascii="Book Antiqua" w:eastAsia="宋体" w:hAnsi="Book Antiqua" w:cs="宋体"/>
          <w:bCs/>
          <w:kern w:val="0"/>
          <w:sz w:val="24"/>
          <w:szCs w:val="24"/>
          <w:lang w:eastAsia="zh-CN"/>
        </w:rPr>
        <w:t>Suppl 2</w:t>
      </w:r>
      <w:r w:rsidRPr="00C10ABF">
        <w:rPr>
          <w:rFonts w:ascii="Book Antiqua" w:eastAsia="宋体" w:hAnsi="Book Antiqua" w:cs="宋体"/>
          <w:kern w:val="0"/>
          <w:sz w:val="24"/>
          <w:szCs w:val="24"/>
          <w:lang w:eastAsia="zh-CN"/>
        </w:rPr>
        <w:t xml:space="preserve">: S21-S36 [PMID: 1794262 DOI: </w:t>
      </w:r>
      <w:r w:rsidRPr="00C10ABF">
        <w:rPr>
          <w:rFonts w:ascii="Book Antiqua" w:hAnsi="Book Antiqua"/>
          <w:sz w:val="24"/>
          <w:szCs w:val="24"/>
          <w:shd w:val="clear" w:color="auto" w:fill="FFFFFF"/>
        </w:rPr>
        <w:t>10.1016/0168-8227(91)90005-X</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53 </w:t>
      </w:r>
      <w:r w:rsidRPr="00C10ABF">
        <w:rPr>
          <w:rFonts w:ascii="Book Antiqua" w:eastAsia="宋体" w:hAnsi="Book Antiqua" w:cs="宋体"/>
          <w:b/>
          <w:bCs/>
          <w:kern w:val="0"/>
          <w:sz w:val="24"/>
          <w:szCs w:val="24"/>
          <w:lang w:eastAsia="zh-CN"/>
        </w:rPr>
        <w:t>Marbury TC</w:t>
      </w:r>
      <w:r w:rsidRPr="00C10ABF">
        <w:rPr>
          <w:rFonts w:ascii="Book Antiqua" w:eastAsia="宋体" w:hAnsi="Book Antiqua" w:cs="宋体"/>
          <w:kern w:val="0"/>
          <w:sz w:val="24"/>
          <w:szCs w:val="24"/>
          <w:lang w:eastAsia="zh-CN"/>
        </w:rPr>
        <w:t>, Ruckle JL, Hatorp V, Andersen MP, Nielsen KK, Huang WC, Strange P. Pharmacokinetics of repaglinide in subjects with renal impairment. </w:t>
      </w:r>
      <w:r w:rsidRPr="00C10ABF">
        <w:rPr>
          <w:rFonts w:ascii="Book Antiqua" w:eastAsia="宋体" w:hAnsi="Book Antiqua" w:cs="宋体"/>
          <w:i/>
          <w:iCs/>
          <w:kern w:val="0"/>
          <w:sz w:val="24"/>
          <w:szCs w:val="24"/>
          <w:lang w:eastAsia="zh-CN"/>
        </w:rPr>
        <w:t>Clin Pharmacol Ther</w:t>
      </w:r>
      <w:r w:rsidRPr="00C10ABF">
        <w:rPr>
          <w:rFonts w:ascii="Book Antiqua" w:eastAsia="宋体" w:hAnsi="Book Antiqua" w:cs="宋体"/>
          <w:kern w:val="0"/>
          <w:sz w:val="24"/>
          <w:szCs w:val="24"/>
          <w:lang w:eastAsia="zh-CN"/>
        </w:rPr>
        <w:t> 2000; </w:t>
      </w:r>
      <w:r w:rsidRPr="00C10ABF">
        <w:rPr>
          <w:rFonts w:ascii="Book Antiqua" w:eastAsia="宋体" w:hAnsi="Book Antiqua" w:cs="宋体"/>
          <w:b/>
          <w:bCs/>
          <w:kern w:val="0"/>
          <w:sz w:val="24"/>
          <w:szCs w:val="24"/>
          <w:lang w:eastAsia="zh-CN"/>
        </w:rPr>
        <w:t>67</w:t>
      </w:r>
      <w:r w:rsidRPr="00C10ABF">
        <w:rPr>
          <w:rFonts w:ascii="Book Antiqua" w:eastAsia="宋体" w:hAnsi="Book Antiqua" w:cs="宋体"/>
          <w:kern w:val="0"/>
          <w:sz w:val="24"/>
          <w:szCs w:val="24"/>
          <w:lang w:eastAsia="zh-CN"/>
        </w:rPr>
        <w:t>: 7-15 [PMID: 10668848 DOI:</w:t>
      </w:r>
      <w:r w:rsidRPr="00C10ABF">
        <w:rPr>
          <w:rFonts w:ascii="Book Antiqua" w:hAnsi="Book Antiqua"/>
          <w:sz w:val="24"/>
          <w:szCs w:val="24"/>
        </w:rPr>
        <w:t xml:space="preserve"> </w:t>
      </w:r>
      <w:r w:rsidRPr="00C10ABF">
        <w:rPr>
          <w:rFonts w:ascii="Book Antiqua" w:hAnsi="Book Antiqua"/>
          <w:sz w:val="24"/>
          <w:szCs w:val="24"/>
          <w:shd w:val="clear" w:color="auto" w:fill="FFFFFF"/>
        </w:rPr>
        <w:t>10.1067/mcp.2000.103973</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54 </w:t>
      </w:r>
      <w:r w:rsidRPr="00C10ABF">
        <w:rPr>
          <w:rFonts w:ascii="Book Antiqua" w:eastAsia="宋体" w:hAnsi="Book Antiqua" w:cs="宋体"/>
          <w:b/>
          <w:bCs/>
          <w:kern w:val="0"/>
          <w:sz w:val="24"/>
          <w:szCs w:val="24"/>
          <w:lang w:eastAsia="zh-CN"/>
        </w:rPr>
        <w:t>Schumacher S</w:t>
      </w:r>
      <w:r w:rsidRPr="00C10ABF">
        <w:rPr>
          <w:rFonts w:ascii="Book Antiqua" w:eastAsia="宋体" w:hAnsi="Book Antiqua" w:cs="宋体"/>
          <w:kern w:val="0"/>
          <w:sz w:val="24"/>
          <w:szCs w:val="24"/>
          <w:lang w:eastAsia="zh-CN"/>
        </w:rPr>
        <w:t>, Abbasi I, Weise D, Hatorp V, Sattler K, Sieber J, Hasslacher C. Single- and multiple-dose pharmacokinetics of repaglinide in patients with type 2 diabetes and renal impairment. </w:t>
      </w:r>
      <w:r w:rsidRPr="00C10ABF">
        <w:rPr>
          <w:rFonts w:ascii="Book Antiqua" w:eastAsia="宋体" w:hAnsi="Book Antiqua" w:cs="宋体"/>
          <w:i/>
          <w:iCs/>
          <w:kern w:val="0"/>
          <w:sz w:val="24"/>
          <w:szCs w:val="24"/>
          <w:lang w:eastAsia="zh-CN"/>
        </w:rPr>
        <w:t>Eur J Clin Pharmacol</w:t>
      </w:r>
      <w:r w:rsidRPr="00C10ABF">
        <w:rPr>
          <w:rFonts w:ascii="Book Antiqua" w:eastAsia="宋体" w:hAnsi="Book Antiqua" w:cs="宋体"/>
          <w:kern w:val="0"/>
          <w:sz w:val="24"/>
          <w:szCs w:val="24"/>
          <w:lang w:eastAsia="zh-CN"/>
        </w:rPr>
        <w:t> 2001; </w:t>
      </w:r>
      <w:r w:rsidRPr="00C10ABF">
        <w:rPr>
          <w:rFonts w:ascii="Book Antiqua" w:eastAsia="宋体" w:hAnsi="Book Antiqua" w:cs="宋体"/>
          <w:b/>
          <w:bCs/>
          <w:kern w:val="0"/>
          <w:sz w:val="24"/>
          <w:szCs w:val="24"/>
          <w:lang w:eastAsia="zh-CN"/>
        </w:rPr>
        <w:t>57</w:t>
      </w:r>
      <w:r w:rsidRPr="00C10ABF">
        <w:rPr>
          <w:rFonts w:ascii="Book Antiqua" w:eastAsia="宋体" w:hAnsi="Book Antiqua" w:cs="宋体"/>
          <w:kern w:val="0"/>
          <w:sz w:val="24"/>
          <w:szCs w:val="24"/>
          <w:lang w:eastAsia="zh-CN"/>
        </w:rPr>
        <w:t xml:space="preserve">: 147-152 [PMID: 11417447 DOI: </w:t>
      </w:r>
      <w:r w:rsidRPr="00C10ABF">
        <w:rPr>
          <w:rFonts w:ascii="Book Antiqua" w:hAnsi="Book Antiqua"/>
          <w:sz w:val="24"/>
          <w:szCs w:val="24"/>
          <w:shd w:val="clear" w:color="auto" w:fill="FFFFFF"/>
        </w:rPr>
        <w:t>10.1007/s002280100280</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55 </w:t>
      </w:r>
      <w:r w:rsidRPr="00C10ABF">
        <w:rPr>
          <w:rFonts w:ascii="Book Antiqua" w:eastAsia="宋体" w:hAnsi="Book Antiqua" w:cs="宋体"/>
          <w:b/>
          <w:bCs/>
          <w:kern w:val="0"/>
          <w:sz w:val="24"/>
          <w:szCs w:val="24"/>
          <w:lang w:eastAsia="zh-CN"/>
        </w:rPr>
        <w:t>Hasslacher C</w:t>
      </w:r>
      <w:r w:rsidRPr="00C10ABF">
        <w:rPr>
          <w:rFonts w:ascii="Book Antiqua" w:eastAsia="宋体" w:hAnsi="Book Antiqua" w:cs="宋体"/>
          <w:bCs/>
          <w:kern w:val="0"/>
          <w:sz w:val="24"/>
          <w:szCs w:val="24"/>
          <w:lang w:eastAsia="zh-CN"/>
        </w:rPr>
        <w:t>;</w:t>
      </w:r>
      <w:r w:rsidRPr="00C10ABF">
        <w:rPr>
          <w:rFonts w:ascii="Book Antiqua" w:eastAsia="宋体" w:hAnsi="Book Antiqua" w:cs="宋体"/>
          <w:b/>
          <w:bCs/>
          <w:kern w:val="0"/>
          <w:sz w:val="24"/>
          <w:szCs w:val="24"/>
          <w:lang w:eastAsia="zh-CN"/>
        </w:rPr>
        <w:t xml:space="preserve"> </w:t>
      </w:r>
      <w:hyperlink r:id="rId9" w:history="1">
        <w:r w:rsidRPr="00C10ABF">
          <w:rPr>
            <w:rFonts w:ascii="Book Antiqua" w:eastAsia="宋体" w:hAnsi="Book Antiqua" w:cs="宋体"/>
            <w:kern w:val="0"/>
            <w:sz w:val="24"/>
            <w:szCs w:val="24"/>
            <w:lang w:eastAsia="zh-CN"/>
          </w:rPr>
          <w:t>Multinational Repaglinide Renal Study Group</w:t>
        </w:r>
      </w:hyperlink>
      <w:r w:rsidRPr="00C10ABF">
        <w:rPr>
          <w:rFonts w:ascii="Book Antiqua" w:eastAsia="宋体" w:hAnsi="Book Antiqua" w:cs="宋体"/>
          <w:kern w:val="0"/>
          <w:sz w:val="24"/>
          <w:szCs w:val="24"/>
          <w:lang w:eastAsia="zh-CN"/>
        </w:rPr>
        <w:t>. Safety and efficacy of repaglinide in type 2 diabetic patients with and without impaired renal function. </w:t>
      </w:r>
      <w:r w:rsidRPr="00C10ABF">
        <w:rPr>
          <w:rFonts w:ascii="Book Antiqua" w:eastAsia="宋体" w:hAnsi="Book Antiqua" w:cs="宋体"/>
          <w:i/>
          <w:iCs/>
          <w:kern w:val="0"/>
          <w:sz w:val="24"/>
          <w:szCs w:val="24"/>
          <w:lang w:eastAsia="zh-CN"/>
        </w:rPr>
        <w:t>Diabetes Care</w:t>
      </w:r>
      <w:r w:rsidRPr="00C10ABF">
        <w:rPr>
          <w:rFonts w:ascii="Book Antiqua" w:eastAsia="宋体" w:hAnsi="Book Antiqua" w:cs="宋体"/>
          <w:kern w:val="0"/>
          <w:sz w:val="24"/>
          <w:szCs w:val="24"/>
          <w:lang w:eastAsia="zh-CN"/>
        </w:rPr>
        <w:t> 2003; </w:t>
      </w:r>
      <w:r w:rsidRPr="00C10ABF">
        <w:rPr>
          <w:rFonts w:ascii="Book Antiqua" w:eastAsia="宋体" w:hAnsi="Book Antiqua" w:cs="宋体"/>
          <w:b/>
          <w:bCs/>
          <w:kern w:val="0"/>
          <w:sz w:val="24"/>
          <w:szCs w:val="24"/>
          <w:lang w:eastAsia="zh-CN"/>
        </w:rPr>
        <w:t>26</w:t>
      </w:r>
      <w:r w:rsidRPr="00C10ABF">
        <w:rPr>
          <w:rFonts w:ascii="Book Antiqua" w:eastAsia="宋体" w:hAnsi="Book Antiqua" w:cs="宋体"/>
          <w:kern w:val="0"/>
          <w:sz w:val="24"/>
          <w:szCs w:val="24"/>
          <w:lang w:eastAsia="zh-CN"/>
        </w:rPr>
        <w:t xml:space="preserve">: 886-891 [PMID: 12610054 DOI: </w:t>
      </w:r>
      <w:r w:rsidRPr="00C10ABF">
        <w:rPr>
          <w:rFonts w:ascii="Book Antiqua" w:hAnsi="Book Antiqua"/>
          <w:sz w:val="24"/>
          <w:szCs w:val="24"/>
          <w:shd w:val="clear" w:color="auto" w:fill="FFFFFF"/>
        </w:rPr>
        <w:t>10.2337/diacare.26.3.886</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56 </w:t>
      </w:r>
      <w:r w:rsidRPr="00C10ABF">
        <w:rPr>
          <w:rFonts w:ascii="Book Antiqua" w:eastAsia="宋体" w:hAnsi="Book Antiqua" w:cs="宋体"/>
          <w:b/>
          <w:bCs/>
          <w:kern w:val="0"/>
          <w:sz w:val="24"/>
          <w:szCs w:val="24"/>
          <w:lang w:eastAsia="zh-CN"/>
        </w:rPr>
        <w:t>Yu L</w:t>
      </w:r>
      <w:r w:rsidRPr="00C10ABF">
        <w:rPr>
          <w:rFonts w:ascii="Book Antiqua" w:eastAsia="宋体" w:hAnsi="Book Antiqua" w:cs="宋体"/>
          <w:kern w:val="0"/>
          <w:sz w:val="24"/>
          <w:szCs w:val="24"/>
          <w:lang w:eastAsia="zh-CN"/>
        </w:rPr>
        <w:t>, Lu S, Lin Y, Zeng S. Carboxyl-glucuronidation of mitiglinide by human UDP-glucuronosyltransferases. </w:t>
      </w:r>
      <w:r w:rsidRPr="00C10ABF">
        <w:rPr>
          <w:rFonts w:ascii="Book Antiqua" w:eastAsia="宋体" w:hAnsi="Book Antiqua" w:cs="宋体"/>
          <w:i/>
          <w:iCs/>
          <w:kern w:val="0"/>
          <w:sz w:val="24"/>
          <w:szCs w:val="24"/>
          <w:lang w:eastAsia="zh-CN"/>
        </w:rPr>
        <w:t>Biochem Pharmacol</w:t>
      </w:r>
      <w:r w:rsidRPr="00C10ABF">
        <w:rPr>
          <w:rFonts w:ascii="Book Antiqua" w:eastAsia="宋体" w:hAnsi="Book Antiqua" w:cs="宋体"/>
          <w:kern w:val="0"/>
          <w:sz w:val="24"/>
          <w:szCs w:val="24"/>
          <w:lang w:eastAsia="zh-CN"/>
        </w:rPr>
        <w:t> 2007; </w:t>
      </w:r>
      <w:r w:rsidRPr="00C10ABF">
        <w:rPr>
          <w:rFonts w:ascii="Book Antiqua" w:eastAsia="宋体" w:hAnsi="Book Antiqua" w:cs="宋体"/>
          <w:b/>
          <w:bCs/>
          <w:kern w:val="0"/>
          <w:sz w:val="24"/>
          <w:szCs w:val="24"/>
          <w:lang w:eastAsia="zh-CN"/>
        </w:rPr>
        <w:t>73</w:t>
      </w:r>
      <w:r w:rsidRPr="00C10ABF">
        <w:rPr>
          <w:rFonts w:ascii="Book Antiqua" w:eastAsia="宋体" w:hAnsi="Book Antiqua" w:cs="宋体"/>
          <w:kern w:val="0"/>
          <w:sz w:val="24"/>
          <w:szCs w:val="24"/>
          <w:lang w:eastAsia="zh-CN"/>
        </w:rPr>
        <w:t xml:space="preserve">: 1842-1851 [PMID: 17359941 DOI: </w:t>
      </w:r>
      <w:r w:rsidRPr="00C10ABF">
        <w:rPr>
          <w:rFonts w:ascii="Book Antiqua" w:hAnsi="Book Antiqua"/>
          <w:sz w:val="24"/>
          <w:szCs w:val="24"/>
          <w:shd w:val="clear" w:color="auto" w:fill="FFFFFF"/>
        </w:rPr>
        <w:t>10.1016/j.bcp.2007.02.004</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57 </w:t>
      </w:r>
      <w:r w:rsidRPr="00C10ABF">
        <w:rPr>
          <w:rFonts w:ascii="Book Antiqua" w:eastAsia="宋体" w:hAnsi="Book Antiqua" w:cs="宋体"/>
          <w:b/>
          <w:bCs/>
          <w:kern w:val="0"/>
          <w:sz w:val="24"/>
          <w:szCs w:val="24"/>
          <w:lang w:eastAsia="zh-CN"/>
        </w:rPr>
        <w:t>Thompson-Culkin K</w:t>
      </w:r>
      <w:r w:rsidRPr="00C10ABF">
        <w:rPr>
          <w:rFonts w:ascii="Book Antiqua" w:eastAsia="宋体" w:hAnsi="Book Antiqua" w:cs="宋体"/>
          <w:kern w:val="0"/>
          <w:sz w:val="24"/>
          <w:szCs w:val="24"/>
          <w:lang w:eastAsia="zh-CN"/>
        </w:rPr>
        <w:t>, Zussman B, Miller AK, Freed MI. Pharmacokinetics of rosiglitazone in patients with end-stage renal disease. </w:t>
      </w:r>
      <w:r w:rsidRPr="00C10ABF">
        <w:rPr>
          <w:rFonts w:ascii="Book Antiqua" w:eastAsia="宋体" w:hAnsi="Book Antiqua" w:cs="宋体"/>
          <w:i/>
          <w:iCs/>
          <w:kern w:val="0"/>
          <w:sz w:val="24"/>
          <w:szCs w:val="24"/>
          <w:lang w:eastAsia="zh-CN"/>
        </w:rPr>
        <w:t>J Int Med Res</w:t>
      </w:r>
      <w:r w:rsidRPr="00C10ABF">
        <w:rPr>
          <w:rStyle w:val="apple-converted-space"/>
          <w:rFonts w:ascii="Book Antiqua" w:hAnsi="Book Antiqua" w:cs="Arial"/>
          <w:sz w:val="24"/>
          <w:szCs w:val="24"/>
          <w:shd w:val="clear" w:color="auto" w:fill="FFFFFF"/>
        </w:rPr>
        <w:t> </w:t>
      </w:r>
      <w:r w:rsidRPr="00C10ABF">
        <w:rPr>
          <w:rFonts w:ascii="Book Antiqua" w:eastAsia="宋体" w:hAnsi="Book Antiqua" w:cs="宋体"/>
          <w:kern w:val="0"/>
          <w:sz w:val="24"/>
          <w:szCs w:val="24"/>
          <w:lang w:eastAsia="zh-CN"/>
        </w:rPr>
        <w:t>2002; </w:t>
      </w:r>
      <w:r w:rsidRPr="00C10ABF">
        <w:rPr>
          <w:rFonts w:ascii="Book Antiqua" w:eastAsia="宋体" w:hAnsi="Book Antiqua" w:cs="宋体"/>
          <w:b/>
          <w:bCs/>
          <w:kern w:val="0"/>
          <w:sz w:val="24"/>
          <w:szCs w:val="24"/>
          <w:lang w:eastAsia="zh-CN"/>
        </w:rPr>
        <w:t>30</w:t>
      </w:r>
      <w:r w:rsidRPr="00C10ABF">
        <w:rPr>
          <w:rFonts w:ascii="Book Antiqua" w:eastAsia="宋体" w:hAnsi="Book Antiqua" w:cs="宋体"/>
          <w:kern w:val="0"/>
          <w:sz w:val="24"/>
          <w:szCs w:val="24"/>
          <w:lang w:eastAsia="zh-CN"/>
        </w:rPr>
        <w:t xml:space="preserve">: 391-399 [PMID: 12235921 DOI: </w:t>
      </w:r>
      <w:r w:rsidRPr="00C10ABF">
        <w:rPr>
          <w:rFonts w:ascii="Book Antiqua" w:hAnsi="Book Antiqua"/>
          <w:sz w:val="24"/>
          <w:szCs w:val="24"/>
          <w:shd w:val="clear" w:color="auto" w:fill="FFFFFF"/>
        </w:rPr>
        <w:t>10.1177/147323000203000405</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58 </w:t>
      </w:r>
      <w:r w:rsidRPr="00C10ABF">
        <w:rPr>
          <w:rFonts w:ascii="Book Antiqua" w:eastAsia="宋体" w:hAnsi="Book Antiqua" w:cs="宋体"/>
          <w:b/>
          <w:bCs/>
          <w:kern w:val="0"/>
          <w:sz w:val="24"/>
          <w:szCs w:val="24"/>
          <w:lang w:eastAsia="zh-CN"/>
        </w:rPr>
        <w:t>Budde K</w:t>
      </w:r>
      <w:r w:rsidRPr="00C10ABF">
        <w:rPr>
          <w:rFonts w:ascii="Book Antiqua" w:eastAsia="宋体" w:hAnsi="Book Antiqua" w:cs="宋体"/>
          <w:kern w:val="0"/>
          <w:sz w:val="24"/>
          <w:szCs w:val="24"/>
          <w:lang w:eastAsia="zh-CN"/>
        </w:rPr>
        <w:t>, Neumayer HH, Fritsche L, Sulowicz W, Stompôr T, Eckland D. The pharmacokinetics of pioglitazone in patients with impaired renal function. </w:t>
      </w:r>
      <w:r w:rsidRPr="00C10ABF">
        <w:rPr>
          <w:rFonts w:ascii="Book Antiqua" w:eastAsia="宋体" w:hAnsi="Book Antiqua" w:cs="宋体"/>
          <w:i/>
          <w:iCs/>
          <w:kern w:val="0"/>
          <w:sz w:val="24"/>
          <w:szCs w:val="24"/>
          <w:lang w:eastAsia="zh-CN"/>
        </w:rPr>
        <w:t>Br J Clin Pharmacol</w:t>
      </w:r>
      <w:r w:rsidRPr="00C10ABF">
        <w:rPr>
          <w:rFonts w:ascii="Book Antiqua" w:eastAsia="宋体" w:hAnsi="Book Antiqua" w:cs="宋体"/>
          <w:kern w:val="0"/>
          <w:sz w:val="24"/>
          <w:szCs w:val="24"/>
          <w:lang w:eastAsia="zh-CN"/>
        </w:rPr>
        <w:t> 2003; </w:t>
      </w:r>
      <w:r w:rsidRPr="00C10ABF">
        <w:rPr>
          <w:rFonts w:ascii="Book Antiqua" w:eastAsia="宋体" w:hAnsi="Book Antiqua" w:cs="宋体"/>
          <w:b/>
          <w:bCs/>
          <w:kern w:val="0"/>
          <w:sz w:val="24"/>
          <w:szCs w:val="24"/>
          <w:lang w:eastAsia="zh-CN"/>
        </w:rPr>
        <w:t>55</w:t>
      </w:r>
      <w:r w:rsidRPr="00C10ABF">
        <w:rPr>
          <w:rFonts w:ascii="Book Antiqua" w:eastAsia="宋体" w:hAnsi="Book Antiqua" w:cs="宋体"/>
          <w:kern w:val="0"/>
          <w:sz w:val="24"/>
          <w:szCs w:val="24"/>
          <w:lang w:eastAsia="zh-CN"/>
        </w:rPr>
        <w:t xml:space="preserve">: 368-374 [PMID: 12680885 DOI: </w:t>
      </w:r>
      <w:r w:rsidRPr="00C10ABF">
        <w:rPr>
          <w:rFonts w:ascii="Book Antiqua" w:hAnsi="Book Antiqua"/>
          <w:sz w:val="24"/>
          <w:szCs w:val="24"/>
          <w:shd w:val="clear" w:color="auto" w:fill="FFFFFF"/>
        </w:rPr>
        <w:t>10.1046/j.1365-2125.2003.01785.x</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59 </w:t>
      </w:r>
      <w:r w:rsidRPr="00C10ABF">
        <w:rPr>
          <w:rFonts w:ascii="Book Antiqua" w:eastAsia="宋体" w:hAnsi="Book Antiqua" w:cs="宋体"/>
          <w:b/>
          <w:bCs/>
          <w:kern w:val="0"/>
          <w:sz w:val="24"/>
          <w:szCs w:val="24"/>
          <w:lang w:eastAsia="zh-CN"/>
        </w:rPr>
        <w:t>Hanefeld M</w:t>
      </w:r>
      <w:r w:rsidRPr="00C10ABF">
        <w:rPr>
          <w:rFonts w:ascii="Book Antiqua" w:eastAsia="宋体" w:hAnsi="Book Antiqua" w:cs="宋体"/>
          <w:kern w:val="0"/>
          <w:sz w:val="24"/>
          <w:szCs w:val="24"/>
          <w:lang w:eastAsia="zh-CN"/>
        </w:rPr>
        <w:t>. Pharmacokinetics and clinical efficacy of pioglitazone. </w:t>
      </w:r>
      <w:r w:rsidRPr="00C10ABF">
        <w:rPr>
          <w:rFonts w:ascii="Book Antiqua" w:eastAsia="宋体" w:hAnsi="Book Antiqua" w:cs="宋体"/>
          <w:i/>
          <w:iCs/>
          <w:kern w:val="0"/>
          <w:sz w:val="24"/>
          <w:szCs w:val="24"/>
          <w:lang w:eastAsia="zh-CN"/>
        </w:rPr>
        <w:t>Int J Clin Pract Suppl</w:t>
      </w:r>
      <w:r w:rsidRPr="00C10ABF">
        <w:rPr>
          <w:rFonts w:ascii="Book Antiqua" w:eastAsia="宋体" w:hAnsi="Book Antiqua" w:cs="宋体"/>
          <w:kern w:val="0"/>
          <w:sz w:val="24"/>
          <w:szCs w:val="24"/>
          <w:lang w:eastAsia="zh-CN"/>
        </w:rPr>
        <w:t> 2001; </w:t>
      </w:r>
      <w:r w:rsidRPr="00C10ABF">
        <w:rPr>
          <w:rFonts w:ascii="Book Antiqua" w:eastAsia="宋体" w:hAnsi="Book Antiqua" w:cs="宋体"/>
          <w:b/>
          <w:bCs/>
          <w:kern w:val="0"/>
          <w:sz w:val="24"/>
          <w:szCs w:val="24"/>
          <w:lang w:eastAsia="zh-CN"/>
        </w:rPr>
        <w:t>(121)</w:t>
      </w:r>
      <w:r w:rsidRPr="00C10ABF">
        <w:rPr>
          <w:rFonts w:ascii="Book Antiqua" w:eastAsia="宋体" w:hAnsi="Book Antiqua" w:cs="宋体"/>
          <w:kern w:val="0"/>
          <w:sz w:val="24"/>
          <w:szCs w:val="24"/>
          <w:lang w:eastAsia="zh-CN"/>
        </w:rPr>
        <w:t>: 19-25 [PMID: 11594240]</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60 </w:t>
      </w:r>
      <w:r w:rsidRPr="00C10ABF">
        <w:rPr>
          <w:rFonts w:ascii="Book Antiqua" w:eastAsia="宋体" w:hAnsi="Book Antiqua" w:cs="宋体"/>
          <w:b/>
          <w:bCs/>
          <w:kern w:val="0"/>
          <w:sz w:val="24"/>
          <w:szCs w:val="24"/>
          <w:lang w:eastAsia="zh-CN"/>
        </w:rPr>
        <w:t>Narita T</w:t>
      </w:r>
      <w:r w:rsidRPr="00C10ABF">
        <w:rPr>
          <w:rFonts w:ascii="Book Antiqua" w:eastAsia="宋体" w:hAnsi="Book Antiqua" w:cs="宋体"/>
          <w:kern w:val="0"/>
          <w:sz w:val="24"/>
          <w:szCs w:val="24"/>
          <w:lang w:eastAsia="zh-CN"/>
        </w:rPr>
        <w:t>, Katsuura Y, Sato T, Hosoba M, Fujita H, Morii T, Yamada Y. Miglitol induces prolonged and enhanced glucagon-like peptide-1 and reduced gastric inhibitory polypeptide responses after ingestion of a mixed meal in Japanese Type 2 diabetic patients. </w:t>
      </w:r>
      <w:r w:rsidRPr="00C10ABF">
        <w:rPr>
          <w:rFonts w:ascii="Book Antiqua" w:eastAsia="宋体" w:hAnsi="Book Antiqua" w:cs="宋体"/>
          <w:i/>
          <w:iCs/>
          <w:kern w:val="0"/>
          <w:sz w:val="24"/>
          <w:szCs w:val="24"/>
          <w:lang w:eastAsia="zh-CN"/>
        </w:rPr>
        <w:t>Diabet Med</w:t>
      </w:r>
      <w:r w:rsidRPr="00C10ABF">
        <w:rPr>
          <w:rFonts w:ascii="Book Antiqua" w:eastAsia="宋体" w:hAnsi="Book Antiqua" w:cs="宋体"/>
          <w:kern w:val="0"/>
          <w:sz w:val="24"/>
          <w:szCs w:val="24"/>
          <w:lang w:eastAsia="zh-CN"/>
        </w:rPr>
        <w:t> 2009; </w:t>
      </w:r>
      <w:r w:rsidRPr="00C10ABF">
        <w:rPr>
          <w:rFonts w:ascii="Book Antiqua" w:eastAsia="宋体" w:hAnsi="Book Antiqua" w:cs="宋体"/>
          <w:b/>
          <w:bCs/>
          <w:kern w:val="0"/>
          <w:sz w:val="24"/>
          <w:szCs w:val="24"/>
          <w:lang w:eastAsia="zh-CN"/>
        </w:rPr>
        <w:t>26</w:t>
      </w:r>
      <w:r w:rsidRPr="00C10ABF">
        <w:rPr>
          <w:rFonts w:ascii="Book Antiqua" w:eastAsia="宋体" w:hAnsi="Book Antiqua" w:cs="宋体"/>
          <w:kern w:val="0"/>
          <w:sz w:val="24"/>
          <w:szCs w:val="24"/>
          <w:lang w:eastAsia="zh-CN"/>
        </w:rPr>
        <w:t>: 187-188 [PMID: 19236625 DOI: 10.1111/j.1464-5491.2008.02651.x]</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61 </w:t>
      </w:r>
      <w:r w:rsidRPr="00C10ABF">
        <w:rPr>
          <w:rFonts w:ascii="Book Antiqua" w:eastAsia="宋体" w:hAnsi="Book Antiqua" w:cs="宋体"/>
          <w:b/>
          <w:bCs/>
          <w:kern w:val="0"/>
          <w:sz w:val="24"/>
          <w:szCs w:val="24"/>
          <w:lang w:eastAsia="zh-CN"/>
        </w:rPr>
        <w:t>Abe M</w:t>
      </w:r>
      <w:r w:rsidRPr="00C10ABF">
        <w:rPr>
          <w:rFonts w:ascii="Book Antiqua" w:eastAsia="宋体" w:hAnsi="Book Antiqua" w:cs="宋体"/>
          <w:kern w:val="0"/>
          <w:sz w:val="24"/>
          <w:szCs w:val="24"/>
          <w:lang w:eastAsia="zh-CN"/>
        </w:rPr>
        <w:t>, Kikuchi F, Kaizu K, Matsumoto K. Combination therapy of pioglitazone with voglibose improves glycemic control safely and rapidly in Japanese type 2-diabetic patients on hemodialysis. </w:t>
      </w:r>
      <w:r w:rsidRPr="00C10ABF">
        <w:rPr>
          <w:rFonts w:ascii="Book Antiqua" w:eastAsia="宋体" w:hAnsi="Book Antiqua" w:cs="宋体"/>
          <w:i/>
          <w:iCs/>
          <w:kern w:val="0"/>
          <w:sz w:val="24"/>
          <w:szCs w:val="24"/>
          <w:lang w:eastAsia="zh-CN"/>
        </w:rPr>
        <w:t>Clin Nephrol</w:t>
      </w:r>
      <w:r w:rsidRPr="00C10ABF">
        <w:rPr>
          <w:rFonts w:ascii="Book Antiqua" w:eastAsia="宋体" w:hAnsi="Book Antiqua" w:cs="宋体"/>
          <w:kern w:val="0"/>
          <w:sz w:val="24"/>
          <w:szCs w:val="24"/>
          <w:lang w:eastAsia="zh-CN"/>
        </w:rPr>
        <w:t> 2007; </w:t>
      </w:r>
      <w:r w:rsidRPr="00C10ABF">
        <w:rPr>
          <w:rFonts w:ascii="Book Antiqua" w:eastAsia="宋体" w:hAnsi="Book Antiqua" w:cs="宋体"/>
          <w:b/>
          <w:bCs/>
          <w:kern w:val="0"/>
          <w:sz w:val="24"/>
          <w:szCs w:val="24"/>
          <w:lang w:eastAsia="zh-CN"/>
        </w:rPr>
        <w:t>68</w:t>
      </w:r>
      <w:r w:rsidRPr="00C10ABF">
        <w:rPr>
          <w:rFonts w:ascii="Book Antiqua" w:eastAsia="宋体" w:hAnsi="Book Antiqua" w:cs="宋体"/>
          <w:kern w:val="0"/>
          <w:sz w:val="24"/>
          <w:szCs w:val="24"/>
          <w:lang w:eastAsia="zh-CN"/>
        </w:rPr>
        <w:t xml:space="preserve">: 287-294 [PMID: 18044260 DOI: </w:t>
      </w:r>
      <w:r w:rsidRPr="00C10ABF">
        <w:rPr>
          <w:rFonts w:ascii="Book Antiqua" w:hAnsi="Book Antiqua"/>
          <w:sz w:val="24"/>
          <w:szCs w:val="24"/>
          <w:shd w:val="clear" w:color="auto" w:fill="FFFFFF"/>
        </w:rPr>
        <w:t>10.5414/CNP68287</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62 </w:t>
      </w:r>
      <w:r w:rsidRPr="00C10ABF">
        <w:rPr>
          <w:rFonts w:ascii="Book Antiqua" w:eastAsia="宋体" w:hAnsi="Book Antiqua" w:cs="宋体"/>
          <w:b/>
          <w:bCs/>
          <w:kern w:val="0"/>
          <w:sz w:val="24"/>
          <w:szCs w:val="24"/>
          <w:lang w:eastAsia="zh-CN"/>
        </w:rPr>
        <w:t>Ahr HJ</w:t>
      </w:r>
      <w:r w:rsidRPr="00C10ABF">
        <w:rPr>
          <w:rFonts w:ascii="Book Antiqua" w:eastAsia="宋体" w:hAnsi="Book Antiqua" w:cs="宋体"/>
          <w:kern w:val="0"/>
          <w:sz w:val="24"/>
          <w:szCs w:val="24"/>
          <w:lang w:eastAsia="zh-CN"/>
        </w:rPr>
        <w:t>, Boberg M, Krause HP, Maul W, Müller FO, Ploschke HJ, Weber H, Wünsche C. Pharmacokinetics of acarbose. Part I: Absorption, concentration in plasma, metabolism and excretion after single administration of [14C]acarbose to rats, dogs and man. </w:t>
      </w:r>
      <w:r w:rsidRPr="00C10ABF">
        <w:rPr>
          <w:rFonts w:ascii="Book Antiqua" w:eastAsia="宋体" w:hAnsi="Book Antiqua" w:cs="宋体"/>
          <w:i/>
          <w:iCs/>
          <w:kern w:val="0"/>
          <w:sz w:val="24"/>
          <w:szCs w:val="24"/>
          <w:lang w:eastAsia="zh-CN"/>
        </w:rPr>
        <w:t>Arzneimittelforschung</w:t>
      </w:r>
      <w:r w:rsidRPr="00C10ABF">
        <w:rPr>
          <w:rFonts w:ascii="Book Antiqua" w:eastAsia="宋体" w:hAnsi="Book Antiqua" w:cs="宋体"/>
          <w:kern w:val="0"/>
          <w:sz w:val="24"/>
          <w:szCs w:val="24"/>
          <w:lang w:eastAsia="zh-CN"/>
        </w:rPr>
        <w:t> 1989; </w:t>
      </w:r>
      <w:r w:rsidRPr="00C10ABF">
        <w:rPr>
          <w:rFonts w:ascii="Book Antiqua" w:eastAsia="宋体" w:hAnsi="Book Antiqua" w:cs="宋体"/>
          <w:b/>
          <w:bCs/>
          <w:kern w:val="0"/>
          <w:sz w:val="24"/>
          <w:szCs w:val="24"/>
          <w:lang w:eastAsia="zh-CN"/>
        </w:rPr>
        <w:t>39</w:t>
      </w:r>
      <w:r w:rsidRPr="00C10ABF">
        <w:rPr>
          <w:rFonts w:ascii="Book Antiqua" w:eastAsia="宋体" w:hAnsi="Book Antiqua" w:cs="宋体"/>
          <w:kern w:val="0"/>
          <w:sz w:val="24"/>
          <w:szCs w:val="24"/>
          <w:lang w:eastAsia="zh-CN"/>
        </w:rPr>
        <w:t>: 1254-1260 [PMID: 2610717]</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63 </w:t>
      </w:r>
      <w:r w:rsidRPr="00C10ABF">
        <w:rPr>
          <w:rFonts w:ascii="Book Antiqua" w:eastAsia="宋体" w:hAnsi="Book Antiqua" w:cs="宋体"/>
          <w:b/>
          <w:bCs/>
          <w:kern w:val="0"/>
          <w:sz w:val="24"/>
          <w:szCs w:val="24"/>
          <w:lang w:eastAsia="zh-CN"/>
        </w:rPr>
        <w:t>Scott LJ</w:t>
      </w:r>
      <w:r w:rsidRPr="00C10ABF">
        <w:rPr>
          <w:rFonts w:ascii="Book Antiqua" w:eastAsia="宋体" w:hAnsi="Book Antiqua" w:cs="宋体"/>
          <w:kern w:val="0"/>
          <w:sz w:val="24"/>
          <w:szCs w:val="24"/>
          <w:lang w:eastAsia="zh-CN"/>
        </w:rPr>
        <w:t>, Spencer CM. Miglitol: a review of its therapeutic potential in type 2 diabetes mellitus. </w:t>
      </w:r>
      <w:r w:rsidRPr="00C10ABF">
        <w:rPr>
          <w:rFonts w:ascii="Book Antiqua" w:eastAsia="宋体" w:hAnsi="Book Antiqua" w:cs="宋体"/>
          <w:i/>
          <w:iCs/>
          <w:kern w:val="0"/>
          <w:sz w:val="24"/>
          <w:szCs w:val="24"/>
          <w:lang w:eastAsia="zh-CN"/>
        </w:rPr>
        <w:t>Drugs</w:t>
      </w:r>
      <w:r w:rsidRPr="00C10ABF">
        <w:rPr>
          <w:rFonts w:ascii="Book Antiqua" w:eastAsia="宋体" w:hAnsi="Book Antiqua" w:cs="宋体"/>
          <w:kern w:val="0"/>
          <w:sz w:val="24"/>
          <w:szCs w:val="24"/>
          <w:lang w:eastAsia="zh-CN"/>
        </w:rPr>
        <w:t> 2000; </w:t>
      </w:r>
      <w:r w:rsidRPr="00C10ABF">
        <w:rPr>
          <w:rFonts w:ascii="Book Antiqua" w:eastAsia="宋体" w:hAnsi="Book Antiqua" w:cs="宋体"/>
          <w:b/>
          <w:bCs/>
          <w:kern w:val="0"/>
          <w:sz w:val="24"/>
          <w:szCs w:val="24"/>
          <w:lang w:eastAsia="zh-CN"/>
        </w:rPr>
        <w:t>59</w:t>
      </w:r>
      <w:r w:rsidRPr="00C10ABF">
        <w:rPr>
          <w:rFonts w:ascii="Book Antiqua" w:eastAsia="宋体" w:hAnsi="Book Antiqua" w:cs="宋体"/>
          <w:kern w:val="0"/>
          <w:sz w:val="24"/>
          <w:szCs w:val="24"/>
          <w:lang w:eastAsia="zh-CN"/>
        </w:rPr>
        <w:t xml:space="preserve">: 521-549 [PMID: 10776834 DOI: </w:t>
      </w:r>
      <w:r w:rsidRPr="00C10ABF">
        <w:rPr>
          <w:rFonts w:ascii="Book Antiqua" w:hAnsi="Book Antiqua"/>
          <w:sz w:val="24"/>
          <w:szCs w:val="24"/>
          <w:shd w:val="clear" w:color="auto" w:fill="FFFFFF"/>
        </w:rPr>
        <w:t>10.2165/00003495-200059030-00012</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64 </w:t>
      </w:r>
      <w:r w:rsidRPr="00C10ABF">
        <w:rPr>
          <w:rFonts w:ascii="Book Antiqua" w:eastAsia="宋体" w:hAnsi="Book Antiqua" w:cs="宋体"/>
          <w:b/>
          <w:bCs/>
          <w:kern w:val="0"/>
          <w:sz w:val="24"/>
          <w:szCs w:val="24"/>
          <w:lang w:eastAsia="zh-CN"/>
        </w:rPr>
        <w:t>Kikuchi M</w:t>
      </w:r>
      <w:r w:rsidRPr="00C10ABF">
        <w:rPr>
          <w:rFonts w:ascii="Book Antiqua" w:eastAsia="宋体" w:hAnsi="Book Antiqua" w:cs="宋体"/>
          <w:kern w:val="0"/>
          <w:sz w:val="24"/>
          <w:szCs w:val="24"/>
          <w:lang w:eastAsia="zh-CN"/>
        </w:rPr>
        <w:t>, Abe N, Kato M, Terao S, Mimori N, Tachibana H. Vildagliptin dose-dependently improves glycemic control in Japanese patients with type 2 diabetes mellitus. </w:t>
      </w:r>
      <w:r w:rsidRPr="00C10ABF">
        <w:rPr>
          <w:rFonts w:ascii="Book Antiqua" w:eastAsia="宋体" w:hAnsi="Book Antiqua" w:cs="宋体"/>
          <w:i/>
          <w:iCs/>
          <w:kern w:val="0"/>
          <w:sz w:val="24"/>
          <w:szCs w:val="24"/>
          <w:lang w:eastAsia="zh-CN"/>
        </w:rPr>
        <w:t>Diabetes Res Clin Pract</w:t>
      </w:r>
      <w:r w:rsidRPr="00C10ABF">
        <w:rPr>
          <w:rFonts w:ascii="Book Antiqua" w:eastAsia="宋体" w:hAnsi="Book Antiqua" w:cs="宋体"/>
          <w:kern w:val="0"/>
          <w:sz w:val="24"/>
          <w:szCs w:val="24"/>
          <w:lang w:eastAsia="zh-CN"/>
        </w:rPr>
        <w:t> 2009; </w:t>
      </w:r>
      <w:r w:rsidRPr="00C10ABF">
        <w:rPr>
          <w:rFonts w:ascii="Book Antiqua" w:eastAsia="宋体" w:hAnsi="Book Antiqua" w:cs="宋体"/>
          <w:b/>
          <w:bCs/>
          <w:kern w:val="0"/>
          <w:sz w:val="24"/>
          <w:szCs w:val="24"/>
          <w:lang w:eastAsia="zh-CN"/>
        </w:rPr>
        <w:t>83</w:t>
      </w:r>
      <w:r w:rsidRPr="00C10ABF">
        <w:rPr>
          <w:rFonts w:ascii="Book Antiqua" w:eastAsia="宋体" w:hAnsi="Book Antiqua" w:cs="宋体"/>
          <w:kern w:val="0"/>
          <w:sz w:val="24"/>
          <w:szCs w:val="24"/>
          <w:lang w:eastAsia="zh-CN"/>
        </w:rPr>
        <w:t>: 233-240 [PMID: 19118913 DOI: 10.1016/j.diabres.2008.10.006]</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65 </w:t>
      </w:r>
      <w:r w:rsidRPr="00C10ABF">
        <w:rPr>
          <w:rFonts w:ascii="Book Antiqua" w:eastAsia="宋体" w:hAnsi="Book Antiqua" w:cs="宋体"/>
          <w:b/>
          <w:bCs/>
          <w:kern w:val="0"/>
          <w:sz w:val="24"/>
          <w:szCs w:val="24"/>
          <w:lang w:eastAsia="zh-CN"/>
        </w:rPr>
        <w:t>Nonaka K</w:t>
      </w:r>
      <w:r w:rsidRPr="00C10ABF">
        <w:rPr>
          <w:rFonts w:ascii="Book Antiqua" w:eastAsia="宋体" w:hAnsi="Book Antiqua" w:cs="宋体"/>
          <w:kern w:val="0"/>
          <w:sz w:val="24"/>
          <w:szCs w:val="24"/>
          <w:lang w:eastAsia="zh-CN"/>
        </w:rPr>
        <w:t>, Kakikawa T, Sato A, Okuyama K, Fujimoto G, Kato N, Suzuki H, Hirayama Y, Ahmed T, Davies MJ, Stein PP. Efficacy and safety of sitagliptin monotherapy in Japanese patients with type 2 diabetes. </w:t>
      </w:r>
      <w:r w:rsidRPr="00C10ABF">
        <w:rPr>
          <w:rFonts w:ascii="Book Antiqua" w:eastAsia="宋体" w:hAnsi="Book Antiqua" w:cs="宋体"/>
          <w:i/>
          <w:iCs/>
          <w:kern w:val="0"/>
          <w:sz w:val="24"/>
          <w:szCs w:val="24"/>
          <w:lang w:eastAsia="zh-CN"/>
        </w:rPr>
        <w:t>Diabetes Res Clin Pract</w:t>
      </w:r>
      <w:r w:rsidRPr="00C10ABF">
        <w:rPr>
          <w:rFonts w:ascii="Book Antiqua" w:eastAsia="宋体" w:hAnsi="Book Antiqua" w:cs="宋体"/>
          <w:kern w:val="0"/>
          <w:sz w:val="24"/>
          <w:szCs w:val="24"/>
          <w:lang w:eastAsia="zh-CN"/>
        </w:rPr>
        <w:t> 2008; </w:t>
      </w:r>
      <w:r w:rsidRPr="00C10ABF">
        <w:rPr>
          <w:rFonts w:ascii="Book Antiqua" w:eastAsia="宋体" w:hAnsi="Book Antiqua" w:cs="宋体"/>
          <w:b/>
          <w:bCs/>
          <w:kern w:val="0"/>
          <w:sz w:val="24"/>
          <w:szCs w:val="24"/>
          <w:lang w:eastAsia="zh-CN"/>
        </w:rPr>
        <w:t>79</w:t>
      </w:r>
      <w:r w:rsidRPr="00C10ABF">
        <w:rPr>
          <w:rFonts w:ascii="Book Antiqua" w:eastAsia="宋体" w:hAnsi="Book Antiqua" w:cs="宋体"/>
          <w:kern w:val="0"/>
          <w:sz w:val="24"/>
          <w:szCs w:val="24"/>
          <w:lang w:eastAsia="zh-CN"/>
        </w:rPr>
        <w:t xml:space="preserve">: 291-298 [PMID: 17933414 DOI: </w:t>
      </w:r>
      <w:r w:rsidRPr="00C10ABF">
        <w:rPr>
          <w:rFonts w:ascii="Book Antiqua" w:hAnsi="Book Antiqua"/>
          <w:sz w:val="24"/>
          <w:szCs w:val="24"/>
          <w:shd w:val="clear" w:color="auto" w:fill="FFFFFF"/>
        </w:rPr>
        <w:t>10.1016/j.diabres.2007.08.021</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66 </w:t>
      </w:r>
      <w:r w:rsidRPr="00C10ABF">
        <w:rPr>
          <w:rFonts w:ascii="Book Antiqua" w:eastAsia="宋体" w:hAnsi="Book Antiqua" w:cs="宋体"/>
          <w:b/>
          <w:bCs/>
          <w:kern w:val="0"/>
          <w:sz w:val="24"/>
          <w:szCs w:val="24"/>
          <w:lang w:eastAsia="zh-CN"/>
        </w:rPr>
        <w:t>Raz I</w:t>
      </w:r>
      <w:r w:rsidRPr="00C10ABF">
        <w:rPr>
          <w:rFonts w:ascii="Book Antiqua" w:eastAsia="宋体" w:hAnsi="Book Antiqua" w:cs="宋体"/>
          <w:kern w:val="0"/>
          <w:sz w:val="24"/>
          <w:szCs w:val="24"/>
          <w:lang w:eastAsia="zh-CN"/>
        </w:rPr>
        <w:t xml:space="preserve">, Hanefeld M, Xu L, Caria C, Williams-Herman D, Khatami H; </w:t>
      </w:r>
      <w:hyperlink r:id="rId10" w:history="1">
        <w:r w:rsidRPr="00C10ABF">
          <w:rPr>
            <w:rFonts w:ascii="Book Antiqua" w:eastAsia="宋体" w:hAnsi="Book Antiqua" w:cs="宋体"/>
            <w:kern w:val="0"/>
            <w:sz w:val="24"/>
            <w:szCs w:val="24"/>
            <w:lang w:eastAsia="zh-CN"/>
          </w:rPr>
          <w:t>Sitagliptin Study 023 Group</w:t>
        </w:r>
      </w:hyperlink>
      <w:r w:rsidRPr="00C10ABF">
        <w:rPr>
          <w:rFonts w:ascii="Book Antiqua" w:eastAsia="宋体" w:hAnsi="Book Antiqua" w:cs="宋体"/>
          <w:kern w:val="0"/>
          <w:sz w:val="24"/>
          <w:szCs w:val="24"/>
          <w:lang w:eastAsia="zh-CN"/>
        </w:rPr>
        <w:t>. Efficacy and safety of the dipeptidyl peptidase-4 inhibitor sitagliptin as monotherapy in patients with type 2 diabetes mellitus. </w:t>
      </w:r>
      <w:r w:rsidRPr="00C10ABF">
        <w:rPr>
          <w:rFonts w:ascii="Book Antiqua" w:eastAsia="宋体" w:hAnsi="Book Antiqua" w:cs="宋体"/>
          <w:i/>
          <w:iCs/>
          <w:kern w:val="0"/>
          <w:sz w:val="24"/>
          <w:szCs w:val="24"/>
          <w:lang w:eastAsia="zh-CN"/>
        </w:rPr>
        <w:t>Diabetologia</w:t>
      </w:r>
      <w:r w:rsidRPr="00C10ABF">
        <w:rPr>
          <w:rFonts w:ascii="Book Antiqua" w:eastAsia="宋体" w:hAnsi="Book Antiqua" w:cs="宋体"/>
          <w:kern w:val="0"/>
          <w:sz w:val="24"/>
          <w:szCs w:val="24"/>
          <w:lang w:eastAsia="zh-CN"/>
        </w:rPr>
        <w:t> 2006; </w:t>
      </w:r>
      <w:r w:rsidRPr="00C10ABF">
        <w:rPr>
          <w:rFonts w:ascii="Book Antiqua" w:eastAsia="宋体" w:hAnsi="Book Antiqua" w:cs="宋体"/>
          <w:b/>
          <w:bCs/>
          <w:kern w:val="0"/>
          <w:sz w:val="24"/>
          <w:szCs w:val="24"/>
          <w:lang w:eastAsia="zh-CN"/>
        </w:rPr>
        <w:t>49</w:t>
      </w:r>
      <w:r w:rsidRPr="00C10ABF">
        <w:rPr>
          <w:rFonts w:ascii="Book Antiqua" w:eastAsia="宋体" w:hAnsi="Book Antiqua" w:cs="宋体"/>
          <w:kern w:val="0"/>
          <w:sz w:val="24"/>
          <w:szCs w:val="24"/>
          <w:lang w:eastAsia="zh-CN"/>
        </w:rPr>
        <w:t xml:space="preserve">: 2564-2571 [PMID: 17001471 DOI: </w:t>
      </w:r>
      <w:r w:rsidRPr="00C10ABF">
        <w:rPr>
          <w:rFonts w:ascii="Book Antiqua" w:hAnsi="Book Antiqua"/>
          <w:sz w:val="24"/>
          <w:szCs w:val="24"/>
          <w:shd w:val="clear" w:color="auto" w:fill="FFFFFF"/>
        </w:rPr>
        <w:t>10.1007/s00125-006-0416-z</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67 </w:t>
      </w:r>
      <w:r w:rsidRPr="00C10ABF">
        <w:rPr>
          <w:rFonts w:ascii="Book Antiqua" w:eastAsia="宋体" w:hAnsi="Book Antiqua" w:cs="宋体"/>
          <w:b/>
          <w:bCs/>
          <w:kern w:val="0"/>
          <w:sz w:val="24"/>
          <w:szCs w:val="24"/>
          <w:lang w:eastAsia="zh-CN"/>
        </w:rPr>
        <w:t>Inaba M</w:t>
      </w:r>
      <w:r w:rsidRPr="00C10ABF">
        <w:rPr>
          <w:rFonts w:ascii="Book Antiqua" w:eastAsia="宋体" w:hAnsi="Book Antiqua" w:cs="宋体"/>
          <w:kern w:val="0"/>
          <w:sz w:val="24"/>
          <w:szCs w:val="24"/>
          <w:lang w:eastAsia="zh-CN"/>
        </w:rPr>
        <w:t>, Okuno S, Kumeda Y, Yamada S, Imanishi Y, Tabata T, Okamura M, Okada S, Yamakawa T, Ishimura E, Nishizawa Y. Glycated albumin is a better glycemic indicator than glycated hemoglobin values in hemodialysis patients with diabetes: effect of anemia and erythropoietin injection. </w:t>
      </w:r>
      <w:r w:rsidRPr="00C10ABF">
        <w:rPr>
          <w:rFonts w:ascii="Book Antiqua" w:eastAsia="宋体" w:hAnsi="Book Antiqua" w:cs="宋体"/>
          <w:i/>
          <w:iCs/>
          <w:kern w:val="0"/>
          <w:sz w:val="24"/>
          <w:szCs w:val="24"/>
          <w:lang w:eastAsia="zh-CN"/>
        </w:rPr>
        <w:t>J Am Soc Nephrol</w:t>
      </w:r>
      <w:r w:rsidRPr="00C10ABF">
        <w:rPr>
          <w:rFonts w:ascii="Book Antiqua" w:eastAsia="宋体" w:hAnsi="Book Antiqua" w:cs="宋体"/>
          <w:kern w:val="0"/>
          <w:sz w:val="24"/>
          <w:szCs w:val="24"/>
          <w:lang w:eastAsia="zh-CN"/>
        </w:rPr>
        <w:t> 2007; </w:t>
      </w:r>
      <w:r w:rsidRPr="00C10ABF">
        <w:rPr>
          <w:rFonts w:ascii="Book Antiqua" w:eastAsia="宋体" w:hAnsi="Book Antiqua" w:cs="宋体"/>
          <w:b/>
          <w:bCs/>
          <w:kern w:val="0"/>
          <w:sz w:val="24"/>
          <w:szCs w:val="24"/>
          <w:lang w:eastAsia="zh-CN"/>
        </w:rPr>
        <w:t>18</w:t>
      </w:r>
      <w:r w:rsidRPr="00C10ABF">
        <w:rPr>
          <w:rFonts w:ascii="Book Antiqua" w:eastAsia="宋体" w:hAnsi="Book Antiqua" w:cs="宋体"/>
          <w:kern w:val="0"/>
          <w:sz w:val="24"/>
          <w:szCs w:val="24"/>
          <w:lang w:eastAsia="zh-CN"/>
        </w:rPr>
        <w:t xml:space="preserve">: 896-903 [PMID: 17267743 DOI: </w:t>
      </w:r>
      <w:r w:rsidRPr="00C10ABF">
        <w:rPr>
          <w:rFonts w:ascii="Book Antiqua" w:hAnsi="Book Antiqua"/>
          <w:sz w:val="24"/>
          <w:szCs w:val="24"/>
          <w:shd w:val="clear" w:color="auto" w:fill="FFFFFF"/>
        </w:rPr>
        <w:t>10.1681/ASN.2006070772</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68 </w:t>
      </w:r>
      <w:r w:rsidRPr="00C10ABF">
        <w:rPr>
          <w:rFonts w:ascii="Book Antiqua" w:eastAsia="宋体" w:hAnsi="Book Antiqua" w:cs="宋体"/>
          <w:b/>
          <w:bCs/>
          <w:kern w:val="0"/>
          <w:sz w:val="24"/>
          <w:szCs w:val="24"/>
          <w:lang w:eastAsia="zh-CN"/>
        </w:rPr>
        <w:t>Peacock TP</w:t>
      </w:r>
      <w:r w:rsidRPr="00C10ABF">
        <w:rPr>
          <w:rFonts w:ascii="Book Antiqua" w:eastAsia="宋体" w:hAnsi="Book Antiqua" w:cs="宋体"/>
          <w:kern w:val="0"/>
          <w:sz w:val="24"/>
          <w:szCs w:val="24"/>
          <w:lang w:eastAsia="zh-CN"/>
        </w:rPr>
        <w:t>, Shihabi ZK, Bleyer AJ, Dolbare EL, Byers JR, Knovich MA, Calles-Escandon J, Russell GB, Freedman BI. Comparison of glycated albumin and hemoglobin A(1c) levels in diabetic subjects on hemodialysis. </w:t>
      </w:r>
      <w:r w:rsidRPr="00C10ABF">
        <w:rPr>
          <w:rFonts w:ascii="Book Antiqua" w:eastAsia="宋体" w:hAnsi="Book Antiqua" w:cs="宋体"/>
          <w:i/>
          <w:iCs/>
          <w:kern w:val="0"/>
          <w:sz w:val="24"/>
          <w:szCs w:val="24"/>
          <w:lang w:eastAsia="zh-CN"/>
        </w:rPr>
        <w:t>Kidney Int</w:t>
      </w:r>
      <w:r w:rsidRPr="00C10ABF">
        <w:rPr>
          <w:rFonts w:ascii="Book Antiqua" w:eastAsia="宋体" w:hAnsi="Book Antiqua" w:cs="宋体"/>
          <w:kern w:val="0"/>
          <w:sz w:val="24"/>
          <w:szCs w:val="24"/>
          <w:lang w:eastAsia="zh-CN"/>
        </w:rPr>
        <w:t> 2008; </w:t>
      </w:r>
      <w:r w:rsidRPr="00C10ABF">
        <w:rPr>
          <w:rFonts w:ascii="Book Antiqua" w:eastAsia="宋体" w:hAnsi="Book Antiqua" w:cs="宋体"/>
          <w:b/>
          <w:bCs/>
          <w:kern w:val="0"/>
          <w:sz w:val="24"/>
          <w:szCs w:val="24"/>
          <w:lang w:eastAsia="zh-CN"/>
        </w:rPr>
        <w:t>73</w:t>
      </w:r>
      <w:r w:rsidRPr="00C10ABF">
        <w:rPr>
          <w:rFonts w:ascii="Book Antiqua" w:eastAsia="宋体" w:hAnsi="Book Antiqua" w:cs="宋体"/>
          <w:kern w:val="0"/>
          <w:sz w:val="24"/>
          <w:szCs w:val="24"/>
          <w:lang w:eastAsia="zh-CN"/>
        </w:rPr>
        <w:t>: 1062-1068 [PMID: 18288102 DOI: 10.1038/ki.2008.25]</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69 </w:t>
      </w:r>
      <w:r w:rsidRPr="00C10ABF">
        <w:rPr>
          <w:rFonts w:ascii="Book Antiqua" w:eastAsia="宋体" w:hAnsi="Book Antiqua" w:cs="宋体"/>
          <w:b/>
          <w:bCs/>
          <w:kern w:val="0"/>
          <w:sz w:val="24"/>
          <w:szCs w:val="24"/>
          <w:lang w:eastAsia="zh-CN"/>
        </w:rPr>
        <w:t>Nagayama H</w:t>
      </w:r>
      <w:r w:rsidRPr="00C10ABF">
        <w:rPr>
          <w:rFonts w:ascii="Book Antiqua" w:eastAsia="宋体" w:hAnsi="Book Antiqua" w:cs="宋体"/>
          <w:kern w:val="0"/>
          <w:sz w:val="24"/>
          <w:szCs w:val="24"/>
          <w:lang w:eastAsia="zh-CN"/>
        </w:rPr>
        <w:t>, Inaba M, Okabe R, Emoto M, Ishimura E, Okazaki S, Nishizawa Y. Glycated albumin as an improved indicator of glycemic control in hemodialysis patients with type 2 diabetes based on fasting plasma glucose and oral glucose tolerance test. </w:t>
      </w:r>
      <w:r w:rsidRPr="00C10ABF">
        <w:rPr>
          <w:rFonts w:ascii="Book Antiqua" w:eastAsia="宋体" w:hAnsi="Book Antiqua" w:cs="宋体"/>
          <w:i/>
          <w:iCs/>
          <w:kern w:val="0"/>
          <w:sz w:val="24"/>
          <w:szCs w:val="24"/>
          <w:lang w:eastAsia="zh-CN"/>
        </w:rPr>
        <w:t>Biomed Pharmacother</w:t>
      </w:r>
      <w:r w:rsidRPr="00C10ABF">
        <w:rPr>
          <w:rFonts w:ascii="Book Antiqua" w:eastAsia="宋体" w:hAnsi="Book Antiqua" w:cs="宋体"/>
          <w:kern w:val="0"/>
          <w:sz w:val="24"/>
          <w:szCs w:val="24"/>
          <w:lang w:eastAsia="zh-CN"/>
        </w:rPr>
        <w:t> 2009; </w:t>
      </w:r>
      <w:r w:rsidRPr="00C10ABF">
        <w:rPr>
          <w:rFonts w:ascii="Book Antiqua" w:eastAsia="宋体" w:hAnsi="Book Antiqua" w:cs="宋体"/>
          <w:b/>
          <w:bCs/>
          <w:kern w:val="0"/>
          <w:sz w:val="24"/>
          <w:szCs w:val="24"/>
          <w:lang w:eastAsia="zh-CN"/>
        </w:rPr>
        <w:t>63</w:t>
      </w:r>
      <w:r w:rsidRPr="00C10ABF">
        <w:rPr>
          <w:rFonts w:ascii="Book Antiqua" w:eastAsia="宋体" w:hAnsi="Book Antiqua" w:cs="宋体"/>
          <w:kern w:val="0"/>
          <w:sz w:val="24"/>
          <w:szCs w:val="24"/>
          <w:lang w:eastAsia="zh-CN"/>
        </w:rPr>
        <w:t>: 236-240 [PMID: 18538530 DOI: 10.1016/j.biopha.2008.04.002]</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70 </w:t>
      </w:r>
      <w:r w:rsidRPr="00C10ABF">
        <w:rPr>
          <w:rFonts w:ascii="Book Antiqua" w:eastAsia="宋体" w:hAnsi="Book Antiqua" w:cs="宋体"/>
          <w:b/>
          <w:bCs/>
          <w:kern w:val="0"/>
          <w:sz w:val="24"/>
          <w:szCs w:val="24"/>
          <w:lang w:eastAsia="zh-CN"/>
        </w:rPr>
        <w:t>Viljoen M</w:t>
      </w:r>
      <w:r w:rsidRPr="00C10ABF">
        <w:rPr>
          <w:rFonts w:ascii="Book Antiqua" w:eastAsia="宋体" w:hAnsi="Book Antiqua" w:cs="宋体"/>
          <w:kern w:val="0"/>
          <w:sz w:val="24"/>
          <w:szCs w:val="24"/>
          <w:lang w:eastAsia="zh-CN"/>
        </w:rPr>
        <w:t>, de Oliveira AA, Milne FJ. Physical properties of the red blood cells in chronic renal failure. </w:t>
      </w:r>
      <w:r w:rsidRPr="00C10ABF">
        <w:rPr>
          <w:rFonts w:ascii="Book Antiqua" w:eastAsia="宋体" w:hAnsi="Book Antiqua" w:cs="宋体"/>
          <w:i/>
          <w:iCs/>
          <w:kern w:val="0"/>
          <w:sz w:val="24"/>
          <w:szCs w:val="24"/>
          <w:lang w:eastAsia="zh-CN"/>
        </w:rPr>
        <w:t>Nephron</w:t>
      </w:r>
      <w:r w:rsidRPr="00C10ABF">
        <w:rPr>
          <w:rFonts w:ascii="Book Antiqua" w:eastAsia="宋体" w:hAnsi="Book Antiqua" w:cs="宋体"/>
          <w:kern w:val="0"/>
          <w:sz w:val="24"/>
          <w:szCs w:val="24"/>
          <w:lang w:eastAsia="zh-CN"/>
        </w:rPr>
        <w:t> 1991; </w:t>
      </w:r>
      <w:r w:rsidRPr="00C10ABF">
        <w:rPr>
          <w:rFonts w:ascii="Book Antiqua" w:eastAsia="宋体" w:hAnsi="Book Antiqua" w:cs="宋体"/>
          <w:b/>
          <w:bCs/>
          <w:kern w:val="0"/>
          <w:sz w:val="24"/>
          <w:szCs w:val="24"/>
          <w:lang w:eastAsia="zh-CN"/>
        </w:rPr>
        <w:t>59</w:t>
      </w:r>
      <w:r w:rsidRPr="00C10ABF">
        <w:rPr>
          <w:rFonts w:ascii="Book Antiqua" w:eastAsia="宋体" w:hAnsi="Book Antiqua" w:cs="宋体"/>
          <w:kern w:val="0"/>
          <w:sz w:val="24"/>
          <w:szCs w:val="24"/>
          <w:lang w:eastAsia="zh-CN"/>
        </w:rPr>
        <w:t>: 271-278 [PMID: 1956489]</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 xml:space="preserve">71 </w:t>
      </w:r>
      <w:hyperlink r:id="rId11" w:history="1">
        <w:r w:rsidRPr="00C10ABF">
          <w:rPr>
            <w:rFonts w:ascii="Book Antiqua" w:eastAsia="宋体" w:hAnsi="Book Antiqua" w:cs="宋体"/>
            <w:b/>
            <w:bCs/>
            <w:kern w:val="0"/>
            <w:sz w:val="24"/>
            <w:szCs w:val="24"/>
            <w:lang w:eastAsia="zh-CN"/>
          </w:rPr>
          <w:t>Expert Committee on the Diagnosis and Classification of Diabetes Mellitus</w:t>
        </w:r>
      </w:hyperlink>
      <w:r w:rsidRPr="00C10ABF">
        <w:rPr>
          <w:rFonts w:ascii="Book Antiqua" w:eastAsia="宋体" w:hAnsi="Book Antiqua" w:cs="宋体"/>
          <w:kern w:val="0"/>
          <w:sz w:val="24"/>
          <w:szCs w:val="24"/>
          <w:lang w:eastAsia="zh-CN"/>
        </w:rPr>
        <w:t>. Report of the expert committee on the diagnosis and classification of diabetes mellitus. </w:t>
      </w:r>
      <w:r w:rsidRPr="00C10ABF">
        <w:rPr>
          <w:rFonts w:ascii="Book Antiqua" w:eastAsia="宋体" w:hAnsi="Book Antiqua" w:cs="宋体"/>
          <w:i/>
          <w:iCs/>
          <w:kern w:val="0"/>
          <w:sz w:val="24"/>
          <w:szCs w:val="24"/>
          <w:lang w:eastAsia="zh-CN"/>
        </w:rPr>
        <w:t>Diabetes Care</w:t>
      </w:r>
      <w:r w:rsidRPr="00C10ABF">
        <w:rPr>
          <w:rFonts w:ascii="Book Antiqua" w:eastAsia="宋体" w:hAnsi="Book Antiqua" w:cs="宋体"/>
          <w:kern w:val="0"/>
          <w:sz w:val="24"/>
          <w:szCs w:val="24"/>
          <w:lang w:eastAsia="zh-CN"/>
        </w:rPr>
        <w:t> 2003; </w:t>
      </w:r>
      <w:r w:rsidRPr="00C10ABF">
        <w:rPr>
          <w:rFonts w:ascii="Book Antiqua" w:eastAsia="宋体" w:hAnsi="Book Antiqua" w:cs="宋体"/>
          <w:b/>
          <w:bCs/>
          <w:kern w:val="0"/>
          <w:sz w:val="24"/>
          <w:szCs w:val="24"/>
          <w:lang w:eastAsia="zh-CN"/>
        </w:rPr>
        <w:t xml:space="preserve">26 </w:t>
      </w:r>
      <w:r w:rsidRPr="00C10ABF">
        <w:rPr>
          <w:rFonts w:ascii="Book Antiqua" w:eastAsia="宋体" w:hAnsi="Book Antiqua" w:cs="宋体"/>
          <w:bCs/>
          <w:kern w:val="0"/>
          <w:sz w:val="24"/>
          <w:szCs w:val="24"/>
          <w:lang w:eastAsia="zh-CN"/>
        </w:rPr>
        <w:t>Suppl 1</w:t>
      </w:r>
      <w:r w:rsidRPr="00C10ABF">
        <w:rPr>
          <w:rFonts w:ascii="Book Antiqua" w:eastAsia="宋体" w:hAnsi="Book Antiqua" w:cs="宋体"/>
          <w:kern w:val="0"/>
          <w:sz w:val="24"/>
          <w:szCs w:val="24"/>
          <w:lang w:eastAsia="zh-CN"/>
        </w:rPr>
        <w:t>: S5-20 [PMID: 12502614]</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72 </w:t>
      </w:r>
      <w:r w:rsidRPr="00C10ABF">
        <w:rPr>
          <w:rFonts w:ascii="Book Antiqua" w:eastAsia="宋体" w:hAnsi="Book Antiqua" w:cs="宋体"/>
          <w:b/>
          <w:bCs/>
          <w:kern w:val="0"/>
          <w:sz w:val="24"/>
          <w:szCs w:val="24"/>
          <w:lang w:eastAsia="zh-CN"/>
        </w:rPr>
        <w:t>Inaba M</w:t>
      </w:r>
      <w:r w:rsidRPr="00C10ABF">
        <w:rPr>
          <w:rFonts w:ascii="Book Antiqua" w:eastAsia="宋体" w:hAnsi="Book Antiqua" w:cs="宋体"/>
          <w:kern w:val="0"/>
          <w:sz w:val="24"/>
          <w:szCs w:val="24"/>
          <w:lang w:eastAsia="zh-CN"/>
        </w:rPr>
        <w:t>, Maekawa K, Okuno S, Imanishi Y, Hayashino Y, Emoto M, Shoji T, Ishimura E, Yamakawa T, Nishizawa Y. Impact of atherosclerosis on the relationship of glycemic control and mortality in diabetic patients on hemodialysis. </w:t>
      </w:r>
      <w:r w:rsidRPr="00C10ABF">
        <w:rPr>
          <w:rFonts w:ascii="Book Antiqua" w:eastAsia="宋体" w:hAnsi="Book Antiqua" w:cs="宋体"/>
          <w:i/>
          <w:iCs/>
          <w:kern w:val="0"/>
          <w:sz w:val="24"/>
          <w:szCs w:val="24"/>
          <w:lang w:eastAsia="zh-CN"/>
        </w:rPr>
        <w:t>Clin Nephrol</w:t>
      </w:r>
      <w:r w:rsidRPr="00C10ABF">
        <w:rPr>
          <w:rFonts w:ascii="Book Antiqua" w:eastAsia="宋体" w:hAnsi="Book Antiqua" w:cs="宋体"/>
          <w:kern w:val="0"/>
          <w:sz w:val="24"/>
          <w:szCs w:val="24"/>
          <w:lang w:eastAsia="zh-CN"/>
        </w:rPr>
        <w:t> 2012; </w:t>
      </w:r>
      <w:r w:rsidRPr="00C10ABF">
        <w:rPr>
          <w:rFonts w:ascii="Book Antiqua" w:eastAsia="宋体" w:hAnsi="Book Antiqua" w:cs="宋体"/>
          <w:b/>
          <w:bCs/>
          <w:kern w:val="0"/>
          <w:sz w:val="24"/>
          <w:szCs w:val="24"/>
          <w:lang w:eastAsia="zh-CN"/>
        </w:rPr>
        <w:t>78</w:t>
      </w:r>
      <w:r w:rsidRPr="00C10ABF">
        <w:rPr>
          <w:rFonts w:ascii="Book Antiqua" w:eastAsia="宋体" w:hAnsi="Book Antiqua" w:cs="宋体"/>
          <w:kern w:val="0"/>
          <w:sz w:val="24"/>
          <w:szCs w:val="24"/>
          <w:lang w:eastAsia="zh-CN"/>
        </w:rPr>
        <w:t>: 273-280 [PMID: 22541674 DOI: 10.5414/CN106940]</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73 </w:t>
      </w:r>
      <w:r w:rsidRPr="00C10ABF">
        <w:rPr>
          <w:rFonts w:ascii="Book Antiqua" w:eastAsia="宋体" w:hAnsi="Book Antiqua" w:cs="宋体"/>
          <w:b/>
          <w:bCs/>
          <w:kern w:val="0"/>
          <w:sz w:val="24"/>
          <w:szCs w:val="24"/>
          <w:lang w:eastAsia="zh-CN"/>
        </w:rPr>
        <w:t>Freedman BI</w:t>
      </w:r>
      <w:r w:rsidRPr="00C10ABF">
        <w:rPr>
          <w:rFonts w:ascii="Book Antiqua" w:eastAsia="宋体" w:hAnsi="Book Antiqua" w:cs="宋体"/>
          <w:kern w:val="0"/>
          <w:sz w:val="24"/>
          <w:szCs w:val="24"/>
          <w:lang w:eastAsia="zh-CN"/>
        </w:rPr>
        <w:t>, Andries L, Shihabi ZK, Rocco MV, Byers JR, Cardona CY, Pickard MA, Henderson DL, Sadler MV, Courchene LM, Jordan JR, Balderston SS, Graham AD, Mauck VL, Russell GB, Bleyer AJ. Glycated albumin and risk of death and hospitalizations in diabetic dialysis patients. </w:t>
      </w:r>
      <w:r w:rsidRPr="00C10ABF">
        <w:rPr>
          <w:rFonts w:ascii="Book Antiqua" w:eastAsia="宋体" w:hAnsi="Book Antiqua" w:cs="宋体"/>
          <w:i/>
          <w:iCs/>
          <w:kern w:val="0"/>
          <w:sz w:val="24"/>
          <w:szCs w:val="24"/>
          <w:lang w:eastAsia="zh-CN"/>
        </w:rPr>
        <w:t>Clin J Am Soc Nephrol</w:t>
      </w:r>
      <w:r w:rsidRPr="00C10ABF">
        <w:rPr>
          <w:rFonts w:ascii="Book Antiqua" w:eastAsia="宋体" w:hAnsi="Book Antiqua" w:cs="宋体"/>
          <w:kern w:val="0"/>
          <w:sz w:val="24"/>
          <w:szCs w:val="24"/>
          <w:lang w:eastAsia="zh-CN"/>
        </w:rPr>
        <w:t> 2011; </w:t>
      </w:r>
      <w:r w:rsidRPr="00C10ABF">
        <w:rPr>
          <w:rFonts w:ascii="Book Antiqua" w:eastAsia="宋体" w:hAnsi="Book Antiqua" w:cs="宋体"/>
          <w:b/>
          <w:bCs/>
          <w:kern w:val="0"/>
          <w:sz w:val="24"/>
          <w:szCs w:val="24"/>
          <w:lang w:eastAsia="zh-CN"/>
        </w:rPr>
        <w:t>6</w:t>
      </w:r>
      <w:r w:rsidRPr="00C10ABF">
        <w:rPr>
          <w:rFonts w:ascii="Book Antiqua" w:eastAsia="宋体" w:hAnsi="Book Antiqua" w:cs="宋体"/>
          <w:kern w:val="0"/>
          <w:sz w:val="24"/>
          <w:szCs w:val="24"/>
          <w:lang w:eastAsia="zh-CN"/>
        </w:rPr>
        <w:t>: 1635-1643 [PMID: 21597024 DOI: 10.2215/CJN.11491210]</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74 </w:t>
      </w:r>
      <w:r w:rsidRPr="00C10ABF">
        <w:rPr>
          <w:rFonts w:ascii="Book Antiqua" w:eastAsia="宋体" w:hAnsi="Book Antiqua" w:cs="宋体"/>
          <w:b/>
          <w:bCs/>
          <w:kern w:val="0"/>
          <w:sz w:val="24"/>
          <w:szCs w:val="24"/>
          <w:lang w:eastAsia="zh-CN"/>
        </w:rPr>
        <w:t>Stenvinkel P</w:t>
      </w:r>
      <w:r w:rsidRPr="00C10ABF">
        <w:rPr>
          <w:rFonts w:ascii="Book Antiqua" w:eastAsia="宋体" w:hAnsi="Book Antiqua" w:cs="宋体"/>
          <w:kern w:val="0"/>
          <w:sz w:val="24"/>
          <w:szCs w:val="24"/>
          <w:lang w:eastAsia="zh-CN"/>
        </w:rPr>
        <w:t>, Heimbürger O, Lindholm B, Kaysen GA, Bergström J. Are there two types of malnutrition in chronic renal failure? Evidence for relationships between malnutrition, inflammation and atherosclerosis (MIA syndrome). </w:t>
      </w:r>
      <w:r w:rsidRPr="00C10ABF">
        <w:rPr>
          <w:rFonts w:ascii="Book Antiqua" w:eastAsia="宋体" w:hAnsi="Book Antiqua" w:cs="宋体"/>
          <w:i/>
          <w:iCs/>
          <w:kern w:val="0"/>
          <w:sz w:val="24"/>
          <w:szCs w:val="24"/>
          <w:lang w:eastAsia="zh-CN"/>
        </w:rPr>
        <w:t>Nephrol Dial Transplant</w:t>
      </w:r>
      <w:r w:rsidRPr="00C10ABF">
        <w:rPr>
          <w:rFonts w:ascii="Book Antiqua" w:eastAsia="宋体" w:hAnsi="Book Antiqua" w:cs="宋体"/>
          <w:kern w:val="0"/>
          <w:sz w:val="24"/>
          <w:szCs w:val="24"/>
          <w:lang w:eastAsia="zh-CN"/>
        </w:rPr>
        <w:t> 2000; </w:t>
      </w:r>
      <w:r w:rsidRPr="00C10ABF">
        <w:rPr>
          <w:rFonts w:ascii="Book Antiqua" w:eastAsia="宋体" w:hAnsi="Book Antiqua" w:cs="宋体"/>
          <w:b/>
          <w:bCs/>
          <w:kern w:val="0"/>
          <w:sz w:val="24"/>
          <w:szCs w:val="24"/>
          <w:lang w:eastAsia="zh-CN"/>
        </w:rPr>
        <w:t>15</w:t>
      </w:r>
      <w:r w:rsidRPr="00C10ABF">
        <w:rPr>
          <w:rFonts w:ascii="Book Antiqua" w:eastAsia="宋体" w:hAnsi="Book Antiqua" w:cs="宋体"/>
          <w:kern w:val="0"/>
          <w:sz w:val="24"/>
          <w:szCs w:val="24"/>
          <w:lang w:eastAsia="zh-CN"/>
        </w:rPr>
        <w:t>: 953-960 [PMID: 10862630]</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75 </w:t>
      </w:r>
      <w:r w:rsidRPr="00C10ABF">
        <w:rPr>
          <w:rFonts w:ascii="Book Antiqua" w:eastAsia="宋体" w:hAnsi="Book Antiqua" w:cs="宋体"/>
          <w:b/>
          <w:bCs/>
          <w:kern w:val="0"/>
          <w:sz w:val="24"/>
          <w:szCs w:val="24"/>
          <w:lang w:eastAsia="zh-CN"/>
        </w:rPr>
        <w:t>Lee YS</w:t>
      </w:r>
      <w:r w:rsidRPr="00C10ABF">
        <w:rPr>
          <w:rFonts w:ascii="Book Antiqua" w:eastAsia="宋体" w:hAnsi="Book Antiqua" w:cs="宋体"/>
          <w:kern w:val="0"/>
          <w:sz w:val="24"/>
          <w:szCs w:val="24"/>
          <w:lang w:eastAsia="zh-CN"/>
        </w:rPr>
        <w:t>, Park MS, Choung JS, Kim SS, Oh HH, Choi CS, Ha SY, Kang Y, Kim Y, Jun HS. Glucagon-like peptide-1 inhibits adipose tissue macrophage infiltration and inflammation in an obese mouse model of diabetes. </w:t>
      </w:r>
      <w:r w:rsidRPr="00C10ABF">
        <w:rPr>
          <w:rFonts w:ascii="Book Antiqua" w:eastAsia="宋体" w:hAnsi="Book Antiqua" w:cs="宋体"/>
          <w:i/>
          <w:iCs/>
          <w:kern w:val="0"/>
          <w:sz w:val="24"/>
          <w:szCs w:val="24"/>
          <w:lang w:eastAsia="zh-CN"/>
        </w:rPr>
        <w:t>Diabetologia</w:t>
      </w:r>
      <w:r w:rsidRPr="00C10ABF">
        <w:rPr>
          <w:rFonts w:ascii="Book Antiqua" w:eastAsia="宋体" w:hAnsi="Book Antiqua" w:cs="宋体"/>
          <w:kern w:val="0"/>
          <w:sz w:val="24"/>
          <w:szCs w:val="24"/>
          <w:lang w:eastAsia="zh-CN"/>
        </w:rPr>
        <w:t> 2012; </w:t>
      </w:r>
      <w:r w:rsidRPr="00C10ABF">
        <w:rPr>
          <w:rFonts w:ascii="Book Antiqua" w:eastAsia="宋体" w:hAnsi="Book Antiqua" w:cs="宋体"/>
          <w:b/>
          <w:bCs/>
          <w:kern w:val="0"/>
          <w:sz w:val="24"/>
          <w:szCs w:val="24"/>
          <w:lang w:eastAsia="zh-CN"/>
        </w:rPr>
        <w:t>55</w:t>
      </w:r>
      <w:r w:rsidRPr="00C10ABF">
        <w:rPr>
          <w:rFonts w:ascii="Book Antiqua" w:eastAsia="宋体" w:hAnsi="Book Antiqua" w:cs="宋体"/>
          <w:kern w:val="0"/>
          <w:sz w:val="24"/>
          <w:szCs w:val="24"/>
          <w:lang w:eastAsia="zh-CN"/>
        </w:rPr>
        <w:t>: 2456-2468 [PMID: 22722451 DOI: 10.1007/s00125-012-2592-3]</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76 </w:t>
      </w:r>
      <w:r w:rsidRPr="00C10ABF">
        <w:rPr>
          <w:rFonts w:ascii="Book Antiqua" w:eastAsia="宋体" w:hAnsi="Book Antiqua" w:cs="宋体"/>
          <w:b/>
          <w:bCs/>
          <w:kern w:val="0"/>
          <w:sz w:val="24"/>
          <w:szCs w:val="24"/>
          <w:lang w:eastAsia="zh-CN"/>
        </w:rPr>
        <w:t>Liu H</w:t>
      </w:r>
      <w:r w:rsidRPr="00C10ABF">
        <w:rPr>
          <w:rFonts w:ascii="Book Antiqua" w:eastAsia="宋体" w:hAnsi="Book Antiqua" w:cs="宋体"/>
          <w:kern w:val="0"/>
          <w:sz w:val="24"/>
          <w:szCs w:val="24"/>
          <w:lang w:eastAsia="zh-CN"/>
        </w:rPr>
        <w:t>, Hu Y, Simpson RW, Dear AE. Glucagon-like peptide-1 attenuates tumour necrosis factor-alpha-mediated induction of plasminogen [corrected] activator inhibitor-1 expression. </w:t>
      </w:r>
      <w:r w:rsidRPr="00C10ABF">
        <w:rPr>
          <w:rFonts w:ascii="Book Antiqua" w:eastAsia="宋体" w:hAnsi="Book Antiqua" w:cs="宋体"/>
          <w:i/>
          <w:iCs/>
          <w:kern w:val="0"/>
          <w:sz w:val="24"/>
          <w:szCs w:val="24"/>
          <w:lang w:eastAsia="zh-CN"/>
        </w:rPr>
        <w:t>J Endocrinol</w:t>
      </w:r>
      <w:r w:rsidRPr="00C10ABF">
        <w:rPr>
          <w:rFonts w:ascii="Book Antiqua" w:eastAsia="宋体" w:hAnsi="Book Antiqua" w:cs="宋体"/>
          <w:kern w:val="0"/>
          <w:sz w:val="24"/>
          <w:szCs w:val="24"/>
          <w:lang w:eastAsia="zh-CN"/>
        </w:rPr>
        <w:t> 2008; </w:t>
      </w:r>
      <w:r w:rsidRPr="00C10ABF">
        <w:rPr>
          <w:rFonts w:ascii="Book Antiqua" w:eastAsia="宋体" w:hAnsi="Book Antiqua" w:cs="宋体"/>
          <w:b/>
          <w:bCs/>
          <w:kern w:val="0"/>
          <w:sz w:val="24"/>
          <w:szCs w:val="24"/>
          <w:lang w:eastAsia="zh-CN"/>
        </w:rPr>
        <w:t>196</w:t>
      </w:r>
      <w:r w:rsidRPr="00C10ABF">
        <w:rPr>
          <w:rFonts w:ascii="Book Antiqua" w:eastAsia="宋体" w:hAnsi="Book Antiqua" w:cs="宋体"/>
          <w:kern w:val="0"/>
          <w:sz w:val="24"/>
          <w:szCs w:val="24"/>
          <w:lang w:eastAsia="zh-CN"/>
        </w:rPr>
        <w:t>: 57-65 [PMID: 18180317 DOI: 10.1677/JOE-07-0387]</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77 </w:t>
      </w:r>
      <w:r w:rsidRPr="00C10ABF">
        <w:rPr>
          <w:rFonts w:ascii="Book Antiqua" w:eastAsia="宋体" w:hAnsi="Book Antiqua" w:cs="宋体"/>
          <w:b/>
          <w:bCs/>
          <w:kern w:val="0"/>
          <w:sz w:val="24"/>
          <w:szCs w:val="24"/>
          <w:lang w:eastAsia="zh-CN"/>
        </w:rPr>
        <w:t>Makdissi A</w:t>
      </w:r>
      <w:r w:rsidRPr="00C10ABF">
        <w:rPr>
          <w:rFonts w:ascii="Book Antiqua" w:eastAsia="宋体" w:hAnsi="Book Antiqua" w:cs="宋体"/>
          <w:kern w:val="0"/>
          <w:sz w:val="24"/>
          <w:szCs w:val="24"/>
          <w:lang w:eastAsia="zh-CN"/>
        </w:rPr>
        <w:t>, Ghanim H, Vora M, Green K, Abuaysheh S, Chaudhuri A, Dhindsa S, Dandona P. Sitagliptin exerts an antinflammatory action. </w:t>
      </w:r>
      <w:r w:rsidRPr="00C10ABF">
        <w:rPr>
          <w:rFonts w:ascii="Book Antiqua" w:eastAsia="宋体" w:hAnsi="Book Antiqua" w:cs="宋体"/>
          <w:i/>
          <w:iCs/>
          <w:kern w:val="0"/>
          <w:sz w:val="24"/>
          <w:szCs w:val="24"/>
          <w:lang w:eastAsia="zh-CN"/>
        </w:rPr>
        <w:t>J Clin Endocrinol Metab</w:t>
      </w:r>
      <w:r w:rsidRPr="00C10ABF">
        <w:rPr>
          <w:rFonts w:ascii="Book Antiqua" w:eastAsia="宋体" w:hAnsi="Book Antiqua" w:cs="宋体"/>
          <w:kern w:val="0"/>
          <w:sz w:val="24"/>
          <w:szCs w:val="24"/>
          <w:lang w:eastAsia="zh-CN"/>
        </w:rPr>
        <w:t> 2012; </w:t>
      </w:r>
      <w:r w:rsidRPr="00C10ABF">
        <w:rPr>
          <w:rFonts w:ascii="Book Antiqua" w:eastAsia="宋体" w:hAnsi="Book Antiqua" w:cs="宋体"/>
          <w:b/>
          <w:bCs/>
          <w:kern w:val="0"/>
          <w:sz w:val="24"/>
          <w:szCs w:val="24"/>
          <w:lang w:eastAsia="zh-CN"/>
        </w:rPr>
        <w:t>97</w:t>
      </w:r>
      <w:r w:rsidRPr="00C10ABF">
        <w:rPr>
          <w:rFonts w:ascii="Book Antiqua" w:eastAsia="宋体" w:hAnsi="Book Antiqua" w:cs="宋体"/>
          <w:kern w:val="0"/>
          <w:sz w:val="24"/>
          <w:szCs w:val="24"/>
          <w:lang w:eastAsia="zh-CN"/>
        </w:rPr>
        <w:t>: 3333-3341 [PMID: 22745245 DOI: 10.1210/jc.2012-1544]</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78 </w:t>
      </w:r>
      <w:r w:rsidRPr="00C10ABF">
        <w:rPr>
          <w:rFonts w:ascii="Book Antiqua" w:eastAsia="宋体" w:hAnsi="Book Antiqua" w:cs="宋体"/>
          <w:b/>
          <w:bCs/>
          <w:kern w:val="0"/>
          <w:sz w:val="24"/>
          <w:szCs w:val="24"/>
          <w:lang w:eastAsia="zh-CN"/>
        </w:rPr>
        <w:t>Ta NN</w:t>
      </w:r>
      <w:r w:rsidRPr="00C10ABF">
        <w:rPr>
          <w:rFonts w:ascii="Book Antiqua" w:eastAsia="宋体" w:hAnsi="Book Antiqua" w:cs="宋体"/>
          <w:kern w:val="0"/>
          <w:sz w:val="24"/>
          <w:szCs w:val="24"/>
          <w:lang w:eastAsia="zh-CN"/>
        </w:rPr>
        <w:t>, Schuyler CA, Li Y, Lopes-Virella MF, Huang Y. DPP-4 (CD26) inhibitor alogliptin inhibits atherosclerosis in diabetic apolipoprotein E-deficient mice. </w:t>
      </w:r>
      <w:r w:rsidRPr="00C10ABF">
        <w:rPr>
          <w:rFonts w:ascii="Book Antiqua" w:eastAsia="宋体" w:hAnsi="Book Antiqua" w:cs="宋体"/>
          <w:i/>
          <w:iCs/>
          <w:kern w:val="0"/>
          <w:sz w:val="24"/>
          <w:szCs w:val="24"/>
          <w:lang w:eastAsia="zh-CN"/>
        </w:rPr>
        <w:t>J Cardiovasc Pharmacol</w:t>
      </w:r>
      <w:r w:rsidRPr="00C10ABF">
        <w:rPr>
          <w:rFonts w:ascii="Book Antiqua" w:eastAsia="宋体" w:hAnsi="Book Antiqua" w:cs="宋体"/>
          <w:kern w:val="0"/>
          <w:sz w:val="24"/>
          <w:szCs w:val="24"/>
          <w:lang w:eastAsia="zh-CN"/>
        </w:rPr>
        <w:t> 2011; </w:t>
      </w:r>
      <w:r w:rsidRPr="00C10ABF">
        <w:rPr>
          <w:rFonts w:ascii="Book Antiqua" w:eastAsia="宋体" w:hAnsi="Book Antiqua" w:cs="宋体"/>
          <w:b/>
          <w:bCs/>
          <w:kern w:val="0"/>
          <w:sz w:val="24"/>
          <w:szCs w:val="24"/>
          <w:lang w:eastAsia="zh-CN"/>
        </w:rPr>
        <w:t>58</w:t>
      </w:r>
      <w:r w:rsidRPr="00C10ABF">
        <w:rPr>
          <w:rFonts w:ascii="Book Antiqua" w:eastAsia="宋体" w:hAnsi="Book Antiqua" w:cs="宋体"/>
          <w:kern w:val="0"/>
          <w:sz w:val="24"/>
          <w:szCs w:val="24"/>
          <w:lang w:eastAsia="zh-CN"/>
        </w:rPr>
        <w:t>: 157-166 [PMID: 21558879 DOI: 10.1097/FJC.0b013e31821e5626]</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79 </w:t>
      </w:r>
      <w:r w:rsidRPr="00C10ABF">
        <w:rPr>
          <w:rFonts w:ascii="Book Antiqua" w:eastAsia="宋体" w:hAnsi="Book Antiqua" w:cs="宋体"/>
          <w:b/>
          <w:bCs/>
          <w:kern w:val="0"/>
          <w:sz w:val="24"/>
          <w:szCs w:val="24"/>
          <w:lang w:eastAsia="zh-CN"/>
        </w:rPr>
        <w:t>Devaraj S</w:t>
      </w:r>
      <w:r w:rsidRPr="00C10ABF">
        <w:rPr>
          <w:rFonts w:ascii="Book Antiqua" w:eastAsia="宋体" w:hAnsi="Book Antiqua" w:cs="宋体"/>
          <w:kern w:val="0"/>
          <w:sz w:val="24"/>
          <w:szCs w:val="24"/>
          <w:lang w:eastAsia="zh-CN"/>
        </w:rPr>
        <w:t>, Venugopal SK, Singh U, Jialal I. Hyperglycemia induces monocytic release of interleukin-6 via induction of protein kinase c-{alpha} and -{beta}. </w:t>
      </w:r>
      <w:r w:rsidRPr="00C10ABF">
        <w:rPr>
          <w:rFonts w:ascii="Book Antiqua" w:eastAsia="宋体" w:hAnsi="Book Antiqua" w:cs="宋体"/>
          <w:i/>
          <w:iCs/>
          <w:kern w:val="0"/>
          <w:sz w:val="24"/>
          <w:szCs w:val="24"/>
          <w:lang w:eastAsia="zh-CN"/>
        </w:rPr>
        <w:t>Diabetes</w:t>
      </w:r>
      <w:r w:rsidRPr="00C10ABF">
        <w:rPr>
          <w:rFonts w:ascii="Book Antiqua" w:eastAsia="宋体" w:hAnsi="Book Antiqua" w:cs="宋体"/>
          <w:kern w:val="0"/>
          <w:sz w:val="24"/>
          <w:szCs w:val="24"/>
          <w:lang w:eastAsia="zh-CN"/>
        </w:rPr>
        <w:t> 2005; </w:t>
      </w:r>
      <w:r w:rsidRPr="00C10ABF">
        <w:rPr>
          <w:rFonts w:ascii="Book Antiqua" w:eastAsia="宋体" w:hAnsi="Book Antiqua" w:cs="宋体"/>
          <w:b/>
          <w:bCs/>
          <w:kern w:val="0"/>
          <w:sz w:val="24"/>
          <w:szCs w:val="24"/>
          <w:lang w:eastAsia="zh-CN"/>
        </w:rPr>
        <w:t>54</w:t>
      </w:r>
      <w:r w:rsidRPr="00C10ABF">
        <w:rPr>
          <w:rFonts w:ascii="Book Antiqua" w:eastAsia="宋体" w:hAnsi="Book Antiqua" w:cs="宋体"/>
          <w:kern w:val="0"/>
          <w:sz w:val="24"/>
          <w:szCs w:val="24"/>
          <w:lang w:eastAsia="zh-CN"/>
        </w:rPr>
        <w:t xml:space="preserve">: 85-91 [PMID: 15616014 DOI: </w:t>
      </w:r>
      <w:r w:rsidRPr="00C10ABF">
        <w:rPr>
          <w:rFonts w:ascii="Book Antiqua" w:hAnsi="Book Antiqua"/>
          <w:sz w:val="24"/>
          <w:szCs w:val="24"/>
          <w:shd w:val="clear" w:color="auto" w:fill="FFFFFF"/>
        </w:rPr>
        <w:t>10.2337/diabetes.54.1.85</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80 </w:t>
      </w:r>
      <w:r w:rsidRPr="00C10ABF">
        <w:rPr>
          <w:rFonts w:ascii="Book Antiqua" w:eastAsia="宋体" w:hAnsi="Book Antiqua" w:cs="宋体"/>
          <w:b/>
          <w:bCs/>
          <w:kern w:val="0"/>
          <w:sz w:val="24"/>
          <w:szCs w:val="24"/>
          <w:lang w:eastAsia="zh-CN"/>
        </w:rPr>
        <w:t>Iwata H</w:t>
      </w:r>
      <w:r w:rsidRPr="00C10ABF">
        <w:rPr>
          <w:rFonts w:ascii="Book Antiqua" w:eastAsia="宋体" w:hAnsi="Book Antiqua" w:cs="宋体"/>
          <w:kern w:val="0"/>
          <w:sz w:val="24"/>
          <w:szCs w:val="24"/>
          <w:lang w:eastAsia="zh-CN"/>
        </w:rPr>
        <w:t>, Soga Y, Meguro M, Yoshizawa S, Okada Y, Iwamoto Y, Yamashita A, Takashiba S, Nishimura F. High glucose up-regulates lipopolysaccharide-stimulated inflammatory cytokine production via c-jun N-terminal kinase in the monocytic cell line THP-1. </w:t>
      </w:r>
      <w:r w:rsidRPr="00C10ABF">
        <w:rPr>
          <w:rFonts w:ascii="Book Antiqua" w:eastAsia="宋体" w:hAnsi="Book Antiqua" w:cs="宋体"/>
          <w:i/>
          <w:iCs/>
          <w:kern w:val="0"/>
          <w:sz w:val="24"/>
          <w:szCs w:val="24"/>
          <w:lang w:eastAsia="zh-CN"/>
        </w:rPr>
        <w:t>J Endotoxin Res</w:t>
      </w:r>
      <w:r w:rsidRPr="00C10ABF">
        <w:rPr>
          <w:rFonts w:ascii="Book Antiqua" w:eastAsia="宋体" w:hAnsi="Book Antiqua" w:cs="宋体"/>
          <w:kern w:val="0"/>
          <w:sz w:val="24"/>
          <w:szCs w:val="24"/>
          <w:lang w:eastAsia="zh-CN"/>
        </w:rPr>
        <w:t> 2007; </w:t>
      </w:r>
      <w:r w:rsidRPr="00C10ABF">
        <w:rPr>
          <w:rFonts w:ascii="Book Antiqua" w:eastAsia="宋体" w:hAnsi="Book Antiqua" w:cs="宋体"/>
          <w:b/>
          <w:bCs/>
          <w:kern w:val="0"/>
          <w:sz w:val="24"/>
          <w:szCs w:val="24"/>
          <w:lang w:eastAsia="zh-CN"/>
        </w:rPr>
        <w:t>13</w:t>
      </w:r>
      <w:r w:rsidRPr="00C10ABF">
        <w:rPr>
          <w:rFonts w:ascii="Book Antiqua" w:eastAsia="宋体" w:hAnsi="Book Antiqua" w:cs="宋体"/>
          <w:kern w:val="0"/>
          <w:sz w:val="24"/>
          <w:szCs w:val="24"/>
          <w:lang w:eastAsia="zh-CN"/>
        </w:rPr>
        <w:t xml:space="preserve">: 227-234 [PMID: 17956941 DOI: </w:t>
      </w:r>
      <w:r w:rsidRPr="00C10ABF">
        <w:rPr>
          <w:rFonts w:ascii="Book Antiqua" w:hAnsi="Book Antiqua"/>
          <w:sz w:val="24"/>
          <w:szCs w:val="24"/>
          <w:shd w:val="clear" w:color="auto" w:fill="FFFFFF"/>
        </w:rPr>
        <w:t>10.1177/0968051907082608</w:t>
      </w:r>
      <w:r w:rsidRPr="00C10ABF">
        <w:rPr>
          <w:rFonts w:ascii="Book Antiqua" w:eastAsia="宋体" w:hAnsi="Book Antiqua" w:cs="宋体"/>
          <w:kern w:val="0"/>
          <w:sz w:val="24"/>
          <w:szCs w:val="24"/>
          <w:lang w:eastAsia="zh-CN"/>
        </w:rPr>
        <w:t>]</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81 </w:t>
      </w:r>
      <w:r w:rsidRPr="00C10ABF">
        <w:rPr>
          <w:rFonts w:ascii="Book Antiqua" w:eastAsia="宋体" w:hAnsi="Book Antiqua" w:cs="宋体"/>
          <w:b/>
          <w:bCs/>
          <w:kern w:val="0"/>
          <w:sz w:val="24"/>
          <w:szCs w:val="24"/>
          <w:lang w:eastAsia="zh-CN"/>
        </w:rPr>
        <w:t>Agarwal S</w:t>
      </w:r>
      <w:r w:rsidRPr="00C10ABF">
        <w:rPr>
          <w:rFonts w:ascii="Book Antiqua" w:eastAsia="宋体" w:hAnsi="Book Antiqua" w:cs="宋体"/>
          <w:kern w:val="0"/>
          <w:sz w:val="24"/>
          <w:szCs w:val="24"/>
          <w:lang w:eastAsia="zh-CN"/>
        </w:rPr>
        <w:t>, Parashar A, Menon V. Meta-analysis of the cardiovascular outcomes with dipeptidyl peptidase 4 inhibitors: validation of the current FDA mandate. </w:t>
      </w:r>
      <w:r w:rsidRPr="00C10ABF">
        <w:rPr>
          <w:rFonts w:ascii="Book Antiqua" w:eastAsia="宋体" w:hAnsi="Book Antiqua" w:cs="宋体"/>
          <w:i/>
          <w:iCs/>
          <w:kern w:val="0"/>
          <w:sz w:val="24"/>
          <w:szCs w:val="24"/>
          <w:lang w:eastAsia="zh-CN"/>
        </w:rPr>
        <w:t>Am J Cardiovasc Drugs</w:t>
      </w:r>
      <w:r w:rsidRPr="00C10ABF">
        <w:rPr>
          <w:rFonts w:ascii="Book Antiqua" w:eastAsia="宋体" w:hAnsi="Book Antiqua" w:cs="宋体"/>
          <w:kern w:val="0"/>
          <w:sz w:val="24"/>
          <w:szCs w:val="24"/>
          <w:lang w:eastAsia="zh-CN"/>
        </w:rPr>
        <w:t> 2014; </w:t>
      </w:r>
      <w:r w:rsidRPr="00C10ABF">
        <w:rPr>
          <w:rFonts w:ascii="Book Antiqua" w:eastAsia="宋体" w:hAnsi="Book Antiqua" w:cs="宋体"/>
          <w:b/>
          <w:bCs/>
          <w:kern w:val="0"/>
          <w:sz w:val="24"/>
          <w:szCs w:val="24"/>
          <w:lang w:eastAsia="zh-CN"/>
        </w:rPr>
        <w:t>14</w:t>
      </w:r>
      <w:r w:rsidRPr="00C10ABF">
        <w:rPr>
          <w:rFonts w:ascii="Book Antiqua" w:eastAsia="宋体" w:hAnsi="Book Antiqua" w:cs="宋体"/>
          <w:kern w:val="0"/>
          <w:sz w:val="24"/>
          <w:szCs w:val="24"/>
          <w:lang w:eastAsia="zh-CN"/>
        </w:rPr>
        <w:t>: 191-207 [PMID: 24687214 DOI: 10.1007/s40256-014-0070-7]</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82 </w:t>
      </w:r>
      <w:r w:rsidRPr="00C10ABF">
        <w:rPr>
          <w:rFonts w:ascii="Book Antiqua" w:eastAsia="宋体" w:hAnsi="Book Antiqua" w:cs="宋体"/>
          <w:b/>
          <w:bCs/>
          <w:kern w:val="0"/>
          <w:sz w:val="24"/>
          <w:szCs w:val="24"/>
          <w:lang w:eastAsia="zh-CN"/>
        </w:rPr>
        <w:t>Scirica BM</w:t>
      </w:r>
      <w:r w:rsidRPr="00C10ABF">
        <w:rPr>
          <w:rFonts w:ascii="Book Antiqua" w:eastAsia="宋体" w:hAnsi="Book Antiqua" w:cs="宋体"/>
          <w:kern w:val="0"/>
          <w:sz w:val="24"/>
          <w:szCs w:val="24"/>
          <w:lang w:eastAsia="zh-CN"/>
        </w:rPr>
        <w:t>, Bhatt DL, Braunwald E, Steg PG, Davidson J, Hirshberg B, Ohman P, Frederich R, Wiviott SD, Hoffman EB, Cavender MA, Udell JA, Desai NR, Mosenzon O, McGuire DK, Ray KK, Leiter LA, Raz I. Saxagliptin and cardiovascular outcomes in patients with type 2 diabetes mellitus. </w:t>
      </w:r>
      <w:r w:rsidRPr="00C10ABF">
        <w:rPr>
          <w:rFonts w:ascii="Book Antiqua" w:eastAsia="宋体" w:hAnsi="Book Antiqua" w:cs="宋体"/>
          <w:i/>
          <w:iCs/>
          <w:kern w:val="0"/>
          <w:sz w:val="24"/>
          <w:szCs w:val="24"/>
          <w:lang w:eastAsia="zh-CN"/>
        </w:rPr>
        <w:t>N Engl J Med</w:t>
      </w:r>
      <w:r w:rsidRPr="00C10ABF">
        <w:rPr>
          <w:rFonts w:ascii="Book Antiqua" w:eastAsia="宋体" w:hAnsi="Book Antiqua" w:cs="宋体"/>
          <w:kern w:val="0"/>
          <w:sz w:val="24"/>
          <w:szCs w:val="24"/>
          <w:lang w:eastAsia="zh-CN"/>
        </w:rPr>
        <w:t> 2013; </w:t>
      </w:r>
      <w:r w:rsidRPr="00C10ABF">
        <w:rPr>
          <w:rFonts w:ascii="Book Antiqua" w:eastAsia="宋体" w:hAnsi="Book Antiqua" w:cs="宋体"/>
          <w:b/>
          <w:bCs/>
          <w:kern w:val="0"/>
          <w:sz w:val="24"/>
          <w:szCs w:val="24"/>
          <w:lang w:eastAsia="zh-CN"/>
        </w:rPr>
        <w:t>369</w:t>
      </w:r>
      <w:r w:rsidRPr="00C10ABF">
        <w:rPr>
          <w:rFonts w:ascii="Book Antiqua" w:eastAsia="宋体" w:hAnsi="Book Antiqua" w:cs="宋体"/>
          <w:kern w:val="0"/>
          <w:sz w:val="24"/>
          <w:szCs w:val="24"/>
          <w:lang w:eastAsia="zh-CN"/>
        </w:rPr>
        <w:t>: 1317-1326 [PMID: 23992601 DOI: 10.1056/NEJMoa1307684]</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83 </w:t>
      </w:r>
      <w:r w:rsidRPr="00C10ABF">
        <w:rPr>
          <w:rFonts w:ascii="Book Antiqua" w:eastAsia="宋体" w:hAnsi="Book Antiqua" w:cs="宋体"/>
          <w:b/>
          <w:bCs/>
          <w:kern w:val="0"/>
          <w:sz w:val="24"/>
          <w:szCs w:val="24"/>
          <w:lang w:eastAsia="zh-CN"/>
        </w:rPr>
        <w:t>White WB</w:t>
      </w:r>
      <w:r w:rsidRPr="00C10ABF">
        <w:rPr>
          <w:rFonts w:ascii="Book Antiqua" w:eastAsia="宋体" w:hAnsi="Book Antiqua" w:cs="宋体"/>
          <w:kern w:val="0"/>
          <w:sz w:val="24"/>
          <w:szCs w:val="24"/>
          <w:lang w:eastAsia="zh-CN"/>
        </w:rPr>
        <w:t>, Cannon CP, Heller SR, Nissen SE, Bergenstal RM, Bakris GL, Perez AT, Fleck PR, Mehta CR, Kupfer S, Wilson C, Cushman WC, Zannad F. Alogliptin after acute coronary syndrome in patients with type 2 diabetes. </w:t>
      </w:r>
      <w:r w:rsidRPr="00C10ABF">
        <w:rPr>
          <w:rFonts w:ascii="Book Antiqua" w:eastAsia="宋体" w:hAnsi="Book Antiqua" w:cs="宋体"/>
          <w:i/>
          <w:iCs/>
          <w:kern w:val="0"/>
          <w:sz w:val="24"/>
          <w:szCs w:val="24"/>
          <w:lang w:eastAsia="zh-CN"/>
        </w:rPr>
        <w:t>N Engl J Med</w:t>
      </w:r>
      <w:r w:rsidRPr="00C10ABF">
        <w:rPr>
          <w:rFonts w:ascii="Book Antiqua" w:eastAsia="宋体" w:hAnsi="Book Antiqua" w:cs="宋体"/>
          <w:kern w:val="0"/>
          <w:sz w:val="24"/>
          <w:szCs w:val="24"/>
          <w:lang w:eastAsia="zh-CN"/>
        </w:rPr>
        <w:t> 2013; </w:t>
      </w:r>
      <w:r w:rsidRPr="00C10ABF">
        <w:rPr>
          <w:rFonts w:ascii="Book Antiqua" w:eastAsia="宋体" w:hAnsi="Book Antiqua" w:cs="宋体"/>
          <w:b/>
          <w:bCs/>
          <w:kern w:val="0"/>
          <w:sz w:val="24"/>
          <w:szCs w:val="24"/>
          <w:lang w:eastAsia="zh-CN"/>
        </w:rPr>
        <w:t>369</w:t>
      </w:r>
      <w:r w:rsidRPr="00C10ABF">
        <w:rPr>
          <w:rFonts w:ascii="Book Antiqua" w:eastAsia="宋体" w:hAnsi="Book Antiqua" w:cs="宋体"/>
          <w:kern w:val="0"/>
          <w:sz w:val="24"/>
          <w:szCs w:val="24"/>
          <w:lang w:eastAsia="zh-CN"/>
        </w:rPr>
        <w:t>: 1327-1335 [PMID: 23992602 DOI: 10.1056/NEJMoa1305889]</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84 </w:t>
      </w:r>
      <w:r w:rsidRPr="00C10ABF">
        <w:rPr>
          <w:rFonts w:ascii="Book Antiqua" w:eastAsia="宋体" w:hAnsi="Book Antiqua" w:cs="宋体"/>
          <w:b/>
          <w:bCs/>
          <w:kern w:val="0"/>
          <w:sz w:val="24"/>
          <w:szCs w:val="24"/>
          <w:lang w:eastAsia="zh-CN"/>
        </w:rPr>
        <w:t>Ligueros-Saylan M</w:t>
      </w:r>
      <w:r w:rsidRPr="00C10ABF">
        <w:rPr>
          <w:rFonts w:ascii="Book Antiqua" w:eastAsia="宋体" w:hAnsi="Book Antiqua" w:cs="宋体"/>
          <w:kern w:val="0"/>
          <w:sz w:val="24"/>
          <w:szCs w:val="24"/>
          <w:lang w:eastAsia="zh-CN"/>
        </w:rPr>
        <w:t>, Foley JE, Schweizer A, Couturier A, Kothny W. An assessment of adverse effects of vildagliptin versus comparators on the liver, the pancreas, the immune system, the skin and in patients with impaired renal function from a large pooled database of Phase II and III clinical trials. </w:t>
      </w:r>
      <w:r w:rsidRPr="00C10ABF">
        <w:rPr>
          <w:rFonts w:ascii="Book Antiqua" w:eastAsia="宋体" w:hAnsi="Book Antiqua" w:cs="宋体"/>
          <w:i/>
          <w:iCs/>
          <w:kern w:val="0"/>
          <w:sz w:val="24"/>
          <w:szCs w:val="24"/>
          <w:lang w:eastAsia="zh-CN"/>
        </w:rPr>
        <w:t>Diabetes Obes Metab</w:t>
      </w:r>
      <w:r w:rsidRPr="00C10ABF">
        <w:rPr>
          <w:rFonts w:ascii="Book Antiqua" w:eastAsia="宋体" w:hAnsi="Book Antiqua" w:cs="宋体"/>
          <w:kern w:val="0"/>
          <w:sz w:val="24"/>
          <w:szCs w:val="24"/>
          <w:lang w:eastAsia="zh-CN"/>
        </w:rPr>
        <w:t> 2010; </w:t>
      </w:r>
      <w:r w:rsidRPr="00C10ABF">
        <w:rPr>
          <w:rFonts w:ascii="Book Antiqua" w:eastAsia="宋体" w:hAnsi="Book Antiqua" w:cs="宋体"/>
          <w:b/>
          <w:bCs/>
          <w:kern w:val="0"/>
          <w:sz w:val="24"/>
          <w:szCs w:val="24"/>
          <w:lang w:eastAsia="zh-CN"/>
        </w:rPr>
        <w:t>12</w:t>
      </w:r>
      <w:r w:rsidRPr="00C10ABF">
        <w:rPr>
          <w:rFonts w:ascii="Book Antiqua" w:eastAsia="宋体" w:hAnsi="Book Antiqua" w:cs="宋体"/>
          <w:kern w:val="0"/>
          <w:sz w:val="24"/>
          <w:szCs w:val="24"/>
          <w:lang w:eastAsia="zh-CN"/>
        </w:rPr>
        <w:t>: 495-509 [PMID: 20518805 DOI: 10.1111/j.1463-1326.2010.01214.x]</w:t>
      </w:r>
    </w:p>
    <w:p w:rsidR="0001465D" w:rsidRPr="00C10ABF" w:rsidRDefault="0001465D" w:rsidP="001A72C5">
      <w:pPr>
        <w:widowControl/>
        <w:spacing w:line="360" w:lineRule="auto"/>
        <w:rPr>
          <w:rFonts w:ascii="Book Antiqua" w:eastAsia="宋体" w:hAnsi="Book Antiqua" w:cs="宋体"/>
          <w:kern w:val="0"/>
          <w:sz w:val="24"/>
          <w:szCs w:val="24"/>
          <w:lang w:eastAsia="zh-CN"/>
        </w:rPr>
      </w:pPr>
      <w:r w:rsidRPr="00C10ABF">
        <w:rPr>
          <w:rFonts w:ascii="Book Antiqua" w:eastAsia="宋体" w:hAnsi="Book Antiqua" w:cs="宋体"/>
          <w:kern w:val="0"/>
          <w:sz w:val="24"/>
          <w:szCs w:val="24"/>
          <w:lang w:eastAsia="zh-CN"/>
        </w:rPr>
        <w:t>85 </w:t>
      </w:r>
      <w:r w:rsidRPr="00C10ABF">
        <w:rPr>
          <w:rFonts w:ascii="Book Antiqua" w:eastAsia="宋体" w:hAnsi="Book Antiqua" w:cs="宋体"/>
          <w:b/>
          <w:bCs/>
          <w:kern w:val="0"/>
          <w:sz w:val="24"/>
          <w:szCs w:val="24"/>
          <w:lang w:eastAsia="zh-CN"/>
        </w:rPr>
        <w:t>Inagaki N</w:t>
      </w:r>
      <w:r w:rsidRPr="00C10ABF">
        <w:rPr>
          <w:rFonts w:ascii="Book Antiqua" w:eastAsia="宋体" w:hAnsi="Book Antiqua" w:cs="宋体"/>
          <w:kern w:val="0"/>
          <w:sz w:val="24"/>
          <w:szCs w:val="24"/>
          <w:lang w:eastAsia="zh-CN"/>
        </w:rPr>
        <w:t>, Onouchi H, Sano H, Funao N, Kuroda S, Kaku K. SYR-472, a novel once-weekly dipeptidyl peptidase-4 (DPP-4) inhibitor, in type 2 diabetes mellitus: a phase 2, randomised, double-blind, placebo-controlled trial. </w:t>
      </w:r>
      <w:r w:rsidRPr="00C10ABF">
        <w:rPr>
          <w:rFonts w:ascii="Book Antiqua" w:eastAsia="宋体" w:hAnsi="Book Antiqua" w:cs="宋体"/>
          <w:i/>
          <w:iCs/>
          <w:kern w:val="0"/>
          <w:sz w:val="24"/>
          <w:szCs w:val="24"/>
          <w:lang w:eastAsia="zh-CN"/>
        </w:rPr>
        <w:t>Lancet Diabetes Endocrinol</w:t>
      </w:r>
      <w:r w:rsidRPr="00C10ABF">
        <w:rPr>
          <w:rFonts w:ascii="Book Antiqua" w:eastAsia="宋体" w:hAnsi="Book Antiqua" w:cs="宋体"/>
          <w:kern w:val="0"/>
          <w:sz w:val="24"/>
          <w:szCs w:val="24"/>
          <w:lang w:eastAsia="zh-CN"/>
        </w:rPr>
        <w:t> 2014; </w:t>
      </w:r>
      <w:r w:rsidRPr="00C10ABF">
        <w:rPr>
          <w:rFonts w:ascii="Book Antiqua" w:eastAsia="宋体" w:hAnsi="Book Antiqua" w:cs="宋体"/>
          <w:b/>
          <w:bCs/>
          <w:kern w:val="0"/>
          <w:sz w:val="24"/>
          <w:szCs w:val="24"/>
          <w:lang w:eastAsia="zh-CN"/>
        </w:rPr>
        <w:t>2</w:t>
      </w:r>
      <w:r w:rsidRPr="00C10ABF">
        <w:rPr>
          <w:rFonts w:ascii="Book Antiqua" w:eastAsia="宋体" w:hAnsi="Book Antiqua" w:cs="宋体"/>
          <w:kern w:val="0"/>
          <w:sz w:val="24"/>
          <w:szCs w:val="24"/>
          <w:lang w:eastAsia="zh-CN"/>
        </w:rPr>
        <w:t>: 125-132 [PMID: 24622716 DOI: 10.1016/S2213-8587(13)70149-9]</w:t>
      </w:r>
    </w:p>
    <w:p w:rsidR="0001465D" w:rsidRPr="00C10ABF" w:rsidRDefault="0001465D" w:rsidP="001A72C5">
      <w:pPr>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b/>
          <w:sz w:val="24"/>
          <w:szCs w:val="24"/>
        </w:rPr>
      </w:pPr>
    </w:p>
    <w:p w:rsidR="0001465D" w:rsidRPr="00C10ABF" w:rsidRDefault="0001465D" w:rsidP="00F25235">
      <w:pPr>
        <w:snapToGrid w:val="0"/>
        <w:spacing w:line="360" w:lineRule="auto"/>
        <w:rPr>
          <w:rFonts w:ascii="Book Antiqua" w:hAnsi="Book Antiqua"/>
          <w:b/>
          <w:sz w:val="24"/>
          <w:szCs w:val="24"/>
        </w:rPr>
      </w:pPr>
    </w:p>
    <w:p w:rsidR="0001465D" w:rsidRPr="00C10ABF" w:rsidRDefault="0001465D" w:rsidP="0037272C">
      <w:pPr>
        <w:spacing w:line="360" w:lineRule="auto"/>
        <w:ind w:left="520" w:hangingChars="200" w:hanging="520"/>
        <w:jc w:val="right"/>
        <w:rPr>
          <w:rFonts w:ascii="Book Antiqua" w:hAnsi="Book Antiqua"/>
          <w:sz w:val="24"/>
        </w:rPr>
      </w:pPr>
      <w:r w:rsidRPr="00C10ABF">
        <w:rPr>
          <w:rFonts w:ascii="Book Antiqua" w:hAnsi="Book Antiqua"/>
          <w:b/>
          <w:sz w:val="24"/>
        </w:rPr>
        <w:t>P- Reviewer:</w:t>
      </w:r>
      <w:r w:rsidRPr="00C10ABF">
        <w:rPr>
          <w:rFonts w:ascii="Book Antiqua" w:eastAsia="宋体" w:hAnsi="Book Antiqua"/>
          <w:b/>
          <w:sz w:val="24"/>
          <w:lang w:eastAsia="zh-CN"/>
        </w:rPr>
        <w:t xml:space="preserve"> </w:t>
      </w:r>
      <w:r w:rsidRPr="00C10ABF">
        <w:rPr>
          <w:rFonts w:ascii="Book Antiqua" w:hAnsi="Book Antiqua"/>
          <w:sz w:val="24"/>
          <w:szCs w:val="24"/>
        </w:rPr>
        <w:t>Lai</w:t>
      </w:r>
      <w:r w:rsidRPr="00C10ABF">
        <w:rPr>
          <w:rFonts w:ascii="Book Antiqua" w:eastAsia="宋体" w:hAnsi="Book Antiqua"/>
          <w:sz w:val="24"/>
          <w:szCs w:val="24"/>
          <w:lang w:eastAsia="zh-CN"/>
        </w:rPr>
        <w:t xml:space="preserve"> </w:t>
      </w:r>
      <w:r w:rsidRPr="00C10ABF">
        <w:rPr>
          <w:rFonts w:ascii="Book Antiqua" w:hAnsi="Book Antiqua"/>
          <w:sz w:val="24"/>
          <w:szCs w:val="24"/>
        </w:rPr>
        <w:t xml:space="preserve">S </w:t>
      </w:r>
      <w:r w:rsidRPr="00C10ABF">
        <w:rPr>
          <w:rFonts w:ascii="Book Antiqua" w:hAnsi="Book Antiqua"/>
          <w:sz w:val="24"/>
        </w:rPr>
        <w:t xml:space="preserve">    </w:t>
      </w:r>
      <w:r w:rsidRPr="00C10ABF">
        <w:rPr>
          <w:rFonts w:ascii="Book Antiqua" w:hAnsi="Book Antiqua"/>
          <w:b/>
          <w:sz w:val="24"/>
        </w:rPr>
        <w:t>S- Editor:</w:t>
      </w:r>
      <w:r w:rsidRPr="00C10ABF">
        <w:rPr>
          <w:rFonts w:ascii="Book Antiqua" w:hAnsi="Book Antiqua"/>
          <w:sz w:val="24"/>
        </w:rPr>
        <w:t xml:space="preserve"> Gong XM</w:t>
      </w:r>
    </w:p>
    <w:p w:rsidR="0001465D" w:rsidRPr="00C10ABF" w:rsidRDefault="0001465D" w:rsidP="0037272C">
      <w:pPr>
        <w:spacing w:line="360" w:lineRule="auto"/>
        <w:ind w:left="520" w:hangingChars="200" w:hanging="520"/>
        <w:jc w:val="right"/>
        <w:rPr>
          <w:rFonts w:ascii="Book Antiqua" w:hAnsi="Book Antiqua"/>
          <w:b/>
          <w:sz w:val="24"/>
        </w:rPr>
      </w:pPr>
      <w:r w:rsidRPr="00C10ABF">
        <w:rPr>
          <w:rFonts w:ascii="Book Antiqua" w:hAnsi="Book Antiqua"/>
          <w:b/>
          <w:sz w:val="24"/>
        </w:rPr>
        <w:t>L- Editor:</w:t>
      </w:r>
      <w:r w:rsidRPr="00C10ABF">
        <w:rPr>
          <w:rFonts w:ascii="Book Antiqua" w:hAnsi="Book Antiqua"/>
          <w:sz w:val="24"/>
        </w:rPr>
        <w:t xml:space="preserve"> </w:t>
      </w:r>
      <w:r w:rsidRPr="00C10ABF">
        <w:rPr>
          <w:rFonts w:ascii="Book Antiqua" w:hAnsi="Book Antiqua"/>
          <w:b/>
          <w:sz w:val="24"/>
        </w:rPr>
        <w:t>E- Editor:</w:t>
      </w:r>
    </w:p>
    <w:p w:rsidR="0001465D" w:rsidRPr="00C10ABF" w:rsidRDefault="0001465D" w:rsidP="00F25235">
      <w:pPr>
        <w:snapToGrid w:val="0"/>
        <w:spacing w:line="360" w:lineRule="auto"/>
        <w:rPr>
          <w:rFonts w:ascii="Book Antiqua" w:eastAsia="宋体" w:hAnsi="Book Antiqua"/>
          <w:b/>
          <w:sz w:val="24"/>
          <w:szCs w:val="24"/>
          <w:lang w:eastAsia="zh-CN"/>
        </w:rPr>
      </w:pPr>
    </w:p>
    <w:p w:rsidR="0001465D" w:rsidRPr="00C10ABF" w:rsidRDefault="0001465D" w:rsidP="00F25235">
      <w:pPr>
        <w:snapToGrid w:val="0"/>
        <w:spacing w:line="360" w:lineRule="auto"/>
        <w:rPr>
          <w:rFonts w:ascii="Book Antiqua" w:eastAsia="宋体" w:hAnsi="Book Antiqua"/>
          <w:b/>
          <w:sz w:val="24"/>
          <w:szCs w:val="24"/>
          <w:lang w:eastAsia="zh-CN"/>
        </w:rPr>
      </w:pPr>
    </w:p>
    <w:p w:rsidR="0001465D" w:rsidRPr="00C10ABF" w:rsidRDefault="0001465D" w:rsidP="00073D67">
      <w:pPr>
        <w:snapToGrid w:val="0"/>
        <w:spacing w:line="360" w:lineRule="auto"/>
        <w:rPr>
          <w:rFonts w:ascii="Book Antiqua" w:eastAsia="宋体" w:hAnsi="Book Antiqua"/>
          <w:b/>
          <w:sz w:val="24"/>
          <w:szCs w:val="24"/>
          <w:lang w:eastAsia="zh-CN"/>
        </w:rPr>
        <w:sectPr w:rsidR="0001465D" w:rsidRPr="00C10ABF" w:rsidSect="005E6E13">
          <w:footerReference w:type="default" r:id="rId12"/>
          <w:pgSz w:w="11906" w:h="16838"/>
          <w:pgMar w:top="1418" w:right="1418" w:bottom="1418" w:left="1418" w:header="851" w:footer="992" w:gutter="0"/>
          <w:cols w:space="425"/>
          <w:docGrid w:linePitch="360"/>
        </w:sectPr>
      </w:pPr>
    </w:p>
    <w:p w:rsidR="0001465D" w:rsidRPr="00C10ABF" w:rsidRDefault="0001465D" w:rsidP="00F25235">
      <w:pPr>
        <w:snapToGrid w:val="0"/>
        <w:spacing w:line="360" w:lineRule="auto"/>
        <w:rPr>
          <w:rFonts w:ascii="Book Antiqua" w:eastAsia="宋体" w:hAnsi="Book Antiqua"/>
          <w:b/>
          <w:sz w:val="24"/>
          <w:szCs w:val="24"/>
          <w:lang w:eastAsia="zh-CN"/>
        </w:rPr>
      </w:pPr>
      <w:r w:rsidRPr="00C10ABF">
        <w:rPr>
          <w:rFonts w:ascii="Book Antiqua" w:eastAsia="宋体" w:hAnsi="Book Antiqua"/>
          <w:b/>
          <w:sz w:val="24"/>
          <w:szCs w:val="24"/>
          <w:lang w:eastAsia="zh-CN"/>
        </w:rPr>
        <w:t xml:space="preserve">Table 1 </w:t>
      </w:r>
      <w:r w:rsidRPr="00C10ABF">
        <w:rPr>
          <w:rFonts w:ascii="Book Antiqua" w:eastAsia="MS PGothic" w:hAnsi="Book Antiqua"/>
          <w:b/>
          <w:bCs/>
          <w:kern w:val="0"/>
          <w:sz w:val="24"/>
          <w:szCs w:val="24"/>
        </w:rPr>
        <w:t xml:space="preserve">Seven </w:t>
      </w:r>
      <w:r w:rsidRPr="00C10ABF">
        <w:rPr>
          <w:rFonts w:ascii="Book Antiqua" w:hAnsi="Book Antiqua"/>
          <w:b/>
          <w:sz w:val="24"/>
          <w:szCs w:val="24"/>
        </w:rPr>
        <w:t>dipeptidase-4</w:t>
      </w:r>
      <w:r w:rsidRPr="00C10ABF">
        <w:rPr>
          <w:rFonts w:ascii="Book Antiqua" w:eastAsia="MS PGothic" w:hAnsi="Book Antiqua"/>
          <w:b/>
          <w:bCs/>
          <w:kern w:val="0"/>
          <w:sz w:val="24"/>
          <w:szCs w:val="24"/>
        </w:rPr>
        <w:t xml:space="preserve"> inhibitors</w:t>
      </w:r>
    </w:p>
    <w:tbl>
      <w:tblPr>
        <w:tblW w:w="4921" w:type="pct"/>
        <w:tblCellMar>
          <w:left w:w="99" w:type="dxa"/>
          <w:right w:w="99" w:type="dxa"/>
        </w:tblCellMar>
        <w:tblLook w:val="00A0" w:firstRow="1" w:lastRow="0" w:firstColumn="1" w:lastColumn="0" w:noHBand="0" w:noVBand="0"/>
      </w:tblPr>
      <w:tblGrid>
        <w:gridCol w:w="2795"/>
        <w:gridCol w:w="1532"/>
        <w:gridCol w:w="1610"/>
        <w:gridCol w:w="1532"/>
        <w:gridCol w:w="1635"/>
        <w:gridCol w:w="1708"/>
        <w:gridCol w:w="1509"/>
        <w:gridCol w:w="1655"/>
      </w:tblGrid>
      <w:tr w:rsidR="00C10ABF" w:rsidRPr="00C10ABF" w:rsidTr="00073D67">
        <w:trPr>
          <w:trHeight w:val="486"/>
        </w:trPr>
        <w:tc>
          <w:tcPr>
            <w:tcW w:w="1000" w:type="pct"/>
            <w:vMerge w:val="restart"/>
            <w:tcBorders>
              <w:top w:val="nil"/>
              <w:left w:val="nil"/>
              <w:bottom w:val="single" w:sz="4" w:space="0" w:color="000000"/>
              <w:right w:val="nil"/>
            </w:tcBorders>
            <w:vAlign w:val="center"/>
          </w:tcPr>
          <w:p w:rsidR="0001465D" w:rsidRPr="00C10ABF" w:rsidRDefault="0001465D" w:rsidP="000675C3">
            <w:pPr>
              <w:widowControl/>
              <w:snapToGrid w:val="0"/>
              <w:spacing w:line="360" w:lineRule="auto"/>
              <w:jc w:val="left"/>
              <w:rPr>
                <w:rFonts w:ascii="Book Antiqua" w:eastAsia="MS PGothic" w:hAnsi="Book Antiqua"/>
                <w:b/>
                <w:kern w:val="0"/>
                <w:sz w:val="24"/>
                <w:szCs w:val="24"/>
              </w:rPr>
            </w:pPr>
            <w:r w:rsidRPr="00C10ABF">
              <w:rPr>
                <w:rFonts w:ascii="Book Antiqua" w:eastAsia="MS PGothic" w:hAnsi="Book Antiqua"/>
                <w:b/>
                <w:kern w:val="0"/>
                <w:sz w:val="24"/>
                <w:szCs w:val="24"/>
              </w:rPr>
              <w:t>Dose and pharmacokinetics</w:t>
            </w:r>
          </w:p>
        </w:tc>
        <w:tc>
          <w:tcPr>
            <w:tcW w:w="548"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Sitagliptin</w:t>
            </w:r>
          </w:p>
        </w:tc>
        <w:tc>
          <w:tcPr>
            <w:tcW w:w="576"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Vildagliptin</w:t>
            </w:r>
          </w:p>
        </w:tc>
        <w:tc>
          <w:tcPr>
            <w:tcW w:w="548"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Alogliptin</w:t>
            </w:r>
          </w:p>
        </w:tc>
        <w:tc>
          <w:tcPr>
            <w:tcW w:w="585"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Linagliptin</w:t>
            </w:r>
          </w:p>
        </w:tc>
        <w:tc>
          <w:tcPr>
            <w:tcW w:w="611"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Teneligliptin</w:t>
            </w:r>
          </w:p>
        </w:tc>
        <w:tc>
          <w:tcPr>
            <w:tcW w:w="540"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Anagliptin</w:t>
            </w:r>
          </w:p>
        </w:tc>
        <w:tc>
          <w:tcPr>
            <w:tcW w:w="592"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Saxagliptin</w:t>
            </w:r>
          </w:p>
        </w:tc>
      </w:tr>
      <w:tr w:rsidR="00C10ABF" w:rsidRPr="00C10ABF" w:rsidTr="00073D67">
        <w:trPr>
          <w:trHeight w:val="486"/>
        </w:trPr>
        <w:tc>
          <w:tcPr>
            <w:tcW w:w="1000"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76"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85"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11"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0"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92"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73D67">
        <w:trPr>
          <w:trHeight w:val="486"/>
        </w:trPr>
        <w:tc>
          <w:tcPr>
            <w:tcW w:w="1000" w:type="pct"/>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Daily dose (mg)</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25</w:t>
            </w:r>
          </w:p>
        </w:tc>
        <w:tc>
          <w:tcPr>
            <w:tcW w:w="576"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50</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6.25</w:t>
            </w:r>
          </w:p>
        </w:tc>
        <w:tc>
          <w:tcPr>
            <w:tcW w:w="585"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5</w:t>
            </w:r>
          </w:p>
        </w:tc>
        <w:tc>
          <w:tcPr>
            <w:tcW w:w="611"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20</w:t>
            </w:r>
          </w:p>
        </w:tc>
        <w:tc>
          <w:tcPr>
            <w:tcW w:w="540"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100</w:t>
            </w:r>
          </w:p>
        </w:tc>
        <w:tc>
          <w:tcPr>
            <w:tcW w:w="592"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2.5</w:t>
            </w:r>
          </w:p>
        </w:tc>
      </w:tr>
      <w:tr w:rsidR="00C10ABF" w:rsidRPr="00C10ABF" w:rsidTr="00073D67">
        <w:trPr>
          <w:trHeight w:val="486"/>
        </w:trPr>
        <w:tc>
          <w:tcPr>
            <w:tcW w:w="100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76"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85"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11"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92"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73D67">
        <w:trPr>
          <w:trHeight w:val="486"/>
        </w:trPr>
        <w:tc>
          <w:tcPr>
            <w:tcW w:w="1000" w:type="pct"/>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Molecular weight (Da)</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523.32</w:t>
            </w:r>
          </w:p>
        </w:tc>
        <w:tc>
          <w:tcPr>
            <w:tcW w:w="576"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303.40</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461.51</w:t>
            </w:r>
          </w:p>
        </w:tc>
        <w:tc>
          <w:tcPr>
            <w:tcW w:w="585"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472.54</w:t>
            </w:r>
          </w:p>
        </w:tc>
        <w:tc>
          <w:tcPr>
            <w:tcW w:w="611"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628.86</w:t>
            </w:r>
          </w:p>
        </w:tc>
        <w:tc>
          <w:tcPr>
            <w:tcW w:w="540"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383.45</w:t>
            </w:r>
          </w:p>
        </w:tc>
        <w:tc>
          <w:tcPr>
            <w:tcW w:w="592"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333.43</w:t>
            </w:r>
          </w:p>
        </w:tc>
      </w:tr>
      <w:tr w:rsidR="00C10ABF" w:rsidRPr="00C10ABF" w:rsidTr="00073D67">
        <w:trPr>
          <w:trHeight w:val="486"/>
        </w:trPr>
        <w:tc>
          <w:tcPr>
            <w:tcW w:w="100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76"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85"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11"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92"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73D67">
        <w:trPr>
          <w:trHeight w:val="486"/>
        </w:trPr>
        <w:tc>
          <w:tcPr>
            <w:tcW w:w="1000" w:type="pct"/>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Bioavailability</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87%</w:t>
            </w:r>
          </w:p>
        </w:tc>
        <w:tc>
          <w:tcPr>
            <w:tcW w:w="576"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85%</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100%</w:t>
            </w:r>
          </w:p>
        </w:tc>
        <w:tc>
          <w:tcPr>
            <w:tcW w:w="585"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30%</w:t>
            </w:r>
          </w:p>
        </w:tc>
        <w:tc>
          <w:tcPr>
            <w:tcW w:w="611"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540"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73.2%</w:t>
            </w:r>
          </w:p>
        </w:tc>
        <w:tc>
          <w:tcPr>
            <w:tcW w:w="592"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r>
      <w:tr w:rsidR="00C10ABF" w:rsidRPr="00C10ABF" w:rsidTr="00073D67">
        <w:trPr>
          <w:trHeight w:val="486"/>
        </w:trPr>
        <w:tc>
          <w:tcPr>
            <w:tcW w:w="100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76"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85"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11"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92"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73D67">
        <w:trPr>
          <w:trHeight w:val="486"/>
        </w:trPr>
        <w:tc>
          <w:tcPr>
            <w:tcW w:w="1000" w:type="pct"/>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Protein binding</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38.0%</w:t>
            </w:r>
          </w:p>
        </w:tc>
        <w:tc>
          <w:tcPr>
            <w:tcW w:w="576"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9.3%</w:t>
            </w:r>
          </w:p>
        </w:tc>
        <w:tc>
          <w:tcPr>
            <w:tcW w:w="548" w:type="pct"/>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28.2%–38.4%</w:t>
            </w:r>
          </w:p>
        </w:tc>
        <w:tc>
          <w:tcPr>
            <w:tcW w:w="585"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&gt;</w:t>
            </w:r>
            <w:r w:rsidRPr="00C10ABF">
              <w:rPr>
                <w:rFonts w:ascii="Book Antiqua" w:eastAsia="宋体" w:hAnsi="Book Antiqua"/>
                <w:kern w:val="0"/>
                <w:sz w:val="24"/>
                <w:szCs w:val="24"/>
                <w:lang w:eastAsia="zh-CN"/>
              </w:rPr>
              <w:t xml:space="preserve"> </w:t>
            </w:r>
            <w:r w:rsidRPr="00C10ABF">
              <w:rPr>
                <w:rFonts w:ascii="Book Antiqua" w:eastAsia="MS PGothic" w:hAnsi="Book Antiqua"/>
                <w:kern w:val="0"/>
                <w:sz w:val="24"/>
                <w:szCs w:val="24"/>
              </w:rPr>
              <w:t>80%</w:t>
            </w:r>
          </w:p>
        </w:tc>
        <w:tc>
          <w:tcPr>
            <w:tcW w:w="611" w:type="pct"/>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77.6%–82.2%</w:t>
            </w:r>
          </w:p>
        </w:tc>
        <w:tc>
          <w:tcPr>
            <w:tcW w:w="540" w:type="pct"/>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37.1%–48.2%</w:t>
            </w:r>
          </w:p>
        </w:tc>
        <w:tc>
          <w:tcPr>
            <w:tcW w:w="592"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Negligible</w:t>
            </w:r>
          </w:p>
        </w:tc>
      </w:tr>
      <w:tr w:rsidR="00C10ABF" w:rsidRPr="00C10ABF" w:rsidTr="00073D67">
        <w:trPr>
          <w:trHeight w:val="486"/>
        </w:trPr>
        <w:tc>
          <w:tcPr>
            <w:tcW w:w="100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76"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85"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11"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92"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73D67">
        <w:trPr>
          <w:trHeight w:val="486"/>
        </w:trPr>
        <w:tc>
          <w:tcPr>
            <w:tcW w:w="1000" w:type="pct"/>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Cmax </w:t>
            </w:r>
          </w:p>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w:t>
            </w:r>
            <w:r w:rsidRPr="00C10ABF">
              <w:rPr>
                <w:rFonts w:ascii="Book Antiqua" w:eastAsia="MS PGothic" w:hAnsi="Book Antiqua"/>
                <w:i/>
                <w:kern w:val="0"/>
                <w:sz w:val="24"/>
                <w:szCs w:val="24"/>
              </w:rPr>
              <w:t>vs</w:t>
            </w:r>
            <w:r w:rsidRPr="00C10ABF">
              <w:rPr>
                <w:rFonts w:ascii="Book Antiqua" w:eastAsia="MS PGothic" w:hAnsi="Book Antiqua"/>
                <w:kern w:val="0"/>
                <w:sz w:val="24"/>
                <w:szCs w:val="24"/>
              </w:rPr>
              <w:t xml:space="preserve"> healthy volunteer)</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1.4 fold</w:t>
            </w:r>
          </w:p>
        </w:tc>
        <w:tc>
          <w:tcPr>
            <w:tcW w:w="576"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1.4 fold</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3.2 fold</w:t>
            </w:r>
          </w:p>
        </w:tc>
        <w:tc>
          <w:tcPr>
            <w:tcW w:w="585"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1.5 fold</w:t>
            </w:r>
          </w:p>
        </w:tc>
        <w:tc>
          <w:tcPr>
            <w:tcW w:w="611"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1.0 fold</w:t>
            </w:r>
          </w:p>
        </w:tc>
        <w:tc>
          <w:tcPr>
            <w:tcW w:w="540"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1.4 fold</w:t>
            </w:r>
          </w:p>
        </w:tc>
        <w:tc>
          <w:tcPr>
            <w:tcW w:w="592"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r>
      <w:tr w:rsidR="00C10ABF" w:rsidRPr="00C10ABF" w:rsidTr="00073D67">
        <w:trPr>
          <w:trHeight w:val="486"/>
        </w:trPr>
        <w:tc>
          <w:tcPr>
            <w:tcW w:w="100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76"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85"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11"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92"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73D67">
        <w:trPr>
          <w:trHeight w:val="486"/>
        </w:trPr>
        <w:tc>
          <w:tcPr>
            <w:tcW w:w="1000" w:type="pct"/>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AUC</w:t>
            </w:r>
          </w:p>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w:t>
            </w:r>
            <w:r w:rsidRPr="00C10ABF">
              <w:rPr>
                <w:rFonts w:ascii="Book Antiqua" w:eastAsia="MS PGothic" w:hAnsi="Book Antiqua"/>
                <w:i/>
                <w:kern w:val="0"/>
                <w:sz w:val="24"/>
                <w:szCs w:val="24"/>
              </w:rPr>
              <w:t>vs</w:t>
            </w:r>
            <w:r w:rsidRPr="00C10ABF">
              <w:rPr>
                <w:rFonts w:ascii="Book Antiqua" w:eastAsia="MS PGothic" w:hAnsi="Book Antiqua"/>
                <w:kern w:val="0"/>
                <w:sz w:val="24"/>
                <w:szCs w:val="24"/>
              </w:rPr>
              <w:t xml:space="preserve"> healthy volunteer)</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4.5 fold</w:t>
            </w:r>
          </w:p>
        </w:tc>
        <w:tc>
          <w:tcPr>
            <w:tcW w:w="576"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2.0 fold</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3.8 fold</w:t>
            </w:r>
          </w:p>
        </w:tc>
        <w:tc>
          <w:tcPr>
            <w:tcW w:w="585"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1.5 fold</w:t>
            </w:r>
          </w:p>
        </w:tc>
        <w:tc>
          <w:tcPr>
            <w:tcW w:w="611"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1.5 fold</w:t>
            </w:r>
          </w:p>
        </w:tc>
        <w:tc>
          <w:tcPr>
            <w:tcW w:w="540"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3.2 fold</w:t>
            </w:r>
          </w:p>
        </w:tc>
        <w:tc>
          <w:tcPr>
            <w:tcW w:w="592"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2.1 fold</w:t>
            </w:r>
          </w:p>
        </w:tc>
      </w:tr>
      <w:tr w:rsidR="00C10ABF" w:rsidRPr="00C10ABF" w:rsidTr="00073D67">
        <w:trPr>
          <w:trHeight w:val="486"/>
        </w:trPr>
        <w:tc>
          <w:tcPr>
            <w:tcW w:w="100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76"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85"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11"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92"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73D67">
        <w:trPr>
          <w:trHeight w:val="486"/>
        </w:trPr>
        <w:tc>
          <w:tcPr>
            <w:tcW w:w="1000" w:type="pct"/>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t</w:t>
            </w:r>
            <w:r w:rsidRPr="00C10ABF">
              <w:rPr>
                <w:rFonts w:ascii="Book Antiqua" w:eastAsia="MS PGothic" w:hAnsi="Book Antiqua"/>
                <w:kern w:val="0"/>
                <w:sz w:val="24"/>
                <w:szCs w:val="24"/>
                <w:vertAlign w:val="subscript"/>
              </w:rPr>
              <w:t>1/2</w:t>
            </w:r>
            <w:r w:rsidRPr="00C10ABF">
              <w:rPr>
                <w:rFonts w:ascii="Book Antiqua" w:eastAsia="MS PGothic" w:hAnsi="Book Antiqua"/>
                <w:kern w:val="0"/>
                <w:sz w:val="24"/>
                <w:szCs w:val="24"/>
              </w:rPr>
              <w:t xml:space="preserve"> (h)</w:t>
            </w:r>
          </w:p>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w:t>
            </w:r>
            <w:r w:rsidRPr="00C10ABF">
              <w:rPr>
                <w:rFonts w:ascii="Book Antiqua" w:eastAsia="MS PGothic" w:hAnsi="Book Antiqua"/>
                <w:i/>
                <w:kern w:val="0"/>
                <w:sz w:val="24"/>
                <w:szCs w:val="24"/>
              </w:rPr>
              <w:t>vs</w:t>
            </w:r>
            <w:r w:rsidRPr="00C10ABF">
              <w:rPr>
                <w:rFonts w:ascii="Book Antiqua" w:eastAsia="MS PGothic" w:hAnsi="Book Antiqua"/>
                <w:kern w:val="0"/>
                <w:sz w:val="24"/>
                <w:szCs w:val="24"/>
              </w:rPr>
              <w:t xml:space="preserve"> healthy volunteer)</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2.2</w:t>
            </w:r>
          </w:p>
        </w:tc>
        <w:tc>
          <w:tcPr>
            <w:tcW w:w="576"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2.0</w:t>
            </w:r>
          </w:p>
        </w:tc>
        <w:tc>
          <w:tcPr>
            <w:tcW w:w="548"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585"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611"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1.0 fold</w:t>
            </w:r>
          </w:p>
        </w:tc>
        <w:tc>
          <w:tcPr>
            <w:tcW w:w="540"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0.9 fold</w:t>
            </w:r>
          </w:p>
        </w:tc>
        <w:tc>
          <w:tcPr>
            <w:tcW w:w="592"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r>
      <w:tr w:rsidR="00C10ABF" w:rsidRPr="00C10ABF" w:rsidTr="00073D67">
        <w:trPr>
          <w:trHeight w:val="486"/>
        </w:trPr>
        <w:tc>
          <w:tcPr>
            <w:tcW w:w="100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76"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85"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11"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0"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92"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73D67">
        <w:trPr>
          <w:trHeight w:val="486"/>
        </w:trPr>
        <w:tc>
          <w:tcPr>
            <w:tcW w:w="1000" w:type="pct"/>
            <w:vMerge w:val="restart"/>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Dialyzability</w:t>
            </w:r>
          </w:p>
        </w:tc>
        <w:tc>
          <w:tcPr>
            <w:tcW w:w="548" w:type="pct"/>
            <w:vMerge w:val="restart"/>
            <w:tcBorders>
              <w:top w:val="nil"/>
              <w:left w:val="nil"/>
              <w:bottom w:val="single" w:sz="12"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13.5%</w:t>
            </w:r>
          </w:p>
        </w:tc>
        <w:tc>
          <w:tcPr>
            <w:tcW w:w="576" w:type="pct"/>
            <w:vMerge w:val="restart"/>
            <w:tcBorders>
              <w:top w:val="nil"/>
              <w:left w:val="nil"/>
              <w:bottom w:val="single" w:sz="12"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3.0%</w:t>
            </w:r>
          </w:p>
        </w:tc>
        <w:tc>
          <w:tcPr>
            <w:tcW w:w="548" w:type="pct"/>
            <w:vMerge w:val="restart"/>
            <w:tcBorders>
              <w:top w:val="nil"/>
              <w:left w:val="nil"/>
              <w:bottom w:val="single" w:sz="12"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7.2%</w:t>
            </w:r>
          </w:p>
        </w:tc>
        <w:tc>
          <w:tcPr>
            <w:tcW w:w="585" w:type="pct"/>
            <w:vMerge w:val="restart"/>
            <w:tcBorders>
              <w:top w:val="nil"/>
              <w:left w:val="nil"/>
              <w:bottom w:val="single" w:sz="12"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611" w:type="pct"/>
            <w:vMerge w:val="restart"/>
            <w:tcBorders>
              <w:top w:val="nil"/>
              <w:left w:val="nil"/>
              <w:bottom w:val="single" w:sz="12"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15.6%</w:t>
            </w:r>
          </w:p>
        </w:tc>
        <w:tc>
          <w:tcPr>
            <w:tcW w:w="540" w:type="pct"/>
            <w:vMerge w:val="restart"/>
            <w:tcBorders>
              <w:top w:val="nil"/>
              <w:left w:val="nil"/>
              <w:bottom w:val="single" w:sz="12"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592" w:type="pct"/>
            <w:vMerge w:val="restart"/>
            <w:tcBorders>
              <w:top w:val="nil"/>
              <w:left w:val="nil"/>
              <w:bottom w:val="single" w:sz="12"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4.0%</w:t>
            </w:r>
          </w:p>
        </w:tc>
      </w:tr>
      <w:tr w:rsidR="00C10ABF" w:rsidRPr="00C10ABF" w:rsidTr="00073D67">
        <w:trPr>
          <w:trHeight w:val="486"/>
        </w:trPr>
        <w:tc>
          <w:tcPr>
            <w:tcW w:w="1000"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76"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8"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85"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11"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40"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92"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bl>
    <w:p w:rsidR="0001465D" w:rsidRPr="00C10ABF" w:rsidRDefault="0001465D" w:rsidP="00F25235">
      <w:pPr>
        <w:snapToGrid w:val="0"/>
        <w:spacing w:line="360" w:lineRule="auto"/>
        <w:rPr>
          <w:rFonts w:ascii="Book Antiqua" w:eastAsia="宋体" w:hAnsi="Book Antiqua"/>
          <w:kern w:val="0"/>
          <w:sz w:val="24"/>
          <w:szCs w:val="24"/>
          <w:lang w:eastAsia="zh-CN"/>
        </w:rPr>
      </w:pPr>
      <w:r w:rsidRPr="00C10ABF">
        <w:rPr>
          <w:rFonts w:ascii="Book Antiqua" w:hAnsi="Book Antiqua"/>
          <w:sz w:val="24"/>
          <w:szCs w:val="24"/>
        </w:rPr>
        <w:t xml:space="preserve">Cmax, AUC and </w:t>
      </w:r>
      <w:r w:rsidRPr="00C10ABF">
        <w:rPr>
          <w:rFonts w:ascii="Book Antiqua" w:eastAsia="MS PGothic" w:hAnsi="Book Antiqua"/>
          <w:kern w:val="0"/>
          <w:sz w:val="24"/>
          <w:szCs w:val="24"/>
        </w:rPr>
        <w:t>t</w:t>
      </w:r>
      <w:r w:rsidRPr="00C10ABF">
        <w:rPr>
          <w:rFonts w:ascii="Book Antiqua" w:eastAsia="MS PGothic" w:hAnsi="Book Antiqua"/>
          <w:kern w:val="0"/>
          <w:sz w:val="24"/>
          <w:szCs w:val="24"/>
          <w:vertAlign w:val="subscript"/>
        </w:rPr>
        <w:t>1/2</w:t>
      </w:r>
      <w:r w:rsidRPr="00C10ABF">
        <w:rPr>
          <w:rFonts w:ascii="Book Antiqua" w:eastAsia="MS PGothic" w:hAnsi="Book Antiqua"/>
          <w:kern w:val="0"/>
          <w:sz w:val="24"/>
          <w:szCs w:val="24"/>
        </w:rPr>
        <w:t xml:space="preserve"> were measured under different dose conditions.</w:t>
      </w:r>
      <w:r w:rsidRPr="00C10ABF">
        <w:rPr>
          <w:rFonts w:ascii="Book Antiqua" w:eastAsia="宋体" w:hAnsi="Book Antiqua"/>
          <w:kern w:val="0"/>
          <w:sz w:val="24"/>
          <w:szCs w:val="24"/>
          <w:lang w:eastAsia="zh-CN"/>
        </w:rPr>
        <w:t xml:space="preserve"> AUC: </w:t>
      </w:r>
      <w:r w:rsidRPr="00C10ABF">
        <w:rPr>
          <w:rFonts w:ascii="Book Antiqua" w:hAnsi="Book Antiqua"/>
          <w:sz w:val="24"/>
          <w:szCs w:val="24"/>
        </w:rPr>
        <w:t>Area under the curve</w:t>
      </w:r>
      <w:r w:rsidRPr="00C10ABF">
        <w:rPr>
          <w:rFonts w:ascii="Book Antiqua" w:eastAsia="宋体" w:hAnsi="Book Antiqua"/>
          <w:sz w:val="24"/>
          <w:szCs w:val="24"/>
          <w:lang w:eastAsia="zh-CN"/>
        </w:rPr>
        <w:t>.</w:t>
      </w:r>
      <w:r w:rsidRPr="00C10ABF">
        <w:rPr>
          <w:rFonts w:ascii="Book Antiqua" w:eastAsia="宋体" w:hAnsi="Book Antiqua"/>
          <w:kern w:val="0"/>
          <w:sz w:val="24"/>
          <w:szCs w:val="24"/>
          <w:lang w:eastAsia="zh-CN"/>
        </w:rPr>
        <w:t xml:space="preserve"> </w:t>
      </w: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eastAsia="MS PGothic" w:hAnsi="Book Antiqua"/>
          <w:kern w:val="0"/>
          <w:sz w:val="24"/>
          <w:szCs w:val="24"/>
        </w:rPr>
      </w:pP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jc w:val="left"/>
        <w:rPr>
          <w:rFonts w:ascii="Book Antiqua" w:eastAsia="宋体" w:hAnsi="Book Antiqua"/>
          <w:b/>
          <w:bCs/>
          <w:kern w:val="0"/>
          <w:sz w:val="24"/>
          <w:szCs w:val="24"/>
          <w:lang w:eastAsia="zh-CN"/>
        </w:rPr>
      </w:pPr>
      <w:r w:rsidRPr="00C10ABF">
        <w:rPr>
          <w:rFonts w:ascii="Book Antiqua" w:hAnsi="Book Antiqua"/>
          <w:sz w:val="24"/>
          <w:szCs w:val="24"/>
        </w:rPr>
        <w:br w:type="page"/>
      </w:r>
      <w:r w:rsidRPr="00C10ABF">
        <w:rPr>
          <w:rFonts w:ascii="Book Antiqua" w:eastAsia="MS PGothic" w:hAnsi="Book Antiqua"/>
          <w:b/>
          <w:bCs/>
          <w:kern w:val="0"/>
          <w:sz w:val="24"/>
          <w:szCs w:val="24"/>
        </w:rPr>
        <w:t>Table 2</w:t>
      </w:r>
      <w:r w:rsidRPr="00C10ABF">
        <w:rPr>
          <w:rFonts w:ascii="Book Antiqua" w:eastAsia="宋体" w:hAnsi="Book Antiqua"/>
          <w:b/>
          <w:bCs/>
          <w:kern w:val="0"/>
          <w:sz w:val="24"/>
          <w:szCs w:val="24"/>
          <w:lang w:eastAsia="zh-CN"/>
        </w:rPr>
        <w:t xml:space="preserve"> </w:t>
      </w:r>
      <w:r w:rsidRPr="00C10ABF">
        <w:rPr>
          <w:rFonts w:ascii="Book Antiqua" w:eastAsia="MS PGothic" w:hAnsi="Book Antiqua"/>
          <w:b/>
          <w:bCs/>
          <w:kern w:val="0"/>
          <w:sz w:val="24"/>
          <w:szCs w:val="24"/>
        </w:rPr>
        <w:t xml:space="preserve">Combinations of oral antidiabetic drugs with </w:t>
      </w:r>
      <w:r w:rsidRPr="00C10ABF">
        <w:rPr>
          <w:rFonts w:ascii="Book Antiqua" w:hAnsi="Book Antiqua"/>
          <w:b/>
          <w:sz w:val="24"/>
          <w:szCs w:val="24"/>
        </w:rPr>
        <w:t>dipeptidase-4</w:t>
      </w:r>
      <w:r w:rsidRPr="00C10ABF">
        <w:rPr>
          <w:rFonts w:ascii="Book Antiqua" w:eastAsia="MS PGothic" w:hAnsi="Book Antiqua"/>
          <w:b/>
          <w:bCs/>
          <w:kern w:val="0"/>
          <w:sz w:val="24"/>
          <w:szCs w:val="24"/>
        </w:rPr>
        <w:t xml:space="preserve"> inhibitors</w:t>
      </w:r>
    </w:p>
    <w:p w:rsidR="0001465D" w:rsidRPr="00C10ABF" w:rsidRDefault="0001465D" w:rsidP="00F25235">
      <w:pPr>
        <w:jc w:val="left"/>
        <w:rPr>
          <w:rFonts w:ascii="Book Antiqua" w:eastAsia="宋体" w:hAnsi="Book Antiqua"/>
          <w:sz w:val="24"/>
          <w:szCs w:val="24"/>
          <w:lang w:eastAsia="zh-CN"/>
        </w:rPr>
      </w:pPr>
    </w:p>
    <w:tbl>
      <w:tblPr>
        <w:tblW w:w="9498" w:type="dxa"/>
        <w:tblInd w:w="-185" w:type="dxa"/>
        <w:tblCellMar>
          <w:left w:w="99" w:type="dxa"/>
          <w:right w:w="99" w:type="dxa"/>
        </w:tblCellMar>
        <w:tblLook w:val="00A0" w:firstRow="1" w:lastRow="0" w:firstColumn="1" w:lastColumn="0" w:noHBand="0" w:noVBand="0"/>
      </w:tblPr>
      <w:tblGrid>
        <w:gridCol w:w="2241"/>
        <w:gridCol w:w="2438"/>
        <w:gridCol w:w="1701"/>
        <w:gridCol w:w="1701"/>
        <w:gridCol w:w="1417"/>
      </w:tblGrid>
      <w:tr w:rsidR="00C10ABF" w:rsidRPr="00C10ABF" w:rsidTr="000675C3">
        <w:trPr>
          <w:trHeight w:hRule="exact" w:val="397"/>
        </w:trPr>
        <w:tc>
          <w:tcPr>
            <w:tcW w:w="2241" w:type="dxa"/>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Class</w:t>
            </w:r>
          </w:p>
        </w:tc>
        <w:tc>
          <w:tcPr>
            <w:tcW w:w="2438" w:type="dxa"/>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Action mechanism</w:t>
            </w:r>
          </w:p>
        </w:tc>
        <w:tc>
          <w:tcPr>
            <w:tcW w:w="1701" w:type="dxa"/>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Glucose target</w:t>
            </w:r>
          </w:p>
        </w:tc>
        <w:tc>
          <w:tcPr>
            <w:tcW w:w="1701" w:type="dxa"/>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Drug</w:t>
            </w:r>
          </w:p>
        </w:tc>
        <w:tc>
          <w:tcPr>
            <w:tcW w:w="1417" w:type="dxa"/>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Daily dose (mg)</w:t>
            </w:r>
          </w:p>
        </w:tc>
      </w:tr>
      <w:tr w:rsidR="00C10ABF" w:rsidRPr="00C10ABF" w:rsidTr="000675C3">
        <w:trPr>
          <w:trHeight w:hRule="exact" w:val="397"/>
        </w:trPr>
        <w:tc>
          <w:tcPr>
            <w:tcW w:w="2241" w:type="dxa"/>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Sulfonylurea</w:t>
            </w:r>
          </w:p>
        </w:tc>
        <w:tc>
          <w:tcPr>
            <w:tcW w:w="2438" w:type="dxa"/>
            <w:vMerge w:val="restart"/>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Increases insulin secretion</w:t>
            </w:r>
          </w:p>
        </w:tc>
        <w:tc>
          <w:tcPr>
            <w:tcW w:w="1701" w:type="dxa"/>
            <w:vMerge w:val="restart"/>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Fasting and postprandial</w:t>
            </w:r>
          </w:p>
        </w:tc>
        <w:tc>
          <w:tcPr>
            <w:tcW w:w="1701"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Glipizide</w:t>
            </w:r>
          </w:p>
        </w:tc>
        <w:tc>
          <w:tcPr>
            <w:tcW w:w="1417"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2.5–10</w:t>
            </w:r>
          </w:p>
        </w:tc>
      </w:tr>
      <w:tr w:rsidR="00C10ABF" w:rsidRPr="00C10ABF" w:rsidTr="000675C3">
        <w:trPr>
          <w:trHeight w:hRule="exact" w:val="397"/>
        </w:trPr>
        <w:tc>
          <w:tcPr>
            <w:tcW w:w="2241"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438"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Gliclazide</w:t>
            </w:r>
          </w:p>
        </w:tc>
        <w:tc>
          <w:tcPr>
            <w:tcW w:w="1417"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40–240</w:t>
            </w:r>
          </w:p>
        </w:tc>
      </w:tr>
      <w:tr w:rsidR="00C10ABF" w:rsidRPr="00C10ABF" w:rsidTr="000675C3">
        <w:trPr>
          <w:trHeight w:hRule="exact" w:val="397"/>
        </w:trPr>
        <w:tc>
          <w:tcPr>
            <w:tcW w:w="2241"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438"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Gliquidone</w:t>
            </w:r>
          </w:p>
        </w:tc>
        <w:tc>
          <w:tcPr>
            <w:tcW w:w="1417" w:type="dxa"/>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45–60</w:t>
            </w:r>
          </w:p>
        </w:tc>
      </w:tr>
      <w:tr w:rsidR="00C10ABF" w:rsidRPr="00C10ABF" w:rsidTr="000675C3">
        <w:trPr>
          <w:trHeight w:hRule="exact" w:val="397"/>
        </w:trPr>
        <w:tc>
          <w:tcPr>
            <w:tcW w:w="2241" w:type="dxa"/>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Meglitinide</w:t>
            </w:r>
          </w:p>
        </w:tc>
        <w:tc>
          <w:tcPr>
            <w:tcW w:w="2438" w:type="dxa"/>
            <w:vMerge w:val="restart"/>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Increases insulin secretion</w:t>
            </w:r>
          </w:p>
        </w:tc>
        <w:tc>
          <w:tcPr>
            <w:tcW w:w="1701" w:type="dxa"/>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Postprandial</w:t>
            </w:r>
          </w:p>
        </w:tc>
        <w:tc>
          <w:tcPr>
            <w:tcW w:w="1701"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Repaglinide</w:t>
            </w:r>
          </w:p>
        </w:tc>
        <w:tc>
          <w:tcPr>
            <w:tcW w:w="1417"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0.5–12</w:t>
            </w:r>
          </w:p>
        </w:tc>
      </w:tr>
      <w:tr w:rsidR="00C10ABF" w:rsidRPr="00C10ABF" w:rsidTr="000675C3">
        <w:trPr>
          <w:trHeight w:hRule="exact" w:val="397"/>
        </w:trPr>
        <w:tc>
          <w:tcPr>
            <w:tcW w:w="2241"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438"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Mitiglinide</w:t>
            </w:r>
          </w:p>
        </w:tc>
        <w:tc>
          <w:tcPr>
            <w:tcW w:w="1417" w:type="dxa"/>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7.5–15</w:t>
            </w:r>
          </w:p>
        </w:tc>
      </w:tr>
      <w:tr w:rsidR="00C10ABF" w:rsidRPr="00C10ABF" w:rsidTr="000675C3">
        <w:trPr>
          <w:trHeight w:hRule="exact" w:val="397"/>
        </w:trPr>
        <w:tc>
          <w:tcPr>
            <w:tcW w:w="2241" w:type="dxa"/>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Thiazolidinediones</w:t>
            </w:r>
          </w:p>
        </w:tc>
        <w:tc>
          <w:tcPr>
            <w:tcW w:w="2438" w:type="dxa"/>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Insulin sensitizer</w:t>
            </w:r>
          </w:p>
        </w:tc>
        <w:tc>
          <w:tcPr>
            <w:tcW w:w="1701" w:type="dxa"/>
            <w:vMerge w:val="restart"/>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Fasting and postprandial</w:t>
            </w:r>
          </w:p>
        </w:tc>
        <w:tc>
          <w:tcPr>
            <w:tcW w:w="1701"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Rosiglitazone</w:t>
            </w:r>
          </w:p>
        </w:tc>
        <w:tc>
          <w:tcPr>
            <w:tcW w:w="1417"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4–8</w:t>
            </w:r>
          </w:p>
        </w:tc>
      </w:tr>
      <w:tr w:rsidR="00C10ABF" w:rsidRPr="00C10ABF" w:rsidTr="000675C3">
        <w:trPr>
          <w:trHeight w:hRule="exact" w:val="397"/>
        </w:trPr>
        <w:tc>
          <w:tcPr>
            <w:tcW w:w="2241"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438"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Pioglitazone</w:t>
            </w:r>
          </w:p>
        </w:tc>
        <w:tc>
          <w:tcPr>
            <w:tcW w:w="1417" w:type="dxa"/>
            <w:tcBorders>
              <w:top w:val="nil"/>
              <w:left w:val="nil"/>
              <w:bottom w:val="single" w:sz="4" w:space="0" w:color="auto"/>
              <w:right w:val="nil"/>
            </w:tcBorders>
            <w:noWrap/>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15–45</w:t>
            </w:r>
          </w:p>
        </w:tc>
      </w:tr>
      <w:tr w:rsidR="00C10ABF" w:rsidRPr="00C10ABF" w:rsidTr="000675C3">
        <w:trPr>
          <w:trHeight w:hRule="exact" w:val="397"/>
        </w:trPr>
        <w:tc>
          <w:tcPr>
            <w:tcW w:w="2241" w:type="dxa"/>
            <w:vMerge w:val="restart"/>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Alpha-glucosidase inhibitor</w:t>
            </w:r>
          </w:p>
        </w:tc>
        <w:tc>
          <w:tcPr>
            <w:tcW w:w="2438" w:type="dxa"/>
            <w:vMerge w:val="restart"/>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Delays carbohydrate absorption</w:t>
            </w:r>
          </w:p>
        </w:tc>
        <w:tc>
          <w:tcPr>
            <w:tcW w:w="1701" w:type="dxa"/>
            <w:vMerge w:val="restart"/>
            <w:tcBorders>
              <w:top w:val="nil"/>
              <w:left w:val="nil"/>
              <w:bottom w:val="single" w:sz="12"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Postprandial</w:t>
            </w:r>
          </w:p>
        </w:tc>
        <w:tc>
          <w:tcPr>
            <w:tcW w:w="1701"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Voglibose</w:t>
            </w:r>
          </w:p>
        </w:tc>
        <w:tc>
          <w:tcPr>
            <w:tcW w:w="1417"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0.6–0.9</w:t>
            </w:r>
          </w:p>
        </w:tc>
      </w:tr>
      <w:tr w:rsidR="00C10ABF" w:rsidRPr="00C10ABF" w:rsidTr="000675C3">
        <w:trPr>
          <w:trHeight w:hRule="exact" w:val="397"/>
        </w:trPr>
        <w:tc>
          <w:tcPr>
            <w:tcW w:w="2241" w:type="dxa"/>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438" w:type="dxa"/>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Acarbose</w:t>
            </w:r>
          </w:p>
        </w:tc>
        <w:tc>
          <w:tcPr>
            <w:tcW w:w="1417" w:type="dxa"/>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75–300</w:t>
            </w:r>
          </w:p>
        </w:tc>
      </w:tr>
      <w:tr w:rsidR="00C10ABF" w:rsidRPr="00C10ABF" w:rsidTr="000675C3">
        <w:trPr>
          <w:trHeight w:hRule="exact" w:val="397"/>
        </w:trPr>
        <w:tc>
          <w:tcPr>
            <w:tcW w:w="2241" w:type="dxa"/>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438" w:type="dxa"/>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701" w:type="dxa"/>
            <w:tcBorders>
              <w:top w:val="nil"/>
              <w:left w:val="nil"/>
              <w:bottom w:val="single" w:sz="12"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Miglitol</w:t>
            </w:r>
          </w:p>
        </w:tc>
        <w:tc>
          <w:tcPr>
            <w:tcW w:w="1417" w:type="dxa"/>
            <w:tcBorders>
              <w:top w:val="nil"/>
              <w:left w:val="nil"/>
              <w:bottom w:val="single" w:sz="12"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150–225</w:t>
            </w:r>
          </w:p>
        </w:tc>
      </w:tr>
    </w:tbl>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snapToGrid w:val="0"/>
        <w:spacing w:line="360" w:lineRule="auto"/>
        <w:rPr>
          <w:rFonts w:ascii="Book Antiqua" w:hAnsi="Book Antiqua"/>
          <w:sz w:val="24"/>
          <w:szCs w:val="24"/>
        </w:rPr>
      </w:pPr>
    </w:p>
    <w:p w:rsidR="0001465D" w:rsidRPr="00C10ABF" w:rsidRDefault="0001465D" w:rsidP="00F25235">
      <w:pPr>
        <w:widowControl/>
        <w:snapToGrid w:val="0"/>
        <w:spacing w:line="360" w:lineRule="auto"/>
        <w:rPr>
          <w:rFonts w:ascii="Book Antiqua" w:hAnsi="Book Antiqua"/>
          <w:sz w:val="24"/>
          <w:szCs w:val="24"/>
        </w:rPr>
      </w:pPr>
    </w:p>
    <w:p w:rsidR="0001465D" w:rsidRPr="00C10ABF" w:rsidRDefault="0001465D" w:rsidP="00F25235">
      <w:pPr>
        <w:widowControl/>
        <w:snapToGrid w:val="0"/>
        <w:spacing w:line="360" w:lineRule="auto"/>
        <w:rPr>
          <w:rFonts w:ascii="Book Antiqua" w:hAnsi="Book Antiqua"/>
          <w:sz w:val="24"/>
          <w:szCs w:val="24"/>
        </w:rPr>
      </w:pPr>
    </w:p>
    <w:p w:rsidR="0001465D" w:rsidRPr="00C10ABF" w:rsidRDefault="0001465D" w:rsidP="00F25235">
      <w:pPr>
        <w:widowControl/>
        <w:snapToGrid w:val="0"/>
        <w:spacing w:line="360" w:lineRule="auto"/>
        <w:rPr>
          <w:rFonts w:ascii="Book Antiqua" w:hAnsi="Book Antiqua"/>
          <w:sz w:val="24"/>
          <w:szCs w:val="24"/>
        </w:rPr>
      </w:pPr>
    </w:p>
    <w:p w:rsidR="0001465D" w:rsidRPr="00C10ABF" w:rsidRDefault="0001465D" w:rsidP="00F25235">
      <w:pPr>
        <w:widowControl/>
        <w:snapToGrid w:val="0"/>
        <w:spacing w:line="360" w:lineRule="auto"/>
        <w:rPr>
          <w:rFonts w:ascii="Book Antiqua" w:hAnsi="Book Antiqua"/>
          <w:sz w:val="24"/>
          <w:szCs w:val="24"/>
        </w:rPr>
      </w:pPr>
    </w:p>
    <w:p w:rsidR="0001465D" w:rsidRPr="00C10ABF" w:rsidRDefault="0001465D" w:rsidP="00F25235">
      <w:pPr>
        <w:widowControl/>
        <w:snapToGrid w:val="0"/>
        <w:spacing w:line="360" w:lineRule="auto"/>
        <w:rPr>
          <w:rFonts w:ascii="Book Antiqua" w:hAnsi="Book Antiqua"/>
          <w:sz w:val="24"/>
          <w:szCs w:val="24"/>
        </w:rPr>
      </w:pPr>
    </w:p>
    <w:p w:rsidR="0001465D" w:rsidRPr="00C10ABF" w:rsidRDefault="0001465D" w:rsidP="00F25235">
      <w:pPr>
        <w:widowControl/>
        <w:snapToGrid w:val="0"/>
        <w:spacing w:line="360" w:lineRule="auto"/>
        <w:rPr>
          <w:rFonts w:ascii="Book Antiqua" w:eastAsia="宋体" w:hAnsi="Book Antiqua"/>
          <w:sz w:val="24"/>
          <w:szCs w:val="24"/>
          <w:lang w:eastAsia="zh-CN"/>
        </w:rPr>
      </w:pPr>
    </w:p>
    <w:p w:rsidR="0001465D" w:rsidRPr="00C10ABF" w:rsidRDefault="0001465D" w:rsidP="00F25235">
      <w:pPr>
        <w:widowControl/>
        <w:snapToGrid w:val="0"/>
        <w:spacing w:line="360" w:lineRule="auto"/>
        <w:rPr>
          <w:rFonts w:ascii="Book Antiqua" w:eastAsia="宋体" w:hAnsi="Book Antiqua"/>
          <w:sz w:val="24"/>
          <w:szCs w:val="24"/>
          <w:lang w:eastAsia="zh-CN"/>
        </w:rPr>
      </w:pPr>
      <w:r w:rsidRPr="00C10ABF">
        <w:rPr>
          <w:rFonts w:ascii="Book Antiqua" w:eastAsia="MS PGothic" w:hAnsi="Book Antiqua"/>
          <w:b/>
          <w:bCs/>
          <w:kern w:val="0"/>
          <w:sz w:val="24"/>
          <w:szCs w:val="24"/>
        </w:rPr>
        <w:t xml:space="preserve">Table 3 Efficacies of </w:t>
      </w:r>
      <w:r w:rsidRPr="00C10ABF">
        <w:rPr>
          <w:rFonts w:ascii="Book Antiqua" w:hAnsi="Book Antiqua"/>
          <w:b/>
          <w:sz w:val="24"/>
          <w:szCs w:val="24"/>
        </w:rPr>
        <w:t>dipeptidase-4</w:t>
      </w:r>
      <w:r w:rsidRPr="00C10ABF">
        <w:rPr>
          <w:rFonts w:ascii="Book Antiqua" w:eastAsia="MS PGothic" w:hAnsi="Book Antiqua"/>
          <w:b/>
          <w:bCs/>
          <w:kern w:val="0"/>
          <w:sz w:val="24"/>
          <w:szCs w:val="24"/>
        </w:rPr>
        <w:t xml:space="preserve"> inhibitor monotherapies</w:t>
      </w:r>
    </w:p>
    <w:tbl>
      <w:tblPr>
        <w:tblW w:w="5000" w:type="pct"/>
        <w:tblLayout w:type="fixed"/>
        <w:tblCellMar>
          <w:left w:w="99" w:type="dxa"/>
          <w:right w:w="99" w:type="dxa"/>
        </w:tblCellMar>
        <w:tblLook w:val="00A0" w:firstRow="1" w:lastRow="0" w:firstColumn="1" w:lastColumn="0" w:noHBand="0" w:noVBand="0"/>
      </w:tblPr>
      <w:tblGrid>
        <w:gridCol w:w="2368"/>
        <w:gridCol w:w="2110"/>
        <w:gridCol w:w="602"/>
        <w:gridCol w:w="1809"/>
        <w:gridCol w:w="1508"/>
        <w:gridCol w:w="1508"/>
        <w:gridCol w:w="1358"/>
        <w:gridCol w:w="1358"/>
        <w:gridCol w:w="1579"/>
      </w:tblGrid>
      <w:tr w:rsidR="00C10ABF" w:rsidRPr="00C10ABF" w:rsidTr="000675C3">
        <w:trPr>
          <w:trHeight w:val="486"/>
        </w:trPr>
        <w:tc>
          <w:tcPr>
            <w:tcW w:w="834" w:type="pct"/>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宋体" w:hAnsi="Book Antiqua"/>
                <w:b/>
                <w:kern w:val="0"/>
                <w:sz w:val="24"/>
                <w:szCs w:val="24"/>
                <w:lang w:eastAsia="zh-CN"/>
              </w:rPr>
            </w:pPr>
            <w:r w:rsidRPr="00C10ABF">
              <w:rPr>
                <w:rFonts w:ascii="Book Antiqua" w:eastAsia="宋体" w:hAnsi="Book Antiqua"/>
                <w:b/>
                <w:kern w:val="0"/>
                <w:sz w:val="24"/>
                <w:szCs w:val="24"/>
                <w:lang w:eastAsia="zh-CN"/>
              </w:rPr>
              <w:t>Ref.</w:t>
            </w:r>
          </w:p>
        </w:tc>
        <w:tc>
          <w:tcPr>
            <w:tcW w:w="743" w:type="pct"/>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 xml:space="preserve">Study </w:t>
            </w:r>
          </w:p>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duration (mo)</w:t>
            </w:r>
          </w:p>
        </w:tc>
        <w:tc>
          <w:tcPr>
            <w:tcW w:w="212" w:type="pct"/>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i/>
                <w:kern w:val="0"/>
                <w:sz w:val="24"/>
                <w:szCs w:val="24"/>
              </w:rPr>
            </w:pPr>
            <w:r w:rsidRPr="00C10ABF">
              <w:rPr>
                <w:rFonts w:ascii="Book Antiqua" w:eastAsia="MS PGothic" w:hAnsi="Book Antiqua"/>
                <w:b/>
                <w:i/>
                <w:kern w:val="0"/>
                <w:sz w:val="24"/>
                <w:szCs w:val="24"/>
              </w:rPr>
              <w:t>N</w:t>
            </w:r>
          </w:p>
        </w:tc>
        <w:tc>
          <w:tcPr>
            <w:tcW w:w="637" w:type="pct"/>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DPP-4 inhibitor</w:t>
            </w:r>
          </w:p>
        </w:tc>
        <w:tc>
          <w:tcPr>
            <w:tcW w:w="531" w:type="pct"/>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Treatment    dose (mg)</w:t>
            </w:r>
          </w:p>
        </w:tc>
        <w:tc>
          <w:tcPr>
            <w:tcW w:w="531" w:type="pct"/>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Parameter        (%)</w:t>
            </w:r>
          </w:p>
        </w:tc>
        <w:tc>
          <w:tcPr>
            <w:tcW w:w="478" w:type="pct"/>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Pre- treatment</w:t>
            </w:r>
          </w:p>
        </w:tc>
        <w:tc>
          <w:tcPr>
            <w:tcW w:w="478" w:type="pct"/>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Post- treatment</w:t>
            </w:r>
          </w:p>
        </w:tc>
        <w:tc>
          <w:tcPr>
            <w:tcW w:w="556" w:type="pct"/>
            <w:vMerge w:val="restart"/>
            <w:tcBorders>
              <w:top w:val="nil"/>
              <w:left w:val="nil"/>
              <w:bottom w:val="single" w:sz="8"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Efficacy</w:t>
            </w:r>
          </w:p>
        </w:tc>
      </w:tr>
      <w:tr w:rsidR="00C10ABF" w:rsidRPr="00C10ABF" w:rsidTr="000675C3">
        <w:trPr>
          <w:trHeight w:val="486"/>
        </w:trPr>
        <w:tc>
          <w:tcPr>
            <w:tcW w:w="834"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743"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37"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478"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478"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56"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675C3">
        <w:trPr>
          <w:trHeight w:val="486"/>
        </w:trPr>
        <w:tc>
          <w:tcPr>
            <w:tcW w:w="834"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743"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37"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478"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478"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56" w:type="pct"/>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675C3">
        <w:trPr>
          <w:trHeight w:val="300"/>
        </w:trPr>
        <w:tc>
          <w:tcPr>
            <w:tcW w:w="834" w:type="pct"/>
            <w:vMerge w:val="restart"/>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Arjona </w:t>
            </w:r>
            <w:r w:rsidRPr="00C10ABF">
              <w:rPr>
                <w:rFonts w:ascii="Book Antiqua" w:eastAsia="MS PGothic" w:hAnsi="Book Antiqua"/>
                <w:i/>
                <w:kern w:val="0"/>
                <w:sz w:val="24"/>
                <w:szCs w:val="24"/>
              </w:rPr>
              <w:t>et al</w:t>
            </w:r>
            <w:r w:rsidRPr="00C10ABF">
              <w:rPr>
                <w:rFonts w:ascii="Book Antiqua" w:eastAsia="宋体" w:hAnsi="Book Antiqua"/>
                <w:kern w:val="0"/>
                <w:sz w:val="24"/>
                <w:szCs w:val="24"/>
                <w:vertAlign w:val="superscript"/>
                <w:lang w:eastAsia="zh-CN"/>
              </w:rPr>
              <w:t>[9]</w:t>
            </w:r>
          </w:p>
        </w:tc>
        <w:tc>
          <w:tcPr>
            <w:tcW w:w="743"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12</w:t>
            </w:r>
          </w:p>
        </w:tc>
        <w:tc>
          <w:tcPr>
            <w:tcW w:w="212"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64</w:t>
            </w:r>
          </w:p>
        </w:tc>
        <w:tc>
          <w:tcPr>
            <w:tcW w:w="637"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Sitagliptin</w:t>
            </w:r>
          </w:p>
        </w:tc>
        <w:tc>
          <w:tcPr>
            <w:tcW w:w="531"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25</w:t>
            </w:r>
          </w:p>
        </w:tc>
        <w:tc>
          <w:tcPr>
            <w:tcW w:w="531"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HbA1c</w:t>
            </w:r>
          </w:p>
        </w:tc>
        <w:tc>
          <w:tcPr>
            <w:tcW w:w="478" w:type="pct"/>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7.9</w:t>
            </w:r>
          </w:p>
        </w:tc>
        <w:tc>
          <w:tcPr>
            <w:tcW w:w="478" w:type="pct"/>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7.2</w:t>
            </w:r>
          </w:p>
        </w:tc>
        <w:tc>
          <w:tcPr>
            <w:tcW w:w="556" w:type="pct"/>
            <w:tcBorders>
              <w:top w:val="nil"/>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−0.7</w:t>
            </w:r>
          </w:p>
        </w:tc>
      </w:tr>
      <w:tr w:rsidR="00C10ABF" w:rsidRPr="00C10ABF" w:rsidTr="000675C3">
        <w:trPr>
          <w:trHeight w:val="315"/>
        </w:trPr>
        <w:tc>
          <w:tcPr>
            <w:tcW w:w="834"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743"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37"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GA</w:t>
            </w:r>
          </w:p>
        </w:tc>
        <w:tc>
          <w:tcPr>
            <w:tcW w:w="478"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478"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556"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r>
      <w:tr w:rsidR="00C10ABF" w:rsidRPr="00C10ABF" w:rsidTr="000675C3">
        <w:trPr>
          <w:trHeight w:val="315"/>
        </w:trPr>
        <w:tc>
          <w:tcPr>
            <w:tcW w:w="834" w:type="pct"/>
            <w:vMerge w:val="restart"/>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Ito </w:t>
            </w:r>
            <w:r w:rsidRPr="00C10ABF">
              <w:rPr>
                <w:rFonts w:ascii="Book Antiqua" w:eastAsia="MS PGothic" w:hAnsi="Book Antiqua"/>
                <w:i/>
                <w:kern w:val="0"/>
                <w:sz w:val="24"/>
                <w:szCs w:val="24"/>
              </w:rPr>
              <w:t>et al</w:t>
            </w:r>
            <w:r w:rsidRPr="00C10ABF">
              <w:rPr>
                <w:rFonts w:ascii="Book Antiqua" w:eastAsia="宋体" w:hAnsi="Book Antiqua"/>
                <w:kern w:val="0"/>
                <w:sz w:val="24"/>
                <w:szCs w:val="24"/>
                <w:vertAlign w:val="superscript"/>
                <w:lang w:eastAsia="zh-CN"/>
              </w:rPr>
              <w:t>[10]</w:t>
            </w:r>
          </w:p>
        </w:tc>
        <w:tc>
          <w:tcPr>
            <w:tcW w:w="743"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w:t>
            </w:r>
          </w:p>
        </w:tc>
        <w:tc>
          <w:tcPr>
            <w:tcW w:w="212"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5</w:t>
            </w:r>
          </w:p>
        </w:tc>
        <w:tc>
          <w:tcPr>
            <w:tcW w:w="637"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Vildagliptin</w:t>
            </w:r>
          </w:p>
        </w:tc>
        <w:tc>
          <w:tcPr>
            <w:tcW w:w="531"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50</w:t>
            </w:r>
          </w:p>
        </w:tc>
        <w:tc>
          <w:tcPr>
            <w:tcW w:w="531"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HbA1c</w:t>
            </w:r>
          </w:p>
        </w:tc>
        <w:tc>
          <w:tcPr>
            <w:tcW w:w="478"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6.0</w:t>
            </w:r>
          </w:p>
        </w:tc>
        <w:tc>
          <w:tcPr>
            <w:tcW w:w="478"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5.5</w:t>
            </w:r>
          </w:p>
        </w:tc>
        <w:tc>
          <w:tcPr>
            <w:tcW w:w="556"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−0.5</w:t>
            </w:r>
          </w:p>
        </w:tc>
      </w:tr>
      <w:tr w:rsidR="00C10ABF" w:rsidRPr="00C10ABF" w:rsidTr="000675C3">
        <w:trPr>
          <w:trHeight w:val="315"/>
        </w:trPr>
        <w:tc>
          <w:tcPr>
            <w:tcW w:w="834"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743"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37"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GA</w:t>
            </w:r>
          </w:p>
        </w:tc>
        <w:tc>
          <w:tcPr>
            <w:tcW w:w="478"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21.8</w:t>
            </w:r>
          </w:p>
        </w:tc>
        <w:tc>
          <w:tcPr>
            <w:tcW w:w="478"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19.7</w:t>
            </w:r>
          </w:p>
        </w:tc>
        <w:tc>
          <w:tcPr>
            <w:tcW w:w="556"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−2.1</w:t>
            </w:r>
          </w:p>
        </w:tc>
      </w:tr>
      <w:tr w:rsidR="00C10ABF" w:rsidRPr="00C10ABF" w:rsidTr="000675C3">
        <w:trPr>
          <w:trHeight w:val="315"/>
        </w:trPr>
        <w:tc>
          <w:tcPr>
            <w:tcW w:w="834" w:type="pct"/>
            <w:vMerge w:val="restart"/>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Kume </w:t>
            </w:r>
            <w:r w:rsidRPr="00C10ABF">
              <w:rPr>
                <w:rFonts w:ascii="Book Antiqua" w:eastAsia="MS PGothic" w:hAnsi="Book Antiqua"/>
                <w:i/>
                <w:kern w:val="0"/>
                <w:sz w:val="24"/>
                <w:szCs w:val="24"/>
              </w:rPr>
              <w:t>et al</w:t>
            </w:r>
            <w:r w:rsidRPr="00C10ABF">
              <w:rPr>
                <w:rFonts w:ascii="Book Antiqua" w:eastAsia="宋体" w:hAnsi="Book Antiqua"/>
                <w:kern w:val="0"/>
                <w:sz w:val="24"/>
                <w:szCs w:val="24"/>
                <w:vertAlign w:val="superscript"/>
                <w:lang w:eastAsia="zh-CN"/>
              </w:rPr>
              <w:t>[11]</w:t>
            </w:r>
          </w:p>
        </w:tc>
        <w:tc>
          <w:tcPr>
            <w:tcW w:w="743"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w:t>
            </w:r>
          </w:p>
        </w:tc>
        <w:tc>
          <w:tcPr>
            <w:tcW w:w="212"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26</w:t>
            </w:r>
          </w:p>
        </w:tc>
        <w:tc>
          <w:tcPr>
            <w:tcW w:w="637"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Vildagliptin </w:t>
            </w:r>
          </w:p>
        </w:tc>
        <w:tc>
          <w:tcPr>
            <w:tcW w:w="531"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50</w:t>
            </w:r>
          </w:p>
        </w:tc>
        <w:tc>
          <w:tcPr>
            <w:tcW w:w="531"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HbA1c</w:t>
            </w:r>
          </w:p>
        </w:tc>
        <w:tc>
          <w:tcPr>
            <w:tcW w:w="478"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478"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556"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r>
      <w:tr w:rsidR="00C10ABF" w:rsidRPr="00C10ABF" w:rsidTr="000675C3">
        <w:trPr>
          <w:trHeight w:val="315"/>
        </w:trPr>
        <w:tc>
          <w:tcPr>
            <w:tcW w:w="834"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743"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37"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GA</w:t>
            </w:r>
          </w:p>
        </w:tc>
        <w:tc>
          <w:tcPr>
            <w:tcW w:w="478"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23.8</w:t>
            </w:r>
          </w:p>
        </w:tc>
        <w:tc>
          <w:tcPr>
            <w:tcW w:w="478"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21.2</w:t>
            </w:r>
          </w:p>
        </w:tc>
        <w:tc>
          <w:tcPr>
            <w:tcW w:w="556"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−2.6</w:t>
            </w:r>
          </w:p>
        </w:tc>
      </w:tr>
      <w:tr w:rsidR="00C10ABF" w:rsidRPr="00C10ABF" w:rsidTr="000675C3">
        <w:trPr>
          <w:trHeight w:val="315"/>
        </w:trPr>
        <w:tc>
          <w:tcPr>
            <w:tcW w:w="834" w:type="pct"/>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Ito </w:t>
            </w:r>
            <w:r w:rsidRPr="00C10ABF">
              <w:rPr>
                <w:rFonts w:ascii="Book Antiqua" w:eastAsia="MS PGothic" w:hAnsi="Book Antiqua"/>
                <w:i/>
                <w:kern w:val="0"/>
                <w:sz w:val="24"/>
                <w:szCs w:val="24"/>
              </w:rPr>
              <w:t>et al</w:t>
            </w:r>
            <w:r w:rsidRPr="00C10ABF">
              <w:rPr>
                <w:rFonts w:ascii="Book Antiqua" w:eastAsia="宋体" w:hAnsi="Book Antiqua"/>
                <w:kern w:val="0"/>
                <w:sz w:val="24"/>
                <w:szCs w:val="24"/>
                <w:vertAlign w:val="superscript"/>
                <w:lang w:eastAsia="zh-CN"/>
              </w:rPr>
              <w:t>[12]</w:t>
            </w:r>
          </w:p>
        </w:tc>
        <w:tc>
          <w:tcPr>
            <w:tcW w:w="743" w:type="pct"/>
            <w:vMerge w:val="restar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w:t>
            </w:r>
          </w:p>
        </w:tc>
        <w:tc>
          <w:tcPr>
            <w:tcW w:w="212" w:type="pct"/>
            <w:vMerge w:val="restar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9</w:t>
            </w:r>
          </w:p>
        </w:tc>
        <w:tc>
          <w:tcPr>
            <w:tcW w:w="637" w:type="pct"/>
            <w:vMerge w:val="restar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Vildagliptin </w:t>
            </w:r>
          </w:p>
        </w:tc>
        <w:tc>
          <w:tcPr>
            <w:tcW w:w="531" w:type="pct"/>
            <w:vMerge w:val="restart"/>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50 or 100</w:t>
            </w:r>
          </w:p>
        </w:tc>
        <w:tc>
          <w:tcPr>
            <w:tcW w:w="531"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HbA1c</w:t>
            </w:r>
          </w:p>
        </w:tc>
        <w:tc>
          <w:tcPr>
            <w:tcW w:w="478"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6.7</w:t>
            </w:r>
          </w:p>
        </w:tc>
        <w:tc>
          <w:tcPr>
            <w:tcW w:w="478"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w:t>
            </w:r>
          </w:p>
        </w:tc>
        <w:tc>
          <w:tcPr>
            <w:tcW w:w="556"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−0.7</w:t>
            </w:r>
          </w:p>
        </w:tc>
      </w:tr>
      <w:tr w:rsidR="00C10ABF" w:rsidRPr="00C10ABF" w:rsidTr="000675C3">
        <w:trPr>
          <w:trHeight w:val="315"/>
        </w:trPr>
        <w:tc>
          <w:tcPr>
            <w:tcW w:w="834"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743" w:type="pct"/>
            <w:vMerge/>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 w:type="pct"/>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37" w:type="pct"/>
            <w:vMerge/>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GA</w:t>
            </w:r>
          </w:p>
        </w:tc>
        <w:tc>
          <w:tcPr>
            <w:tcW w:w="478"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24.7</w:t>
            </w:r>
          </w:p>
        </w:tc>
        <w:tc>
          <w:tcPr>
            <w:tcW w:w="478"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20.1</w:t>
            </w:r>
          </w:p>
        </w:tc>
        <w:tc>
          <w:tcPr>
            <w:tcW w:w="556"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−4.6</w:t>
            </w:r>
          </w:p>
        </w:tc>
      </w:tr>
      <w:tr w:rsidR="00C10ABF" w:rsidRPr="00C10ABF" w:rsidTr="000675C3">
        <w:trPr>
          <w:trHeight w:val="315"/>
        </w:trPr>
        <w:tc>
          <w:tcPr>
            <w:tcW w:w="834" w:type="pct"/>
            <w:vMerge w:val="restart"/>
            <w:tcBorders>
              <w:top w:val="single" w:sz="4" w:space="0" w:color="auto"/>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Nakamura </w:t>
            </w:r>
            <w:r w:rsidRPr="00C10ABF">
              <w:rPr>
                <w:rFonts w:ascii="Book Antiqua" w:eastAsia="MS PGothic" w:hAnsi="Book Antiqua"/>
                <w:i/>
                <w:kern w:val="0"/>
                <w:sz w:val="24"/>
                <w:szCs w:val="24"/>
              </w:rPr>
              <w:t>et al</w:t>
            </w:r>
            <w:r w:rsidRPr="00C10ABF">
              <w:rPr>
                <w:rFonts w:ascii="Book Antiqua" w:eastAsia="宋体" w:hAnsi="Book Antiqua"/>
                <w:kern w:val="0"/>
                <w:sz w:val="24"/>
                <w:szCs w:val="24"/>
                <w:vertAlign w:val="superscript"/>
                <w:lang w:eastAsia="zh-CN"/>
              </w:rPr>
              <w:t xml:space="preserve">[13] </w:t>
            </w:r>
          </w:p>
        </w:tc>
        <w:tc>
          <w:tcPr>
            <w:tcW w:w="743" w:type="pct"/>
            <w:vMerge w:val="restart"/>
            <w:tcBorders>
              <w:top w:val="single" w:sz="4" w:space="0" w:color="auto"/>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24</w:t>
            </w:r>
          </w:p>
        </w:tc>
        <w:tc>
          <w:tcPr>
            <w:tcW w:w="212" w:type="pct"/>
            <w:vMerge w:val="restart"/>
            <w:tcBorders>
              <w:top w:val="single" w:sz="4" w:space="0" w:color="auto"/>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16</w:t>
            </w:r>
          </w:p>
        </w:tc>
        <w:tc>
          <w:tcPr>
            <w:tcW w:w="637" w:type="pct"/>
            <w:vMerge w:val="restart"/>
            <w:tcBorders>
              <w:top w:val="single" w:sz="4" w:space="0" w:color="auto"/>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Alogliptin</w:t>
            </w:r>
          </w:p>
        </w:tc>
        <w:tc>
          <w:tcPr>
            <w:tcW w:w="531"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6.25</w:t>
            </w:r>
          </w:p>
        </w:tc>
        <w:tc>
          <w:tcPr>
            <w:tcW w:w="531"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HbA1c</w:t>
            </w:r>
          </w:p>
        </w:tc>
        <w:tc>
          <w:tcPr>
            <w:tcW w:w="478"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7.1</w:t>
            </w:r>
          </w:p>
        </w:tc>
        <w:tc>
          <w:tcPr>
            <w:tcW w:w="478"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5.8</w:t>
            </w:r>
          </w:p>
        </w:tc>
        <w:tc>
          <w:tcPr>
            <w:tcW w:w="556" w:type="pct"/>
            <w:tcBorders>
              <w:top w:val="single" w:sz="4" w:space="0" w:color="auto"/>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−1.3</w:t>
            </w:r>
          </w:p>
        </w:tc>
      </w:tr>
      <w:tr w:rsidR="00C10ABF" w:rsidRPr="00C10ABF" w:rsidTr="000675C3">
        <w:trPr>
          <w:trHeight w:val="315"/>
        </w:trPr>
        <w:tc>
          <w:tcPr>
            <w:tcW w:w="834" w:type="pct"/>
            <w:vMerge/>
            <w:tcBorders>
              <w:top w:val="single" w:sz="4" w:space="0" w:color="auto"/>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743" w:type="pct"/>
            <w:vMerge/>
            <w:tcBorders>
              <w:top w:val="single" w:sz="4" w:space="0" w:color="auto"/>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 w:type="pct"/>
            <w:vMerge/>
            <w:tcBorders>
              <w:top w:val="single" w:sz="4" w:space="0" w:color="auto"/>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37" w:type="pct"/>
            <w:vMerge/>
            <w:tcBorders>
              <w:top w:val="single" w:sz="4" w:space="0" w:color="auto"/>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GA</w:t>
            </w:r>
          </w:p>
        </w:tc>
        <w:tc>
          <w:tcPr>
            <w:tcW w:w="478"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22.5</w:t>
            </w:r>
          </w:p>
        </w:tc>
        <w:tc>
          <w:tcPr>
            <w:tcW w:w="478"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19.6</w:t>
            </w:r>
          </w:p>
        </w:tc>
        <w:tc>
          <w:tcPr>
            <w:tcW w:w="556"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−2.9</w:t>
            </w:r>
          </w:p>
        </w:tc>
      </w:tr>
      <w:tr w:rsidR="00C10ABF" w:rsidRPr="00C10ABF" w:rsidTr="000675C3">
        <w:trPr>
          <w:trHeight w:val="315"/>
        </w:trPr>
        <w:tc>
          <w:tcPr>
            <w:tcW w:w="834" w:type="pct"/>
            <w:vMerge w:val="restart"/>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Nakamura </w:t>
            </w:r>
            <w:r w:rsidRPr="00C10ABF">
              <w:rPr>
                <w:rFonts w:ascii="Book Antiqua" w:eastAsia="MS PGothic" w:hAnsi="Book Antiqua"/>
                <w:i/>
                <w:kern w:val="0"/>
                <w:sz w:val="24"/>
                <w:szCs w:val="24"/>
              </w:rPr>
              <w:t>et al</w:t>
            </w:r>
            <w:r w:rsidRPr="00C10ABF">
              <w:rPr>
                <w:rFonts w:ascii="Book Antiqua" w:eastAsia="宋体" w:hAnsi="Book Antiqua"/>
                <w:kern w:val="0"/>
                <w:sz w:val="24"/>
                <w:szCs w:val="24"/>
                <w:vertAlign w:val="superscript"/>
                <w:lang w:eastAsia="zh-CN"/>
              </w:rPr>
              <w:t xml:space="preserve">[14] </w:t>
            </w:r>
          </w:p>
        </w:tc>
        <w:tc>
          <w:tcPr>
            <w:tcW w:w="743"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w:t>
            </w:r>
          </w:p>
        </w:tc>
        <w:tc>
          <w:tcPr>
            <w:tcW w:w="212"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21</w:t>
            </w:r>
          </w:p>
        </w:tc>
        <w:tc>
          <w:tcPr>
            <w:tcW w:w="637"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Linagliptin</w:t>
            </w:r>
          </w:p>
        </w:tc>
        <w:tc>
          <w:tcPr>
            <w:tcW w:w="531" w:type="pct"/>
            <w:vMerge w:val="restart"/>
            <w:tcBorders>
              <w:top w:val="nil"/>
              <w:left w:val="nil"/>
              <w:bottom w:val="single" w:sz="4"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5</w:t>
            </w:r>
          </w:p>
        </w:tc>
        <w:tc>
          <w:tcPr>
            <w:tcW w:w="531"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HbA1c</w:t>
            </w:r>
          </w:p>
        </w:tc>
        <w:tc>
          <w:tcPr>
            <w:tcW w:w="478"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478"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556"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r>
      <w:tr w:rsidR="00C10ABF" w:rsidRPr="00C10ABF" w:rsidTr="000675C3">
        <w:trPr>
          <w:trHeight w:val="315"/>
        </w:trPr>
        <w:tc>
          <w:tcPr>
            <w:tcW w:w="834"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743"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37"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vMerge/>
            <w:tcBorders>
              <w:top w:val="nil"/>
              <w:left w:val="nil"/>
              <w:bottom w:val="single" w:sz="4"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GA</w:t>
            </w:r>
          </w:p>
        </w:tc>
        <w:tc>
          <w:tcPr>
            <w:tcW w:w="478"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21.3</w:t>
            </w:r>
          </w:p>
        </w:tc>
        <w:tc>
          <w:tcPr>
            <w:tcW w:w="478"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18.0</w:t>
            </w:r>
          </w:p>
        </w:tc>
        <w:tc>
          <w:tcPr>
            <w:tcW w:w="556" w:type="pct"/>
            <w:tcBorders>
              <w:top w:val="single" w:sz="4" w:space="0" w:color="auto"/>
              <w:left w:val="nil"/>
              <w:bottom w:val="single" w:sz="4"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−2.3</w:t>
            </w:r>
          </w:p>
        </w:tc>
      </w:tr>
      <w:tr w:rsidR="00C10ABF" w:rsidRPr="00C10ABF" w:rsidTr="000675C3">
        <w:trPr>
          <w:trHeight w:val="300"/>
        </w:trPr>
        <w:tc>
          <w:tcPr>
            <w:tcW w:w="834" w:type="pct"/>
            <w:vMerge w:val="restart"/>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宋体" w:hAnsi="Book Antiqua"/>
                <w:kern w:val="0"/>
                <w:sz w:val="24"/>
                <w:szCs w:val="24"/>
                <w:lang w:eastAsia="zh-CN"/>
              </w:rPr>
            </w:pPr>
            <w:r w:rsidRPr="00C10ABF">
              <w:rPr>
                <w:rFonts w:ascii="Book Antiqua" w:eastAsia="MS PGothic" w:hAnsi="Book Antiqua"/>
                <w:kern w:val="0"/>
                <w:sz w:val="24"/>
                <w:szCs w:val="24"/>
              </w:rPr>
              <w:t xml:space="preserve">Otsuki </w:t>
            </w:r>
            <w:r w:rsidRPr="00C10ABF">
              <w:rPr>
                <w:rFonts w:ascii="Book Antiqua" w:eastAsia="MS PGothic" w:hAnsi="Book Antiqua"/>
                <w:i/>
                <w:kern w:val="0"/>
                <w:sz w:val="24"/>
                <w:szCs w:val="24"/>
              </w:rPr>
              <w:t>et al</w:t>
            </w:r>
            <w:r w:rsidRPr="00C10ABF">
              <w:rPr>
                <w:rFonts w:ascii="Book Antiqua" w:eastAsia="宋体" w:hAnsi="Book Antiqua"/>
                <w:kern w:val="0"/>
                <w:sz w:val="24"/>
                <w:szCs w:val="24"/>
                <w:vertAlign w:val="superscript"/>
                <w:lang w:eastAsia="zh-CN"/>
              </w:rPr>
              <w:t>[15]</w:t>
            </w:r>
          </w:p>
        </w:tc>
        <w:tc>
          <w:tcPr>
            <w:tcW w:w="743"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w:t>
            </w:r>
          </w:p>
        </w:tc>
        <w:tc>
          <w:tcPr>
            <w:tcW w:w="212" w:type="pct"/>
            <w:vMerge w:val="restart"/>
            <w:tcBorders>
              <w:top w:val="nil"/>
              <w:left w:val="nil"/>
              <w:bottom w:val="single" w:sz="12"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14</w:t>
            </w:r>
          </w:p>
        </w:tc>
        <w:tc>
          <w:tcPr>
            <w:tcW w:w="637" w:type="pct"/>
            <w:vMerge w:val="restart"/>
            <w:tcBorders>
              <w:top w:val="nil"/>
              <w:left w:val="nil"/>
              <w:bottom w:val="single" w:sz="12"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Teneligliptin</w:t>
            </w:r>
          </w:p>
        </w:tc>
        <w:tc>
          <w:tcPr>
            <w:tcW w:w="531" w:type="pct"/>
            <w:vMerge w:val="restart"/>
            <w:tcBorders>
              <w:top w:val="nil"/>
              <w:left w:val="nil"/>
              <w:bottom w:val="single" w:sz="12" w:space="0" w:color="000000"/>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20</w:t>
            </w:r>
          </w:p>
        </w:tc>
        <w:tc>
          <w:tcPr>
            <w:tcW w:w="531"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HbA1c</w:t>
            </w:r>
          </w:p>
        </w:tc>
        <w:tc>
          <w:tcPr>
            <w:tcW w:w="478"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6.4</w:t>
            </w:r>
          </w:p>
        </w:tc>
        <w:tc>
          <w:tcPr>
            <w:tcW w:w="478"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556" w:type="pct"/>
            <w:tcBorders>
              <w:top w:val="nil"/>
              <w:left w:val="nil"/>
              <w:bottom w:val="nil"/>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−0.3 to −0.8</w:t>
            </w:r>
          </w:p>
        </w:tc>
      </w:tr>
      <w:tr w:rsidR="00C10ABF" w:rsidRPr="00C10ABF" w:rsidTr="000675C3">
        <w:trPr>
          <w:trHeight w:val="330"/>
        </w:trPr>
        <w:tc>
          <w:tcPr>
            <w:tcW w:w="834"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743" w:type="pct"/>
            <w:tcBorders>
              <w:top w:val="dotted" w:sz="4" w:space="0" w:color="auto"/>
              <w:left w:val="nil"/>
              <w:bottom w:val="single" w:sz="12"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7</w:t>
            </w:r>
          </w:p>
        </w:tc>
        <w:tc>
          <w:tcPr>
            <w:tcW w:w="212"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637"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vMerge/>
            <w:tcBorders>
              <w:top w:val="nil"/>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31" w:type="pct"/>
            <w:tcBorders>
              <w:top w:val="single" w:sz="4" w:space="0" w:color="auto"/>
              <w:left w:val="nil"/>
              <w:bottom w:val="single" w:sz="12"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GA</w:t>
            </w:r>
          </w:p>
        </w:tc>
        <w:tc>
          <w:tcPr>
            <w:tcW w:w="478" w:type="pct"/>
            <w:tcBorders>
              <w:top w:val="single" w:sz="4" w:space="0" w:color="auto"/>
              <w:left w:val="nil"/>
              <w:bottom w:val="single" w:sz="12"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21.1</w:t>
            </w:r>
          </w:p>
        </w:tc>
        <w:tc>
          <w:tcPr>
            <w:tcW w:w="478" w:type="pct"/>
            <w:tcBorders>
              <w:top w:val="single" w:sz="4" w:space="0" w:color="auto"/>
              <w:left w:val="nil"/>
              <w:bottom w:val="single" w:sz="12"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556" w:type="pct"/>
            <w:tcBorders>
              <w:top w:val="single" w:sz="4" w:space="0" w:color="auto"/>
              <w:left w:val="nil"/>
              <w:bottom w:val="single" w:sz="12" w:space="0" w:color="auto"/>
              <w:right w:val="nil"/>
            </w:tcBorders>
            <w:noWrap/>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−1.7 to −2.3</w:t>
            </w:r>
          </w:p>
        </w:tc>
      </w:tr>
    </w:tbl>
    <w:p w:rsidR="0001465D" w:rsidRPr="00C10ABF" w:rsidRDefault="0001465D" w:rsidP="00F25235">
      <w:pPr>
        <w:widowControl/>
        <w:snapToGrid w:val="0"/>
        <w:spacing w:line="360" w:lineRule="auto"/>
        <w:rPr>
          <w:rFonts w:ascii="Book Antiqua" w:eastAsia="宋体" w:hAnsi="Book Antiqua"/>
          <w:sz w:val="24"/>
          <w:szCs w:val="24"/>
          <w:lang w:eastAsia="zh-CN"/>
        </w:rPr>
      </w:pPr>
      <w:r w:rsidRPr="00C10ABF">
        <w:rPr>
          <w:rFonts w:ascii="Book Antiqua" w:eastAsia="MS PGothic" w:hAnsi="Book Antiqua"/>
          <w:kern w:val="0"/>
          <w:sz w:val="24"/>
          <w:szCs w:val="24"/>
        </w:rPr>
        <w:t>HbA1c</w:t>
      </w:r>
      <w:r w:rsidRPr="00C10ABF">
        <w:rPr>
          <w:rFonts w:ascii="Book Antiqua" w:eastAsia="宋体" w:hAnsi="Book Antiqua"/>
          <w:kern w:val="0"/>
          <w:sz w:val="24"/>
          <w:szCs w:val="24"/>
          <w:lang w:eastAsia="zh-CN"/>
        </w:rPr>
        <w:t xml:space="preserve">: </w:t>
      </w:r>
      <w:r w:rsidRPr="00C10ABF">
        <w:rPr>
          <w:rFonts w:ascii="Book Antiqua" w:hAnsi="Book Antiqua"/>
          <w:sz w:val="24"/>
          <w:szCs w:val="24"/>
        </w:rPr>
        <w:t>Hemoglobin A1c</w:t>
      </w:r>
      <w:r w:rsidRPr="00C10ABF">
        <w:rPr>
          <w:rFonts w:ascii="Book Antiqua" w:eastAsia="宋体" w:hAnsi="Book Antiqua"/>
          <w:sz w:val="24"/>
          <w:szCs w:val="24"/>
          <w:lang w:eastAsia="zh-CN"/>
        </w:rPr>
        <w:t xml:space="preserve">; </w:t>
      </w:r>
      <w:r w:rsidRPr="00C10ABF">
        <w:rPr>
          <w:rFonts w:ascii="Book Antiqua" w:eastAsia="MS PGothic" w:hAnsi="Book Antiqua"/>
          <w:kern w:val="0"/>
          <w:sz w:val="24"/>
          <w:szCs w:val="24"/>
        </w:rPr>
        <w:t>GA</w:t>
      </w:r>
      <w:r w:rsidRPr="00C10ABF">
        <w:rPr>
          <w:rFonts w:ascii="Book Antiqua" w:eastAsia="宋体" w:hAnsi="Book Antiqua"/>
          <w:kern w:val="0"/>
          <w:sz w:val="24"/>
          <w:szCs w:val="24"/>
          <w:lang w:eastAsia="zh-CN"/>
        </w:rPr>
        <w:t xml:space="preserve">: </w:t>
      </w:r>
      <w:r w:rsidRPr="00C10ABF">
        <w:rPr>
          <w:rFonts w:ascii="Book Antiqua" w:hAnsi="Book Antiqua"/>
          <w:sz w:val="24"/>
          <w:szCs w:val="24"/>
        </w:rPr>
        <w:t>Glycated albumin</w:t>
      </w:r>
      <w:r w:rsidRPr="00C10ABF">
        <w:rPr>
          <w:rFonts w:ascii="Book Antiqua" w:eastAsia="宋体" w:hAnsi="Book Antiqua"/>
          <w:sz w:val="24"/>
          <w:szCs w:val="24"/>
          <w:lang w:eastAsia="zh-CN"/>
        </w:rPr>
        <w:t>.</w:t>
      </w:r>
    </w:p>
    <w:p w:rsidR="0001465D" w:rsidRPr="00C10ABF" w:rsidRDefault="0001465D" w:rsidP="00F25235">
      <w:pPr>
        <w:widowControl/>
        <w:snapToGrid w:val="0"/>
        <w:spacing w:line="360" w:lineRule="auto"/>
        <w:rPr>
          <w:rFonts w:ascii="Book Antiqua" w:hAnsi="Book Antiqua"/>
          <w:sz w:val="24"/>
          <w:szCs w:val="24"/>
        </w:rPr>
      </w:pPr>
      <w:r w:rsidRPr="00C10ABF">
        <w:rPr>
          <w:rFonts w:ascii="Book Antiqua" w:eastAsia="MS PGothic" w:hAnsi="Book Antiqua"/>
          <w:b/>
          <w:bCs/>
          <w:kern w:val="0"/>
          <w:sz w:val="24"/>
          <w:szCs w:val="24"/>
        </w:rPr>
        <w:t xml:space="preserve">Table </w:t>
      </w:r>
      <w:r w:rsidRPr="00C10ABF">
        <w:rPr>
          <w:rFonts w:ascii="Book Antiqua" w:eastAsia="宋体" w:hAnsi="Book Antiqua"/>
          <w:b/>
          <w:bCs/>
          <w:kern w:val="0"/>
          <w:sz w:val="24"/>
          <w:szCs w:val="24"/>
          <w:lang w:eastAsia="zh-CN"/>
        </w:rPr>
        <w:t>4</w:t>
      </w:r>
      <w:r w:rsidRPr="00C10ABF">
        <w:rPr>
          <w:rFonts w:ascii="Book Antiqua" w:eastAsia="MS PGothic" w:hAnsi="Book Antiqua"/>
          <w:b/>
          <w:bCs/>
          <w:kern w:val="0"/>
          <w:sz w:val="24"/>
          <w:szCs w:val="24"/>
        </w:rPr>
        <w:t xml:space="preserve"> Efficacies of both monotherapies and combination therapies with </w:t>
      </w:r>
      <w:r w:rsidRPr="00C10ABF">
        <w:rPr>
          <w:rFonts w:ascii="Book Antiqua" w:hAnsi="Book Antiqua"/>
          <w:b/>
          <w:sz w:val="24"/>
          <w:szCs w:val="24"/>
        </w:rPr>
        <w:t xml:space="preserve">dipeptidase-4 </w:t>
      </w:r>
      <w:r w:rsidRPr="00C10ABF">
        <w:rPr>
          <w:rFonts w:ascii="Book Antiqua" w:eastAsia="MS PGothic" w:hAnsi="Book Antiqua"/>
          <w:b/>
          <w:bCs/>
          <w:kern w:val="0"/>
          <w:sz w:val="24"/>
          <w:szCs w:val="24"/>
        </w:rPr>
        <w:t>inhibitors</w:t>
      </w:r>
    </w:p>
    <w:tbl>
      <w:tblPr>
        <w:tblW w:w="14896" w:type="dxa"/>
        <w:tblInd w:w="-875" w:type="dxa"/>
        <w:tblLayout w:type="fixed"/>
        <w:tblCellMar>
          <w:left w:w="99" w:type="dxa"/>
          <w:right w:w="99" w:type="dxa"/>
        </w:tblCellMar>
        <w:tblLook w:val="00A0" w:firstRow="1" w:lastRow="0" w:firstColumn="1" w:lastColumn="0" w:noHBand="0" w:noVBand="0"/>
      </w:tblPr>
      <w:tblGrid>
        <w:gridCol w:w="1400"/>
        <w:gridCol w:w="1275"/>
        <w:gridCol w:w="567"/>
        <w:gridCol w:w="1560"/>
        <w:gridCol w:w="2126"/>
        <w:gridCol w:w="2268"/>
        <w:gridCol w:w="1417"/>
        <w:gridCol w:w="1560"/>
        <w:gridCol w:w="1417"/>
        <w:gridCol w:w="1306"/>
      </w:tblGrid>
      <w:tr w:rsidR="00C10ABF" w:rsidRPr="00C10ABF" w:rsidTr="000675C3">
        <w:trPr>
          <w:trHeight w:val="486"/>
        </w:trPr>
        <w:tc>
          <w:tcPr>
            <w:tcW w:w="1400" w:type="dxa"/>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宋体" w:hAnsi="Book Antiqua"/>
                <w:b/>
                <w:kern w:val="0"/>
                <w:sz w:val="24"/>
                <w:szCs w:val="24"/>
                <w:lang w:eastAsia="zh-CN"/>
              </w:rPr>
            </w:pPr>
            <w:r w:rsidRPr="00C10ABF">
              <w:rPr>
                <w:rFonts w:ascii="Book Antiqua" w:eastAsia="宋体" w:hAnsi="Book Antiqua"/>
                <w:b/>
                <w:kern w:val="0"/>
                <w:sz w:val="24"/>
                <w:szCs w:val="24"/>
                <w:lang w:eastAsia="zh-CN"/>
              </w:rPr>
              <w:t xml:space="preserve">Ref. </w:t>
            </w:r>
          </w:p>
        </w:tc>
        <w:tc>
          <w:tcPr>
            <w:tcW w:w="1275" w:type="dxa"/>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Study duration (mo)</w:t>
            </w:r>
          </w:p>
        </w:tc>
        <w:tc>
          <w:tcPr>
            <w:tcW w:w="567" w:type="dxa"/>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i/>
                <w:kern w:val="0"/>
                <w:sz w:val="24"/>
                <w:szCs w:val="24"/>
              </w:rPr>
            </w:pPr>
            <w:r w:rsidRPr="00C10ABF">
              <w:rPr>
                <w:rFonts w:ascii="Book Antiqua" w:eastAsia="MS PGothic" w:hAnsi="Book Antiqua"/>
                <w:b/>
                <w:i/>
                <w:kern w:val="0"/>
                <w:sz w:val="24"/>
                <w:szCs w:val="24"/>
              </w:rPr>
              <w:t>N</w:t>
            </w:r>
          </w:p>
        </w:tc>
        <w:tc>
          <w:tcPr>
            <w:tcW w:w="1560" w:type="dxa"/>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DPP-4 inhibitor</w:t>
            </w:r>
          </w:p>
        </w:tc>
        <w:tc>
          <w:tcPr>
            <w:tcW w:w="2126" w:type="dxa"/>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Treatment dose (mg)</w:t>
            </w:r>
          </w:p>
        </w:tc>
        <w:tc>
          <w:tcPr>
            <w:tcW w:w="2268" w:type="dxa"/>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Combination therapy</w:t>
            </w:r>
          </w:p>
        </w:tc>
        <w:tc>
          <w:tcPr>
            <w:tcW w:w="1417" w:type="dxa"/>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Parameter (%)</w:t>
            </w:r>
          </w:p>
        </w:tc>
        <w:tc>
          <w:tcPr>
            <w:tcW w:w="1560" w:type="dxa"/>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Pre- treatment</w:t>
            </w:r>
          </w:p>
        </w:tc>
        <w:tc>
          <w:tcPr>
            <w:tcW w:w="1417" w:type="dxa"/>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Post- treatment</w:t>
            </w:r>
          </w:p>
        </w:tc>
        <w:tc>
          <w:tcPr>
            <w:tcW w:w="1306" w:type="dxa"/>
            <w:vMerge w:val="restart"/>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b/>
                <w:kern w:val="0"/>
                <w:sz w:val="24"/>
                <w:szCs w:val="24"/>
              </w:rPr>
            </w:pPr>
            <w:r w:rsidRPr="00C10ABF">
              <w:rPr>
                <w:rFonts w:ascii="Book Antiqua" w:eastAsia="MS PGothic" w:hAnsi="Book Antiqua"/>
                <w:b/>
                <w:kern w:val="0"/>
                <w:sz w:val="24"/>
                <w:szCs w:val="24"/>
              </w:rPr>
              <w:t>Efficacy</w:t>
            </w:r>
          </w:p>
        </w:tc>
      </w:tr>
      <w:tr w:rsidR="00C10ABF" w:rsidRPr="00C10ABF" w:rsidTr="000675C3">
        <w:trPr>
          <w:trHeight w:val="486"/>
        </w:trPr>
        <w:tc>
          <w:tcPr>
            <w:tcW w:w="1400"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275"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67"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560"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6"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268"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417"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560"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417"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306"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675C3">
        <w:trPr>
          <w:trHeight w:val="486"/>
        </w:trPr>
        <w:tc>
          <w:tcPr>
            <w:tcW w:w="1400"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275"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67"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560"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6"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268"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417"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560"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417"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306" w:type="dxa"/>
            <w:vMerge/>
            <w:tcBorders>
              <w:top w:val="nil"/>
              <w:left w:val="nil"/>
              <w:bottom w:val="single" w:sz="8"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r>
      <w:tr w:rsidR="00C10ABF" w:rsidRPr="00C10ABF" w:rsidTr="000675C3">
        <w:trPr>
          <w:trHeight w:val="306"/>
        </w:trPr>
        <w:tc>
          <w:tcPr>
            <w:tcW w:w="1400" w:type="dxa"/>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Ito </w:t>
            </w:r>
            <w:r w:rsidRPr="00C10ABF">
              <w:rPr>
                <w:rFonts w:ascii="Book Antiqua" w:eastAsia="MS PGothic" w:hAnsi="Book Antiqua"/>
                <w:i/>
                <w:kern w:val="0"/>
                <w:sz w:val="24"/>
                <w:szCs w:val="24"/>
              </w:rPr>
              <w:t>et al</w:t>
            </w:r>
            <w:r w:rsidRPr="00C10ABF">
              <w:rPr>
                <w:rFonts w:ascii="Book Antiqua" w:eastAsia="宋体" w:hAnsi="Book Antiqua"/>
                <w:kern w:val="0"/>
                <w:sz w:val="24"/>
                <w:szCs w:val="24"/>
                <w:vertAlign w:val="superscript"/>
                <w:lang w:eastAsia="zh-CN"/>
              </w:rPr>
              <w:t>[12]</w:t>
            </w:r>
          </w:p>
        </w:tc>
        <w:tc>
          <w:tcPr>
            <w:tcW w:w="1275" w:type="dxa"/>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w:t>
            </w:r>
          </w:p>
        </w:tc>
        <w:tc>
          <w:tcPr>
            <w:tcW w:w="567" w:type="dxa"/>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30</w:t>
            </w:r>
          </w:p>
        </w:tc>
        <w:tc>
          <w:tcPr>
            <w:tcW w:w="1560" w:type="dxa"/>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Vildagliptin </w:t>
            </w:r>
          </w:p>
        </w:tc>
        <w:tc>
          <w:tcPr>
            <w:tcW w:w="2126" w:type="dxa"/>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50 or 100</w:t>
            </w:r>
          </w:p>
        </w:tc>
        <w:tc>
          <w:tcPr>
            <w:tcW w:w="2268" w:type="dxa"/>
            <w:vMerge w:val="restart"/>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Mitiglinide and/or voglibose</w:t>
            </w:r>
          </w:p>
        </w:tc>
        <w:tc>
          <w:tcPr>
            <w:tcW w:w="1417"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HbA1c</w:t>
            </w:r>
          </w:p>
        </w:tc>
        <w:tc>
          <w:tcPr>
            <w:tcW w:w="1560"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6.7</w:t>
            </w:r>
          </w:p>
        </w:tc>
        <w:tc>
          <w:tcPr>
            <w:tcW w:w="1417"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6.1</w:t>
            </w:r>
          </w:p>
        </w:tc>
        <w:tc>
          <w:tcPr>
            <w:tcW w:w="1306"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−0.6</w:t>
            </w:r>
          </w:p>
        </w:tc>
      </w:tr>
      <w:tr w:rsidR="00C10ABF" w:rsidRPr="00C10ABF" w:rsidTr="000675C3">
        <w:trPr>
          <w:trHeight w:val="321"/>
        </w:trPr>
        <w:tc>
          <w:tcPr>
            <w:tcW w:w="1400" w:type="dxa"/>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275" w:type="dxa"/>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67" w:type="dxa"/>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560" w:type="dxa"/>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6" w:type="dxa"/>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268" w:type="dxa"/>
            <w:vMerge/>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417" w:type="dxa"/>
            <w:tcBorders>
              <w:top w:val="single" w:sz="4" w:space="0" w:color="auto"/>
              <w:left w:val="nil"/>
              <w:bottom w:val="single" w:sz="4"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GA</w:t>
            </w:r>
          </w:p>
        </w:tc>
        <w:tc>
          <w:tcPr>
            <w:tcW w:w="1560" w:type="dxa"/>
            <w:tcBorders>
              <w:top w:val="single" w:sz="4" w:space="0" w:color="auto"/>
              <w:left w:val="nil"/>
              <w:bottom w:val="single" w:sz="4"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24.5</w:t>
            </w:r>
          </w:p>
        </w:tc>
        <w:tc>
          <w:tcPr>
            <w:tcW w:w="1417" w:type="dxa"/>
            <w:tcBorders>
              <w:top w:val="single" w:sz="4" w:space="0" w:color="auto"/>
              <w:left w:val="nil"/>
              <w:bottom w:val="single" w:sz="4"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20.5</w:t>
            </w:r>
          </w:p>
        </w:tc>
        <w:tc>
          <w:tcPr>
            <w:tcW w:w="1306" w:type="dxa"/>
            <w:tcBorders>
              <w:top w:val="single" w:sz="4" w:space="0" w:color="auto"/>
              <w:left w:val="nil"/>
              <w:bottom w:val="single" w:sz="4"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−4</w:t>
            </w:r>
          </w:p>
        </w:tc>
      </w:tr>
      <w:tr w:rsidR="00C10ABF" w:rsidRPr="00C10ABF" w:rsidTr="000675C3">
        <w:trPr>
          <w:trHeight w:val="306"/>
        </w:trPr>
        <w:tc>
          <w:tcPr>
            <w:tcW w:w="1400" w:type="dxa"/>
            <w:vMerge w:val="restart"/>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Fujii </w:t>
            </w:r>
            <w:r w:rsidRPr="00C10ABF">
              <w:rPr>
                <w:rFonts w:ascii="Book Antiqua" w:eastAsia="MS PGothic" w:hAnsi="Book Antiqua"/>
                <w:i/>
                <w:kern w:val="0"/>
                <w:sz w:val="24"/>
                <w:szCs w:val="24"/>
              </w:rPr>
              <w:t>et al</w:t>
            </w:r>
            <w:r w:rsidRPr="00C10ABF">
              <w:rPr>
                <w:rFonts w:ascii="Book Antiqua" w:eastAsia="宋体" w:hAnsi="Book Antiqua"/>
                <w:kern w:val="0"/>
                <w:sz w:val="24"/>
                <w:szCs w:val="24"/>
                <w:vertAlign w:val="superscript"/>
                <w:lang w:eastAsia="zh-CN"/>
              </w:rPr>
              <w:t>[16]</w:t>
            </w:r>
          </w:p>
        </w:tc>
        <w:tc>
          <w:tcPr>
            <w:tcW w:w="1275" w:type="dxa"/>
            <w:vMerge w:val="restart"/>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12</w:t>
            </w:r>
          </w:p>
        </w:tc>
        <w:tc>
          <w:tcPr>
            <w:tcW w:w="567" w:type="dxa"/>
            <w:vMerge w:val="restart"/>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30</w:t>
            </w:r>
          </w:p>
        </w:tc>
        <w:tc>
          <w:tcPr>
            <w:tcW w:w="1560" w:type="dxa"/>
            <w:vMerge w:val="restart"/>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Alogliptin</w:t>
            </w:r>
          </w:p>
        </w:tc>
        <w:tc>
          <w:tcPr>
            <w:tcW w:w="2126" w:type="dxa"/>
            <w:vMerge w:val="restart"/>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6.25</w:t>
            </w:r>
          </w:p>
        </w:tc>
        <w:tc>
          <w:tcPr>
            <w:tcW w:w="2268" w:type="dxa"/>
            <w:vMerge w:val="restart"/>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Mitiglinide and/or voglibose</w:t>
            </w:r>
          </w:p>
        </w:tc>
        <w:tc>
          <w:tcPr>
            <w:tcW w:w="1417"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HbA1c</w:t>
            </w:r>
          </w:p>
        </w:tc>
        <w:tc>
          <w:tcPr>
            <w:tcW w:w="1560"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7.2</w:t>
            </w:r>
          </w:p>
        </w:tc>
        <w:tc>
          <w:tcPr>
            <w:tcW w:w="1417"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6.3</w:t>
            </w:r>
          </w:p>
        </w:tc>
        <w:tc>
          <w:tcPr>
            <w:tcW w:w="1306"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−0.9</w:t>
            </w:r>
          </w:p>
        </w:tc>
      </w:tr>
      <w:tr w:rsidR="00C10ABF" w:rsidRPr="00C10ABF" w:rsidTr="000675C3">
        <w:trPr>
          <w:trHeight w:val="321"/>
        </w:trPr>
        <w:tc>
          <w:tcPr>
            <w:tcW w:w="1400" w:type="dxa"/>
            <w:vMerge/>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275" w:type="dxa"/>
            <w:vMerge/>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67" w:type="dxa"/>
            <w:vMerge/>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560" w:type="dxa"/>
            <w:vMerge/>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6" w:type="dxa"/>
            <w:vMerge/>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268" w:type="dxa"/>
            <w:vMerge/>
            <w:tcBorders>
              <w:top w:val="single" w:sz="4" w:space="0" w:color="auto"/>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417" w:type="dxa"/>
            <w:tcBorders>
              <w:top w:val="single" w:sz="4" w:space="0" w:color="auto"/>
              <w:left w:val="nil"/>
              <w:bottom w:val="single" w:sz="4"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GA</w:t>
            </w:r>
          </w:p>
        </w:tc>
        <w:tc>
          <w:tcPr>
            <w:tcW w:w="1560" w:type="dxa"/>
            <w:tcBorders>
              <w:top w:val="single" w:sz="4" w:space="0" w:color="auto"/>
              <w:left w:val="nil"/>
              <w:bottom w:val="single" w:sz="4"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25.6</w:t>
            </w:r>
          </w:p>
        </w:tc>
        <w:tc>
          <w:tcPr>
            <w:tcW w:w="1417" w:type="dxa"/>
            <w:tcBorders>
              <w:top w:val="single" w:sz="4" w:space="0" w:color="auto"/>
              <w:left w:val="nil"/>
              <w:bottom w:val="single" w:sz="4"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20.7</w:t>
            </w:r>
          </w:p>
        </w:tc>
        <w:tc>
          <w:tcPr>
            <w:tcW w:w="1306" w:type="dxa"/>
            <w:tcBorders>
              <w:top w:val="single" w:sz="4" w:space="0" w:color="auto"/>
              <w:left w:val="nil"/>
              <w:bottom w:val="single" w:sz="4"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−4.9</w:t>
            </w:r>
          </w:p>
        </w:tc>
      </w:tr>
      <w:tr w:rsidR="00C10ABF" w:rsidRPr="00C10ABF" w:rsidTr="000675C3">
        <w:trPr>
          <w:trHeight w:val="321"/>
        </w:trPr>
        <w:tc>
          <w:tcPr>
            <w:tcW w:w="1400" w:type="dxa"/>
            <w:vMerge w:val="restart"/>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 xml:space="preserve">Nowicki </w:t>
            </w:r>
            <w:r w:rsidRPr="00C10ABF">
              <w:rPr>
                <w:rFonts w:ascii="Book Antiqua" w:eastAsia="MS PGothic" w:hAnsi="Book Antiqua"/>
                <w:i/>
                <w:kern w:val="0"/>
                <w:sz w:val="24"/>
                <w:szCs w:val="24"/>
              </w:rPr>
              <w:t>et al</w:t>
            </w:r>
            <w:r w:rsidRPr="00C10ABF">
              <w:rPr>
                <w:rFonts w:ascii="Book Antiqua" w:eastAsia="宋体" w:hAnsi="Book Antiqua"/>
                <w:kern w:val="0"/>
                <w:sz w:val="24"/>
                <w:szCs w:val="24"/>
                <w:vertAlign w:val="superscript"/>
                <w:lang w:eastAsia="zh-CN"/>
              </w:rPr>
              <w:t>[17]</w:t>
            </w:r>
          </w:p>
        </w:tc>
        <w:tc>
          <w:tcPr>
            <w:tcW w:w="1275" w:type="dxa"/>
            <w:vMerge w:val="restart"/>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12</w:t>
            </w:r>
          </w:p>
        </w:tc>
        <w:tc>
          <w:tcPr>
            <w:tcW w:w="567" w:type="dxa"/>
            <w:vMerge w:val="restart"/>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19</w:t>
            </w:r>
          </w:p>
        </w:tc>
        <w:tc>
          <w:tcPr>
            <w:tcW w:w="1560" w:type="dxa"/>
            <w:vMerge w:val="restart"/>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Saxagliptin</w:t>
            </w:r>
          </w:p>
        </w:tc>
        <w:tc>
          <w:tcPr>
            <w:tcW w:w="2126" w:type="dxa"/>
            <w:vMerge w:val="restart"/>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2.5</w:t>
            </w:r>
          </w:p>
        </w:tc>
        <w:tc>
          <w:tcPr>
            <w:tcW w:w="2268" w:type="dxa"/>
            <w:vMerge w:val="restart"/>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1417"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HbA1c</w:t>
            </w:r>
          </w:p>
        </w:tc>
        <w:tc>
          <w:tcPr>
            <w:tcW w:w="1560"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8.7</w:t>
            </w:r>
          </w:p>
        </w:tc>
        <w:tc>
          <w:tcPr>
            <w:tcW w:w="1417"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7.5</w:t>
            </w:r>
          </w:p>
        </w:tc>
        <w:tc>
          <w:tcPr>
            <w:tcW w:w="1306" w:type="dxa"/>
            <w:tcBorders>
              <w:top w:val="nil"/>
              <w:left w:val="nil"/>
              <w:bottom w:val="nil"/>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−1.2</w:t>
            </w:r>
          </w:p>
        </w:tc>
      </w:tr>
      <w:tr w:rsidR="00C10ABF" w:rsidRPr="00C10ABF" w:rsidTr="000675C3">
        <w:trPr>
          <w:trHeight w:val="336"/>
        </w:trPr>
        <w:tc>
          <w:tcPr>
            <w:tcW w:w="1400" w:type="dxa"/>
            <w:vMerge/>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275" w:type="dxa"/>
            <w:vMerge/>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567" w:type="dxa"/>
            <w:vMerge/>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560" w:type="dxa"/>
            <w:vMerge/>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126" w:type="dxa"/>
            <w:vMerge/>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2268" w:type="dxa"/>
            <w:vMerge/>
            <w:tcBorders>
              <w:top w:val="single" w:sz="4" w:space="0" w:color="auto"/>
              <w:left w:val="nil"/>
              <w:bottom w:val="single" w:sz="12" w:space="0" w:color="000000"/>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p>
        </w:tc>
        <w:tc>
          <w:tcPr>
            <w:tcW w:w="1417" w:type="dxa"/>
            <w:tcBorders>
              <w:top w:val="single" w:sz="4" w:space="0" w:color="auto"/>
              <w:left w:val="nil"/>
              <w:bottom w:val="single" w:sz="12"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GA</w:t>
            </w:r>
          </w:p>
        </w:tc>
        <w:tc>
          <w:tcPr>
            <w:tcW w:w="1560" w:type="dxa"/>
            <w:tcBorders>
              <w:top w:val="single" w:sz="4" w:space="0" w:color="auto"/>
              <w:left w:val="nil"/>
              <w:bottom w:val="single" w:sz="12"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1417" w:type="dxa"/>
            <w:tcBorders>
              <w:top w:val="single" w:sz="4" w:space="0" w:color="auto"/>
              <w:left w:val="nil"/>
              <w:bottom w:val="single" w:sz="12"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c>
          <w:tcPr>
            <w:tcW w:w="1306" w:type="dxa"/>
            <w:tcBorders>
              <w:top w:val="single" w:sz="4" w:space="0" w:color="auto"/>
              <w:left w:val="nil"/>
              <w:bottom w:val="single" w:sz="12" w:space="0" w:color="auto"/>
              <w:right w:val="nil"/>
            </w:tcBorders>
            <w:vAlign w:val="center"/>
          </w:tcPr>
          <w:p w:rsidR="0001465D" w:rsidRPr="00C10ABF" w:rsidRDefault="0001465D" w:rsidP="000675C3">
            <w:pPr>
              <w:widowControl/>
              <w:snapToGrid w:val="0"/>
              <w:spacing w:line="360" w:lineRule="auto"/>
              <w:rPr>
                <w:rFonts w:ascii="Book Antiqua" w:eastAsia="MS PGothic" w:hAnsi="Book Antiqua"/>
                <w:kern w:val="0"/>
                <w:sz w:val="24"/>
                <w:szCs w:val="24"/>
              </w:rPr>
            </w:pPr>
            <w:r w:rsidRPr="00C10ABF">
              <w:rPr>
                <w:rFonts w:ascii="Book Antiqua" w:eastAsia="MS PGothic" w:hAnsi="Book Antiqua"/>
                <w:kern w:val="0"/>
                <w:sz w:val="24"/>
                <w:szCs w:val="24"/>
              </w:rPr>
              <w:t>Unknown</w:t>
            </w:r>
          </w:p>
        </w:tc>
      </w:tr>
    </w:tbl>
    <w:p w:rsidR="0001465D" w:rsidRPr="00C10ABF" w:rsidRDefault="0001465D" w:rsidP="00D51086">
      <w:pPr>
        <w:widowControl/>
        <w:snapToGrid w:val="0"/>
        <w:spacing w:line="360" w:lineRule="auto"/>
        <w:rPr>
          <w:rFonts w:ascii="Book Antiqua" w:eastAsia="宋体" w:hAnsi="Book Antiqua"/>
          <w:sz w:val="24"/>
          <w:szCs w:val="24"/>
          <w:lang w:eastAsia="zh-CN"/>
        </w:rPr>
      </w:pPr>
      <w:r w:rsidRPr="00C10ABF">
        <w:rPr>
          <w:rFonts w:ascii="Book Antiqua" w:eastAsia="MS PGothic" w:hAnsi="Book Antiqua"/>
          <w:kern w:val="0"/>
          <w:sz w:val="24"/>
          <w:szCs w:val="24"/>
        </w:rPr>
        <w:t>HbA1c</w:t>
      </w:r>
      <w:r w:rsidRPr="00C10ABF">
        <w:rPr>
          <w:rFonts w:ascii="Book Antiqua" w:eastAsia="宋体" w:hAnsi="Book Antiqua"/>
          <w:kern w:val="0"/>
          <w:sz w:val="24"/>
          <w:szCs w:val="24"/>
          <w:lang w:eastAsia="zh-CN"/>
        </w:rPr>
        <w:t xml:space="preserve">: </w:t>
      </w:r>
      <w:r w:rsidRPr="00C10ABF">
        <w:rPr>
          <w:rFonts w:ascii="Book Antiqua" w:hAnsi="Book Antiqua"/>
          <w:sz w:val="24"/>
          <w:szCs w:val="24"/>
        </w:rPr>
        <w:t>Hemoglobin A1c</w:t>
      </w:r>
      <w:r w:rsidRPr="00C10ABF">
        <w:rPr>
          <w:rFonts w:ascii="Book Antiqua" w:eastAsia="宋体" w:hAnsi="Book Antiqua"/>
          <w:sz w:val="24"/>
          <w:szCs w:val="24"/>
          <w:lang w:eastAsia="zh-CN"/>
        </w:rPr>
        <w:t xml:space="preserve">; </w:t>
      </w:r>
      <w:r w:rsidRPr="00C10ABF">
        <w:rPr>
          <w:rFonts w:ascii="Book Antiqua" w:eastAsia="MS PGothic" w:hAnsi="Book Antiqua"/>
          <w:kern w:val="0"/>
          <w:sz w:val="24"/>
          <w:szCs w:val="24"/>
        </w:rPr>
        <w:t>GA</w:t>
      </w:r>
      <w:r w:rsidRPr="00C10ABF">
        <w:rPr>
          <w:rFonts w:ascii="Book Antiqua" w:eastAsia="宋体" w:hAnsi="Book Antiqua"/>
          <w:kern w:val="0"/>
          <w:sz w:val="24"/>
          <w:szCs w:val="24"/>
          <w:lang w:eastAsia="zh-CN"/>
        </w:rPr>
        <w:t xml:space="preserve">: </w:t>
      </w:r>
      <w:r w:rsidRPr="00C10ABF">
        <w:rPr>
          <w:rFonts w:ascii="Book Antiqua" w:hAnsi="Book Antiqua"/>
          <w:sz w:val="24"/>
          <w:szCs w:val="24"/>
        </w:rPr>
        <w:t>Glycated albumin</w:t>
      </w:r>
      <w:r w:rsidRPr="00C10ABF">
        <w:rPr>
          <w:rFonts w:ascii="Book Antiqua" w:eastAsia="宋体" w:hAnsi="Book Antiqua"/>
          <w:sz w:val="24"/>
          <w:szCs w:val="24"/>
          <w:lang w:eastAsia="zh-CN"/>
        </w:rPr>
        <w:t>.</w:t>
      </w:r>
    </w:p>
    <w:p w:rsidR="0001465D" w:rsidRPr="00C10ABF" w:rsidRDefault="0001465D">
      <w:pPr>
        <w:rPr>
          <w:rFonts w:ascii="Book Antiqua" w:hAnsi="Book Antiqua"/>
          <w:sz w:val="24"/>
          <w:szCs w:val="24"/>
        </w:rPr>
      </w:pPr>
    </w:p>
    <w:sectPr w:rsidR="0001465D" w:rsidRPr="00C10ABF" w:rsidSect="005E6E13">
      <w:footerReference w:type="default" r:id="rId13"/>
      <w:pgSz w:w="16838" w:h="11906" w:orient="landscape"/>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30" w:rsidRDefault="007E6230" w:rsidP="00F25235">
      <w:r>
        <w:separator/>
      </w:r>
    </w:p>
  </w:endnote>
  <w:endnote w:type="continuationSeparator" w:id="0">
    <w:p w:rsidR="007E6230" w:rsidRDefault="007E6230" w:rsidP="00F2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Gulim">
    <w:altName w:val="굴림"/>
    <w:charset w:val="81"/>
    <w:family w:val="swiss"/>
    <w:pitch w:val="variable"/>
    <w:sig w:usb0="B00002AF" w:usb1="69D77CFB" w:usb2="00000030" w:usb3="00000000" w:csb0="0008009F" w:csb1="00000000"/>
  </w:font>
  <w:font w:name="MS PGothic">
    <w:altName w:val="ＭＳ Ｐゴシック"/>
    <w:charset w:val="80"/>
    <w:family w:val="swiss"/>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5D" w:rsidRDefault="007E6230">
    <w:pPr>
      <w:pStyle w:val="Footer"/>
      <w:jc w:val="center"/>
    </w:pPr>
    <w:r>
      <w:fldChar w:fldCharType="begin"/>
    </w:r>
    <w:r>
      <w:instrText xml:space="preserve"> PAGE   \* MERGEFORMAT </w:instrText>
    </w:r>
    <w:r>
      <w:fldChar w:fldCharType="separate"/>
    </w:r>
    <w:r w:rsidR="0037272C">
      <w:rPr>
        <w:noProof/>
      </w:rPr>
      <w:t>1</w:t>
    </w:r>
    <w:r>
      <w:rPr>
        <w:noProof/>
      </w:rPr>
      <w:fldChar w:fldCharType="end"/>
    </w:r>
  </w:p>
  <w:p w:rsidR="0001465D" w:rsidRDefault="000146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5D" w:rsidRDefault="007E6230">
    <w:pPr>
      <w:pStyle w:val="Footer"/>
      <w:jc w:val="center"/>
    </w:pPr>
    <w:r>
      <w:fldChar w:fldCharType="begin"/>
    </w:r>
    <w:r>
      <w:instrText xml:space="preserve"> PAGE   \* MERGEFORMAT </w:instrText>
    </w:r>
    <w:r>
      <w:fldChar w:fldCharType="separate"/>
    </w:r>
    <w:r w:rsidR="0037272C">
      <w:rPr>
        <w:noProof/>
      </w:rPr>
      <w:t>31</w:t>
    </w:r>
    <w:r>
      <w:rPr>
        <w:noProof/>
      </w:rPr>
      <w:fldChar w:fldCharType="end"/>
    </w:r>
  </w:p>
  <w:p w:rsidR="0001465D" w:rsidRDefault="000146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30" w:rsidRDefault="007E6230" w:rsidP="00F25235">
      <w:r>
        <w:separator/>
      </w:r>
    </w:p>
  </w:footnote>
  <w:footnote w:type="continuationSeparator" w:id="0">
    <w:p w:rsidR="007E6230" w:rsidRDefault="007E6230" w:rsidP="00F252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C75"/>
    <w:multiLevelType w:val="hybridMultilevel"/>
    <w:tmpl w:val="021C59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EF4635"/>
    <w:multiLevelType w:val="hybridMultilevel"/>
    <w:tmpl w:val="6116E44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7242B8A"/>
    <w:multiLevelType w:val="hybridMultilevel"/>
    <w:tmpl w:val="07FCB298"/>
    <w:lvl w:ilvl="0" w:tplc="0ABAFD82">
      <w:start w:val="1"/>
      <w:numFmt w:val="decimal"/>
      <w:lvlText w:val="%1"/>
      <w:lvlJc w:val="left"/>
      <w:pPr>
        <w:ind w:left="420"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6278AB"/>
    <w:multiLevelType w:val="hybridMultilevel"/>
    <w:tmpl w:val="175203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E2857F0"/>
    <w:multiLevelType w:val="hybridMultilevel"/>
    <w:tmpl w:val="A4A258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33B6399"/>
    <w:multiLevelType w:val="hybridMultilevel"/>
    <w:tmpl w:val="832235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502280A"/>
    <w:multiLevelType w:val="hybridMultilevel"/>
    <w:tmpl w:val="98CAFDF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7106D6"/>
    <w:multiLevelType w:val="hybridMultilevel"/>
    <w:tmpl w:val="F0523D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5C65F5B"/>
    <w:multiLevelType w:val="hybridMultilevel"/>
    <w:tmpl w:val="00B8EE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66C3548"/>
    <w:multiLevelType w:val="hybridMultilevel"/>
    <w:tmpl w:val="9DB4A9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BED4EF5"/>
    <w:multiLevelType w:val="hybridMultilevel"/>
    <w:tmpl w:val="C69C0A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DC46C17"/>
    <w:multiLevelType w:val="hybridMultilevel"/>
    <w:tmpl w:val="F7504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7C71593"/>
    <w:multiLevelType w:val="hybridMultilevel"/>
    <w:tmpl w:val="BBBE07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4EC543E"/>
    <w:multiLevelType w:val="hybridMultilevel"/>
    <w:tmpl w:val="2EAABE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2EC75AF"/>
    <w:multiLevelType w:val="hybridMultilevel"/>
    <w:tmpl w:val="F976BA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5BD7423"/>
    <w:multiLevelType w:val="hybridMultilevel"/>
    <w:tmpl w:val="504012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D787C6D"/>
    <w:multiLevelType w:val="hybridMultilevel"/>
    <w:tmpl w:val="803E35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EB1072B"/>
    <w:multiLevelType w:val="hybridMultilevel"/>
    <w:tmpl w:val="4D44B4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90C4497"/>
    <w:multiLevelType w:val="hybridMultilevel"/>
    <w:tmpl w:val="3F4EFF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1407CC9"/>
    <w:multiLevelType w:val="hybridMultilevel"/>
    <w:tmpl w:val="083C6A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4E705FD"/>
    <w:multiLevelType w:val="hybridMultilevel"/>
    <w:tmpl w:val="BA6E99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4"/>
  </w:num>
  <w:num w:numId="3">
    <w:abstractNumId w:val="11"/>
  </w:num>
  <w:num w:numId="4">
    <w:abstractNumId w:val="1"/>
  </w:num>
  <w:num w:numId="5">
    <w:abstractNumId w:val="18"/>
  </w:num>
  <w:num w:numId="6">
    <w:abstractNumId w:val="10"/>
  </w:num>
  <w:num w:numId="7">
    <w:abstractNumId w:val="4"/>
  </w:num>
  <w:num w:numId="8">
    <w:abstractNumId w:val="16"/>
  </w:num>
  <w:num w:numId="9">
    <w:abstractNumId w:val="0"/>
  </w:num>
  <w:num w:numId="10">
    <w:abstractNumId w:val="7"/>
  </w:num>
  <w:num w:numId="11">
    <w:abstractNumId w:val="12"/>
  </w:num>
  <w:num w:numId="12">
    <w:abstractNumId w:val="9"/>
  </w:num>
  <w:num w:numId="13">
    <w:abstractNumId w:val="3"/>
  </w:num>
  <w:num w:numId="14">
    <w:abstractNumId w:val="20"/>
  </w:num>
  <w:num w:numId="15">
    <w:abstractNumId w:val="19"/>
  </w:num>
  <w:num w:numId="16">
    <w:abstractNumId w:val="8"/>
  </w:num>
  <w:num w:numId="17">
    <w:abstractNumId w:val="17"/>
  </w:num>
  <w:num w:numId="18">
    <w:abstractNumId w:val="13"/>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rawingGridHorizontalSpacing w:val="105"/>
  <w:displayHorizontalDrawingGridEvery w:val="0"/>
  <w:displayVerticalDrawingGridEvery w:val="2"/>
  <w:characterSpacingControl w:val="compressPunctuation"/>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35"/>
    <w:rsid w:val="00005653"/>
    <w:rsid w:val="0001465D"/>
    <w:rsid w:val="00037ABD"/>
    <w:rsid w:val="00046FE8"/>
    <w:rsid w:val="000675C3"/>
    <w:rsid w:val="00073D67"/>
    <w:rsid w:val="000C72A0"/>
    <w:rsid w:val="000D2F73"/>
    <w:rsid w:val="000D7F0C"/>
    <w:rsid w:val="001334BA"/>
    <w:rsid w:val="001379FB"/>
    <w:rsid w:val="00151EA4"/>
    <w:rsid w:val="00192CFF"/>
    <w:rsid w:val="001A3496"/>
    <w:rsid w:val="001A5C58"/>
    <w:rsid w:val="001A72C5"/>
    <w:rsid w:val="001A7A03"/>
    <w:rsid w:val="001C6B50"/>
    <w:rsid w:val="001E72C9"/>
    <w:rsid w:val="001F1137"/>
    <w:rsid w:val="00226BAF"/>
    <w:rsid w:val="002325A7"/>
    <w:rsid w:val="00257B89"/>
    <w:rsid w:val="0027502E"/>
    <w:rsid w:val="002B7841"/>
    <w:rsid w:val="002D722D"/>
    <w:rsid w:val="00305939"/>
    <w:rsid w:val="00312D08"/>
    <w:rsid w:val="00334225"/>
    <w:rsid w:val="003343D8"/>
    <w:rsid w:val="003443A2"/>
    <w:rsid w:val="003679F6"/>
    <w:rsid w:val="0037272C"/>
    <w:rsid w:val="003A333B"/>
    <w:rsid w:val="003A668C"/>
    <w:rsid w:val="003C0303"/>
    <w:rsid w:val="003D6C36"/>
    <w:rsid w:val="00432251"/>
    <w:rsid w:val="004426E4"/>
    <w:rsid w:val="00456E76"/>
    <w:rsid w:val="004850EC"/>
    <w:rsid w:val="004B1A70"/>
    <w:rsid w:val="004B2706"/>
    <w:rsid w:val="004C0B33"/>
    <w:rsid w:val="004F7CE3"/>
    <w:rsid w:val="00513D2C"/>
    <w:rsid w:val="00521F10"/>
    <w:rsid w:val="0053333E"/>
    <w:rsid w:val="005540C9"/>
    <w:rsid w:val="005558B9"/>
    <w:rsid w:val="00574592"/>
    <w:rsid w:val="00575338"/>
    <w:rsid w:val="00582633"/>
    <w:rsid w:val="005879A9"/>
    <w:rsid w:val="005B4073"/>
    <w:rsid w:val="005D1D24"/>
    <w:rsid w:val="005E6E13"/>
    <w:rsid w:val="005F5F80"/>
    <w:rsid w:val="0061486D"/>
    <w:rsid w:val="0065173D"/>
    <w:rsid w:val="006D1A52"/>
    <w:rsid w:val="00713DE7"/>
    <w:rsid w:val="00714DDD"/>
    <w:rsid w:val="0072300C"/>
    <w:rsid w:val="007350B6"/>
    <w:rsid w:val="00756560"/>
    <w:rsid w:val="00757717"/>
    <w:rsid w:val="00763BE7"/>
    <w:rsid w:val="0077673F"/>
    <w:rsid w:val="007930E8"/>
    <w:rsid w:val="007A73B8"/>
    <w:rsid w:val="007A7B70"/>
    <w:rsid w:val="007B16D9"/>
    <w:rsid w:val="007B4DB2"/>
    <w:rsid w:val="007E6230"/>
    <w:rsid w:val="007F6592"/>
    <w:rsid w:val="00817EEC"/>
    <w:rsid w:val="008571E9"/>
    <w:rsid w:val="00890B8C"/>
    <w:rsid w:val="00891C06"/>
    <w:rsid w:val="008D47A4"/>
    <w:rsid w:val="008E06E8"/>
    <w:rsid w:val="00936336"/>
    <w:rsid w:val="009548F8"/>
    <w:rsid w:val="009659DA"/>
    <w:rsid w:val="0097202E"/>
    <w:rsid w:val="0097364C"/>
    <w:rsid w:val="009742BC"/>
    <w:rsid w:val="009A625C"/>
    <w:rsid w:val="009D7FD0"/>
    <w:rsid w:val="009F74CB"/>
    <w:rsid w:val="00A12694"/>
    <w:rsid w:val="00A23F27"/>
    <w:rsid w:val="00A723ED"/>
    <w:rsid w:val="00AC6FF5"/>
    <w:rsid w:val="00AD69BD"/>
    <w:rsid w:val="00AE77D1"/>
    <w:rsid w:val="00B260F0"/>
    <w:rsid w:val="00B3623F"/>
    <w:rsid w:val="00B4184E"/>
    <w:rsid w:val="00B511C1"/>
    <w:rsid w:val="00B7601F"/>
    <w:rsid w:val="00B80D87"/>
    <w:rsid w:val="00B90073"/>
    <w:rsid w:val="00C02CE6"/>
    <w:rsid w:val="00C10ABF"/>
    <w:rsid w:val="00C23EA7"/>
    <w:rsid w:val="00C341A0"/>
    <w:rsid w:val="00C46C80"/>
    <w:rsid w:val="00C74262"/>
    <w:rsid w:val="00C75129"/>
    <w:rsid w:val="00CC4AB8"/>
    <w:rsid w:val="00CD5583"/>
    <w:rsid w:val="00D32A94"/>
    <w:rsid w:val="00D51086"/>
    <w:rsid w:val="00D8049B"/>
    <w:rsid w:val="00DD3310"/>
    <w:rsid w:val="00E11B6D"/>
    <w:rsid w:val="00E21EF5"/>
    <w:rsid w:val="00E276CC"/>
    <w:rsid w:val="00E32A9C"/>
    <w:rsid w:val="00E55DBA"/>
    <w:rsid w:val="00E6070F"/>
    <w:rsid w:val="00E8402B"/>
    <w:rsid w:val="00EB658A"/>
    <w:rsid w:val="00EC502B"/>
    <w:rsid w:val="00F03FCD"/>
    <w:rsid w:val="00F25235"/>
    <w:rsid w:val="00F5600C"/>
    <w:rsid w:val="00F64B29"/>
    <w:rsid w:val="00F72880"/>
    <w:rsid w:val="00F811F1"/>
    <w:rsid w:val="00F84EB3"/>
    <w:rsid w:val="00FA5F20"/>
    <w:rsid w:val="00FB5978"/>
    <w:rsid w:val="00FB5ECF"/>
    <w:rsid w:val="00FC39D3"/>
    <w:rsid w:val="00FD2C34"/>
    <w:rsid w:val="00FF6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86"/>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235"/>
    <w:pPr>
      <w:tabs>
        <w:tab w:val="center" w:pos="4252"/>
        <w:tab w:val="right" w:pos="8504"/>
      </w:tabs>
      <w:snapToGrid w:val="0"/>
    </w:pPr>
  </w:style>
  <w:style w:type="character" w:customStyle="1" w:styleId="HeaderChar">
    <w:name w:val="Header Char"/>
    <w:link w:val="Header"/>
    <w:uiPriority w:val="99"/>
    <w:locked/>
    <w:rsid w:val="00F25235"/>
    <w:rPr>
      <w:rFonts w:cs="Times New Roman"/>
    </w:rPr>
  </w:style>
  <w:style w:type="paragraph" w:styleId="Footer">
    <w:name w:val="footer"/>
    <w:basedOn w:val="Normal"/>
    <w:link w:val="FooterChar"/>
    <w:uiPriority w:val="99"/>
    <w:rsid w:val="00F25235"/>
    <w:pPr>
      <w:tabs>
        <w:tab w:val="center" w:pos="4252"/>
        <w:tab w:val="right" w:pos="8504"/>
      </w:tabs>
      <w:snapToGrid w:val="0"/>
    </w:pPr>
  </w:style>
  <w:style w:type="character" w:customStyle="1" w:styleId="FooterChar">
    <w:name w:val="Footer Char"/>
    <w:link w:val="Footer"/>
    <w:uiPriority w:val="99"/>
    <w:locked/>
    <w:rsid w:val="00F25235"/>
    <w:rPr>
      <w:rFonts w:cs="Times New Roman"/>
    </w:rPr>
  </w:style>
  <w:style w:type="paragraph" w:styleId="ListParagraph">
    <w:name w:val="List Paragraph"/>
    <w:basedOn w:val="Normal"/>
    <w:uiPriority w:val="99"/>
    <w:qFormat/>
    <w:rsid w:val="00F25235"/>
    <w:pPr>
      <w:ind w:leftChars="400" w:left="840"/>
    </w:pPr>
  </w:style>
  <w:style w:type="character" w:styleId="Hyperlink">
    <w:name w:val="Hyperlink"/>
    <w:uiPriority w:val="99"/>
    <w:rsid w:val="00F25235"/>
    <w:rPr>
      <w:rFonts w:cs="Times New Roman"/>
      <w:color w:val="0000FF"/>
      <w:u w:val="single"/>
    </w:rPr>
  </w:style>
  <w:style w:type="character" w:styleId="FollowedHyperlink">
    <w:name w:val="FollowedHyperlink"/>
    <w:uiPriority w:val="99"/>
    <w:semiHidden/>
    <w:rsid w:val="00F25235"/>
    <w:rPr>
      <w:rFonts w:cs="Times New Roman"/>
      <w:color w:val="800080"/>
      <w:u w:val="single"/>
    </w:rPr>
  </w:style>
  <w:style w:type="character" w:customStyle="1" w:styleId="u27">
    <w:name w:val="u27"/>
    <w:uiPriority w:val="99"/>
    <w:rsid w:val="00F25235"/>
    <w:rPr>
      <w:color w:val="008000"/>
    </w:rPr>
  </w:style>
  <w:style w:type="paragraph" w:styleId="BalloonText">
    <w:name w:val="Balloon Text"/>
    <w:basedOn w:val="Normal"/>
    <w:link w:val="BalloonTextChar"/>
    <w:uiPriority w:val="99"/>
    <w:semiHidden/>
    <w:rsid w:val="00F25235"/>
    <w:rPr>
      <w:rFonts w:ascii="Arial" w:eastAsia="MS Gothic" w:hAnsi="Arial"/>
      <w:kern w:val="0"/>
      <w:sz w:val="18"/>
      <w:szCs w:val="18"/>
      <w:lang w:eastAsia="zh-CN"/>
    </w:rPr>
  </w:style>
  <w:style w:type="character" w:customStyle="1" w:styleId="BalloonTextChar">
    <w:name w:val="Balloon Text Char"/>
    <w:link w:val="BalloonText"/>
    <w:uiPriority w:val="99"/>
    <w:semiHidden/>
    <w:locked/>
    <w:rsid w:val="00F25235"/>
    <w:rPr>
      <w:rFonts w:ascii="Arial" w:eastAsia="MS Gothic" w:hAnsi="Arial" w:cs="Times New Roman"/>
      <w:kern w:val="0"/>
      <w:sz w:val="18"/>
      <w:szCs w:val="18"/>
      <w:lang w:eastAsia="zh-CN"/>
    </w:rPr>
  </w:style>
  <w:style w:type="paragraph" w:styleId="Revision">
    <w:name w:val="Revision"/>
    <w:hidden/>
    <w:uiPriority w:val="99"/>
    <w:semiHidden/>
    <w:rsid w:val="00F25235"/>
    <w:rPr>
      <w:kern w:val="2"/>
      <w:sz w:val="21"/>
      <w:szCs w:val="22"/>
      <w:lang w:eastAsia="ja-JP"/>
    </w:rPr>
  </w:style>
  <w:style w:type="character" w:styleId="CommentReference">
    <w:name w:val="annotation reference"/>
    <w:uiPriority w:val="99"/>
    <w:semiHidden/>
    <w:rsid w:val="00F25235"/>
    <w:rPr>
      <w:rFonts w:cs="Times New Roman"/>
      <w:sz w:val="16"/>
    </w:rPr>
  </w:style>
  <w:style w:type="paragraph" w:styleId="CommentText">
    <w:name w:val="annotation text"/>
    <w:basedOn w:val="Normal"/>
    <w:link w:val="CommentTextChar"/>
    <w:uiPriority w:val="99"/>
    <w:semiHidden/>
    <w:rsid w:val="00F25235"/>
    <w:rPr>
      <w:kern w:val="0"/>
      <w:sz w:val="20"/>
      <w:szCs w:val="20"/>
      <w:lang w:eastAsia="zh-CN"/>
    </w:rPr>
  </w:style>
  <w:style w:type="character" w:customStyle="1" w:styleId="CommentTextChar">
    <w:name w:val="Comment Text Char"/>
    <w:link w:val="CommentText"/>
    <w:uiPriority w:val="99"/>
    <w:semiHidden/>
    <w:locked/>
    <w:rsid w:val="00F25235"/>
    <w:rPr>
      <w:rFonts w:ascii="Century" w:eastAsia="MS Mincho" w:hAnsi="Century" w:cs="Times New Roman"/>
      <w:kern w:val="0"/>
      <w:sz w:val="20"/>
      <w:szCs w:val="20"/>
      <w:lang w:eastAsia="zh-CN"/>
    </w:rPr>
  </w:style>
  <w:style w:type="paragraph" w:styleId="CommentSubject">
    <w:name w:val="annotation subject"/>
    <w:basedOn w:val="CommentText"/>
    <w:next w:val="CommentText"/>
    <w:link w:val="CommentSubjectChar"/>
    <w:uiPriority w:val="99"/>
    <w:semiHidden/>
    <w:rsid w:val="00F25235"/>
    <w:rPr>
      <w:b/>
      <w:bCs/>
    </w:rPr>
  </w:style>
  <w:style w:type="character" w:customStyle="1" w:styleId="CommentSubjectChar">
    <w:name w:val="Comment Subject Char"/>
    <w:link w:val="CommentSubject"/>
    <w:uiPriority w:val="99"/>
    <w:semiHidden/>
    <w:locked/>
    <w:rsid w:val="00F25235"/>
    <w:rPr>
      <w:rFonts w:ascii="Century" w:eastAsia="MS Mincho" w:hAnsi="Century" w:cs="Times New Roman"/>
      <w:b/>
      <w:bCs/>
      <w:kern w:val="0"/>
      <w:sz w:val="20"/>
      <w:szCs w:val="20"/>
      <w:lang w:eastAsia="zh-CN"/>
    </w:rPr>
  </w:style>
  <w:style w:type="paragraph" w:customStyle="1" w:styleId="CharChar2">
    <w:name w:val="Char Char2"/>
    <w:basedOn w:val="Normal"/>
    <w:autoRedefine/>
    <w:uiPriority w:val="99"/>
    <w:rsid w:val="00F25235"/>
    <w:pPr>
      <w:tabs>
        <w:tab w:val="num" w:pos="360"/>
      </w:tabs>
      <w:ind w:left="360" w:hangingChars="200" w:hanging="360"/>
    </w:pPr>
    <w:rPr>
      <w:rFonts w:ascii="Times New Roman" w:hAnsi="Times New Roman"/>
      <w:sz w:val="24"/>
      <w:szCs w:val="24"/>
      <w:lang w:eastAsia="zh-CN"/>
    </w:rPr>
  </w:style>
  <w:style w:type="character" w:customStyle="1" w:styleId="CharChar1">
    <w:name w:val="Char Char1"/>
    <w:uiPriority w:val="99"/>
    <w:semiHidden/>
    <w:rsid w:val="00F25235"/>
    <w:rPr>
      <w:rFonts w:ascii="Calibri" w:hAnsi="Calibri"/>
      <w:sz w:val="22"/>
      <w:lang w:val="en-US" w:eastAsia="ar-SA" w:bidi="ar-SA"/>
    </w:rPr>
  </w:style>
  <w:style w:type="character" w:customStyle="1" w:styleId="CharChar11">
    <w:name w:val="Char Char11"/>
    <w:uiPriority w:val="99"/>
    <w:semiHidden/>
    <w:rsid w:val="00F25235"/>
    <w:rPr>
      <w:rFonts w:ascii="Calibri" w:hAnsi="Calibri"/>
      <w:sz w:val="22"/>
      <w:lang w:val="en-US" w:eastAsia="ar-SA" w:bidi="ar-SA"/>
    </w:rPr>
  </w:style>
  <w:style w:type="paragraph" w:customStyle="1" w:styleId="CharChar21">
    <w:name w:val="Char Char21"/>
    <w:basedOn w:val="Normal"/>
    <w:autoRedefine/>
    <w:uiPriority w:val="99"/>
    <w:rsid w:val="00F25235"/>
    <w:pPr>
      <w:tabs>
        <w:tab w:val="num" w:pos="360"/>
      </w:tabs>
      <w:ind w:left="360" w:hangingChars="200" w:hanging="360"/>
    </w:pPr>
    <w:rPr>
      <w:rFonts w:ascii="Times New Roman" w:hAnsi="Times New Roman"/>
      <w:sz w:val="24"/>
      <w:szCs w:val="24"/>
      <w:lang w:eastAsia="zh-CN"/>
    </w:rPr>
  </w:style>
  <w:style w:type="character" w:customStyle="1" w:styleId="CharChar3">
    <w:name w:val="Char Char3"/>
    <w:uiPriority w:val="99"/>
    <w:semiHidden/>
    <w:rsid w:val="00F25235"/>
    <w:rPr>
      <w:rFonts w:eastAsia="Times New Roman"/>
      <w:lang w:val="fr-FR" w:eastAsia="fr-FR"/>
    </w:rPr>
  </w:style>
  <w:style w:type="character" w:customStyle="1" w:styleId="apple-converted-space">
    <w:name w:val="apple-converted-space"/>
    <w:uiPriority w:val="99"/>
    <w:rsid w:val="001A72C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86"/>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235"/>
    <w:pPr>
      <w:tabs>
        <w:tab w:val="center" w:pos="4252"/>
        <w:tab w:val="right" w:pos="8504"/>
      </w:tabs>
      <w:snapToGrid w:val="0"/>
    </w:pPr>
  </w:style>
  <w:style w:type="character" w:customStyle="1" w:styleId="HeaderChar">
    <w:name w:val="Header Char"/>
    <w:link w:val="Header"/>
    <w:uiPriority w:val="99"/>
    <w:locked/>
    <w:rsid w:val="00F25235"/>
    <w:rPr>
      <w:rFonts w:cs="Times New Roman"/>
    </w:rPr>
  </w:style>
  <w:style w:type="paragraph" w:styleId="Footer">
    <w:name w:val="footer"/>
    <w:basedOn w:val="Normal"/>
    <w:link w:val="FooterChar"/>
    <w:uiPriority w:val="99"/>
    <w:rsid w:val="00F25235"/>
    <w:pPr>
      <w:tabs>
        <w:tab w:val="center" w:pos="4252"/>
        <w:tab w:val="right" w:pos="8504"/>
      </w:tabs>
      <w:snapToGrid w:val="0"/>
    </w:pPr>
  </w:style>
  <w:style w:type="character" w:customStyle="1" w:styleId="FooterChar">
    <w:name w:val="Footer Char"/>
    <w:link w:val="Footer"/>
    <w:uiPriority w:val="99"/>
    <w:locked/>
    <w:rsid w:val="00F25235"/>
    <w:rPr>
      <w:rFonts w:cs="Times New Roman"/>
    </w:rPr>
  </w:style>
  <w:style w:type="paragraph" w:styleId="ListParagraph">
    <w:name w:val="List Paragraph"/>
    <w:basedOn w:val="Normal"/>
    <w:uiPriority w:val="99"/>
    <w:qFormat/>
    <w:rsid w:val="00F25235"/>
    <w:pPr>
      <w:ind w:leftChars="400" w:left="840"/>
    </w:pPr>
  </w:style>
  <w:style w:type="character" w:styleId="Hyperlink">
    <w:name w:val="Hyperlink"/>
    <w:uiPriority w:val="99"/>
    <w:rsid w:val="00F25235"/>
    <w:rPr>
      <w:rFonts w:cs="Times New Roman"/>
      <w:color w:val="0000FF"/>
      <w:u w:val="single"/>
    </w:rPr>
  </w:style>
  <w:style w:type="character" w:styleId="FollowedHyperlink">
    <w:name w:val="FollowedHyperlink"/>
    <w:uiPriority w:val="99"/>
    <w:semiHidden/>
    <w:rsid w:val="00F25235"/>
    <w:rPr>
      <w:rFonts w:cs="Times New Roman"/>
      <w:color w:val="800080"/>
      <w:u w:val="single"/>
    </w:rPr>
  </w:style>
  <w:style w:type="character" w:customStyle="1" w:styleId="u27">
    <w:name w:val="u27"/>
    <w:uiPriority w:val="99"/>
    <w:rsid w:val="00F25235"/>
    <w:rPr>
      <w:color w:val="008000"/>
    </w:rPr>
  </w:style>
  <w:style w:type="paragraph" w:styleId="BalloonText">
    <w:name w:val="Balloon Text"/>
    <w:basedOn w:val="Normal"/>
    <w:link w:val="BalloonTextChar"/>
    <w:uiPriority w:val="99"/>
    <w:semiHidden/>
    <w:rsid w:val="00F25235"/>
    <w:rPr>
      <w:rFonts w:ascii="Arial" w:eastAsia="MS Gothic" w:hAnsi="Arial"/>
      <w:kern w:val="0"/>
      <w:sz w:val="18"/>
      <w:szCs w:val="18"/>
      <w:lang w:eastAsia="zh-CN"/>
    </w:rPr>
  </w:style>
  <w:style w:type="character" w:customStyle="1" w:styleId="BalloonTextChar">
    <w:name w:val="Balloon Text Char"/>
    <w:link w:val="BalloonText"/>
    <w:uiPriority w:val="99"/>
    <w:semiHidden/>
    <w:locked/>
    <w:rsid w:val="00F25235"/>
    <w:rPr>
      <w:rFonts w:ascii="Arial" w:eastAsia="MS Gothic" w:hAnsi="Arial" w:cs="Times New Roman"/>
      <w:kern w:val="0"/>
      <w:sz w:val="18"/>
      <w:szCs w:val="18"/>
      <w:lang w:eastAsia="zh-CN"/>
    </w:rPr>
  </w:style>
  <w:style w:type="paragraph" w:styleId="Revision">
    <w:name w:val="Revision"/>
    <w:hidden/>
    <w:uiPriority w:val="99"/>
    <w:semiHidden/>
    <w:rsid w:val="00F25235"/>
    <w:rPr>
      <w:kern w:val="2"/>
      <w:sz w:val="21"/>
      <w:szCs w:val="22"/>
      <w:lang w:eastAsia="ja-JP"/>
    </w:rPr>
  </w:style>
  <w:style w:type="character" w:styleId="CommentReference">
    <w:name w:val="annotation reference"/>
    <w:uiPriority w:val="99"/>
    <w:semiHidden/>
    <w:rsid w:val="00F25235"/>
    <w:rPr>
      <w:rFonts w:cs="Times New Roman"/>
      <w:sz w:val="16"/>
    </w:rPr>
  </w:style>
  <w:style w:type="paragraph" w:styleId="CommentText">
    <w:name w:val="annotation text"/>
    <w:basedOn w:val="Normal"/>
    <w:link w:val="CommentTextChar"/>
    <w:uiPriority w:val="99"/>
    <w:semiHidden/>
    <w:rsid w:val="00F25235"/>
    <w:rPr>
      <w:kern w:val="0"/>
      <w:sz w:val="20"/>
      <w:szCs w:val="20"/>
      <w:lang w:eastAsia="zh-CN"/>
    </w:rPr>
  </w:style>
  <w:style w:type="character" w:customStyle="1" w:styleId="CommentTextChar">
    <w:name w:val="Comment Text Char"/>
    <w:link w:val="CommentText"/>
    <w:uiPriority w:val="99"/>
    <w:semiHidden/>
    <w:locked/>
    <w:rsid w:val="00F25235"/>
    <w:rPr>
      <w:rFonts w:ascii="Century" w:eastAsia="MS Mincho" w:hAnsi="Century" w:cs="Times New Roman"/>
      <w:kern w:val="0"/>
      <w:sz w:val="20"/>
      <w:szCs w:val="20"/>
      <w:lang w:eastAsia="zh-CN"/>
    </w:rPr>
  </w:style>
  <w:style w:type="paragraph" w:styleId="CommentSubject">
    <w:name w:val="annotation subject"/>
    <w:basedOn w:val="CommentText"/>
    <w:next w:val="CommentText"/>
    <w:link w:val="CommentSubjectChar"/>
    <w:uiPriority w:val="99"/>
    <w:semiHidden/>
    <w:rsid w:val="00F25235"/>
    <w:rPr>
      <w:b/>
      <w:bCs/>
    </w:rPr>
  </w:style>
  <w:style w:type="character" w:customStyle="1" w:styleId="CommentSubjectChar">
    <w:name w:val="Comment Subject Char"/>
    <w:link w:val="CommentSubject"/>
    <w:uiPriority w:val="99"/>
    <w:semiHidden/>
    <w:locked/>
    <w:rsid w:val="00F25235"/>
    <w:rPr>
      <w:rFonts w:ascii="Century" w:eastAsia="MS Mincho" w:hAnsi="Century" w:cs="Times New Roman"/>
      <w:b/>
      <w:bCs/>
      <w:kern w:val="0"/>
      <w:sz w:val="20"/>
      <w:szCs w:val="20"/>
      <w:lang w:eastAsia="zh-CN"/>
    </w:rPr>
  </w:style>
  <w:style w:type="paragraph" w:customStyle="1" w:styleId="CharChar2">
    <w:name w:val="Char Char2"/>
    <w:basedOn w:val="Normal"/>
    <w:autoRedefine/>
    <w:uiPriority w:val="99"/>
    <w:rsid w:val="00F25235"/>
    <w:pPr>
      <w:tabs>
        <w:tab w:val="num" w:pos="360"/>
      </w:tabs>
      <w:ind w:left="360" w:hangingChars="200" w:hanging="360"/>
    </w:pPr>
    <w:rPr>
      <w:rFonts w:ascii="Times New Roman" w:hAnsi="Times New Roman"/>
      <w:sz w:val="24"/>
      <w:szCs w:val="24"/>
      <w:lang w:eastAsia="zh-CN"/>
    </w:rPr>
  </w:style>
  <w:style w:type="character" w:customStyle="1" w:styleId="CharChar1">
    <w:name w:val="Char Char1"/>
    <w:uiPriority w:val="99"/>
    <w:semiHidden/>
    <w:rsid w:val="00F25235"/>
    <w:rPr>
      <w:rFonts w:ascii="Calibri" w:hAnsi="Calibri"/>
      <w:sz w:val="22"/>
      <w:lang w:val="en-US" w:eastAsia="ar-SA" w:bidi="ar-SA"/>
    </w:rPr>
  </w:style>
  <w:style w:type="character" w:customStyle="1" w:styleId="CharChar11">
    <w:name w:val="Char Char11"/>
    <w:uiPriority w:val="99"/>
    <w:semiHidden/>
    <w:rsid w:val="00F25235"/>
    <w:rPr>
      <w:rFonts w:ascii="Calibri" w:hAnsi="Calibri"/>
      <w:sz w:val="22"/>
      <w:lang w:val="en-US" w:eastAsia="ar-SA" w:bidi="ar-SA"/>
    </w:rPr>
  </w:style>
  <w:style w:type="paragraph" w:customStyle="1" w:styleId="CharChar21">
    <w:name w:val="Char Char21"/>
    <w:basedOn w:val="Normal"/>
    <w:autoRedefine/>
    <w:uiPriority w:val="99"/>
    <w:rsid w:val="00F25235"/>
    <w:pPr>
      <w:tabs>
        <w:tab w:val="num" w:pos="360"/>
      </w:tabs>
      <w:ind w:left="360" w:hangingChars="200" w:hanging="360"/>
    </w:pPr>
    <w:rPr>
      <w:rFonts w:ascii="Times New Roman" w:hAnsi="Times New Roman"/>
      <w:sz w:val="24"/>
      <w:szCs w:val="24"/>
      <w:lang w:eastAsia="zh-CN"/>
    </w:rPr>
  </w:style>
  <w:style w:type="character" w:customStyle="1" w:styleId="CharChar3">
    <w:name w:val="Char Char3"/>
    <w:uiPriority w:val="99"/>
    <w:semiHidden/>
    <w:rsid w:val="00F25235"/>
    <w:rPr>
      <w:rFonts w:eastAsia="Times New Roman"/>
      <w:lang w:val="fr-FR" w:eastAsia="fr-FR"/>
    </w:rPr>
  </w:style>
  <w:style w:type="character" w:customStyle="1" w:styleId="apple-converted-space">
    <w:name w:val="apple-converted-space"/>
    <w:uiPriority w:val="99"/>
    <w:rsid w:val="001A72C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term=Expert%20Committee%20on%20the%20Diagnosis%20and%20Classification%20of%20Diabetes%20Mellitus%5BCorporate%20Author%5D"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KDOQI%5BCorporate%20Author%5D" TargetMode="External"/><Relationship Id="rId9" Type="http://schemas.openxmlformats.org/officeDocument/2006/relationships/hyperlink" Target="http://www.ncbi.nlm.nih.gov/pubmed/?term=Multinational%20Repaglinide%20Renal%20Study%20Group%5BCorporate%20Author%5D" TargetMode="External"/><Relationship Id="rId10" Type="http://schemas.openxmlformats.org/officeDocument/2006/relationships/hyperlink" Target="http://www.ncbi.nlm.nih.gov/pubmed/?term=Sitagliptin%20Study%20023%20Group%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8558</Words>
  <Characters>48783</Characters>
  <Application>Microsoft Macintosh Word</Application>
  <DocSecurity>0</DocSecurity>
  <Lines>406</Lines>
  <Paragraphs>114</Paragraphs>
  <ScaleCrop>false</ScaleCrop>
  <Company/>
  <LinksUpToDate>false</LinksUpToDate>
  <CharactersWithSpaces>57227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NA MA</cp:lastModifiedBy>
  <cp:revision>2</cp:revision>
  <dcterms:created xsi:type="dcterms:W3CDTF">2015-04-01T21:25:00Z</dcterms:created>
  <dcterms:modified xsi:type="dcterms:W3CDTF">2015-04-01T21:25:00Z</dcterms:modified>
</cp:coreProperties>
</file>