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09" w:rsidRPr="00297C09" w:rsidRDefault="00297C09" w:rsidP="00297C09">
      <w:pPr>
        <w:spacing w:line="360" w:lineRule="auto"/>
        <w:rPr>
          <w:rFonts w:ascii="Book Antiqua" w:hAnsi="Book Antiqua" w:cs="Tahoma"/>
          <w:b/>
          <w:sz w:val="24"/>
          <w:szCs w:val="24"/>
        </w:rPr>
      </w:pPr>
      <w:r w:rsidRPr="00297C09">
        <w:rPr>
          <w:rFonts w:ascii="Book Antiqua" w:hAnsi="Book Antiqua" w:cs="Tahoma"/>
          <w:b/>
          <w:color w:val="0000FF"/>
          <w:sz w:val="24"/>
          <w:szCs w:val="24"/>
        </w:rPr>
        <w:t xml:space="preserve">Name of journal: </w:t>
      </w:r>
      <w:r w:rsidRPr="00297C09">
        <w:rPr>
          <w:rFonts w:ascii="Book Antiqua" w:hAnsi="Book Antiqua" w:cs="Tahoma"/>
          <w:b/>
          <w:sz w:val="24"/>
          <w:szCs w:val="24"/>
        </w:rPr>
        <w:t>World Journal of Gastroenterology</w:t>
      </w:r>
    </w:p>
    <w:p w:rsidR="00297C09" w:rsidRPr="00297C09" w:rsidRDefault="00297C09" w:rsidP="00297C09">
      <w:pPr>
        <w:spacing w:line="360" w:lineRule="auto"/>
        <w:rPr>
          <w:rFonts w:ascii="Book Antiqua" w:hAnsi="Book Antiqua" w:cs="Tahoma"/>
          <w:b/>
          <w:color w:val="0000FF"/>
          <w:sz w:val="24"/>
          <w:szCs w:val="24"/>
          <w:lang w:eastAsia="zh-CN"/>
        </w:rPr>
      </w:pPr>
      <w:r w:rsidRPr="00297C09">
        <w:rPr>
          <w:rFonts w:ascii="Book Antiqua" w:hAnsi="Book Antiqua" w:cs="Tahoma"/>
          <w:b/>
          <w:color w:val="0000FF"/>
          <w:sz w:val="24"/>
          <w:szCs w:val="24"/>
        </w:rPr>
        <w:t xml:space="preserve">ESPS Manuscript NO: </w:t>
      </w:r>
      <w:r w:rsidRPr="00297C09">
        <w:rPr>
          <w:rFonts w:ascii="Book Antiqua" w:hAnsi="Book Antiqua" w:cs="Tahoma"/>
          <w:b/>
          <w:color w:val="0000FF"/>
          <w:sz w:val="24"/>
          <w:szCs w:val="24"/>
          <w:lang w:eastAsia="zh-CN"/>
        </w:rPr>
        <w:t>13555</w:t>
      </w:r>
    </w:p>
    <w:p w:rsidR="00297C09" w:rsidRPr="00297C09" w:rsidRDefault="00297C09" w:rsidP="00297C09">
      <w:pPr>
        <w:spacing w:line="360" w:lineRule="auto"/>
        <w:rPr>
          <w:rFonts w:ascii="Book Antiqua" w:hAnsi="Book Antiqua"/>
          <w:b/>
          <w:sz w:val="24"/>
          <w:szCs w:val="24"/>
          <w:lang w:eastAsia="zh-CN"/>
        </w:rPr>
      </w:pPr>
      <w:r w:rsidRPr="00297C09">
        <w:rPr>
          <w:rFonts w:ascii="Book Antiqua" w:hAnsi="Book Antiqua" w:cs="Tahoma"/>
          <w:b/>
          <w:color w:val="0000FF"/>
          <w:sz w:val="24"/>
          <w:szCs w:val="24"/>
        </w:rPr>
        <w:t>Columns:</w:t>
      </w:r>
      <w:r w:rsidR="00EF4E12">
        <w:rPr>
          <w:rFonts w:ascii="Book Antiqua" w:hAnsi="Book Antiqua"/>
          <w:b/>
          <w:sz w:val="24"/>
          <w:szCs w:val="24"/>
        </w:rPr>
        <w:t xml:space="preserve"> ORIGINAL ARTICLE</w:t>
      </w:r>
    </w:p>
    <w:p w:rsidR="00E95D22" w:rsidRPr="00297C09" w:rsidRDefault="00E95D22" w:rsidP="00E95D22">
      <w:pPr>
        <w:autoSpaceDE w:val="0"/>
        <w:autoSpaceDN w:val="0"/>
        <w:adjustRightInd w:val="0"/>
        <w:snapToGrid w:val="0"/>
        <w:spacing w:after="0" w:line="360" w:lineRule="auto"/>
        <w:contextualSpacing/>
        <w:jc w:val="both"/>
        <w:rPr>
          <w:rFonts w:ascii="Book Antiqua" w:hAnsi="Book Antiqua"/>
          <w:b/>
          <w:color w:val="auto"/>
          <w:sz w:val="24"/>
          <w:szCs w:val="24"/>
        </w:rPr>
      </w:pPr>
    </w:p>
    <w:p w:rsidR="00E95D22" w:rsidRPr="00E14043" w:rsidRDefault="00E95D22" w:rsidP="00E95D22">
      <w:pPr>
        <w:autoSpaceDE w:val="0"/>
        <w:autoSpaceDN w:val="0"/>
        <w:adjustRightInd w:val="0"/>
        <w:snapToGrid w:val="0"/>
        <w:spacing w:after="0" w:line="360" w:lineRule="auto"/>
        <w:contextualSpacing/>
        <w:jc w:val="both"/>
        <w:rPr>
          <w:rFonts w:ascii="Book Antiqua" w:hAnsi="Book Antiqua"/>
          <w:b/>
          <w:i/>
          <w:color w:val="auto"/>
          <w:sz w:val="24"/>
          <w:szCs w:val="24"/>
          <w:lang w:val="en-US" w:eastAsia="zh-CN"/>
        </w:rPr>
      </w:pPr>
      <w:r w:rsidRPr="00297C09">
        <w:rPr>
          <w:rFonts w:ascii="Book Antiqua" w:hAnsi="Book Antiqua"/>
          <w:b/>
          <w:i/>
          <w:color w:val="auto"/>
          <w:sz w:val="24"/>
          <w:szCs w:val="24"/>
          <w:lang w:val="en-US" w:eastAsia="zh-CN"/>
        </w:rPr>
        <w:t>Retrospective Study</w:t>
      </w:r>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lang w:val="en-US" w:eastAsia="zh-CN"/>
        </w:rPr>
      </w:pPr>
      <w:r w:rsidRPr="00297C09">
        <w:rPr>
          <w:rFonts w:ascii="Book Antiqua" w:hAnsi="Book Antiqua" w:cs="Times New Roman"/>
          <w:b/>
          <w:color w:val="auto"/>
          <w:sz w:val="24"/>
          <w:szCs w:val="24"/>
          <w:lang w:val="en-US"/>
        </w:rPr>
        <w:t>Computed tomography-guided percutaneous core needle biopsy in pancreatic tumor diagnosis</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u w:color="231F20"/>
          <w:lang w:val="en-US"/>
        </w:rPr>
      </w:pPr>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lang w:val="en-US" w:eastAsia="zh-CN"/>
        </w:rPr>
      </w:pPr>
      <w:proofErr w:type="spellStart"/>
      <w:r w:rsidRPr="00297C09">
        <w:rPr>
          <w:rFonts w:ascii="Book Antiqua" w:hAnsi="Book Antiqua" w:cs="Times New Roman"/>
          <w:color w:val="auto"/>
          <w:sz w:val="24"/>
          <w:szCs w:val="24"/>
          <w:lang w:val="en-US"/>
        </w:rPr>
        <w:t>Tyng</w:t>
      </w:r>
      <w:proofErr w:type="spellEnd"/>
      <w:r w:rsidRPr="00297C09">
        <w:rPr>
          <w:rFonts w:ascii="Book Antiqua" w:hAnsi="Book Antiqua" w:cs="Times New Roman"/>
          <w:color w:val="auto"/>
          <w:sz w:val="24"/>
          <w:szCs w:val="24"/>
          <w:lang w:val="en-US"/>
        </w:rPr>
        <w:t xml:space="preserve"> CJ </w:t>
      </w:r>
      <w:r w:rsidRPr="00297C09">
        <w:rPr>
          <w:rFonts w:ascii="Book Antiqua" w:hAnsi="Book Antiqua" w:cs="Times New Roman"/>
          <w:i/>
          <w:color w:val="auto"/>
          <w:sz w:val="24"/>
          <w:szCs w:val="24"/>
          <w:lang w:val="en-US"/>
        </w:rPr>
        <w:t xml:space="preserve">et al. </w:t>
      </w:r>
      <w:r w:rsidRPr="00297C09">
        <w:rPr>
          <w:rFonts w:ascii="Book Antiqua" w:hAnsi="Book Antiqua" w:cs="Times New Roman"/>
          <w:color w:val="auto"/>
          <w:sz w:val="24"/>
          <w:szCs w:val="24"/>
          <w:lang w:val="en-US"/>
        </w:rPr>
        <w:t>CT-guided biopsy of pancreatic tumors</w:t>
      </w:r>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u w:color="231F20"/>
          <w:lang w:val="en-US"/>
        </w:rPr>
      </w:pPr>
    </w:p>
    <w:p w:rsidR="00E95D22" w:rsidRPr="00297C09" w:rsidRDefault="00E95D22" w:rsidP="00E95D22">
      <w:pPr>
        <w:snapToGrid w:val="0"/>
        <w:spacing w:after="0" w:line="360" w:lineRule="auto"/>
        <w:contextualSpacing/>
        <w:jc w:val="both"/>
        <w:rPr>
          <w:rFonts w:ascii="Book Antiqua" w:eastAsia="Arial" w:hAnsi="Book Antiqua" w:cs="Times New Roman"/>
          <w:b/>
          <w:color w:val="auto"/>
          <w:sz w:val="24"/>
          <w:szCs w:val="24"/>
          <w:u w:color="231F20"/>
          <w:lang w:val="en-US" w:eastAsia="zh-CN"/>
        </w:rPr>
      </w:pPr>
      <w:r w:rsidRPr="00297C09">
        <w:rPr>
          <w:rFonts w:ascii="Book Antiqua" w:hAnsi="Book Antiqua" w:cs="Times New Roman"/>
          <w:color w:val="auto"/>
          <w:sz w:val="24"/>
          <w:szCs w:val="24"/>
          <w:u w:color="231F20"/>
          <w:lang w:val="en-US"/>
        </w:rPr>
        <w:t xml:space="preserve">Chiang J </w:t>
      </w:r>
      <w:proofErr w:type="spellStart"/>
      <w:r w:rsidRPr="00297C09">
        <w:rPr>
          <w:rFonts w:ascii="Book Antiqua" w:hAnsi="Book Antiqua" w:cs="Times New Roman"/>
          <w:color w:val="auto"/>
          <w:sz w:val="24"/>
          <w:szCs w:val="24"/>
          <w:u w:color="231F20"/>
          <w:lang w:val="en-US"/>
        </w:rPr>
        <w:t>Tyng</w:t>
      </w:r>
      <w:proofErr w:type="spellEnd"/>
      <w:r w:rsidRPr="00297C09">
        <w:rPr>
          <w:rFonts w:ascii="Book Antiqua" w:hAnsi="Book Antiqua" w:cs="Times New Roman"/>
          <w:color w:val="auto"/>
          <w:sz w:val="24"/>
          <w:szCs w:val="24"/>
          <w:u w:color="231F20"/>
          <w:lang w:val="en-US"/>
        </w:rPr>
        <w:t>, Ma</w:t>
      </w:r>
      <w:r w:rsidR="00344EFF">
        <w:rPr>
          <w:rFonts w:ascii="Book Antiqua" w:hAnsi="Book Antiqua" w:cs="Times New Roman"/>
          <w:color w:val="auto"/>
          <w:sz w:val="24"/>
          <w:szCs w:val="24"/>
          <w:u w:color="231F20"/>
          <w:lang w:val="en-US"/>
        </w:rPr>
        <w:t>ria Fernanda A Almeida, Paula N</w:t>
      </w:r>
      <w:r w:rsidRPr="00297C09">
        <w:rPr>
          <w:rFonts w:ascii="Book Antiqua" w:hAnsi="Book Antiqua" w:cs="Times New Roman"/>
          <w:color w:val="auto"/>
          <w:sz w:val="24"/>
          <w:szCs w:val="24"/>
          <w:u w:color="231F20"/>
          <w:lang w:val="en-US"/>
        </w:rPr>
        <w:t xml:space="preserve">V Barbosa, </w:t>
      </w:r>
      <w:proofErr w:type="spellStart"/>
      <w:r w:rsidRPr="00297C09">
        <w:rPr>
          <w:rFonts w:ascii="Book Antiqua" w:hAnsi="Book Antiqua" w:cs="Times New Roman"/>
          <w:color w:val="auto"/>
          <w:sz w:val="24"/>
          <w:szCs w:val="24"/>
          <w:u w:color="231F20"/>
          <w:lang w:val="en-US"/>
        </w:rPr>
        <w:t>Almir</w:t>
      </w:r>
      <w:proofErr w:type="spellEnd"/>
      <w:r w:rsidR="00344EFF">
        <w:rPr>
          <w:rFonts w:ascii="Book Antiqua" w:hAnsi="Book Antiqua" w:cs="Times New Roman"/>
          <w:color w:val="auto"/>
          <w:sz w:val="24"/>
          <w:szCs w:val="24"/>
          <w:u w:color="231F20"/>
          <w:lang w:val="en-US"/>
        </w:rPr>
        <w:t xml:space="preserve"> GV </w:t>
      </w:r>
      <w:proofErr w:type="spellStart"/>
      <w:r w:rsidR="00344EFF">
        <w:rPr>
          <w:rFonts w:ascii="Book Antiqua" w:hAnsi="Book Antiqua" w:cs="Times New Roman"/>
          <w:color w:val="auto"/>
          <w:sz w:val="24"/>
          <w:szCs w:val="24"/>
          <w:u w:color="231F20"/>
          <w:lang w:val="en-US"/>
        </w:rPr>
        <w:t>Bitencourt</w:t>
      </w:r>
      <w:proofErr w:type="spellEnd"/>
      <w:r w:rsidR="00344EFF">
        <w:rPr>
          <w:rFonts w:ascii="Book Antiqua" w:hAnsi="Book Antiqua" w:cs="Times New Roman"/>
          <w:color w:val="auto"/>
          <w:sz w:val="24"/>
          <w:szCs w:val="24"/>
          <w:u w:color="231F20"/>
          <w:lang w:val="en-US"/>
        </w:rPr>
        <w:t>, José Augusto A</w:t>
      </w:r>
      <w:r w:rsidRPr="00297C09">
        <w:rPr>
          <w:rFonts w:ascii="Book Antiqua" w:hAnsi="Book Antiqua" w:cs="Times New Roman"/>
          <w:color w:val="auto"/>
          <w:sz w:val="24"/>
          <w:szCs w:val="24"/>
          <w:u w:color="231F20"/>
          <w:lang w:val="en-US"/>
        </w:rPr>
        <w:t>G B</w:t>
      </w:r>
      <w:r w:rsidR="00344EFF">
        <w:rPr>
          <w:rFonts w:ascii="Book Antiqua" w:hAnsi="Book Antiqua" w:cs="Times New Roman"/>
          <w:color w:val="auto"/>
          <w:sz w:val="24"/>
          <w:szCs w:val="24"/>
          <w:u w:color="231F20"/>
          <w:lang w:val="en-US"/>
        </w:rPr>
        <w:t xml:space="preserve">erg, </w:t>
      </w:r>
      <w:proofErr w:type="spellStart"/>
      <w:r w:rsidR="00344EFF">
        <w:rPr>
          <w:rFonts w:ascii="Book Antiqua" w:hAnsi="Book Antiqua" w:cs="Times New Roman"/>
          <w:color w:val="auto"/>
          <w:sz w:val="24"/>
          <w:szCs w:val="24"/>
          <w:u w:color="231F20"/>
          <w:lang w:val="en-US"/>
        </w:rPr>
        <w:t>Macello</w:t>
      </w:r>
      <w:proofErr w:type="spellEnd"/>
      <w:r w:rsidR="00344EFF">
        <w:rPr>
          <w:rFonts w:ascii="Book Antiqua" w:hAnsi="Book Antiqua" w:cs="Times New Roman"/>
          <w:color w:val="auto"/>
          <w:sz w:val="24"/>
          <w:szCs w:val="24"/>
          <w:u w:color="231F20"/>
          <w:lang w:val="en-US"/>
        </w:rPr>
        <w:t xml:space="preserve"> S </w:t>
      </w:r>
      <w:proofErr w:type="spellStart"/>
      <w:r w:rsidR="00344EFF">
        <w:rPr>
          <w:rFonts w:ascii="Book Antiqua" w:hAnsi="Book Antiqua" w:cs="Times New Roman"/>
          <w:color w:val="auto"/>
          <w:sz w:val="24"/>
          <w:szCs w:val="24"/>
          <w:u w:color="231F20"/>
          <w:lang w:val="en-US"/>
        </w:rPr>
        <w:t>Maciel</w:t>
      </w:r>
      <w:proofErr w:type="spellEnd"/>
      <w:r w:rsidR="00344EFF">
        <w:rPr>
          <w:rFonts w:ascii="Book Antiqua" w:hAnsi="Book Antiqua" w:cs="Times New Roman"/>
          <w:color w:val="auto"/>
          <w:sz w:val="24"/>
          <w:szCs w:val="24"/>
          <w:u w:color="231F20"/>
          <w:lang w:val="en-US"/>
        </w:rPr>
        <w:t>, Felipe J</w:t>
      </w:r>
      <w:r w:rsidRPr="00297C09">
        <w:rPr>
          <w:rFonts w:ascii="Book Antiqua" w:hAnsi="Book Antiqua" w:cs="Times New Roman"/>
          <w:color w:val="auto"/>
          <w:sz w:val="24"/>
          <w:szCs w:val="24"/>
          <w:u w:color="231F20"/>
          <w:lang w:val="en-US"/>
        </w:rPr>
        <w:t xml:space="preserve">F Coimbra, Luiz Henrique O </w:t>
      </w:r>
      <w:proofErr w:type="spellStart"/>
      <w:r w:rsidRPr="00297C09">
        <w:rPr>
          <w:rFonts w:ascii="Book Antiqua" w:hAnsi="Book Antiqua" w:cs="Times New Roman"/>
          <w:color w:val="auto"/>
          <w:sz w:val="24"/>
          <w:szCs w:val="24"/>
          <w:u w:color="231F20"/>
          <w:lang w:val="en-US"/>
        </w:rPr>
        <w:t>Schiavon</w:t>
      </w:r>
      <w:proofErr w:type="spellEnd"/>
      <w:r w:rsidRPr="00297C09">
        <w:rPr>
          <w:rFonts w:ascii="Book Antiqua" w:hAnsi="Book Antiqua" w:cs="Times New Roman"/>
          <w:color w:val="auto"/>
          <w:sz w:val="24"/>
          <w:szCs w:val="24"/>
          <w:u w:color="231F20"/>
          <w:lang w:val="en-US"/>
        </w:rPr>
        <w:t xml:space="preserve">, Maria </w:t>
      </w:r>
      <w:proofErr w:type="spellStart"/>
      <w:r w:rsidRPr="00297C09">
        <w:rPr>
          <w:rFonts w:ascii="Book Antiqua" w:hAnsi="Book Antiqua" w:cs="Times New Roman"/>
          <w:color w:val="auto"/>
          <w:sz w:val="24"/>
          <w:szCs w:val="24"/>
          <w:u w:color="231F20"/>
          <w:lang w:val="en-US"/>
        </w:rPr>
        <w:t>Dirlei</w:t>
      </w:r>
      <w:proofErr w:type="spellEnd"/>
      <w:r w:rsidRPr="00297C09">
        <w:rPr>
          <w:rFonts w:ascii="Book Antiqua" w:hAnsi="Book Antiqua" w:cs="Times New Roman"/>
          <w:color w:val="auto"/>
          <w:sz w:val="24"/>
          <w:szCs w:val="24"/>
          <w:u w:color="231F20"/>
          <w:lang w:val="en-US"/>
        </w:rPr>
        <w:t xml:space="preserve"> </w:t>
      </w:r>
      <w:proofErr w:type="spellStart"/>
      <w:r w:rsidRPr="00297C09">
        <w:rPr>
          <w:rFonts w:ascii="Book Antiqua" w:hAnsi="Book Antiqua" w:cs="Times New Roman"/>
          <w:color w:val="auto"/>
          <w:sz w:val="24"/>
          <w:szCs w:val="24"/>
          <w:u w:color="231F20"/>
          <w:lang w:val="en-US"/>
        </w:rPr>
        <w:t>Begnami</w:t>
      </w:r>
      <w:proofErr w:type="spellEnd"/>
      <w:r w:rsidRPr="00297C09">
        <w:rPr>
          <w:rFonts w:ascii="Book Antiqua" w:hAnsi="Book Antiqua" w:cs="Times New Roman"/>
          <w:color w:val="auto"/>
          <w:sz w:val="24"/>
          <w:szCs w:val="24"/>
          <w:u w:color="231F20"/>
          <w:lang w:val="en-US"/>
        </w:rPr>
        <w:t xml:space="preserve">, </w:t>
      </w:r>
      <w:bookmarkStart w:id="0" w:name="OLE_LINK3"/>
      <w:bookmarkStart w:id="1" w:name="OLE_LINK4"/>
      <w:r w:rsidRPr="00297C09">
        <w:rPr>
          <w:rFonts w:ascii="Book Antiqua" w:hAnsi="Book Antiqua" w:cs="Times New Roman"/>
          <w:color w:val="auto"/>
          <w:sz w:val="24"/>
          <w:szCs w:val="24"/>
          <w:u w:color="231F20"/>
          <w:lang w:val="en-US"/>
        </w:rPr>
        <w:t xml:space="preserve">Marcos D </w:t>
      </w:r>
      <w:proofErr w:type="spellStart"/>
      <w:r w:rsidRPr="00297C09">
        <w:rPr>
          <w:rFonts w:ascii="Book Antiqua" w:hAnsi="Book Antiqua" w:cs="Times New Roman"/>
          <w:color w:val="auto"/>
          <w:sz w:val="24"/>
          <w:szCs w:val="24"/>
          <w:u w:color="231F20"/>
          <w:lang w:val="en-US"/>
        </w:rPr>
        <w:t>Guimarães</w:t>
      </w:r>
      <w:proofErr w:type="spellEnd"/>
      <w:r w:rsidRPr="00297C09">
        <w:rPr>
          <w:rFonts w:ascii="Book Antiqua" w:hAnsi="Book Antiqua" w:cs="Times New Roman"/>
          <w:color w:val="auto"/>
          <w:sz w:val="24"/>
          <w:szCs w:val="24"/>
          <w:u w:color="231F20"/>
          <w:lang w:val="en-US"/>
        </w:rPr>
        <w:t xml:space="preserve">, Charles E </w:t>
      </w:r>
      <w:proofErr w:type="spellStart"/>
      <w:r w:rsidRPr="00297C09">
        <w:rPr>
          <w:rFonts w:ascii="Book Antiqua" w:hAnsi="Book Antiqua" w:cs="Times New Roman"/>
          <w:color w:val="auto"/>
          <w:sz w:val="24"/>
          <w:szCs w:val="24"/>
          <w:u w:color="231F20"/>
          <w:lang w:val="en-US"/>
        </w:rPr>
        <w:t>Zurstrassen</w:t>
      </w:r>
      <w:proofErr w:type="spellEnd"/>
      <w:r w:rsidRPr="00297C09">
        <w:rPr>
          <w:rFonts w:ascii="Book Antiqua" w:hAnsi="Book Antiqua" w:cs="Times New Roman"/>
          <w:color w:val="auto"/>
          <w:sz w:val="24"/>
          <w:szCs w:val="24"/>
          <w:u w:color="231F20"/>
          <w:lang w:val="en-US"/>
        </w:rPr>
        <w:t xml:space="preserve">, Rubens </w:t>
      </w:r>
      <w:proofErr w:type="spellStart"/>
      <w:r w:rsidRPr="00297C09">
        <w:rPr>
          <w:rFonts w:ascii="Book Antiqua" w:hAnsi="Book Antiqua" w:cs="Times New Roman"/>
          <w:color w:val="auto"/>
          <w:sz w:val="24"/>
          <w:szCs w:val="24"/>
          <w:u w:color="231F20"/>
          <w:lang w:val="en-US"/>
        </w:rPr>
        <w:t>Chojniak</w:t>
      </w:r>
      <w:bookmarkEnd w:id="0"/>
      <w:bookmarkEnd w:id="1"/>
      <w:proofErr w:type="spellEnd"/>
      <w:r w:rsidRPr="00297C09">
        <w:rPr>
          <w:rFonts w:ascii="Book Antiqua" w:hAnsi="Book Antiqua" w:cs="Times New Roman"/>
          <w:color w:val="auto"/>
          <w:sz w:val="24"/>
          <w:szCs w:val="24"/>
          <w:u w:color="231F20"/>
          <w:lang w:val="en-US"/>
        </w:rPr>
        <w:t xml:space="preserve"> </w:t>
      </w:r>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lang w:val="en-US"/>
        </w:rPr>
      </w:pPr>
      <w:r w:rsidRPr="00297C09">
        <w:rPr>
          <w:rFonts w:ascii="Book Antiqua" w:hAnsi="Book Antiqua" w:cs="Times New Roman"/>
          <w:b/>
          <w:noProof/>
          <w:color w:val="auto"/>
          <w:sz w:val="24"/>
          <w:szCs w:val="24"/>
          <w:lang w:val="en-US" w:eastAsia="zh-CN"/>
        </w:rPr>
        <mc:AlternateContent>
          <mc:Choice Requires="wps">
            <w:drawing>
              <wp:anchor distT="0" distB="0" distL="114300" distR="114300" simplePos="0" relativeHeight="251659264" behindDoc="0" locked="0" layoutInCell="1" allowOverlap="1" wp14:anchorId="572A655A" wp14:editId="107F08BD">
                <wp:simplePos x="0" y="0"/>
                <wp:positionH relativeFrom="column">
                  <wp:posOffset>17780</wp:posOffset>
                </wp:positionH>
                <wp:positionV relativeFrom="paragraph">
                  <wp:posOffset>141605</wp:posOffset>
                </wp:positionV>
                <wp:extent cx="5709285" cy="12700"/>
                <wp:effectExtent l="22860" t="25400" r="20955" b="19050"/>
                <wp:wrapThrough wrapText="bothSides">
                  <wp:wrapPolygon edited="0">
                    <wp:start x="-70" y="-2147483648"/>
                    <wp:lineTo x="-70" y="-2147483648"/>
                    <wp:lineTo x="21634" y="-2147483648"/>
                    <wp:lineTo x="21634" y="-2147483648"/>
                    <wp:lineTo x="-70" y="-2147483648"/>
                  </wp:wrapPolygon>
                </wp:wrapThrough>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9285" cy="1270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15pt" to="450.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" strokecolor="gray" strokeweight="3pt">
                <w10:wrap type="through"/>
              </v:line>
            </w:pict>
          </mc:Fallback>
        </mc:AlternateContent>
      </w:r>
    </w:p>
    <w:p w:rsidR="00E95D22" w:rsidRPr="00297C09" w:rsidRDefault="00E95D22" w:rsidP="00E95D22">
      <w:pPr>
        <w:pStyle w:val="CorpoA"/>
        <w:snapToGrid w:val="0"/>
        <w:spacing w:line="360" w:lineRule="auto"/>
        <w:contextualSpacing/>
        <w:jc w:val="both"/>
        <w:outlineLvl w:val="0"/>
        <w:rPr>
          <w:rFonts w:ascii="Book Antiqua" w:hAnsi="Book Antiqua" w:cs="Times New Roman"/>
          <w:color w:val="auto"/>
          <w:lang w:eastAsia="zh-CN"/>
        </w:rPr>
      </w:pPr>
      <w:r w:rsidRPr="00297C09">
        <w:rPr>
          <w:rFonts w:ascii="Book Antiqua" w:hAnsi="Book Antiqua" w:cs="Times New Roman"/>
          <w:b/>
          <w:color w:val="auto"/>
          <w:u w:color="231F20"/>
        </w:rPr>
        <w:t xml:space="preserve">Chiang J </w:t>
      </w:r>
      <w:proofErr w:type="spellStart"/>
      <w:r w:rsidRPr="00297C09">
        <w:rPr>
          <w:rFonts w:ascii="Book Antiqua" w:hAnsi="Book Antiqua" w:cs="Times New Roman"/>
          <w:b/>
          <w:color w:val="auto"/>
          <w:u w:color="231F20"/>
        </w:rPr>
        <w:t>Tyng</w:t>
      </w:r>
      <w:proofErr w:type="spellEnd"/>
      <w:r w:rsidRPr="00297C09">
        <w:rPr>
          <w:rFonts w:ascii="Book Antiqua" w:hAnsi="Book Antiqua" w:cs="Times New Roman"/>
          <w:b/>
          <w:color w:val="auto"/>
          <w:u w:color="231F20"/>
        </w:rPr>
        <w:t xml:space="preserve">, Maria Fernanda A Almeida, Paula N V Barbosa, </w:t>
      </w:r>
      <w:proofErr w:type="spellStart"/>
      <w:r w:rsidRPr="00297C09">
        <w:rPr>
          <w:rFonts w:ascii="Book Antiqua" w:hAnsi="Book Antiqua" w:cs="Times New Roman"/>
          <w:b/>
          <w:color w:val="auto"/>
          <w:u w:color="231F20"/>
        </w:rPr>
        <w:t>Almir</w:t>
      </w:r>
      <w:proofErr w:type="spellEnd"/>
      <w:r w:rsidRPr="00297C09">
        <w:rPr>
          <w:rFonts w:ascii="Book Antiqua" w:hAnsi="Book Antiqua" w:cs="Times New Roman"/>
          <w:b/>
          <w:color w:val="auto"/>
          <w:u w:color="231F20"/>
        </w:rPr>
        <w:t xml:space="preserve"> G V </w:t>
      </w:r>
      <w:proofErr w:type="spellStart"/>
      <w:r w:rsidRPr="00297C09">
        <w:rPr>
          <w:rFonts w:ascii="Book Antiqua" w:hAnsi="Book Antiqua" w:cs="Times New Roman"/>
          <w:b/>
          <w:color w:val="auto"/>
          <w:u w:color="231F20"/>
        </w:rPr>
        <w:t>Bitencourt</w:t>
      </w:r>
      <w:proofErr w:type="spellEnd"/>
      <w:r w:rsidRPr="00297C09">
        <w:rPr>
          <w:rFonts w:ascii="Book Antiqua" w:hAnsi="Book Antiqua" w:cs="Times New Roman"/>
          <w:b/>
          <w:color w:val="auto"/>
          <w:u w:color="231F20"/>
        </w:rPr>
        <w:t xml:space="preserve">, José Augusto A G Berg, </w:t>
      </w:r>
      <w:proofErr w:type="spellStart"/>
      <w:r w:rsidRPr="00297C09">
        <w:rPr>
          <w:rFonts w:ascii="Book Antiqua" w:hAnsi="Book Antiqua" w:cs="Times New Roman"/>
          <w:b/>
          <w:color w:val="auto"/>
          <w:u w:color="231F20"/>
        </w:rPr>
        <w:t>Macello</w:t>
      </w:r>
      <w:proofErr w:type="spellEnd"/>
      <w:r w:rsidRPr="00297C09">
        <w:rPr>
          <w:rFonts w:ascii="Book Antiqua" w:hAnsi="Book Antiqua" w:cs="Times New Roman"/>
          <w:b/>
          <w:color w:val="auto"/>
          <w:u w:color="231F20"/>
        </w:rPr>
        <w:t xml:space="preserve"> S </w:t>
      </w:r>
      <w:proofErr w:type="spellStart"/>
      <w:r w:rsidRPr="00297C09">
        <w:rPr>
          <w:rFonts w:ascii="Book Antiqua" w:hAnsi="Book Antiqua" w:cs="Times New Roman"/>
          <w:b/>
          <w:color w:val="auto"/>
          <w:u w:color="231F20"/>
        </w:rPr>
        <w:t>Maciel</w:t>
      </w:r>
      <w:proofErr w:type="spellEnd"/>
      <w:r w:rsidRPr="00297C09">
        <w:rPr>
          <w:rFonts w:ascii="Book Antiqua" w:hAnsi="Book Antiqua" w:cs="Times New Roman"/>
          <w:b/>
          <w:color w:val="auto"/>
          <w:u w:color="231F20"/>
        </w:rPr>
        <w:t xml:space="preserve">, Luiz Henrique O </w:t>
      </w:r>
      <w:proofErr w:type="spellStart"/>
      <w:r w:rsidRPr="00297C09">
        <w:rPr>
          <w:rFonts w:ascii="Book Antiqua" w:hAnsi="Book Antiqua" w:cs="Times New Roman"/>
          <w:b/>
          <w:color w:val="auto"/>
          <w:u w:color="231F20"/>
        </w:rPr>
        <w:t>Schiavon</w:t>
      </w:r>
      <w:proofErr w:type="spellEnd"/>
      <w:r w:rsidRPr="00297C09">
        <w:rPr>
          <w:rFonts w:ascii="Book Antiqua" w:hAnsi="Book Antiqua" w:cs="Times New Roman"/>
          <w:b/>
          <w:color w:val="auto"/>
          <w:u w:color="231F20"/>
        </w:rPr>
        <w:t xml:space="preserve">, Marcos D </w:t>
      </w:r>
      <w:proofErr w:type="spellStart"/>
      <w:r w:rsidRPr="00297C09">
        <w:rPr>
          <w:rFonts w:ascii="Book Antiqua" w:hAnsi="Book Antiqua" w:cs="Times New Roman"/>
          <w:b/>
          <w:color w:val="auto"/>
          <w:u w:color="231F20"/>
        </w:rPr>
        <w:t>Guimarães</w:t>
      </w:r>
      <w:proofErr w:type="spellEnd"/>
      <w:r w:rsidRPr="00297C09">
        <w:rPr>
          <w:rFonts w:ascii="Book Antiqua" w:hAnsi="Book Antiqua" w:cs="Times New Roman"/>
          <w:b/>
          <w:color w:val="auto"/>
          <w:u w:color="231F20"/>
        </w:rPr>
        <w:t xml:space="preserve">, Charles E </w:t>
      </w:r>
      <w:proofErr w:type="spellStart"/>
      <w:r w:rsidRPr="00297C09">
        <w:rPr>
          <w:rFonts w:ascii="Book Antiqua" w:hAnsi="Book Antiqua" w:cs="Times New Roman"/>
          <w:b/>
          <w:color w:val="auto"/>
          <w:u w:color="231F20"/>
        </w:rPr>
        <w:t>Zurstrassen</w:t>
      </w:r>
      <w:proofErr w:type="spellEnd"/>
      <w:r w:rsidRPr="00297C09">
        <w:rPr>
          <w:rFonts w:ascii="Book Antiqua" w:hAnsi="Book Antiqua" w:cs="Times New Roman"/>
          <w:b/>
          <w:color w:val="auto"/>
          <w:u w:color="231F20"/>
        </w:rPr>
        <w:t xml:space="preserve">, Rubens </w:t>
      </w:r>
      <w:proofErr w:type="spellStart"/>
      <w:r w:rsidRPr="00297C09">
        <w:rPr>
          <w:rFonts w:ascii="Book Antiqua" w:hAnsi="Book Antiqua" w:cs="Times New Roman"/>
          <w:b/>
          <w:color w:val="auto"/>
          <w:u w:color="231F20"/>
        </w:rPr>
        <w:t>Chojniak</w:t>
      </w:r>
      <w:proofErr w:type="spellEnd"/>
      <w:r w:rsidRPr="00297C09">
        <w:rPr>
          <w:rFonts w:ascii="Book Antiqua" w:hAnsi="Book Antiqua" w:cs="Times New Roman"/>
          <w:b/>
          <w:color w:val="auto"/>
          <w:u w:color="231F20"/>
          <w:lang w:eastAsia="zh-CN"/>
        </w:rPr>
        <w:t>,</w:t>
      </w:r>
      <w:r w:rsidRPr="00297C09">
        <w:rPr>
          <w:rFonts w:ascii="Book Antiqua" w:hAnsi="Book Antiqua" w:cs="Times New Roman"/>
          <w:color w:val="auto"/>
          <w:u w:color="231F20"/>
          <w:lang w:eastAsia="zh-CN"/>
        </w:rPr>
        <w:t xml:space="preserve"> </w:t>
      </w:r>
      <w:r w:rsidRPr="00297C09">
        <w:rPr>
          <w:rFonts w:ascii="Book Antiqua" w:hAnsi="Book Antiqua" w:cs="Times New Roman"/>
          <w:color w:val="auto"/>
        </w:rPr>
        <w:t>Department of Imaging</w:t>
      </w:r>
      <w:r w:rsidRPr="00297C09">
        <w:rPr>
          <w:rFonts w:ascii="Book Antiqua" w:hAnsi="Book Antiqua" w:cs="Times New Roman"/>
          <w:color w:val="auto"/>
          <w:lang w:eastAsia="zh-CN"/>
        </w:rPr>
        <w:t xml:space="preserve">, </w:t>
      </w:r>
      <w:r w:rsidRPr="00297C09">
        <w:rPr>
          <w:rFonts w:ascii="Book Antiqua" w:hAnsi="Book Antiqua" w:cs="Times New Roman"/>
          <w:color w:val="auto"/>
        </w:rPr>
        <w:t>AC Camargo Cancer Center</w:t>
      </w:r>
      <w:r w:rsidRPr="00297C09">
        <w:rPr>
          <w:rFonts w:ascii="Book Antiqua" w:hAnsi="Book Antiqua" w:cs="Times New Roman"/>
          <w:color w:val="auto"/>
          <w:lang w:eastAsia="zh-CN"/>
        </w:rPr>
        <w:t>,</w:t>
      </w:r>
      <w:r w:rsidRPr="00297C09">
        <w:rPr>
          <w:rFonts w:ascii="Book Antiqua" w:hAnsi="Book Antiqua" w:cs="Times New Roman"/>
          <w:color w:val="auto"/>
        </w:rPr>
        <w:t xml:space="preserve"> São Paulo, SP 09015-010</w:t>
      </w:r>
      <w:r w:rsidRPr="00297C09">
        <w:rPr>
          <w:rFonts w:ascii="Book Antiqua" w:hAnsi="Book Antiqua" w:cs="Times New Roman"/>
          <w:color w:val="auto"/>
          <w:lang w:eastAsia="zh-CN"/>
        </w:rPr>
        <w:t>,</w:t>
      </w:r>
      <w:r w:rsidRPr="00297C09">
        <w:rPr>
          <w:rFonts w:ascii="Book Antiqua" w:hAnsi="Book Antiqua" w:cs="Times New Roman"/>
          <w:color w:val="auto"/>
        </w:rPr>
        <w:t xml:space="preserve"> Brazil</w:t>
      </w:r>
    </w:p>
    <w:p w:rsidR="00E95D22" w:rsidRPr="00297C09" w:rsidRDefault="00E95D22" w:rsidP="00E95D22">
      <w:pPr>
        <w:pStyle w:val="CorpoA"/>
        <w:snapToGrid w:val="0"/>
        <w:spacing w:line="360" w:lineRule="auto"/>
        <w:contextualSpacing/>
        <w:jc w:val="both"/>
        <w:outlineLvl w:val="0"/>
        <w:rPr>
          <w:rFonts w:ascii="Book Antiqua" w:hAnsi="Book Antiqua" w:cs="Times New Roman"/>
          <w:color w:val="auto"/>
          <w:lang w:eastAsia="zh-CN"/>
        </w:rPr>
      </w:pPr>
    </w:p>
    <w:p w:rsidR="00E95D22" w:rsidRPr="00297C09" w:rsidRDefault="00E95D22" w:rsidP="00E95D22">
      <w:pPr>
        <w:pStyle w:val="CorpoA"/>
        <w:snapToGrid w:val="0"/>
        <w:spacing w:line="360" w:lineRule="auto"/>
        <w:contextualSpacing/>
        <w:jc w:val="both"/>
        <w:outlineLvl w:val="0"/>
        <w:rPr>
          <w:rFonts w:ascii="Book Antiqua" w:hAnsi="Book Antiqua" w:cs="Times New Roman"/>
          <w:color w:val="auto"/>
        </w:rPr>
      </w:pPr>
      <w:r w:rsidRPr="00297C09">
        <w:rPr>
          <w:rFonts w:ascii="Book Antiqua" w:hAnsi="Book Antiqua" w:cs="Times New Roman"/>
          <w:b/>
          <w:color w:val="auto"/>
          <w:u w:color="231F20"/>
        </w:rPr>
        <w:t>Felipe J F Coimbra,</w:t>
      </w:r>
      <w:r w:rsidRPr="00297C09">
        <w:rPr>
          <w:rFonts w:ascii="Book Antiqua" w:hAnsi="Book Antiqua" w:cs="Times New Roman"/>
          <w:color w:val="auto"/>
          <w:u w:color="231F20"/>
        </w:rPr>
        <w:t xml:space="preserve"> </w:t>
      </w:r>
      <w:r w:rsidRPr="00297C09">
        <w:rPr>
          <w:rFonts w:ascii="Book Antiqua" w:hAnsi="Book Antiqua" w:cs="Times New Roman"/>
          <w:b/>
          <w:color w:val="auto"/>
          <w:u w:color="231F20"/>
        </w:rPr>
        <w:t xml:space="preserve">Maria </w:t>
      </w:r>
      <w:proofErr w:type="spellStart"/>
      <w:r w:rsidRPr="00297C09">
        <w:rPr>
          <w:rFonts w:ascii="Book Antiqua" w:hAnsi="Book Antiqua" w:cs="Times New Roman"/>
          <w:b/>
          <w:color w:val="auto"/>
          <w:u w:color="231F20"/>
        </w:rPr>
        <w:t>Dirlei</w:t>
      </w:r>
      <w:proofErr w:type="spellEnd"/>
      <w:r w:rsidRPr="00297C09">
        <w:rPr>
          <w:rFonts w:ascii="Book Antiqua" w:hAnsi="Book Antiqua" w:cs="Times New Roman"/>
          <w:b/>
          <w:color w:val="auto"/>
          <w:u w:color="231F20"/>
        </w:rPr>
        <w:t xml:space="preserve"> </w:t>
      </w:r>
      <w:proofErr w:type="spellStart"/>
      <w:r w:rsidRPr="00297C09">
        <w:rPr>
          <w:rFonts w:ascii="Book Antiqua" w:hAnsi="Book Antiqua" w:cs="Times New Roman"/>
          <w:b/>
          <w:color w:val="auto"/>
          <w:u w:color="231F20"/>
        </w:rPr>
        <w:t>Begnami</w:t>
      </w:r>
      <w:proofErr w:type="spellEnd"/>
      <w:r w:rsidRPr="00297C09">
        <w:rPr>
          <w:rFonts w:ascii="Book Antiqua" w:hAnsi="Book Antiqua" w:cs="Times New Roman"/>
          <w:b/>
          <w:color w:val="auto"/>
          <w:u w:color="231F20"/>
        </w:rPr>
        <w:t>,</w:t>
      </w:r>
      <w:r w:rsidRPr="00297C09">
        <w:rPr>
          <w:rFonts w:ascii="Book Antiqua" w:hAnsi="Book Antiqua" w:cs="Times New Roman"/>
          <w:color w:val="auto"/>
          <w:u w:color="231F20"/>
        </w:rPr>
        <w:t xml:space="preserve"> </w:t>
      </w:r>
      <w:r w:rsidRPr="00297C09">
        <w:rPr>
          <w:rFonts w:ascii="Book Antiqua" w:hAnsi="Book Antiqua" w:cs="Times New Roman"/>
          <w:color w:val="auto"/>
        </w:rPr>
        <w:t>Department of Abdominal Surgery</w:t>
      </w:r>
      <w:r w:rsidRPr="00297C09">
        <w:rPr>
          <w:rFonts w:ascii="Book Antiqua" w:hAnsi="Book Antiqua" w:cs="Times New Roman"/>
          <w:color w:val="auto"/>
          <w:lang w:eastAsia="zh-CN"/>
        </w:rPr>
        <w:t xml:space="preserve">, </w:t>
      </w:r>
      <w:r w:rsidRPr="00297C09">
        <w:rPr>
          <w:rFonts w:ascii="Book Antiqua" w:hAnsi="Book Antiqua" w:cs="Times New Roman"/>
          <w:color w:val="auto"/>
        </w:rPr>
        <w:t>AC Camargo Cancer Center</w:t>
      </w:r>
      <w:r w:rsidRPr="00297C09">
        <w:rPr>
          <w:rFonts w:ascii="Book Antiqua" w:hAnsi="Book Antiqua" w:cs="Times New Roman"/>
          <w:color w:val="auto"/>
          <w:lang w:eastAsia="zh-CN"/>
        </w:rPr>
        <w:t xml:space="preserve">, </w:t>
      </w:r>
      <w:r w:rsidRPr="00297C09">
        <w:rPr>
          <w:rFonts w:ascii="Book Antiqua" w:hAnsi="Book Antiqua" w:cs="Times New Roman"/>
          <w:color w:val="auto"/>
        </w:rPr>
        <w:t>São Paulo, SP 09015-010</w:t>
      </w:r>
      <w:r w:rsidRPr="00297C09">
        <w:rPr>
          <w:rFonts w:ascii="Book Antiqua" w:hAnsi="Book Antiqua" w:cs="Times New Roman"/>
          <w:color w:val="auto"/>
          <w:lang w:eastAsia="zh-CN"/>
        </w:rPr>
        <w:t>,</w:t>
      </w:r>
      <w:r w:rsidRPr="00297C09">
        <w:rPr>
          <w:rFonts w:ascii="Book Antiqua" w:hAnsi="Book Antiqua" w:cs="Times New Roman"/>
          <w:color w:val="auto"/>
        </w:rPr>
        <w:t xml:space="preserve"> Brazil</w:t>
      </w:r>
    </w:p>
    <w:p w:rsidR="00E95D22" w:rsidRPr="00297C09" w:rsidRDefault="00E95D22" w:rsidP="00E95D22">
      <w:pPr>
        <w:pStyle w:val="CorpoA"/>
        <w:snapToGrid w:val="0"/>
        <w:spacing w:line="360" w:lineRule="auto"/>
        <w:contextualSpacing/>
        <w:jc w:val="both"/>
        <w:outlineLvl w:val="0"/>
        <w:rPr>
          <w:rFonts w:ascii="Book Antiqua" w:hAnsi="Book Antiqua" w:cs="Times New Roman"/>
          <w:color w:val="auto"/>
          <w:lang w:eastAsia="zh-CN"/>
        </w:rPr>
      </w:pPr>
    </w:p>
    <w:p w:rsidR="00E95D22" w:rsidRPr="00297C09" w:rsidRDefault="00E95D22" w:rsidP="00E95D22">
      <w:pPr>
        <w:pStyle w:val="CorpoA"/>
        <w:snapToGrid w:val="0"/>
        <w:spacing w:line="360" w:lineRule="auto"/>
        <w:contextualSpacing/>
        <w:jc w:val="both"/>
        <w:outlineLvl w:val="0"/>
        <w:rPr>
          <w:rFonts w:ascii="Book Antiqua" w:hAnsi="Book Antiqua" w:cs="Times New Roman"/>
          <w:bCs/>
          <w:color w:val="auto"/>
        </w:rPr>
      </w:pPr>
      <w:r w:rsidRPr="00297C09">
        <w:rPr>
          <w:rFonts w:ascii="Book Antiqua" w:hAnsi="Book Antiqua" w:cs="Times New Roman"/>
          <w:b/>
          <w:color w:val="auto"/>
          <w:u w:color="231F20"/>
        </w:rPr>
        <w:t xml:space="preserve">Author contributions: </w:t>
      </w:r>
      <w:proofErr w:type="spellStart"/>
      <w:r w:rsidRPr="00297C09">
        <w:rPr>
          <w:rFonts w:ascii="Book Antiqua" w:hAnsi="Book Antiqua" w:cs="Times New Roman"/>
          <w:color w:val="auto"/>
          <w:u w:color="231F20"/>
        </w:rPr>
        <w:t>Ty</w:t>
      </w:r>
      <w:r w:rsidR="00297C09">
        <w:rPr>
          <w:rFonts w:ascii="Book Antiqua" w:hAnsi="Book Antiqua" w:cs="Times New Roman"/>
          <w:color w:val="auto"/>
          <w:u w:color="231F20"/>
        </w:rPr>
        <w:t>ng</w:t>
      </w:r>
      <w:proofErr w:type="spellEnd"/>
      <w:r w:rsidR="00297C09">
        <w:rPr>
          <w:rFonts w:ascii="Book Antiqua" w:hAnsi="Book Antiqua" w:cs="Times New Roman"/>
          <w:color w:val="auto"/>
          <w:u w:color="231F20"/>
        </w:rPr>
        <w:t xml:space="preserve"> CJ, Barbosa PNV, Coimbra FJF</w:t>
      </w:r>
      <w:r w:rsidRPr="00297C09">
        <w:rPr>
          <w:rFonts w:ascii="Book Antiqua" w:hAnsi="Book Antiqua" w:cs="Times New Roman"/>
          <w:color w:val="auto"/>
          <w:u w:color="231F20"/>
        </w:rPr>
        <w:t xml:space="preserve"> and </w:t>
      </w:r>
      <w:proofErr w:type="spellStart"/>
      <w:r w:rsidRPr="00297C09">
        <w:rPr>
          <w:rFonts w:ascii="Book Antiqua" w:hAnsi="Book Antiqua" w:cs="Times New Roman"/>
          <w:color w:val="auto"/>
          <w:u w:color="231F20"/>
        </w:rPr>
        <w:t>Chojniak</w:t>
      </w:r>
      <w:proofErr w:type="spellEnd"/>
      <w:r w:rsidRPr="00297C09">
        <w:rPr>
          <w:rFonts w:ascii="Book Antiqua" w:hAnsi="Book Antiqua" w:cs="Times New Roman"/>
          <w:color w:val="auto"/>
          <w:u w:color="231F20"/>
        </w:rPr>
        <w:t xml:space="preserve"> R designed the research; </w:t>
      </w:r>
      <w:proofErr w:type="spellStart"/>
      <w:r w:rsidRPr="00297C09">
        <w:rPr>
          <w:rFonts w:ascii="Book Antiqua" w:hAnsi="Book Antiqua" w:cs="Times New Roman"/>
          <w:color w:val="auto"/>
          <w:u w:color="231F20"/>
        </w:rPr>
        <w:t>Tyng</w:t>
      </w:r>
      <w:proofErr w:type="spellEnd"/>
      <w:r w:rsidRPr="00297C09">
        <w:rPr>
          <w:rFonts w:ascii="Book Antiqua" w:hAnsi="Book Antiqua" w:cs="Times New Roman"/>
          <w:color w:val="auto"/>
          <w:u w:color="231F20"/>
        </w:rPr>
        <w:t xml:space="preserve"> CJ, Barbosa PNV, Almeida MFA, </w:t>
      </w:r>
      <w:proofErr w:type="spellStart"/>
      <w:r w:rsidRPr="00297C09">
        <w:rPr>
          <w:rFonts w:ascii="Book Antiqua" w:hAnsi="Book Antiqua" w:cs="Times New Roman"/>
          <w:color w:val="auto"/>
          <w:u w:color="231F20"/>
        </w:rPr>
        <w:t>Bitencou</w:t>
      </w:r>
      <w:r w:rsidR="00297C09">
        <w:rPr>
          <w:rFonts w:ascii="Book Antiqua" w:hAnsi="Book Antiqua" w:cs="Times New Roman"/>
          <w:color w:val="auto"/>
          <w:u w:color="231F20"/>
        </w:rPr>
        <w:t>rt</w:t>
      </w:r>
      <w:proofErr w:type="spellEnd"/>
      <w:r w:rsidR="00297C09">
        <w:rPr>
          <w:rFonts w:ascii="Book Antiqua" w:hAnsi="Book Antiqua" w:cs="Times New Roman"/>
          <w:color w:val="auto"/>
          <w:u w:color="231F20"/>
        </w:rPr>
        <w:t xml:space="preserve"> AGV, </w:t>
      </w:r>
      <w:proofErr w:type="spellStart"/>
      <w:r w:rsidR="00297C09">
        <w:rPr>
          <w:rFonts w:ascii="Book Antiqua" w:hAnsi="Book Antiqua" w:cs="Times New Roman"/>
          <w:color w:val="auto"/>
          <w:u w:color="231F20"/>
        </w:rPr>
        <w:t>Schiavon</w:t>
      </w:r>
      <w:proofErr w:type="spellEnd"/>
      <w:r w:rsidR="00297C09">
        <w:rPr>
          <w:rFonts w:ascii="Book Antiqua" w:hAnsi="Book Antiqua" w:cs="Times New Roman"/>
          <w:color w:val="auto"/>
          <w:u w:color="231F20"/>
        </w:rPr>
        <w:t xml:space="preserve"> LHO, Berg JAAG</w:t>
      </w:r>
      <w:r w:rsidRPr="00297C09">
        <w:rPr>
          <w:rFonts w:ascii="Book Antiqua" w:hAnsi="Book Antiqua" w:cs="Times New Roman"/>
          <w:color w:val="auto"/>
          <w:u w:color="231F20"/>
        </w:rPr>
        <w:t xml:space="preserve"> and </w:t>
      </w:r>
      <w:proofErr w:type="spellStart"/>
      <w:r w:rsidRPr="00297C09">
        <w:rPr>
          <w:rFonts w:ascii="Book Antiqua" w:hAnsi="Book Antiqua" w:cs="Times New Roman"/>
          <w:color w:val="auto"/>
          <w:u w:color="231F20"/>
        </w:rPr>
        <w:t>Maciel</w:t>
      </w:r>
      <w:proofErr w:type="spellEnd"/>
      <w:r w:rsidRPr="00297C09">
        <w:rPr>
          <w:rFonts w:ascii="Book Antiqua" w:hAnsi="Book Antiqua" w:cs="Times New Roman"/>
          <w:color w:val="auto"/>
          <w:u w:color="231F20"/>
        </w:rPr>
        <w:t xml:space="preserve"> MS performed the research; Almeida MFA, </w:t>
      </w:r>
      <w:proofErr w:type="spellStart"/>
      <w:r w:rsidRPr="00297C09">
        <w:rPr>
          <w:rFonts w:ascii="Book Antiqua" w:hAnsi="Book Antiqua" w:cs="Times New Roman"/>
          <w:color w:val="auto"/>
          <w:u w:color="231F20"/>
        </w:rPr>
        <w:t>Bitencourt</w:t>
      </w:r>
      <w:proofErr w:type="spellEnd"/>
      <w:r w:rsidRPr="00297C09">
        <w:rPr>
          <w:rFonts w:ascii="Book Antiqua" w:hAnsi="Book Antiqua" w:cs="Times New Roman"/>
          <w:color w:val="auto"/>
          <w:u w:color="231F20"/>
        </w:rPr>
        <w:t xml:space="preserve"> AGV, Berg JAAG, </w:t>
      </w:r>
      <w:proofErr w:type="spellStart"/>
      <w:r w:rsidRPr="00297C09">
        <w:rPr>
          <w:rFonts w:ascii="Book Antiqua" w:hAnsi="Book Antiqua" w:cs="Times New Roman"/>
          <w:color w:val="auto"/>
          <w:u w:color="231F20"/>
        </w:rPr>
        <w:t>Maciel</w:t>
      </w:r>
      <w:proofErr w:type="spellEnd"/>
      <w:r w:rsidRPr="00297C09">
        <w:rPr>
          <w:rFonts w:ascii="Book Antiqua" w:hAnsi="Book Antiqua" w:cs="Times New Roman"/>
          <w:color w:val="auto"/>
          <w:u w:color="231F20"/>
        </w:rPr>
        <w:t xml:space="preserve"> MS, </w:t>
      </w:r>
      <w:proofErr w:type="spellStart"/>
      <w:r w:rsidRPr="00297C09">
        <w:rPr>
          <w:rFonts w:ascii="Book Antiqua" w:hAnsi="Book Antiqua" w:cs="Times New Roman"/>
          <w:color w:val="auto"/>
          <w:u w:color="231F20"/>
        </w:rPr>
        <w:t>Begnami</w:t>
      </w:r>
      <w:proofErr w:type="spellEnd"/>
      <w:r w:rsidRPr="00297C09">
        <w:rPr>
          <w:rFonts w:ascii="Book Antiqua" w:hAnsi="Book Antiqua" w:cs="Times New Roman"/>
          <w:color w:val="auto"/>
          <w:u w:color="231F20"/>
        </w:rPr>
        <w:t xml:space="preserve"> MD, </w:t>
      </w:r>
      <w:proofErr w:type="spellStart"/>
      <w:r w:rsidRPr="00297C09">
        <w:rPr>
          <w:rFonts w:ascii="Book Antiqua" w:hAnsi="Book Antiqua" w:cs="Times New Roman"/>
          <w:color w:val="auto"/>
          <w:u w:color="231F20"/>
        </w:rPr>
        <w:t>Guimar</w:t>
      </w:r>
      <w:r w:rsidR="00297C09">
        <w:rPr>
          <w:rFonts w:ascii="Book Antiqua" w:hAnsi="Book Antiqua" w:cs="Times New Roman"/>
          <w:color w:val="auto"/>
          <w:u w:color="231F20"/>
        </w:rPr>
        <w:t>ães</w:t>
      </w:r>
      <w:proofErr w:type="spellEnd"/>
      <w:r w:rsidR="00297C09">
        <w:rPr>
          <w:rFonts w:ascii="Book Antiqua" w:hAnsi="Book Antiqua" w:cs="Times New Roman"/>
          <w:color w:val="auto"/>
          <w:u w:color="231F20"/>
        </w:rPr>
        <w:t xml:space="preserve"> MD</w:t>
      </w:r>
      <w:r w:rsidRPr="00297C09">
        <w:rPr>
          <w:rFonts w:ascii="Book Antiqua" w:hAnsi="Book Antiqua" w:cs="Times New Roman"/>
          <w:color w:val="auto"/>
          <w:u w:color="231F20"/>
        </w:rPr>
        <w:t xml:space="preserve"> and </w:t>
      </w:r>
      <w:proofErr w:type="spellStart"/>
      <w:r w:rsidRPr="00297C09">
        <w:rPr>
          <w:rFonts w:ascii="Book Antiqua" w:hAnsi="Book Antiqua" w:cs="Times New Roman"/>
          <w:color w:val="auto"/>
          <w:u w:color="231F20"/>
        </w:rPr>
        <w:t>Zurstrassen</w:t>
      </w:r>
      <w:proofErr w:type="spellEnd"/>
      <w:r w:rsidRPr="00297C09">
        <w:rPr>
          <w:rFonts w:ascii="Book Antiqua" w:hAnsi="Book Antiqua" w:cs="Times New Roman"/>
          <w:color w:val="auto"/>
          <w:u w:color="231F20"/>
        </w:rPr>
        <w:t xml:space="preserve"> CE analyzed the data; </w:t>
      </w:r>
      <w:r w:rsidR="00297C09" w:rsidRPr="00297C09">
        <w:rPr>
          <w:rFonts w:ascii="Book Antiqua" w:hAnsi="Book Antiqua" w:cs="Times New Roman"/>
          <w:color w:val="auto"/>
          <w:u w:color="231F20"/>
        </w:rPr>
        <w:t>a</w:t>
      </w:r>
      <w:r w:rsidRPr="00297C09">
        <w:rPr>
          <w:rFonts w:ascii="Book Antiqua" w:hAnsi="Book Antiqua" w:cs="Times New Roman"/>
          <w:color w:val="auto"/>
          <w:u w:color="231F20"/>
        </w:rPr>
        <w:t xml:space="preserve">ll authors wrote and revised the paper. </w:t>
      </w:r>
      <w:bookmarkStart w:id="2" w:name="OLE_LINK703"/>
      <w:bookmarkStart w:id="3" w:name="OLE_LINK704"/>
      <w:bookmarkStart w:id="4" w:name="OLE_LINK706"/>
      <w:bookmarkStart w:id="5" w:name="OLE_LINK1358"/>
      <w:bookmarkStart w:id="6" w:name="OLE_LINK1625"/>
      <w:bookmarkStart w:id="7" w:name="OLE_LINK1626"/>
      <w:bookmarkStart w:id="8" w:name="OLE_LINK1528"/>
      <w:bookmarkStart w:id="9" w:name="OLE_LINK1529"/>
      <w:bookmarkStart w:id="10" w:name="OLE_LINK1521"/>
      <w:bookmarkStart w:id="11" w:name="OLE_LINK1522"/>
      <w:bookmarkStart w:id="12" w:name="OLE_LINK1898"/>
      <w:bookmarkStart w:id="13" w:name="OLE_LINK1900"/>
      <w:bookmarkStart w:id="14" w:name="OLE_LINK1981"/>
      <w:bookmarkStart w:id="15" w:name="OLE_LINK2645"/>
      <w:bookmarkStart w:id="16" w:name="OLE_LINK2646"/>
      <w:bookmarkStart w:id="17" w:name="OLE_LINK830"/>
      <w:bookmarkStart w:id="18" w:name="OLE_LINK908"/>
      <w:bookmarkStart w:id="19" w:name="OLE_LINK1351"/>
      <w:bookmarkStart w:id="20" w:name="OLE_LINK1355"/>
      <w:bookmarkStart w:id="21" w:name="OLE_LINK1420"/>
      <w:bookmarkStart w:id="22" w:name="OLE_LINK1566"/>
      <w:bookmarkStart w:id="23" w:name="OLE_LINK1794"/>
      <w:bookmarkStart w:id="24" w:name="OLE_LINK1930"/>
      <w:bookmarkStart w:id="25" w:name="OLE_LINK1960"/>
      <w:bookmarkStart w:id="26" w:name="OLE_LINK2183"/>
      <w:bookmarkStart w:id="27" w:name="OLE_LINK2184"/>
      <w:bookmarkStart w:id="28" w:name="OLE_LINK2295"/>
      <w:bookmarkStart w:id="29" w:name="OLE_LINK2419"/>
      <w:bookmarkStart w:id="30" w:name="OLE_LINK2420"/>
      <w:bookmarkStart w:id="31" w:name="OLE_LINK3135"/>
      <w:bookmarkStart w:id="32" w:name="OLE_LINK3136"/>
      <w:bookmarkStart w:id="33" w:name="OLE_LINK2632"/>
      <w:bookmarkStart w:id="34" w:name="OLE_LINK3007"/>
    </w:p>
    <w:p w:rsidR="00E95D22" w:rsidRPr="00297C09" w:rsidRDefault="00E95D22" w:rsidP="00E95D22">
      <w:pPr>
        <w:pStyle w:val="CorpoA"/>
        <w:snapToGrid w:val="0"/>
        <w:spacing w:line="360" w:lineRule="auto"/>
        <w:contextualSpacing/>
        <w:jc w:val="both"/>
        <w:outlineLvl w:val="0"/>
        <w:rPr>
          <w:rFonts w:ascii="Book Antiqua" w:hAnsi="Book Antiqua" w:cs="Times New Roman"/>
          <w:bCs/>
          <w:color w:val="auto"/>
        </w:rPr>
      </w:pPr>
    </w:p>
    <w:p w:rsidR="00E95D22" w:rsidRPr="00297C09" w:rsidRDefault="00E95D22" w:rsidP="00E95D22">
      <w:pPr>
        <w:autoSpaceDE w:val="0"/>
        <w:autoSpaceDN w:val="0"/>
        <w:adjustRightInd w:val="0"/>
        <w:spacing w:after="0" w:line="360" w:lineRule="auto"/>
        <w:contextualSpacing/>
        <w:jc w:val="both"/>
        <w:rPr>
          <w:rFonts w:ascii="Book Antiqua" w:hAnsi="Book Antiqua"/>
          <w:b/>
          <w:bCs/>
          <w:iCs/>
          <w:color w:val="auto"/>
          <w:sz w:val="24"/>
          <w:szCs w:val="24"/>
          <w:lang w:val="en-US"/>
        </w:rPr>
      </w:pPr>
      <w:r w:rsidRPr="00297C09">
        <w:rPr>
          <w:rFonts w:ascii="Book Antiqua" w:hAnsi="Book Antiqua"/>
          <w:b/>
          <w:bCs/>
          <w:iCs/>
          <w:color w:val="auto"/>
          <w:sz w:val="24"/>
          <w:szCs w:val="24"/>
          <w:lang w:val="en-US"/>
        </w:rPr>
        <w:lastRenderedPageBreak/>
        <w:t xml:space="preserve">Ethics approval: </w:t>
      </w:r>
      <w:r w:rsidRPr="00297C09">
        <w:rPr>
          <w:rFonts w:ascii="Book Antiqua" w:hAnsi="Book Antiqua"/>
          <w:bCs/>
          <w:iCs/>
          <w:color w:val="auto"/>
          <w:sz w:val="24"/>
          <w:szCs w:val="24"/>
          <w:lang w:val="en-US"/>
        </w:rPr>
        <w:t xml:space="preserve">The study was reviewed and approved by the Antonio </w:t>
      </w:r>
      <w:proofErr w:type="spellStart"/>
      <w:r w:rsidRPr="00297C09">
        <w:rPr>
          <w:rFonts w:ascii="Book Antiqua" w:hAnsi="Book Antiqua"/>
          <w:bCs/>
          <w:iCs/>
          <w:color w:val="auto"/>
          <w:sz w:val="24"/>
          <w:szCs w:val="24"/>
          <w:lang w:val="en-US"/>
        </w:rPr>
        <w:t>Prudente</w:t>
      </w:r>
      <w:proofErr w:type="spellEnd"/>
      <w:r w:rsidRPr="00297C09">
        <w:rPr>
          <w:rFonts w:ascii="Book Antiqua" w:hAnsi="Book Antiqua"/>
          <w:bCs/>
          <w:iCs/>
          <w:color w:val="auto"/>
          <w:sz w:val="24"/>
          <w:szCs w:val="24"/>
          <w:lang w:val="en-US"/>
        </w:rPr>
        <w:t xml:space="preserve"> Foundation and the AC Camargo Cancer Center Institutional Review Board.</w:t>
      </w:r>
    </w:p>
    <w:p w:rsidR="00E95D22" w:rsidRPr="00297C09" w:rsidRDefault="00E95D22" w:rsidP="00E95D22">
      <w:pPr>
        <w:autoSpaceDE w:val="0"/>
        <w:autoSpaceDN w:val="0"/>
        <w:adjustRightInd w:val="0"/>
        <w:spacing w:after="0" w:line="360" w:lineRule="auto"/>
        <w:contextualSpacing/>
        <w:jc w:val="both"/>
        <w:rPr>
          <w:rFonts w:ascii="Book Antiqua" w:hAnsi="Book Antiqua"/>
          <w:b/>
          <w:bCs/>
          <w:iCs/>
          <w:color w:val="auto"/>
          <w:sz w:val="24"/>
          <w:szCs w:val="24"/>
          <w:lang w:val="en-US"/>
        </w:rPr>
      </w:pPr>
    </w:p>
    <w:p w:rsidR="00E95D22" w:rsidRPr="00297C09" w:rsidRDefault="00E95D22" w:rsidP="00E95D22">
      <w:pPr>
        <w:autoSpaceDE w:val="0"/>
        <w:autoSpaceDN w:val="0"/>
        <w:adjustRightInd w:val="0"/>
        <w:spacing w:after="0" w:line="360" w:lineRule="auto"/>
        <w:contextualSpacing/>
        <w:jc w:val="both"/>
        <w:rPr>
          <w:rFonts w:ascii="Book Antiqua" w:hAnsi="Book Antiqua"/>
          <w:b/>
          <w:bCs/>
          <w:iCs/>
          <w:color w:val="auto"/>
          <w:sz w:val="24"/>
          <w:szCs w:val="24"/>
          <w:lang w:val="en-US"/>
        </w:rPr>
      </w:pPr>
      <w:r w:rsidRPr="00297C09">
        <w:rPr>
          <w:rFonts w:ascii="Book Antiqua" w:hAnsi="Book Antiqua"/>
          <w:b/>
          <w:bCs/>
          <w:iCs/>
          <w:color w:val="auto"/>
          <w:sz w:val="24"/>
          <w:szCs w:val="24"/>
          <w:lang w:val="en-US"/>
        </w:rPr>
        <w:t xml:space="preserve">Informed consent: </w:t>
      </w:r>
      <w:r w:rsidRPr="00297C09">
        <w:rPr>
          <w:rFonts w:ascii="Book Antiqua" w:hAnsi="Book Antiqua"/>
          <w:bCs/>
          <w:iCs/>
          <w:color w:val="auto"/>
          <w:sz w:val="24"/>
          <w:szCs w:val="24"/>
          <w:lang w:val="en-US"/>
        </w:rPr>
        <w:t>All study participants, or their legal guardian, provided written informed consent prior to study enrollment.</w:t>
      </w:r>
    </w:p>
    <w:p w:rsidR="00E95D22" w:rsidRPr="00297C09" w:rsidRDefault="00E95D22" w:rsidP="00E95D22">
      <w:pPr>
        <w:autoSpaceDE w:val="0"/>
        <w:autoSpaceDN w:val="0"/>
        <w:adjustRightInd w:val="0"/>
        <w:spacing w:after="0" w:line="360" w:lineRule="auto"/>
        <w:contextualSpacing/>
        <w:jc w:val="both"/>
        <w:rPr>
          <w:rFonts w:ascii="Book Antiqua" w:hAnsi="Book Antiqua" w:cs="TimesNewRomanPS-BoldItalicMT"/>
          <w:b/>
          <w:bCs/>
          <w:iCs/>
          <w:color w:val="auto"/>
          <w:sz w:val="24"/>
          <w:szCs w:val="24"/>
          <w:lang w:val="en-US"/>
        </w:rPr>
      </w:pPr>
    </w:p>
    <w:p w:rsidR="00E95D22" w:rsidRPr="00297C09" w:rsidRDefault="00E95D22" w:rsidP="00E95D22">
      <w:pPr>
        <w:autoSpaceDE w:val="0"/>
        <w:autoSpaceDN w:val="0"/>
        <w:adjustRightInd w:val="0"/>
        <w:spacing w:after="0" w:line="360" w:lineRule="auto"/>
        <w:contextualSpacing/>
        <w:jc w:val="both"/>
        <w:rPr>
          <w:rFonts w:ascii="Book Antiqua" w:hAnsi="Book Antiqua" w:cs="TimesNewRomanPS-BoldItalicMT"/>
          <w:b/>
          <w:bCs/>
          <w:iCs/>
          <w:color w:val="auto"/>
          <w:sz w:val="24"/>
          <w:szCs w:val="24"/>
          <w:lang w:val="en-US"/>
        </w:rPr>
      </w:pPr>
      <w:r w:rsidRPr="00297C09">
        <w:rPr>
          <w:rFonts w:ascii="Book Antiqua" w:hAnsi="Book Antiqua" w:cs="TimesNewRomanPS-BoldItalicMT"/>
          <w:b/>
          <w:bCs/>
          <w:iCs/>
          <w:color w:val="auto"/>
          <w:sz w:val="24"/>
          <w:szCs w:val="24"/>
          <w:lang w:val="en-US"/>
        </w:rPr>
        <w:t xml:space="preserve">Conflict-of-interest: </w:t>
      </w:r>
      <w:r w:rsidRPr="00297C09">
        <w:rPr>
          <w:rFonts w:ascii="Book Antiqua" w:hAnsi="Book Antiqua" w:cs="TimesNewRomanPS-BoldItalicMT"/>
          <w:bCs/>
          <w:iCs/>
          <w:color w:val="auto"/>
          <w:sz w:val="24"/>
          <w:szCs w:val="24"/>
          <w:lang w:val="en-US"/>
        </w:rPr>
        <w:t>The authors have no conflict of interest to declare.</w:t>
      </w:r>
    </w:p>
    <w:p w:rsidR="00E95D22" w:rsidRPr="00297C09" w:rsidRDefault="00E95D22" w:rsidP="00E95D22">
      <w:pPr>
        <w:autoSpaceDE w:val="0"/>
        <w:autoSpaceDN w:val="0"/>
        <w:adjustRightInd w:val="0"/>
        <w:spacing w:after="0" w:line="360" w:lineRule="auto"/>
        <w:contextualSpacing/>
        <w:jc w:val="both"/>
        <w:rPr>
          <w:rFonts w:ascii="Book Antiqua" w:hAnsi="Book Antiqua" w:cs="TimesNewRomanPS-BoldItalicMT"/>
          <w:b/>
          <w:bCs/>
          <w:iCs/>
          <w:color w:val="auto"/>
          <w:sz w:val="24"/>
          <w:szCs w:val="24"/>
          <w:lang w:val="en-US"/>
        </w:rPr>
      </w:pPr>
    </w:p>
    <w:p w:rsidR="00E95D22" w:rsidRPr="00297C09" w:rsidRDefault="00E95D22" w:rsidP="00E95D22">
      <w:pPr>
        <w:autoSpaceDE w:val="0"/>
        <w:autoSpaceDN w:val="0"/>
        <w:adjustRightInd w:val="0"/>
        <w:spacing w:after="0" w:line="360" w:lineRule="auto"/>
        <w:contextualSpacing/>
        <w:jc w:val="both"/>
        <w:rPr>
          <w:rFonts w:ascii="Book Antiqua" w:hAnsi="Book Antiqua" w:cs="TimesNewRomanPS-BoldItalicMT"/>
          <w:bCs/>
          <w:iCs/>
          <w:color w:val="auto"/>
          <w:sz w:val="24"/>
          <w:szCs w:val="24"/>
          <w:lang w:val="en-US"/>
        </w:rPr>
      </w:pPr>
      <w:r w:rsidRPr="00297C09">
        <w:rPr>
          <w:rFonts w:ascii="Book Antiqua" w:hAnsi="Book Antiqua" w:cs="TimesNewRomanPS-BoldItalicMT"/>
          <w:b/>
          <w:bCs/>
          <w:iCs/>
          <w:color w:val="auto"/>
          <w:sz w:val="24"/>
          <w:szCs w:val="24"/>
          <w:lang w:val="en-US"/>
        </w:rPr>
        <w:t xml:space="preserve">Data sharing: </w:t>
      </w:r>
      <w:r w:rsidRPr="00297C09">
        <w:rPr>
          <w:rFonts w:ascii="Book Antiqua" w:hAnsi="Book Antiqua" w:cs="TimesNewRomanPS-BoldItalicMT"/>
          <w:bCs/>
          <w:iCs/>
          <w:color w:val="auto"/>
          <w:sz w:val="24"/>
          <w:szCs w:val="24"/>
          <w:lang w:val="en-US"/>
        </w:rPr>
        <w:t>No additional data are available.</w:t>
      </w:r>
    </w:p>
    <w:p w:rsidR="00E95D22" w:rsidRPr="00297C09" w:rsidRDefault="00E95D22" w:rsidP="00E95D22">
      <w:pPr>
        <w:adjustRightInd w:val="0"/>
        <w:snapToGrid w:val="0"/>
        <w:spacing w:after="0" w:line="360" w:lineRule="auto"/>
        <w:contextualSpacing/>
        <w:jc w:val="both"/>
        <w:rPr>
          <w:rFonts w:ascii="Book Antiqua" w:hAnsi="Book Antiqua"/>
          <w:b/>
          <w:color w:val="auto"/>
          <w:sz w:val="24"/>
          <w:szCs w:val="24"/>
          <w:lang w:val="en-US"/>
        </w:rPr>
      </w:pPr>
    </w:p>
    <w:p w:rsidR="00297C09" w:rsidRPr="00164EDB" w:rsidRDefault="00297C09" w:rsidP="000C5886">
      <w:pPr>
        <w:spacing w:line="360" w:lineRule="auto"/>
        <w:jc w:val="both"/>
        <w:rPr>
          <w:rFonts w:ascii="Book Antiqua" w:hAnsi="Book Antiqua"/>
          <w:b/>
          <w:sz w:val="24"/>
        </w:rPr>
      </w:pPr>
      <w:r w:rsidRPr="00164EDB">
        <w:rPr>
          <w:rFonts w:ascii="Book Antiqua" w:hAnsi="Book Antiqua"/>
          <w:b/>
          <w:sz w:val="24"/>
        </w:rPr>
        <w:t xml:space="preserve">Open-Access: </w:t>
      </w:r>
      <w:r w:rsidRPr="00164EDB">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95D22" w:rsidRPr="00297C09" w:rsidRDefault="00E95D22" w:rsidP="00E95D22">
      <w:pPr>
        <w:pStyle w:val="CorpoA"/>
        <w:snapToGrid w:val="0"/>
        <w:spacing w:line="360" w:lineRule="auto"/>
        <w:contextualSpacing/>
        <w:jc w:val="both"/>
        <w:outlineLvl w:val="0"/>
        <w:rPr>
          <w:rFonts w:ascii="Book Antiqua" w:eastAsia="Times New Roman" w:hAnsi="Book Antiqua" w:cs="Gulim"/>
          <w:b/>
          <w:color w:val="auto"/>
          <w:lang w:val="pt-PT"/>
        </w:rPr>
      </w:pPr>
    </w:p>
    <w:p w:rsidR="00E95D22" w:rsidRPr="00297C09" w:rsidRDefault="00E95D22" w:rsidP="00E95D22">
      <w:pPr>
        <w:pStyle w:val="CorpoA"/>
        <w:snapToGrid w:val="0"/>
        <w:spacing w:line="360" w:lineRule="auto"/>
        <w:contextualSpacing/>
        <w:jc w:val="both"/>
        <w:outlineLvl w:val="0"/>
        <w:rPr>
          <w:rStyle w:val="Hyperlink0"/>
          <w:rFonts w:ascii="Book Antiqua" w:hAnsi="Book Antiqua" w:cs="Times New Roman"/>
          <w:color w:val="auto"/>
          <w:sz w:val="24"/>
          <w:szCs w:val="24"/>
        </w:rPr>
      </w:pPr>
      <w:r w:rsidRPr="00297C09">
        <w:rPr>
          <w:rFonts w:ascii="Book Antiqua" w:eastAsia="Times New Roman" w:hAnsi="Book Antiqua" w:cs="Gulim"/>
          <w:b/>
          <w:color w:val="auto"/>
        </w:rPr>
        <w:t>Correspondence to</w:t>
      </w:r>
      <w:r w:rsidRPr="00297C09">
        <w:rPr>
          <w:rFonts w:ascii="Book Antiqua" w:eastAsia="Times New Roman" w:hAnsi="Book Antiqua" w:cs="Gulim"/>
          <w:b/>
          <w:bCs/>
          <w:color w:val="auto"/>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297C09">
        <w:rPr>
          <w:rFonts w:ascii="Book Antiqua" w:hAnsi="Book Antiqua" w:cs="Gulim"/>
          <w:b/>
          <w:bCs/>
          <w:color w:val="auto"/>
        </w:rPr>
        <w:t xml:space="preserve"> </w:t>
      </w:r>
      <w:bookmarkStart w:id="35" w:name="OLE_LINK5"/>
      <w:bookmarkStart w:id="36" w:name="OLE_LINK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roofErr w:type="spellStart"/>
      <w:r w:rsidRPr="00297C09">
        <w:rPr>
          <w:rFonts w:ascii="Book Antiqua" w:hAnsi="Book Antiqua" w:cs="Times New Roman"/>
          <w:b/>
          <w:color w:val="auto"/>
        </w:rPr>
        <w:t>Almir</w:t>
      </w:r>
      <w:proofErr w:type="spellEnd"/>
      <w:r w:rsidRPr="00297C09">
        <w:rPr>
          <w:rFonts w:ascii="Book Antiqua" w:hAnsi="Book Antiqua" w:cs="Times New Roman"/>
          <w:b/>
          <w:color w:val="auto"/>
        </w:rPr>
        <w:t xml:space="preserve"> </w:t>
      </w:r>
      <w:r w:rsidR="00361694">
        <w:rPr>
          <w:rFonts w:ascii="Book Antiqua" w:hAnsi="Book Antiqua" w:cs="Times New Roman"/>
          <w:b/>
          <w:color w:val="auto"/>
          <w:u w:color="231F20"/>
        </w:rPr>
        <w:t>G</w:t>
      </w:r>
      <w:r w:rsidRPr="00297C09">
        <w:rPr>
          <w:rFonts w:ascii="Book Antiqua" w:hAnsi="Book Antiqua" w:cs="Times New Roman"/>
          <w:b/>
          <w:color w:val="auto"/>
          <w:u w:color="231F20"/>
        </w:rPr>
        <w:t>V</w:t>
      </w:r>
      <w:r w:rsidRPr="00297C09">
        <w:rPr>
          <w:rFonts w:ascii="Book Antiqua" w:hAnsi="Book Antiqua" w:cs="Times New Roman"/>
          <w:b/>
          <w:color w:val="auto"/>
        </w:rPr>
        <w:t xml:space="preserve"> </w:t>
      </w:r>
      <w:proofErr w:type="spellStart"/>
      <w:r w:rsidRPr="00297C09">
        <w:rPr>
          <w:rFonts w:ascii="Book Antiqua" w:hAnsi="Book Antiqua" w:cs="Times New Roman"/>
          <w:b/>
          <w:color w:val="auto"/>
        </w:rPr>
        <w:t>Bitencourt</w:t>
      </w:r>
      <w:proofErr w:type="spellEnd"/>
      <w:r w:rsidRPr="00297C09">
        <w:rPr>
          <w:rFonts w:ascii="Book Antiqua" w:hAnsi="Book Antiqua" w:cs="Times New Roman"/>
          <w:b/>
          <w:color w:val="auto"/>
          <w:lang w:eastAsia="zh-CN"/>
        </w:rPr>
        <w:t>, MD, PhD,</w:t>
      </w:r>
      <w:r w:rsidRPr="00297C09">
        <w:rPr>
          <w:rFonts w:ascii="Book Antiqua" w:hAnsi="Book Antiqua" w:cs="Times New Roman"/>
          <w:color w:val="auto"/>
        </w:rPr>
        <w:t xml:space="preserve"> Department of Imaging</w:t>
      </w:r>
      <w:r w:rsidRPr="00297C09">
        <w:rPr>
          <w:rFonts w:ascii="Book Antiqua" w:hAnsi="Book Antiqua" w:cs="Times New Roman"/>
          <w:color w:val="auto"/>
          <w:lang w:eastAsia="zh-CN"/>
        </w:rPr>
        <w:t xml:space="preserve">, </w:t>
      </w:r>
      <w:r w:rsidRPr="00297C09">
        <w:rPr>
          <w:rFonts w:ascii="Book Antiqua" w:hAnsi="Book Antiqua" w:cs="Times New Roman"/>
          <w:color w:val="auto"/>
        </w:rPr>
        <w:t>AC Camargo Cancer Center</w:t>
      </w:r>
      <w:r w:rsidRPr="00297C09">
        <w:rPr>
          <w:rFonts w:ascii="Book Antiqua" w:hAnsi="Book Antiqua" w:cs="Times New Roman"/>
          <w:color w:val="auto"/>
          <w:lang w:eastAsia="zh-CN"/>
        </w:rPr>
        <w:t>,</w:t>
      </w:r>
      <w:r w:rsidRPr="00297C09">
        <w:rPr>
          <w:rFonts w:ascii="Book Antiqua" w:hAnsi="Book Antiqua" w:cs="Times New Roman"/>
          <w:color w:val="auto"/>
        </w:rPr>
        <w:t xml:space="preserve"> R Prof Antonio </w:t>
      </w:r>
      <w:proofErr w:type="spellStart"/>
      <w:r w:rsidRPr="00297C09">
        <w:rPr>
          <w:rFonts w:ascii="Book Antiqua" w:hAnsi="Book Antiqua" w:cs="Times New Roman"/>
          <w:color w:val="auto"/>
        </w:rPr>
        <w:t>Prudente</w:t>
      </w:r>
      <w:proofErr w:type="spellEnd"/>
      <w:r w:rsidRPr="00297C09">
        <w:rPr>
          <w:rFonts w:ascii="Book Antiqua" w:hAnsi="Book Antiqua" w:cs="Times New Roman"/>
          <w:color w:val="auto"/>
        </w:rPr>
        <w:t xml:space="preserve"> 211</w:t>
      </w:r>
      <w:r w:rsidRPr="00297C09">
        <w:rPr>
          <w:rFonts w:ascii="Book Antiqua" w:hAnsi="Book Antiqua" w:cs="Times New Roman"/>
          <w:color w:val="auto"/>
          <w:lang w:eastAsia="zh-CN"/>
        </w:rPr>
        <w:t>,</w:t>
      </w:r>
      <w:r w:rsidRPr="00297C09">
        <w:rPr>
          <w:rFonts w:ascii="Book Antiqua" w:hAnsi="Book Antiqua" w:cs="Times New Roman"/>
          <w:color w:val="auto"/>
        </w:rPr>
        <w:t xml:space="preserve"> São Paulo, SP 09015-010</w:t>
      </w:r>
      <w:r w:rsidRPr="00297C09">
        <w:rPr>
          <w:rFonts w:ascii="Book Antiqua" w:hAnsi="Book Antiqua" w:cs="Times New Roman"/>
          <w:color w:val="auto"/>
          <w:lang w:eastAsia="zh-CN"/>
        </w:rPr>
        <w:t>,</w:t>
      </w:r>
      <w:r w:rsidRPr="00297C09">
        <w:rPr>
          <w:rFonts w:ascii="Book Antiqua" w:hAnsi="Book Antiqua" w:cs="Times New Roman"/>
          <w:color w:val="auto"/>
        </w:rPr>
        <w:t xml:space="preserve"> Brazil</w:t>
      </w:r>
      <w:r w:rsidRPr="00297C09">
        <w:rPr>
          <w:rFonts w:ascii="Book Antiqua" w:hAnsi="Book Antiqua" w:cs="Times New Roman"/>
          <w:color w:val="auto"/>
          <w:lang w:eastAsia="zh-CN"/>
        </w:rPr>
        <w:t>.</w:t>
      </w:r>
      <w:r w:rsidRPr="00297C09" w:rsidDel="00225CAC">
        <w:rPr>
          <w:rFonts w:ascii="Book Antiqua" w:hAnsi="Book Antiqua" w:cs="Times New Roman"/>
          <w:bCs/>
          <w:color w:val="auto"/>
        </w:rPr>
        <w:t xml:space="preserve"> </w:t>
      </w:r>
      <w:r w:rsidRPr="00297C09">
        <w:rPr>
          <w:rStyle w:val="Hyperlink0"/>
          <w:rFonts w:ascii="Book Antiqua" w:hAnsi="Book Antiqua" w:cs="Times New Roman"/>
          <w:color w:val="auto"/>
          <w:sz w:val="24"/>
          <w:szCs w:val="24"/>
        </w:rPr>
        <w:t>almir.bitencourt@accamargo.org.br</w:t>
      </w:r>
    </w:p>
    <w:bookmarkEnd w:id="35"/>
    <w:bookmarkEnd w:id="36"/>
    <w:p w:rsidR="00297C09" w:rsidRDefault="00E95D22" w:rsidP="00E95D22">
      <w:pPr>
        <w:autoSpaceDE w:val="0"/>
        <w:autoSpaceDN w:val="0"/>
        <w:adjustRightInd w:val="0"/>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b/>
          <w:bCs/>
          <w:color w:val="auto"/>
          <w:sz w:val="24"/>
          <w:szCs w:val="24"/>
          <w:lang w:val="en-US"/>
        </w:rPr>
        <w:t xml:space="preserve">Telephone: </w:t>
      </w:r>
      <w:bookmarkStart w:id="37" w:name="OLE_LINK1415"/>
      <w:bookmarkStart w:id="38" w:name="OLE_LINK1416"/>
      <w:bookmarkStart w:id="39" w:name="OLE_LINK1417"/>
      <w:r w:rsidRPr="00297C09">
        <w:rPr>
          <w:rFonts w:ascii="Book Antiqua" w:hAnsi="Book Antiqua"/>
          <w:color w:val="auto"/>
          <w:sz w:val="24"/>
          <w:szCs w:val="24"/>
          <w:lang w:val="en-US"/>
        </w:rPr>
        <w:t>+</w:t>
      </w:r>
      <w:bookmarkStart w:id="40" w:name="OLE_LINK42"/>
      <w:bookmarkStart w:id="41" w:name="OLE_LINK128"/>
      <w:bookmarkStart w:id="42" w:name="OLE_LINK440"/>
      <w:bookmarkStart w:id="43" w:name="OLE_LINK951"/>
      <w:bookmarkStart w:id="44" w:name="OLE_LINK955"/>
      <w:bookmarkEnd w:id="37"/>
      <w:bookmarkEnd w:id="38"/>
      <w:bookmarkEnd w:id="39"/>
      <w:r w:rsidRPr="00297C09">
        <w:rPr>
          <w:rFonts w:ascii="Book Antiqua" w:hAnsi="Book Antiqua" w:cs="Times New Roman"/>
          <w:color w:val="auto"/>
          <w:sz w:val="24"/>
          <w:szCs w:val="24"/>
          <w:lang w:val="en-US"/>
        </w:rPr>
        <w:t>55</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11</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21895000</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1050</w:t>
      </w:r>
    </w:p>
    <w:p w:rsidR="00E95D22" w:rsidRPr="00297C09" w:rsidRDefault="00E95D22" w:rsidP="00E95D22">
      <w:pPr>
        <w:autoSpaceDE w:val="0"/>
        <w:autoSpaceDN w:val="0"/>
        <w:adjustRightInd w:val="0"/>
        <w:snapToGrid w:val="0"/>
        <w:spacing w:after="0" w:line="360" w:lineRule="auto"/>
        <w:contextualSpacing/>
        <w:jc w:val="both"/>
        <w:rPr>
          <w:rFonts w:ascii="Book Antiqua" w:hAnsi="Book Antiqua"/>
          <w:color w:val="auto"/>
          <w:sz w:val="24"/>
          <w:szCs w:val="24"/>
          <w:lang w:val="en-US" w:eastAsia="zh-CN"/>
        </w:rPr>
      </w:pPr>
      <w:r w:rsidRPr="00297C09">
        <w:rPr>
          <w:rFonts w:ascii="Book Antiqua" w:hAnsi="Book Antiqua"/>
          <w:b/>
          <w:bCs/>
          <w:color w:val="auto"/>
          <w:sz w:val="24"/>
          <w:szCs w:val="24"/>
          <w:lang w:val="en-US"/>
        </w:rPr>
        <w:t>Fax:</w:t>
      </w:r>
      <w:r w:rsidRPr="00297C09">
        <w:rPr>
          <w:rFonts w:ascii="Book Antiqua" w:hAnsi="Book Antiqua"/>
          <w:color w:val="auto"/>
          <w:sz w:val="24"/>
          <w:szCs w:val="24"/>
          <w:lang w:val="en-US"/>
        </w:rPr>
        <w:t xml:space="preserve"> +</w:t>
      </w:r>
      <w:bookmarkEnd w:id="40"/>
      <w:bookmarkEnd w:id="41"/>
      <w:bookmarkEnd w:id="42"/>
      <w:r w:rsidRPr="00297C09">
        <w:rPr>
          <w:rFonts w:ascii="Book Antiqua" w:hAnsi="Book Antiqua" w:cs="Times New Roman"/>
          <w:color w:val="auto"/>
          <w:sz w:val="24"/>
          <w:szCs w:val="24"/>
          <w:lang w:val="en-US"/>
        </w:rPr>
        <w:t>55</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11</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21895000</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1050</w:t>
      </w:r>
    </w:p>
    <w:p w:rsidR="00E95D22" w:rsidRPr="008938D4" w:rsidRDefault="00E95D22" w:rsidP="00E95D22">
      <w:pPr>
        <w:adjustRightInd w:val="0"/>
        <w:snapToGrid w:val="0"/>
        <w:spacing w:after="0" w:line="360" w:lineRule="auto"/>
        <w:contextualSpacing/>
        <w:jc w:val="both"/>
        <w:rPr>
          <w:rFonts w:ascii="Book Antiqua" w:hAnsi="Book Antiqua"/>
          <w:color w:val="auto"/>
          <w:sz w:val="24"/>
          <w:szCs w:val="24"/>
          <w:lang w:val="en-US" w:eastAsia="zh-CN"/>
        </w:rPr>
      </w:pPr>
      <w:bookmarkStart w:id="45" w:name="OLE_LINK25"/>
      <w:bookmarkStart w:id="46" w:name="OLE_LINK26"/>
      <w:bookmarkStart w:id="47" w:name="OLE_LINK145"/>
      <w:bookmarkStart w:id="48" w:name="OLE_LINK215"/>
      <w:bookmarkStart w:id="49" w:name="OLE_LINK352"/>
      <w:bookmarkStart w:id="50" w:name="OLE_LINK364"/>
      <w:bookmarkStart w:id="51" w:name="OLE_LINK383"/>
      <w:bookmarkStart w:id="52" w:name="OLE_LINK361"/>
      <w:bookmarkStart w:id="53" w:name="OLE_LINK444"/>
      <w:bookmarkStart w:id="54" w:name="OLE_LINK501"/>
      <w:bookmarkStart w:id="55" w:name="OLE_LINK572"/>
      <w:bookmarkStart w:id="56" w:name="OLE_LINK573"/>
      <w:bookmarkStart w:id="57" w:name="OLE_LINK756"/>
      <w:bookmarkStart w:id="58" w:name="OLE_LINK757"/>
      <w:bookmarkStart w:id="59" w:name="OLE_LINK805"/>
      <w:bookmarkStart w:id="60" w:name="OLE_LINK806"/>
      <w:bookmarkStart w:id="61" w:name="OLE_LINK958"/>
      <w:bookmarkStart w:id="62" w:name="OLE_LINK1018"/>
      <w:bookmarkStart w:id="63" w:name="OLE_LINK1059"/>
      <w:bookmarkStart w:id="64" w:name="OLE_LINK1122"/>
      <w:bookmarkStart w:id="65" w:name="OLE_LINK1123"/>
      <w:bookmarkStart w:id="66" w:name="OLE_LINK1402"/>
      <w:bookmarkStart w:id="67" w:name="OLE_LINK1750"/>
      <w:bookmarkStart w:id="68" w:name="OLE_LINK1751"/>
      <w:bookmarkStart w:id="69" w:name="OLE_LINK1832"/>
      <w:bookmarkStart w:id="70" w:name="OLE_LINK1878"/>
      <w:bookmarkStart w:id="71" w:name="OLE_LINK1917"/>
      <w:bookmarkStart w:id="72" w:name="OLE_LINK1918"/>
      <w:bookmarkStart w:id="73" w:name="OLE_LINK1985"/>
      <w:bookmarkStart w:id="74" w:name="OLE_LINK1986"/>
      <w:bookmarkStart w:id="75" w:name="OLE_LINK1927"/>
      <w:bookmarkStart w:id="76" w:name="OLE_LINK1928"/>
      <w:bookmarkStart w:id="77" w:name="OLE_LINK2044"/>
      <w:bookmarkStart w:id="78" w:name="OLE_LINK2352"/>
      <w:bookmarkStart w:id="79" w:name="OLE_LINK2220"/>
      <w:bookmarkStart w:id="80" w:name="OLE_LINK2344"/>
      <w:bookmarkStart w:id="81" w:name="OLE_LINK2347"/>
      <w:bookmarkStart w:id="82" w:name="OLE_LINK2626"/>
      <w:bookmarkStart w:id="83" w:name="OLE_LINK2390"/>
      <w:bookmarkStart w:id="84" w:name="OLE_LINK2752"/>
      <w:bookmarkStart w:id="85" w:name="OLE_LINK2753"/>
      <w:bookmarkStart w:id="86" w:name="OLE_LINK2855"/>
      <w:bookmarkStart w:id="87" w:name="OLE_LINK2992"/>
      <w:bookmarkStart w:id="88" w:name="OLE_LINK3241"/>
      <w:bookmarkStart w:id="89" w:name="OLE_LINK2682"/>
      <w:r w:rsidRPr="00297C09">
        <w:rPr>
          <w:rFonts w:ascii="Book Antiqua" w:hAnsi="Book Antiqua"/>
          <w:b/>
          <w:color w:val="auto"/>
          <w:sz w:val="24"/>
          <w:szCs w:val="24"/>
          <w:lang w:val="en-US"/>
        </w:rPr>
        <w:t xml:space="preserve">Received: </w:t>
      </w:r>
      <w:r w:rsidR="008938D4" w:rsidRPr="008938D4">
        <w:rPr>
          <w:rFonts w:ascii="Book Antiqua" w:hAnsi="Book Antiqua"/>
          <w:color w:val="auto"/>
          <w:sz w:val="24"/>
          <w:szCs w:val="24"/>
          <w:lang w:val="en-US" w:eastAsia="zh-CN"/>
        </w:rPr>
        <w:t xml:space="preserve">August </w:t>
      </w:r>
      <w:r w:rsidR="008938D4" w:rsidRPr="008938D4">
        <w:rPr>
          <w:rFonts w:ascii="Book Antiqua" w:hAnsi="Book Antiqua" w:hint="eastAsia"/>
          <w:color w:val="auto"/>
          <w:sz w:val="24"/>
          <w:szCs w:val="24"/>
          <w:lang w:val="en-US" w:eastAsia="zh-CN"/>
        </w:rPr>
        <w:t>27, 2014</w:t>
      </w:r>
    </w:p>
    <w:p w:rsidR="00E95D22" w:rsidRPr="008938D4" w:rsidRDefault="00E95D22" w:rsidP="00E95D22">
      <w:pPr>
        <w:adjustRightInd w:val="0"/>
        <w:snapToGrid w:val="0"/>
        <w:spacing w:after="0" w:line="360" w:lineRule="auto"/>
        <w:contextualSpacing/>
        <w:jc w:val="both"/>
        <w:rPr>
          <w:rFonts w:ascii="Book Antiqua" w:hAnsi="Book Antiqua"/>
          <w:color w:val="auto"/>
          <w:sz w:val="24"/>
          <w:szCs w:val="24"/>
          <w:lang w:val="en-US" w:eastAsia="zh-CN"/>
        </w:rPr>
      </w:pPr>
      <w:r w:rsidRPr="00297C09">
        <w:rPr>
          <w:rFonts w:ascii="Book Antiqua" w:hAnsi="Book Antiqua"/>
          <w:b/>
          <w:color w:val="auto"/>
          <w:sz w:val="24"/>
          <w:szCs w:val="24"/>
          <w:lang w:val="en-US"/>
        </w:rPr>
        <w:t>Peer-review started:</w:t>
      </w:r>
      <w:r w:rsidR="008938D4">
        <w:rPr>
          <w:rFonts w:ascii="Book Antiqua" w:hAnsi="Book Antiqua" w:hint="eastAsia"/>
          <w:b/>
          <w:color w:val="auto"/>
          <w:sz w:val="24"/>
          <w:szCs w:val="24"/>
          <w:lang w:val="en-US" w:eastAsia="zh-CN"/>
        </w:rPr>
        <w:t xml:space="preserve"> </w:t>
      </w:r>
      <w:r w:rsidR="008938D4" w:rsidRPr="008938D4">
        <w:rPr>
          <w:rFonts w:ascii="Book Antiqua" w:hAnsi="Book Antiqua"/>
          <w:color w:val="auto"/>
          <w:sz w:val="24"/>
          <w:szCs w:val="24"/>
          <w:lang w:val="en-US" w:eastAsia="zh-CN"/>
        </w:rPr>
        <w:t xml:space="preserve">August </w:t>
      </w:r>
      <w:r w:rsidR="008938D4">
        <w:rPr>
          <w:rFonts w:ascii="Book Antiqua" w:hAnsi="Book Antiqua" w:hint="eastAsia"/>
          <w:color w:val="auto"/>
          <w:sz w:val="24"/>
          <w:szCs w:val="24"/>
          <w:lang w:val="en-US" w:eastAsia="zh-CN"/>
        </w:rPr>
        <w:t>28</w:t>
      </w:r>
      <w:r w:rsidR="008938D4" w:rsidRPr="008938D4">
        <w:rPr>
          <w:rFonts w:ascii="Book Antiqua" w:hAnsi="Book Antiqua" w:hint="eastAsia"/>
          <w:color w:val="auto"/>
          <w:sz w:val="24"/>
          <w:szCs w:val="24"/>
          <w:lang w:val="en-US" w:eastAsia="zh-CN"/>
        </w:rPr>
        <w:t>, 2014</w:t>
      </w:r>
    </w:p>
    <w:p w:rsidR="00E95D22" w:rsidRPr="008938D4" w:rsidRDefault="00E95D22" w:rsidP="00E95D22">
      <w:pPr>
        <w:adjustRightInd w:val="0"/>
        <w:snapToGrid w:val="0"/>
        <w:spacing w:after="0" w:line="360" w:lineRule="auto"/>
        <w:contextualSpacing/>
        <w:jc w:val="both"/>
        <w:rPr>
          <w:rFonts w:ascii="Book Antiqua" w:hAnsi="Book Antiqua"/>
          <w:color w:val="auto"/>
          <w:sz w:val="24"/>
          <w:szCs w:val="24"/>
          <w:lang w:val="en-US" w:eastAsia="zh-CN"/>
        </w:rPr>
      </w:pPr>
      <w:r w:rsidRPr="00297C09">
        <w:rPr>
          <w:rFonts w:ascii="Book Antiqua" w:hAnsi="Book Antiqua"/>
          <w:b/>
          <w:color w:val="auto"/>
          <w:sz w:val="24"/>
          <w:szCs w:val="24"/>
          <w:lang w:val="en-US"/>
        </w:rPr>
        <w:t>First decision:</w:t>
      </w:r>
      <w:r w:rsidR="008938D4">
        <w:rPr>
          <w:rFonts w:ascii="Book Antiqua" w:hAnsi="Book Antiqua" w:hint="eastAsia"/>
          <w:b/>
          <w:color w:val="auto"/>
          <w:sz w:val="24"/>
          <w:szCs w:val="24"/>
          <w:lang w:val="en-US" w:eastAsia="zh-CN"/>
        </w:rPr>
        <w:t xml:space="preserve"> </w:t>
      </w:r>
      <w:r w:rsidR="008938D4" w:rsidRPr="008938D4">
        <w:rPr>
          <w:rFonts w:ascii="Book Antiqua" w:hAnsi="Book Antiqua" w:hint="eastAsia"/>
          <w:color w:val="auto"/>
          <w:sz w:val="24"/>
          <w:szCs w:val="24"/>
          <w:lang w:val="en-US" w:eastAsia="zh-CN"/>
        </w:rPr>
        <w:t>September 27, 2014</w:t>
      </w:r>
    </w:p>
    <w:p w:rsidR="00E95D22" w:rsidRPr="008938D4" w:rsidRDefault="00E95D22" w:rsidP="00E95D22">
      <w:pPr>
        <w:adjustRightInd w:val="0"/>
        <w:snapToGrid w:val="0"/>
        <w:spacing w:after="0" w:line="360" w:lineRule="auto"/>
        <w:contextualSpacing/>
        <w:jc w:val="both"/>
        <w:rPr>
          <w:rFonts w:ascii="Book Antiqua" w:hAnsi="Book Antiqua"/>
          <w:color w:val="auto"/>
          <w:sz w:val="24"/>
          <w:szCs w:val="24"/>
          <w:lang w:val="en-US" w:eastAsia="zh-CN"/>
        </w:rPr>
      </w:pPr>
      <w:r w:rsidRPr="00297C09">
        <w:rPr>
          <w:rFonts w:ascii="Book Antiqua" w:hAnsi="Book Antiqua"/>
          <w:b/>
          <w:color w:val="auto"/>
          <w:sz w:val="24"/>
          <w:szCs w:val="24"/>
          <w:lang w:val="en-US"/>
        </w:rPr>
        <w:t>Revised:</w:t>
      </w:r>
      <w:r w:rsidRPr="008938D4">
        <w:rPr>
          <w:rFonts w:ascii="Book Antiqua" w:hAnsi="Book Antiqua"/>
          <w:color w:val="auto"/>
          <w:sz w:val="24"/>
          <w:szCs w:val="24"/>
          <w:lang w:val="en-US"/>
        </w:rPr>
        <w:t xml:space="preserve"> </w:t>
      </w:r>
      <w:bookmarkStart w:id="90" w:name="OLE_LINK69"/>
      <w:bookmarkStart w:id="91" w:name="OLE_LINK70"/>
      <w:bookmarkStart w:id="92" w:name="OLE_LINK103"/>
      <w:bookmarkStart w:id="93" w:name="OLE_LINK104"/>
      <w:bookmarkEnd w:id="45"/>
      <w:bookmarkEnd w:id="46"/>
      <w:r w:rsidR="008938D4" w:rsidRPr="008938D4">
        <w:rPr>
          <w:rFonts w:ascii="Book Antiqua" w:hAnsi="Book Antiqua" w:hint="eastAsia"/>
          <w:color w:val="auto"/>
          <w:sz w:val="24"/>
          <w:szCs w:val="24"/>
          <w:lang w:val="en-US" w:eastAsia="zh-CN"/>
        </w:rPr>
        <w:t>December 23, 2014</w:t>
      </w:r>
    </w:p>
    <w:p w:rsidR="00E95D22" w:rsidRPr="00AB79C5" w:rsidRDefault="00E95D22" w:rsidP="00AB79C5">
      <w:pPr>
        <w:rPr>
          <w:rFonts w:ascii="Book Antiqua" w:hAnsi="Book Antiqua"/>
          <w:color w:val="000000" w:themeColor="text1"/>
          <w:sz w:val="24"/>
        </w:rPr>
      </w:pPr>
      <w:bookmarkStart w:id="94" w:name="OLE_LINK303"/>
      <w:bookmarkStart w:id="95" w:name="OLE_LINK304"/>
      <w:bookmarkStart w:id="96" w:name="OLE_LINK1382"/>
      <w:bookmarkStart w:id="97" w:name="OLE_LINK2188"/>
      <w:bookmarkStart w:id="98" w:name="OLE_LINK2189"/>
      <w:bookmarkStart w:id="99" w:name="OLE_LINK2615"/>
      <w:r w:rsidRPr="00297C09">
        <w:rPr>
          <w:rFonts w:ascii="Book Antiqua" w:hAnsi="Book Antiqua"/>
          <w:b/>
          <w:color w:val="auto"/>
          <w:sz w:val="24"/>
          <w:szCs w:val="24"/>
          <w:lang w:val="en-US"/>
        </w:rPr>
        <w:t>Accepted:</w:t>
      </w:r>
      <w:bookmarkStart w:id="100" w:name="OLE_LINK37"/>
      <w:bookmarkStart w:id="101" w:name="OLE_LINK32"/>
      <w:bookmarkStart w:id="102" w:name="OLE_LINK31"/>
      <w:bookmarkStart w:id="103" w:name="OLE_LINK30"/>
      <w:bookmarkStart w:id="104" w:name="OLE_LINK29"/>
      <w:bookmarkStart w:id="105" w:name="OLE_LINK28"/>
      <w:bookmarkStart w:id="106" w:name="OLE_LINK24"/>
      <w:bookmarkStart w:id="107" w:name="OLE_LINK22"/>
      <w:bookmarkStart w:id="108" w:name="OLE_LINK19"/>
      <w:bookmarkStart w:id="109" w:name="OLE_LINK18"/>
      <w:bookmarkStart w:id="110" w:name="OLE_LINK13"/>
      <w:bookmarkStart w:id="111" w:name="OLE_LINK43"/>
      <w:bookmarkStart w:id="112" w:name="OLE_LINK45"/>
      <w:bookmarkStart w:id="113" w:name="OLE_LINK46"/>
      <w:r w:rsidR="00AB79C5" w:rsidRPr="00AB79C5">
        <w:rPr>
          <w:rFonts w:ascii="Book Antiqua" w:hAnsi="Book Antiqua"/>
          <w:color w:val="000000" w:themeColor="text1"/>
          <w:sz w:val="24"/>
        </w:rPr>
        <w:t xml:space="preserve"> </w:t>
      </w:r>
      <w:r w:rsidR="00AB79C5" w:rsidRPr="00B46525">
        <w:rPr>
          <w:rFonts w:ascii="Book Antiqua" w:hAnsi="Book Antiqua"/>
          <w:color w:val="000000" w:themeColor="text1"/>
          <w:sz w:val="24"/>
        </w:rPr>
        <w:t>January 16, 201</w:t>
      </w:r>
      <w:bookmarkEnd w:id="100"/>
      <w:r w:rsidR="00AB79C5" w:rsidRPr="00B46525">
        <w:rPr>
          <w:rFonts w:ascii="Book Antiqua" w:hAnsi="Book Antiqua"/>
          <w:color w:val="000000" w:themeColor="text1"/>
          <w:sz w:val="24"/>
        </w:rPr>
        <w:t>5</w:t>
      </w:r>
      <w:bookmarkStart w:id="114" w:name="_GoBack"/>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297C09">
        <w:rPr>
          <w:rFonts w:ascii="Book Antiqua" w:hAnsi="Book Antiqua"/>
          <w:b/>
          <w:color w:val="auto"/>
          <w:sz w:val="24"/>
          <w:szCs w:val="24"/>
          <w:lang w:val="en-US"/>
        </w:rPr>
        <w:t xml:space="preserve">  </w:t>
      </w:r>
    </w:p>
    <w:p w:rsidR="00E95D22" w:rsidRPr="00297C09" w:rsidRDefault="00E95D22" w:rsidP="00E95D22">
      <w:pPr>
        <w:adjustRightInd w:val="0"/>
        <w:snapToGrid w:val="0"/>
        <w:spacing w:after="0" w:line="360" w:lineRule="auto"/>
        <w:contextualSpacing/>
        <w:jc w:val="both"/>
        <w:rPr>
          <w:rFonts w:ascii="Book Antiqua" w:hAnsi="Book Antiqua"/>
          <w:b/>
          <w:color w:val="auto"/>
          <w:sz w:val="24"/>
          <w:szCs w:val="24"/>
          <w:lang w:val="en-US"/>
        </w:rPr>
      </w:pPr>
      <w:r w:rsidRPr="00297C09">
        <w:rPr>
          <w:rFonts w:ascii="Book Antiqua" w:hAnsi="Book Antiqua"/>
          <w:b/>
          <w:color w:val="auto"/>
          <w:sz w:val="24"/>
          <w:szCs w:val="24"/>
          <w:lang w:val="en-US"/>
        </w:rPr>
        <w:t>Article in press:</w:t>
      </w:r>
    </w:p>
    <w:p w:rsidR="00E95D22" w:rsidRPr="00297C09" w:rsidRDefault="00E95D22" w:rsidP="00E95D22">
      <w:pPr>
        <w:adjustRightInd w:val="0"/>
        <w:snapToGrid w:val="0"/>
        <w:spacing w:after="0" w:line="360" w:lineRule="auto"/>
        <w:contextualSpacing/>
        <w:jc w:val="both"/>
        <w:rPr>
          <w:rFonts w:ascii="Book Antiqua" w:hAnsi="Book Antiqua"/>
          <w:b/>
          <w:color w:val="auto"/>
          <w:sz w:val="24"/>
          <w:szCs w:val="24"/>
          <w:lang w:val="en-US"/>
        </w:rPr>
      </w:pPr>
      <w:r w:rsidRPr="00297C09">
        <w:rPr>
          <w:rFonts w:ascii="Book Antiqua" w:hAnsi="Book Antiqua"/>
          <w:b/>
          <w:color w:val="auto"/>
          <w:sz w:val="24"/>
          <w:szCs w:val="24"/>
          <w:lang w:val="en-US"/>
        </w:rPr>
        <w:t xml:space="preserve">Published online: </w:t>
      </w:r>
      <w:bookmarkEnd w:id="43"/>
      <w:bookmarkEnd w:id="4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lang w:val="en-US"/>
        </w:rPr>
      </w:pPr>
      <w:r w:rsidRPr="00297C09">
        <w:rPr>
          <w:rFonts w:ascii="Book Antiqua" w:hAnsi="Book Antiqua" w:cs="Times New Roman"/>
          <w:b/>
          <w:color w:val="auto"/>
          <w:sz w:val="24"/>
          <w:szCs w:val="24"/>
          <w:lang w:val="en-US"/>
        </w:rPr>
        <w:br w:type="page"/>
      </w:r>
      <w:r w:rsidRPr="00297C09">
        <w:rPr>
          <w:rFonts w:ascii="Book Antiqua" w:hAnsi="Book Antiqua" w:cs="Times New Roman"/>
          <w:b/>
          <w:color w:val="auto"/>
          <w:sz w:val="24"/>
          <w:szCs w:val="24"/>
          <w:lang w:val="en-US"/>
        </w:rPr>
        <w:lastRenderedPageBreak/>
        <w:t>Abstract</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cs="Times New Roman"/>
          <w:b/>
          <w:color w:val="auto"/>
          <w:sz w:val="24"/>
          <w:szCs w:val="24"/>
          <w:lang w:val="en-US"/>
        </w:rPr>
        <w:t>AIM:</w:t>
      </w:r>
      <w:r w:rsidRPr="00297C09">
        <w:rPr>
          <w:rFonts w:ascii="Book Antiqua" w:hAnsi="Book Antiqua" w:cs="Times New Roman"/>
          <w:color w:val="auto"/>
          <w:sz w:val="24"/>
          <w:szCs w:val="24"/>
          <w:lang w:val="en-US"/>
        </w:rPr>
        <w:t xml:space="preserve"> To evaluate the techniques, results, and co</w:t>
      </w:r>
      <w:r w:rsidR="00584D34">
        <w:rPr>
          <w:rFonts w:ascii="Book Antiqua" w:hAnsi="Book Antiqua" w:cs="Times New Roman"/>
          <w:color w:val="auto"/>
          <w:sz w:val="24"/>
          <w:szCs w:val="24"/>
          <w:lang w:val="en-US"/>
        </w:rPr>
        <w:t xml:space="preserve">mplications related to </w:t>
      </w:r>
      <w:proofErr w:type="gramStart"/>
      <w:r w:rsidR="00584D34">
        <w:rPr>
          <w:rFonts w:ascii="Book Antiqua" w:hAnsi="Book Antiqua" w:cs="Times New Roman"/>
          <w:color w:val="auto"/>
          <w:sz w:val="24"/>
          <w:szCs w:val="24"/>
          <w:lang w:val="en-US"/>
        </w:rPr>
        <w:t>computed</w:t>
      </w:r>
      <w:proofErr w:type="gramEnd"/>
      <w:r w:rsidR="00584D34">
        <w:rPr>
          <w:rFonts w:ascii="Book Antiqua" w:hAnsi="Book Antiqua" w:cs="Times New Roman" w:hint="eastAsia"/>
          <w:color w:val="auto"/>
          <w:sz w:val="24"/>
          <w:szCs w:val="24"/>
          <w:lang w:val="en-US" w:eastAsia="zh-CN"/>
        </w:rPr>
        <w:t xml:space="preserve"> </w:t>
      </w:r>
      <w:r w:rsidRPr="00297C09">
        <w:rPr>
          <w:rFonts w:ascii="Book Antiqua" w:hAnsi="Book Antiqua" w:cs="Times New Roman"/>
          <w:color w:val="auto"/>
          <w:sz w:val="24"/>
          <w:szCs w:val="24"/>
          <w:lang w:val="en-US"/>
        </w:rPr>
        <w:t>tomography (CT)-guided percutaneous core needle biopsies of solid pancreatic lesions.</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cs="Times New Roman"/>
          <w:b/>
          <w:color w:val="auto"/>
          <w:sz w:val="24"/>
          <w:szCs w:val="24"/>
          <w:lang w:val="en-US"/>
        </w:rPr>
        <w:t>METHODS:</w:t>
      </w:r>
      <w:r w:rsidRPr="00297C09">
        <w:rPr>
          <w:rFonts w:ascii="Book Antiqua" w:hAnsi="Book Antiqua" w:cs="Times New Roman"/>
          <w:color w:val="auto"/>
          <w:sz w:val="24"/>
          <w:szCs w:val="24"/>
          <w:lang w:val="en-US"/>
        </w:rPr>
        <w:t xml:space="preserve"> </w:t>
      </w:r>
      <w:r w:rsidRPr="00297C09">
        <w:rPr>
          <w:rFonts w:ascii="Book Antiqua" w:eastAsia="Arial" w:hAnsi="Book Antiqua" w:cs="Times New Roman"/>
          <w:color w:val="auto"/>
          <w:sz w:val="24"/>
          <w:szCs w:val="24"/>
          <w:lang w:val="en-US"/>
        </w:rPr>
        <w:t xml:space="preserve">CT-guided percutaneous biopsies of solid pancreatic lesions performed at a cancer reference center between January 2012 and September 2013 were retrospectively analyzed. </w:t>
      </w:r>
      <w:r w:rsidRPr="00297C09">
        <w:rPr>
          <w:rFonts w:ascii="Book Antiqua" w:hAnsi="Book Antiqua" w:cs="Times New Roman"/>
          <w:color w:val="auto"/>
          <w:sz w:val="24"/>
          <w:szCs w:val="24"/>
          <w:lang w:val="en-US"/>
        </w:rPr>
        <w:t>Biopsy material was collected with a 16</w:t>
      </w:r>
      <w:r w:rsidR="008938D4">
        <w:rPr>
          <w:rFonts w:ascii="Book Antiqua" w:hAnsi="Book Antiqua" w:cs="Times New Roman" w:hint="eastAsia"/>
          <w:color w:val="auto"/>
          <w:sz w:val="24"/>
          <w:szCs w:val="24"/>
          <w:lang w:val="en-US" w:eastAsia="zh-CN"/>
        </w:rPr>
        <w:t>-</w:t>
      </w:r>
      <w:r w:rsidRPr="00297C09">
        <w:rPr>
          <w:rFonts w:ascii="Book Antiqua" w:hAnsi="Book Antiqua" w:cs="Times New Roman"/>
          <w:color w:val="auto"/>
          <w:sz w:val="24"/>
          <w:szCs w:val="24"/>
          <w:lang w:val="en-US"/>
        </w:rPr>
        <w:t>20 G</w:t>
      </w:r>
      <w:r w:rsidRPr="00297C09">
        <w:rPr>
          <w:rFonts w:ascii="Book Antiqua" w:hAnsi="Book Antiqua" w:cs="Times New Roman"/>
          <w:i/>
          <w:iCs/>
          <w:color w:val="auto"/>
          <w:sz w:val="24"/>
          <w:szCs w:val="24"/>
          <w:lang w:val="en-US"/>
        </w:rPr>
        <w:t xml:space="preserve"> </w:t>
      </w:r>
      <w:proofErr w:type="spellStart"/>
      <w:r w:rsidRPr="00297C09">
        <w:rPr>
          <w:rFonts w:ascii="Book Antiqua" w:hAnsi="Book Antiqua" w:cs="Times New Roman"/>
          <w:color w:val="auto"/>
          <w:sz w:val="24"/>
          <w:szCs w:val="24"/>
          <w:lang w:val="en-US"/>
        </w:rPr>
        <w:t>Tru</w:t>
      </w:r>
      <w:proofErr w:type="spellEnd"/>
      <w:r w:rsidRPr="00297C09">
        <w:rPr>
          <w:rFonts w:ascii="Book Antiqua" w:hAnsi="Book Antiqua" w:cs="Times New Roman"/>
          <w:color w:val="auto"/>
          <w:sz w:val="24"/>
          <w:szCs w:val="24"/>
          <w:lang w:val="en-US"/>
        </w:rPr>
        <w:t>-Core needle (10</w:t>
      </w:r>
      <w:r w:rsidR="008938D4">
        <w:rPr>
          <w:rFonts w:ascii="Book Antiqua" w:hAnsi="Book Antiqua" w:cs="Times New Roman" w:hint="eastAsia"/>
          <w:color w:val="auto"/>
          <w:sz w:val="24"/>
          <w:szCs w:val="24"/>
          <w:lang w:val="en-US" w:eastAsia="zh-CN"/>
        </w:rPr>
        <w:t>-</w:t>
      </w:r>
      <w:r w:rsidRPr="00297C09">
        <w:rPr>
          <w:rFonts w:ascii="Book Antiqua" w:hAnsi="Book Antiqua" w:cs="Times New Roman"/>
          <w:color w:val="auto"/>
          <w:sz w:val="24"/>
          <w:szCs w:val="24"/>
          <w:lang w:val="en-US"/>
        </w:rPr>
        <w:t xml:space="preserve">15 cm; </w:t>
      </w:r>
      <w:proofErr w:type="spellStart"/>
      <w:r w:rsidRPr="00297C09">
        <w:rPr>
          <w:rFonts w:ascii="Book Antiqua" w:hAnsi="Book Antiqua" w:cs="Times New Roman"/>
          <w:color w:val="auto"/>
          <w:sz w:val="24"/>
          <w:szCs w:val="24"/>
          <w:lang w:val="en-US"/>
        </w:rPr>
        <w:t>Angiotech</w:t>
      </w:r>
      <w:proofErr w:type="spellEnd"/>
      <w:r w:rsidRPr="00297C09">
        <w:rPr>
          <w:rFonts w:ascii="Book Antiqua" w:hAnsi="Book Antiqua" w:cs="Times New Roman"/>
          <w:color w:val="auto"/>
          <w:sz w:val="24"/>
          <w:szCs w:val="24"/>
          <w:lang w:val="en-US"/>
        </w:rPr>
        <w:t>, Vancouver, CA) using a coaxial system and automatic biopsy gun.</w:t>
      </w:r>
      <w:r w:rsidRPr="00297C09">
        <w:rPr>
          <w:rFonts w:ascii="Book Antiqua" w:eastAsia="Arial" w:hAnsi="Book Antiqua" w:cs="Times New Roman"/>
          <w:color w:val="auto"/>
          <w:sz w:val="24"/>
          <w:szCs w:val="24"/>
          <w:lang w:val="en-US"/>
        </w:rPr>
        <w:t xml:space="preserve"> </w:t>
      </w:r>
      <w:r w:rsidRPr="00297C09">
        <w:rPr>
          <w:rFonts w:ascii="Book Antiqua" w:hAnsi="Book Antiqua" w:cs="Times New Roman"/>
          <w:color w:val="auto"/>
          <w:sz w:val="24"/>
          <w:szCs w:val="24"/>
          <w:lang w:val="en-US"/>
        </w:rPr>
        <w:t>When direct access to the lesion was not possible, indirect (</w:t>
      </w:r>
      <w:proofErr w:type="spellStart"/>
      <w:r w:rsidRPr="00297C09">
        <w:rPr>
          <w:rFonts w:ascii="Book Antiqua" w:hAnsi="Book Antiqua" w:cs="Times New Roman"/>
          <w:color w:val="auto"/>
          <w:sz w:val="24"/>
          <w:szCs w:val="24"/>
          <w:lang w:val="en-US"/>
        </w:rPr>
        <w:t>transgastric</w:t>
      </w:r>
      <w:proofErr w:type="spellEnd"/>
      <w:r w:rsidRPr="00297C09">
        <w:rPr>
          <w:rFonts w:ascii="Book Antiqua" w:hAnsi="Book Antiqua" w:cs="Times New Roman"/>
          <w:color w:val="auto"/>
          <w:sz w:val="24"/>
          <w:szCs w:val="24"/>
          <w:lang w:val="en-US"/>
        </w:rPr>
        <w:t xml:space="preserve"> or </w:t>
      </w:r>
      <w:proofErr w:type="spellStart"/>
      <w:r w:rsidRPr="00297C09">
        <w:rPr>
          <w:rFonts w:ascii="Book Antiqua" w:hAnsi="Book Antiqua" w:cs="Times New Roman"/>
          <w:color w:val="auto"/>
          <w:sz w:val="24"/>
          <w:szCs w:val="24"/>
          <w:lang w:val="en-US"/>
        </w:rPr>
        <w:t>transhepatic</w:t>
      </w:r>
      <w:proofErr w:type="spellEnd"/>
      <w:r w:rsidRPr="00297C09">
        <w:rPr>
          <w:rFonts w:ascii="Book Antiqua" w:hAnsi="Book Antiqua" w:cs="Times New Roman"/>
          <w:color w:val="auto"/>
          <w:sz w:val="24"/>
          <w:szCs w:val="24"/>
          <w:lang w:val="en-US"/>
        </w:rPr>
        <w:t xml:space="preserve">) access or </w:t>
      </w:r>
      <w:proofErr w:type="spellStart"/>
      <w:r w:rsidRPr="00297C09">
        <w:rPr>
          <w:rFonts w:ascii="Book Antiqua" w:hAnsi="Book Antiqua" w:cs="Times New Roman"/>
          <w:color w:val="auto"/>
          <w:sz w:val="24"/>
          <w:szCs w:val="24"/>
          <w:lang w:val="en-US"/>
        </w:rPr>
        <w:t>hydrodissection</w:t>
      </w:r>
      <w:proofErr w:type="spellEnd"/>
      <w:r w:rsidRPr="00297C09">
        <w:rPr>
          <w:rFonts w:ascii="Book Antiqua" w:hAnsi="Book Antiqua" w:cs="Times New Roman"/>
          <w:color w:val="auto"/>
          <w:sz w:val="24"/>
          <w:szCs w:val="24"/>
          <w:lang w:val="en-US"/>
        </w:rPr>
        <w:t xml:space="preserve"> and/or </w:t>
      </w:r>
      <w:proofErr w:type="spellStart"/>
      <w:r w:rsidRPr="00297C09">
        <w:rPr>
          <w:rFonts w:ascii="Book Antiqua" w:hAnsi="Book Antiqua" w:cs="Times New Roman"/>
          <w:color w:val="auto"/>
          <w:sz w:val="24"/>
          <w:szCs w:val="24"/>
          <w:lang w:val="en-US"/>
        </w:rPr>
        <w:t>pneumodissection</w:t>
      </w:r>
      <w:proofErr w:type="spellEnd"/>
      <w:r w:rsidRPr="00297C09">
        <w:rPr>
          <w:rFonts w:ascii="Book Antiqua" w:hAnsi="Book Antiqua" w:cs="Times New Roman"/>
          <w:color w:val="auto"/>
          <w:sz w:val="24"/>
          <w:szCs w:val="24"/>
          <w:lang w:val="en-US"/>
        </w:rPr>
        <w:t xml:space="preserve"> maneuvers were used. Characteristics of the patients, lesions, procedures, and histologic results were recorded using a standardized form. </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cs="Times New Roman"/>
          <w:b/>
          <w:color w:val="auto"/>
          <w:sz w:val="24"/>
          <w:szCs w:val="24"/>
          <w:lang w:val="en-US"/>
        </w:rPr>
        <w:t>RESULTS:</w:t>
      </w:r>
      <w:r w:rsidRPr="00297C09">
        <w:rPr>
          <w:rFonts w:ascii="Book Antiqua" w:hAnsi="Book Antiqua" w:cs="Times New Roman"/>
          <w:color w:val="auto"/>
          <w:sz w:val="24"/>
          <w:szCs w:val="24"/>
          <w:lang w:val="en-US"/>
        </w:rPr>
        <w:t xml:space="preserve"> </w:t>
      </w:r>
      <w:r w:rsidRPr="00297C09">
        <w:rPr>
          <w:rFonts w:ascii="Book Antiqua" w:eastAsia="Arial Bold" w:hAnsi="Book Antiqua" w:cs="Times New Roman"/>
          <w:color w:val="auto"/>
          <w:sz w:val="24"/>
          <w:szCs w:val="24"/>
          <w:lang w:val="en-US"/>
        </w:rPr>
        <w:t>A total of 103 procedures included in the study were performed on patients with a mean age of 64.8 y</w:t>
      </w:r>
      <w:r w:rsidR="00C536D7">
        <w:rPr>
          <w:rFonts w:ascii="Book Antiqua" w:eastAsiaTheme="minorEastAsia" w:hAnsi="Book Antiqua" w:cs="Times New Roman" w:hint="eastAsia"/>
          <w:color w:val="auto"/>
          <w:sz w:val="24"/>
          <w:szCs w:val="24"/>
          <w:lang w:val="en-US" w:eastAsia="zh-CN"/>
        </w:rPr>
        <w:t>ear</w:t>
      </w:r>
      <w:r w:rsidRPr="00297C09">
        <w:rPr>
          <w:rFonts w:ascii="Book Antiqua" w:eastAsia="Arial Bold" w:hAnsi="Book Antiqua" w:cs="Times New Roman"/>
          <w:color w:val="auto"/>
          <w:sz w:val="24"/>
          <w:szCs w:val="24"/>
          <w:lang w:val="en-US"/>
        </w:rPr>
        <w:t xml:space="preserve"> </w:t>
      </w:r>
      <w:r w:rsidRPr="00297C09">
        <w:rPr>
          <w:rFonts w:ascii="Book Antiqua" w:hAnsi="Book Antiqua" w:cs="Times New Roman"/>
          <w:color w:val="auto"/>
          <w:sz w:val="24"/>
          <w:szCs w:val="24"/>
          <w:lang w:val="en-US"/>
        </w:rPr>
        <w:t>(range: 39 – 94 y</w:t>
      </w:r>
      <w:r w:rsidR="008938D4">
        <w:rPr>
          <w:rFonts w:ascii="Book Antiqua" w:hAnsi="Book Antiqua" w:cs="Times New Roman" w:hint="eastAsia"/>
          <w:color w:val="auto"/>
          <w:sz w:val="24"/>
          <w:szCs w:val="24"/>
          <w:lang w:val="en-US" w:eastAsia="zh-CN"/>
        </w:rPr>
        <w:t>ear</w:t>
      </w:r>
      <w:r w:rsidRPr="00297C09">
        <w:rPr>
          <w:rFonts w:ascii="Book Antiqua" w:hAnsi="Book Antiqua" w:cs="Times New Roman"/>
          <w:color w:val="auto"/>
          <w:sz w:val="24"/>
          <w:szCs w:val="24"/>
          <w:lang w:val="en-US"/>
        </w:rPr>
        <w:t>)</w:t>
      </w:r>
      <w:r w:rsidRPr="00297C09">
        <w:rPr>
          <w:rFonts w:ascii="Book Antiqua" w:eastAsia="Arial Bold" w:hAnsi="Book Antiqua" w:cs="Times New Roman"/>
          <w:color w:val="auto"/>
          <w:sz w:val="24"/>
          <w:szCs w:val="24"/>
          <w:lang w:val="en-US"/>
        </w:rPr>
        <w:t xml:space="preserve">. </w:t>
      </w:r>
      <w:r w:rsidRPr="00297C09">
        <w:rPr>
          <w:rFonts w:ascii="Book Antiqua" w:hAnsi="Book Antiqua" w:cs="Times New Roman"/>
          <w:color w:val="auto"/>
          <w:sz w:val="24"/>
          <w:szCs w:val="24"/>
          <w:lang w:val="en-US"/>
        </w:rPr>
        <w:t xml:space="preserve">The mean size of the pancreatic lesions was 45.5 mm (range: 15 – 195 mm). </w:t>
      </w:r>
      <w:r w:rsidRPr="00297C09">
        <w:rPr>
          <w:rFonts w:ascii="Book Antiqua" w:eastAsia="Arial" w:hAnsi="Book Antiqua" w:cs="Times New Roman"/>
          <w:color w:val="auto"/>
          <w:sz w:val="24"/>
          <w:szCs w:val="24"/>
          <w:lang w:val="en-US"/>
        </w:rPr>
        <w:t xml:space="preserve">Most (75/103, 72.8%) procedures were performed </w:t>
      </w:r>
      <w:r w:rsidRPr="00361694">
        <w:rPr>
          <w:rFonts w:ascii="Book Antiqua" w:eastAsia="Arial" w:hAnsi="Book Antiqua" w:cs="Times New Roman"/>
          <w:i/>
          <w:color w:val="auto"/>
          <w:sz w:val="24"/>
          <w:szCs w:val="24"/>
          <w:lang w:val="en-US"/>
        </w:rPr>
        <w:t>via</w:t>
      </w:r>
      <w:r w:rsidRPr="00297C09">
        <w:rPr>
          <w:rFonts w:ascii="Book Antiqua" w:eastAsia="Arial" w:hAnsi="Book Antiqua" w:cs="Times New Roman"/>
          <w:color w:val="auto"/>
          <w:sz w:val="24"/>
          <w:szCs w:val="24"/>
          <w:lang w:val="en-US"/>
        </w:rPr>
        <w:t xml:space="preserve"> direct access</w:t>
      </w:r>
      <w:r w:rsidRPr="00297C09">
        <w:rPr>
          <w:rFonts w:ascii="Book Antiqua" w:hAnsi="Book Antiqua" w:cs="Times New Roman"/>
          <w:color w:val="auto"/>
          <w:sz w:val="24"/>
          <w:szCs w:val="24"/>
          <w:lang w:val="en-US"/>
        </w:rPr>
        <w:t xml:space="preserve">, though </w:t>
      </w:r>
      <w:proofErr w:type="spellStart"/>
      <w:r w:rsidRPr="00297C09">
        <w:rPr>
          <w:rFonts w:ascii="Book Antiqua" w:hAnsi="Book Antiqua" w:cs="Times New Roman"/>
          <w:color w:val="auto"/>
          <w:sz w:val="24"/>
          <w:szCs w:val="24"/>
          <w:lang w:val="en-US"/>
        </w:rPr>
        <w:t>hydrodissection</w:t>
      </w:r>
      <w:proofErr w:type="spellEnd"/>
      <w:r w:rsidRPr="00297C09">
        <w:rPr>
          <w:rFonts w:ascii="Book Antiqua" w:hAnsi="Book Antiqua" w:cs="Times New Roman"/>
          <w:color w:val="auto"/>
          <w:sz w:val="24"/>
          <w:szCs w:val="24"/>
          <w:lang w:val="en-US"/>
        </w:rPr>
        <w:t xml:space="preserve"> and/or </w:t>
      </w:r>
      <w:proofErr w:type="spellStart"/>
      <w:r w:rsidRPr="00297C09">
        <w:rPr>
          <w:rFonts w:ascii="Book Antiqua" w:hAnsi="Book Antiqua" w:cs="Times New Roman"/>
          <w:color w:val="auto"/>
          <w:sz w:val="24"/>
          <w:szCs w:val="24"/>
          <w:lang w:val="en-US"/>
        </w:rPr>
        <w:t>pneumodissection</w:t>
      </w:r>
      <w:proofErr w:type="spellEnd"/>
      <w:r w:rsidRPr="00297C09">
        <w:rPr>
          <w:rFonts w:ascii="Book Antiqua" w:hAnsi="Book Antiqua" w:cs="Times New Roman"/>
          <w:color w:val="auto"/>
          <w:sz w:val="24"/>
          <w:szCs w:val="24"/>
          <w:lang w:val="en-US"/>
        </w:rPr>
        <w:t xml:space="preserve"> were used in 22.2% (23/103) of cases and indirect </w:t>
      </w:r>
      <w:proofErr w:type="spellStart"/>
      <w:r w:rsidRPr="00297C09">
        <w:rPr>
          <w:rFonts w:ascii="Book Antiqua" w:hAnsi="Book Antiqua" w:cs="Times New Roman"/>
          <w:color w:val="auto"/>
          <w:sz w:val="24"/>
          <w:szCs w:val="24"/>
          <w:lang w:val="en-US"/>
        </w:rPr>
        <w:t>transhepatic</w:t>
      </w:r>
      <w:proofErr w:type="spellEnd"/>
      <w:r w:rsidRPr="00297C09">
        <w:rPr>
          <w:rFonts w:ascii="Book Antiqua" w:hAnsi="Book Antiqua" w:cs="Times New Roman"/>
          <w:color w:val="auto"/>
          <w:sz w:val="24"/>
          <w:szCs w:val="24"/>
          <w:lang w:val="en-US"/>
        </w:rPr>
        <w:t xml:space="preserve"> or </w:t>
      </w:r>
      <w:proofErr w:type="spellStart"/>
      <w:r w:rsidRPr="00297C09">
        <w:rPr>
          <w:rFonts w:ascii="Book Antiqua" w:hAnsi="Book Antiqua" w:cs="Times New Roman"/>
          <w:color w:val="auto"/>
          <w:sz w:val="24"/>
          <w:szCs w:val="24"/>
          <w:lang w:val="en-US"/>
        </w:rPr>
        <w:t>transgastric</w:t>
      </w:r>
      <w:proofErr w:type="spellEnd"/>
      <w:r w:rsidRPr="00297C09">
        <w:rPr>
          <w:rFonts w:ascii="Book Antiqua" w:hAnsi="Book Antiqua" w:cs="Times New Roman"/>
          <w:color w:val="auto"/>
          <w:sz w:val="24"/>
          <w:szCs w:val="24"/>
          <w:lang w:val="en-US"/>
        </w:rPr>
        <w:t xml:space="preserve"> access was used in 4.8% (5/103) of cases. </w:t>
      </w:r>
      <w:r w:rsidRPr="00297C09">
        <w:rPr>
          <w:rFonts w:ascii="Book Antiqua" w:eastAsia="Arial" w:hAnsi="Book Antiqua" w:cs="Times New Roman"/>
          <w:color w:val="auto"/>
          <w:sz w:val="24"/>
          <w:szCs w:val="24"/>
          <w:lang w:val="en-US"/>
        </w:rPr>
        <w:t xml:space="preserve">Histologic analysis was performed on all biopsies, and diagnoses were conclusive in </w:t>
      </w:r>
      <w:r w:rsidRPr="00297C09">
        <w:rPr>
          <w:rFonts w:ascii="Book Antiqua" w:hAnsi="Book Antiqua" w:cs="Times New Roman"/>
          <w:color w:val="auto"/>
          <w:sz w:val="24"/>
          <w:szCs w:val="24"/>
          <w:lang w:val="en-US"/>
        </w:rPr>
        <w:t xml:space="preserve">98.1% </w:t>
      </w:r>
      <w:r w:rsidRPr="00297C09">
        <w:rPr>
          <w:rFonts w:ascii="Book Antiqua" w:eastAsia="Arial" w:hAnsi="Book Antiqua" w:cs="Times New Roman"/>
          <w:color w:val="auto"/>
          <w:sz w:val="24"/>
          <w:szCs w:val="24"/>
          <w:lang w:val="en-US"/>
        </w:rPr>
        <w:t>(</w:t>
      </w:r>
      <w:r w:rsidRPr="00297C09">
        <w:rPr>
          <w:rFonts w:ascii="Book Antiqua" w:hAnsi="Book Antiqua" w:cs="Times New Roman"/>
          <w:color w:val="auto"/>
          <w:sz w:val="24"/>
          <w:szCs w:val="24"/>
          <w:lang w:val="en-US"/>
        </w:rPr>
        <w:t xml:space="preserve">101/103) of cases, confirming 3.9% (4/103) of tumors were benign and 94.2% (97/103) were malignant; results were atypical in 1.9% (2/103) of cases, requiring a repeat biopsy to diagnose a neuroendocrine tumor, and surgical resection to confirm a primary adenocarcinoma. Only </w:t>
      </w:r>
      <w:r w:rsidRPr="00297C09">
        <w:rPr>
          <w:rFonts w:ascii="Book Antiqua" w:eastAsia="Arial" w:hAnsi="Book Antiqua" w:cs="Times New Roman"/>
          <w:color w:val="auto"/>
          <w:sz w:val="24"/>
          <w:szCs w:val="24"/>
          <w:lang w:val="en-US"/>
        </w:rPr>
        <w:t xml:space="preserve">mild/moderate complications were observed in 9/103 patients </w:t>
      </w:r>
      <w:r w:rsidRPr="00297C09">
        <w:rPr>
          <w:rFonts w:ascii="Book Antiqua" w:hAnsi="Book Antiqua" w:cs="Times New Roman"/>
          <w:color w:val="auto"/>
          <w:sz w:val="24"/>
          <w:szCs w:val="24"/>
          <w:lang w:val="en-US"/>
        </w:rPr>
        <w:t>(8.7%), and they were more commonly associated with biopsies of lesions located in the head/</w:t>
      </w:r>
      <w:proofErr w:type="spellStart"/>
      <w:r w:rsidRPr="00297C09">
        <w:rPr>
          <w:rFonts w:ascii="Book Antiqua" w:hAnsi="Book Antiqua" w:cs="Times New Roman"/>
          <w:color w:val="auto"/>
          <w:sz w:val="24"/>
          <w:szCs w:val="24"/>
          <w:lang w:val="en-US"/>
        </w:rPr>
        <w:t>uncinate</w:t>
      </w:r>
      <w:proofErr w:type="spellEnd"/>
      <w:r w:rsidRPr="00297C09">
        <w:rPr>
          <w:rFonts w:ascii="Book Antiqua" w:hAnsi="Book Antiqua" w:cs="Times New Roman"/>
          <w:color w:val="auto"/>
          <w:sz w:val="24"/>
          <w:szCs w:val="24"/>
          <w:lang w:val="en-US"/>
        </w:rPr>
        <w:t xml:space="preserve"> process (</w:t>
      </w:r>
      <w:r w:rsidRPr="00297C09">
        <w:rPr>
          <w:rFonts w:ascii="Book Antiqua" w:hAnsi="Book Antiqua" w:cs="Times New Roman"/>
          <w:i/>
          <w:color w:val="auto"/>
          <w:sz w:val="24"/>
          <w:szCs w:val="24"/>
          <w:lang w:val="en-US"/>
        </w:rPr>
        <w:t>n</w:t>
      </w:r>
      <w:r w:rsidRPr="00297C09">
        <w:rPr>
          <w:rFonts w:ascii="Book Antiqua" w:hAnsi="Book Antiqua" w:cs="Times New Roman"/>
          <w:color w:val="auto"/>
          <w:sz w:val="24"/>
          <w:szCs w:val="24"/>
          <w:lang w:val="en-US"/>
        </w:rPr>
        <w:t xml:space="preserve"> = 8), than of those located in the body/tail (</w:t>
      </w:r>
      <w:r w:rsidRPr="00297C09">
        <w:rPr>
          <w:rFonts w:ascii="Book Antiqua" w:hAnsi="Book Antiqua" w:cs="Times New Roman"/>
          <w:i/>
          <w:color w:val="auto"/>
          <w:sz w:val="24"/>
          <w:szCs w:val="24"/>
          <w:lang w:val="en-US"/>
        </w:rPr>
        <w:t>n</w:t>
      </w:r>
      <w:r w:rsidRPr="00297C09">
        <w:rPr>
          <w:rFonts w:ascii="Book Antiqua" w:hAnsi="Book Antiqua" w:cs="Times New Roman"/>
          <w:color w:val="auto"/>
          <w:sz w:val="24"/>
          <w:szCs w:val="24"/>
          <w:lang w:val="en-US"/>
        </w:rPr>
        <w:t xml:space="preserve"> = 1) of the pancreas, but this difference was not significant.</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r w:rsidRPr="00297C09">
        <w:rPr>
          <w:rFonts w:ascii="Book Antiqua" w:hAnsi="Book Antiqua" w:cs="Times New Roman"/>
          <w:b/>
          <w:color w:val="auto"/>
          <w:sz w:val="24"/>
          <w:szCs w:val="24"/>
          <w:lang w:val="en-US"/>
        </w:rPr>
        <w:t>CONCLUSION:</w:t>
      </w:r>
      <w:r w:rsidRPr="00297C09">
        <w:rPr>
          <w:rFonts w:ascii="Book Antiqua" w:hAnsi="Book Antiqua" w:cs="Times New Roman"/>
          <w:color w:val="auto"/>
          <w:sz w:val="24"/>
          <w:szCs w:val="24"/>
          <w:lang w:val="en-US"/>
        </w:rPr>
        <w:t xml:space="preserve"> CT-guided biopsy of a pancreatic lesion is a safe procedure with a high success rate, and is an excellent option for minimally invasive diagnosis.</w:t>
      </w:r>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lang w:val="en-US" w:eastAsia="zh-CN"/>
        </w:rPr>
      </w:pPr>
    </w:p>
    <w:p w:rsidR="00E95D22"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cs="Times New Roman"/>
          <w:b/>
          <w:color w:val="auto"/>
          <w:sz w:val="24"/>
          <w:szCs w:val="24"/>
          <w:lang w:val="en-US"/>
        </w:rPr>
        <w:t>Key</w:t>
      </w:r>
      <w:r w:rsidRPr="00297C09">
        <w:rPr>
          <w:rFonts w:ascii="Book Antiqua" w:hAnsi="Book Antiqua" w:cs="Times New Roman"/>
          <w:b/>
          <w:color w:val="auto"/>
          <w:sz w:val="24"/>
          <w:szCs w:val="24"/>
          <w:lang w:val="en-US" w:eastAsia="zh-CN"/>
        </w:rPr>
        <w:t xml:space="preserve"> </w:t>
      </w:r>
      <w:r w:rsidRPr="00297C09">
        <w:rPr>
          <w:rFonts w:ascii="Book Antiqua" w:hAnsi="Book Antiqua" w:cs="Times New Roman"/>
          <w:b/>
          <w:color w:val="auto"/>
          <w:sz w:val="24"/>
          <w:szCs w:val="24"/>
          <w:lang w:val="en-US"/>
        </w:rPr>
        <w:t>words:</w:t>
      </w:r>
      <w:bookmarkStart w:id="115" w:name="OLE_LINK7"/>
      <w:bookmarkStart w:id="116" w:name="OLE_LINK8"/>
      <w:r w:rsidRPr="00297C09">
        <w:rPr>
          <w:rFonts w:ascii="Book Antiqua" w:hAnsi="Book Antiqua" w:cs="Times New Roman"/>
          <w:b/>
          <w:color w:val="auto"/>
          <w:sz w:val="24"/>
          <w:szCs w:val="24"/>
          <w:lang w:val="en-US"/>
        </w:rPr>
        <w:t xml:space="preserve"> </w:t>
      </w:r>
      <w:r w:rsidRPr="00297C09">
        <w:rPr>
          <w:rFonts w:ascii="Book Antiqua" w:hAnsi="Book Antiqua" w:cs="Times New Roman"/>
          <w:color w:val="auto"/>
          <w:sz w:val="24"/>
          <w:szCs w:val="24"/>
          <w:lang w:val="en-US"/>
        </w:rPr>
        <w:t xml:space="preserve">Computed tomography; Image-guided biopsy; Large-core needle biopsy; Needle biopsy; </w:t>
      </w:r>
      <w:proofErr w:type="gramStart"/>
      <w:r w:rsidRPr="00297C09">
        <w:rPr>
          <w:rFonts w:ascii="Book Antiqua" w:hAnsi="Book Antiqua" w:cs="Times New Roman"/>
          <w:color w:val="auto"/>
          <w:sz w:val="24"/>
          <w:szCs w:val="24"/>
          <w:lang w:val="en-US"/>
        </w:rPr>
        <w:t>Pancreatic</w:t>
      </w:r>
      <w:proofErr w:type="gramEnd"/>
      <w:r w:rsidRPr="00297C09">
        <w:rPr>
          <w:rFonts w:ascii="Book Antiqua" w:hAnsi="Book Antiqua" w:cs="Times New Roman"/>
          <w:color w:val="auto"/>
          <w:sz w:val="24"/>
          <w:szCs w:val="24"/>
          <w:lang w:val="en-US"/>
        </w:rPr>
        <w:t xml:space="preserve"> neoplasms</w:t>
      </w:r>
    </w:p>
    <w:bookmarkEnd w:id="115"/>
    <w:bookmarkEnd w:id="116"/>
    <w:p w:rsidR="008938D4" w:rsidRPr="00297C09" w:rsidRDefault="008938D4" w:rsidP="00E95D22">
      <w:pPr>
        <w:snapToGrid w:val="0"/>
        <w:spacing w:after="0" w:line="360" w:lineRule="auto"/>
        <w:contextualSpacing/>
        <w:jc w:val="both"/>
        <w:rPr>
          <w:rFonts w:ascii="Book Antiqua" w:hAnsi="Book Antiqua" w:cs="Times New Roman"/>
          <w:color w:val="auto"/>
          <w:sz w:val="24"/>
          <w:szCs w:val="24"/>
          <w:lang w:val="en-US" w:eastAsia="zh-CN"/>
        </w:rPr>
      </w:pPr>
    </w:p>
    <w:p w:rsidR="008938D4" w:rsidRPr="00B55A90" w:rsidRDefault="008938D4" w:rsidP="008938D4">
      <w:pPr>
        <w:spacing w:line="360" w:lineRule="auto"/>
        <w:rPr>
          <w:rFonts w:ascii="Book Antiqua" w:hAnsi="Book Antiqua" w:cs="Arial"/>
          <w:sz w:val="24"/>
        </w:rPr>
      </w:pPr>
      <w:bookmarkStart w:id="117" w:name="OLE_LINK489"/>
      <w:bookmarkStart w:id="118" w:name="OLE_LINK490"/>
      <w:r w:rsidRPr="00B55A90">
        <w:rPr>
          <w:rFonts w:ascii="Book Antiqua" w:hAnsi="Book Antiqua"/>
          <w:sz w:val="24"/>
        </w:rPr>
        <w:t>©</w:t>
      </w:r>
      <w:r w:rsidRPr="00B55A90">
        <w:rPr>
          <w:rFonts w:ascii="Book Antiqua" w:hAnsi="Book Antiqua" w:hint="eastAsia"/>
          <w:sz w:val="24"/>
        </w:rPr>
        <w:t xml:space="preserve"> </w:t>
      </w:r>
      <w:r w:rsidRPr="00B55A90">
        <w:rPr>
          <w:rFonts w:ascii="Book Antiqua" w:hAnsi="Book Antiqua" w:cs="Arial"/>
          <w:sz w:val="24"/>
        </w:rPr>
        <w:t>The Author(s) 2015. Published by Baishideng Publishing Group Inc. All rights reserved.</w:t>
      </w:r>
    </w:p>
    <w:bookmarkEnd w:id="117"/>
    <w:bookmarkEnd w:id="118"/>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cs="Times New Roman"/>
          <w:b/>
          <w:color w:val="auto"/>
          <w:sz w:val="24"/>
          <w:szCs w:val="24"/>
          <w:lang w:val="en-US"/>
        </w:rPr>
        <w:t>Core tip:</w:t>
      </w:r>
      <w:r w:rsidRPr="00297C09">
        <w:rPr>
          <w:rFonts w:ascii="Book Antiqua" w:hAnsi="Book Antiqua" w:cs="Times New Roman"/>
          <w:color w:val="auto"/>
          <w:sz w:val="24"/>
          <w:szCs w:val="24"/>
          <w:lang w:val="en-US"/>
        </w:rPr>
        <w:t xml:space="preserve"> </w:t>
      </w:r>
      <w:bookmarkStart w:id="119" w:name="OLE_LINK9"/>
      <w:bookmarkStart w:id="120" w:name="OLE_LINK10"/>
      <w:proofErr w:type="spellStart"/>
      <w:r w:rsidRPr="00297C09">
        <w:rPr>
          <w:rFonts w:ascii="Book Antiqua" w:hAnsi="Book Antiqua" w:cs="Times New Roman"/>
          <w:color w:val="auto"/>
          <w:sz w:val="24"/>
          <w:szCs w:val="24"/>
          <w:lang w:val="en-US"/>
        </w:rPr>
        <w:t>Histopathologic</w:t>
      </w:r>
      <w:proofErr w:type="spellEnd"/>
      <w:r w:rsidRPr="00297C09">
        <w:rPr>
          <w:rFonts w:ascii="Book Antiqua" w:hAnsi="Book Antiqua" w:cs="Times New Roman"/>
          <w:color w:val="auto"/>
          <w:sz w:val="24"/>
          <w:szCs w:val="24"/>
          <w:lang w:val="en-US"/>
        </w:rPr>
        <w:t xml:space="preserve"> analysis is often necessary to confirm the diagnosis of pancreatic tumors and aid in treatment planning. Various techniques, such as imaging-guided percutaneous, endoscopic, and surgical biopsies, can be used to obtain material for the </w:t>
      </w:r>
      <w:proofErr w:type="spellStart"/>
      <w:r w:rsidRPr="00297C09">
        <w:rPr>
          <w:rFonts w:ascii="Book Antiqua" w:hAnsi="Book Antiqua" w:cs="Times New Roman"/>
          <w:color w:val="auto"/>
          <w:sz w:val="24"/>
          <w:szCs w:val="24"/>
          <w:lang w:val="en-US"/>
        </w:rPr>
        <w:t>cytologic</w:t>
      </w:r>
      <w:proofErr w:type="spellEnd"/>
      <w:r w:rsidRPr="00297C09">
        <w:rPr>
          <w:rFonts w:ascii="Book Antiqua" w:hAnsi="Book Antiqua" w:cs="Times New Roman"/>
          <w:color w:val="auto"/>
          <w:sz w:val="24"/>
          <w:szCs w:val="24"/>
          <w:lang w:val="en-US"/>
        </w:rPr>
        <w:t xml:space="preserve"> or histologic analysis. In the present study, </w:t>
      </w:r>
      <w:r w:rsidR="008938D4">
        <w:rPr>
          <w:rFonts w:ascii="Book Antiqua" w:hAnsi="Book Antiqua" w:cs="Times New Roman"/>
          <w:color w:val="auto"/>
          <w:sz w:val="24"/>
          <w:szCs w:val="24"/>
          <w:lang w:val="en-US"/>
        </w:rPr>
        <w:t>computed tomography</w:t>
      </w:r>
      <w:r w:rsidRPr="00297C09">
        <w:rPr>
          <w:rFonts w:ascii="Book Antiqua" w:hAnsi="Book Antiqua" w:cs="Times New Roman"/>
          <w:color w:val="auto"/>
          <w:sz w:val="24"/>
          <w:szCs w:val="24"/>
          <w:lang w:val="en-US"/>
        </w:rPr>
        <w:t>-guided percutaneous core needle biopsies of pancreatic lesions were associated with few complications and 98.1% diagnostic accuracy. The safety and high diagnostic success rate renders this method an excellent minimally invasive option for diagnostic confirmation of solid pancreatic lesions.</w:t>
      </w:r>
    </w:p>
    <w:bookmarkEnd w:id="119"/>
    <w:bookmarkEnd w:id="120"/>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p>
    <w:p w:rsidR="008938D4" w:rsidRPr="00712F63" w:rsidRDefault="00E95D22" w:rsidP="008938D4">
      <w:pPr>
        <w:adjustRightInd w:val="0"/>
        <w:snapToGrid w:val="0"/>
        <w:spacing w:line="360" w:lineRule="auto"/>
        <w:ind w:rightChars="-506" w:right="-1113"/>
        <w:rPr>
          <w:rFonts w:ascii="Book Antiqua" w:hAnsi="Book Antiqua"/>
          <w:sz w:val="24"/>
        </w:rPr>
      </w:pPr>
      <w:bookmarkStart w:id="121" w:name="OLE_LINK11"/>
      <w:proofErr w:type="spellStart"/>
      <w:r w:rsidRPr="00297C09">
        <w:rPr>
          <w:rFonts w:ascii="Book Antiqua" w:hAnsi="Book Antiqua" w:cs="Times New Roman"/>
          <w:color w:val="auto"/>
          <w:sz w:val="24"/>
          <w:szCs w:val="24"/>
          <w:u w:color="231F20"/>
          <w:lang w:val="en-US"/>
        </w:rPr>
        <w:t>Tyng</w:t>
      </w:r>
      <w:proofErr w:type="spellEnd"/>
      <w:r w:rsidRPr="00297C09">
        <w:rPr>
          <w:rFonts w:ascii="Book Antiqua" w:hAnsi="Book Antiqua" w:cs="Times New Roman"/>
          <w:color w:val="auto"/>
          <w:sz w:val="24"/>
          <w:szCs w:val="24"/>
          <w:u w:color="231F20"/>
          <w:lang w:val="en-US"/>
        </w:rPr>
        <w:t xml:space="preserve"> CJ, Almeida MFA, Barbosa PNV, </w:t>
      </w:r>
      <w:proofErr w:type="spellStart"/>
      <w:r w:rsidRPr="00297C09">
        <w:rPr>
          <w:rFonts w:ascii="Book Antiqua" w:hAnsi="Book Antiqua" w:cs="Times New Roman"/>
          <w:color w:val="auto"/>
          <w:sz w:val="24"/>
          <w:szCs w:val="24"/>
          <w:u w:color="231F20"/>
          <w:lang w:val="en-US"/>
        </w:rPr>
        <w:t>Bitencourt</w:t>
      </w:r>
      <w:proofErr w:type="spellEnd"/>
      <w:r w:rsidRPr="00297C09">
        <w:rPr>
          <w:rFonts w:ascii="Book Antiqua" w:hAnsi="Book Antiqua" w:cs="Times New Roman"/>
          <w:color w:val="auto"/>
          <w:sz w:val="24"/>
          <w:szCs w:val="24"/>
          <w:u w:color="231F20"/>
          <w:lang w:val="en-US"/>
        </w:rPr>
        <w:t xml:space="preserve"> AGV, Berg JAAG, </w:t>
      </w:r>
      <w:proofErr w:type="spellStart"/>
      <w:r w:rsidRPr="00297C09">
        <w:rPr>
          <w:rFonts w:ascii="Book Antiqua" w:hAnsi="Book Antiqua" w:cs="Times New Roman"/>
          <w:color w:val="auto"/>
          <w:sz w:val="24"/>
          <w:szCs w:val="24"/>
          <w:u w:color="231F20"/>
          <w:lang w:val="en-US"/>
        </w:rPr>
        <w:t>Maciel</w:t>
      </w:r>
      <w:proofErr w:type="spellEnd"/>
      <w:r w:rsidRPr="00297C09">
        <w:rPr>
          <w:rFonts w:ascii="Book Antiqua" w:hAnsi="Book Antiqua" w:cs="Times New Roman"/>
          <w:color w:val="auto"/>
          <w:sz w:val="24"/>
          <w:szCs w:val="24"/>
          <w:u w:color="231F20"/>
          <w:lang w:val="en-US"/>
        </w:rPr>
        <w:t xml:space="preserve"> MS, Coimbra FJF, </w:t>
      </w:r>
      <w:proofErr w:type="spellStart"/>
      <w:r w:rsidRPr="00297C09">
        <w:rPr>
          <w:rFonts w:ascii="Book Antiqua" w:hAnsi="Book Antiqua" w:cs="Times New Roman"/>
          <w:color w:val="auto"/>
          <w:sz w:val="24"/>
          <w:szCs w:val="24"/>
          <w:u w:color="231F20"/>
          <w:lang w:val="en-US"/>
        </w:rPr>
        <w:t>Schiavon</w:t>
      </w:r>
      <w:proofErr w:type="spellEnd"/>
      <w:r w:rsidRPr="00297C09">
        <w:rPr>
          <w:rFonts w:ascii="Book Antiqua" w:hAnsi="Book Antiqua" w:cs="Times New Roman"/>
          <w:color w:val="auto"/>
          <w:sz w:val="24"/>
          <w:szCs w:val="24"/>
          <w:u w:color="231F20"/>
          <w:lang w:val="en-US"/>
        </w:rPr>
        <w:t xml:space="preserve"> LHO, </w:t>
      </w:r>
      <w:proofErr w:type="spellStart"/>
      <w:r w:rsidRPr="00297C09">
        <w:rPr>
          <w:rFonts w:ascii="Book Antiqua" w:hAnsi="Book Antiqua" w:cs="Times New Roman"/>
          <w:color w:val="auto"/>
          <w:sz w:val="24"/>
          <w:szCs w:val="24"/>
          <w:u w:color="231F20"/>
          <w:lang w:val="en-US"/>
        </w:rPr>
        <w:t>Begnami</w:t>
      </w:r>
      <w:proofErr w:type="spellEnd"/>
      <w:r w:rsidRPr="00297C09">
        <w:rPr>
          <w:rFonts w:ascii="Book Antiqua" w:hAnsi="Book Antiqua" w:cs="Times New Roman"/>
          <w:color w:val="auto"/>
          <w:sz w:val="24"/>
          <w:szCs w:val="24"/>
          <w:u w:color="231F20"/>
          <w:lang w:val="en-US"/>
        </w:rPr>
        <w:t xml:space="preserve"> MD, </w:t>
      </w:r>
      <w:proofErr w:type="spellStart"/>
      <w:r w:rsidRPr="00297C09">
        <w:rPr>
          <w:rFonts w:ascii="Book Antiqua" w:hAnsi="Book Antiqua" w:cs="Times New Roman"/>
          <w:color w:val="auto"/>
          <w:sz w:val="24"/>
          <w:szCs w:val="24"/>
          <w:u w:color="231F20"/>
          <w:lang w:val="en-US"/>
        </w:rPr>
        <w:t>Guimarães</w:t>
      </w:r>
      <w:proofErr w:type="spellEnd"/>
      <w:r w:rsidRPr="00297C09">
        <w:rPr>
          <w:rFonts w:ascii="Book Antiqua" w:hAnsi="Book Antiqua" w:cs="Times New Roman"/>
          <w:color w:val="auto"/>
          <w:sz w:val="24"/>
          <w:szCs w:val="24"/>
          <w:u w:color="231F20"/>
          <w:lang w:val="en-US"/>
        </w:rPr>
        <w:t xml:space="preserve"> MD, </w:t>
      </w:r>
      <w:proofErr w:type="spellStart"/>
      <w:r w:rsidRPr="00297C09">
        <w:rPr>
          <w:rFonts w:ascii="Book Antiqua" w:hAnsi="Book Antiqua" w:cs="Times New Roman"/>
          <w:color w:val="auto"/>
          <w:sz w:val="24"/>
          <w:szCs w:val="24"/>
          <w:u w:color="231F20"/>
          <w:lang w:val="en-US"/>
        </w:rPr>
        <w:t>Zurstrassen</w:t>
      </w:r>
      <w:proofErr w:type="spellEnd"/>
      <w:r w:rsidRPr="00297C09">
        <w:rPr>
          <w:rFonts w:ascii="Book Antiqua" w:hAnsi="Book Antiqua" w:cs="Times New Roman"/>
          <w:color w:val="auto"/>
          <w:sz w:val="24"/>
          <w:szCs w:val="24"/>
          <w:u w:color="231F20"/>
          <w:lang w:val="en-US"/>
        </w:rPr>
        <w:t xml:space="preserve"> CE, </w:t>
      </w:r>
      <w:proofErr w:type="spellStart"/>
      <w:r w:rsidRPr="00297C09">
        <w:rPr>
          <w:rFonts w:ascii="Book Antiqua" w:hAnsi="Book Antiqua" w:cs="Times New Roman"/>
          <w:color w:val="auto"/>
          <w:sz w:val="24"/>
          <w:szCs w:val="24"/>
          <w:u w:color="231F20"/>
          <w:lang w:val="en-US"/>
        </w:rPr>
        <w:t>Chojniak</w:t>
      </w:r>
      <w:proofErr w:type="spellEnd"/>
      <w:r w:rsidRPr="00297C09">
        <w:rPr>
          <w:rFonts w:ascii="Book Antiqua" w:hAnsi="Book Antiqua" w:cs="Times New Roman"/>
          <w:color w:val="auto"/>
          <w:sz w:val="24"/>
          <w:szCs w:val="24"/>
          <w:u w:color="231F20"/>
          <w:lang w:val="en-US"/>
        </w:rPr>
        <w:t xml:space="preserve"> R. </w:t>
      </w:r>
      <w:r w:rsidRPr="00297C09">
        <w:rPr>
          <w:rFonts w:ascii="Book Antiqua" w:hAnsi="Book Antiqua" w:cs="Times New Roman"/>
          <w:color w:val="auto"/>
          <w:sz w:val="24"/>
          <w:szCs w:val="24"/>
          <w:lang w:val="en-US"/>
        </w:rPr>
        <w:t xml:space="preserve">Computed tomography-guided percutaneous core needle biopsy in pancreatic tumor diagnosis. </w:t>
      </w:r>
      <w:bookmarkStart w:id="122" w:name="OLE_LINK424"/>
      <w:bookmarkStart w:id="123" w:name="OLE_LINK425"/>
      <w:r w:rsidR="008938D4" w:rsidRPr="00712F63">
        <w:rPr>
          <w:rFonts w:ascii="Book Antiqua" w:hAnsi="Book Antiqua"/>
          <w:i/>
          <w:sz w:val="24"/>
        </w:rPr>
        <w:t>World J Gastroenterol</w:t>
      </w:r>
      <w:r w:rsidR="008938D4" w:rsidRPr="00712F63">
        <w:rPr>
          <w:rFonts w:ascii="Book Antiqua" w:hAnsi="Book Antiqua"/>
          <w:sz w:val="24"/>
        </w:rPr>
        <w:t xml:space="preserve"> 201</w:t>
      </w:r>
      <w:r w:rsidR="008938D4">
        <w:rPr>
          <w:rFonts w:ascii="Book Antiqua" w:hAnsi="Book Antiqua" w:hint="eastAsia"/>
          <w:sz w:val="24"/>
        </w:rPr>
        <w:t>5</w:t>
      </w:r>
      <w:r w:rsidR="008938D4" w:rsidRPr="00712F63">
        <w:rPr>
          <w:rFonts w:ascii="Book Antiqua" w:hAnsi="Book Antiqua"/>
          <w:sz w:val="24"/>
        </w:rPr>
        <w:t xml:space="preserve">; </w:t>
      </w:r>
      <w:bookmarkStart w:id="124" w:name="OLE_LINK1689"/>
      <w:bookmarkStart w:id="125" w:name="OLE_LINK1298"/>
      <w:bookmarkStart w:id="126" w:name="OLE_LINK1297"/>
      <w:r w:rsidR="008938D4" w:rsidRPr="00712F63">
        <w:rPr>
          <w:rFonts w:ascii="Book Antiqua" w:hAnsi="Book Antiqua"/>
          <w:sz w:val="24"/>
        </w:rPr>
        <w:t>In press</w:t>
      </w:r>
      <w:bookmarkEnd w:id="124"/>
      <w:bookmarkEnd w:id="125"/>
      <w:bookmarkEnd w:id="126"/>
    </w:p>
    <w:bookmarkEnd w:id="121"/>
    <w:bookmarkEnd w:id="122"/>
    <w:bookmarkEnd w:id="123"/>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p>
    <w:p w:rsidR="00E95D22" w:rsidRPr="00297C09" w:rsidRDefault="00E95D22" w:rsidP="00E95D22">
      <w:pPr>
        <w:snapToGrid w:val="0"/>
        <w:spacing w:after="0" w:line="360" w:lineRule="auto"/>
        <w:contextualSpacing/>
        <w:jc w:val="both"/>
        <w:rPr>
          <w:rFonts w:ascii="Book Antiqua" w:eastAsia="Arial Bold" w:hAnsi="Book Antiqua" w:cs="Times New Roman"/>
          <w:b/>
          <w:color w:val="auto"/>
          <w:sz w:val="24"/>
          <w:szCs w:val="24"/>
          <w:lang w:val="en-US"/>
        </w:rPr>
      </w:pPr>
      <w:r w:rsidRPr="00297C09">
        <w:rPr>
          <w:rFonts w:ascii="Book Antiqua" w:hAnsi="Book Antiqua" w:cs="Times New Roman"/>
          <w:b/>
          <w:color w:val="auto"/>
          <w:sz w:val="24"/>
          <w:szCs w:val="24"/>
          <w:lang w:val="en-US"/>
        </w:rPr>
        <w:br w:type="page"/>
      </w:r>
      <w:r w:rsidRPr="00297C09">
        <w:rPr>
          <w:rFonts w:ascii="Book Antiqua" w:hAnsi="Book Antiqua" w:cs="Times New Roman"/>
          <w:b/>
          <w:color w:val="auto"/>
          <w:sz w:val="24"/>
          <w:szCs w:val="24"/>
          <w:lang w:val="en-US"/>
        </w:rPr>
        <w:lastRenderedPageBreak/>
        <w:t>INTRODUCTION</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r w:rsidRPr="00297C09">
        <w:rPr>
          <w:rFonts w:ascii="Book Antiqua" w:eastAsia="Arial Bold" w:hAnsi="Book Antiqua" w:cs="Times New Roman"/>
          <w:color w:val="auto"/>
          <w:sz w:val="24"/>
          <w:szCs w:val="24"/>
          <w:lang w:val="en-US"/>
        </w:rPr>
        <w:t xml:space="preserve">Pancreatic cancer is the fourth leading cause of cancer deaths worldwide. The most common </w:t>
      </w:r>
      <w:r w:rsidRPr="00297C09">
        <w:rPr>
          <w:rFonts w:ascii="Book Antiqua" w:hAnsi="Book Antiqua" w:cs="Times New Roman"/>
          <w:color w:val="auto"/>
          <w:sz w:val="24"/>
          <w:szCs w:val="24"/>
          <w:lang w:val="en-US"/>
        </w:rPr>
        <w:t xml:space="preserve">histologic type is adenocarcinoma, which is extremely aggressive and typically presents as </w:t>
      </w:r>
      <w:proofErr w:type="spellStart"/>
      <w:r w:rsidRPr="00297C09">
        <w:rPr>
          <w:rFonts w:ascii="Book Antiqua" w:hAnsi="Book Antiqua" w:cs="Times New Roman"/>
          <w:color w:val="auto"/>
          <w:sz w:val="24"/>
          <w:szCs w:val="24"/>
          <w:lang w:val="en-US"/>
        </w:rPr>
        <w:t>unresectable</w:t>
      </w:r>
      <w:proofErr w:type="spellEnd"/>
      <w:r w:rsidRPr="00297C09">
        <w:rPr>
          <w:rFonts w:ascii="Book Antiqua" w:hAnsi="Book Antiqua" w:cs="Times New Roman"/>
          <w:color w:val="auto"/>
          <w:sz w:val="24"/>
          <w:szCs w:val="24"/>
          <w:lang w:val="en-US"/>
        </w:rPr>
        <w:t xml:space="preserve"> disease at the time of diagnosis, with an average survival time of six months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"10.1097/CAD.0b013e3282fc9d11", "ISSN" : "0959-4973", "PMID" : "18418211", "abstract" : "Complete surgical resection is the only potentially curative option for pancreatic cancer. However, most patients have advanced/metastatic disease at the time of diagnosis, or will relapse after surgery. Systemic chemotherapy is only palliative. Gemcitabine-based therapy is an acceptable standard for unresectable locally advanced/metastatic pancreatic cancer, but average median survival is only 6 months. The addition of other chemotherapies (including other antimetabolites, platinum, and topoisomerase I inhibitors) or targeted therapies (farnesyl transferase inhibitors, metalloproteinase inhibitors, cetuximab and bevacizumab) to gemcitabine has failed to improve outcome. The combination of gemcitabine and erlotinib, a small-molecule tyrosine kinase inhibitor of the human epidermal growth factor receptor, was recently approved by the US/European authorities for use in advanced disease. In a phase III trial, the combination demonstrated a significant improvement in overall survival compared with gemcitabine monotherapy. Positive efficacy results have also been observed in a phase III trial, favoring the addition of capecitabine to gemcitabine compared with gemcitabine alone. This review focuses on the recent developments in systemic treatment, and discusses how novel agents might be incorporated into future treatment strategies for pancreatic cancer.", "author" : [ { "dropping-particle" : "", "family" : "Rocha-Lima", "given" : "Caio M", "non-dropping-particle" : "", "parse-names" : false, "suffix" : "" } ], "container-title" : "Anti-cancer drugs", "id" : "ITEM-1", "issue" : "5", "issued" : { "date-parts" : [ [ "2008", "6" ] ] }, "page" : "435-46", "title" : "New directions in the management of advanced pancreatic cancer: a review.", "type" : "article-journal", "volume" : "19" }, "uris" : [ "http://www.mendeley.com/documents/?uuid=54bc410d-869d-424d-8a10-1ccdb3fdfb08" ] }, { "id" : "ITEM-2", "itemData" : { "DOI" : "10.1016/j.crad.2006.07.005", "ISSN" : "0009-9260", "PMID" : "17097419", "abstract" : "AIMS: To determine the sensitivity and complications of percutaneous biopsy of pancreatic masses, and whether typical computed tomography (CT) features of adenocarcinoma can reliably predict this diagnosis. MATERIALS AND METHODS: A 5 year retrospective analysis of percutaneous core biopsies of pancreatic masses and their CT features was undertaken. Data were retrieved from surgical/pathology databases; medical records and CT reports and images. RESULTS: Three hundred and three patients underwent 372 biopsies; 56 of 87 patients had repeat biopsies. Malignancy was diagnosed in 276 patients, with ductal adenocarcinoma in 259 (85%). Final sensitivity of percutaneous biopsy for diagnosing pancreatic neoplasms was 90%; for repeat biopsy it was 87%. Complications occurred in 17 (4.6%) patients, in three of whom the complications were major (1%): one abscess, one duodenal perforation, one large retroperitoneal bleed. CT features typical of ductal adenocarcinoma were: hypovascular pancreatic mass with bile and/or pancreatic duct dilatation. Atypical CT features were: isodense or hypervascular mass, calcification, non-dilated ducts, cystic change, and extensive lymphadenopathy. Defining typical CT features of adenocarcinoma as true-positives, CT had a sensitivity of 68%, specificity of 95%, positive predictive value (PPV) of 98%, and negative predictive value of 41% for diagnosing pancreatic adenocarcinoma. CONCLUSION: Final sensitivity of percutaneous biopsy for establishing the diagnosis was 90%. CT features typical of pancreatic adenocarcinoma had high specificity and PPV. On some occasions, especially in frail patients with co-morbidity, it might be reasonable to assume a diagnosis of pancreatic cancer if CT features are typical, and biopsy only if CT shows atypical features.", "author" : [ { "dropping-particle" : "", "family" : "Amin", "given" : "Z", "non-dropping-particle" : "", "parse-names" : false, "suffix" : "" }, { "dropping-particle" : "", "family" : "Theis", "given" : "B", "non-dropping-particle" : "", "parse-names" : false, "suffix" : "" }, { "dropping-particle" : "", "family" : "Russell", "given" : "R C G", "non-dropping-particle" : "", "parse-names" : false, "suffix" : "" }, { "dropping-particle" : "", "family" : "House", "given" : "C", "non-dropping-particle" : "", "parse-names" : false, "suffix" : "" }, { "dropping-particle" : "", "family" : "Novelli", "given" : "M", "non-dropping-particle" : "", "parse-names" : false, "suffix" : "" }, { "dropping-particle" : "", "family" : "Lees", "given" : "W R", "non-dropping-particle" : "", "parse-names" : false, "suffix" : "" } ], "container-title" : "Clinical radiology", "id" : "ITEM-2", "issue" : "12", "issued" : { "date-parts" : [ [ "2006", "12" ] ] }, "page" : "996-1002", "title" : "Diagnosing pancreatic cancer: the role of percutaneous biopsy and CT.", "type" : "article-journal", "volume" : "61" }, "uris" : [ "http://www.mendeley.com/documents/?uuid=8d53d854-b735-42bb-a455-ce9542426217" ] } ], "mendeley" : { "previouslyFormattedCitation" : "&lt;sup&gt;[1,2]&lt;/sup&gt;"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[1,2]</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For this reason, solid pancreatic masses should be actively investigated to exclude or confirm a diagnosis of pancreatic cancer.</w:t>
      </w:r>
      <w:r w:rsidRPr="00297C09" w:rsidDel="00795F46">
        <w:rPr>
          <w:rFonts w:ascii="Book Antiqua" w:hAnsi="Book Antiqua" w:cs="Times New Roman"/>
          <w:color w:val="auto"/>
          <w:sz w:val="24"/>
          <w:szCs w:val="24"/>
          <w:lang w:val="en-US"/>
        </w:rPr>
        <w:t xml:space="preserve"> </w:t>
      </w:r>
      <w:r w:rsidRPr="00297C09">
        <w:rPr>
          <w:rFonts w:ascii="Book Antiqua" w:hAnsi="Book Antiqua" w:cs="Times New Roman"/>
          <w:color w:val="auto"/>
          <w:sz w:val="24"/>
          <w:szCs w:val="24"/>
          <w:lang w:val="en-US"/>
        </w:rPr>
        <w:t>The increasing availability of advanced imaging examinations facilitates the diagnosis and staging of pancreatic masses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"10.1016/j.crad.2006.07.005", "ISSN" : "0009-9260", "PMID" : "17097419", "abstract" : "AIMS: To determine the sensitivity and complications of percutaneous biopsy of pancreatic masses, and whether typical computed tomography (CT) features of adenocarcinoma can reliably predict this diagnosis. MATERIALS AND METHODS: A 5 year retrospective analysis of percutaneous core biopsies of pancreatic masses and their CT features was undertaken. Data were retrieved from surgical/pathology databases; medical records and CT reports and images. RESULTS: Three hundred and three patients underwent 372 biopsies; 56 of 87 patients had repeat biopsies. Malignancy was diagnosed in 276 patients, with ductal adenocarcinoma in 259 (85%). Final sensitivity of percutaneous biopsy for diagnosing pancreatic neoplasms was 90%; for repeat biopsy it was 87%. Complications occurred in 17 (4.6%) patients, in three of whom the complications were major (1%): one abscess, one duodenal perforation, one large retroperitoneal bleed. CT features typical of ductal adenocarcinoma were: hypovascular pancreatic mass with bile and/or pancreatic duct dilatation. Atypical CT features were: isodense or hypervascular mass, calcification, non-dilated ducts, cystic change, and extensive lymphadenopathy. Defining typical CT features of adenocarcinoma as true-positives, CT had a sensitivity of 68%, specificity of 95%, positive predictive value (PPV) of 98%, and negative predictive value of 41% for diagnosing pancreatic adenocarcinoma. CONCLUSION: Final sensitivity of percutaneous biopsy for establishing the diagnosis was 90%. CT features typical of pancreatic adenocarcinoma had high specificity and PPV. On some occasions, especially in frail patients with co-morbidity, it might be reasonable to assume a diagnosis of pancreatic cancer if CT features are typical, and biopsy only if CT shows atypical features.", "author" : [ { "dropping-particle" : "", "family" : "Amin", "given" : "Z", "non-dropping-particle" : "", "parse-names" : false, "suffix" : "" }, { "dropping-particle" : "", "family" : "Theis", "given" : "B", "non-dropping-particle" : "", "parse-names" : false, "suffix" : "" }, { "dropping-particle" : "", "family" : "Russell", "given" : "R C G", "non-dropping-particle" : "", "parse-names" : false, "suffix" : "" }, { "dropping-particle" : "", "family" : "House", "given" : "C", "non-dropping-particle" : "", "parse-names" : false, "suffix" : "" }, { "dropping-particle" : "", "family" : "Novelli", "given" : "M", "non-dropping-particle" : "", "parse-names" : false, "suffix" : "" }, { "dropping-particle" : "", "family" : "Lees", "given" : "W R", "non-dropping-particle" : "", "parse-names" : false, "suffix" : "" } ], "container-title" : "Clinical radiology", "id" : "ITEM-1", "issue" : "12", "issued" : { "date-parts" : [ [ "2006", "12" ] ] }, "page" : "996-1002", "title" : "Diagnosing pancreatic cancer: the role of percutaneous biopsy and CT.", "type" : "article-journal", "volume" : "61" }, "uris" : [ "http://www.mendeley.com/documents/?uuid=8d53d854-b735-42bb-a455-ce9542426217" ] } ], "mendeley" : { "previouslyFormattedCitation" : "&lt;sup&gt;[2]&lt;/sup&gt;"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[2]</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However, such methods do not always allow for a precise diagnosis, and </w:t>
      </w:r>
      <w:proofErr w:type="spellStart"/>
      <w:r w:rsidRPr="00297C09">
        <w:rPr>
          <w:rFonts w:ascii="Book Antiqua" w:hAnsi="Book Antiqua" w:cs="Times New Roman"/>
          <w:color w:val="auto"/>
          <w:sz w:val="24"/>
          <w:szCs w:val="24"/>
          <w:lang w:val="en-US"/>
        </w:rPr>
        <w:t>noncharacteristic</w:t>
      </w:r>
      <w:proofErr w:type="spellEnd"/>
      <w:r w:rsidRPr="00297C09">
        <w:rPr>
          <w:rFonts w:ascii="Book Antiqua" w:hAnsi="Book Antiqua" w:cs="Times New Roman"/>
          <w:color w:val="auto"/>
          <w:sz w:val="24"/>
          <w:szCs w:val="24"/>
          <w:lang w:val="en-US"/>
        </w:rPr>
        <w:t xml:space="preserve"> findings can make it difficult to differentiate adenocarcinoma from other causes of focal pancreatic lesions or benign inflammatory conditions. In such cases, </w:t>
      </w:r>
      <w:proofErr w:type="spellStart"/>
      <w:r w:rsidRPr="00297C09">
        <w:rPr>
          <w:rFonts w:ascii="Book Antiqua" w:hAnsi="Book Antiqua" w:cs="Times New Roman"/>
          <w:color w:val="auto"/>
          <w:sz w:val="24"/>
          <w:szCs w:val="24"/>
          <w:lang w:val="en-US"/>
        </w:rPr>
        <w:t>histopathologic</w:t>
      </w:r>
      <w:proofErr w:type="spellEnd"/>
      <w:r w:rsidRPr="00297C09">
        <w:rPr>
          <w:rFonts w:ascii="Book Antiqua" w:hAnsi="Book Antiqua" w:cs="Times New Roman"/>
          <w:color w:val="auto"/>
          <w:sz w:val="24"/>
          <w:szCs w:val="24"/>
          <w:lang w:val="en-US"/>
        </w:rPr>
        <w:t xml:space="preserve"> analysis can confirm the diagnosis and aid treatment planning. Moreover, diagnosis of adenocarcinoma based on imaging results often still requires preoperative histologic confirmation, as a definitive diagnosis for local </w:t>
      </w:r>
      <w:proofErr w:type="spellStart"/>
      <w:r w:rsidRPr="00297C09">
        <w:rPr>
          <w:rFonts w:ascii="Book Antiqua" w:hAnsi="Book Antiqua" w:cs="Times New Roman"/>
          <w:color w:val="auto"/>
          <w:sz w:val="24"/>
          <w:szCs w:val="24"/>
          <w:lang w:val="en-US"/>
        </w:rPr>
        <w:t>unresectable</w:t>
      </w:r>
      <w:proofErr w:type="spellEnd"/>
      <w:r w:rsidRPr="00297C09">
        <w:rPr>
          <w:rFonts w:ascii="Book Antiqua" w:hAnsi="Book Antiqua" w:cs="Times New Roman"/>
          <w:color w:val="auto"/>
          <w:sz w:val="24"/>
          <w:szCs w:val="24"/>
          <w:lang w:val="en-US"/>
        </w:rPr>
        <w:t xml:space="preserve"> or metastatic tumors is essential for the planning of palliative therapy. Other indications for biopsy include locally advanced pancreatic neoplasia (borderline tumor) requiring </w:t>
      </w:r>
      <w:proofErr w:type="spellStart"/>
      <w:r w:rsidRPr="00297C09">
        <w:rPr>
          <w:rFonts w:ascii="Book Antiqua" w:hAnsi="Book Antiqua" w:cs="Times New Roman"/>
          <w:color w:val="auto"/>
          <w:sz w:val="24"/>
          <w:szCs w:val="24"/>
          <w:lang w:val="en-US"/>
        </w:rPr>
        <w:t>neoadjuvant</w:t>
      </w:r>
      <w:proofErr w:type="spellEnd"/>
      <w:r w:rsidRPr="00297C09">
        <w:rPr>
          <w:rFonts w:ascii="Book Antiqua" w:hAnsi="Book Antiqua" w:cs="Times New Roman"/>
          <w:color w:val="auto"/>
          <w:sz w:val="24"/>
          <w:szCs w:val="24"/>
          <w:lang w:val="en-US"/>
        </w:rPr>
        <w:t xml:space="preserve"> therapy, areas suspected of containing lesions for which treatment is primarily nonsurgical (</w:t>
      </w:r>
      <w:r w:rsidRPr="00297C09">
        <w:rPr>
          <w:rFonts w:ascii="Book Antiqua" w:hAnsi="Book Antiqua" w:cs="Times New Roman"/>
          <w:i/>
          <w:color w:val="auto"/>
          <w:sz w:val="24"/>
          <w:szCs w:val="24"/>
          <w:lang w:val="en-US"/>
        </w:rPr>
        <w:t>e.g.</w:t>
      </w:r>
      <w:r w:rsidRPr="00297C09">
        <w:rPr>
          <w:rFonts w:ascii="Book Antiqua" w:hAnsi="Book Antiqua" w:cs="Times New Roman"/>
          <w:color w:val="auto"/>
          <w:sz w:val="24"/>
          <w:szCs w:val="24"/>
          <w:lang w:val="en-US"/>
        </w:rPr>
        <w:t>, focal pancreatitis, tuberculosis, lymphoma, metastases), and patients with high surgical risk</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"10.1080/13651820410030862", "ISSN" : "1365-182X", "PMID" : "18333068", "abstract" : "BACKGROUND: Cyto-histological diagnosis of pancreatic pathology in the management of suspected pancreatic malignancy is re-evaluated in the light of evolving trends in management and tissue sampling. METHODS: The literature on cyto-histological diagnosis of pancreatic pathology was reviewed over the period 1977-2003. RESULTS AND CONCLUSION: Endoluminal techniques of tissue sampling carry less risk of tumour seeding and are the sampling methods of choice for potentially resectable lesions if a tissue diagnosis will alter therapy. Endosonar-guided biopsy in expert hands appears to be the most reliable tissue sampling technique. Transcoelomic sampling methods should be reserved for those with un-resectable disease. All methods of cyto-histological diagnosis have high specificity but have a low negative predictive value. Therefore, potentially resectable lesions that are highly suspicious for malignancy should be explored even if pre-operative histology or cytology is negative.", "author" : [ { "dropping-particle" : "", "family" : "Clarke", "given" : "D L", "non-dropping-particle" : "", "parse-names" : false, "suffix" : "" }, { "dropping-particle" : "", "family" : "Clarke", "given" : "B A", "non-dropping-particle" : "", "parse-names" : false, "suffix" : "" }, { "dropping-particle" : "", "family" : "Thomson", "given" : "S R", "non-dropping-particle" : "", "parse-names" : false, "suffix" : "" }, { "dropping-particle" : "", "family" : "Garden", "given" : "O J", "non-dropping-particle" : "", "parse-names" : false, "suffix" : "" }, { "dropping-particle" : "", "family" : "Lazarus", "given" : "N G", "non-dropping-particle" : "", "parse-names" : false, "suffix" : "" } ], "container-title" : "HPB : the official journal of the International Hepato Pancreato Biliary Association", "id" : "ITEM-1", "issue" : "3", "issued" : { "date-parts" : [ [ "2004", "1" ] ] }, "page" : "144-53", "title" : "The role of preoperative biopsy in pancreatic cancer.", "type" : "article-journal", "volume" : "6" }, "uris" : [ "http://www.mendeley.com/documents/?uuid=2450c5b0-6351-44b5-874a-09aa3c03c8ea" ] } ], "mendeley" : { "previouslyFormattedCitation" : "&lt;sup&gt;[3]&lt;/sup&gt;"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[3]</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 xml:space="preserve">Various techniques, such as imaging-guided percutaneous, endoscopic, and surgical biopsies, can be used to obtain material for the </w:t>
      </w:r>
      <w:proofErr w:type="spellStart"/>
      <w:r w:rsidRPr="00297C09">
        <w:rPr>
          <w:rFonts w:ascii="Book Antiqua" w:hAnsi="Book Antiqua" w:cs="Times New Roman"/>
          <w:color w:val="auto"/>
          <w:sz w:val="24"/>
          <w:szCs w:val="24"/>
          <w:lang w:val="en-US"/>
        </w:rPr>
        <w:t>cytologic</w:t>
      </w:r>
      <w:proofErr w:type="spellEnd"/>
      <w:r w:rsidRPr="00297C09">
        <w:rPr>
          <w:rFonts w:ascii="Book Antiqua" w:hAnsi="Book Antiqua" w:cs="Times New Roman"/>
          <w:color w:val="auto"/>
          <w:sz w:val="24"/>
          <w:szCs w:val="24"/>
          <w:lang w:val="en-US"/>
        </w:rPr>
        <w:t xml:space="preserve"> or histologic analysis of these lesions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"10.1007/s11605-007-0114-2", "ISSN" : "1091-255X", "PMID" : "17562121", "abstract" : "Pancreatic cancer is the 4th leading cause of cancer death annually. Recent technological advances in imaging have led to non-uniformity in the evaluation of pancreatic neoplasms. The following article describes the history behind various biopsy techniques and the rationale for obtaining a biopsy of a pancreatic neoplasm and discusses the benefits and disadvantages of the various pancreatic biopsy techniques, including fine needle aspiration biopsy, Tru-cut needle biopsy, endoscopic brushings/cytology, and endoscopic ultrasound guided biopsies. A treatment algorithm for pancreatic neoplasms is then presented.", "author" : [ { "dropping-particle" : "", "family" : "Goldin", "given" : "Steven B", "non-dropping-particle" : "", "parse-names" : false, "suffix" : "" }, { "dropping-particle" : "", "family" : "Bradner", "given" : "Michael W", "non-dropping-particle" : "", "parse-names" : false, "suffix" : "" }, { "dropping-particle" : "", "family" : "Zervos", "given" : "Emmanuel E", "non-dropping-particle" : "", "parse-names" : false, "suffix" : "" }, { "dropping-particle" : "", "family" : "Rosemurgy", "given" : "Alexander S", "non-dropping-particle" : "", "parse-names" : false, "suffix" : "" } ], "container-title" : "Journal of gastrointestinal surgery : official journal of the Society for Surgery of the Alimentary Tract", "id" : "ITEM-1", "issue" : "6", "issued" : { "date-parts" : [ [ "2007", "6" ] ] }, "page" : "783-90", "title" : "Assessment of pancreatic neoplasms: review of biopsy techniques.", "type" : "article-journal", "volume" : "11" }, "uris" : [ "http://www.mendeley.com/documents/?uuid=5015a8ff-07c5-456b-a163-f51055911791" ] } ], "mendeley" : { "previouslyFormattedCitation" : "&lt;sup&gt;[4]&lt;/sup&gt;"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[4]</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Surgical biopsies conducted under direct </w:t>
      </w:r>
      <w:proofErr w:type="spellStart"/>
      <w:r w:rsidRPr="00297C09">
        <w:rPr>
          <w:rFonts w:ascii="Book Antiqua" w:hAnsi="Book Antiqua" w:cs="Times New Roman"/>
          <w:color w:val="auto"/>
          <w:sz w:val="24"/>
          <w:szCs w:val="24"/>
          <w:lang w:val="en-US"/>
        </w:rPr>
        <w:t>laparotomic</w:t>
      </w:r>
      <w:proofErr w:type="spellEnd"/>
      <w:r w:rsidRPr="00297C09">
        <w:rPr>
          <w:rFonts w:ascii="Book Antiqua" w:hAnsi="Book Antiqua" w:cs="Times New Roman"/>
          <w:color w:val="auto"/>
          <w:sz w:val="24"/>
          <w:szCs w:val="24"/>
          <w:lang w:val="en-US"/>
        </w:rPr>
        <w:t xml:space="preserve"> or laparoscopic visualization are associated with greater morbidity, mortality, cost, and inpatient time, than are minimally invasive methods. Fine-needle aspiration (FNA) and percutaneous core-needle biopsy guided by endoscopy, ultrasound, or computed tomography (CT), are useful methods for obtaining tissue samples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"10.1007/s11605-007-0114-2", "ISSN" : "1091-255X", "PMID" : "17562121", "abstract" : "Pancreatic cancer is the 4th leading cause of cancer death annually. Recent technological advances in imaging have led to non-uniformity in the evaluation of pancreatic neoplasms. The following article describes the history behind various biopsy techniques and the rationale for obtaining a biopsy of a pancreatic neoplasm and discusses the benefits and disadvantages of the various pancreatic biopsy techniques, including fine needle aspiration biopsy, Tru-cut needle biopsy, endoscopic brushings/cytology, and endoscopic ultrasound guided biopsies. A treatment algorithm for pancreatic neoplasms is then presented.", "author" : [ { "dropping-particle" : "", "family" : "Goldin", "given" : "Steven B", "non-dropping-particle" : "", "parse-names" : false, "suffix" : "" }, { "dropping-particle" : "", "family" : "Bradner", "given" : "Michael W", "non-dropping-particle" : "", "parse-names" : false, "suffix" : "" }, { "dropping-particle" : "", "family" : "Zervos", "given" : "Emmanuel E", "non-dropping-particle" : "", "parse-names" : false, "suffix" : "" }, { "dropping-particle" : "", "family" : "Rosemurgy", "given" : "Alexander S", "non-dropping-particle" : "", "parse-names" : false, "suffix" : "" } ], "container-title" : "Journal of gastrointestinal surgery : official journal of the Society for Surgery of the Alimentary Tract", "id" : "ITEM-1", "issue" : "6", "issued" : { "date-parts" : [ [ "2007", "6" ] ] }, "page" : "783-90", "title" : "Assessment of pancreatic neoplasms: review of biopsy techniques.", "type" : "article-journal", "volume" : "11" }, "uris" : [ "http://www.mendeley.com/documents/?uuid=5015a8ff-07c5-456b-a163-f51055911791" ] }, { "id" : "ITEM-2", "itemData" : { "DOI" : "10.2214/AJR.05.0366", "ISSN" : "1546-3141", "PMID" : "16928943", "abstract" : "OBJECTIVE: The purpose of this study was to determine the sensitivity and accuracy of imaging-guided core biopsy in the diagnosis of pancreatic masses. CONCLUSION: Imaging-guided core biopsy is sensitive, safe, and accurate in the diagnosis of malignant lesions of the pancreas. Benign biopsy findings cannot be used to exclude the presence of a neoplasm, and repetition of a biopsy should be considered if there is high clinical suspicion of malignancy.", "author" : [ { "dropping-particle" : "", "family" : "Paulsen", "given" : "Sean D", "non-dropping-particle" : "", "parse-names" : false, "suffix" : "" }, { "dropping-particle" : "V", "family" : "Nghiem", "given" : "Hanh", "non-dropping-particle" : "", "parse-names" : false, "suffix" : "" }, { "dropping-particle" : "", "family" : "Negussie", "given" : "Edsa", "non-dropping-particle" : "", "parse-names" : false, "suffix" : "" }, { "dropping-particle" : "", "family" : "Higgins", "given" : "Ellen J", "non-dropping-particle" : "", "parse-names" : false, "suffix" : "" }, { "dropping-particle" : "", "family" : "Caoili", "given" : "Elaine M", "non-dropping-particle" : "", "parse-names" : false, "suffix" : "" }, { "dropping-particle" : "", "family" : "Francis", "given" : "Isaac R", "non-dropping-particle" : "", "parse-names" : false, "suffix" : "" } ], "container-title" : "AJR. American journal of roentgenology", "id" : "ITEM-2", "issue" : "3", "issued" : { "date-parts" : [ [ "2006", "9" ] ] }, "page" : "769-72", "title" : "Evaluation of imaging-guided core biopsy of pancreatic masses.", "type" : "article-journal", "volume" : "187" }, "uris" : [ "http://www.mendeley.com/documents/?uuid=3ba36960-9658-45a1-8822-ef6258159fb1" ] } ], "mendeley" : { "previouslyFormattedCitation" : "&lt;sup&gt;[4,5]&lt;/sup&gt;"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[4,5]</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Although core needle biopsies of pancreatic lesions have been performed since the 1980s, very few studies have evaluated their performance</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"ISSN" : "0039-6087", "PMID" : "3787424", "abstract" : "The results of 96 computed tomography guided percutaneous pancreatic aspiration biopsies were reviewed to evaluate the diagnostic sensitivity, specificity and accuracy in pancreatic mass lesions. These were assessed by comparing pathology results to findings at subsequent laparotomy, autopsy or to immediate and long term clinical findings. Effects of varying the size of the biopsy needle and the number of aspirations performed were examined. Of the primary tumors of the pancreas in which adequate material was obtained, 97.3 per cent were correctly diagnosed with one false-negative and no false-positive results. The over-all sensitivity rate for primary tumor so the pancreas was 71.9 per cent using a No. 22 gauge \"skinny\" needle and 86.7 per cent using a No. 20 gauge needle. Over-all diagnostic accuracy for all types of lesions was 61.8 per cent using a No. 22 gauge needle and 73.3 per cent using a No. 20 gauge needle. A No. 19 gauge needle with a sheath was used on lesions with fluid or necrotic debris when a pseudocyst was a possibility. Over-all diagnostic accuracy using a No. 19 gauge sheathed needle was 81.8 per cent on all types of lesions. There was no benefit in using two passes versus a single aspiration. There were no complications, regardless of the needle size or number of passes. The serum amylase level increased in one instance after biopsy and this returned to normal a few days after biopsy. Computed tomography guided aspirations are safe and effective in evaluation of focal or diffuse enlargements of the pancreas when proper techniques and appropriate precautions are used.", "author" : [ { "dropping-particle" : "", "family" : "Dickey", "given" : "J E", "non-dropping-particle" : "", "parse-names" : false, "suffix" : "" }, { "dropping-particle" : "", "family" : "Haaga", "given" : "J R", "non-dropping-particle" : "", "parse-names" : false, "suffix" : "" }, { "dropping-particle" : "", "family" : "Stellato", "given" : "T A", "non-dropping-particle" : "", "parse-names" : false, "suffix" : "" }, { "dropping-particle" : "", "family" : "Schultz", "given" : "C L", "non-dropping-particle" : "", "parse-names" : false, "suffix" : "" }, { "dropping-particle" : "", "family" : "Hau", "given" : "T", "non-dropping-particle" : "", "parse-names" : false, "suffix" : "" } ], "container-title" : "Surgery, gynecology &amp; obstetrics", "id" : "ITEM-1", "issue" : "6", "issued" : { "date-parts" : [ [ "1986", "12" ] ] }, "page" : "497-503", "title" : "Evaluation of computed tomography guided percutaneous biopsy of the pancreas.", "type" : "article-journal", "volume" : "163" }, "uris" : [ "http://www.mendeley.com/documents/?uuid=faabef8c-b2a5-49be-bd11-9241b9af0919" ] }, { "id" : "ITEM-2", "itemData" : { "ISSN" : "0007-1323", "PMID" : "2670053", "author" : [ { "dropping-particle" : "", "family" : "Mitchell", "given" : "C J", "non-dropping-particle" : "", "parse-names" : false, "suffix" : "" }, { "dropping-particle" : "", "family" : "Wai", "given" : "D", "non-dropping-particle" : "", "parse-names" : false, "suffix" : "" }, { "dropping-particle" : "", "family" : "Jackson", "given" : "A M", "non-dropping-particle" : "", "parse-names" : false, "suffix" : "" }, { "dropping-particle" : "", "family" : "MacFie", "given" : "J", "non-dropping-particle" : "", "parse-names" : false, "suffix" : "" } ], "container-title" : "The British journal of surgery", "id" : "ITEM-2", "issue" : "7", "issued" : { "date-parts" : [ [ "1989", "7" ] ] }, "page" : "706-7", "title" : "Ultrasound guided percutaneous pancreatic biopsy.", "type" : "article-journal", "volume" : "76" }, "uris" : [ "http://www.mendeley.com/documents/?uuid=2ad5156a-09aa-47c5-87c3-bfc345d335a2" ] } ], "mendeley" : { "previouslyFormattedCitation" : "&lt;sup&gt;[6,7]&lt;/sup&gt;"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[6,7]</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The objective of this study was to evaluate the techniques, results, and complications related to CT-guided percutaneous core-needle biopsies of solid pancreatic lesions.</w:t>
      </w:r>
    </w:p>
    <w:p w:rsidR="00E95D22" w:rsidRPr="00297C09" w:rsidRDefault="00E95D22" w:rsidP="00E95D22">
      <w:pPr>
        <w:snapToGrid w:val="0"/>
        <w:spacing w:after="0" w:line="360" w:lineRule="auto"/>
        <w:contextualSpacing/>
        <w:jc w:val="both"/>
        <w:rPr>
          <w:rFonts w:ascii="Book Antiqua" w:eastAsia="Arial" w:hAnsi="Book Antiqua" w:cs="Times New Roman"/>
          <w:color w:val="auto"/>
          <w:sz w:val="24"/>
          <w:szCs w:val="24"/>
          <w:lang w:val="en-US"/>
        </w:rPr>
      </w:pPr>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lang w:val="en-US"/>
        </w:rPr>
      </w:pPr>
      <w:r w:rsidRPr="00297C09">
        <w:rPr>
          <w:rFonts w:ascii="Book Antiqua" w:hAnsi="Book Antiqua" w:cs="Times New Roman"/>
          <w:b/>
          <w:color w:val="auto"/>
          <w:sz w:val="24"/>
          <w:szCs w:val="24"/>
          <w:lang w:val="en-US"/>
        </w:rPr>
        <w:lastRenderedPageBreak/>
        <w:t>MATERIALS AND METHODS</w:t>
      </w:r>
    </w:p>
    <w:p w:rsidR="00E95D22" w:rsidRPr="00297C09" w:rsidRDefault="00E95D22" w:rsidP="00E95D22">
      <w:pPr>
        <w:snapToGrid w:val="0"/>
        <w:spacing w:after="0" w:line="360" w:lineRule="auto"/>
        <w:contextualSpacing/>
        <w:jc w:val="both"/>
        <w:rPr>
          <w:rFonts w:ascii="Book Antiqua" w:hAnsi="Book Antiqua" w:cs="Times New Roman"/>
          <w:b/>
          <w:i/>
          <w:color w:val="auto"/>
          <w:sz w:val="24"/>
          <w:szCs w:val="24"/>
          <w:lang w:val="en-US"/>
        </w:rPr>
      </w:pPr>
      <w:r w:rsidRPr="00297C09">
        <w:rPr>
          <w:rFonts w:ascii="Book Antiqua" w:hAnsi="Book Antiqua" w:cs="Times New Roman"/>
          <w:b/>
          <w:i/>
          <w:color w:val="auto"/>
          <w:sz w:val="24"/>
          <w:szCs w:val="24"/>
          <w:lang w:val="en-US"/>
        </w:rPr>
        <w:t>Study design</w:t>
      </w:r>
    </w:p>
    <w:p w:rsidR="00E95D22" w:rsidRPr="00297C09" w:rsidRDefault="00E95D22" w:rsidP="00E95D22">
      <w:pPr>
        <w:snapToGrid w:val="0"/>
        <w:spacing w:after="0" w:line="360" w:lineRule="auto"/>
        <w:contextualSpacing/>
        <w:jc w:val="both"/>
        <w:rPr>
          <w:rFonts w:ascii="Book Antiqua" w:eastAsia="Arial" w:hAnsi="Book Antiqua" w:cs="Times New Roman"/>
          <w:color w:val="auto"/>
          <w:sz w:val="24"/>
          <w:szCs w:val="24"/>
          <w:lang w:val="en-US"/>
        </w:rPr>
      </w:pPr>
      <w:r w:rsidRPr="00297C09">
        <w:rPr>
          <w:rFonts w:ascii="Book Antiqua" w:eastAsia="Arial" w:hAnsi="Book Antiqua" w:cs="Times New Roman"/>
          <w:color w:val="auto"/>
          <w:sz w:val="24"/>
          <w:szCs w:val="24"/>
          <w:lang w:val="en-US"/>
        </w:rPr>
        <w:t xml:space="preserve">This was a retrospective study analyzing CT-guided percutaneous biopsies of solid pancreatic lesions performed at a cancer reference center between January 2012 and September 2013. </w:t>
      </w:r>
      <w:r w:rsidRPr="00297C09">
        <w:rPr>
          <w:rFonts w:ascii="Book Antiqua" w:eastAsia="Arial" w:hAnsi="Book Antiqua" w:cs="Times New Roman"/>
          <w:bCs/>
          <w:iCs/>
          <w:color w:val="auto"/>
          <w:sz w:val="24"/>
          <w:szCs w:val="24"/>
          <w:lang w:val="en-US"/>
        </w:rPr>
        <w:t xml:space="preserve">The study was approved by the </w:t>
      </w:r>
      <w:r w:rsidRPr="00297C09">
        <w:rPr>
          <w:rFonts w:ascii="Book Antiqua" w:eastAsia="Arial" w:hAnsi="Book Antiqua" w:cs="Times New Roman"/>
          <w:color w:val="auto"/>
          <w:sz w:val="24"/>
          <w:szCs w:val="24"/>
          <w:lang w:val="en-US"/>
        </w:rPr>
        <w:t>Institutional Ethics Review Board. All study participants or their legal guardians provided informed written consent prior to the procedure.</w:t>
      </w:r>
    </w:p>
    <w:p w:rsidR="00E95D22" w:rsidRPr="00297C09" w:rsidRDefault="00E95D22" w:rsidP="00E95D22">
      <w:pPr>
        <w:snapToGrid w:val="0"/>
        <w:spacing w:after="0" w:line="360" w:lineRule="auto"/>
        <w:contextualSpacing/>
        <w:jc w:val="both"/>
        <w:rPr>
          <w:rFonts w:ascii="Book Antiqua" w:eastAsia="Arial" w:hAnsi="Book Antiqua" w:cs="Times New Roman"/>
          <w:color w:val="auto"/>
          <w:sz w:val="24"/>
          <w:szCs w:val="24"/>
          <w:lang w:val="en-US"/>
        </w:rPr>
      </w:pPr>
    </w:p>
    <w:p w:rsidR="00E95D22" w:rsidRPr="00297C09" w:rsidRDefault="00E95D22" w:rsidP="00E95D22">
      <w:pPr>
        <w:snapToGrid w:val="0"/>
        <w:spacing w:after="0" w:line="360" w:lineRule="auto"/>
        <w:contextualSpacing/>
        <w:jc w:val="both"/>
        <w:rPr>
          <w:rFonts w:ascii="Book Antiqua" w:eastAsia="Arial" w:hAnsi="Book Antiqua" w:cs="Times New Roman"/>
          <w:b/>
          <w:i/>
          <w:color w:val="auto"/>
          <w:sz w:val="24"/>
          <w:szCs w:val="24"/>
          <w:lang w:val="en-US"/>
        </w:rPr>
      </w:pPr>
      <w:r w:rsidRPr="00297C09">
        <w:rPr>
          <w:rFonts w:ascii="Book Antiqua" w:hAnsi="Book Antiqua" w:cs="Times New Roman"/>
          <w:b/>
          <w:i/>
          <w:color w:val="auto"/>
          <w:sz w:val="24"/>
          <w:szCs w:val="24"/>
          <w:lang w:val="en-US"/>
        </w:rPr>
        <w:t>Biopsy procedure</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An interventional radiologist or a resident doctor under supervision performed the procedures. Routine coagulation tests were collected and evaluated before the procedures. Each case was individually assessed to determine the best access route, with direct access preferred whenever possible. All procedures were performed under local anesthesia with 2% lidocaine; conscious sedation was used in some cases to increase the patients’ comfort. Depending on the distance between the lesion and the skin,</w:t>
      </w:r>
      <w:r w:rsidRPr="00297C09" w:rsidDel="00723B38">
        <w:rPr>
          <w:rFonts w:ascii="Book Antiqua" w:hAnsi="Book Antiqua" w:cs="Times New Roman"/>
          <w:color w:val="auto"/>
          <w:sz w:val="24"/>
          <w:szCs w:val="24"/>
          <w:lang w:val="en-US"/>
        </w:rPr>
        <w:t xml:space="preserve"> </w:t>
      </w:r>
      <w:r w:rsidRPr="00297C09">
        <w:rPr>
          <w:rFonts w:ascii="Book Antiqua" w:hAnsi="Book Antiqua" w:cs="Times New Roman"/>
          <w:color w:val="auto"/>
          <w:sz w:val="24"/>
          <w:szCs w:val="24"/>
          <w:lang w:val="en-US"/>
        </w:rPr>
        <w:t xml:space="preserve">a 16 – 20 G </w:t>
      </w:r>
      <w:proofErr w:type="spellStart"/>
      <w:r w:rsidRPr="00297C09">
        <w:rPr>
          <w:rFonts w:ascii="Book Antiqua" w:hAnsi="Book Antiqua" w:cs="Times New Roman"/>
          <w:color w:val="auto"/>
          <w:sz w:val="24"/>
          <w:szCs w:val="24"/>
          <w:lang w:val="en-US"/>
        </w:rPr>
        <w:t>Tru</w:t>
      </w:r>
      <w:proofErr w:type="spellEnd"/>
      <w:r w:rsidRPr="00297C09">
        <w:rPr>
          <w:rFonts w:ascii="Book Antiqua" w:hAnsi="Book Antiqua" w:cs="Times New Roman"/>
          <w:color w:val="auto"/>
          <w:sz w:val="24"/>
          <w:szCs w:val="24"/>
          <w:lang w:val="en-US"/>
        </w:rPr>
        <w:t xml:space="preserve">-Core needle (10 – 15 cm; </w:t>
      </w:r>
      <w:proofErr w:type="spellStart"/>
      <w:r w:rsidRPr="00297C09">
        <w:rPr>
          <w:rFonts w:ascii="Book Antiqua" w:hAnsi="Book Antiqua" w:cs="Times New Roman"/>
          <w:color w:val="auto"/>
          <w:sz w:val="24"/>
          <w:szCs w:val="24"/>
          <w:lang w:val="en-US"/>
        </w:rPr>
        <w:t>Angiotech</w:t>
      </w:r>
      <w:proofErr w:type="spellEnd"/>
      <w:r w:rsidRPr="00297C09">
        <w:rPr>
          <w:rFonts w:ascii="Book Antiqua" w:hAnsi="Book Antiqua" w:cs="Times New Roman"/>
          <w:color w:val="auto"/>
          <w:sz w:val="24"/>
          <w:szCs w:val="24"/>
          <w:lang w:val="en-US"/>
        </w:rPr>
        <w:t xml:space="preserve">, Vancouver, CA) was used with a coaxial system and automatic biopsy gun to obtain biopsy specimens. When necessary, iodinated contrast was administered intravenously to better characterize the target lesion and adjacent vascular structures. </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When abdominal structures prevented direct access to the lesion, indirect (</w:t>
      </w:r>
      <w:proofErr w:type="spellStart"/>
      <w:r w:rsidRPr="00297C09">
        <w:rPr>
          <w:rFonts w:ascii="Book Antiqua" w:hAnsi="Book Antiqua" w:cs="Times New Roman"/>
          <w:color w:val="auto"/>
          <w:sz w:val="24"/>
          <w:szCs w:val="24"/>
          <w:lang w:val="en-US"/>
        </w:rPr>
        <w:t>transgastric</w:t>
      </w:r>
      <w:proofErr w:type="spellEnd"/>
      <w:r w:rsidRPr="00297C09">
        <w:rPr>
          <w:rFonts w:ascii="Book Antiqua" w:hAnsi="Book Antiqua" w:cs="Times New Roman"/>
          <w:color w:val="auto"/>
          <w:sz w:val="24"/>
          <w:szCs w:val="24"/>
          <w:lang w:val="en-US"/>
        </w:rPr>
        <w:t xml:space="preserve"> or </w:t>
      </w:r>
      <w:proofErr w:type="spellStart"/>
      <w:r w:rsidRPr="00297C09">
        <w:rPr>
          <w:rFonts w:ascii="Book Antiqua" w:hAnsi="Book Antiqua" w:cs="Times New Roman"/>
          <w:color w:val="auto"/>
          <w:sz w:val="24"/>
          <w:szCs w:val="24"/>
          <w:lang w:val="en-US"/>
        </w:rPr>
        <w:t>transhepatic</w:t>
      </w:r>
      <w:proofErr w:type="spellEnd"/>
      <w:r w:rsidRPr="00297C09">
        <w:rPr>
          <w:rFonts w:ascii="Book Antiqua" w:hAnsi="Book Antiqua" w:cs="Times New Roman"/>
          <w:color w:val="auto"/>
          <w:sz w:val="24"/>
          <w:szCs w:val="24"/>
          <w:lang w:val="en-US"/>
        </w:rPr>
        <w:t xml:space="preserve">) access or </w:t>
      </w:r>
      <w:proofErr w:type="spellStart"/>
      <w:r w:rsidRPr="00297C09">
        <w:rPr>
          <w:rFonts w:ascii="Book Antiqua" w:hAnsi="Book Antiqua" w:cs="Times New Roman"/>
          <w:color w:val="auto"/>
          <w:sz w:val="24"/>
          <w:szCs w:val="24"/>
          <w:lang w:val="en-US"/>
        </w:rPr>
        <w:t>hydrodissection</w:t>
      </w:r>
      <w:proofErr w:type="spellEnd"/>
      <w:r w:rsidRPr="00297C09">
        <w:rPr>
          <w:rFonts w:ascii="Book Antiqua" w:hAnsi="Book Antiqua" w:cs="Times New Roman"/>
          <w:color w:val="auto"/>
          <w:sz w:val="24"/>
          <w:szCs w:val="24"/>
          <w:lang w:val="en-US"/>
        </w:rPr>
        <w:t xml:space="preserve"> and/or </w:t>
      </w:r>
      <w:proofErr w:type="spellStart"/>
      <w:r w:rsidRPr="00297C09">
        <w:rPr>
          <w:rFonts w:ascii="Book Antiqua" w:hAnsi="Book Antiqua" w:cs="Times New Roman"/>
          <w:color w:val="auto"/>
          <w:sz w:val="24"/>
          <w:szCs w:val="24"/>
          <w:lang w:val="en-US"/>
        </w:rPr>
        <w:t>pneumodissection</w:t>
      </w:r>
      <w:proofErr w:type="spellEnd"/>
      <w:r w:rsidRPr="00297C09">
        <w:rPr>
          <w:rFonts w:ascii="Book Antiqua" w:hAnsi="Book Antiqua" w:cs="Times New Roman"/>
          <w:color w:val="auto"/>
          <w:sz w:val="24"/>
          <w:szCs w:val="24"/>
          <w:lang w:val="en-US"/>
        </w:rPr>
        <w:t xml:space="preserve"> maneuvers were used. For these procedures, a coaxial needle was used to inject 0.9% saline (</w:t>
      </w:r>
      <w:proofErr w:type="spellStart"/>
      <w:r w:rsidRPr="00297C09">
        <w:rPr>
          <w:rFonts w:ascii="Book Antiqua" w:hAnsi="Book Antiqua" w:cs="Times New Roman"/>
          <w:color w:val="auto"/>
          <w:sz w:val="24"/>
          <w:szCs w:val="24"/>
          <w:lang w:val="en-US"/>
        </w:rPr>
        <w:t>hydrodissection</w:t>
      </w:r>
      <w:proofErr w:type="spellEnd"/>
      <w:r w:rsidRPr="00297C09">
        <w:rPr>
          <w:rFonts w:ascii="Book Antiqua" w:hAnsi="Book Antiqua" w:cs="Times New Roman"/>
          <w:color w:val="auto"/>
          <w:sz w:val="24"/>
          <w:szCs w:val="24"/>
          <w:lang w:val="en-US"/>
        </w:rPr>
        <w:t>) or 50 – 100 mL ambient air (</w:t>
      </w:r>
      <w:proofErr w:type="spellStart"/>
      <w:r w:rsidRPr="00297C09">
        <w:rPr>
          <w:rFonts w:ascii="Book Antiqua" w:hAnsi="Book Antiqua" w:cs="Times New Roman"/>
          <w:color w:val="auto"/>
          <w:sz w:val="24"/>
          <w:szCs w:val="24"/>
          <w:lang w:val="en-US"/>
        </w:rPr>
        <w:t>pneumodissection</w:t>
      </w:r>
      <w:proofErr w:type="spellEnd"/>
      <w:r w:rsidRPr="00297C09">
        <w:rPr>
          <w:rFonts w:ascii="Book Antiqua" w:hAnsi="Book Antiqua" w:cs="Times New Roman"/>
          <w:color w:val="auto"/>
          <w:sz w:val="24"/>
          <w:szCs w:val="24"/>
          <w:lang w:val="en-US"/>
        </w:rPr>
        <w:t>) to displace adjacent structures from the needle’s trajectory. The choice between these techniques depended on the position in which the procedure was performed and the structures involved, as injected air tends to concentrate in the uppermost areas of the abdomen.</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 xml:space="preserve">CT examinations were performed immediately after all procedures to identify any bleeding and/or other complications. Patients remained under observation for </w:t>
      </w:r>
      <w:r w:rsidRPr="00297C09">
        <w:rPr>
          <w:rFonts w:ascii="Book Antiqua" w:hAnsi="Book Antiqua" w:cs="Times New Roman"/>
          <w:color w:val="auto"/>
          <w:sz w:val="24"/>
          <w:szCs w:val="24"/>
          <w:lang w:val="en-US"/>
        </w:rPr>
        <w:sym w:font="Symbol" w:char="F0B3"/>
      </w:r>
      <w:r w:rsidR="00A9060E">
        <w:rPr>
          <w:rFonts w:ascii="Book Antiqua" w:hAnsi="Book Antiqua" w:cs="Times New Roman" w:hint="eastAsia"/>
          <w:color w:val="auto"/>
          <w:sz w:val="24"/>
          <w:szCs w:val="24"/>
          <w:lang w:val="en-US" w:eastAsia="zh-CN"/>
        </w:rPr>
        <w:t xml:space="preserve"> </w:t>
      </w:r>
      <w:r w:rsidRPr="00297C09">
        <w:rPr>
          <w:rFonts w:ascii="Book Antiqua" w:hAnsi="Book Antiqua" w:cs="Times New Roman"/>
          <w:color w:val="auto"/>
          <w:sz w:val="24"/>
          <w:szCs w:val="24"/>
          <w:lang w:val="en-US"/>
        </w:rPr>
        <w:t xml:space="preserve">1 h after the procedure; asymptomatic patients with stable vital signs were released upon receiving guidance concerning later complications. An additional CT was </w:t>
      </w:r>
      <w:r w:rsidRPr="00297C09">
        <w:rPr>
          <w:rFonts w:ascii="Book Antiqua" w:hAnsi="Book Antiqua" w:cs="Times New Roman"/>
          <w:color w:val="auto"/>
          <w:sz w:val="24"/>
          <w:szCs w:val="24"/>
          <w:lang w:val="en-US"/>
        </w:rPr>
        <w:lastRenderedPageBreak/>
        <w:t>performed for patients exhibiting symptoms or changes in vital signs to rule out further complications.</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p>
    <w:p w:rsidR="00E95D22" w:rsidRPr="00297C09" w:rsidRDefault="00E95D22" w:rsidP="00E95D22">
      <w:pPr>
        <w:snapToGrid w:val="0"/>
        <w:spacing w:after="0" w:line="360" w:lineRule="auto"/>
        <w:contextualSpacing/>
        <w:jc w:val="both"/>
        <w:rPr>
          <w:rFonts w:ascii="Book Antiqua" w:hAnsi="Book Antiqua" w:cs="Times New Roman"/>
          <w:b/>
          <w:i/>
          <w:color w:val="auto"/>
          <w:sz w:val="24"/>
          <w:szCs w:val="24"/>
          <w:lang w:val="en-US"/>
        </w:rPr>
      </w:pPr>
      <w:r w:rsidRPr="00297C09">
        <w:rPr>
          <w:rFonts w:ascii="Book Antiqua" w:hAnsi="Book Antiqua" w:cs="Times New Roman"/>
          <w:b/>
          <w:i/>
          <w:color w:val="auto"/>
          <w:sz w:val="24"/>
          <w:szCs w:val="24"/>
          <w:lang w:val="en-US"/>
        </w:rPr>
        <w:t xml:space="preserve">Data collection </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cs="Times New Roman"/>
          <w:color w:val="auto"/>
          <w:sz w:val="24"/>
          <w:szCs w:val="24"/>
          <w:lang w:val="en-US"/>
        </w:rPr>
        <w:t xml:space="preserve">A standardized form was used to collect patient (age, sex, presence of primary neoplasia), lesion (location in the pancreas, lesion dimensions, and </w:t>
      </w:r>
      <w:proofErr w:type="spellStart"/>
      <w:r w:rsidRPr="00297C09">
        <w:rPr>
          <w:rFonts w:ascii="Book Antiqua" w:hAnsi="Book Antiqua" w:cs="Times New Roman"/>
          <w:color w:val="auto"/>
          <w:sz w:val="24"/>
          <w:szCs w:val="24"/>
          <w:lang w:val="en-US"/>
        </w:rPr>
        <w:t>resectability</w:t>
      </w:r>
      <w:proofErr w:type="spellEnd"/>
      <w:r w:rsidRPr="00297C09">
        <w:rPr>
          <w:rFonts w:ascii="Book Antiqua" w:hAnsi="Book Antiqua" w:cs="Times New Roman"/>
          <w:color w:val="auto"/>
          <w:sz w:val="24"/>
          <w:szCs w:val="24"/>
          <w:lang w:val="en-US"/>
        </w:rPr>
        <w:t xml:space="preserve"> based on imaging), and procedure (indication, needle caliber, access, immediate and subsequent complications) characteristics, as well as histologic results from the biopsy (sufficiency of biopsy material, benign or malignant status, tumor type, and associated surgical findings). </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eastAsia="zh-CN"/>
        </w:rPr>
      </w:pPr>
    </w:p>
    <w:p w:rsidR="00E95D22" w:rsidRPr="00297C09" w:rsidRDefault="00E95D22" w:rsidP="00E95D22">
      <w:pPr>
        <w:adjustRightInd w:val="0"/>
        <w:snapToGrid w:val="0"/>
        <w:spacing w:after="0" w:line="360" w:lineRule="auto"/>
        <w:contextualSpacing/>
        <w:jc w:val="both"/>
        <w:rPr>
          <w:rFonts w:ascii="Book Antiqua" w:hAnsi="Book Antiqua"/>
          <w:b/>
          <w:i/>
          <w:color w:val="auto"/>
          <w:sz w:val="24"/>
          <w:szCs w:val="24"/>
          <w:lang w:val="en-US" w:eastAsia="zh-CN"/>
        </w:rPr>
      </w:pPr>
      <w:bookmarkStart w:id="127" w:name="OLE_LINK107"/>
      <w:bookmarkStart w:id="128" w:name="OLE_LINK130"/>
      <w:bookmarkStart w:id="129" w:name="OLE_LINK284"/>
      <w:bookmarkStart w:id="130" w:name="OLE_LINK728"/>
      <w:bookmarkStart w:id="131" w:name="OLE_LINK729"/>
      <w:bookmarkStart w:id="132" w:name="OLE_LINK865"/>
      <w:bookmarkStart w:id="133" w:name="OLE_LINK933"/>
      <w:bookmarkStart w:id="134" w:name="OLE_LINK997"/>
      <w:bookmarkStart w:id="135" w:name="OLE_LINK999"/>
      <w:bookmarkStart w:id="136" w:name="OLE_LINK1000"/>
      <w:bookmarkStart w:id="137" w:name="OLE_LINK1142"/>
      <w:bookmarkStart w:id="138" w:name="OLE_LINK1143"/>
      <w:bookmarkStart w:id="139" w:name="OLE_LINK1197"/>
      <w:bookmarkStart w:id="140" w:name="OLE_LINK1187"/>
      <w:bookmarkStart w:id="141" w:name="OLE_LINK1307"/>
      <w:bookmarkStart w:id="142" w:name="OLE_LINK1691"/>
      <w:bookmarkStart w:id="143" w:name="OLE_LINK1654"/>
      <w:bookmarkStart w:id="144" w:name="OLE_LINK2086"/>
      <w:bookmarkStart w:id="145" w:name="OLE_LINK2164"/>
      <w:bookmarkStart w:id="146" w:name="OLE_LINK2578"/>
      <w:bookmarkStart w:id="147" w:name="OLE_LINK2539"/>
      <w:bookmarkStart w:id="148" w:name="OLE_LINK2540"/>
      <w:bookmarkStart w:id="149" w:name="OLE_LINK2624"/>
      <w:r w:rsidRPr="00297C09">
        <w:rPr>
          <w:rFonts w:ascii="Book Antiqua" w:hAnsi="Book Antiqua"/>
          <w:b/>
          <w:i/>
          <w:color w:val="auto"/>
          <w:sz w:val="24"/>
          <w:szCs w:val="24"/>
          <w:lang w:val="en-US"/>
        </w:rPr>
        <w:t>Statistical analysis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 xml:space="preserve">All data were analyzed using SPSS software (version 20.0; IBM Corp., Armonk, NY, </w:t>
      </w:r>
      <w:r w:rsidR="00A9060E" w:rsidRPr="00A9060E">
        <w:rPr>
          <w:rFonts w:ascii="Book Antiqua" w:hAnsi="Book Antiqua" w:cs="Times New Roman"/>
          <w:color w:val="auto"/>
          <w:sz w:val="24"/>
          <w:szCs w:val="24"/>
          <w:lang w:val="en-US"/>
        </w:rPr>
        <w:t>United States</w:t>
      </w:r>
      <w:r w:rsidRPr="00297C09">
        <w:rPr>
          <w:rFonts w:ascii="Book Antiqua" w:hAnsi="Book Antiqua" w:cs="Times New Roman"/>
          <w:color w:val="auto"/>
          <w:sz w:val="24"/>
          <w:szCs w:val="24"/>
          <w:lang w:val="en-US"/>
        </w:rPr>
        <w:t xml:space="preserve">). Descriptive analysis was performed to calculate simple and relative frequencies of the study variables. Dichotomous scalar variables were compared using Student’s </w:t>
      </w:r>
      <w:r w:rsidRPr="00297C09">
        <w:rPr>
          <w:rFonts w:ascii="Book Antiqua" w:hAnsi="Book Antiqua" w:cs="Times New Roman"/>
          <w:i/>
          <w:color w:val="auto"/>
          <w:sz w:val="24"/>
          <w:szCs w:val="24"/>
          <w:lang w:val="en-US"/>
        </w:rPr>
        <w:t>t</w:t>
      </w:r>
      <w:r w:rsidRPr="00297C09">
        <w:rPr>
          <w:rFonts w:ascii="Book Antiqua" w:hAnsi="Book Antiqua" w:cs="Times New Roman"/>
          <w:color w:val="auto"/>
          <w:sz w:val="24"/>
          <w:szCs w:val="24"/>
          <w:lang w:val="en-US"/>
        </w:rPr>
        <w:t xml:space="preserve"> or non-parametric Mann–Whitney </w:t>
      </w:r>
      <w:r w:rsidRPr="00297C09">
        <w:rPr>
          <w:rFonts w:ascii="Book Antiqua" w:hAnsi="Book Antiqua" w:cs="Times New Roman"/>
          <w:i/>
          <w:color w:val="auto"/>
          <w:sz w:val="24"/>
          <w:szCs w:val="24"/>
          <w:lang w:val="en-US"/>
        </w:rPr>
        <w:t xml:space="preserve">U </w:t>
      </w:r>
      <w:r w:rsidRPr="00297C09">
        <w:rPr>
          <w:rFonts w:ascii="Book Antiqua" w:hAnsi="Book Antiqua" w:cs="Times New Roman"/>
          <w:color w:val="auto"/>
          <w:sz w:val="24"/>
          <w:szCs w:val="24"/>
          <w:lang w:val="en-US"/>
        </w:rPr>
        <w:t xml:space="preserve">tests. Analysis of variance or the nonparametric </w:t>
      </w:r>
      <w:proofErr w:type="spellStart"/>
      <w:r w:rsidRPr="00297C09">
        <w:rPr>
          <w:rFonts w:ascii="Book Antiqua" w:hAnsi="Book Antiqua" w:cs="Times New Roman"/>
          <w:color w:val="auto"/>
          <w:sz w:val="24"/>
          <w:szCs w:val="24"/>
          <w:lang w:val="en-US"/>
        </w:rPr>
        <w:t>Kruskal</w:t>
      </w:r>
      <w:proofErr w:type="spellEnd"/>
      <w:r w:rsidRPr="00297C09">
        <w:rPr>
          <w:rFonts w:ascii="Book Antiqua" w:hAnsi="Book Antiqua" w:cs="Times New Roman"/>
          <w:color w:val="auto"/>
          <w:sz w:val="24"/>
          <w:szCs w:val="24"/>
          <w:lang w:val="en-US"/>
        </w:rPr>
        <w:t xml:space="preserve">–Wallis test was used for comparison of variables with three or more possible values. Categorical variables were examined using 2 × 2 and 2 × 3 tables and Pearson’s </w:t>
      </w:r>
      <w:r w:rsidRPr="00297C09">
        <w:rPr>
          <w:rFonts w:ascii="Book Antiqua" w:hAnsi="Book Antiqua" w:cs="Times New Roman"/>
          <w:i/>
          <w:color w:val="auto"/>
          <w:sz w:val="24"/>
          <w:szCs w:val="24"/>
          <w:lang w:val="en-US"/>
        </w:rPr>
        <w:t>χ</w:t>
      </w:r>
      <w:r w:rsidRPr="00297C09">
        <w:rPr>
          <w:rFonts w:ascii="Book Antiqua" w:hAnsi="Book Antiqua" w:cs="Times New Roman"/>
          <w:color w:val="auto"/>
          <w:sz w:val="24"/>
          <w:szCs w:val="24"/>
          <w:vertAlign w:val="superscript"/>
          <w:lang w:val="en-US" w:eastAsia="zh-CN"/>
        </w:rPr>
        <w:t>2</w:t>
      </w:r>
      <w:r w:rsidRPr="00297C09">
        <w:rPr>
          <w:rFonts w:ascii="Book Antiqua" w:hAnsi="Book Antiqua" w:cs="Times New Roman"/>
          <w:color w:val="auto"/>
          <w:sz w:val="24"/>
          <w:szCs w:val="24"/>
          <w:lang w:val="en-US"/>
        </w:rPr>
        <w:t xml:space="preserve"> test with Yates correction or Fisher’s exact test, as needed, to evaluate statistical significance. </w:t>
      </w:r>
      <w:r w:rsidRPr="00297C09">
        <w:rPr>
          <w:rFonts w:ascii="Book Antiqua" w:hAnsi="Book Antiqua" w:cs="Times New Roman"/>
          <w:i/>
          <w:color w:val="auto"/>
          <w:sz w:val="24"/>
          <w:szCs w:val="24"/>
          <w:lang w:val="en-US"/>
        </w:rPr>
        <w:t>P</w:t>
      </w:r>
      <w:r w:rsidRPr="00297C09">
        <w:rPr>
          <w:rFonts w:ascii="Book Antiqua" w:hAnsi="Book Antiqua" w:cs="Times New Roman"/>
          <w:color w:val="auto"/>
          <w:sz w:val="24"/>
          <w:szCs w:val="24"/>
          <w:lang w:val="en-US"/>
        </w:rPr>
        <w:t xml:space="preserve"> ≤ 0.05 was considered as statistically significant. </w:t>
      </w:r>
      <w:r w:rsidRPr="00297C09">
        <w:rPr>
          <w:rFonts w:ascii="Book Antiqua" w:hAnsi="Book Antiqua" w:cs="Times New Roman"/>
          <w:iCs/>
          <w:color w:val="auto"/>
          <w:sz w:val="24"/>
          <w:szCs w:val="24"/>
          <w:lang w:val="en-US"/>
        </w:rPr>
        <w:t>The statistical methods used in this study were reviewed by a biomedical statistician from the AC Camargo Cancer Center.</w:t>
      </w:r>
    </w:p>
    <w:p w:rsidR="00E95D22" w:rsidRPr="00297C09" w:rsidRDefault="00E95D22" w:rsidP="00E95D22">
      <w:pPr>
        <w:snapToGrid w:val="0"/>
        <w:spacing w:after="0" w:line="360" w:lineRule="auto"/>
        <w:contextualSpacing/>
        <w:jc w:val="both"/>
        <w:rPr>
          <w:rFonts w:ascii="Book Antiqua" w:eastAsia="Arial" w:hAnsi="Book Antiqua" w:cs="Times New Roman"/>
          <w:color w:val="auto"/>
          <w:sz w:val="24"/>
          <w:szCs w:val="24"/>
          <w:lang w:val="en-US"/>
        </w:rPr>
      </w:pPr>
    </w:p>
    <w:p w:rsidR="00E95D22" w:rsidRPr="00297C09" w:rsidRDefault="00E95D22" w:rsidP="00E95D22">
      <w:pPr>
        <w:snapToGrid w:val="0"/>
        <w:spacing w:after="0" w:line="360" w:lineRule="auto"/>
        <w:contextualSpacing/>
        <w:jc w:val="both"/>
        <w:rPr>
          <w:rFonts w:ascii="Book Antiqua" w:eastAsia="Arial Bold" w:hAnsi="Book Antiqua" w:cs="Times New Roman"/>
          <w:b/>
          <w:color w:val="auto"/>
          <w:sz w:val="24"/>
          <w:szCs w:val="24"/>
          <w:lang w:val="en-US"/>
        </w:rPr>
      </w:pPr>
      <w:r w:rsidRPr="00297C09">
        <w:rPr>
          <w:rFonts w:ascii="Book Antiqua" w:hAnsi="Book Antiqua" w:cs="Times New Roman"/>
          <w:b/>
          <w:color w:val="auto"/>
          <w:sz w:val="24"/>
          <w:szCs w:val="24"/>
          <w:lang w:val="en-US"/>
        </w:rPr>
        <w:t>RESULTS</w:t>
      </w:r>
    </w:p>
    <w:p w:rsidR="00E95D22" w:rsidRPr="00297C09" w:rsidRDefault="00E95D22" w:rsidP="00E95D22">
      <w:pPr>
        <w:snapToGrid w:val="0"/>
        <w:spacing w:after="0" w:line="360" w:lineRule="auto"/>
        <w:contextualSpacing/>
        <w:jc w:val="both"/>
        <w:rPr>
          <w:rFonts w:ascii="Book Antiqua" w:eastAsia="Arial Bold" w:hAnsi="Book Antiqua" w:cs="Times New Roman"/>
          <w:color w:val="auto"/>
          <w:sz w:val="24"/>
          <w:szCs w:val="24"/>
          <w:lang w:val="en-US"/>
        </w:rPr>
      </w:pPr>
      <w:r w:rsidRPr="00297C09">
        <w:rPr>
          <w:rFonts w:ascii="Book Antiqua" w:eastAsia="Arial Bold" w:hAnsi="Book Antiqua" w:cs="Times New Roman"/>
          <w:color w:val="auto"/>
          <w:sz w:val="24"/>
          <w:szCs w:val="24"/>
          <w:lang w:val="en-US"/>
        </w:rPr>
        <w:t>A total of 103 procedures in patients with a mean age of 64.8</w:t>
      </w:r>
      <w:r w:rsidRPr="00297C09">
        <w:rPr>
          <w:rFonts w:ascii="Book Antiqua" w:hAnsi="Book Antiqua" w:cs="Times New Roman"/>
          <w:color w:val="auto"/>
          <w:sz w:val="24"/>
          <w:szCs w:val="24"/>
          <w:lang w:val="en-US"/>
        </w:rPr>
        <w:t xml:space="preserve"> y (range: 39 – 94 y</w:t>
      </w:r>
      <w:r w:rsidR="00A9060E">
        <w:rPr>
          <w:rFonts w:ascii="Book Antiqua" w:hAnsi="Book Antiqua" w:cs="Times New Roman" w:hint="eastAsia"/>
          <w:color w:val="auto"/>
          <w:sz w:val="24"/>
          <w:szCs w:val="24"/>
          <w:lang w:val="en-US" w:eastAsia="zh-CN"/>
        </w:rPr>
        <w:t>ear</w:t>
      </w:r>
      <w:r w:rsidRPr="00297C09">
        <w:rPr>
          <w:rFonts w:ascii="Book Antiqua" w:hAnsi="Book Antiqua" w:cs="Times New Roman"/>
          <w:color w:val="auto"/>
          <w:sz w:val="24"/>
          <w:szCs w:val="24"/>
          <w:lang w:val="en-US"/>
        </w:rPr>
        <w:t>) were included. Of these, 50.5% (52/103) were women, 20.4% (21/103) had histories of previous primary tumors, most commonly lung cancer (</w:t>
      </w:r>
      <w:r w:rsidRPr="00297C09">
        <w:rPr>
          <w:rFonts w:ascii="Book Antiqua" w:hAnsi="Book Antiqua" w:cs="Times New Roman"/>
          <w:i/>
          <w:color w:val="auto"/>
          <w:sz w:val="24"/>
          <w:szCs w:val="24"/>
          <w:lang w:val="en-US"/>
        </w:rPr>
        <w:t>n</w:t>
      </w:r>
      <w:r w:rsidRPr="00297C09">
        <w:rPr>
          <w:rFonts w:ascii="Book Antiqua" w:hAnsi="Book Antiqua" w:cs="Times New Roman"/>
          <w:color w:val="auto"/>
          <w:sz w:val="24"/>
          <w:szCs w:val="24"/>
          <w:lang w:val="en-US"/>
        </w:rPr>
        <w:t xml:space="preserve"> = 4).</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eastAsia="Arial" w:hAnsi="Book Antiqua" w:cs="Times New Roman"/>
          <w:color w:val="auto"/>
          <w:sz w:val="24"/>
          <w:szCs w:val="24"/>
          <w:lang w:val="en-US"/>
        </w:rPr>
        <w:t>The majority (65/103</w:t>
      </w:r>
      <w:r w:rsidR="006F189A">
        <w:rPr>
          <w:rFonts w:ascii="Book Antiqua" w:eastAsiaTheme="minorEastAsia" w:hAnsi="Book Antiqua" w:cs="Times New Roman" w:hint="eastAsia"/>
          <w:color w:val="auto"/>
          <w:sz w:val="24"/>
          <w:szCs w:val="24"/>
          <w:lang w:val="en-US" w:eastAsia="zh-CN"/>
        </w:rPr>
        <w:t>,</w:t>
      </w:r>
      <w:r w:rsidRPr="00297C09">
        <w:rPr>
          <w:rFonts w:ascii="Book Antiqua" w:eastAsia="Arial" w:hAnsi="Book Antiqua" w:cs="Times New Roman"/>
          <w:color w:val="auto"/>
          <w:sz w:val="24"/>
          <w:szCs w:val="24"/>
          <w:lang w:val="en-US"/>
        </w:rPr>
        <w:t xml:space="preserve"> 63.1%) of lesions </w:t>
      </w:r>
      <w:r w:rsidR="006F189A">
        <w:rPr>
          <w:rFonts w:ascii="Book Antiqua" w:eastAsiaTheme="minorEastAsia" w:hAnsi="Book Antiqua" w:cs="Times New Roman" w:hint="eastAsia"/>
          <w:color w:val="auto"/>
          <w:sz w:val="24"/>
          <w:szCs w:val="24"/>
          <w:lang w:val="en-US" w:eastAsia="zh-CN"/>
        </w:rPr>
        <w:t>was</w:t>
      </w:r>
      <w:r w:rsidRPr="00297C09">
        <w:rPr>
          <w:rFonts w:ascii="Book Antiqua" w:eastAsia="Arial" w:hAnsi="Book Antiqua" w:cs="Times New Roman"/>
          <w:color w:val="auto"/>
          <w:sz w:val="24"/>
          <w:szCs w:val="24"/>
          <w:lang w:val="en-US"/>
        </w:rPr>
        <w:t xml:space="preserve"> located</w:t>
      </w:r>
      <w:r w:rsidRPr="00297C09">
        <w:rPr>
          <w:rFonts w:ascii="Book Antiqua" w:hAnsi="Book Antiqua" w:cs="Times New Roman"/>
          <w:color w:val="auto"/>
          <w:sz w:val="24"/>
          <w:szCs w:val="24"/>
          <w:lang w:val="en-US"/>
        </w:rPr>
        <w:t xml:space="preserve"> in the head/</w:t>
      </w:r>
      <w:proofErr w:type="spellStart"/>
      <w:r w:rsidRPr="00297C09">
        <w:rPr>
          <w:rFonts w:ascii="Book Antiqua" w:hAnsi="Book Antiqua" w:cs="Times New Roman"/>
          <w:color w:val="auto"/>
          <w:sz w:val="24"/>
          <w:szCs w:val="24"/>
          <w:lang w:val="en-US"/>
        </w:rPr>
        <w:t>uncinate</w:t>
      </w:r>
      <w:proofErr w:type="spellEnd"/>
      <w:r w:rsidRPr="00297C09">
        <w:rPr>
          <w:rFonts w:ascii="Book Antiqua" w:hAnsi="Book Antiqua" w:cs="Times New Roman"/>
          <w:color w:val="auto"/>
          <w:sz w:val="24"/>
          <w:szCs w:val="24"/>
          <w:lang w:val="en-US"/>
        </w:rPr>
        <w:t xml:space="preserve"> process, 27.2% (28/103) were in the body, and 9.7% (10/103) were in the tail of the pancreas. The mean size of the pancreatic lesions was 45.5 mm (range: 15 – 195 mm). Based on imaging criteria, 77.7% (80/103) of lesions were </w:t>
      </w:r>
      <w:proofErr w:type="spellStart"/>
      <w:r w:rsidRPr="00297C09">
        <w:rPr>
          <w:rFonts w:ascii="Book Antiqua" w:hAnsi="Book Antiqua" w:cs="Times New Roman"/>
          <w:color w:val="auto"/>
          <w:sz w:val="24"/>
          <w:szCs w:val="24"/>
          <w:lang w:val="en-US"/>
        </w:rPr>
        <w:t>unresectable</w:t>
      </w:r>
      <w:proofErr w:type="spellEnd"/>
      <w:r w:rsidRPr="00297C09">
        <w:rPr>
          <w:rFonts w:ascii="Book Antiqua" w:hAnsi="Book Antiqua" w:cs="Times New Roman"/>
          <w:color w:val="auto"/>
          <w:sz w:val="24"/>
          <w:szCs w:val="24"/>
          <w:lang w:val="en-US"/>
        </w:rPr>
        <w:t xml:space="preserve">; 22 (21.4%) </w:t>
      </w:r>
      <w:r w:rsidRPr="00297C09">
        <w:rPr>
          <w:rFonts w:ascii="Book Antiqua" w:hAnsi="Book Antiqua" w:cs="Times New Roman"/>
          <w:color w:val="auto"/>
          <w:sz w:val="24"/>
          <w:szCs w:val="24"/>
          <w:lang w:val="en-US"/>
        </w:rPr>
        <w:lastRenderedPageBreak/>
        <w:t xml:space="preserve">were </w:t>
      </w:r>
      <w:proofErr w:type="spellStart"/>
      <w:r w:rsidRPr="00297C09">
        <w:rPr>
          <w:rFonts w:ascii="Book Antiqua" w:hAnsi="Book Antiqua" w:cs="Times New Roman"/>
          <w:color w:val="auto"/>
          <w:sz w:val="24"/>
          <w:szCs w:val="24"/>
          <w:lang w:val="en-US"/>
        </w:rPr>
        <w:t>resectable</w:t>
      </w:r>
      <w:proofErr w:type="spellEnd"/>
      <w:r w:rsidRPr="00297C09">
        <w:rPr>
          <w:rFonts w:ascii="Book Antiqua" w:hAnsi="Book Antiqua" w:cs="Times New Roman"/>
          <w:color w:val="auto"/>
          <w:sz w:val="24"/>
          <w:szCs w:val="24"/>
          <w:lang w:val="en-US"/>
        </w:rPr>
        <w:t xml:space="preserve"> and one (1.0%) was a borderline case. Highly suspected pancreatic masses were found in 6.8% (7/103) of patients (</w:t>
      </w:r>
      <w:r w:rsidRPr="00297C09">
        <w:rPr>
          <w:rFonts w:ascii="Book Antiqua" w:hAnsi="Book Antiqua" w:cs="Times New Roman"/>
          <w:i/>
          <w:color w:val="auto"/>
          <w:sz w:val="24"/>
          <w:szCs w:val="24"/>
          <w:lang w:val="en-US"/>
        </w:rPr>
        <w:t xml:space="preserve">n </w:t>
      </w:r>
      <w:r w:rsidRPr="00297C09">
        <w:rPr>
          <w:rFonts w:ascii="Book Antiqua" w:hAnsi="Book Antiqua" w:cs="Times New Roman"/>
          <w:color w:val="auto"/>
          <w:sz w:val="24"/>
          <w:szCs w:val="24"/>
          <w:lang w:val="en-US"/>
        </w:rPr>
        <w:t xml:space="preserve">= 6 located in the head and 1 in the body/tail), for which </w:t>
      </w:r>
      <w:proofErr w:type="spellStart"/>
      <w:r w:rsidRPr="00297C09">
        <w:rPr>
          <w:rFonts w:ascii="Book Antiqua" w:hAnsi="Book Antiqua" w:cs="Times New Roman"/>
          <w:color w:val="auto"/>
          <w:sz w:val="24"/>
          <w:szCs w:val="24"/>
          <w:lang w:val="en-US"/>
        </w:rPr>
        <w:t>echoendoscopy</w:t>
      </w:r>
      <w:proofErr w:type="spellEnd"/>
      <w:r w:rsidRPr="00297C09">
        <w:rPr>
          <w:rFonts w:ascii="Book Antiqua" w:hAnsi="Book Antiqua" w:cs="Times New Roman"/>
          <w:color w:val="auto"/>
          <w:sz w:val="24"/>
          <w:szCs w:val="24"/>
          <w:lang w:val="en-US"/>
        </w:rPr>
        <w:t xml:space="preserve">-guided FNAs were performed before the biopsies, with negative results. </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eastAsia="Arial" w:hAnsi="Book Antiqua" w:cs="Times New Roman"/>
          <w:color w:val="auto"/>
          <w:sz w:val="24"/>
          <w:szCs w:val="24"/>
          <w:lang w:val="en-US"/>
        </w:rPr>
        <w:t xml:space="preserve">Most (75/103; 72.8%) procedures were performed </w:t>
      </w:r>
      <w:r w:rsidRPr="004B756B">
        <w:rPr>
          <w:rFonts w:ascii="Book Antiqua" w:eastAsia="Arial" w:hAnsi="Book Antiqua" w:cs="Times New Roman"/>
          <w:i/>
          <w:color w:val="auto"/>
          <w:sz w:val="24"/>
          <w:szCs w:val="24"/>
          <w:lang w:val="en-US"/>
        </w:rPr>
        <w:t>via</w:t>
      </w:r>
      <w:r w:rsidRPr="00297C09">
        <w:rPr>
          <w:rFonts w:ascii="Book Antiqua" w:eastAsia="Arial" w:hAnsi="Book Antiqua" w:cs="Times New Roman"/>
          <w:color w:val="auto"/>
          <w:sz w:val="24"/>
          <w:szCs w:val="24"/>
          <w:lang w:val="en-US"/>
        </w:rPr>
        <w:t xml:space="preserve"> direct access</w:t>
      </w:r>
      <w:r w:rsidRPr="00297C09">
        <w:rPr>
          <w:rFonts w:ascii="Book Antiqua" w:hAnsi="Book Antiqua" w:cs="Times New Roman"/>
          <w:color w:val="auto"/>
          <w:sz w:val="24"/>
          <w:szCs w:val="24"/>
          <w:lang w:val="en-US"/>
        </w:rPr>
        <w:t xml:space="preserve"> (Figure 1). The remaining cases were performed with </w:t>
      </w:r>
      <w:proofErr w:type="spellStart"/>
      <w:r w:rsidRPr="00297C09">
        <w:rPr>
          <w:rFonts w:ascii="Book Antiqua" w:hAnsi="Book Antiqua" w:cs="Times New Roman"/>
          <w:color w:val="auto"/>
          <w:sz w:val="24"/>
          <w:szCs w:val="24"/>
          <w:lang w:val="en-US"/>
        </w:rPr>
        <w:t>hydrodissection</w:t>
      </w:r>
      <w:proofErr w:type="spellEnd"/>
      <w:r w:rsidRPr="00297C09">
        <w:rPr>
          <w:rFonts w:ascii="Book Antiqua" w:hAnsi="Book Antiqua" w:cs="Times New Roman"/>
          <w:color w:val="auto"/>
          <w:sz w:val="24"/>
          <w:szCs w:val="24"/>
          <w:lang w:val="en-US"/>
        </w:rPr>
        <w:t xml:space="preserve"> (</w:t>
      </w:r>
      <w:r w:rsidRPr="00297C09">
        <w:rPr>
          <w:rFonts w:ascii="Book Antiqua" w:hAnsi="Book Antiqua" w:cs="Times New Roman"/>
          <w:i/>
          <w:color w:val="auto"/>
          <w:sz w:val="24"/>
          <w:szCs w:val="24"/>
          <w:lang w:val="en-US"/>
        </w:rPr>
        <w:t>n =</w:t>
      </w:r>
      <w:r w:rsidRPr="00297C09">
        <w:rPr>
          <w:rFonts w:ascii="Book Antiqua" w:hAnsi="Book Antiqua" w:cs="Times New Roman"/>
          <w:color w:val="auto"/>
          <w:sz w:val="24"/>
          <w:szCs w:val="24"/>
          <w:lang w:val="en-US"/>
        </w:rPr>
        <w:t xml:space="preserve"> 16), </w:t>
      </w:r>
      <w:proofErr w:type="spellStart"/>
      <w:r w:rsidRPr="00297C09">
        <w:rPr>
          <w:rFonts w:ascii="Book Antiqua" w:hAnsi="Book Antiqua" w:cs="Times New Roman"/>
          <w:color w:val="auto"/>
          <w:sz w:val="24"/>
          <w:szCs w:val="24"/>
          <w:lang w:val="en-US"/>
        </w:rPr>
        <w:t>pneumodissection</w:t>
      </w:r>
      <w:proofErr w:type="spellEnd"/>
      <w:r w:rsidRPr="00297C09">
        <w:rPr>
          <w:rFonts w:ascii="Book Antiqua" w:hAnsi="Book Antiqua" w:cs="Times New Roman"/>
          <w:color w:val="auto"/>
          <w:sz w:val="24"/>
          <w:szCs w:val="24"/>
          <w:lang w:val="en-US"/>
        </w:rPr>
        <w:t xml:space="preserve"> (</w:t>
      </w:r>
      <w:r w:rsidRPr="00297C09">
        <w:rPr>
          <w:rFonts w:ascii="Book Antiqua" w:hAnsi="Book Antiqua" w:cs="Times New Roman"/>
          <w:i/>
          <w:color w:val="auto"/>
          <w:sz w:val="24"/>
          <w:szCs w:val="24"/>
          <w:lang w:val="en-US"/>
        </w:rPr>
        <w:t xml:space="preserve">n </w:t>
      </w:r>
      <w:r w:rsidRPr="00297C09">
        <w:rPr>
          <w:rFonts w:ascii="Book Antiqua" w:hAnsi="Book Antiqua" w:cs="Times New Roman"/>
          <w:color w:val="auto"/>
          <w:sz w:val="24"/>
          <w:szCs w:val="24"/>
          <w:lang w:val="en-US"/>
        </w:rPr>
        <w:t>= 5), or hydro/</w:t>
      </w:r>
      <w:proofErr w:type="spellStart"/>
      <w:r w:rsidRPr="00297C09">
        <w:rPr>
          <w:rFonts w:ascii="Book Antiqua" w:hAnsi="Book Antiqua" w:cs="Times New Roman"/>
          <w:color w:val="auto"/>
          <w:sz w:val="24"/>
          <w:szCs w:val="24"/>
          <w:lang w:val="en-US"/>
        </w:rPr>
        <w:t>pneumodissection</w:t>
      </w:r>
      <w:proofErr w:type="spellEnd"/>
      <w:r w:rsidRPr="00297C09">
        <w:rPr>
          <w:rFonts w:ascii="Book Antiqua" w:hAnsi="Book Antiqua" w:cs="Times New Roman"/>
          <w:color w:val="auto"/>
          <w:sz w:val="24"/>
          <w:szCs w:val="24"/>
          <w:lang w:val="en-US"/>
        </w:rPr>
        <w:t xml:space="preserve"> (</w:t>
      </w:r>
      <w:r w:rsidRPr="00297C09">
        <w:rPr>
          <w:rFonts w:ascii="Book Antiqua" w:hAnsi="Book Antiqua" w:cs="Times New Roman"/>
          <w:i/>
          <w:color w:val="auto"/>
          <w:sz w:val="24"/>
          <w:szCs w:val="24"/>
          <w:lang w:val="en-US"/>
        </w:rPr>
        <w:t>n</w:t>
      </w:r>
      <w:r w:rsidRPr="00297C09">
        <w:rPr>
          <w:rFonts w:ascii="Book Antiqua" w:hAnsi="Book Antiqua" w:cs="Times New Roman"/>
          <w:color w:val="auto"/>
          <w:sz w:val="24"/>
          <w:szCs w:val="24"/>
          <w:lang w:val="en-US"/>
        </w:rPr>
        <w:t xml:space="preserve"> = 2) maneuvers, or with indirect </w:t>
      </w:r>
      <w:proofErr w:type="spellStart"/>
      <w:r w:rsidRPr="00297C09">
        <w:rPr>
          <w:rFonts w:ascii="Book Antiqua" w:hAnsi="Book Antiqua" w:cs="Times New Roman"/>
          <w:color w:val="auto"/>
          <w:sz w:val="24"/>
          <w:szCs w:val="24"/>
          <w:lang w:val="en-US"/>
        </w:rPr>
        <w:t>transhepatic</w:t>
      </w:r>
      <w:proofErr w:type="spellEnd"/>
      <w:r w:rsidRPr="00297C09">
        <w:rPr>
          <w:rFonts w:ascii="Book Antiqua" w:hAnsi="Book Antiqua" w:cs="Times New Roman"/>
          <w:color w:val="auto"/>
          <w:sz w:val="24"/>
          <w:szCs w:val="24"/>
          <w:lang w:val="en-US"/>
        </w:rPr>
        <w:t xml:space="preserve"> (</w:t>
      </w:r>
      <w:r w:rsidRPr="00297C09">
        <w:rPr>
          <w:rFonts w:ascii="Book Antiqua" w:hAnsi="Book Antiqua" w:cs="Times New Roman"/>
          <w:i/>
          <w:color w:val="auto"/>
          <w:sz w:val="24"/>
          <w:szCs w:val="24"/>
          <w:lang w:val="en-US"/>
        </w:rPr>
        <w:t xml:space="preserve">n </w:t>
      </w:r>
      <w:r w:rsidRPr="00297C09">
        <w:rPr>
          <w:rFonts w:ascii="Book Antiqua" w:hAnsi="Book Antiqua" w:cs="Times New Roman"/>
          <w:color w:val="auto"/>
          <w:sz w:val="24"/>
          <w:szCs w:val="24"/>
          <w:lang w:val="en-US"/>
        </w:rPr>
        <w:t xml:space="preserve">= 3) or </w:t>
      </w:r>
      <w:proofErr w:type="spellStart"/>
      <w:r w:rsidRPr="00297C09">
        <w:rPr>
          <w:rFonts w:ascii="Book Antiqua" w:hAnsi="Book Antiqua" w:cs="Times New Roman"/>
          <w:color w:val="auto"/>
          <w:sz w:val="24"/>
          <w:szCs w:val="24"/>
          <w:lang w:val="en-US"/>
        </w:rPr>
        <w:t>transgastric</w:t>
      </w:r>
      <w:proofErr w:type="spellEnd"/>
      <w:r w:rsidRPr="00297C09">
        <w:rPr>
          <w:rFonts w:ascii="Book Antiqua" w:hAnsi="Book Antiqua" w:cs="Times New Roman"/>
          <w:color w:val="auto"/>
          <w:sz w:val="24"/>
          <w:szCs w:val="24"/>
          <w:lang w:val="en-US"/>
        </w:rPr>
        <w:t xml:space="preserve"> (</w:t>
      </w:r>
      <w:r w:rsidRPr="00297C09">
        <w:rPr>
          <w:rFonts w:ascii="Book Antiqua" w:hAnsi="Book Antiqua" w:cs="Times New Roman"/>
          <w:i/>
          <w:color w:val="auto"/>
          <w:sz w:val="24"/>
          <w:szCs w:val="24"/>
          <w:lang w:val="en-US"/>
        </w:rPr>
        <w:t xml:space="preserve">n </w:t>
      </w:r>
      <w:r w:rsidRPr="00297C09">
        <w:rPr>
          <w:rFonts w:ascii="Book Antiqua" w:hAnsi="Book Antiqua" w:cs="Times New Roman"/>
          <w:color w:val="auto"/>
          <w:sz w:val="24"/>
          <w:szCs w:val="24"/>
          <w:lang w:val="en-US"/>
        </w:rPr>
        <w:t>= 2) access (Figures 2</w:t>
      </w:r>
      <w:r w:rsidR="00877548">
        <w:rPr>
          <w:rFonts w:ascii="Book Antiqua" w:hAnsi="Book Antiqua" w:cs="Times New Roman" w:hint="eastAsia"/>
          <w:color w:val="auto"/>
          <w:sz w:val="24"/>
          <w:szCs w:val="24"/>
          <w:lang w:val="en-US" w:eastAsia="zh-CN"/>
        </w:rPr>
        <w:t xml:space="preserve">, 3, 4 and </w:t>
      </w:r>
      <w:r w:rsidRPr="00297C09">
        <w:rPr>
          <w:rFonts w:ascii="Book Antiqua" w:hAnsi="Book Antiqua" w:cs="Times New Roman"/>
          <w:color w:val="auto"/>
          <w:sz w:val="24"/>
          <w:szCs w:val="24"/>
          <w:lang w:val="en-US"/>
        </w:rPr>
        <w:t>5). Access was anterior in 77.7% (80/103) of cases, posterior or paravertebral in 14.6% (15/103), and left lateral in 7.8% (8/103) of cases. An 18 G needle was used in most (100/103; 97.1%) cases; 20 G (</w:t>
      </w:r>
      <w:r w:rsidRPr="00297C09">
        <w:rPr>
          <w:rFonts w:ascii="Book Antiqua" w:hAnsi="Book Antiqua" w:cs="Times New Roman"/>
          <w:i/>
          <w:color w:val="auto"/>
          <w:sz w:val="24"/>
          <w:szCs w:val="24"/>
          <w:lang w:val="en-US"/>
        </w:rPr>
        <w:t xml:space="preserve">n </w:t>
      </w:r>
      <w:r w:rsidRPr="00297C09">
        <w:rPr>
          <w:rFonts w:ascii="Book Antiqua" w:hAnsi="Book Antiqua" w:cs="Times New Roman"/>
          <w:color w:val="auto"/>
          <w:sz w:val="24"/>
          <w:szCs w:val="24"/>
          <w:lang w:val="en-US"/>
        </w:rPr>
        <w:t>= 2) and 16 G (</w:t>
      </w:r>
      <w:r w:rsidRPr="00297C09">
        <w:rPr>
          <w:rFonts w:ascii="Book Antiqua" w:hAnsi="Book Antiqua" w:cs="Times New Roman"/>
          <w:i/>
          <w:color w:val="auto"/>
          <w:sz w:val="24"/>
          <w:szCs w:val="24"/>
          <w:lang w:val="en-US"/>
        </w:rPr>
        <w:t xml:space="preserve">n </w:t>
      </w:r>
      <w:r w:rsidRPr="00297C09">
        <w:rPr>
          <w:rFonts w:ascii="Book Antiqua" w:hAnsi="Book Antiqua" w:cs="Times New Roman"/>
          <w:color w:val="auto"/>
          <w:sz w:val="24"/>
          <w:szCs w:val="24"/>
          <w:lang w:val="en-US"/>
        </w:rPr>
        <w:t xml:space="preserve">= 1) needles were used in the remaining cases. The mean length of the coaxial needle’s trajectory from the skin to the lesion was 84.3 mm (range: 9 – 158 mm). </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eastAsia="Arial" w:hAnsi="Book Antiqua" w:cs="Times New Roman"/>
          <w:color w:val="auto"/>
          <w:sz w:val="24"/>
          <w:szCs w:val="24"/>
          <w:lang w:val="en-US"/>
        </w:rPr>
        <w:t xml:space="preserve">Histologic analyses were performed on all biopsies (Figures 6 and 7). Diagnoses were conclusive in </w:t>
      </w:r>
      <w:r w:rsidRPr="00297C09">
        <w:rPr>
          <w:rFonts w:ascii="Book Antiqua" w:hAnsi="Book Antiqua" w:cs="Times New Roman"/>
          <w:color w:val="auto"/>
          <w:sz w:val="24"/>
          <w:szCs w:val="24"/>
          <w:lang w:val="en-US"/>
        </w:rPr>
        <w:t xml:space="preserve">98.1% (101/103) of cases, confirming 3.9% (4/103) of tumors as benign and 94.2% (97/103) as malignant: 84.5% (87/103) were adenocarcinomas, 2.9% (3/103) were neuroendocrine tumors, 5.8% (6/103) were metastases, and 1.0% (1/103) was a primary </w:t>
      </w:r>
      <w:proofErr w:type="spellStart"/>
      <w:r w:rsidRPr="00297C09">
        <w:rPr>
          <w:rFonts w:ascii="Book Antiqua" w:hAnsi="Book Antiqua" w:cs="Times New Roman"/>
          <w:color w:val="auto"/>
          <w:sz w:val="24"/>
          <w:szCs w:val="24"/>
          <w:lang w:val="en-US"/>
        </w:rPr>
        <w:t>leiomyosarcoma</w:t>
      </w:r>
      <w:proofErr w:type="spellEnd"/>
      <w:r w:rsidRPr="00297C09">
        <w:rPr>
          <w:rFonts w:ascii="Book Antiqua" w:hAnsi="Book Antiqua" w:cs="Times New Roman"/>
          <w:color w:val="auto"/>
          <w:sz w:val="24"/>
          <w:szCs w:val="24"/>
          <w:lang w:val="en-US"/>
        </w:rPr>
        <w:t xml:space="preserve">. Of the patients with tumors metastasizing to the pancreas, two had pulmonary adenocarcinoma and one each had esophageal cancer, choroidal melanoma, a neuroendocrine tumor, and a solitary fibrous tumor. Only two cases had inconclusive biopsy results, requiring a second biopsy to diagnose a neuroendocrine tumor, and surgical resection to confirm a primary adenocarcinoma. CT-guided biopsy confirmed adenocarcinoma in the seven patients who had negative </w:t>
      </w:r>
      <w:proofErr w:type="spellStart"/>
      <w:r w:rsidRPr="00297C09">
        <w:rPr>
          <w:rFonts w:ascii="Book Antiqua" w:hAnsi="Book Antiqua" w:cs="Times New Roman"/>
          <w:color w:val="auto"/>
          <w:sz w:val="24"/>
          <w:szCs w:val="24"/>
          <w:lang w:val="en-US"/>
        </w:rPr>
        <w:t>echoendoscopy</w:t>
      </w:r>
      <w:proofErr w:type="spellEnd"/>
      <w:r w:rsidRPr="00297C09">
        <w:rPr>
          <w:rFonts w:ascii="Book Antiqua" w:hAnsi="Book Antiqua" w:cs="Times New Roman"/>
          <w:color w:val="auto"/>
          <w:sz w:val="24"/>
          <w:szCs w:val="24"/>
          <w:lang w:val="en-US"/>
        </w:rPr>
        <w:t>-guided FNA results.</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 xml:space="preserve">No major procedure-related complications </w:t>
      </w:r>
      <w:r w:rsidRPr="00297C09">
        <w:rPr>
          <w:rFonts w:ascii="Book Antiqua" w:eastAsia="Arial" w:hAnsi="Book Antiqua" w:cs="Times New Roman"/>
          <w:color w:val="auto"/>
          <w:sz w:val="24"/>
          <w:szCs w:val="24"/>
          <w:lang w:val="en-US"/>
        </w:rPr>
        <w:t xml:space="preserve">were observed. Mild to moderate complications occurred in </w:t>
      </w:r>
      <w:r w:rsidRPr="00297C09">
        <w:rPr>
          <w:rFonts w:ascii="Book Antiqua" w:hAnsi="Book Antiqua" w:cs="Times New Roman"/>
          <w:color w:val="auto"/>
          <w:sz w:val="24"/>
          <w:szCs w:val="24"/>
          <w:lang w:val="en-US"/>
        </w:rPr>
        <w:t>8.7% (9/103) of patients, which</w:t>
      </w:r>
      <w:r w:rsidRPr="00297C09">
        <w:rPr>
          <w:rFonts w:ascii="Book Antiqua" w:hAnsi="Book Antiqua" w:cs="Arial"/>
          <w:color w:val="auto"/>
          <w:sz w:val="24"/>
          <w:szCs w:val="24"/>
          <w:lang w:val="en-US"/>
        </w:rPr>
        <w:t xml:space="preserve"> resolved spontaneously without treatment</w:t>
      </w:r>
      <w:r w:rsidRPr="00297C09">
        <w:rPr>
          <w:rFonts w:ascii="Book Antiqua" w:hAnsi="Book Antiqua" w:cs="Times New Roman"/>
          <w:color w:val="auto"/>
          <w:sz w:val="24"/>
          <w:szCs w:val="24"/>
          <w:lang w:val="en-US"/>
        </w:rPr>
        <w:t xml:space="preserve">; retroperitoneal and </w:t>
      </w:r>
      <w:proofErr w:type="spellStart"/>
      <w:r w:rsidRPr="00297C09">
        <w:rPr>
          <w:rFonts w:ascii="Book Antiqua" w:hAnsi="Book Antiqua" w:cs="Times New Roman"/>
          <w:color w:val="auto"/>
          <w:sz w:val="24"/>
          <w:szCs w:val="24"/>
          <w:lang w:val="en-US"/>
        </w:rPr>
        <w:t>subcapsular</w:t>
      </w:r>
      <w:proofErr w:type="spellEnd"/>
      <w:r w:rsidRPr="00297C09">
        <w:rPr>
          <w:rFonts w:ascii="Book Antiqua" w:hAnsi="Book Antiqua" w:cs="Times New Roman"/>
          <w:color w:val="auto"/>
          <w:sz w:val="24"/>
          <w:szCs w:val="24"/>
          <w:lang w:val="en-US"/>
        </w:rPr>
        <w:t xml:space="preserve"> hepatic hematomas (</w:t>
      </w:r>
      <w:r w:rsidRPr="00297C09">
        <w:rPr>
          <w:rFonts w:ascii="Book Antiqua" w:hAnsi="Book Antiqua" w:cs="Times New Roman"/>
          <w:i/>
          <w:color w:val="auto"/>
          <w:sz w:val="24"/>
          <w:szCs w:val="24"/>
          <w:lang w:val="en-US"/>
        </w:rPr>
        <w:t>n</w:t>
      </w:r>
      <w:r w:rsidRPr="00297C09">
        <w:rPr>
          <w:rFonts w:ascii="Book Antiqua" w:hAnsi="Book Antiqua" w:cs="Times New Roman"/>
          <w:color w:val="auto"/>
          <w:sz w:val="24"/>
          <w:szCs w:val="24"/>
          <w:lang w:val="en-US"/>
        </w:rPr>
        <w:t xml:space="preserve"> = 6) occurred immediately after biopsy, and bleeding, symptomatic, and asymptomatic pancreatitis (</w:t>
      </w:r>
      <w:r w:rsidRPr="00297C09">
        <w:rPr>
          <w:rFonts w:ascii="Book Antiqua" w:hAnsi="Book Antiqua" w:cs="Times New Roman"/>
          <w:i/>
          <w:color w:val="auto"/>
          <w:sz w:val="24"/>
          <w:szCs w:val="24"/>
          <w:lang w:val="en-US"/>
        </w:rPr>
        <w:t xml:space="preserve">n </w:t>
      </w:r>
      <w:r w:rsidRPr="00297C09">
        <w:rPr>
          <w:rFonts w:ascii="Book Antiqua" w:hAnsi="Book Antiqua" w:cs="Times New Roman"/>
          <w:color w:val="auto"/>
          <w:sz w:val="24"/>
          <w:szCs w:val="24"/>
          <w:lang w:val="en-US"/>
        </w:rPr>
        <w:t xml:space="preserve">= 3) developed later. Patients with complications did not differ from those without complications with respect to age, lesion size, or lesion-skin distance (Table 1). Complications were more commonly associated with biopsies of lesions </w:t>
      </w:r>
      <w:r w:rsidRPr="00297C09">
        <w:rPr>
          <w:rFonts w:ascii="Book Antiqua" w:hAnsi="Book Antiqua" w:cs="Times New Roman"/>
          <w:color w:val="auto"/>
          <w:sz w:val="24"/>
          <w:szCs w:val="24"/>
          <w:lang w:val="en-US"/>
        </w:rPr>
        <w:lastRenderedPageBreak/>
        <w:t>located in the head/</w:t>
      </w:r>
      <w:proofErr w:type="spellStart"/>
      <w:r w:rsidRPr="00297C09">
        <w:rPr>
          <w:rFonts w:ascii="Book Antiqua" w:hAnsi="Book Antiqua" w:cs="Times New Roman"/>
          <w:color w:val="auto"/>
          <w:sz w:val="24"/>
          <w:szCs w:val="24"/>
          <w:lang w:val="en-US"/>
        </w:rPr>
        <w:t>uncinate</w:t>
      </w:r>
      <w:proofErr w:type="spellEnd"/>
      <w:r w:rsidRPr="00297C09">
        <w:rPr>
          <w:rFonts w:ascii="Book Antiqua" w:hAnsi="Book Antiqua" w:cs="Times New Roman"/>
          <w:color w:val="auto"/>
          <w:sz w:val="24"/>
          <w:szCs w:val="24"/>
          <w:lang w:val="en-US"/>
        </w:rPr>
        <w:t xml:space="preserve"> process, and did not differ according to biopsy technique, access type, or needle caliber (Table 2). There were no suspicious cases of tumor seeding in this case series.</w:t>
      </w:r>
    </w:p>
    <w:p w:rsidR="00E95D22" w:rsidRPr="00297C09" w:rsidRDefault="00E95D22" w:rsidP="00E95D22">
      <w:pPr>
        <w:snapToGrid w:val="0"/>
        <w:spacing w:after="0" w:line="360" w:lineRule="auto"/>
        <w:contextualSpacing/>
        <w:jc w:val="both"/>
        <w:rPr>
          <w:rFonts w:ascii="Book Antiqua" w:eastAsia="宋体" w:hAnsi="Book Antiqua" w:cs="Times New Roman"/>
          <w:color w:val="auto"/>
          <w:sz w:val="24"/>
          <w:szCs w:val="24"/>
          <w:lang w:val="en-US" w:eastAsia="zh-CN"/>
        </w:rPr>
      </w:pPr>
    </w:p>
    <w:p w:rsidR="00E95D22" w:rsidRPr="00297C09" w:rsidRDefault="00E95D22" w:rsidP="00E95D22">
      <w:pPr>
        <w:snapToGrid w:val="0"/>
        <w:spacing w:after="0" w:line="360" w:lineRule="auto"/>
        <w:contextualSpacing/>
        <w:jc w:val="both"/>
        <w:rPr>
          <w:rFonts w:ascii="Book Antiqua" w:eastAsia="Arial Bold" w:hAnsi="Book Antiqua" w:cs="Times New Roman"/>
          <w:b/>
          <w:color w:val="auto"/>
          <w:sz w:val="24"/>
          <w:szCs w:val="24"/>
          <w:lang w:val="en-US"/>
        </w:rPr>
      </w:pPr>
      <w:r w:rsidRPr="00297C09">
        <w:rPr>
          <w:rFonts w:ascii="Book Antiqua" w:hAnsi="Book Antiqua" w:cs="Times New Roman"/>
          <w:b/>
          <w:color w:val="auto"/>
          <w:sz w:val="24"/>
          <w:szCs w:val="24"/>
          <w:lang w:val="en-US"/>
        </w:rPr>
        <w:t>DISCUSSION</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CT-guided core needle biopsy is a well-established routine procedure for obtaining samples from various organs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"10.1016/j.ejrad.2010.09.038", "ISSN" : "1872-7727", "PMID" : "21030172", "abstract" : "OBJECTIVE: Computed guided percutaneous biopsy of lung lesions is widely accepted as an effective and safe procedure for specific diagnose. The purpose of this study is to present the experience of an oncology center in the use of computed tomography (CT)-guided cutting needle biopsy as an effective procedure for adequate material and specific diagnose of lung lesions. SUBJECTS AND METHODS: This study reports a retrospective analysis of 94 consecutive patients admitted in an oncologic center, reference in Brazil (Hospital do C\u00e2ncer-AC Camargo), between 1996 and 2004, who were submitted to 97 CT guided cutting needle biopsy of pulmonary lesions. Informations of material adequacy and specific diagnose were studied. RESULTS: In a total of 97 biopsies of lung lesions, 94 (96.9%) supplied adequate material for histological analyses with 71 (73.2%) as malignant lesions and 23 (23.7%) diagnosed as benign lesions and in 3 biopsies the material supplied was inadequate. The frequency of specific diagnosis was higher in both malignant and benign lesions with 63 (88.7%) cases and 20 (86.7%) cases respectively. CONCLUSIONS: CT-guided cutting needle biopsy is an effective procedure for adequate material and specific diagnostic for malignant and benign lung lesions.", "author" : [ { "dropping-particle" : "", "family" : "Guimaraes", "given" : "Marcos Duarte", "non-dropping-particle" : "", "parse-names" : false, "suffix" : "" }, { "dropping-particle" : "", "family" : "Andrade", "given" : "Marcony Queiroz", "non-dropping-particle" : "de", "parse-names" : false, "suffix" : "" }, { "dropping-particle" : "", "family" : "Fonte", "given" : "Alexandre Calabria", "non-dropping-particle" : "da", "parse-names" : false, "suffix" : "" }, { "dropping-particle" : "", "family" : "Chojniak", "given" : "Rubens", "non-dropping-particle" : "", "parse-names" : false, "suffix" : "" }, { "dropping-particle" : "", "family" : "Gross", "given" : "Jefferson Luiz", "non-dropping-particle" : "", "parse-names" : false, "suffix" : "" } ], "container-title" : "European journal of radiology", "id" : "ITEM-1", "issue" : "3", "issued" : { "date-parts" : [ [ "2011", "12" ] ] }, "page" : "e488-90", "title" : "CT-guided cutting needle biopsy of lung lesions--an effective procedure for adequate material and specific diagnose.", "type" : "article-journal", "volume" : "80" }, "uris" : [ "http://www.mendeley.com/documents/?uuid=7db0fedc-b584-49d1-ac66-e7ee69c39dd9" ] }, { "id" : "ITEM-2", "itemData" : { "DOI" : "/S1516-31802006000100003", "ISSN" : "1516-3180", "PMID" : "16612456", "abstract" : "CONTEXT AND OBJECTIVE: Computed tomography (CT) guided biopsy is widely accepted as effective and safe for diagnosis in many settings. Accuracy depends on target organ and needle type. Cutting needles present advantages over fine needles. This study presents experience from CT guided biopsies performed at an oncology center. DESIGN AND SETTING: Retrospective study at Hospital do C\u00e2ncer A. C. Camargo, S\u00e3o Paulo. METHODS: 1,300 consecutive CT guided biopsies performed between July 1994 and February 2000 were analyzed. Nodules or masses were suspected as primary malignancy in 845 cases (65%) or metastatic lesion in 455 (35%). 628 lesions were thoracic, 281 abdominal, 208 retroperitoneal, 134 musculoskeletal and 49 head/neck. All biopsies were performed by one radiologist or under his supervision: 765 (59%) with 22-gauge fine-needle/aspiration technique and 535 (41%) with automated 16 or 18-gauge cutting-needle biopsy. RESULTS: Adequate samples were obtained in 70-92% of fine-needle and 93-100% of cutting-needle biopsies. The specific diagnosis rates were 54-67% for fine-needle and 82-100% for cutting-needle biopsies, according to biopsy site. For any site, sample adequacy and specific diagnosis rate were always better for cutting-needle biopsy. Among 530 lung biopsies, there were 84 pneumothorax (16%) and two hemothorax (0.3%) cases, with thoracic drainage in 24 (4.9%). Among abdominal and retroperitoneal biopsies, there were two cases of major bleeding and one of peritonitis. CONCLUSION: Both types of needle showed satisfactory results, but cutting-needle biopsy should be used when specific diagnosis is desired without greater incidence of complications.", "author" : [ { "dropping-particle" : "", "family" : "Chojniak", "given" : "Rubens", "non-dropping-particle" : "", "parse-names" : false, "suffix" : "" }, { "dropping-particle" : "", "family" : "Isberner", "given" : "Rony Klaus", "non-dropping-particle" : "", "parse-names" : false, "suffix" : "" }, { "dropping-particle" : "", "family" : "Viana", "given" : "Luciana Marinho", "non-dropping-particle" : "", "parse-names" : false, "suffix" : "" }, { "dropping-particle" : "", "family" : "Yu", "given" : "Liao Shin", "non-dropping-particle" : "", "parse-names" : false, "suffix" : "" }, { "dropping-particle" : "", "family" : "Aita", "given" : "Alessandro Amorim", "non-dropping-particle" : "", "parse-names" : false, "suffix" : "" }, { "dropping-particle" : "", "family" : "Soares", "given" : "Fernando Augusto", "non-dropping-particle" : "", "parse-names" : false, "suffix" : "" } ], "container-title" : "S\u00e3o Paulo medical journal = Revista paulista de medicina", "id" : "ITEM-2", "issue" : "1", "issued" : { "date-parts" : [ [ "2006", "1", "5" ] ] }, "page" : "10-4", "title" : "Computed tomography guided needle biopsy: experience from 1,300 procedures.", "type" : "article-journal", "volume" : "124" }, "uris" : [ "http://www.mendeley.com/documents/?uuid=3e8bf6cf-a84c-4fda-b21a-52a2b263634a" ] }, { "id" : "ITEM-3", "itemData" : { "DOI" : "10.1055/s-0031-1281594", "ISSN" : "1438-9010", "PMID" : "21830181", "abstract" : "PURPOSE: To retrospectively evaluate the quality and complications of CT-guided biopsies and their impact on treatment. MATERIALS AND METHODS: A total of 265 CT-guided interventions performed during a 6-month period were extracted by digital database query. These included 127 CT-guided biopsies, which were classified by patient age, organ/body area, histopathological biopsy diagnosis, complications, and performing physician. RESULTS: In 51 % of cases (65 / 127), CT-guided biopsies led to a malignant diagnosis and a change in the patient's treatment. Retrospectively, complications were to be expected in a range of 12 - 26 %, given a 95 % confidence interval. In terms of organ/body area, most complications occurred in lung biopsies (23 / 56; 41 %). 80 % of CT-guided biopsies were performed without complications. 2 of the 11 physicians performed 66 % of all biopsies (84 / 127) and had significantly fewer complications than the others. Patient age was a statistically significant factor for complications (p &lt; 0.018) as well as for a malignant biopsy diagnosis (p &lt; 0.009). CONCLUSION: Our initial quality control assessment suggests that frequent use of CT-guided biopsy by the performing physician rather than the general level of experience is associated with fewer complications for patients. Age is a significant factor for complications of CT-guided biopsies, thus leading to an increased risk/benefit ratio. As expected, age also significantly increases the risk of a malignant biopsy result. Complications and malignant biopsy results were not significantly associated. CT-guided biopsies triggered a change in treatment in over 50 % of cases.", "author" : [ { "dropping-particle" : "", "family" : "Bucourt", "given" : "M", "non-dropping-particle" : "de", "parse-names" : false, "suffix" : "" }, { "dropping-particle" : "", "family" : "Busse", "given" : "R", "non-dropping-particle" : "", "parse-names" : false, "suffix" : "" }, { "dropping-particle" : "", "family" : "Zada", "given" : "O", "non-dropping-particle" : "", "parse-names" : false, "suffix" : "" }, { "dropping-particle" : "", "family" : "Kaschke", "given" : "H", "non-dropping-particle" : "", "parse-names" : false, "suffix" : "" }, { "dropping-particle" : "", "family" : "Weiss", "given" : "A", "non-dropping-particle" : "", "parse-names" : false, "suffix" : "" }, { "dropping-particle" : "", "family" : "Teichgr\u00e4ber", "given" : "U", "non-dropping-particle" : "", "parse-names" : false, "suffix" : "" }, { "dropping-particle" : "", "family" : "Rogalla", "given" : "P", "non-dropping-particle" : "", "parse-names" : false, "suffix" : "" }, { "dropping-particle" : "", "family" : "Hein", "given" : "P A", "non-dropping-particle" : "", "parse-names" : false, "suffix" : "" } ], "container-title" : "R\u00f6Fo : Fortschritte auf dem Gebiete der R\u00f6ntgenstrahlen und der Nuklearmedizin", "id" : "ITEM-3", "issue" : "9", "issued" : { "date-parts" : [ [ "2011", "9" ] ] }, "page" : "842-8", "title" : "CT-guided biopsies: quality, complications and impact on treatment: a retrospective initial quality control.", "type" : "article-journal", "volume" : "183" }, "uris" : [ "http://www.mendeley.com/documents/?uuid=2d7123e6-4159-43b7-a32c-e0c0c4e75d6b" ] } ], "mendeley" : { "previouslyFormattedCitation" : "&lt;sup&gt;[8\u201310]&lt;/sup&gt;"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[8–10]</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Most studies, including this one, demonstrate that this procedure has &gt;</w:t>
      </w:r>
      <w:r w:rsidR="00A9060E">
        <w:rPr>
          <w:rFonts w:ascii="Book Antiqua" w:hAnsi="Book Antiqua" w:cs="Times New Roman" w:hint="eastAsia"/>
          <w:color w:val="auto"/>
          <w:sz w:val="24"/>
          <w:szCs w:val="24"/>
          <w:lang w:val="en-US" w:eastAsia="zh-CN"/>
        </w:rPr>
        <w:t xml:space="preserve"> </w:t>
      </w:r>
      <w:r w:rsidRPr="00297C09">
        <w:rPr>
          <w:rFonts w:ascii="Book Antiqua" w:hAnsi="Book Antiqua" w:cs="Times New Roman"/>
          <w:color w:val="auto"/>
          <w:sz w:val="24"/>
          <w:szCs w:val="24"/>
          <w:lang w:val="en-US"/>
        </w:rPr>
        <w:t>90% diagnostic accuracy for pancreatic lesions (Table 3)</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"10.2214/AJR.05.0366", "ISSN" : "1546-3141", "PMID" : "16928943", "abstract" : "OBJECTIVE: The purpose of this study was to determine the sensitivity and accuracy of imaging-guided core biopsy in the diagnosis of pancreatic masses. CONCLUSION: Imaging-guided core biopsy is sensitive, safe, and accurate in the diagnosis of malignant lesions of the pancreas. Benign biopsy findings cannot be used to exclude the presence of a neoplasm, and repetition of a biopsy should be considered if there is high clinical suspicion of malignancy.", "author" : [ { "dropping-particle" : "", "family" : "Paulsen", "given" : "Sean D", "non-dropping-particle" : "", "parse-names" : false, "suffix" : "" }, { "dropping-particle" : "V", "family" : "Nghiem", "given" : "Hanh", "non-dropping-particle" : "", "parse-names" : false, "suffix" : "" }, { "dropping-particle" : "", "family" : "Negussie", "given" : "Edsa", "non-dropping-particle" : "", "parse-names" : false, "suffix" : "" }, { "dropping-particle" : "", "family" : "Higgins", "given" : "Ellen J", "non-dropping-particle" : "", "parse-names" : false, "suffix" : "" }, { "dropping-particle" : "", "family" : "Caoili", "given" : "Elaine M", "non-dropping-particle" : "", "parse-names" : false, "suffix" : "" }, { "dropping-particle" : "", "family" : "Francis", "given" : "Isaac R", "non-dropping-particle" : "", "parse-names" : false, "suffix" : "" } ], "container-title" : "AJR. American journal of roentgenology", "id" : "ITEM-1", "issue" : "3", "issued" : { "date-parts" : [ [ "2006", "9" ] ] }, "page" : "769-72", "title" : "Evaluation of imaging-guided core biopsy of pancreatic masses.", "type" : "article-journal", "volume" : "187" }, "uris" : [ "http://www.mendeley.com/documents/?uuid=3ba36960-9658-45a1-8822-ef6258159fb1" ] }, { "id" : "ITEM-2", "itemData" : { "ISSN" : "0039-6060", "PMID" : "8693427", "abstract" : "BACKGROUND: Radiologic diagnosis of pancreatic tumors exhibits limited precision. The aim of this study was to investigate the outcome and complications of pancreatic core biopsy in patients with suspected pancreatic neoplasms. METHODS: One hundred patients underwent ultrasonography-guided core biopsy of 1.2 mm external diameter. Medical charts were examined for biochemical and clinical signs of complications. Final diagnosis was settled by operation, autopsy, and clinical signs of the disease including survival with at least 2.3 years of follow-up. RESULTS: Histopathologic biopsy evaluation showed correct discrimination between exocrine and endocrine tumors and nonneoplastic conditions in 89 patients. No false-positive cancer diagnosis was found, and guidance on nature of primary tumors was obtained for eight of eight metastases. The sensitivity was 91% for exocrine and 87% for endocrine pancreatic tumors, and negative predictive values of these diagnoses were 83% and 97%, respectively. No clinically significant complications were noted. CONCLUSIONS: Core biopsy is an attractive alternative to diagnostic laparotomy in unresectable pancreatic cancer and efficiently provides diagnosis of endocrine tumors and pancreatic metastases in conjunction with rare complications. Benign biopsy findings cannot be used to exclude presence of primary or metastatic pancreatic neoplasms.", "author" : [ { "dropping-particle" : "", "family" : "Karlson", "given" : "B M", "non-dropping-particle" : "", "parse-names" : false, "suffix" : "" }, { "dropping-particle" : "", "family" : "Forsman", "given" : "C A", "non-dropping-particle" : "", "parse-names" : false, "suffix" : "" }, { "dropping-particle" : "", "family" : "Wilander", "given" : "E", "non-dropping-particle" : "", "parse-names" : false, "suffix" : "" }, { "dropping-particle" : "", "family" : "Skogseid", "given" : "B", "non-dropping-particle" : "", "parse-names" : false, "suffix" : "" }, { "dropping-particle" : "", "family" : "Lindgren", "given" : "P G", "non-dropping-particle" : "", "parse-names" : false, "suffix" : "" }, { "dropping-particle" : "", "family" : "Jacobson", "given" : "G", "non-dropping-particle" : "", "parse-names" : false, "suffix" : "" }, { "dropping-particle" : "", "family" : "Rastad", "given" : "J", "non-dropping-particle" : "", "parse-names" : false, "suffix" : "" } ], "container-title" : "Surgery", "id" : "ITEM-2", "issue" : "1", "issued" : { "date-parts" : [ [ "1996", "7" ] ] }, "page" : "75-9", "title" : "Efficiency of percutaneous core biopsy in pancreatic tumor diagnosis.", "type" : "article-journal", "volume" : "120" }, "uris" : [ "http://www.mendeley.com/documents/?uuid=3c2c4798-177a-4fa3-84f0-2aee5bc0e6d0" ] }, { "id" : "ITEM-3", "itemData" : { "DOI" : "10.1007/s11605-007-0114-2", "ISSN" : "1091-255X", "PMID" : "17562121", "abstract" : "Pancreatic cancer is the 4th leading cause of cancer death annually. Recent technological advances in imaging have led to non-uniformity in the evaluation of pancreatic neoplasms. The following article describes the history behind various biopsy techniques and the rationale for obtaining a biopsy of a pancreatic neoplasm and discusses the benefits and disadvantages of the various pancreatic biopsy techniques, including fine needle aspiration biopsy, Tru-cut needle biopsy, endoscopic brushings/cytology, and endoscopic ultrasound guided biopsies. A treatment algorithm for pancreatic neoplasms is then presented.", "author" : [ { "dropping-particle" : "", "family" : "Goldin", "given" : "Steven B", "non-dropping-particle" : "", "parse-names" : false, "suffix" : "" }, { "dropping-particle" : "", "family" : "Bradner", "given" : "Michael W", "non-dropping-particle" : "", "parse-names" : false, "suffix" : "" }, { "dropping-particle" : "", "family" : "Zervos", "given" : "Emmanuel E", "non-dropping-particle" : "", "parse-names" : false, "suffix" : "" }, { "dropping-particle" : "", "family" : "Rosemurgy", "given" : "Alexander S", "non-dropping-particle" : "", "parse-names" : false, "suffix" : "" } ], "container-title" : "Journal of gastrointestinal surgery : official journal of the Society for Surgery of the Alimentary Tract", "id" : "ITEM-3", "issue" : "6", "issued" : { "date-parts" : [ [ "2007", "6" ] ] }, "page" : "783-90", "title" : "Assessment of pancreatic neoplasms: review of biopsy techniques.", "type" : "article-journal", "volume" : "11" }, "uris" : [ "http://www.mendeley.com/documents/?uuid=5015a8ff-07c5-456b-a163-f51055911791" ] }, { "id" : "ITEM-4", "itemData" : { "DOI" : "10.1016/j.crad.2006.07.005", "ISSN" : "0009-9260", "PMID" : "17097419", "abstract" : "AIMS: To determine the sensitivity and complications of percutaneous biopsy of pancreatic masses, and whether typical computed tomography (CT) features of adenocarcinoma can reliably predict this diagnosis. MATERIALS AND METHODS: A 5 year retrospective analysis of percutaneous core biopsies of pancreatic masses and their CT features was undertaken. Data were retrieved from surgical/pathology databases; medical records and CT reports and images. RESULTS: Three hundred and three patients underwent 372 biopsies; 56 of 87 patients had repeat biopsies. Malignancy was diagnosed in 276 patients, with ductal adenocarcinoma in 259 (85%). Final sensitivity of percutaneous biopsy for diagnosing pancreatic neoplasms was 90%; for repeat biopsy it was 87%. Complications occurred in 17 (4.6%) patients, in three of whom the complications were major (1%): one abscess, one duodenal perforation, one large retroperitoneal bleed. CT features typical of ductal adenocarcinoma were: hypovascular pancreatic mass with bile and/or pancreatic duct dilatation. Atypical CT features were: isodense or hypervascular mass, calcification, non-dilated ducts, cystic change, and extensive lymphadenopathy. Defining typical CT features of adenocarcinoma as true-positives, CT had a sensitivity of 68%, specificity of 95%, positive predictive value (PPV) of 98%, and negative predictive value of 41% for diagnosing pancreatic adenocarcinoma. CONCLUSION: Final sensitivity of percutaneous biopsy for establishing the diagnosis was 90%. CT features typical of pancreatic adenocarcinoma had high specificity and PPV. On some occasions, especially in frail patients with co-morbidity, it might be reasonable to assume a diagnosis of pancreatic cancer if CT features are typical, and biopsy only if CT shows atypical features.", "author" : [ { "dropping-particle" : "", "family" : "Amin", "given" : "Z", "non-dropping-particle" : "", "parse-names" : false, "suffix" : "" }, { "dropping-particle" : "", "family" : "Theis", "given" : "B", "non-dropping-particle" : "", "parse-names" : false, "suffix" : "" }, { "dropping-particle" : "", "family" : "Russell", "given" : "R C G", "non-dropping-particle" : "", "parse-names" : false, "suffix" : "" }, { "dropping-particle" : "", "family" : "House", "given" : "C", "non-dropping-particle" : "", "parse-names" : false, "suffix" : "" }, { "dropping-particle" : "", "family" : "Novelli", "given" : "M", "non-dropping-particle" : "", "parse-names" : false, "suffix" : "" }, { "dropping-particle" : "", "family" : "Lees", "given" : "W R", "non-dropping-particle" : "", "parse-names" : false, "suffix" : "" } ], "container-title" : "Clinical radiology", "id" : "ITEM-4", "issue" : "12", "issued" : { "date-parts" : [ [ "2006", "12" ] ] }, "page" : "996-1002", "title" : "Diagnosing pancreatic cancer: the role of percutaneous biopsy and CT.", "type" : "article-journal", "volume" : "61" }, "uris" : [ "http://www.mendeley.com/documents/?uuid=8d53d854-b735-42bb-a455-ce9542426217" ] } ], "mendeley" : { "previouslyFormattedCitation" : "&lt;sup&gt;[2,4,5,11]&lt;/sup&gt;"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[2,4,5,11–13]</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In our cohort, histologic diagnosis based on percutaneous biopsy samples was considered indeterminate in only two cases, which were later confirmed to be malignant.</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Core needle biopsy is considerably more sensitive than FNA for the diagnosis of pancreatic diseases, particularly when the differential diagnosis includes neuroendocrine tumors and chronic pancreatitis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"ISSN" : "1221-4167", "PMID" : "12532207", "abstract" : "The diagnosis of pancreatic masses is often very difficult despite the new developments in imaging methods. As a correct diagnosis has a great impact on the therapy, in certain circumstances it is mandatory to obtain a morphological diagnosis. Although the indications for percutaneous pancreatic biopsy are not standardized, in many circumstances- inoperable pancreatic tumor, suspicion of lymphoma, metastasis or neuroendocrine tumors, differentiation between cystic tumors - a biopsy is clearly indicated. Pancreatic biopsy is usually performed by fine-needles either for cytology or microhistology, the use of larger needles for core biopsy adding a slightly improvement in sensitivity especially in masses from chronic pancreatitis or neuroendocrine tumors. Complications occur seldom, acute pancreatitis and tumoral seeding being the most important. Percutaneous pancreatic biopsy is a safe, flexible and reliable method for diagnosing pancreatic masses", "author" : [ { "dropping-particle" : "", "family" : "Sp\u00e2rchez", "given" : "Zeno", "non-dropping-particle" : "", "parse-names" : false, "suffix" : "" } ], "container-title" : "Romanian journal of gastroenterology", "id" : "ITEM-1", "issue" : "4", "issued" : { "date-parts" : [ [ "2002", "12" ] ] }, "page" : "335-41", "title" : "Ultrasound-guided percutaneous pancreatic biopsy. Indications, performance and complications.", "type" : "article-journal", "volume" : "11" }, "uris" : [ "http://www.mendeley.com/documents/?uuid=ef24d88c-6752-45a3-a19e-dac5b74c27c1" ] }, { "id" : "ITEM-2", "itemData" : { "DOI" : "10.1148/radiology.187.1.8451443", "ISSN" : "0033-8419", "PMID" : "8451443", "abstract" : "A retrospective review of 211 computed tomographic (CT)-guided and 58 ultrasound (US)-guided biopsies of pancreatic lesions performed between 1985 and 1989 was undertaken to evaluate the accuracy of diagnosis and the number of complications. Combined CT and US accuracy in the diagnosis of malignancy was 93%. CT-guided biopsies had an accuracy of 86%, and US-guided biopsies had an accuracy of 95%. Accuracy was higher with larger masses (&gt; 3.0 cm, 92%; &lt; or = 3 cm, 81%) and larger needle sizes (16-19 gauge, 92%; 20-22 gauge, 85%) and when the mass was located in the body or tail of the pancreas (93%) rather than the head (84%). Major complications developed in three cases (1.1%). No biopsy-related deaths occurred. Needle passage through the gastrointestinal tract, including the colon, did not cause complications.", "author" : [ { "dropping-particle" : "", "family" : "Brandt", "given" : "K R", "non-dropping-particle" : "", "parse-names" : false, "suffix" : "" }, { "dropping-particle" : "", "family" : "Charboneau", "given" : "J W", "non-dropping-particle" : "", "parse-names" : false, "suffix" : "" }, { "dropping-particle" : "", "family" : "Stephens", "given" : "D H", "non-dropping-particle" : "", "parse-names" : false, "suffix" : "" }, { "dropping-particle" : "", "family" : "Welch", "given" : "T J", "non-dropping-particle" : "", "parse-names" : false, "suffix" : "" }, { "dropping-particle" : "", "family" : "Goellner", "given" : "J R", "non-dropping-particle" : "", "parse-names" : false, "suffix" : "" } ], "container-title" : "Radiology", "id" : "ITEM-2", "issue" : "1", "issued" : { "date-parts" : [ [ "1993", "4" ] ] }, "page" : "99-104", "title" : "CT- and US-guided biopsy of the pancreas.", "type" : "article-journal", "volume" : "187" }, "uris" : [ "http://www.mendeley.com/documents/?uuid=57a66690-b6cf-49d7-a9b7-facac59159f3" ] } ], "mendeley" : { "previouslyFormattedCitation" : "&lt;sup&gt;[12,13]&lt;/sup&gt;"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[14,15]</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The major advantage is sample quality, as the core needle extracts sufficient material to determine cell type and origin </w:t>
      </w:r>
      <w:r w:rsidRPr="004B756B">
        <w:rPr>
          <w:rFonts w:ascii="Book Antiqua" w:hAnsi="Book Antiqua" w:cs="Times New Roman"/>
          <w:i/>
          <w:color w:val="auto"/>
          <w:sz w:val="24"/>
          <w:szCs w:val="24"/>
          <w:lang w:val="en-US"/>
        </w:rPr>
        <w:t>via</w:t>
      </w:r>
      <w:r w:rsidRPr="00297C09">
        <w:rPr>
          <w:rFonts w:ascii="Book Antiqua" w:hAnsi="Book Antiqua" w:cs="Times New Roman"/>
          <w:color w:val="auto"/>
          <w:sz w:val="24"/>
          <w:szCs w:val="24"/>
          <w:lang w:val="en-US"/>
        </w:rPr>
        <w:t xml:space="preserve"> histologic and </w:t>
      </w:r>
      <w:proofErr w:type="spellStart"/>
      <w:r w:rsidRPr="00297C09">
        <w:rPr>
          <w:rFonts w:ascii="Book Antiqua" w:hAnsi="Book Antiqua" w:cs="Times New Roman"/>
          <w:color w:val="auto"/>
          <w:sz w:val="24"/>
          <w:szCs w:val="24"/>
          <w:lang w:val="en-US"/>
        </w:rPr>
        <w:t>immunohistochemical</w:t>
      </w:r>
      <w:proofErr w:type="spellEnd"/>
      <w:r w:rsidRPr="00297C09">
        <w:rPr>
          <w:rFonts w:ascii="Book Antiqua" w:hAnsi="Book Antiqua" w:cs="Times New Roman"/>
          <w:color w:val="auto"/>
          <w:sz w:val="24"/>
          <w:szCs w:val="24"/>
          <w:lang w:val="en-US"/>
        </w:rPr>
        <w:t xml:space="preserve"> analyses, thus allowing reliable differentiation of pancreatic tumor types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"10.1016/j.crad.2006.07.005", "ISSN" : "0009-9260", "PMID" : "17097419", "abstract" : "AIMS: To determine the sensitivity and complications of percutaneous biopsy of pancreatic masses, and whether typical computed tomography (CT) features of adenocarcinoma can reliably predict this diagnosis. MATERIALS AND METHODS: A 5 year retrospective analysis of percutaneous core biopsies of pancreatic masses and their CT features was undertaken. Data were retrieved from surgical/pathology databases; medical records and CT reports and images. RESULTS: Three hundred and three patients underwent 372 biopsies; 56 of 87 patients had repeat biopsies. Malignancy was diagnosed in 276 patients, with ductal adenocarcinoma in 259 (85%). Final sensitivity of percutaneous biopsy for diagnosing pancreatic neoplasms was 90%; for repeat biopsy it was 87%. Complications occurred in 17 (4.6%) patients, in three of whom the complications were major (1%): one abscess, one duodenal perforation, one large retroperitoneal bleed. CT features typical of ductal adenocarcinoma were: hypovascular pancreatic mass with bile and/or pancreatic duct dilatation. Atypical CT features were: isodense or hypervascular mass, calcification, non-dilated ducts, cystic change, and extensive lymphadenopathy. Defining typical CT features of adenocarcinoma as true-positives, CT had a sensitivity of 68%, specificity of 95%, positive predictive value (PPV) of 98%, and negative predictive value of 41% for diagnosing pancreatic adenocarcinoma. CONCLUSION: Final sensitivity of percutaneous biopsy for establishing the diagnosis was 90%. CT features typical of pancreatic adenocarcinoma had high specificity and PPV. On some occasions, especially in frail patients with co-morbidity, it might be reasonable to assume a diagnosis of pancreatic cancer if CT features are typical, and biopsy only if CT shows atypical features.", "author" : [ { "dropping-particle" : "", "family" : "Amin", "given" : "Z", "non-dropping-particle" : "", "parse-names" : false, "suffix" : "" }, { "dropping-particle" : "", "family" : "Theis", "given" : "B", "non-dropping-particle" : "", "parse-names" : false, "suffix" : "" }, { "dropping-particle" : "", "family" : "Russell", "given" : "R C G", "non-dropping-particle" : "", "parse-names" : false, "suffix" : "" }, { "dropping-particle" : "", "family" : "House", "given" : "C", "non-dropping-particle" : "", "parse-names" : false, "suffix" : "" }, { "dropping-particle" : "", "family" : "Novelli", "given" : "M", "non-dropping-particle" : "", "parse-names" : false, "suffix" : "" }, { "dropping-particle" : "", "family" : "Lees", "given" : "W R", "non-dropping-particle" : "", "parse-names" : false, "suffix" : "" } ], "container-title" : "Clinical radiology", "id" : "ITEM-1", "issue" : "12", "issued" : { "date-parts" : [ [ "2006", "12" ] ] }, "page" : "996-1002", "title" : "Diagnosing pancreatic cancer: the role of percutaneous biopsy and CT.", "type" : "article-journal", "volume" : "61" }, "uris" : [ "http://www.mendeley.com/documents/?uuid=8d53d854-b735-42bb-a455-ce9542426217" ] }, { "id" : "ITEM-2", "itemData" : { "ISSN" : "0039-6060", "PMID" : "8693427", "abstract" : "BACKGROUND: Radiologic diagnosis of pancreatic tumors exhibits limited precision. The aim of this study was to investigate the outcome and complications of pancreatic core biopsy in patients with suspected pancreatic neoplasms. METHODS: One hundred patients underwent ultrasonography-guided core biopsy of 1.2 mm external diameter. Medical charts were examined for biochemical and clinical signs of complications. Final diagnosis was settled by operation, autopsy, and clinical signs of the disease including survival with at least 2.3 years of follow-up. RESULTS: Histopathologic biopsy evaluation showed correct discrimination between exocrine and endocrine tumors and nonneoplastic conditions in 89 patients. No false-positive cancer diagnosis was found, and guidance on nature of primary tumors was obtained for eight of eight metastases. The sensitivity was 91% for exocrine and 87% for endocrine pancreatic tumors, and negative predictive values of these diagnoses were 83% and 97%, respectively. No clinically significant complications were noted. CONCLUSIONS: Core biopsy is an attractive alternative to diagnostic laparotomy in unresectable pancreatic cancer and efficiently provides diagnosis of endocrine tumors and pancreatic metastases in conjunction with rare complications. Benign biopsy findings cannot be used to exclude presence of primary or metastatic pancreatic neoplasms.", "author" : [ { "dropping-particle" : "", "family" : "Karlson", "given" : "B M", "non-dropping-particle" : "", "parse-names" : false, "suffix" : "" }, { "dropping-particle" : "", "family" : "Forsman", "given" : "C A", "non-dropping-particle" : "", "parse-names" : false, "suffix" : "" }, { "dropping-particle" : "", "family" : "Wilander", "given" : "E", "non-dropping-particle" : "", "parse-names" : false, "suffix" : "" }, { "dropping-particle" : "", "family" : "Skogseid", "given" : "B", "non-dropping-particle" : "", "parse-names" : false, "suffix" : "" }, { "dropping-particle" : "", "family" : "Lindgren", "given" : "P G", "non-dropping-particle" : "", "parse-names" : false, "suffix" : "" }, { "dropping-particle" : "", "family" : "Jacobson", "given" : "G", "non-dropping-particle" : "", "parse-names" : false, "suffix" : "" }, { "dropping-particle" : "", "family" : "Rastad", "given" : "J", "non-dropping-particle" : "", "parse-names" : false, "suffix" : "" } ], "container-title" : "Surgery", "id" : "ITEM-2", "issue" : "1", "issued" : { "date-parts" : [ [ "1996", "7" ] ] }, "page" : "75-9", "title" : "Efficiency of percutaneous core biopsy in pancreatic tumor diagnosis.", "type" : "article-journal", "volume" : "120" }, "uris" : [ "http://www.mendeley.com/documents/?uuid=3c2c4798-177a-4fa3-84f0-2aee5bc0e6d0" ] } ], "mendeley" : { "previouslyFormattedCitation" : "&lt;sup&gt;[2,11]&lt;/sup&gt;"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[2,11]</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In addition, core needle biopsy does not require that a </w:t>
      </w:r>
      <w:proofErr w:type="spellStart"/>
      <w:r w:rsidRPr="00297C09">
        <w:rPr>
          <w:rFonts w:ascii="Book Antiqua" w:hAnsi="Book Antiqua" w:cs="Times New Roman"/>
          <w:color w:val="auto"/>
          <w:sz w:val="24"/>
          <w:szCs w:val="24"/>
          <w:lang w:val="en-US"/>
        </w:rPr>
        <w:t>cytopathologist</w:t>
      </w:r>
      <w:proofErr w:type="spellEnd"/>
      <w:r w:rsidRPr="00297C09">
        <w:rPr>
          <w:rFonts w:ascii="Book Antiqua" w:hAnsi="Book Antiqua" w:cs="Times New Roman"/>
          <w:color w:val="auto"/>
          <w:sz w:val="24"/>
          <w:szCs w:val="24"/>
          <w:lang w:val="en-US"/>
        </w:rPr>
        <w:t xml:space="preserve"> be present during the procedure.</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Ultrasound can be used to guide percutaneous core needle and FNA biopsies of pancreatic lesions, with the advantages of lower cost, shorter procedure time, elimination of ionizing radiation, and the ability to accompany the needle’s trajectory in real time</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"10.1155/2012/908963", "ISSN" : "1687-630X", "PMID" : "23304130", "abstract" : "The technological progress within the range of methods of pancreas imaging and their more common accessibility selects a group of patients requiring a microscopic diagnosis. Percutaneous fine needle aspiration biopsy under the control of ultrasonography (PCFNA/USG) is the method commonly used in determining the character of a focal pancreatic lesion. Aim of the Work. An assessment of the accessibility of PCFNA biopsy in the assessment of solid and cystic changes in a pancreas and the correlation of the results of imaging examination, cytological smear and concentration of a serous marker CA19-9. Material and Methodology. In our material we analysed 43 cases of tumors of the pancreas among the patients who were at the average age of 59 \u00b1 10.4 (14 women, 28 men) diagnosed by PCFNA biopsy. Results. In a group we are 23 cases of cancer, 12 cases of inflammation and 7 cases of cellular atypia for which 2 cases of IPMN were included. The sensitivity of the method was 92.5% but specificity was 68%. In our opinion PCFNA/USG is a method of the comparable sensitivity and specificity with fine needle aspiration biopsy with EUS control and its efficiency depends to a considerable degree on experience and interdisciplinary collaboration.", "author" : [ { "dropping-particle" : "", "family" : "Lewitowicz", "given" : "Piotr", "non-dropping-particle" : "", "parse-names" : false, "suffix" : "" }, { "dropping-particle" : "", "family" : "Matykiewicz", "given" : "Jaroslaw", "non-dropping-particle" : "", "parse-names" : false, "suffix" : "" }, { "dropping-particle" : "", "family" : "Heciak", "given" : "Jacek", "non-dropping-particle" : "", "parse-names" : false, "suffix" : "" }, { "dropping-particle" : "", "family" : "Koziel", "given" : "Dorota", "non-dropping-particle" : "", "parse-names" : false, "suffix" : "" }, { "dropping-particle" : "", "family" : "Gluszek", "given" : "Stanis\u0142aw", "non-dropping-particle" : "", "parse-names" : false, "suffix" : "" } ], "container-title" : "Gastroenterology research and practice", "id" : "ITEM-1", "issued" : { "date-parts" : [ [ "2012", "1" ] ] }, "page" : "908963", "title" : "Percutaneous fine needle biopsy in pancreatic tumors: a study of 42 cases.", "type" : "article-journal", "volume" : "2012" }, "uris" : [ "http://www.mendeley.com/documents/?uuid=01583b72-ce61-4d1f-8e14-8b7b857b1f8b" ] }, { "id" : "ITEM-2", "itemData" : { "ISSN" : "1221-4167", "PMID" : "12532207", "abstract" : "The diagnosis of pancreatic masses is often very difficult despite the new developments in imaging methods. As a correct diagnosis has a great impact on the therapy, in certain circumstances it is mandatory to obtain a morphological diagnosis. Although the indications for percutaneous pancreatic biopsy are not standardized, in many circumstances- inoperable pancreatic tumor, suspicion of lymphoma, metastasis or neuroendocrine tumors, differentiation between cystic tumors - a biopsy is clearly indicated. Pancreatic biopsy is usually performed by fine-needles either for cytology or microhistology, the use of larger needles for core biopsy adding a slightly improvement in sensitivity especially in masses from chronic pancreatitis or neuroendocrine tumors. Complications occur seldom, acute pancreatitis and tumoral seeding being the most important. Percutaneous pancreatic biopsy is a safe, flexible and reliable method for diagnosing pancreatic masses", "author" : [ { "dropping-particle" : "", "family" : "Sp\u00e2rchez", "given" : "Zeno", "non-dropping-particle" : "", "parse-names" : false, "suffix" : "" } ], "container-title" : "Romanian journal of gastroenterology", "id" : "ITEM-2", "issue" : "4", "issued" : { "date-parts" : [ [ "2002", "12" ] ] }, "page" : "335-41", "title" : "Ultrasound-guided percutaneous pancreatic biopsy. Indications, performance and complications.", "type" : "article-journal", "volume" : "11" }, "uris" : [ "http://www.mendeley.com/documents/?uuid=ef24d88c-6752-45a3-a19e-dac5b74c27c1" ] } ], "mendeley" : { "previouslyFormattedCitation" : "&lt;sup&gt;[12,14]&lt;/sup&gt;"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[14,16]</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However, accessing small lesions and those located in the body/tail of the pancreas is difficult with ultrasound guidance, particularly in the presence of gaseous gastrointestinal </w:t>
      </w:r>
      <w:proofErr w:type="spellStart"/>
      <w:r w:rsidRPr="00297C09">
        <w:rPr>
          <w:rFonts w:ascii="Book Antiqua" w:hAnsi="Book Antiqua" w:cs="Times New Roman"/>
          <w:color w:val="auto"/>
          <w:sz w:val="24"/>
          <w:szCs w:val="24"/>
          <w:lang w:val="en-US"/>
        </w:rPr>
        <w:t>interpositioning</w:t>
      </w:r>
      <w:proofErr w:type="spellEnd"/>
      <w:r w:rsidRPr="00297C09">
        <w:rPr>
          <w:rFonts w:ascii="Book Antiqua" w:hAnsi="Book Antiqua" w:cs="Times New Roman"/>
          <w:color w:val="auto"/>
          <w:sz w:val="24"/>
          <w:szCs w:val="24"/>
          <w:lang w:val="en-US"/>
        </w:rPr>
        <w:t>. The choice of imaging method to guide the procedure should be individualized and depend on the interventional radiologist’s experience and the patient and lesion characteristics.</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hAnsi="Book Antiqua" w:cs="Times New Roman"/>
          <w:color w:val="auto"/>
          <w:sz w:val="24"/>
          <w:szCs w:val="24"/>
          <w:lang w:val="en-US"/>
        </w:rPr>
        <w:t xml:space="preserve">As demonstrated in the present study, percutaneous biopsy typically involves anterior access to pancreatic lesions. However, pancreatic masses in the head or </w:t>
      </w:r>
      <w:proofErr w:type="spellStart"/>
      <w:r w:rsidRPr="00297C09">
        <w:rPr>
          <w:rFonts w:ascii="Book Antiqua" w:hAnsi="Book Antiqua" w:cs="Times New Roman"/>
          <w:color w:val="auto"/>
          <w:sz w:val="24"/>
          <w:szCs w:val="24"/>
          <w:lang w:val="en-US"/>
        </w:rPr>
        <w:t>uncinate</w:t>
      </w:r>
      <w:proofErr w:type="spellEnd"/>
      <w:r w:rsidRPr="00297C09">
        <w:rPr>
          <w:rFonts w:ascii="Book Antiqua" w:hAnsi="Book Antiqua" w:cs="Times New Roman"/>
          <w:color w:val="auto"/>
          <w:sz w:val="24"/>
          <w:szCs w:val="24"/>
          <w:lang w:val="en-US"/>
        </w:rPr>
        <w:t xml:space="preserve"> process are frequently obscured by other abdominal structures, including the stomach, duodenum, transverse colon, liver, mesenteric vessels, and/or inferior vena cava. In such cases, indirect (</w:t>
      </w:r>
      <w:r w:rsidRPr="00297C09">
        <w:rPr>
          <w:rFonts w:ascii="Book Antiqua" w:hAnsi="Book Antiqua" w:cs="Times New Roman"/>
          <w:i/>
          <w:color w:val="auto"/>
          <w:sz w:val="24"/>
          <w:szCs w:val="24"/>
          <w:lang w:val="en-US"/>
        </w:rPr>
        <w:t>e.g</w:t>
      </w:r>
      <w:r w:rsidRPr="00297C09">
        <w:rPr>
          <w:rFonts w:ascii="Book Antiqua" w:hAnsi="Book Antiqua" w:cs="Times New Roman"/>
          <w:color w:val="auto"/>
          <w:sz w:val="24"/>
          <w:szCs w:val="24"/>
          <w:lang w:val="en-US"/>
        </w:rPr>
        <w:t xml:space="preserve">., </w:t>
      </w:r>
      <w:proofErr w:type="spellStart"/>
      <w:r w:rsidRPr="00297C09">
        <w:rPr>
          <w:rFonts w:ascii="Book Antiqua" w:hAnsi="Book Antiqua" w:cs="Times New Roman"/>
          <w:color w:val="auto"/>
          <w:sz w:val="24"/>
          <w:szCs w:val="24"/>
          <w:lang w:val="en-US"/>
        </w:rPr>
        <w:t>transhepatic</w:t>
      </w:r>
      <w:proofErr w:type="spellEnd"/>
      <w:r w:rsidRPr="00297C09">
        <w:rPr>
          <w:rFonts w:ascii="Book Antiqua" w:hAnsi="Book Antiqua" w:cs="Times New Roman"/>
          <w:color w:val="auto"/>
          <w:sz w:val="24"/>
          <w:szCs w:val="24"/>
          <w:lang w:val="en-US"/>
        </w:rPr>
        <w:t xml:space="preserve">, </w:t>
      </w:r>
      <w:proofErr w:type="spellStart"/>
      <w:r w:rsidRPr="00297C09">
        <w:rPr>
          <w:rFonts w:ascii="Book Antiqua" w:hAnsi="Book Antiqua" w:cs="Times New Roman"/>
          <w:color w:val="auto"/>
          <w:sz w:val="24"/>
          <w:szCs w:val="24"/>
          <w:lang w:val="en-US"/>
        </w:rPr>
        <w:t>transgastric</w:t>
      </w:r>
      <w:proofErr w:type="spellEnd"/>
      <w:r w:rsidRPr="00297C09">
        <w:rPr>
          <w:rFonts w:ascii="Book Antiqua" w:hAnsi="Book Antiqua" w:cs="Times New Roman"/>
          <w:color w:val="auto"/>
          <w:sz w:val="24"/>
          <w:szCs w:val="24"/>
          <w:lang w:val="en-US"/>
        </w:rPr>
        <w:t xml:space="preserve">, or </w:t>
      </w:r>
      <w:proofErr w:type="spellStart"/>
      <w:r w:rsidRPr="00297C09">
        <w:rPr>
          <w:rFonts w:ascii="Book Antiqua" w:hAnsi="Book Antiqua" w:cs="Times New Roman"/>
          <w:color w:val="auto"/>
          <w:sz w:val="24"/>
          <w:szCs w:val="24"/>
          <w:lang w:val="en-US"/>
        </w:rPr>
        <w:t>transcaval</w:t>
      </w:r>
      <w:proofErr w:type="spellEnd"/>
      <w:r w:rsidRPr="00297C09">
        <w:rPr>
          <w:rFonts w:ascii="Book Antiqua" w:hAnsi="Book Antiqua" w:cs="Times New Roman"/>
          <w:color w:val="auto"/>
          <w:sz w:val="24"/>
          <w:szCs w:val="24"/>
          <w:lang w:val="en-US"/>
        </w:rPr>
        <w:t xml:space="preserve">) access </w:t>
      </w:r>
      <w:r w:rsidRPr="00297C09">
        <w:rPr>
          <w:rFonts w:ascii="Book Antiqua" w:hAnsi="Book Antiqua" w:cs="Times New Roman"/>
          <w:color w:val="auto"/>
          <w:sz w:val="24"/>
          <w:szCs w:val="24"/>
          <w:lang w:val="en-US"/>
        </w:rPr>
        <w:lastRenderedPageBreak/>
        <w:t>is considered a safe alternative, though accompanied by risks of bleeding and peritonitis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"ISSN" : "1007-9327", "PMID" : "20014462", "abstract" : "AIM: To assess the safety, yield and clinical utility of percutaneous transgastric computed tomography (CT)-guided biopsy of pancreatic tumor using large needles, in selected patients. METHODS: We reviewed 34 CT-guided biopsies in patients with pancreas mass, of whom 24 (71%) had a direct path to the mass without passing through a major organ. The needle passed through the liver in one case (3%). Nine passes (26%) were made through the stomach. These nine transgastric biopsies which used a coaxial technique (i.e. a 17-gauge coaxial introducer needle and an 18-gauge biopsy needle) were the basis of this study. Immediate and late follow-up CT images to detect complications were obtained. RESULTS: Tumor tissues were obtained in nine pancreatic biopsies, and histologic specimens for diagnosis were obtained in all cases. One patient, who had a rare sarcomatoid carcinoma, received a second biopsy. One patient had a complication of transient pneumoperitoneum but no subjective complaints. An immediate imaging study and clinical follow-up detected neither hemorrhage nor peritonitis. No delayed procedure-related complication was seen during the survival period of our patients. CONCLUSION: Pancreatic biopsy can be obtained by a transgastric route using a large needle as an alternative method, without complications of peritonitis or bleeding.", "author" : [ { "dropping-particle" : "", "family" : "Tseng", "given" : "Hsiuo-Shan", "non-dropping-particle" : "", "parse-names" : false, "suffix" : "" }, { "dropping-particle" : "", "family" : "Chen", "given" : "Chia-Yuen", "non-dropping-particle" : "", "parse-names" : false, "suffix" : "" }, { "dropping-particle" : "", "family" : "Chan", "given" : "Wing-P", "non-dropping-particle" : "", "parse-names" : false, "suffix" : "" }, { "dropping-particle" : "", "family" : "Chiang", "given" : "Jen-Huey", "non-dropping-particle" : "", "parse-names" : false, "suffix" : "" } ], "container-title" : "World journal of gastroenterology : WJG", "id" : "ITEM-1", "issue" : "47", "issued" : { "date-parts" : [ [ "2009", "12", "21" ] ] }, "page" : "5972-5", "title" : "Percutaneous transgastric computed tomography-guided biopsy of the pancreas using large needles.", "type" : "article-journal", "volume" : "15" }, "uris" : [ "http://www.mendeley.com/documents/?uuid=11df278b-06dc-41b1-bfce-458aa0ba7ce2" ] }, { "id" : "ITEM-2", "itemData" : { "DOI" : "10.1148/radiol.2221010437", "ISSN" : "0033-8419", "PMID" : "11756706", "abstract" : "PURPOSE: To evaluate the safety and feasibility of computed tomographic (CT)-guided coaxial fine-needle aspiration biopsy (FNAB) of masses in or around the head of the pancreas with a posterior approach that transgresses the inferior vena cava (IVC). MATERIALS AND METHODS: The authors retrospectively reviewed the records of 29 patients with lesions located within (n = 24) or around (n = 5) the pancreatic head who underwent CT-guided FNAB with the posterior transcaval route due to obstruction of the anterior approach by bowel, liver, and/or other structures. A coaxial needle technique was used, with an outer 18-gauge needle positioned posterior to the IVC and an inner 22-gauge needle traversing the IVC to obtain a biopsy of each lesion. All biopsy specimens were subjected to cytologic evaluation. Medical records of all patients were evaluated for complications. RESULTS: All lesions were safely accessed with the posterior transcaval approach without major complications. The biopsies revealed a malignant process in 21 patients, benign pancreatic cysts in two patients, and pancreatitis in one patient. There were five false-negative biopsy results. Minor complications occurred in four patients (small retroperitoneal hematomas occurred in three and abdominal pain occurred in one). CONCLUSION: CT-guided coaxial FNAB by means of a posterior transcaval approach is a safe method for obtaining samples from lesions in or around the pancreatic head.", "author" : [ { "dropping-particle" : "", "family" : "Gupta", "given" : "Sanjay", "non-dropping-particle" : "", "parse-names" : false, "suffix" : "" }, { "dropping-particle" : "", "family" : "Ahrar", "given" : "Kamran", "non-dropping-particle" : "", "parse-names" : false, "suffix" : "" }, { "dropping-particle" : "", "family" : "Morello", "given" : "Frank A", "non-dropping-particle" : "", "parse-names" : false, "suffix" : "" }, { "dropping-particle" : "", "family" : "Wallace", "given" : "Michael J", "non-dropping-particle" : "", "parse-names" : false, "suffix" : "" }, { "dropping-particle" : "", "family" : "Hicks", "given" : "Marshall E", "non-dropping-particle" : "", "parse-names" : false, "suffix" : "" } ], "container-title" : "Radiology", "id" : "ITEM-2", "issue" : "1", "issued" : { "date-parts" : [ [ "2002", "1" ] ] }, "page" : "63-9", "title" : "Masses in or around the pancreatic head: CT-guided coaxial fine-needle aspiration biopsy with a posterior transcaval approach.", "type" : "article-journal", "volume" : "222" }, "uris" : [ "http://www.mendeley.com/documents/?uuid=a8438e06-1297-4ceb-9008-021e2e4aefb9" ] } ], "mendeley" : { "previouslyFormattedCitation" : "&lt;sup&gt;[15,16]&lt;/sup&gt;"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[17,18]</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Another alternative includes the </w:t>
      </w:r>
      <w:proofErr w:type="spellStart"/>
      <w:r w:rsidRPr="00297C09">
        <w:rPr>
          <w:rFonts w:ascii="Book Antiqua" w:hAnsi="Book Antiqua" w:cs="Times New Roman"/>
          <w:color w:val="auto"/>
          <w:sz w:val="24"/>
          <w:szCs w:val="24"/>
          <w:lang w:val="en-US"/>
        </w:rPr>
        <w:t>hydrodissection</w:t>
      </w:r>
      <w:proofErr w:type="spellEnd"/>
      <w:r w:rsidRPr="00297C09">
        <w:rPr>
          <w:rFonts w:ascii="Book Antiqua" w:hAnsi="Book Antiqua" w:cs="Times New Roman"/>
          <w:color w:val="auto"/>
          <w:sz w:val="24"/>
          <w:szCs w:val="24"/>
          <w:lang w:val="en-US"/>
        </w:rPr>
        <w:t xml:space="preserve"> and </w:t>
      </w:r>
      <w:proofErr w:type="spellStart"/>
      <w:r w:rsidRPr="00297C09">
        <w:rPr>
          <w:rFonts w:ascii="Book Antiqua" w:hAnsi="Book Antiqua" w:cs="Times New Roman"/>
          <w:color w:val="auto"/>
          <w:sz w:val="24"/>
          <w:szCs w:val="24"/>
          <w:lang w:val="en-US"/>
        </w:rPr>
        <w:t>pneumodissection</w:t>
      </w:r>
      <w:proofErr w:type="spellEnd"/>
      <w:r w:rsidRPr="00297C09">
        <w:rPr>
          <w:rFonts w:ascii="Book Antiqua" w:hAnsi="Book Antiqua" w:cs="Times New Roman"/>
          <w:color w:val="auto"/>
          <w:sz w:val="24"/>
          <w:szCs w:val="24"/>
          <w:lang w:val="en-US"/>
        </w:rPr>
        <w:t xml:space="preserve"> maneuvers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"10.1259/bjr/16118679", "ISSN" : "1748-880X", "PMID" : "21937619", "abstract" : "The adrenal glands are an important site of both primary and secondary disease processes. Image-guided percutaneous biopsy of the adrenal gland is an accurate and safe alternative to surgical biopsy. This procedure is most often performed in patients with a suspicion of metastatic disease where an accurate pathological diagnosis plays an important role in disease staging and defining therapy. There are many different approaches to performing adrenal biopsy under CT guidance such as anterior transhepatic/transpancreatic, lateral transhepatic/transplenic or posterior transpulmonary/transpleural/paravertebral. We describe a technique in which the adrenal gland was biopsied using a CT-guided percutaneous paravertebral approach with the use of a hydrodissection manoeuver. 13 CT-guided adrenal gland percutaneous biopsies using this technique were performed at our institution between April 2009 and July 2010. All biopsies yielded sufficient material for pathological analysis and there were no complications reported after the procedure. Saline injection can expand the posterior paravertebral space and facilitate a posterior extrapleural approach with high accuracy and low complication rates, and we believe that this may be the best approach for adrenal gland biopsy.", "author" : [ { "dropping-particle" : "", "family" : "Tyng", "given" : "C J", "non-dropping-particle" : "", "parse-names" : false, "suffix" : "" }, { "dropping-particle" : "V", "family" : "Bitencourt", "given" : "A G", "non-dropping-particle" : "", "parse-names" : false, "suffix" : "" }, { "dropping-particle" : "", "family" : "Martins", "given" : "E B L", "non-dropping-particle" : "", "parse-names" : false, "suffix" : "" }, { "dropping-particle" : "V", "family" : "Pinto", "given" : "P N", "non-dropping-particle" : "", "parse-names" : false, "suffix" : "" }, { "dropping-particle" : "", "family" : "Chojniak", "given" : "R", "non-dropping-particle" : "", "parse-names" : false, "suffix" : "" } ], "container-title" : "The British journal of radiology", "id" : "ITEM-1", "issue" : "1015", "issued" : { "date-parts" : [ [ "2012", "7" ] ] }, "page" : "e339-42", "title" : "Technical note: CT-guided paravertebral adrenal biopsy using hydrodissection--a safe and technically easy approach.", "type" : "article-journal", "volume" : "85" }, "uris" : [ "http://www.mendeley.com/documents/?uuid=0993ffe7-ef2c-4494-bc7b-9e084d65e2ec" ] }, { "id" : "ITEM-2", "itemData" : { "DOI" : "10.1590/S0100-39842013000300006", "ISSN" : "0100-3984", "author" : [ { "dropping-particle" : "", "family" : "Tyng", "given" : "Chiang Jeng", "non-dropping-particle" : "", "parse-names" : false, "suffix" : "" }, { "dropping-particle" : "", "family" : "Bitencourt", "given" : "Almir Galvao Vieira", "non-dropping-particle" : "", "parse-names" : false, "suffix" : "" }, { "dropping-particle" : "", "family" : "Almeida", "given" : "Maria Fernanda Arruda", "non-dropping-particle" : "", "parse-names" : false, "suffix" : "" }, { "dropping-particle" : "", "family" : "Barbosa", "given" : "Paula Nicole Vieira", "non-dropping-particle" : "", "parse-names" : false, "suffix" : "" }, { "dropping-particle" : "", "family" : "Martins", "given" : "Eduardo Bruno Lobato", "non-dropping-particle" : "", "parse-names" : false, "suffix" : "" }, { "dropping-particle" : "", "family" : "Junior", "given" : "Joao Paulo Kawaoka Matushita", "non-dropping-particle" : "", "parse-names" : false, "suffix" : "" }, { "dropping-particle" : "", "family" : "Chojniak", "given" : "Rubens", "non-dropping-particle" : "", "parse-names" : false, "suffix" : "" }, { "dropping-particle" : "", "family" : "Coimbra", "given" : "Felipe Jose Fernandez", "non-dropping-particle" : "", "parse-names" : false, "suffix" : "" } ], "container-title" : "Radiologia Brasileira", "id" : "ITEM-2", "issue" : "3", "issued" : { "date-parts" : [ [ "2013", "6" ] ] }, "page" : "139-142", "title" : "Computed tomography-guided percutaneous biopsy of pancreatic masses using pneumodissection", "type" : "article-journal", "volume" : "46" }, "uris" : [ "http://www.mendeley.com/documents/?uuid=0f1ec404-6b8a-4242-993d-a4a53a33b476" ] } ], "mendeley" : { "previouslyFormattedCitation" : "&lt;sup&gt;[17,18]&lt;/sup&gt;"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[19,20]</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The location of the lesion can be confirmed with intravenous contrast administration to improve the diagnostic accuracy of the procedure</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"10.1016/j.acra.2009.04.013", "ISSN" : "1878-4046", "PMID" : "19643636", "abstract" : "RATIONALE AND OBJECTIVES: Pancreatic lesions are frequently detected in pancreatic phase only, which may lead to false negative findings in CT-guided biopsies. We evaluated the accuracy and complication rate of CT guided biopsies of pancreatic lesions with i.v.-contrast application following needle placement in comparison to biopsy after contrast enhanced CT. MATERIALS AND METHODS: In 30 patients planning and needle placement was performed on the basis of a native planning CT and prior diagnostic CT or MRT. After needle placement contrast enhanced CT was performed to confirm needle course and adjusted if necessary (group 1). In 30 additional patients biopsy was planned based on contrast enhanced CT and needle was placed in the lesion. Control scans confirmed correct needle position (group 2). An 18G coaxial system was used for both groups. Statistical analysis was performed with Student's t and Fisher's exact test for comparison of lesion size, location as well as accuracy and complication rates. RESULTS: Mean lesion size was significantly smaller in group 1 (31 mm vs. 39 mm; p = 0.02). Diagnostic accuracy and sensitivity for malignancy in group 1 was 93% and 92% versus 80% and 77% in group 2. Complications related to the procedure, i.e. haematoma (n = 5, group 1/n = 2, group 2) and pain (n = 0, group 1/n = 2, group 2) did not statistically differ. CONCLUSION: CT-guided biopsy of pancreatic lesions with i.v.-contrast application following needle placement is a reliable method and provides superior accuracy compared to biopsies performed after contrast enhanced planning CT.", "author" : [ { "dropping-particle" : "", "family" : "Meier-Meitinger", "given" : "Martina", "non-dropping-particle" : "", "parse-names" : false, "suffix" : "" }, { "dropping-particle" : "", "family" : "Anders", "given" : "Katharina", "non-dropping-particle" : "", "parse-names" : false, "suffix" : "" }, { "dropping-particle" : "", "family" : "Alibek", "given" : "Sedat", "non-dropping-particle" : "", "parse-names" : false, "suffix" : "" }, { "dropping-particle" : "", "family" : "Uder", "given" : "Michael", "non-dropping-particle" : "", "parse-names" : false, "suffix" : "" }, { "dropping-particle" : "", "family" : "Baum", "given" : "Ulrich", "non-dropping-particle" : "", "parse-names" : false, "suffix" : "" } ], "container-title" : "Academic radiology", "id" : "ITEM-1", "issue" : "11", "issued" : { "date-parts" : [ [ "2009", "11" ] ] }, "page" : "1386-92", "title" : "CT-guided biopsies of pancreatic lesions: impact of contrast application prior to versus following needle placement.", "type" : "article-journal", "volume" : "16" }, "uris" : [ "http://www.mendeley.com/documents/?uuid=10e94f6f-74ee-4af6-a5d7-c215a329c616" ] } ], "mendeley" : { "previouslyFormattedCitation" : "&lt;sup&gt;[19]&lt;/sup&gt;"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[21]</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w:t>
      </w:r>
    </w:p>
    <w:p w:rsidR="00E95D22" w:rsidRPr="00297C09" w:rsidRDefault="00E95D22" w:rsidP="00E95D22">
      <w:pPr>
        <w:snapToGrid w:val="0"/>
        <w:spacing w:after="0" w:line="360" w:lineRule="auto"/>
        <w:ind w:firstLine="420"/>
        <w:contextualSpacing/>
        <w:jc w:val="both"/>
        <w:rPr>
          <w:rFonts w:ascii="Book Antiqua" w:eastAsia="Arial" w:hAnsi="Book Antiqua" w:cs="Times New Roman"/>
          <w:color w:val="auto"/>
          <w:sz w:val="24"/>
          <w:szCs w:val="24"/>
          <w:lang w:val="en-US"/>
        </w:rPr>
      </w:pPr>
      <w:r w:rsidRPr="00297C09">
        <w:rPr>
          <w:rFonts w:ascii="Book Antiqua" w:hAnsi="Book Antiqua" w:cs="Times New Roman"/>
          <w:color w:val="auto"/>
          <w:sz w:val="24"/>
          <w:szCs w:val="24"/>
          <w:lang w:val="en-US"/>
        </w:rPr>
        <w:t xml:space="preserve">Previous reports indicate that serious complications related to this procedure are rare, even when biopsies are conducted </w:t>
      </w:r>
      <w:r w:rsidRPr="006318E2">
        <w:rPr>
          <w:rFonts w:ascii="Book Antiqua" w:hAnsi="Book Antiqua" w:cs="Times New Roman"/>
          <w:i/>
          <w:color w:val="auto"/>
          <w:sz w:val="24"/>
          <w:szCs w:val="24"/>
          <w:lang w:val="en-US"/>
        </w:rPr>
        <w:t>via</w:t>
      </w:r>
      <w:r w:rsidRPr="00297C09">
        <w:rPr>
          <w:rFonts w:ascii="Book Antiqua" w:hAnsi="Book Antiqua" w:cs="Times New Roman"/>
          <w:color w:val="auto"/>
          <w:sz w:val="24"/>
          <w:szCs w:val="24"/>
          <w:lang w:val="en-US"/>
        </w:rPr>
        <w:t xml:space="preserve"> indirect access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"DOI" : "10.1016/j.crad.2006.07.005", "ISSN" : "0009-9260", "PMID" : "17097419", "abstract" : "AIMS: To determine the sensitivity and complications of percutaneous biopsy of pancreatic masses, and whether typical computed tomography (CT) features of adenocarcinoma can reliably predict this diagnosis. MATERIALS AND METHODS: A 5 year retrospective analysis of percutaneous core biopsies of pancreatic masses and their CT features was undertaken. Data were retrieved from surgical/pathology databases; medical records and CT reports and images. RESULTS: Three hundred and three patients underwent 372 biopsies; 56 of 87 patients had repeat biopsies. Malignancy was diagnosed in 276 patients, with ductal adenocarcinoma in 259 (85%). Final sensitivity of percutaneous biopsy for diagnosing pancreatic neoplasms was 90%; for repeat biopsy it was 87%. Complications occurred in 17 (4.6%) patients, in three of whom the complications were major (1%): one abscess, one duodenal perforation, one large retroperitoneal bleed. CT features typical of ductal adenocarcinoma were: hypovascular pancreatic mass with bile and/or pancreatic duct dilatation. Atypical CT features were: isodense or hypervascular mass, calcification, non-dilated ducts, cystic change, and extensive lymphadenopathy. Defining typical CT features of adenocarcinoma as true-positives, CT had a sensitivity of 68%, specificity of 95%, positive predictive value (PPV) of 98%, and negative predictive value of 41% for diagnosing pancreatic adenocarcinoma. CONCLUSION: Final sensitivity of percutaneous biopsy for establishing the diagnosis was 90%. CT features typical of pancreatic adenocarcinoma had high specificity and PPV. On some occasions, especially in frail patients with co-morbidity, it might be reasonable to assume a diagnosis of pancreatic cancer if CT features are typical, and biopsy only if CT shows atypical features.", "author" : [ { "dropping-particle" : "", "family" : "Amin", "given" : "Z", "non-dropping-particle" : "", "parse-names" : false, "suffix" : "" }, { "dropping-particle" : "", "family" : "Theis", "given" : "B", "non-dropping-particle" : "", "parse-names" : false, "suffix" : "" }, { "dropping-particle" : "", "family" : "Russell", "given" : "R C G", "non-dropping-particle" : "", "parse-names" : false, "suffix" : "" }, { "dropping-particle" : "", "family" : "House", "given" : "C", "non-dropping-particle" : "", "parse-names" : false, "suffix" : "" }, { "dropping-particle" : "", "family" : "Novelli", "given" : "M", "non-dropping-particle" : "", "parse-names" : false, "suffix" : "" }, { "dropping-particle" : "", "family" : "Lees", "given" : "W R", "non-dropping-particle" : "", "parse-names" : false, "suffix" : "" } ], "container-title" : "Clinical radiology", "id" : "ITEM-1", "issue" : "12", "issued" : { "date-parts" : [ [ "2006", "12" ] ] }, "page" : "996-1002", "title" : "Diagnosing pancreatic cancer: the role of percutaneous biopsy and CT.", "type" : "article-journal", "volume" : "61" }, "uris" : [ "http://www.mendeley.com/documents/?uuid=8d53d854-b735-42bb-a455-ce9542426217" ] }, { "id" : "ITEM-2", "itemData" : { "DOI" : "10.1148/radiology.187.1.8451443", "ISSN" : "0033-8419", "PMID" : "8451443", "abstract" : "A retrospective review of 211 computed tomographic (CT)-guided and 58 ultrasound (US)-guided biopsies of pancreatic lesions performed between 1985 and 1989 was undertaken to evaluate the accuracy of diagnosis and the number of complications. Combined CT and US accuracy in the diagnosis of malignancy was 93%. CT-guided biopsies had an accuracy of 86%, and US-guided biopsies had an accuracy of 95%. Accuracy was higher with larger masses (&gt; 3.0 cm, 92%; &lt; or = 3 cm, 81%) and larger needle sizes (16-19 gauge, 92%; 20-22 gauge, 85%) and when the mass was located in the body or tail of the pancreas (93%) rather than the head (84%). Major complications developed in three cases (1.1%). No biopsy-related deaths occurred. Needle passage through the gastrointestinal tract, including the colon, did not cause complications.", "author" : [ { "dropping-particle" : "", "family" : "Brandt", "given" : "K R", "non-dropping-particle" : "", "parse-names" : false, "suffix" : "" }, { "dropping-particle" : "", "family" : "Charboneau", "given" : "J W", "non-dropping-particle" : "", "parse-names" : false, "suffix" : "" }, { "dropping-particle" : "", "family" : "Stephens", "given" : "D H", "non-dropping-particle" : "", "parse-names" : false, "suffix" : "" }, { "dropping-particle" : "", "family" : "Welch", "given" : "T J", "non-dropping-particle" : "", "parse-names" : false, "suffix" : "" }, { "dropping-particle" : "", "family" : "Goellner", "given" : "J R", "non-dropping-particle" : "", "parse-names" : false, "suffix" : "" } ], "container-title" : "Radiology", "id" : "ITEM-2", "issue" : "1", "issued" : { "date-parts" : [ [ "1993", "4" ] ] }, "page" : "99-104", "title" : "CT- and US-guided biopsy of the pancreas.", "type" : "article-journal", "volume" : "187" }, "uris" : [ "http://www.mendeley.com/documents/?uuid=57a66690-b6cf-49d7-a9b7-facac59159f3" ] }, { "id" : "ITEM-3", "itemData" : { "DOI" : "10.1148/radiol.2221010437", "ISSN" : "0033-8419", "PMID" : "11756706", "abstract" : "PURPOSE: To evaluate the safety and feasibility of computed tomographic (CT)-guided coaxial fine-needle aspiration biopsy (FNAB) of masses in or around the head of the pancreas with a posterior approach that transgresses the inferior vena cava (IVC). MATERIALS AND METHODS: The authors retrospectively reviewed the records of 29 patients with lesions located within (n = 24) or around (n = 5) the pancreatic head who underwent CT-guided FNAB with the posterior transcaval route due to obstruction of the anterior approach by bowel, liver, and/or other structures. A coaxial needle technique was used, with an outer 18-gauge needle positioned posterior to the IVC and an inner 22-gauge needle traversing the IVC to obtain a biopsy of each lesion. All biopsy specimens were subjected to cytologic evaluation. Medical records of all patients were evaluated for complications. RESULTS: All lesions were safely accessed with the posterior transcaval approach without major complications. The biopsies revealed a malignant process in 21 patients, benign pancreatic cysts in two patients, and pancreatitis in one patient. There were five false-negative biopsy results. Minor complications occurred in four patients (small retroperitoneal hematomas occurred in three and abdominal pain occurred in one). CONCLUSION: CT-guided coaxial FNAB by means of a posterior transcaval approach is a safe method for obtaining samples from lesions in or around the pancreatic head.", "author" : [ { "dropping-particle" : "", "family" : "Gupta", "given" : "Sanjay", "non-dropping-particle" : "", "parse-names" : false, "suffix" : "" }, { "dropping-particle" : "", "family" : "Ahrar", "given" : "Kamran", "non-dropping-particle" : "", "parse-names" : false, "suffix" : "" }, { "dropping-particle" : "", "family" : "Morello", "given" : "Frank A", "non-dropping-particle" : "", "parse-names" : false, "suffix" : "" }, { "dropping-particle" : "", "family" : "Wallace", "given" : "Michael J", "non-dropping-particle" : "", "parse-names" : false, "suffix" : "" }, { "dropping-particle" : "", "family" : "Hicks", "given" : "Marshall E", "non-dropping-particle" : "", "parse-names" : false, "suffix" : "" } ], "container-title" : "Radiology", "id" : "ITEM-3", "issue" : "1", "issued" : { "date-parts" : [ [ "2002", "1" ] ] }, "page" : "63-9", "title" : "Masses in or around the pancreatic head: CT-guided coaxial fine-needle aspiration biopsy with a posterior transcaval approach.", "type" : "article-journal", "volume" : "222" }, "uris" : [ "http://www.mendeley.com/documents/?uuid=a8438e06-1297-4ceb-9008-021e2e4aefb9" ] }, { "id" : "ITEM-4", "itemData" : { "ISSN" : "0039-6060", "PMID" : "8693427", "abstract" : "BACKGROUND: Radiologic diagnosis of pancreatic tumors exhibits limited precision. The aim of this study was to investigate the outcome and complications of pancreatic core biopsy in patients with suspected pancreatic neoplasms. METHODS: One hundred patients underwent ultrasonography-guided core biopsy of 1.2 mm external diameter. Medical charts were examined for biochemical and clinical signs of complications. Final diagnosis was settled by operation, autopsy, and clinical signs of the disease including survival with at least 2.3 years of follow-up. RESULTS: Histopathologic biopsy evaluation showed correct discrimination between exocrine and endocrine tumors and nonneoplastic conditions in 89 patients. No false-positive cancer diagnosis was found, and guidance on nature of primary tumors was obtained for eight of eight metastases. The sensitivity was 91% for exocrine and 87% for endocrine pancreatic tumors, and negative predictive values of these diagnoses were 83% and 97%, respectively. No clinically significant complications were noted. CONCLUSIONS: Core biopsy is an attractive alternative to diagnostic laparotomy in unresectable pancreatic cancer and efficiently provides diagnosis of endocrine tumors and pancreatic metastases in conjunction with rare complications. Benign biopsy findings cannot be used to exclude presence of primary or metastatic pancreatic neoplasms.", "author" : [ { "dropping-particle" : "", "family" : "Karlson", "given" : "B M", "non-dropping-particle" : "", "parse-names" : false, "suffix" : "" }, { "dropping-particle" : "", "family" : "Forsman", "given" : "C A", "non-dropping-particle" : "", "parse-names" : false, "suffix" : "" }, { "dropping-particle" : "", "family" : "Wilander", "given" : "E", "non-dropping-particle" : "", "parse-names" : false, "suffix" : "" }, { "dropping-particle" : "", "family" : "Skogseid", "given" : "B", "non-dropping-particle" : "", "parse-names" : false, "suffix" : "" }, { "dropping-particle" : "", "family" : "Lindgren", "given" : "P G", "non-dropping-particle" : "", "parse-names" : false, "suffix" : "" }, { "dropping-particle" : "", "family" : "Jacobson", "given" : "G", "non-dropping-particle" : "", "parse-names" : false, "suffix" : "" }, { "dropping-particle" : "", "family" : "Rastad", "given" : "J", "non-dropping-particle" : "", "parse-names" : false, "suffix" : "" } ], "container-title" : "Surgery", "id" : "ITEM-4", "issue" : "1", "issued" : { "date-parts" : [ [ "1996", "7" ] ] }, "page" : "75-9", "title" : "Efficiency of percutaneous core biopsy in pancreatic tumor diagnosis.", "type" : "article-journal", "volume" : "120" }, "uris" : [ "http://www.mendeley.com/documents/?uuid=3c2c4798-177a-4fa3-84f0-2aee5bc0e6d0" ] }, { "id" : "ITEM-5", "itemData" : { "DOI" : "10.2214/AJR.05.0366", "ISSN" : "1546-3141", "PMID" : "16928943", "abstract" : "OBJECTIVE: The purpose of this study was to determine the sensitivity and accuracy of imaging-guided core biopsy in the diagnosis of pancreatic masses. CONCLUSION: Imaging-guided core biopsy is sensitive, safe, and accurate in the diagnosis of malignant lesions of the pancreas. Benign biopsy findings cannot be used to exclude the presence of a neoplasm, and repetition of a biopsy should be considered if there is high clinical suspicion of malignancy.", "author" : [ { "dropping-particle" : "", "family" : "Paulsen", "given" : "Sean D", "non-dropping-particle" : "", "parse-names" : false, "suffix" : "" }, { "dropping-particle" : "V", "family" : "Nghiem", "given" : "Hanh", "non-dropping-particle" : "", "parse-names" : false, "suffix" : "" }, { "dropping-particle" : "", "family" : "Negussie", "given" : "Edsa", "non-dropping-particle" : "", "parse-names" : false, "suffix" : "" }, { "dropping-particle" : "", "family" : "Higgins", "given" : "Ellen J", "non-dropping-particle" : "", "parse-names" : false, "suffix" : "" }, { "dropping-particle" : "", "family" : "Caoili", "given" : "Elaine M", "non-dropping-particle" : "", "parse-names" : false, "suffix" : "" }, { "dropping-particle" : "", "family" : "Francis", "given" : "Isaac R", "non-dropping-particle" : "", "parse-names" : false, "suffix" : "" } ], "container-title" : "AJR. American journal of roentgenology", "id" : "ITEM-5", "issue" : "3", "issued" : { "date-parts" : [ [ "2006", "9" ] ] }, "page" : "769-72", "title" : "Evaluation of imaging-guided core biopsy of pancreatic masses.", "type" : "article-journal", "volume" : "187" }, "uris" : [ "http://www.mendeley.com/documents/?uuid=3ba36960-9658-45a1-8822-ef6258159fb1" ] }, { "id" : "ITEM-6", "itemData" : { "ISSN" : "1221-4167", "PMID" : "12532207", "abstract" : "The diagnosis of pancreatic masses is often very difficult despite the new developments in imaging methods. As a correct diagnosis has a great impact on the therapy, in certain circumstances it is mandatory to obtain a morphological diagnosis. Although the indications for percutaneous pancreatic biopsy are not standardized, in many circumstances- inoperable pancreatic tumor, suspicion of lymphoma, metastasis or neuroendocrine tumors, differentiation between cystic tumors - a biopsy is clearly indicated. Pancreatic biopsy is usually performed by fine-needles either for cytology or microhistology, the use of larger needles for core biopsy adding a slightly improvement in sensitivity especially in masses from chronic pancreatitis or neuroendocrine tumors. Complications occur seldom, acute pancreatitis and tumoral seeding being the most important. Percutaneous pancreatic biopsy is a safe, flexible and reliable method for diagnosing pancreatic masses", "author" : [ { "dropping-particle" : "", "family" : "Sp\u00e2rchez", "given" : "Zeno", "non-dropping-particle" : "", "parse-names" : false, "suffix" : "" } ], "container-title" : "Romanian journal of gastroenterology", "id" : "ITEM-6", "issue" : "4", "issued" : { "date-parts" : [ [ "2002", "12" ] ] }, "page" : "335-41", "title" : "Ultrasound-guided percutaneous pancreatic biopsy. Indications, performance and complications.", "type" : "article-journal", "volume" : "11" }, "uris" : [ "http://www.mendeley.com/documents/?uuid=ef24d88c-6752-45a3-a19e-dac5b74c27c1" ] }, { "id" : "ITEM-7", "itemData" : { "ISSN" : "1007-9327", "PMID" : "20014462", "abstract" : "AIM: To assess the safety, yield and clinical utility of percutaneous transgastric computed tomography (CT)-guided biopsy of pancreatic tumor using large needles, in selected patients. METHODS: We reviewed 34 CT-guided biopsies in patients with pancreas mass, of whom 24 (71%) had a direct path to the mass without passing through a major organ. The needle passed through the liver in one case (3%). Nine passes (26%) were made through the stomach. These nine transgastric biopsies which used a coaxial technique (i.e. a 17-gauge coaxial introducer needle and an 18-gauge biopsy needle) were the basis of this study. Immediate and late follow-up CT images to detect complications were obtained. RESULTS: Tumor tissues were obtained in nine pancreatic biopsies, and histologic specimens for diagnosis were obtained in all cases. One patient, who had a rare sarcomatoid carcinoma, received a second biopsy. One patient had a complication of transient pneumoperitoneum but no subjective complaints. An immediate imaging study and clinical follow-up detected neither hemorrhage nor peritonitis. No delayed procedure-related complication was seen during the survival period of our patients. CONCLUSION: Pancreatic biopsy can be obtained by a transgastric route using a large needle as an alternative method, without complications of peritonitis or bleeding.", "author" : [ { "dropping-particle" : "", "family" : "Tseng", "given" : "Hsiuo-Shan", "non-dropping-particle" : "", "parse-names" : false, "suffix" : "" }, { "dropping-particle" : "", "family" : "Chen", "given" : "Chia-Yuen", "non-dropping-particle" : "", "parse-names" : false, "suffix" : "" }, { "dropping-particle" : "", "family" : "Chan", "given" : "Wing-P", "non-dropping-particle" : "", "parse-names" : false, "suffix" : "" }, { "dropping-particle" : "", "family" : "Chiang", "given" : "Jen-Huey", "non-dropping-particle" : "", "parse-names" : false, "suffix" : "" } ], "container-title" : "World journal of gastroenterology : WJG", "id" : "ITEM-7", "issue" : "47", "issued" : { "date-parts" : [ [ "2009", "12", "21" ] ] }, "page" : "5972-5", "title" : "Percutaneous transgastric computed tomography-guided biopsy of the pancreas using large needles.", "type" : "article-journal", "volume" : "15" }, "uris" : [ "http://www.mendeley.com/documents/?uuid=11df278b-06dc-41b1-bfce-458aa0ba7ce2" ] }, { "id" : "ITEM-8", "itemData" : { "DOI" : "10.1016/j.acra.2009.04.013", "ISSN" : "1878-4046", "PMID" : "19643636", "abstract" : "RATIONALE AND OBJECTIVES: Pancreatic lesions are frequently detected in pancreatic phase only, which may lead to false negative findings in CT-guided biopsies. We evaluated the accuracy and complication rate of CT guided biopsies of pancreatic lesions with i.v.-contrast application following needle placement in comparison to biopsy after contrast enhanced CT. MATERIALS AND METHODS: In 30 patients planning and needle placement was performed on the basis of a native planning CT and prior diagnostic CT or MRT. After needle placement contrast enhanced CT was performed to confirm needle course and adjusted if necessary (group 1). In 30 additional patients biopsy was planned based on contrast enhanced CT and needle was placed in the lesion. Control scans confirmed correct needle position (group 2). An 18G coaxial system was used for both groups. Statistical analysis was performed with Student's t and Fisher's exact test for comparison of lesion size, location as well as accuracy and complication rates. RESULTS: Mean lesion size was significantly smaller in group 1 (31 mm vs. 39 mm; p = 0.02). Diagnostic accuracy and sensitivity for malignancy in group 1 was 93% and 92% versus 80% and 77% in group 2. Complications related to the procedure, i.e. haematoma (n = 5, group 1/n = 2, group 2) and pain (n = 0, group 1/n = 2, group 2) did not statistically differ. CONCLUSION: CT-guided biopsy of pancreatic lesions with i.v.-contrast application following needle placement is a reliable method and provides superior accuracy compared to biopsies performed after contrast enhanced planning CT.", "author" : [ { "dropping-particle" : "", "family" : "Meier-Meitinger", "given" : "Martina", "non-dropping-particle" : "", "parse-names" : false, "suffix" : "" }, { "dropping-particle" : "", "family" : "Anders", "given" : "Katharina", "non-dropping-particle" : "", "parse-names" : false, "suffix" : "" }, { "dropping-particle" : "", "family" : "Alibek", "given" : "Sedat", "non-dropping-particle" : "", "parse-names" : false, "suffix" : "" }, { "dropping-particle" : "", "family" : "Uder", "given" : "Michael", "non-dropping-particle" : "", "parse-names" : false, "suffix" : "" }, { "dropping-particle" : "", "family" : "Baum", "given" : "Ulrich", "non-dropping-particle" : "", "parse-names" : false, "suffix" : "" } ], "container-title" : "Academic radiology", "id" : "ITEM-8", "issue" : "11", "issued" : { "date-parts" : [ [ "2009", "11" ] ] }, "page" : "1386-92", "title" : "CT-guided biopsies of pancreatic lesions: impact of contrast application prior to versus following needle placement.", "type" : "article-journal", "volume" : "16" }, "uris" : [ "http://www.mendeley.com/documents/?uuid=10e94f6f-74ee-4af6-a5d7-c215a329c616" ] } ], "mendeley" : { "previouslyFormattedCitation" : "&lt;sup&gt;[2,5,11\u201313,15,16,19]&lt;/sup&gt;"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[2,5,11–15,17,18,21]</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Accordingly, no serious complications occurred in the patients in our study, with only a small percentage of patients experiencing mild adverse events that spontaneously resolved. However, </w:t>
      </w:r>
      <w:r w:rsidRPr="00297C09">
        <w:rPr>
          <w:rFonts w:ascii="Book Antiqua" w:eastAsia="Arial" w:hAnsi="Book Antiqua" w:cs="Times New Roman"/>
          <w:color w:val="auto"/>
          <w:sz w:val="24"/>
          <w:szCs w:val="24"/>
          <w:lang w:val="en-US"/>
        </w:rPr>
        <w:t xml:space="preserve">Amin </w:t>
      </w:r>
      <w:r w:rsidRPr="00297C09">
        <w:rPr>
          <w:rFonts w:ascii="Book Antiqua" w:eastAsia="Arial" w:hAnsi="Book Antiqua" w:cs="Times New Roman"/>
          <w:i/>
          <w:color w:val="auto"/>
          <w:sz w:val="24"/>
          <w:szCs w:val="24"/>
          <w:lang w:val="en-US"/>
        </w:rPr>
        <w:t>et al</w:t>
      </w:r>
      <w:r w:rsidRPr="00297C09">
        <w:rPr>
          <w:rFonts w:ascii="Book Antiqua" w:eastAsia="Arial" w:hAnsi="Book Antiqua" w:cs="Times New Roman"/>
          <w:color w:val="auto"/>
          <w:sz w:val="24"/>
          <w:szCs w:val="24"/>
          <w:lang w:val="en-US"/>
        </w:rPr>
        <w:fldChar w:fldCharType="begin" w:fldLock="1"/>
      </w:r>
      <w:r w:rsidRPr="00297C09">
        <w:rPr>
          <w:rFonts w:ascii="Book Antiqua" w:eastAsia="Arial" w:hAnsi="Book Antiqua" w:cs="Times New Roman"/>
          <w:color w:val="auto"/>
          <w:sz w:val="24"/>
          <w:szCs w:val="24"/>
          <w:lang w:val="en-US"/>
        </w:rPr>
        <w:instrText>ADDIN CSL_CITATION { "citationItems" : [ { "id" : "ITEM-1", "itemData" : { "DOI" : "10.1016/j.crad.2006.07.005", "ISSN" : "0009-9260", "PMID" : "17097419", "abstract" : "AIMS: To determine the sensitivity and complications of percutaneous biopsy of pancreatic masses, and whether typical computed tomography (CT) features of adenocarcinoma can reliably predict this diagnosis. MATERIALS AND METHODS: A 5 year retrospective analysis of percutaneous core biopsies of pancreatic masses and their CT features was undertaken. Data were retrieved from surgical/pathology databases; medical records and CT reports and images. RESULTS: Three hundred and three patients underwent 372 biopsies; 56 of 87 patients had repeat biopsies. Malignancy was diagnosed in 276 patients, with ductal adenocarcinoma in 259 (85%). Final sensitivity of percutaneous biopsy for diagnosing pancreatic neoplasms was 90%; for repeat biopsy it was 87%. Complications occurred in 17 (4.6%) patients, in three of whom the complications were major (1%): one abscess, one duodenal perforation, one large retroperitoneal bleed. CT features typical of ductal adenocarcinoma were: hypovascular pancreatic mass with bile and/or pancreatic duct dilatation. Atypical CT features were: isodense or hypervascular mass, calcification, non-dilated ducts, cystic change, and extensive lymphadenopathy. Defining typical CT features of adenocarcinoma as true-positives, CT had a sensitivity of 68%, specificity of 95%, positive predictive value (PPV) of 98%, and negative predictive value of 41% for diagnosing pancreatic adenocarcinoma. CONCLUSION: Final sensitivity of percutaneous biopsy for establishing the diagnosis was 90%. CT features typical of pancreatic adenocarcinoma had high specificity and PPV. On some occasions, especially in frail patients with co-morbidity, it might be reasonable to assume a diagnosis of pancreatic cancer if CT features are typical, and biopsy only if CT shows atypical features.", "author" : [ { "dropping-particle" : "", "family" : "Amin", "given" : "Z", "non-dropping-particle" : "", "parse-names" : false, "suffix" : "" }, { "dropping-particle" : "", "family" : "Theis", "given" : "B", "non-dropping-particle" : "", "parse-names" : false, "suffix" : "" }, { "dropping-particle" : "", "family" : "Russell", "given" : "R C G", "non-dropping-particle" : "", "parse-names" : false, "suffix" : "" }, { "dropping-particle" : "", "family" : "House", "given" : "C", "non-dropping-particle" : "", "parse-names" : false, "suffix" : "" }, { "dropping-particle" : "", "family" : "Novelli", "given" : "M", "non-dropping-particle" : "", "parse-names" : false, "suffix" : "" }, { "dropping-particle" : "", "family" : "Lees", "given" : "W R", "non-dropping-particle" : "", "parse-names" : false, "suffix" : "" } ], "container-title" : "Clinical radiology", "id" : "ITEM-1", "issue" : "12", "issued" : { "date-parts" : [ [ "2006", "12" ] ] }, "page" : "996-1002", "title" : "Diagnosing pancreatic cancer: the role of percutaneous biopsy and CT.", "type" : "article-journal", "volume" : "61" }, "uris" : [ "http://www.mendeley.com/documents/?uuid=8d53d854-b735-42bb-a455-ce9542426217" ] } ], "mendeley" : { "previouslyFormattedCitation" : "&lt;sup&gt;[2]&lt;/sup&gt;" }, "properties" : { "noteIndex" : 0 }, "schema" : "https://github.com/citation-style-language/schema/raw/master/csl-citation.json" }</w:instrText>
      </w:r>
      <w:r w:rsidRPr="00297C09">
        <w:rPr>
          <w:rFonts w:ascii="Book Antiqua" w:eastAsia="Arial" w:hAnsi="Book Antiqua" w:cs="Times New Roman"/>
          <w:color w:val="auto"/>
          <w:sz w:val="24"/>
          <w:szCs w:val="24"/>
          <w:lang w:val="en-US"/>
        </w:rPr>
        <w:fldChar w:fldCharType="separate"/>
      </w:r>
      <w:r w:rsidRPr="00297C09">
        <w:rPr>
          <w:rFonts w:ascii="Book Antiqua" w:eastAsia="Arial" w:hAnsi="Book Antiqua" w:cs="Times New Roman"/>
          <w:noProof/>
          <w:color w:val="auto"/>
          <w:sz w:val="24"/>
          <w:szCs w:val="24"/>
          <w:vertAlign w:val="superscript"/>
          <w:lang w:val="en-US"/>
        </w:rPr>
        <w:t>[2]</w:t>
      </w:r>
      <w:r w:rsidRPr="00297C09">
        <w:rPr>
          <w:rFonts w:ascii="Book Antiqua" w:eastAsia="Arial" w:hAnsi="Book Antiqua" w:cs="Times New Roman"/>
          <w:color w:val="auto"/>
          <w:sz w:val="24"/>
          <w:szCs w:val="24"/>
          <w:lang w:val="en-US"/>
        </w:rPr>
        <w:fldChar w:fldCharType="end"/>
      </w:r>
      <w:r w:rsidRPr="00297C09">
        <w:rPr>
          <w:rFonts w:ascii="Book Antiqua" w:eastAsia="Arial" w:hAnsi="Book Antiqua" w:cs="Times New Roman"/>
          <w:color w:val="auto"/>
          <w:sz w:val="24"/>
          <w:szCs w:val="24"/>
          <w:lang w:val="en-US"/>
        </w:rPr>
        <w:t xml:space="preserve"> reported complications in 17/372 (4.6%) percutaneous core needle biopsies, including serious complications such as abscess, duodenal perforation, and large retroperitoneal hematoma. Almost all of the complications in the present study occurred from lesions located in the head/</w:t>
      </w:r>
      <w:proofErr w:type="spellStart"/>
      <w:r w:rsidRPr="00297C09">
        <w:rPr>
          <w:rFonts w:ascii="Book Antiqua" w:eastAsia="Arial" w:hAnsi="Book Antiqua" w:cs="Times New Roman"/>
          <w:color w:val="auto"/>
          <w:sz w:val="24"/>
          <w:szCs w:val="24"/>
          <w:lang w:val="en-US"/>
        </w:rPr>
        <w:t>uncinate</w:t>
      </w:r>
      <w:proofErr w:type="spellEnd"/>
      <w:r w:rsidRPr="00297C09">
        <w:rPr>
          <w:rFonts w:ascii="Book Antiqua" w:eastAsia="Arial" w:hAnsi="Book Antiqua" w:cs="Times New Roman"/>
          <w:color w:val="auto"/>
          <w:sz w:val="24"/>
          <w:szCs w:val="24"/>
          <w:lang w:val="en-US"/>
        </w:rPr>
        <w:t xml:space="preserve"> process of the pancreas, possibly resulting from the large number of vessels and structures involving this portion of the organ. Needle size did not relate to the complication rate, though most procedures were performed with the same size needle (18 G)</w:t>
      </w:r>
      <w:r w:rsidRPr="00297C09">
        <w:rPr>
          <w:rFonts w:ascii="Book Antiqua" w:hAnsi="Book Antiqua" w:cs="Times New Roman"/>
          <w:color w:val="auto"/>
          <w:sz w:val="24"/>
          <w:szCs w:val="24"/>
          <w:lang w:val="en-US"/>
        </w:rPr>
        <w:t>.</w:t>
      </w:r>
    </w:p>
    <w:p w:rsidR="00E95D22" w:rsidRPr="00297C09" w:rsidRDefault="00E95D22" w:rsidP="00E95D22">
      <w:pPr>
        <w:snapToGrid w:val="0"/>
        <w:spacing w:after="0" w:line="360" w:lineRule="auto"/>
        <w:ind w:firstLine="420"/>
        <w:contextualSpacing/>
        <w:jc w:val="both"/>
        <w:rPr>
          <w:rFonts w:ascii="Book Antiqua" w:eastAsia="Arial" w:hAnsi="Book Antiqua" w:cs="Times New Roman"/>
          <w:color w:val="auto"/>
          <w:sz w:val="24"/>
          <w:szCs w:val="24"/>
          <w:lang w:val="en-US"/>
        </w:rPr>
      </w:pPr>
      <w:r w:rsidRPr="00297C09">
        <w:rPr>
          <w:rFonts w:ascii="Book Antiqua" w:eastAsia="Arial" w:hAnsi="Book Antiqua" w:cs="Times New Roman"/>
          <w:color w:val="auto"/>
          <w:sz w:val="24"/>
          <w:szCs w:val="24"/>
          <w:lang w:val="en-US"/>
        </w:rPr>
        <w:t xml:space="preserve">Although rare, the peritoneal implantation of tumor cells during biopsy is a complication of concern. Cases of tumor dissemination along the needle trajectory after percutaneous or </w:t>
      </w:r>
      <w:proofErr w:type="spellStart"/>
      <w:r w:rsidRPr="00297C09">
        <w:rPr>
          <w:rFonts w:ascii="Book Antiqua" w:eastAsia="Arial" w:hAnsi="Book Antiqua" w:cs="Times New Roman"/>
          <w:color w:val="auto"/>
          <w:sz w:val="24"/>
          <w:szCs w:val="24"/>
          <w:lang w:val="en-US"/>
        </w:rPr>
        <w:t>echoendoscopy</w:t>
      </w:r>
      <w:proofErr w:type="spellEnd"/>
      <w:r w:rsidRPr="00297C09">
        <w:rPr>
          <w:rFonts w:ascii="Book Antiqua" w:eastAsia="Arial" w:hAnsi="Book Antiqua" w:cs="Times New Roman"/>
          <w:color w:val="auto"/>
          <w:sz w:val="24"/>
          <w:szCs w:val="24"/>
          <w:lang w:val="en-US"/>
        </w:rPr>
        <w:t>-guided FNA have been described</w:t>
      </w:r>
      <w:r w:rsidRPr="00297C09">
        <w:rPr>
          <w:rFonts w:ascii="Book Antiqua" w:eastAsia="Arial" w:hAnsi="Book Antiqua" w:cs="Times New Roman"/>
          <w:color w:val="auto"/>
          <w:sz w:val="24"/>
          <w:szCs w:val="24"/>
          <w:lang w:val="en-US"/>
        </w:rPr>
        <w:fldChar w:fldCharType="begin" w:fldLock="1"/>
      </w:r>
      <w:r w:rsidRPr="00297C09">
        <w:rPr>
          <w:rFonts w:ascii="Book Antiqua" w:eastAsia="Arial" w:hAnsi="Book Antiqua" w:cs="Times New Roman"/>
          <w:color w:val="auto"/>
          <w:sz w:val="24"/>
          <w:szCs w:val="24"/>
          <w:lang w:val="en-US"/>
        </w:rPr>
        <w:instrText>ADDIN CSL_CITATION { "citationItems" : [ { "id" : "ITEM-1", "itemData" : { "ISSN" : "0284-1851", "PMID" : "1742134", "abstract" : "Percutaneous fine-needle aspiration biopsy is a commonly used diagnostic procedure with a high accuracy and a low complication rate. However, tumor seeding in the biopsy tracts has been recorded with a frequency of one in 20,000-40,000 biopsies. We report 5 cases of percutaneous tumor seeding recorded after 5,000 fine-needle biopsies of abdominal malignancies at our institution. The risk of implantation metastases induced by fine-needle biopsy warrants consideration in patients with abdominal malignancies since it may compromise the outcome of radical surgery. It should only be performed when the result of the procedure has a direct impact on the choice of therapy.", "author" : [ { "dropping-particle" : "", "family" : "Lundstedt", "given" : "C", "non-dropping-particle" : "", "parse-names" : false, "suffix" : "" }, { "dropping-particle" : "", "family" : "Stridbeck", "given" : "H", "non-dropping-particle" : "", "parse-names" : false, "suffix" : "" }, { "dropping-particle" : "", "family" : "Andersson", "given" : "R", "non-dropping-particle" : "", "parse-names" : false, "suffix" : "" }, { "dropping-particle" : "", "family" : "Tranberg", "given" : "K G", "non-dropping-particle" : "", "parse-names" : false, "suffix" : "" }, { "dropping-particle" : "", "family" : "Andr\u00e9n-Sandberg", "given" : "A", "non-dropping-particle" : "", "parse-names" : false, "suffix" : "" } ], "container-title" : "Acta radiologica (Stockholm, Sweden : 1987)", "id" : "ITEM-1", "issue" : "6", "issued" : { "date-parts" : [ [ "1991", "11" ] ] }, "page" : "518-20", "title" : "Tumor seeding occurring after fine-needle biopsy of abdominal malignancies.", "type" : "article-journal", "volume" : "32" }, "uris" : [ "http://www.mendeley.com/documents/?uuid=45480daf-0e8b-4bc8-a343-5fe1242f3782" ] }, { "id" : "ITEM-2", "itemData" : { "ISSN" : "0254-881X", "PMID" : "3886264", "abstract" : "The authors report the case of a patient affected with carcinoma of the pancreas who underwent fine-needle aspiration biopsy under ultrasonic guidance. 2 months later, a peritoneal metastasis was found during laparotomy at the site of the previous biopsy. This is the third reported case in the literature of neoplastic dissemination after fine-needle biopsy, a traditionally safe diagnostic procedure.", "author" : [ { "dropping-particle" : "", "family" : "Caturelli", "given" : "E", "non-dropping-particle" : "", "parse-names" : false, "suffix" : "" }, { "dropping-particle" : "", "family" : "Rapaccini", "given" : "G L", "non-dropping-particle" : "", "parse-names" : false, "suffix" : "" }, { "dropping-particle" : "", "family" : "Anti", "given" : "M", "non-dropping-particle" : "", "parse-names" : false, "suffix" : "" }, { "dropping-particle" : "", "family" : "Fabiano", "given" : "A", "non-dropping-particle" : "", "parse-names" : false, "suffix" : "" }, { "dropping-particle" : "", "family" : "Fedeli", "given" : "G", "non-dropping-particle" : "", "parse-names" : false, "suffix" : "" } ], "container-title" : "Diagnostic imaging in clinical medicine", "id" : "ITEM-2", "issue" : "2", "issued" : { "date-parts" : [ [ "1985", "1" ] ] }, "page" : "88-91", "title" : "Malignant seeding after fine-needle aspiration biopsy of the pancreas.", "type" : "article-journal", "volume" : "54" }, "uris" : [ "http://www.mendeley.com/documents/?uuid=4296e425-8c7e-4c76-ad1b-4687635b4513" ] }, { "id" : "ITEM-3", "itemData" : { "DOI" : "10.1055/s-0031-1291716", "ISSN" : "1438-8812", "PMID" : "22622721", "author" : [ { "dropping-particle" : "", "family" : "Katanuma", "given" : "A", "non-dropping-particle" : "", "parse-names" : false, "suffix" : "" }, { "dropping-particle" : "", "family" : "Maguchi", "given" : "H", "non-dropping-particle" : "", "parse-names" : false, "suffix" : "" }, { "dropping-particle" : "", "family" : "Hashigo", "given" : "S", "non-dropping-particle" : "", "parse-names" : false, "suffix" : "" }, { "dropping-particle" : "", "family" : "Kaneko", "given" : "M", "non-dropping-particle" : "", "parse-names" : false, "suffix" : "" }, { "dropping-particle" : "", "family" : "Kin", "given" : "T", "non-dropping-particle" : "", "parse-names" : false, "suffix" : "" }, { "dropping-particle" : "", "family" : "Yane", "given" : "K", "non-dropping-particle" : "", "parse-names" : false, "suffix" : "" }, { "dropping-particle" : "", "family" : "Kato", "given" : "R", "non-dropping-particle" : "", "parse-names" : false, "suffix" : "" }, { "dropping-particle" : "", "family" : "Kato", "given" : "S", "non-dropping-particle" : "", "parse-names" : false, "suffix" : "" }, { "dropping-particle" : "", "family" : "Harada", "given" : "R", "non-dropping-particle" : "", "parse-names" : false, "suffix" : "" }, { "dropping-particle" : "", "family" : "Osanai", "given" : "M", "non-dropping-particle" : "", "parse-names" : false, "suffix" : "" }, { "dropping-particle" : "", "family" : "Takahashi", "given" : "K", "non-dropping-particle" : "", "parse-names" : false, "suffix" : "" }, { "dropping-particle" : "", "family" : "Shinohara", "given" : "T", "non-dropping-particle" : "", "parse-names" : false, "suffix" : "" }, { "dropping-particle" : "", "family" : "Itoi", "given" : "T", "non-dropping-particle" : "", "parse-names" : false, "suffix" : "" } ], "container-title" : "Endoscopy", "id" : "ITEM-3", "issued" : { "date-parts" : [ [ "2012", "1" ] ] }, "page" : "E160-1", "title" : "Tumor seeding after endoscopic ultrasound-guided fine-needle aspiration of cancer in the body of the pancreas.", "type" : "article-journal", "volume" : "44 Suppl 2" }, "uris" : [ "http://www.mendeley.com/documents/?uuid=7d57e678-670a-404e-b222-6665aedb82ec" ] } ], "mendeley" : { "previouslyFormattedCitation" : "&lt;sup&gt;[20\u201322]&lt;/sup&gt;" }, "properties" : { "noteIndex" : 0 }, "schema" : "https://github.com/citation-style-language/schema/raw/master/csl-citation.json" }</w:instrText>
      </w:r>
      <w:r w:rsidRPr="00297C09">
        <w:rPr>
          <w:rFonts w:ascii="Book Antiqua" w:eastAsia="Arial" w:hAnsi="Book Antiqua" w:cs="Times New Roman"/>
          <w:color w:val="auto"/>
          <w:sz w:val="24"/>
          <w:szCs w:val="24"/>
          <w:lang w:val="en-US"/>
        </w:rPr>
        <w:fldChar w:fldCharType="separate"/>
      </w:r>
      <w:r w:rsidRPr="00297C09">
        <w:rPr>
          <w:rFonts w:ascii="Book Antiqua" w:eastAsia="Arial" w:hAnsi="Book Antiqua" w:cs="Times New Roman"/>
          <w:noProof/>
          <w:color w:val="auto"/>
          <w:sz w:val="24"/>
          <w:szCs w:val="24"/>
          <w:vertAlign w:val="superscript"/>
          <w:lang w:val="en-US"/>
        </w:rPr>
        <w:t>[22–24]</w:t>
      </w:r>
      <w:r w:rsidRPr="00297C09">
        <w:rPr>
          <w:rFonts w:ascii="Book Antiqua" w:eastAsia="Arial" w:hAnsi="Book Antiqua" w:cs="Times New Roman"/>
          <w:color w:val="auto"/>
          <w:sz w:val="24"/>
          <w:szCs w:val="24"/>
          <w:lang w:val="en-US"/>
        </w:rPr>
        <w:fldChar w:fldCharType="end"/>
      </w:r>
      <w:r w:rsidRPr="00297C09">
        <w:rPr>
          <w:rFonts w:ascii="Book Antiqua" w:eastAsia="Arial" w:hAnsi="Book Antiqua" w:cs="Times New Roman"/>
          <w:color w:val="auto"/>
          <w:sz w:val="24"/>
          <w:szCs w:val="24"/>
          <w:lang w:val="en-US"/>
        </w:rPr>
        <w:t>. This did not occur in any of our cases. Some authors have suggested that the use of a coaxial needle, as used in this study, reduces the risk of implantation along the biopsy trajectory as the adjacent normal tissues are shielded from the needle</w:t>
      </w:r>
      <w:r w:rsidRPr="00297C09">
        <w:rPr>
          <w:rFonts w:ascii="Book Antiqua" w:eastAsia="Arial" w:hAnsi="Book Antiqua" w:cs="Times New Roman"/>
          <w:color w:val="auto"/>
          <w:sz w:val="24"/>
          <w:szCs w:val="24"/>
          <w:lang w:val="en-US"/>
        </w:rPr>
        <w:fldChar w:fldCharType="begin" w:fldLock="1"/>
      </w:r>
      <w:r w:rsidRPr="00297C09">
        <w:rPr>
          <w:rFonts w:ascii="Book Antiqua" w:eastAsia="Arial" w:hAnsi="Book Antiqua" w:cs="Times New Roman"/>
          <w:color w:val="auto"/>
          <w:sz w:val="24"/>
          <w:szCs w:val="24"/>
          <w:lang w:val="en-US"/>
        </w:rPr>
        <w:instrText>ADDIN CSL_CITATION { "citationItems" : [ { "id" : "ITEM-1", "itemData" : { "DOI" : "10.2214/AJR.05.1347", "ISSN" : "1546-3141", "PMID" : "17056903", "abstract" : "OBJECTIVE: The objective of our study was to determine the incidence of tumor seeding after biopsy of hepatocellular carcinoma (HCC) using a coaxial cutting needle technique. Seeding along the needle track is a dreaded complication of percutaneous biopsy in patients with HCC, particularly in potential liver transplant recipients. Reported seeding rates range from 0.6% to 5.1% using various biopsy techniques. To our knowledge, the rate of seeding using a coaxial cutting needle technique has not been reported. MATERIALS AND METHODS: Retrospective review identified 128 patients with imaging-guided percutaneous liver biopsies positive for HCC. A coaxial cutting needle technique was uniformly used with a 17-gauge introducer and 18-gauge biopsy needle. Radiology and clinical reports were reviewed, and findings at clinical and imaging follow-up were assessed. RESULTS: During the 6-year study period, 1,012 liver mass biopsies were performed, with 128 positive for HCC (100 men and 28 women; average age, 58.4 years). One hundred one patients had more than 30 days of clinical or imaging follow-up (or both) after biopsy (mean, 410 days; range, 33-1,989 days) and constituted the study population. The remaining 27 were excluded because of inadequate follow-up. No suspected or confirmed tumor seeding on imaging, physical examination, or laparotomy was identified. CONCLUSION: We found no tumor seeding after percutaneous biopsy of HCC using a coaxial cutting needle technique. This rate, 0%, is lower than those reported with other techniques. The use of a needle introducer that remains in position during multiple cutting needle passes protects normal tissue along the track and may reduce seeding. This has particular importance for patients with stage I-II HCC, for whom liver transplantation may be curative.", "author" : [ { "dropping-particle" : "", "family" : "Maturen", "given" : "Katherine E", "non-dropping-particle" : "", "parse-names" : false, "suffix" : "" }, { "dropping-particle" : "V", "family" : "Nghiem", "given" : "Hanh", "non-dropping-particle" : "", "parse-names" : false, "suffix" : "" }, { "dropping-particle" : "", "family" : "Marrero", "given" : "Jorge A", "non-dropping-particle" : "", "parse-names" : false, "suffix" : "" }, { "dropping-particle" : "", "family" : "Hussain", "given" : "Hero K", "non-dropping-particle" : "", "parse-names" : false, "suffix" : "" }, { "dropping-particle" : "", "family" : "Higgins", "given" : "Ellen G", "non-dropping-particle" : "", "parse-names" : false, "suffix" : "" }, { "dropping-particle" : "", "family" : "Fox", "given" : "Giovanna A", "non-dropping-particle" : "", "parse-names" : false, "suffix" : "" }, { "dropping-particle" : "", "family" : "Francis", "given" : "Isaac R", "non-dropping-particle" : "", "parse-names" : false, "suffix" : "" } ], "container-title" : "AJR. American journal of roentgenology", "id" : "ITEM-1", "issue" : "5", "issued" : { "date-parts" : [ [ "2006", "11" ] ] }, "page" : "1184-7", "title" : "Lack of tumor seeding of hepatocellular carcinoma after percutaneous needle biopsy using coaxial cutting needle technique.", "type" : "article-journal", "volume" : "187" }, "uris" : [ "http://www.mendeley.com/documents/?uuid=bfbbb71e-c40c-400a-b5b1-51962e652e56" ] } ], "mendeley" : { "previouslyFormattedCitation" : "&lt;sup&gt;[23]&lt;/sup&gt;" }, "properties" : { "noteIndex" : 0 }, "schema" : "https://github.com/citation-style-language/schema/raw/master/csl-citation.json" }</w:instrText>
      </w:r>
      <w:r w:rsidRPr="00297C09">
        <w:rPr>
          <w:rFonts w:ascii="Book Antiqua" w:eastAsia="Arial" w:hAnsi="Book Antiqua" w:cs="Times New Roman"/>
          <w:color w:val="auto"/>
          <w:sz w:val="24"/>
          <w:szCs w:val="24"/>
          <w:lang w:val="en-US"/>
        </w:rPr>
        <w:fldChar w:fldCharType="separate"/>
      </w:r>
      <w:r w:rsidRPr="00297C09">
        <w:rPr>
          <w:rFonts w:ascii="Book Antiqua" w:eastAsia="Arial" w:hAnsi="Book Antiqua" w:cs="Times New Roman"/>
          <w:noProof/>
          <w:color w:val="auto"/>
          <w:sz w:val="24"/>
          <w:szCs w:val="24"/>
          <w:vertAlign w:val="superscript"/>
          <w:lang w:val="en-US"/>
        </w:rPr>
        <w:t>[25]</w:t>
      </w:r>
      <w:r w:rsidRPr="00297C09">
        <w:rPr>
          <w:rFonts w:ascii="Book Antiqua" w:eastAsia="Arial" w:hAnsi="Book Antiqua" w:cs="Times New Roman"/>
          <w:color w:val="auto"/>
          <w:sz w:val="24"/>
          <w:szCs w:val="24"/>
          <w:lang w:val="en-US"/>
        </w:rPr>
        <w:fldChar w:fldCharType="end"/>
      </w:r>
      <w:r w:rsidRPr="00297C09">
        <w:rPr>
          <w:rFonts w:ascii="Book Antiqua" w:eastAsia="Arial" w:hAnsi="Book Antiqua" w:cs="Times New Roman"/>
          <w:color w:val="auto"/>
          <w:sz w:val="24"/>
          <w:szCs w:val="24"/>
          <w:lang w:val="en-US"/>
        </w:rPr>
        <w:t>.</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proofErr w:type="spellStart"/>
      <w:r w:rsidRPr="00297C09">
        <w:rPr>
          <w:rFonts w:ascii="Book Antiqua" w:hAnsi="Book Antiqua" w:cs="Times New Roman"/>
          <w:color w:val="auto"/>
          <w:sz w:val="24"/>
          <w:szCs w:val="24"/>
          <w:lang w:val="en-US"/>
        </w:rPr>
        <w:t>Echoendoscopy</w:t>
      </w:r>
      <w:proofErr w:type="spellEnd"/>
      <w:r w:rsidRPr="00297C09">
        <w:rPr>
          <w:rFonts w:ascii="Book Antiqua" w:hAnsi="Book Antiqua" w:cs="Times New Roman"/>
          <w:color w:val="auto"/>
          <w:sz w:val="24"/>
          <w:szCs w:val="24"/>
          <w:lang w:val="en-US"/>
        </w:rPr>
        <w:t xml:space="preserve">-guided FNA has received attention because of its accuracy in obtaining </w:t>
      </w:r>
      <w:proofErr w:type="spellStart"/>
      <w:r w:rsidRPr="00297C09">
        <w:rPr>
          <w:rFonts w:ascii="Book Antiqua" w:hAnsi="Book Antiqua" w:cs="Times New Roman"/>
          <w:color w:val="auto"/>
          <w:sz w:val="24"/>
          <w:szCs w:val="24"/>
          <w:lang w:val="en-US"/>
        </w:rPr>
        <w:t>cytopathologic</w:t>
      </w:r>
      <w:proofErr w:type="spellEnd"/>
      <w:r w:rsidRPr="00297C09">
        <w:rPr>
          <w:rFonts w:ascii="Book Antiqua" w:hAnsi="Book Antiqua" w:cs="Times New Roman"/>
          <w:color w:val="auto"/>
          <w:sz w:val="24"/>
          <w:szCs w:val="24"/>
          <w:lang w:val="en-US"/>
        </w:rPr>
        <w:t xml:space="preserve"> material, with a sensitivity of 55</w:t>
      </w:r>
      <w:r w:rsidR="00A9060E">
        <w:rPr>
          <w:rFonts w:ascii="Book Antiqua" w:hAnsi="Book Antiqua" w:cs="Times New Roman" w:hint="eastAsia"/>
          <w:color w:val="auto"/>
          <w:sz w:val="24"/>
          <w:szCs w:val="24"/>
          <w:lang w:val="en-US" w:eastAsia="zh-CN"/>
        </w:rPr>
        <w:t>%</w:t>
      </w:r>
      <w:r w:rsidR="00E14043">
        <w:rPr>
          <w:rFonts w:ascii="Book Antiqua" w:hAnsi="Book Antiqua" w:cs="Times New Roman" w:hint="eastAsia"/>
          <w:color w:val="auto"/>
          <w:sz w:val="24"/>
          <w:szCs w:val="24"/>
          <w:lang w:val="en-US" w:eastAsia="zh-CN"/>
        </w:rPr>
        <w:t>-</w:t>
      </w:r>
      <w:r w:rsidRPr="00297C09">
        <w:rPr>
          <w:rFonts w:ascii="Book Antiqua" w:hAnsi="Book Antiqua" w:cs="Times New Roman"/>
          <w:color w:val="auto"/>
          <w:sz w:val="24"/>
          <w:szCs w:val="24"/>
          <w:lang w:val="en-US"/>
        </w:rPr>
        <w:t>97%</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"ISSN" : "0001-5547", "PMID" : "14526668", "abstract" : "OBJECTIVE: To compare the sensitivity and specificity of pancreatic fine needle aspiration (FNA) with computed tomography (CT) and endoscopic ultrasound (EUS) guidance. STUDY DESIGN: A 6-year retrospective review included 137 pancreatic FNAs (CT 51, magnetic resonance imaging 2 or EUS 84). Clinical or histologic follow-up was available for 110 patients. RESULTS: Positive (POS), suspicious (SUS), atypical, negative and unsatisfactory (UNSAT) results represented 25.5%, 7.3%, 7.3%, 40.1% and 19.1% of reported diagnoses, respectively. In detecting malignancy, the sensitivities of POS/SUS results were 71% and 42% for CT and EUS, respectively, with negative predictive value (NPV) of 41% and 45%. Also, 35% of UNSAT results were found to have malignancy. However, EUS was used on more difficult lesions, including 82% of small, cystic ones and 75% of small, solid ones. CONCLUSION: Although the apparent performance of percutaneous CT-guided biopsies surpasses that of EUS, this is due to the choice of endoscopy for more difficult lesions. The specificity and negative predictive value of EUS and CT are similar.", "author" : [ { "dropping-particle" : "", "family" : "Qian", "given" : "Xiaohua", "non-dropping-particle" : "", "parse-names" : false, "suffix" : "" }, { "dropping-particle" : "", "family" : "Hecht", "given" : "Jonathan L", "non-dropping-particle" : "", "parse-names" : false, "suffix" : "" } ], "container-title" : "Acta cytologica", "id" : "ITEM-1", "issue" : "5", "issued" : { "date-parts" : [ [ "0" ] ] }, "page" : "723-6", "title" : "Pancreatic fine needle aspiration. A comparison of computed tomographic and endoscopic ultrasonographic guidance.", "type" : "article-journal", "volume" : "47" }, "uris" : [ "http://www.mendeley.com/documents/?uuid=9aaf46d1-fcd1-49b4-aac5-444b490c03b7" ] }, { "id" : "ITEM-2", "itemData" : { "DOI" : "10.1111/j.1572-0241.2002.07088.x", "ISSN" : "0002-9270", "PMID" : "12425535", "author" : [ { "dropping-particle" : "", "family" : "Brugge", "given" : "William R", "non-dropping-particle" : "", "parse-names" : false, "suffix" : "" } ], "container-title" : "The American journal of gastroenterology", "id" : "ITEM-2", "issue" : "11", "issued" : { "date-parts" : [ [ "2002", "11" ] ] }, "page" : "2701-2", "title" : "Fine needle aspiration of pancreatic masses: the clinical impact.", "type" : "article-journal", "volume" : "97" }, "uris" : [ "http://www.mendeley.com/documents/?uuid=e1e421c1-6221-43cb-ad2f-e9e69fff610d" ] }, { "id" : "ITEM-3", "itemData" : { "DOI" : "10.1111/j.1572-0241.2000.02311.x", "ISSN" : "0002-9270", "PMID" : "11007226", "abstract" : "OBJECTIVE: Organ preserving pancreatic resections are considered whenever malignant disease is ruled out. In tumors of low malignant potential such as cystadenomas and neuroendocrine tumors, the diagnosis is rarely established preoperatively. We studied the feasibility of cytodiagnosis using endosonography-guided fine-needle aspiration in determining the operative approach. METHODS: A total of 78 patients (16 female, 62 male; mean age 61.4 yr, range 31-82 yr) with focal pancreatic lesions underwent EUS-FNA. Final diagnosis was confirmed by histology, cytology, or clinical follow up (&gt;9 months). Patients with tumors of low malignant potential were managed by customized pancreatic resections. RESULTS: Final diagnosis was malignant tumors in 36 patients, tumors of low malignant potential in nine (six, neuroendocrine, two, borderline mucinous cystadenomas, one, borderline adenocarcinoma), and benign in 31 (two inadequate smears). No complications occurred. With six false-negative and no false-positive results, the accuracy, sensitivity, specificity, and positive and negative predictive values were 92%, 84%, 100%, 100%, and 86%, respectively. Five patients with low malignant tumors underwent duodenum-preserving pancreatic head resection, three mid segment resection, and one pylorus-preserving pancreatoduodenectomy. CONCLUSIONS: EUS-FNA is useful in the preoperative cytodiagnosis of pancreatic tumors of low malignant potential. It extends the indication for organ-preserving pancreatic resections and avoids the unnecessary sacrifice of adjacent organs.", "author" : [ { "dropping-particle" : "", "family" : "Fritscher-Ravens", "given" : "A", "non-dropping-particle" : "", "parse-names" : false, "suffix" : "" }, { "dropping-particle" : "", "family" : "Izbicki", "given" : "J R", "non-dropping-particle" : "", "parse-names" : false, "suffix" : "" }, { "dropping-particle" : "V", "family" : "Sriram", "given" : "P", "non-dropping-particle" : "", "parse-names" : false, "suffix" : "" }, { "dropping-particle" : "", "family" : "Krause", "given" : "C", "non-dropping-particle" : "", "parse-names" : false, "suffix" : "" }, { "dropping-particle" : "", "family" : "Knoefel", "given" : "W T", "non-dropping-particle" : "", "parse-names" : false, "suffix" : "" }, { "dropping-particle" : "", "family" : "Topalidis", "given" : "T", "non-dropping-particle" : "", "parse-names" : false, "suffix" : "" }, { "dropping-particle" : "", "family" : "Jaeckle", "given" : "S", "non-dropping-particle" : "", "parse-names" : false, "suffix" : "" }, { "dropping-particle" : "", "family" : "Thonke", "given" : "F", "non-dropping-particle" : "", "parse-names" : false, "suffix" : "" }, { "dropping-particle" : "", "family" : "Soehendra", "given" : "N", "non-dropping-particle" : "", "parse-names" : false, "suffix" : "" } ], "container-title" : "The American journal of gastroenterology", "id" : "ITEM-3", "issue" : "9", "issued" : { "date-parts" : [ [ "2000", "9" ] ] }, "page" : "2255-60", "title" : "Endosonography-guided, fine-needle aspiration cytology extending the indication for organ-preserving pancreatic surgery.", "type" : "article-journal", "volume" : "95" }, "uris" : [ "http://www.mendeley.com/documents/?uuid=7844b4f0-74fe-4311-9c5c-9b0f7a884e6a" ] } ], "mendeley" : { "previouslyFormattedCitation" : "&lt;sup&gt;[24\u201326]&lt;/sup&gt;"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[26–28]</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This technique facilitates access to small lesions near the duodenum and stomach. However, despite the increasing availability of this technique, success rates with this method are difficult to reproduce, with high rates of false-negative findings</w:t>
      </w:r>
      <w:r w:rsidRPr="00297C09">
        <w:rPr>
          <w:rFonts w:ascii="Book Antiqua" w:hAnsi="Book Antiqua" w:cs="Times New Roman"/>
          <w:color w:val="auto"/>
          <w:sz w:val="24"/>
          <w:szCs w:val="24"/>
          <w:lang w:val="en-US"/>
        </w:rPr>
        <w:fldChar w:fldCharType="begin" w:fldLock="1"/>
      </w:r>
      <w:r w:rsidRPr="00297C09">
        <w:rPr>
          <w:rFonts w:ascii="Book Antiqua" w:hAnsi="Book Antiqua" w:cs="Times New Roman"/>
          <w:color w:val="auto"/>
          <w:sz w:val="24"/>
          <w:szCs w:val="24"/>
          <w:lang w:val="en-US"/>
        </w:rPr>
        <w:instrText>ADDIN CSL_CITATION { "citationItems" : [ { "id" : "ITEM-1", "itemData" : { "ISSN" : "0016-5107", "PMID" : "15933687", "abstract" : "BACKGROUND: Image-guided FNA is a popular method for evaluating pancreatic lesions, but few large studies on pancreatic FNA exist. METHODS: Cytologic material, imaging reports, and clinical follow-up information were reviewed from pancreatic FNA cases performed over a 5-year period. RESULTS: A total of 1050 pancreatic FNAs were obtained by EUS (n = 843), US (n = 140), and CT (n = 67). On-site assessment was performed in 89.2% (n = 937) of cases. Findings were as follows: positive for neoplasm 48.9% (n = 503), negative 29.1% (n = 306), descriptive 10% (n = 105), suspicious 5.9% (n = 62), atypical/inconclusive 4.6% (n = 48), and nondiagnostic/inadequate 1.5% (n = 26). Follow-up in the form of histology or at least 6 months of clinical observation was available for 61.2% (n = 643). There was an overall false-positive rate of 0.3% and a false-negative rate of 14.3%. Sensitivity, specificity, positive predictive value, negative predictive value, and accuracy were as follows: 79.4, 99.0, 99.4, 67.9, 84.5 for the total series, respectively; 79.9, 98.8, 99.2, 72.5, 86.5 for EUS, respectively; 77.9, 100, 100, 48.6, 81.7 for US, respectively; and 78.6, 100, 100, 47.1, 82.0 for CT, respectively. In general, accuracy was not influenced by lesion size or site, number of FNA passes, or number of procedures per patient. After controlling for lesion size, EUS resulted in greater accuracy than US or CT when evaluating lesions &lt;3 cm ( p = 0.015). CONCLUSIONS: All imaging modalities showed moderate to high sensitivity, specificity, and accuracy. Logistic regression analysis showed that for lesions &lt;3 cm, the EUS method had higher accuracy than US or CT. No statistically significant difference was seen for larger lesions or for the number of FNA passes.", "author" : [ { "dropping-particle" : "", "family" : "Volmar", "given" : "Keith E", "non-dropping-particle" : "", "parse-names" : false, "suffix" : "" }, { "dropping-particle" : "", "family" : "Vollmer", "given" : "Robin T", "non-dropping-particle" : "", "parse-names" : false, "suffix" : "" }, { "dropping-particle" : "", "family" : "Jowell", "given" : "Paul S", "non-dropping-particle" : "", "parse-names" : false, "suffix" : "" }, { "dropping-particle" : "", "family" : "Nelson", "given" : "Rendon C", "non-dropping-particle" : "", "parse-names" : false, "suffix" : "" }, { "dropping-particle" : "", "family" : "Xie", "given" : "H Bill", "non-dropping-particle" : "", "parse-names" : false, "suffix" : "" } ], "container-title" : "Gastrointestinal endoscopy", "id" : "ITEM-1", "issue" : "7", "issued" : { "date-parts" : [ [ "2005", "6" ] ] }, "page" : "854-61", "title" : "Pancreatic FNA in 1000 cases: a comparison of imaging modalities.", "type" : "article-journal", "volume" : "61" }, "uris" : [ "http://www.mendeley.com/documents/?uuid=8acf183b-5dba-48f9-98d3-554bf3cdb8c5" ] } ], "mendeley" : { "previouslyFormattedCitation" : "&lt;sup&gt;[27]&lt;/sup&gt;" }, "properties" : { "noteIndex" : 0 }, "schema" : "https://github.com/citation-style-language/schema/raw/master/csl-citation.json" }</w:instrText>
      </w:r>
      <w:r w:rsidRPr="00297C09">
        <w:rPr>
          <w:rFonts w:ascii="Book Antiqua" w:hAnsi="Book Antiqua" w:cs="Times New Roman"/>
          <w:color w:val="auto"/>
          <w:sz w:val="24"/>
          <w:szCs w:val="24"/>
          <w:lang w:val="en-US"/>
        </w:rPr>
        <w:fldChar w:fldCharType="separate"/>
      </w:r>
      <w:r w:rsidRPr="00297C09">
        <w:rPr>
          <w:rFonts w:ascii="Book Antiqua" w:hAnsi="Book Antiqua" w:cs="Times New Roman"/>
          <w:noProof/>
          <w:color w:val="auto"/>
          <w:sz w:val="24"/>
          <w:szCs w:val="24"/>
          <w:vertAlign w:val="superscript"/>
          <w:lang w:val="en-US"/>
        </w:rPr>
        <w:t>[29]</w:t>
      </w:r>
      <w:r w:rsidRPr="00297C09">
        <w:rPr>
          <w:rFonts w:ascii="Book Antiqua" w:hAnsi="Book Antiqua" w:cs="Times New Roman"/>
          <w:color w:val="auto"/>
          <w:sz w:val="24"/>
          <w:szCs w:val="24"/>
          <w:lang w:val="en-US"/>
        </w:rPr>
        <w:fldChar w:fldCharType="end"/>
      </w:r>
      <w:r w:rsidRPr="00297C09">
        <w:rPr>
          <w:rFonts w:ascii="Book Antiqua" w:hAnsi="Book Antiqua" w:cs="Times New Roman"/>
          <w:color w:val="auto"/>
          <w:sz w:val="24"/>
          <w:szCs w:val="24"/>
          <w:lang w:val="en-US"/>
        </w:rPr>
        <w:t xml:space="preserve">. In comparison, CT-guided biopsy has a greater availability, lower cost, higher success rate, and allows access to lesions in any part of the pancreas. Notably, pancreatic adenocarcinoma was confirmed by CT-guided biopsy in seven patients in our </w:t>
      </w:r>
      <w:r w:rsidRPr="00297C09">
        <w:rPr>
          <w:rFonts w:ascii="Book Antiqua" w:hAnsi="Book Antiqua" w:cs="Times New Roman"/>
          <w:color w:val="auto"/>
          <w:sz w:val="24"/>
          <w:szCs w:val="24"/>
          <w:lang w:val="en-US"/>
        </w:rPr>
        <w:lastRenderedPageBreak/>
        <w:t xml:space="preserve">sample who had negative </w:t>
      </w:r>
      <w:proofErr w:type="spellStart"/>
      <w:r w:rsidRPr="00297C09">
        <w:rPr>
          <w:rFonts w:ascii="Book Antiqua" w:hAnsi="Book Antiqua" w:cs="Times New Roman"/>
          <w:color w:val="auto"/>
          <w:sz w:val="24"/>
          <w:szCs w:val="24"/>
          <w:lang w:val="en-US"/>
        </w:rPr>
        <w:t>echoendoscopy</w:t>
      </w:r>
      <w:proofErr w:type="spellEnd"/>
      <w:r w:rsidRPr="00297C09">
        <w:rPr>
          <w:rFonts w:ascii="Book Antiqua" w:hAnsi="Book Antiqua" w:cs="Times New Roman"/>
          <w:color w:val="auto"/>
          <w:sz w:val="24"/>
          <w:szCs w:val="24"/>
          <w:lang w:val="en-US"/>
        </w:rPr>
        <w:t>-guided FNA results. However, those results were obtained from FNA procedures performed at outside centers and were not properly reviewed</w:t>
      </w:r>
      <w:r w:rsidRPr="00297C09">
        <w:rPr>
          <w:rFonts w:ascii="Book Antiqua" w:hAnsi="Book Antiqua" w:cs="Arial"/>
          <w:color w:val="auto"/>
          <w:sz w:val="24"/>
          <w:szCs w:val="24"/>
          <w:lang w:val="en-US"/>
        </w:rPr>
        <w:t>.</w:t>
      </w:r>
    </w:p>
    <w:p w:rsidR="00E95D22" w:rsidRPr="00297C09" w:rsidRDefault="00E95D22" w:rsidP="00E95D22">
      <w:pPr>
        <w:snapToGrid w:val="0"/>
        <w:spacing w:after="0" w:line="360" w:lineRule="auto"/>
        <w:ind w:firstLine="420"/>
        <w:contextualSpacing/>
        <w:jc w:val="both"/>
        <w:rPr>
          <w:rFonts w:ascii="Book Antiqua" w:hAnsi="Book Antiqua" w:cs="Times New Roman"/>
          <w:color w:val="auto"/>
          <w:sz w:val="24"/>
          <w:szCs w:val="24"/>
          <w:lang w:val="en-US"/>
        </w:rPr>
      </w:pPr>
      <w:r w:rsidRPr="00297C09">
        <w:rPr>
          <w:rFonts w:ascii="Book Antiqua" w:eastAsia="Arial" w:hAnsi="Book Antiqua" w:cs="Times New Roman"/>
          <w:bCs/>
          <w:color w:val="auto"/>
          <w:sz w:val="24"/>
          <w:szCs w:val="24"/>
          <w:lang w:val="en-US"/>
        </w:rPr>
        <w:t xml:space="preserve">This study has several limitations. Given its retrospective nature, we could not standardize medium- and long-term follow-up evaluations. Moreover, our sample only included patients attending a single cancer reference center that were selected to undergo biopsy based on discussions among the oncologist, surgeon, and interventional radiologist. Furthermore, we were unable to directly compare </w:t>
      </w:r>
      <w:r w:rsidRPr="00297C09">
        <w:rPr>
          <w:rFonts w:ascii="Book Antiqua" w:hAnsi="Book Antiqua" w:cs="Times New Roman"/>
          <w:color w:val="auto"/>
          <w:sz w:val="24"/>
          <w:szCs w:val="24"/>
          <w:lang w:val="en-US"/>
        </w:rPr>
        <w:t>CT-guided core needle biopsy</w:t>
      </w:r>
      <w:r w:rsidRPr="00297C09" w:rsidDel="00F94EF5">
        <w:rPr>
          <w:rFonts w:ascii="Book Antiqua" w:eastAsia="Arial" w:hAnsi="Book Antiqua" w:cs="Times New Roman"/>
          <w:bCs/>
          <w:color w:val="auto"/>
          <w:sz w:val="24"/>
          <w:szCs w:val="24"/>
          <w:lang w:val="en-US"/>
        </w:rPr>
        <w:t xml:space="preserve"> </w:t>
      </w:r>
      <w:r w:rsidRPr="00297C09">
        <w:rPr>
          <w:rFonts w:ascii="Book Antiqua" w:eastAsia="Arial" w:hAnsi="Book Antiqua" w:cs="Times New Roman"/>
          <w:bCs/>
          <w:color w:val="auto"/>
          <w:sz w:val="24"/>
          <w:szCs w:val="24"/>
          <w:lang w:val="en-US"/>
        </w:rPr>
        <w:t xml:space="preserve">with </w:t>
      </w:r>
      <w:proofErr w:type="spellStart"/>
      <w:r w:rsidRPr="00297C09">
        <w:rPr>
          <w:rFonts w:ascii="Book Antiqua" w:eastAsia="Arial" w:hAnsi="Book Antiqua" w:cs="Times New Roman"/>
          <w:bCs/>
          <w:color w:val="auto"/>
          <w:sz w:val="24"/>
          <w:szCs w:val="24"/>
          <w:lang w:val="en-US"/>
        </w:rPr>
        <w:t>echoendoscopy</w:t>
      </w:r>
      <w:proofErr w:type="spellEnd"/>
      <w:r w:rsidRPr="00297C09">
        <w:rPr>
          <w:rFonts w:ascii="Book Antiqua" w:eastAsia="Arial" w:hAnsi="Book Antiqua" w:cs="Times New Roman"/>
          <w:bCs/>
          <w:color w:val="auto"/>
          <w:sz w:val="24"/>
          <w:szCs w:val="24"/>
          <w:lang w:val="en-US"/>
        </w:rPr>
        <w:t>-</w:t>
      </w:r>
      <w:r w:rsidRPr="00297C09">
        <w:rPr>
          <w:rFonts w:ascii="Book Antiqua" w:hAnsi="Book Antiqua" w:cs="Times New Roman"/>
          <w:color w:val="auto"/>
          <w:sz w:val="24"/>
          <w:szCs w:val="24"/>
          <w:lang w:val="en-US"/>
        </w:rPr>
        <w:t>guided FNA, as this method was not available in our institution during the study period. Future studies are needed to address this issue.</w:t>
      </w:r>
    </w:p>
    <w:p w:rsidR="00E95D22" w:rsidRPr="00297C09" w:rsidRDefault="00E95D22" w:rsidP="009C2061">
      <w:pPr>
        <w:snapToGrid w:val="0"/>
        <w:spacing w:after="0" w:line="360" w:lineRule="auto"/>
        <w:ind w:firstLineChars="150" w:firstLine="360"/>
        <w:contextualSpacing/>
        <w:jc w:val="both"/>
        <w:rPr>
          <w:rFonts w:ascii="Book Antiqua" w:hAnsi="Book Antiqua" w:cs="Times New Roman"/>
          <w:color w:val="auto"/>
          <w:sz w:val="24"/>
          <w:szCs w:val="24"/>
          <w:lang w:val="en-US" w:eastAsia="zh-CN"/>
        </w:rPr>
      </w:pPr>
      <w:r w:rsidRPr="00297C09">
        <w:rPr>
          <w:rFonts w:ascii="Book Antiqua" w:hAnsi="Book Antiqua" w:cs="Times New Roman"/>
          <w:color w:val="auto"/>
          <w:sz w:val="24"/>
          <w:szCs w:val="24"/>
          <w:lang w:val="en-US"/>
        </w:rPr>
        <w:t>In the present sample, CT-guided percutaneous core needle biopsies of pancreatic lesions were associated with few complications and a 98.1% diagnostic accuracy. The results demonstrate that this procedure is safe when performed by an experienced interventional radiologist, and represents a valuable alternative for preoperative diagnostic confirmation of solid pancreatic lesions.</w:t>
      </w:r>
    </w:p>
    <w:p w:rsidR="00E95D22" w:rsidRPr="00297C09" w:rsidRDefault="00E95D22" w:rsidP="00E95D22">
      <w:pPr>
        <w:adjustRightInd w:val="0"/>
        <w:snapToGrid w:val="0"/>
        <w:spacing w:after="0" w:line="360" w:lineRule="auto"/>
        <w:contextualSpacing/>
        <w:jc w:val="both"/>
        <w:rPr>
          <w:rFonts w:ascii="Book Antiqua" w:hAnsi="Book Antiqua"/>
          <w:color w:val="auto"/>
          <w:sz w:val="24"/>
          <w:szCs w:val="24"/>
          <w:lang w:val="en-US"/>
        </w:rPr>
      </w:pPr>
      <w:bookmarkStart w:id="150" w:name="OLE_LINK1290"/>
      <w:bookmarkStart w:id="151" w:name="OLE_LINK1291"/>
      <w:bookmarkStart w:id="152" w:name="OLE_LINK534"/>
    </w:p>
    <w:p w:rsidR="00E95D22" w:rsidRPr="00297C09" w:rsidRDefault="00E95D22" w:rsidP="00E95D22">
      <w:pPr>
        <w:pStyle w:val="a6"/>
        <w:adjustRightInd w:val="0"/>
        <w:snapToGrid w:val="0"/>
        <w:spacing w:after="0" w:line="360" w:lineRule="auto"/>
        <w:contextualSpacing/>
        <w:jc w:val="both"/>
        <w:rPr>
          <w:rFonts w:ascii="Book Antiqua" w:hAnsi="Book Antiqua"/>
          <w:b/>
          <w:color w:val="auto"/>
          <w:sz w:val="24"/>
          <w:szCs w:val="24"/>
          <w:lang w:val="en-US"/>
        </w:rPr>
      </w:pPr>
      <w:bookmarkStart w:id="153" w:name="OLE_LINK36"/>
      <w:bookmarkStart w:id="154" w:name="OLE_LINK89"/>
      <w:bookmarkStart w:id="155" w:name="OLE_LINK95"/>
      <w:bookmarkStart w:id="156" w:name="OLE_LINK124"/>
      <w:bookmarkStart w:id="157" w:name="OLE_LINK131"/>
      <w:bookmarkStart w:id="158" w:name="OLE_LINK134"/>
      <w:bookmarkStart w:id="159" w:name="OLE_LINK218"/>
      <w:bookmarkStart w:id="160" w:name="OLE_LINK292"/>
      <w:bookmarkStart w:id="161" w:name="OLE_LINK685"/>
      <w:bookmarkStart w:id="162" w:name="OLE_LINK849"/>
      <w:bookmarkStart w:id="163" w:name="OLE_LINK936"/>
      <w:bookmarkStart w:id="164" w:name="OLE_LINK937"/>
      <w:bookmarkStart w:id="165" w:name="OLE_LINK938"/>
      <w:bookmarkStart w:id="166" w:name="OLE_LINK939"/>
      <w:bookmarkStart w:id="167" w:name="OLE_LINK940"/>
      <w:bookmarkStart w:id="168" w:name="OLE_LINK941"/>
      <w:bookmarkStart w:id="169" w:name="OLE_LINK1153"/>
      <w:bookmarkStart w:id="170" w:name="OLE_LINK1001"/>
      <w:bookmarkStart w:id="171" w:name="OLE_LINK1166"/>
      <w:bookmarkStart w:id="172" w:name="OLE_LINK1167"/>
      <w:bookmarkStart w:id="173" w:name="OLE_LINK1233"/>
      <w:bookmarkStart w:id="174" w:name="OLE_LINK1234"/>
      <w:bookmarkStart w:id="175" w:name="OLE_LINK1253"/>
      <w:bookmarkStart w:id="176" w:name="OLE_LINK1275"/>
      <w:bookmarkStart w:id="177" w:name="OLE_LINK1345"/>
      <w:bookmarkStart w:id="178" w:name="OLE_LINK1067"/>
      <w:bookmarkStart w:id="179" w:name="OLE_LINK1069"/>
      <w:bookmarkStart w:id="180" w:name="OLE_LINK1557"/>
      <w:bookmarkStart w:id="181" w:name="OLE_LINK1591"/>
      <w:bookmarkStart w:id="182" w:name="OLE_LINK1592"/>
      <w:bookmarkStart w:id="183" w:name="OLE_LINK1605"/>
      <w:bookmarkStart w:id="184" w:name="OLE_LINK1645"/>
      <w:bookmarkStart w:id="185" w:name="OLE_LINK1659"/>
      <w:bookmarkStart w:id="186" w:name="OLE_LINK1692"/>
      <w:bookmarkStart w:id="187" w:name="OLE_LINK1693"/>
      <w:bookmarkStart w:id="188" w:name="OLE_LINK1702"/>
      <w:bookmarkStart w:id="189" w:name="OLE_LINK1703"/>
      <w:bookmarkStart w:id="190" w:name="OLE_LINK1785"/>
      <w:bookmarkStart w:id="191" w:name="OLE_LINK1806"/>
      <w:bookmarkStart w:id="192" w:name="OLE_LINK1932"/>
      <w:bookmarkStart w:id="193" w:name="OLE_LINK1934"/>
      <w:bookmarkStart w:id="194" w:name="OLE_LINK2037"/>
      <w:bookmarkStart w:id="195" w:name="OLE_LINK2073"/>
      <w:bookmarkStart w:id="196" w:name="OLE_LINK2089"/>
      <w:bookmarkStart w:id="197" w:name="OLE_LINK2172"/>
      <w:bookmarkStart w:id="198" w:name="OLE_LINK2173"/>
      <w:bookmarkStart w:id="199" w:name="OLE_LINK2257"/>
      <w:bookmarkStart w:id="200" w:name="OLE_LINK2534"/>
      <w:bookmarkStart w:id="201" w:name="OLE_LINK2480"/>
      <w:bookmarkStart w:id="202" w:name="OLE_LINK2498"/>
      <w:bookmarkStart w:id="203" w:name="OLE_LINK2500"/>
      <w:bookmarkStart w:id="204" w:name="OLE_LINK2501"/>
      <w:bookmarkStart w:id="205" w:name="OLE_LINK2561"/>
      <w:r w:rsidRPr="00297C09">
        <w:rPr>
          <w:rFonts w:ascii="Book Antiqua" w:hAnsi="Book Antiqua"/>
          <w:b/>
          <w:color w:val="auto"/>
          <w:sz w:val="24"/>
          <w:szCs w:val="24"/>
          <w:lang w:val="en-US"/>
        </w:rPr>
        <w:t>COMMENTS</w:t>
      </w: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bookmarkStart w:id="206" w:name="OLE_LINK614"/>
      <w:bookmarkStart w:id="207" w:name="OLE_LINK615"/>
      <w:bookmarkStart w:id="208" w:name="OLE_LINK902"/>
      <w:bookmarkStart w:id="209" w:name="OLE_LINK903"/>
      <w:bookmarkStart w:id="210" w:name="OLE_LINK904"/>
      <w:bookmarkStart w:id="211" w:name="OLE_LINK905"/>
      <w:bookmarkStart w:id="212" w:name="OLE_LINK1827"/>
      <w:bookmarkStart w:id="213" w:name="OLE_LINK1828"/>
      <w:bookmarkStart w:id="214" w:name="OLE_LINK1829"/>
      <w:bookmarkStart w:id="215" w:name="OLE_LINK2351"/>
      <w:bookmarkStart w:id="216" w:name="OLE_LINK2353"/>
      <w:bookmarkStart w:id="217" w:name="OLE_LINK2354"/>
      <w:bookmarkStart w:id="218" w:name="OLE_LINK2355"/>
      <w:bookmarkStart w:id="219" w:name="OLE_LINK843"/>
      <w:bookmarkStart w:id="220" w:name="OLE_LINK844"/>
      <w:bookmarkEnd w:id="153"/>
      <w:bookmarkEnd w:id="154"/>
      <w:bookmarkEnd w:id="155"/>
      <w:bookmarkEnd w:id="156"/>
      <w:bookmarkEnd w:id="157"/>
      <w:bookmarkEnd w:id="158"/>
      <w:bookmarkEnd w:id="159"/>
      <w:bookmarkEnd w:id="160"/>
      <w:r w:rsidRPr="00297C09">
        <w:rPr>
          <w:rFonts w:ascii="Book Antiqua" w:hAnsi="Book Antiqua"/>
          <w:b/>
          <w:bCs/>
          <w:i/>
          <w:color w:val="auto"/>
          <w:sz w:val="24"/>
          <w:szCs w:val="24"/>
          <w:lang w:val="en-US"/>
        </w:rPr>
        <w:t>Background</w:t>
      </w:r>
    </w:p>
    <w:bookmarkEnd w:id="206"/>
    <w:bookmarkEnd w:id="207"/>
    <w:p w:rsidR="00E95D22" w:rsidRPr="00297C09" w:rsidRDefault="00E95D22" w:rsidP="00E95D22">
      <w:pPr>
        <w:adjustRightInd w:val="0"/>
        <w:snapToGrid w:val="0"/>
        <w:spacing w:after="0" w:line="36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 xml:space="preserve">Pancreatic cancer is the fourth leading cause of cancer deaths worldwide. </w:t>
      </w:r>
      <w:proofErr w:type="spellStart"/>
      <w:r w:rsidRPr="00297C09">
        <w:rPr>
          <w:rFonts w:ascii="Book Antiqua" w:hAnsi="Book Antiqua"/>
          <w:color w:val="auto"/>
          <w:sz w:val="24"/>
          <w:szCs w:val="24"/>
          <w:lang w:val="en-US"/>
        </w:rPr>
        <w:t>Histopathologic</w:t>
      </w:r>
      <w:proofErr w:type="spellEnd"/>
      <w:r w:rsidRPr="00297C09">
        <w:rPr>
          <w:rFonts w:ascii="Book Antiqua" w:hAnsi="Book Antiqua"/>
          <w:color w:val="auto"/>
          <w:sz w:val="24"/>
          <w:szCs w:val="24"/>
          <w:lang w:val="en-US"/>
        </w:rPr>
        <w:t xml:space="preserve"> analysis is often necessary for diagnosis confirmation and treatment planning, for which samples can be obtained using various techniques, such as imaging-guided percutaneous, endoscopic, and surgical biopsies. This study evaluates the techniques, results and complications related to </w:t>
      </w:r>
      <w:proofErr w:type="gramStart"/>
      <w:r w:rsidRPr="00297C09">
        <w:rPr>
          <w:rFonts w:ascii="Book Antiqua" w:hAnsi="Book Antiqua"/>
          <w:color w:val="auto"/>
          <w:sz w:val="24"/>
          <w:szCs w:val="24"/>
          <w:lang w:val="en-US"/>
        </w:rPr>
        <w:t>computed</w:t>
      </w:r>
      <w:proofErr w:type="gramEnd"/>
      <w:r w:rsidRPr="00297C09">
        <w:rPr>
          <w:rFonts w:ascii="Book Antiqua" w:hAnsi="Book Antiqua"/>
          <w:color w:val="auto"/>
          <w:sz w:val="24"/>
          <w:szCs w:val="24"/>
          <w:lang w:val="en-US"/>
        </w:rPr>
        <w:t xml:space="preserve"> tomography (CT)-guided percutaneous core needle biopsies of solid pancreatic lesions.</w:t>
      </w: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r w:rsidRPr="00297C09">
        <w:rPr>
          <w:rFonts w:ascii="Book Antiqua" w:hAnsi="Book Antiqua"/>
          <w:b/>
          <w:bCs/>
          <w:i/>
          <w:color w:val="auto"/>
          <w:sz w:val="24"/>
          <w:szCs w:val="24"/>
          <w:lang w:val="en-US"/>
        </w:rPr>
        <w:t>Research frontiers</w:t>
      </w:r>
    </w:p>
    <w:p w:rsidR="00E95D22" w:rsidRPr="00297C09" w:rsidRDefault="00E95D22" w:rsidP="00E95D22">
      <w:pPr>
        <w:adjustRightInd w:val="0"/>
        <w:snapToGrid w:val="0"/>
        <w:spacing w:after="0" w:line="360" w:lineRule="auto"/>
        <w:contextualSpacing/>
        <w:jc w:val="both"/>
        <w:rPr>
          <w:rFonts w:ascii="Book Antiqua" w:hAnsi="Book Antiqua"/>
          <w:color w:val="auto"/>
          <w:sz w:val="24"/>
          <w:szCs w:val="24"/>
          <w:lang w:val="en-US"/>
        </w:rPr>
      </w:pPr>
      <w:r w:rsidRPr="00297C09">
        <w:rPr>
          <w:rFonts w:ascii="Book Antiqua" w:hAnsi="Book Antiqua" w:cs="Times New Roman"/>
          <w:color w:val="auto"/>
          <w:sz w:val="24"/>
          <w:szCs w:val="24"/>
          <w:lang w:val="en-US"/>
        </w:rPr>
        <w:t>CT-guided core needle biopsy is a well-established procedure used routinely to obtain samples from various organs. Compared to surgical biopsies, this method is associated with lower morbidity, mortality, cost, and inpatient time.</w:t>
      </w: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p>
    <w:p w:rsidR="00E95D22" w:rsidRPr="00297C09" w:rsidRDefault="00E95D22" w:rsidP="00E95D22">
      <w:pPr>
        <w:adjustRightInd w:val="0"/>
        <w:snapToGrid w:val="0"/>
        <w:spacing w:after="0" w:line="360" w:lineRule="auto"/>
        <w:contextualSpacing/>
        <w:jc w:val="both"/>
        <w:rPr>
          <w:rFonts w:ascii="Book Antiqua" w:hAnsi="Book Antiqua"/>
          <w:i/>
          <w:color w:val="auto"/>
          <w:sz w:val="24"/>
          <w:szCs w:val="24"/>
          <w:lang w:val="en-US"/>
        </w:rPr>
      </w:pPr>
      <w:r w:rsidRPr="00297C09">
        <w:rPr>
          <w:rFonts w:ascii="Book Antiqua" w:hAnsi="Book Antiqua"/>
          <w:b/>
          <w:bCs/>
          <w:i/>
          <w:color w:val="auto"/>
          <w:sz w:val="24"/>
          <w:szCs w:val="24"/>
          <w:lang w:val="en-US"/>
        </w:rPr>
        <w:lastRenderedPageBreak/>
        <w:t>Innovations and breakthroughs</w:t>
      </w:r>
    </w:p>
    <w:p w:rsidR="00E95D22" w:rsidRPr="00297C09" w:rsidRDefault="00E95D22" w:rsidP="00E95D22">
      <w:pPr>
        <w:adjustRightInd w:val="0"/>
        <w:snapToGrid w:val="0"/>
        <w:spacing w:after="0" w:line="360" w:lineRule="auto"/>
        <w:contextualSpacing/>
        <w:jc w:val="both"/>
        <w:rPr>
          <w:rFonts w:ascii="Book Antiqua" w:hAnsi="Book Antiqua"/>
          <w:color w:val="auto"/>
          <w:sz w:val="24"/>
          <w:szCs w:val="24"/>
          <w:lang w:val="en-US"/>
        </w:rPr>
      </w:pPr>
      <w:r w:rsidRPr="00297C09">
        <w:rPr>
          <w:rFonts w:ascii="Book Antiqua" w:hAnsi="Book Antiqua" w:cs="Times New Roman"/>
          <w:color w:val="auto"/>
          <w:sz w:val="24"/>
          <w:szCs w:val="24"/>
          <w:lang w:val="en-US"/>
        </w:rPr>
        <w:t>Although core needle biopsies of pancreatic lesions have been performed since the 1980s, very few studies have evaluated their performance.</w:t>
      </w:r>
      <w:r w:rsidRPr="00297C09">
        <w:rPr>
          <w:rFonts w:ascii="Book Antiqua" w:hAnsi="Book Antiqua"/>
          <w:color w:val="auto"/>
          <w:sz w:val="24"/>
          <w:szCs w:val="24"/>
          <w:lang w:val="en-US"/>
        </w:rPr>
        <w:t xml:space="preserve"> This work is the first to describe different techniques for CT-guided percutaneous biopsy of pancreatic masses, demonstrating a higher diagnostic accuracy than previously reported. </w:t>
      </w: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bookmarkStart w:id="221" w:name="OLE_LINK1860"/>
      <w:bookmarkStart w:id="222" w:name="OLE_LINK1861"/>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r w:rsidRPr="00297C09">
        <w:rPr>
          <w:rFonts w:ascii="Book Antiqua" w:hAnsi="Book Antiqua"/>
          <w:b/>
          <w:bCs/>
          <w:i/>
          <w:color w:val="auto"/>
          <w:sz w:val="24"/>
          <w:szCs w:val="24"/>
          <w:lang w:val="en-US"/>
        </w:rPr>
        <w:t xml:space="preserve">Applications </w:t>
      </w:r>
    </w:p>
    <w:bookmarkEnd w:id="221"/>
    <w:bookmarkEnd w:id="222"/>
    <w:p w:rsidR="00E95D22" w:rsidRPr="00297C09" w:rsidRDefault="00E95D22" w:rsidP="00E95D22">
      <w:pPr>
        <w:adjustRightInd w:val="0"/>
        <w:snapToGrid w:val="0"/>
        <w:spacing w:after="0" w:line="36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 xml:space="preserve">Core needle biopsy is considerably more sensitive than fine-needle aspiration for the diagnosis of pancreatic diseases, particularly when the differential diagnosis includes neuroendocrine tumors and chronic pancreatitis. The major advantage of this technique is sample quality, </w:t>
      </w:r>
      <w:r w:rsidRPr="00297C09">
        <w:rPr>
          <w:rFonts w:ascii="Book Antiqua" w:hAnsi="Book Antiqua" w:cs="Times New Roman"/>
          <w:color w:val="auto"/>
          <w:sz w:val="24"/>
          <w:szCs w:val="24"/>
          <w:lang w:val="en-US"/>
        </w:rPr>
        <w:t xml:space="preserve">as the core needle extracts sufficient material to determine cell type and origin </w:t>
      </w:r>
      <w:r w:rsidRPr="001A1A00">
        <w:rPr>
          <w:rFonts w:ascii="Book Antiqua" w:hAnsi="Book Antiqua" w:cs="Times New Roman"/>
          <w:i/>
          <w:color w:val="auto"/>
          <w:sz w:val="24"/>
          <w:szCs w:val="24"/>
          <w:lang w:val="en-US"/>
        </w:rPr>
        <w:t>via</w:t>
      </w:r>
      <w:r w:rsidRPr="00297C09">
        <w:rPr>
          <w:rFonts w:ascii="Book Antiqua" w:hAnsi="Book Antiqua" w:cs="Times New Roman"/>
          <w:color w:val="auto"/>
          <w:sz w:val="24"/>
          <w:szCs w:val="24"/>
          <w:lang w:val="en-US"/>
        </w:rPr>
        <w:t xml:space="preserve"> histologic and </w:t>
      </w:r>
      <w:proofErr w:type="spellStart"/>
      <w:r w:rsidRPr="00297C09">
        <w:rPr>
          <w:rFonts w:ascii="Book Antiqua" w:hAnsi="Book Antiqua" w:cs="Times New Roman"/>
          <w:color w:val="auto"/>
          <w:sz w:val="24"/>
          <w:szCs w:val="24"/>
          <w:lang w:val="en-US"/>
        </w:rPr>
        <w:t>immunohistochemical</w:t>
      </w:r>
      <w:proofErr w:type="spellEnd"/>
      <w:r w:rsidRPr="00297C09">
        <w:rPr>
          <w:rFonts w:ascii="Book Antiqua" w:hAnsi="Book Antiqua" w:cs="Times New Roman"/>
          <w:color w:val="auto"/>
          <w:sz w:val="24"/>
          <w:szCs w:val="24"/>
          <w:lang w:val="en-US"/>
        </w:rPr>
        <w:t xml:space="preserve"> analyses, thus allowing reliable differentiation of pancreatic tumor types.</w:t>
      </w: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r w:rsidRPr="00297C09">
        <w:rPr>
          <w:rFonts w:ascii="Book Antiqua" w:hAnsi="Book Antiqua"/>
          <w:b/>
          <w:bCs/>
          <w:i/>
          <w:color w:val="auto"/>
          <w:sz w:val="24"/>
          <w:szCs w:val="24"/>
          <w:lang w:val="en-US"/>
        </w:rPr>
        <w:t>Terminology</w:t>
      </w:r>
    </w:p>
    <w:p w:rsidR="00E95D22" w:rsidRPr="00297C09" w:rsidRDefault="00E95D22" w:rsidP="00E95D22">
      <w:pPr>
        <w:adjustRightInd w:val="0"/>
        <w:snapToGrid w:val="0"/>
        <w:spacing w:after="0" w:line="36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Core needle biopsy involves the use of a long metal needle</w:t>
      </w:r>
      <w:r w:rsidRPr="00297C09">
        <w:rPr>
          <w:rFonts w:ascii="Book Antiqua" w:eastAsia="宋体" w:hAnsi="Book Antiqua" w:cs="Arial"/>
          <w:color w:val="auto"/>
          <w:sz w:val="24"/>
          <w:szCs w:val="24"/>
          <w:lang w:val="en-US"/>
        </w:rPr>
        <w:t xml:space="preserve"> </w:t>
      </w:r>
      <w:r w:rsidRPr="00297C09">
        <w:rPr>
          <w:rFonts w:ascii="Book Antiqua" w:hAnsi="Book Antiqua"/>
          <w:color w:val="auto"/>
          <w:sz w:val="24"/>
          <w:szCs w:val="24"/>
          <w:lang w:val="en-US"/>
        </w:rPr>
        <w:t>to collect tissue cores from a lesion. This procedure is safe when guided by imaging methods and performed by an experienced interventional radiologist.</w:t>
      </w:r>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bookmarkStart w:id="223" w:name="OLE_LINK2204"/>
      <w:bookmarkStart w:id="224" w:name="OLE_LINK2135"/>
      <w:bookmarkStart w:id="225" w:name="OLE_LINK2585"/>
      <w:bookmarkStart w:id="226" w:name="OLE_LINK2586"/>
      <w:bookmarkStart w:id="227" w:name="OLE_LINK2709"/>
      <w:bookmarkStart w:id="228" w:name="OLE_LINK2926"/>
    </w:p>
    <w:p w:rsidR="00E95D22" w:rsidRPr="00297C09" w:rsidRDefault="00E95D22" w:rsidP="00E95D22">
      <w:pPr>
        <w:adjustRightInd w:val="0"/>
        <w:snapToGrid w:val="0"/>
        <w:spacing w:after="0" w:line="360" w:lineRule="auto"/>
        <w:contextualSpacing/>
        <w:jc w:val="both"/>
        <w:rPr>
          <w:rFonts w:ascii="Book Antiqua" w:hAnsi="Book Antiqua"/>
          <w:b/>
          <w:bCs/>
          <w:i/>
          <w:color w:val="auto"/>
          <w:sz w:val="24"/>
          <w:szCs w:val="24"/>
          <w:lang w:val="en-US"/>
        </w:rPr>
      </w:pPr>
      <w:r w:rsidRPr="00297C09">
        <w:rPr>
          <w:rFonts w:ascii="Book Antiqua" w:hAnsi="Book Antiqua"/>
          <w:b/>
          <w:bCs/>
          <w:i/>
          <w:color w:val="auto"/>
          <w:sz w:val="24"/>
          <w:szCs w:val="24"/>
          <w:lang w:val="en-US"/>
        </w:rPr>
        <w:t>Peer review</w:t>
      </w:r>
    </w:p>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3"/>
    <w:bookmarkEnd w:id="224"/>
    <w:bookmarkEnd w:id="225"/>
    <w:bookmarkEnd w:id="226"/>
    <w:bookmarkEnd w:id="227"/>
    <w:bookmarkEnd w:id="228"/>
    <w:p w:rsidR="00E95D22" w:rsidRPr="00297C09" w:rsidRDefault="00E95D22" w:rsidP="00E95D22">
      <w:pPr>
        <w:adjustRightInd w:val="0"/>
        <w:snapToGrid w:val="0"/>
        <w:spacing w:after="0" w:line="360" w:lineRule="auto"/>
        <w:contextualSpacing/>
        <w:jc w:val="both"/>
        <w:rPr>
          <w:rFonts w:ascii="Book Antiqua" w:hAnsi="Book Antiqua" w:cs="Times New Roman"/>
          <w:color w:val="auto"/>
          <w:sz w:val="24"/>
          <w:szCs w:val="24"/>
          <w:lang w:val="en-US" w:eastAsia="zh-CN"/>
        </w:rPr>
      </w:pPr>
      <w:r w:rsidRPr="00297C09">
        <w:rPr>
          <w:rFonts w:ascii="Book Antiqua" w:hAnsi="Book Antiqua"/>
          <w:color w:val="auto"/>
          <w:sz w:val="24"/>
          <w:szCs w:val="24"/>
          <w:lang w:val="en-US"/>
        </w:rPr>
        <w:t>The authors described the usefulness of CT-guided needle biopsy for diagnosing pancreatic tumors. The article is well written with sufficient sample size and acceptable procedure/results. This procedure appears safe and should be widely used for clinical diagnosis of pancreatic cancer. In general, the method is valuable for confirming pancreatic cancer along with pathologic testing.</w:t>
      </w:r>
      <w:bookmarkEnd w:id="150"/>
      <w:bookmarkEnd w:id="151"/>
      <w:bookmarkEnd w:id="152"/>
    </w:p>
    <w:p w:rsidR="00E95D22" w:rsidRPr="00297C09" w:rsidRDefault="00E95D22" w:rsidP="00E95D22">
      <w:pPr>
        <w:snapToGrid w:val="0"/>
        <w:spacing w:after="0" w:line="360" w:lineRule="auto"/>
        <w:contextualSpacing/>
        <w:jc w:val="both"/>
        <w:rPr>
          <w:rFonts w:ascii="Book Antiqua" w:hAnsi="Book Antiqua" w:cs="Times New Roman"/>
          <w:b/>
          <w:color w:val="auto"/>
          <w:sz w:val="24"/>
          <w:szCs w:val="24"/>
          <w:lang w:val="en-US"/>
        </w:rPr>
      </w:pPr>
      <w:r w:rsidRPr="00297C09">
        <w:rPr>
          <w:rFonts w:ascii="Book Antiqua" w:hAnsi="Book Antiqua" w:cs="Times New Roman"/>
          <w:b/>
          <w:color w:val="auto"/>
          <w:sz w:val="24"/>
          <w:szCs w:val="24"/>
          <w:lang w:val="en-US"/>
        </w:rPr>
        <w:br w:type="page"/>
      </w:r>
      <w:r w:rsidRPr="00297C09">
        <w:rPr>
          <w:rFonts w:ascii="Book Antiqua" w:hAnsi="Book Antiqua" w:cs="Times New Roman"/>
          <w:b/>
          <w:color w:val="auto"/>
          <w:sz w:val="24"/>
          <w:szCs w:val="24"/>
          <w:lang w:val="en-US"/>
        </w:rPr>
        <w:lastRenderedPageBreak/>
        <w:t>REFERENCES</w:t>
      </w:r>
      <w:bookmarkStart w:id="229" w:name="OLE_LINK1"/>
      <w:bookmarkStart w:id="230" w:name="OLE_LINK2"/>
    </w:p>
    <w:bookmarkEnd w:id="229"/>
    <w:bookmarkEnd w:id="230"/>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1 </w:t>
      </w:r>
      <w:r w:rsidRPr="00D022DE">
        <w:rPr>
          <w:rFonts w:ascii="Book Antiqua" w:eastAsia="宋体" w:hAnsi="Book Antiqua" w:cs="宋体"/>
          <w:b/>
          <w:bCs/>
          <w:sz w:val="24"/>
          <w:szCs w:val="24"/>
        </w:rPr>
        <w:t>Rocha-Lima CM</w:t>
      </w:r>
      <w:r w:rsidRPr="00D022DE">
        <w:rPr>
          <w:rFonts w:ascii="Book Antiqua" w:eastAsia="宋体" w:hAnsi="Book Antiqua" w:cs="宋体"/>
          <w:sz w:val="24"/>
          <w:szCs w:val="24"/>
        </w:rPr>
        <w:t>. New directions in the management of advanced pancreatic cancer: a review. </w:t>
      </w:r>
      <w:r w:rsidRPr="00D022DE">
        <w:rPr>
          <w:rFonts w:ascii="Book Antiqua" w:eastAsia="宋体" w:hAnsi="Book Antiqua" w:cs="宋体"/>
          <w:i/>
          <w:iCs/>
          <w:sz w:val="24"/>
          <w:szCs w:val="24"/>
        </w:rPr>
        <w:t>Anticancer Drugs</w:t>
      </w:r>
      <w:r w:rsidRPr="00D022DE">
        <w:rPr>
          <w:rFonts w:ascii="Book Antiqua" w:eastAsia="宋体" w:hAnsi="Book Antiqua" w:cs="宋体"/>
          <w:sz w:val="24"/>
          <w:szCs w:val="24"/>
        </w:rPr>
        <w:t> 2008; </w:t>
      </w:r>
      <w:r w:rsidRPr="00D022DE">
        <w:rPr>
          <w:rFonts w:ascii="Book Antiqua" w:eastAsia="宋体" w:hAnsi="Book Antiqua" w:cs="宋体"/>
          <w:b/>
          <w:bCs/>
          <w:sz w:val="24"/>
          <w:szCs w:val="24"/>
        </w:rPr>
        <w:t>19</w:t>
      </w:r>
      <w:r w:rsidRPr="00D022DE">
        <w:rPr>
          <w:rFonts w:ascii="Book Antiqua" w:eastAsia="宋体" w:hAnsi="Book Antiqua" w:cs="宋体"/>
          <w:sz w:val="24"/>
          <w:szCs w:val="24"/>
        </w:rPr>
        <w:t>: 435-446 [PMID: 18418211 DOI: 10.1097/CAD.0b013e3282fc9d11]</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2 </w:t>
      </w:r>
      <w:r w:rsidRPr="00D022DE">
        <w:rPr>
          <w:rFonts w:ascii="Book Antiqua" w:eastAsia="宋体" w:hAnsi="Book Antiqua" w:cs="宋体"/>
          <w:b/>
          <w:bCs/>
          <w:sz w:val="24"/>
          <w:szCs w:val="24"/>
        </w:rPr>
        <w:t>Amin Z</w:t>
      </w:r>
      <w:r w:rsidRPr="00D022DE">
        <w:rPr>
          <w:rFonts w:ascii="Book Antiqua" w:eastAsia="宋体" w:hAnsi="Book Antiqua" w:cs="宋体"/>
          <w:sz w:val="24"/>
          <w:szCs w:val="24"/>
        </w:rPr>
        <w:t>, Theis B, Russell RC, House C, Novelli M, Lees WR. Diagnosing pancreatic cancer: the role of percutaneous biopsy and CT. </w:t>
      </w:r>
      <w:r w:rsidRPr="00D022DE">
        <w:rPr>
          <w:rFonts w:ascii="Book Antiqua" w:eastAsia="宋体" w:hAnsi="Book Antiqua" w:cs="宋体"/>
          <w:i/>
          <w:iCs/>
          <w:sz w:val="24"/>
          <w:szCs w:val="24"/>
        </w:rPr>
        <w:t>Clin Radiol</w:t>
      </w:r>
      <w:r w:rsidRPr="00D022DE">
        <w:rPr>
          <w:rFonts w:ascii="Book Antiqua" w:eastAsia="宋体" w:hAnsi="Book Antiqua" w:cs="宋体"/>
          <w:sz w:val="24"/>
          <w:szCs w:val="24"/>
        </w:rPr>
        <w:t> 2006; </w:t>
      </w:r>
      <w:r w:rsidRPr="00D022DE">
        <w:rPr>
          <w:rFonts w:ascii="Book Antiqua" w:eastAsia="宋体" w:hAnsi="Book Antiqua" w:cs="宋体"/>
          <w:b/>
          <w:bCs/>
          <w:sz w:val="24"/>
          <w:szCs w:val="24"/>
        </w:rPr>
        <w:t>61</w:t>
      </w:r>
      <w:r w:rsidRPr="00D022DE">
        <w:rPr>
          <w:rFonts w:ascii="Book Antiqua" w:eastAsia="宋体" w:hAnsi="Book Antiqua" w:cs="宋体"/>
          <w:sz w:val="24"/>
          <w:szCs w:val="24"/>
        </w:rPr>
        <w:t>: 996-1002 [PMID: 17097419 DOI: 10.1016/j.crad.2006.07.005]</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3 </w:t>
      </w:r>
      <w:r w:rsidRPr="00D022DE">
        <w:rPr>
          <w:rFonts w:ascii="Book Antiqua" w:eastAsia="宋体" w:hAnsi="Book Antiqua" w:cs="宋体"/>
          <w:b/>
          <w:bCs/>
          <w:sz w:val="24"/>
          <w:szCs w:val="24"/>
        </w:rPr>
        <w:t>Clarke DL</w:t>
      </w:r>
      <w:r w:rsidRPr="00D022DE">
        <w:rPr>
          <w:rFonts w:ascii="Book Antiqua" w:eastAsia="宋体" w:hAnsi="Book Antiqua" w:cs="宋体"/>
          <w:sz w:val="24"/>
          <w:szCs w:val="24"/>
        </w:rPr>
        <w:t>, Clarke BA, Thomson SR, Garden OJ, Lazarus NG. The role of preoperative biopsy in pancreatic cancer. </w:t>
      </w:r>
      <w:r w:rsidRPr="00D022DE">
        <w:rPr>
          <w:rFonts w:ascii="Book Antiqua" w:eastAsia="宋体" w:hAnsi="Book Antiqua" w:cs="宋体"/>
          <w:i/>
          <w:iCs/>
          <w:sz w:val="24"/>
          <w:szCs w:val="24"/>
        </w:rPr>
        <w:t xml:space="preserve">HPB </w:t>
      </w:r>
      <w:r w:rsidRPr="00D022DE">
        <w:rPr>
          <w:rFonts w:ascii="Book Antiqua" w:eastAsia="宋体" w:hAnsi="Book Antiqua" w:cs="宋体"/>
          <w:iCs/>
          <w:sz w:val="24"/>
          <w:szCs w:val="24"/>
        </w:rPr>
        <w:t>(Oxford)</w:t>
      </w:r>
      <w:r w:rsidRPr="00D022DE">
        <w:rPr>
          <w:rFonts w:ascii="Book Antiqua" w:eastAsia="宋体" w:hAnsi="Book Antiqua" w:cs="宋体"/>
          <w:sz w:val="24"/>
          <w:szCs w:val="24"/>
        </w:rPr>
        <w:t> 2004; </w:t>
      </w:r>
      <w:r w:rsidRPr="00D022DE">
        <w:rPr>
          <w:rFonts w:ascii="Book Antiqua" w:eastAsia="宋体" w:hAnsi="Book Antiqua" w:cs="宋体"/>
          <w:b/>
          <w:bCs/>
          <w:sz w:val="24"/>
          <w:szCs w:val="24"/>
        </w:rPr>
        <w:t>6</w:t>
      </w:r>
      <w:r w:rsidRPr="00D022DE">
        <w:rPr>
          <w:rFonts w:ascii="Book Antiqua" w:eastAsia="宋体" w:hAnsi="Book Antiqua" w:cs="宋体"/>
          <w:sz w:val="24"/>
          <w:szCs w:val="24"/>
        </w:rPr>
        <w:t>: 144-153 [PMID: 18333068 DOI: 10.1080/13651820410030862]</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4 </w:t>
      </w:r>
      <w:r w:rsidRPr="00D022DE">
        <w:rPr>
          <w:rFonts w:ascii="Book Antiqua" w:eastAsia="宋体" w:hAnsi="Book Antiqua" w:cs="宋体"/>
          <w:b/>
          <w:bCs/>
          <w:sz w:val="24"/>
          <w:szCs w:val="24"/>
        </w:rPr>
        <w:t>Goldin SB</w:t>
      </w:r>
      <w:r w:rsidRPr="00D022DE">
        <w:rPr>
          <w:rFonts w:ascii="Book Antiqua" w:eastAsia="宋体" w:hAnsi="Book Antiqua" w:cs="宋体"/>
          <w:sz w:val="24"/>
          <w:szCs w:val="24"/>
        </w:rPr>
        <w:t>, Bradner MW, Zervos EE, Rosemurgy AS. Assessment of pancreatic neoplasms: review of biopsy techniques. </w:t>
      </w:r>
      <w:r w:rsidRPr="00D022DE">
        <w:rPr>
          <w:rFonts w:ascii="Book Antiqua" w:eastAsia="宋体" w:hAnsi="Book Antiqua" w:cs="宋体"/>
          <w:i/>
          <w:iCs/>
          <w:sz w:val="24"/>
          <w:szCs w:val="24"/>
        </w:rPr>
        <w:t>J Gastrointest Surg</w:t>
      </w:r>
      <w:r w:rsidRPr="00D022DE">
        <w:rPr>
          <w:rFonts w:ascii="Book Antiqua" w:eastAsia="宋体" w:hAnsi="Book Antiqua" w:cs="宋体"/>
          <w:sz w:val="24"/>
          <w:szCs w:val="24"/>
        </w:rPr>
        <w:t> 2007; </w:t>
      </w:r>
      <w:r w:rsidRPr="00D022DE">
        <w:rPr>
          <w:rFonts w:ascii="Book Antiqua" w:eastAsia="宋体" w:hAnsi="Book Antiqua" w:cs="宋体"/>
          <w:b/>
          <w:bCs/>
          <w:sz w:val="24"/>
          <w:szCs w:val="24"/>
        </w:rPr>
        <w:t>11</w:t>
      </w:r>
      <w:r w:rsidRPr="00D022DE">
        <w:rPr>
          <w:rFonts w:ascii="Book Antiqua" w:eastAsia="宋体" w:hAnsi="Book Antiqua" w:cs="宋体"/>
          <w:sz w:val="24"/>
          <w:szCs w:val="24"/>
        </w:rPr>
        <w:t>: 783-790 [PMID: 17562121 DOI: 10.1007/s11605-007-0114-2]</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5 </w:t>
      </w:r>
      <w:r w:rsidRPr="00D022DE">
        <w:rPr>
          <w:rFonts w:ascii="Book Antiqua" w:eastAsia="宋体" w:hAnsi="Book Antiqua" w:cs="宋体"/>
          <w:b/>
          <w:bCs/>
          <w:sz w:val="24"/>
          <w:szCs w:val="24"/>
        </w:rPr>
        <w:t>Paulsen SD</w:t>
      </w:r>
      <w:r w:rsidRPr="00D022DE">
        <w:rPr>
          <w:rFonts w:ascii="Book Antiqua" w:eastAsia="宋体" w:hAnsi="Book Antiqua" w:cs="宋体"/>
          <w:sz w:val="24"/>
          <w:szCs w:val="24"/>
        </w:rPr>
        <w:t>, Nghiem HV, Negussie E, Higgins EJ, Caoili EM, Francis IR. Evaluation of imaging-guided core biopsy of pancreatic masses. </w:t>
      </w:r>
      <w:r w:rsidRPr="00D022DE">
        <w:rPr>
          <w:rFonts w:ascii="Book Antiqua" w:eastAsia="宋体" w:hAnsi="Book Antiqua" w:cs="宋体"/>
          <w:i/>
          <w:iCs/>
          <w:sz w:val="24"/>
          <w:szCs w:val="24"/>
        </w:rPr>
        <w:t>AJR Am J Roentgenol</w:t>
      </w:r>
      <w:r w:rsidRPr="00D022DE">
        <w:rPr>
          <w:rFonts w:ascii="Book Antiqua" w:eastAsia="宋体" w:hAnsi="Book Antiqua" w:cs="宋体"/>
          <w:sz w:val="24"/>
          <w:szCs w:val="24"/>
        </w:rPr>
        <w:t> 2006; </w:t>
      </w:r>
      <w:r w:rsidRPr="00D022DE">
        <w:rPr>
          <w:rFonts w:ascii="Book Antiqua" w:eastAsia="宋体" w:hAnsi="Book Antiqua" w:cs="宋体"/>
          <w:b/>
          <w:bCs/>
          <w:sz w:val="24"/>
          <w:szCs w:val="24"/>
        </w:rPr>
        <w:t>187</w:t>
      </w:r>
      <w:r w:rsidRPr="00D022DE">
        <w:rPr>
          <w:rFonts w:ascii="Book Antiqua" w:eastAsia="宋体" w:hAnsi="Book Antiqua" w:cs="宋体"/>
          <w:sz w:val="24"/>
          <w:szCs w:val="24"/>
        </w:rPr>
        <w:t>: 769-772 [PMID: 16928943 DOI: 10.2214/AJR.05.0366]</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6 </w:t>
      </w:r>
      <w:r w:rsidRPr="00D022DE">
        <w:rPr>
          <w:rFonts w:ascii="Book Antiqua" w:eastAsia="宋体" w:hAnsi="Book Antiqua" w:cs="宋体"/>
          <w:b/>
          <w:bCs/>
          <w:sz w:val="24"/>
          <w:szCs w:val="24"/>
        </w:rPr>
        <w:t>Dickey JE</w:t>
      </w:r>
      <w:r w:rsidRPr="00D022DE">
        <w:rPr>
          <w:rFonts w:ascii="Book Antiqua" w:eastAsia="宋体" w:hAnsi="Book Antiqua" w:cs="宋体"/>
          <w:sz w:val="24"/>
          <w:szCs w:val="24"/>
        </w:rPr>
        <w:t>, Haaga JR, Stellato TA, Schultz CL, Hau T. Evaluation of computed tomography guided percutaneous biopsy of the pancreas. </w:t>
      </w:r>
      <w:r w:rsidRPr="00D022DE">
        <w:rPr>
          <w:rFonts w:ascii="Book Antiqua" w:eastAsia="宋体" w:hAnsi="Book Antiqua" w:cs="宋体"/>
          <w:i/>
          <w:iCs/>
          <w:sz w:val="24"/>
          <w:szCs w:val="24"/>
        </w:rPr>
        <w:t>Surg Gynecol Obstet</w:t>
      </w:r>
      <w:r w:rsidRPr="00D022DE">
        <w:rPr>
          <w:rFonts w:ascii="Book Antiqua" w:eastAsia="宋体" w:hAnsi="Book Antiqua" w:cs="宋体"/>
          <w:sz w:val="24"/>
          <w:szCs w:val="24"/>
        </w:rPr>
        <w:t> 1986; </w:t>
      </w:r>
      <w:r w:rsidRPr="00D022DE">
        <w:rPr>
          <w:rFonts w:ascii="Book Antiqua" w:eastAsia="宋体" w:hAnsi="Book Antiqua" w:cs="宋体"/>
          <w:b/>
          <w:bCs/>
          <w:sz w:val="24"/>
          <w:szCs w:val="24"/>
        </w:rPr>
        <w:t>163</w:t>
      </w:r>
      <w:r w:rsidRPr="00D022DE">
        <w:rPr>
          <w:rFonts w:ascii="Book Antiqua" w:eastAsia="宋体" w:hAnsi="Book Antiqua" w:cs="宋体"/>
          <w:sz w:val="24"/>
          <w:szCs w:val="24"/>
        </w:rPr>
        <w:t>: 497-503 [PMID: 3787424]</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7 </w:t>
      </w:r>
      <w:r w:rsidRPr="00D022DE">
        <w:rPr>
          <w:rFonts w:ascii="Book Antiqua" w:eastAsia="宋体" w:hAnsi="Book Antiqua" w:cs="宋体"/>
          <w:b/>
          <w:bCs/>
          <w:sz w:val="24"/>
          <w:szCs w:val="24"/>
        </w:rPr>
        <w:t>Mitchell CJ</w:t>
      </w:r>
      <w:r w:rsidRPr="00D022DE">
        <w:rPr>
          <w:rFonts w:ascii="Book Antiqua" w:eastAsia="宋体" w:hAnsi="Book Antiqua" w:cs="宋体"/>
          <w:sz w:val="24"/>
          <w:szCs w:val="24"/>
        </w:rPr>
        <w:t>, Wai D, Jackson AM, MacFie J. Ultrasound guided percutaneous pancreatic biopsy. </w:t>
      </w:r>
      <w:r w:rsidRPr="00D022DE">
        <w:rPr>
          <w:rFonts w:ascii="Book Antiqua" w:eastAsia="宋体" w:hAnsi="Book Antiqua" w:cs="宋体"/>
          <w:i/>
          <w:iCs/>
          <w:sz w:val="24"/>
          <w:szCs w:val="24"/>
        </w:rPr>
        <w:t>Br J Surg</w:t>
      </w:r>
      <w:r w:rsidRPr="00D022DE">
        <w:rPr>
          <w:rFonts w:ascii="Book Antiqua" w:eastAsia="宋体" w:hAnsi="Book Antiqua" w:cs="宋体"/>
          <w:sz w:val="24"/>
          <w:szCs w:val="24"/>
        </w:rPr>
        <w:t> 1989; </w:t>
      </w:r>
      <w:r w:rsidRPr="00D022DE">
        <w:rPr>
          <w:rFonts w:ascii="Book Antiqua" w:eastAsia="宋体" w:hAnsi="Book Antiqua" w:cs="宋体"/>
          <w:b/>
          <w:bCs/>
          <w:sz w:val="24"/>
          <w:szCs w:val="24"/>
        </w:rPr>
        <w:t>76</w:t>
      </w:r>
      <w:r w:rsidRPr="00D022DE">
        <w:rPr>
          <w:rFonts w:ascii="Book Antiqua" w:eastAsia="宋体" w:hAnsi="Book Antiqua" w:cs="宋体"/>
          <w:sz w:val="24"/>
          <w:szCs w:val="24"/>
        </w:rPr>
        <w:t>: 706-707 [PMID: 2670053]</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8 </w:t>
      </w:r>
      <w:r w:rsidRPr="00D022DE">
        <w:rPr>
          <w:rFonts w:ascii="Book Antiqua" w:eastAsia="宋体" w:hAnsi="Book Antiqua" w:cs="宋体"/>
          <w:b/>
          <w:bCs/>
          <w:sz w:val="24"/>
          <w:szCs w:val="24"/>
        </w:rPr>
        <w:t>Guimaraes MD</w:t>
      </w:r>
      <w:r w:rsidRPr="00D022DE">
        <w:rPr>
          <w:rFonts w:ascii="Book Antiqua" w:eastAsia="宋体" w:hAnsi="Book Antiqua" w:cs="宋体"/>
          <w:sz w:val="24"/>
          <w:szCs w:val="24"/>
        </w:rPr>
        <w:t>, de Andrade MQ, da Fonte AC, Chojniak R, Gross JL. CT-guided cutting needle biopsy of lung lesions--an effective procedure for adequate material and specific diagnose. </w:t>
      </w:r>
      <w:r w:rsidRPr="00D022DE">
        <w:rPr>
          <w:rFonts w:ascii="Book Antiqua" w:eastAsia="宋体" w:hAnsi="Book Antiqua" w:cs="宋体"/>
          <w:i/>
          <w:iCs/>
          <w:sz w:val="24"/>
          <w:szCs w:val="24"/>
        </w:rPr>
        <w:t>Eur J Radiol</w:t>
      </w:r>
      <w:r w:rsidRPr="00D022DE">
        <w:rPr>
          <w:rFonts w:ascii="Book Antiqua" w:eastAsia="宋体" w:hAnsi="Book Antiqua" w:cs="宋体"/>
          <w:sz w:val="24"/>
          <w:szCs w:val="24"/>
        </w:rPr>
        <w:t> 2011; </w:t>
      </w:r>
      <w:r w:rsidRPr="00D022DE">
        <w:rPr>
          <w:rFonts w:ascii="Book Antiqua" w:eastAsia="宋体" w:hAnsi="Book Antiqua" w:cs="宋体"/>
          <w:b/>
          <w:bCs/>
          <w:sz w:val="24"/>
          <w:szCs w:val="24"/>
        </w:rPr>
        <w:t>80</w:t>
      </w:r>
      <w:r w:rsidRPr="00D022DE">
        <w:rPr>
          <w:rFonts w:ascii="Book Antiqua" w:eastAsia="宋体" w:hAnsi="Book Antiqua" w:cs="宋体"/>
          <w:sz w:val="24"/>
          <w:szCs w:val="24"/>
        </w:rPr>
        <w:t>: e488-e490 [PMID: 21030172 DOI: 10.1016/j.ejrad.2010.09.038]</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9 </w:t>
      </w:r>
      <w:r w:rsidRPr="00D022DE">
        <w:rPr>
          <w:rFonts w:ascii="Book Antiqua" w:eastAsia="宋体" w:hAnsi="Book Antiqua" w:cs="宋体"/>
          <w:b/>
          <w:bCs/>
          <w:sz w:val="24"/>
          <w:szCs w:val="24"/>
        </w:rPr>
        <w:t>Chojniak R</w:t>
      </w:r>
      <w:r w:rsidRPr="00D022DE">
        <w:rPr>
          <w:rFonts w:ascii="Book Antiqua" w:eastAsia="宋体" w:hAnsi="Book Antiqua" w:cs="宋体"/>
          <w:sz w:val="24"/>
          <w:szCs w:val="24"/>
        </w:rPr>
        <w:t>, Isberner RK, Viana LM, Yu LS, Aita AA, Soares FA. Computed tomography guided needle biopsy: experience from 1,300 procedures. </w:t>
      </w:r>
      <w:r w:rsidRPr="00D022DE">
        <w:rPr>
          <w:rFonts w:ascii="Book Antiqua" w:eastAsia="宋体" w:hAnsi="Book Antiqua" w:cs="宋体"/>
          <w:i/>
          <w:iCs/>
          <w:sz w:val="24"/>
          <w:szCs w:val="24"/>
        </w:rPr>
        <w:t>Sao Paulo Med J</w:t>
      </w:r>
      <w:r w:rsidRPr="00D022DE">
        <w:rPr>
          <w:rFonts w:ascii="Book Antiqua" w:eastAsia="宋体" w:hAnsi="Book Antiqua" w:cs="宋体"/>
          <w:sz w:val="24"/>
          <w:szCs w:val="24"/>
        </w:rPr>
        <w:t> 2006; </w:t>
      </w:r>
      <w:r w:rsidRPr="00D022DE">
        <w:rPr>
          <w:rFonts w:ascii="Book Antiqua" w:eastAsia="宋体" w:hAnsi="Book Antiqua" w:cs="宋体"/>
          <w:b/>
          <w:bCs/>
          <w:sz w:val="24"/>
          <w:szCs w:val="24"/>
        </w:rPr>
        <w:t>124</w:t>
      </w:r>
      <w:r w:rsidRPr="00D022DE">
        <w:rPr>
          <w:rFonts w:ascii="Book Antiqua" w:eastAsia="宋体" w:hAnsi="Book Antiqua" w:cs="宋体"/>
          <w:sz w:val="24"/>
          <w:szCs w:val="24"/>
        </w:rPr>
        <w:t>: 10-14 [PMID: 16612456 DOI: /S1516-31802006000100003]</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lastRenderedPageBreak/>
        <w:t>10 </w:t>
      </w:r>
      <w:r w:rsidRPr="00D022DE">
        <w:rPr>
          <w:rFonts w:ascii="Book Antiqua" w:eastAsia="宋体" w:hAnsi="Book Antiqua" w:cs="宋体"/>
          <w:b/>
          <w:bCs/>
          <w:sz w:val="24"/>
          <w:szCs w:val="24"/>
        </w:rPr>
        <w:t>de Bucourt M</w:t>
      </w:r>
      <w:r w:rsidRPr="00D022DE">
        <w:rPr>
          <w:rFonts w:ascii="Book Antiqua" w:eastAsia="宋体" w:hAnsi="Book Antiqua" w:cs="宋体"/>
          <w:sz w:val="24"/>
          <w:szCs w:val="24"/>
        </w:rPr>
        <w:t>, Busse R, Zada O, Kaschke H, Weiss A, Teichgräber U, Rogalla P, Hein PA. CT-guided biopsies: quality, complications and impact on treatment: a retrospective initial quality control. </w:t>
      </w:r>
      <w:r w:rsidRPr="00D022DE">
        <w:rPr>
          <w:rFonts w:ascii="Book Antiqua" w:eastAsia="宋体" w:hAnsi="Book Antiqua" w:cs="宋体"/>
          <w:i/>
          <w:iCs/>
          <w:sz w:val="24"/>
          <w:szCs w:val="24"/>
        </w:rPr>
        <w:t>Rofo</w:t>
      </w:r>
      <w:r w:rsidRPr="00D022DE">
        <w:rPr>
          <w:rFonts w:ascii="Book Antiqua" w:eastAsia="宋体" w:hAnsi="Book Antiqua" w:cs="宋体"/>
          <w:sz w:val="24"/>
          <w:szCs w:val="24"/>
        </w:rPr>
        <w:t> 2011; </w:t>
      </w:r>
      <w:r w:rsidRPr="00D022DE">
        <w:rPr>
          <w:rFonts w:ascii="Book Antiqua" w:eastAsia="宋体" w:hAnsi="Book Antiqua" w:cs="宋体"/>
          <w:b/>
          <w:bCs/>
          <w:sz w:val="24"/>
          <w:szCs w:val="24"/>
        </w:rPr>
        <w:t>183</w:t>
      </w:r>
      <w:r w:rsidRPr="00D022DE">
        <w:rPr>
          <w:rFonts w:ascii="Book Antiqua" w:eastAsia="宋体" w:hAnsi="Book Antiqua" w:cs="宋体"/>
          <w:sz w:val="24"/>
          <w:szCs w:val="24"/>
        </w:rPr>
        <w:t>: 842-848 [PMID: 21830181 DOI: 10.1055/s-0031-1281594]</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11 </w:t>
      </w:r>
      <w:r w:rsidRPr="00D022DE">
        <w:rPr>
          <w:rFonts w:ascii="Book Antiqua" w:eastAsia="宋体" w:hAnsi="Book Antiqua" w:cs="宋体"/>
          <w:b/>
          <w:bCs/>
          <w:sz w:val="24"/>
          <w:szCs w:val="24"/>
        </w:rPr>
        <w:t>Karlson BM</w:t>
      </w:r>
      <w:r w:rsidRPr="00D022DE">
        <w:rPr>
          <w:rFonts w:ascii="Book Antiqua" w:eastAsia="宋体" w:hAnsi="Book Antiqua" w:cs="宋体"/>
          <w:sz w:val="24"/>
          <w:szCs w:val="24"/>
        </w:rPr>
        <w:t>, Forsman CA, Wilander E, Skogseid B, Lindgren PG, Jacobson G, Rastad J. Efficiency of percutaneous core biopsy in pancreatic tumor diagnosis. </w:t>
      </w:r>
      <w:r w:rsidRPr="00D022DE">
        <w:rPr>
          <w:rFonts w:ascii="Book Antiqua" w:eastAsia="宋体" w:hAnsi="Book Antiqua" w:cs="宋体"/>
          <w:i/>
          <w:iCs/>
          <w:sz w:val="24"/>
          <w:szCs w:val="24"/>
        </w:rPr>
        <w:t>Surgery</w:t>
      </w:r>
      <w:r w:rsidRPr="00D022DE">
        <w:rPr>
          <w:rFonts w:ascii="Book Antiqua" w:eastAsia="宋体" w:hAnsi="Book Antiqua" w:cs="宋体"/>
          <w:sz w:val="24"/>
          <w:szCs w:val="24"/>
        </w:rPr>
        <w:t> 1996; </w:t>
      </w:r>
      <w:r w:rsidRPr="00D022DE">
        <w:rPr>
          <w:rFonts w:ascii="Book Antiqua" w:eastAsia="宋体" w:hAnsi="Book Antiqua" w:cs="宋体"/>
          <w:b/>
          <w:bCs/>
          <w:sz w:val="24"/>
          <w:szCs w:val="24"/>
        </w:rPr>
        <w:t>120</w:t>
      </w:r>
      <w:r w:rsidRPr="00D022DE">
        <w:rPr>
          <w:rFonts w:ascii="Book Antiqua" w:eastAsia="宋体" w:hAnsi="Book Antiqua" w:cs="宋体"/>
          <w:sz w:val="24"/>
          <w:szCs w:val="24"/>
        </w:rPr>
        <w:t>: 75-79 [PMID: 8693427]</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12 </w:t>
      </w:r>
      <w:r w:rsidRPr="00D022DE">
        <w:rPr>
          <w:rFonts w:ascii="Book Antiqua" w:eastAsia="宋体" w:hAnsi="Book Antiqua" w:cs="宋体"/>
          <w:b/>
          <w:bCs/>
          <w:sz w:val="24"/>
          <w:szCs w:val="24"/>
        </w:rPr>
        <w:t>Yu YP</w:t>
      </w:r>
      <w:r w:rsidRPr="00D022DE">
        <w:rPr>
          <w:rFonts w:ascii="Book Antiqua" w:eastAsia="宋体" w:hAnsi="Book Antiqua" w:cs="宋体"/>
          <w:sz w:val="24"/>
          <w:szCs w:val="24"/>
        </w:rPr>
        <w:t>, Jiang HT, Yao Z, Xia QR, Hong FM, Zeng H, Li S. [Feasibility and safety of CT-guided percutaneous needle biopsy and subsequent iodine-125 seed interstitial implantation for pancreatic cancer]. </w:t>
      </w:r>
      <w:r w:rsidRPr="00D022DE">
        <w:rPr>
          <w:rFonts w:ascii="Book Antiqua" w:eastAsia="宋体" w:hAnsi="Book Antiqua" w:cs="宋体"/>
          <w:i/>
          <w:iCs/>
          <w:sz w:val="24"/>
          <w:szCs w:val="24"/>
        </w:rPr>
        <w:t>Zhonghua Zhong Liu Za Zhi</w:t>
      </w:r>
      <w:r w:rsidRPr="00D022DE">
        <w:rPr>
          <w:rFonts w:ascii="Book Antiqua" w:eastAsia="宋体" w:hAnsi="Book Antiqua" w:cs="宋体"/>
          <w:sz w:val="24"/>
          <w:szCs w:val="24"/>
        </w:rPr>
        <w:t> 2013; </w:t>
      </w:r>
      <w:r w:rsidRPr="00D022DE">
        <w:rPr>
          <w:rFonts w:ascii="Book Antiqua" w:eastAsia="宋体" w:hAnsi="Book Antiqua" w:cs="宋体"/>
          <w:b/>
          <w:bCs/>
          <w:sz w:val="24"/>
          <w:szCs w:val="24"/>
        </w:rPr>
        <w:t>35</w:t>
      </w:r>
      <w:r w:rsidRPr="00D022DE">
        <w:rPr>
          <w:rFonts w:ascii="Book Antiqua" w:eastAsia="宋体" w:hAnsi="Book Antiqua" w:cs="宋体"/>
          <w:sz w:val="24"/>
          <w:szCs w:val="24"/>
        </w:rPr>
        <w:t>: 608-612 [PMID: 24314220]</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13 </w:t>
      </w:r>
      <w:r w:rsidRPr="00D022DE">
        <w:rPr>
          <w:rFonts w:ascii="Book Antiqua" w:eastAsia="宋体" w:hAnsi="Book Antiqua" w:cs="宋体"/>
          <w:b/>
          <w:bCs/>
          <w:sz w:val="24"/>
          <w:szCs w:val="24"/>
        </w:rPr>
        <w:t>Yang RY</w:t>
      </w:r>
      <w:r w:rsidRPr="00D022DE">
        <w:rPr>
          <w:rFonts w:ascii="Book Antiqua" w:eastAsia="宋体" w:hAnsi="Book Antiqua" w:cs="宋体"/>
          <w:sz w:val="24"/>
          <w:szCs w:val="24"/>
        </w:rPr>
        <w:t>, Ng D, Jaskolka JD, Rogalla P, Sreeharsha B. Evaluation of percutaneous ultrasound-guided biopsies of solid mass lesions of the pancreas: a center's 10-year experience. </w:t>
      </w:r>
      <w:r w:rsidRPr="00D022DE">
        <w:rPr>
          <w:rFonts w:ascii="Book Antiqua" w:eastAsia="宋体" w:hAnsi="Book Antiqua" w:cs="宋体"/>
          <w:i/>
          <w:iCs/>
          <w:sz w:val="24"/>
          <w:szCs w:val="24"/>
        </w:rPr>
        <w:t>Clin Imaging</w:t>
      </w:r>
      <w:r w:rsidRPr="00D022DE">
        <w:rPr>
          <w:rFonts w:ascii="Book Antiqua" w:eastAsia="宋体" w:hAnsi="Book Antiqua" w:cs="宋体"/>
          <w:sz w:val="24"/>
          <w:szCs w:val="24"/>
        </w:rPr>
        <w:t> </w:t>
      </w:r>
      <w:r>
        <w:rPr>
          <w:rFonts w:ascii="Book Antiqua" w:eastAsia="宋体" w:hAnsi="Book Antiqua" w:cs="宋体" w:hint="eastAsia"/>
          <w:sz w:val="24"/>
          <w:szCs w:val="24"/>
        </w:rPr>
        <w:t>2014</w:t>
      </w:r>
      <w:r w:rsidRPr="00D022DE">
        <w:rPr>
          <w:rFonts w:ascii="Book Antiqua" w:eastAsia="宋体" w:hAnsi="Book Antiqua" w:cs="宋体"/>
          <w:sz w:val="24"/>
          <w:szCs w:val="24"/>
        </w:rPr>
        <w:t>; </w:t>
      </w:r>
      <w:r w:rsidRPr="00D022DE">
        <w:rPr>
          <w:rFonts w:ascii="Book Antiqua" w:eastAsia="宋体" w:hAnsi="Book Antiqua" w:cs="宋体"/>
          <w:b/>
          <w:bCs/>
          <w:sz w:val="24"/>
          <w:szCs w:val="24"/>
        </w:rPr>
        <w:t>39</w:t>
      </w:r>
      <w:r w:rsidRPr="00D022DE">
        <w:rPr>
          <w:rFonts w:ascii="Book Antiqua" w:eastAsia="宋体" w:hAnsi="Book Antiqua" w:cs="宋体"/>
          <w:sz w:val="24"/>
          <w:szCs w:val="24"/>
        </w:rPr>
        <w:t>: 62-65 [PMID: 25043532 DOI: 10.1016/j.clinimag.2014.06.010]</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14 </w:t>
      </w:r>
      <w:r w:rsidRPr="00D022DE">
        <w:rPr>
          <w:rFonts w:ascii="Book Antiqua" w:eastAsia="宋体" w:hAnsi="Book Antiqua" w:cs="宋体"/>
          <w:b/>
          <w:bCs/>
          <w:sz w:val="24"/>
          <w:szCs w:val="24"/>
        </w:rPr>
        <w:t>Spârchez Z</w:t>
      </w:r>
      <w:r w:rsidRPr="00D022DE">
        <w:rPr>
          <w:rFonts w:ascii="Book Antiqua" w:eastAsia="宋体" w:hAnsi="Book Antiqua" w:cs="宋体"/>
          <w:sz w:val="24"/>
          <w:szCs w:val="24"/>
        </w:rPr>
        <w:t>. Ultrasound-guided percutaneous pancreatic biopsy. Indications, performance and complications. </w:t>
      </w:r>
      <w:r w:rsidRPr="00D022DE">
        <w:rPr>
          <w:rFonts w:ascii="Book Antiqua" w:eastAsia="宋体" w:hAnsi="Book Antiqua" w:cs="宋体"/>
          <w:i/>
          <w:iCs/>
          <w:sz w:val="24"/>
          <w:szCs w:val="24"/>
        </w:rPr>
        <w:t>Rom J Gastroenterol</w:t>
      </w:r>
      <w:r w:rsidRPr="00D022DE">
        <w:rPr>
          <w:rFonts w:ascii="Book Antiqua" w:eastAsia="宋体" w:hAnsi="Book Antiqua" w:cs="宋体"/>
          <w:sz w:val="24"/>
          <w:szCs w:val="24"/>
        </w:rPr>
        <w:t> 2002; </w:t>
      </w:r>
      <w:r w:rsidRPr="00D022DE">
        <w:rPr>
          <w:rFonts w:ascii="Book Antiqua" w:eastAsia="宋体" w:hAnsi="Book Antiqua" w:cs="宋体"/>
          <w:b/>
          <w:bCs/>
          <w:sz w:val="24"/>
          <w:szCs w:val="24"/>
        </w:rPr>
        <w:t>11</w:t>
      </w:r>
      <w:r w:rsidRPr="00D022DE">
        <w:rPr>
          <w:rFonts w:ascii="Book Antiqua" w:eastAsia="宋体" w:hAnsi="Book Antiqua" w:cs="宋体"/>
          <w:sz w:val="24"/>
          <w:szCs w:val="24"/>
        </w:rPr>
        <w:t>: 335-341 [PMID: 12532207]</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15 </w:t>
      </w:r>
      <w:r w:rsidRPr="00D022DE">
        <w:rPr>
          <w:rFonts w:ascii="Book Antiqua" w:eastAsia="宋体" w:hAnsi="Book Antiqua" w:cs="宋体"/>
          <w:b/>
          <w:bCs/>
          <w:sz w:val="24"/>
          <w:szCs w:val="24"/>
        </w:rPr>
        <w:t>Brandt KR</w:t>
      </w:r>
      <w:r w:rsidRPr="00D022DE">
        <w:rPr>
          <w:rFonts w:ascii="Book Antiqua" w:eastAsia="宋体" w:hAnsi="Book Antiqua" w:cs="宋体"/>
          <w:sz w:val="24"/>
          <w:szCs w:val="24"/>
        </w:rPr>
        <w:t>, Charboneau JW, Stephens DH, Welch TJ, Goellner JR. CT- and US-guided biopsy of the pancreas. </w:t>
      </w:r>
      <w:r w:rsidRPr="00D022DE">
        <w:rPr>
          <w:rFonts w:ascii="Book Antiqua" w:eastAsia="宋体" w:hAnsi="Book Antiqua" w:cs="宋体"/>
          <w:i/>
          <w:iCs/>
          <w:sz w:val="24"/>
          <w:szCs w:val="24"/>
        </w:rPr>
        <w:t>Radiology</w:t>
      </w:r>
      <w:r w:rsidRPr="00D022DE">
        <w:rPr>
          <w:rFonts w:ascii="Book Antiqua" w:eastAsia="宋体" w:hAnsi="Book Antiqua" w:cs="宋体"/>
          <w:sz w:val="24"/>
          <w:szCs w:val="24"/>
        </w:rPr>
        <w:t> 1993; </w:t>
      </w:r>
      <w:r w:rsidRPr="00D022DE">
        <w:rPr>
          <w:rFonts w:ascii="Book Antiqua" w:eastAsia="宋体" w:hAnsi="Book Antiqua" w:cs="宋体"/>
          <w:b/>
          <w:bCs/>
          <w:sz w:val="24"/>
          <w:szCs w:val="24"/>
        </w:rPr>
        <w:t>187</w:t>
      </w:r>
      <w:r w:rsidRPr="00D022DE">
        <w:rPr>
          <w:rFonts w:ascii="Book Antiqua" w:eastAsia="宋体" w:hAnsi="Book Antiqua" w:cs="宋体"/>
          <w:sz w:val="24"/>
          <w:szCs w:val="24"/>
        </w:rPr>
        <w:t>: 99-104 [PMID: 8451443 DOI: 10.1148/radiology.187.1.8451443]</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16 </w:t>
      </w:r>
      <w:r w:rsidRPr="00D022DE">
        <w:rPr>
          <w:rFonts w:ascii="Book Antiqua" w:eastAsia="宋体" w:hAnsi="Book Antiqua" w:cs="宋体"/>
          <w:b/>
          <w:bCs/>
          <w:sz w:val="24"/>
          <w:szCs w:val="24"/>
        </w:rPr>
        <w:t>Lewitowicz P</w:t>
      </w:r>
      <w:r w:rsidRPr="00D022DE">
        <w:rPr>
          <w:rFonts w:ascii="Book Antiqua" w:eastAsia="宋体" w:hAnsi="Book Antiqua" w:cs="宋体"/>
          <w:sz w:val="24"/>
          <w:szCs w:val="24"/>
        </w:rPr>
        <w:t>, Matykiewicz J, Heciak J, Koziel D, Gluszek S. Percutaneous fine needle biopsy in pancreatic tumors: a study of 42 cases. </w:t>
      </w:r>
      <w:r w:rsidRPr="00D022DE">
        <w:rPr>
          <w:rFonts w:ascii="Book Antiqua" w:eastAsia="宋体" w:hAnsi="Book Antiqua" w:cs="宋体"/>
          <w:i/>
          <w:iCs/>
          <w:sz w:val="24"/>
          <w:szCs w:val="24"/>
        </w:rPr>
        <w:t>Gastroenterol Res Pract</w:t>
      </w:r>
      <w:r w:rsidRPr="00D022DE">
        <w:rPr>
          <w:rFonts w:ascii="Book Antiqua" w:eastAsia="宋体" w:hAnsi="Book Antiqua" w:cs="宋体"/>
          <w:sz w:val="24"/>
          <w:szCs w:val="24"/>
        </w:rPr>
        <w:t> 2012; </w:t>
      </w:r>
      <w:r w:rsidRPr="00D022DE">
        <w:rPr>
          <w:rFonts w:ascii="Book Antiqua" w:eastAsia="宋体" w:hAnsi="Book Antiqua" w:cs="宋体"/>
          <w:b/>
          <w:bCs/>
          <w:sz w:val="24"/>
          <w:szCs w:val="24"/>
        </w:rPr>
        <w:t>2012</w:t>
      </w:r>
      <w:r w:rsidRPr="00D022DE">
        <w:rPr>
          <w:rFonts w:ascii="Book Antiqua" w:eastAsia="宋体" w:hAnsi="Book Antiqua" w:cs="宋体"/>
          <w:sz w:val="24"/>
          <w:szCs w:val="24"/>
        </w:rPr>
        <w:t>: 908963 [PMID: 23304130 DOI: 10.1155/2012/908963]</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17 </w:t>
      </w:r>
      <w:r w:rsidRPr="00D022DE">
        <w:rPr>
          <w:rFonts w:ascii="Book Antiqua" w:eastAsia="宋体" w:hAnsi="Book Antiqua" w:cs="宋体"/>
          <w:b/>
          <w:bCs/>
          <w:sz w:val="24"/>
          <w:szCs w:val="24"/>
        </w:rPr>
        <w:t>Tseng HS</w:t>
      </w:r>
      <w:r w:rsidRPr="00D022DE">
        <w:rPr>
          <w:rFonts w:ascii="Book Antiqua" w:eastAsia="宋体" w:hAnsi="Book Antiqua" w:cs="宋体"/>
          <w:sz w:val="24"/>
          <w:szCs w:val="24"/>
        </w:rPr>
        <w:t>, Chen CY, Chan WP, Chiang JH. Percutaneous transgastric computed tomography-guided biopsy of the pancreas using large needles. </w:t>
      </w:r>
      <w:r w:rsidRPr="00D022DE">
        <w:rPr>
          <w:rFonts w:ascii="Book Antiqua" w:eastAsia="宋体" w:hAnsi="Book Antiqua" w:cs="宋体"/>
          <w:i/>
          <w:iCs/>
          <w:sz w:val="24"/>
          <w:szCs w:val="24"/>
        </w:rPr>
        <w:t>World J Gastroenterol</w:t>
      </w:r>
      <w:r w:rsidRPr="00D022DE">
        <w:rPr>
          <w:rFonts w:ascii="Book Antiqua" w:eastAsia="宋体" w:hAnsi="Book Antiqua" w:cs="宋体"/>
          <w:sz w:val="24"/>
          <w:szCs w:val="24"/>
        </w:rPr>
        <w:t> 2009; </w:t>
      </w:r>
      <w:r w:rsidRPr="00D022DE">
        <w:rPr>
          <w:rFonts w:ascii="Book Antiqua" w:eastAsia="宋体" w:hAnsi="Book Antiqua" w:cs="宋体"/>
          <w:b/>
          <w:bCs/>
          <w:sz w:val="24"/>
          <w:szCs w:val="24"/>
        </w:rPr>
        <w:t>15</w:t>
      </w:r>
      <w:r w:rsidRPr="00D022DE">
        <w:rPr>
          <w:rFonts w:ascii="Book Antiqua" w:eastAsia="宋体" w:hAnsi="Book Antiqua" w:cs="宋体"/>
          <w:sz w:val="24"/>
          <w:szCs w:val="24"/>
        </w:rPr>
        <w:t>: 5972-5975 [PMID: 20014462]</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lastRenderedPageBreak/>
        <w:t>18 </w:t>
      </w:r>
      <w:r w:rsidRPr="00D022DE">
        <w:rPr>
          <w:rFonts w:ascii="Book Antiqua" w:eastAsia="宋体" w:hAnsi="Book Antiqua" w:cs="宋体"/>
          <w:b/>
          <w:bCs/>
          <w:sz w:val="24"/>
          <w:szCs w:val="24"/>
        </w:rPr>
        <w:t>Gupta S</w:t>
      </w:r>
      <w:r w:rsidRPr="00D022DE">
        <w:rPr>
          <w:rFonts w:ascii="Book Antiqua" w:eastAsia="宋体" w:hAnsi="Book Antiqua" w:cs="宋体"/>
          <w:sz w:val="24"/>
          <w:szCs w:val="24"/>
        </w:rPr>
        <w:t>, Ahrar K, Morello FA, Wallace MJ, Hicks ME. Masses in or around the pancreatic head: CT-guided coaxial fine-needle aspiration biopsy with a posterior transcaval approach. </w:t>
      </w:r>
      <w:r w:rsidRPr="00D022DE">
        <w:rPr>
          <w:rFonts w:ascii="Book Antiqua" w:eastAsia="宋体" w:hAnsi="Book Antiqua" w:cs="宋体"/>
          <w:i/>
          <w:iCs/>
          <w:sz w:val="24"/>
          <w:szCs w:val="24"/>
        </w:rPr>
        <w:t>Radiology</w:t>
      </w:r>
      <w:r w:rsidRPr="00D022DE">
        <w:rPr>
          <w:rFonts w:ascii="Book Antiqua" w:eastAsia="宋体" w:hAnsi="Book Antiqua" w:cs="宋体"/>
          <w:sz w:val="24"/>
          <w:szCs w:val="24"/>
        </w:rPr>
        <w:t> 2002; </w:t>
      </w:r>
      <w:r w:rsidRPr="00D022DE">
        <w:rPr>
          <w:rFonts w:ascii="Book Antiqua" w:eastAsia="宋体" w:hAnsi="Book Antiqua" w:cs="宋体"/>
          <w:b/>
          <w:bCs/>
          <w:sz w:val="24"/>
          <w:szCs w:val="24"/>
        </w:rPr>
        <w:t>222</w:t>
      </w:r>
      <w:r w:rsidRPr="00D022DE">
        <w:rPr>
          <w:rFonts w:ascii="Book Antiqua" w:eastAsia="宋体" w:hAnsi="Book Antiqua" w:cs="宋体"/>
          <w:sz w:val="24"/>
          <w:szCs w:val="24"/>
        </w:rPr>
        <w:t>: 63-69 [PMID: 11756706 DOI: 10.1148/radiol.2221010437]</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19 </w:t>
      </w:r>
      <w:r w:rsidRPr="00D022DE">
        <w:rPr>
          <w:rFonts w:ascii="Book Antiqua" w:eastAsia="宋体" w:hAnsi="Book Antiqua" w:cs="宋体"/>
          <w:b/>
          <w:bCs/>
          <w:sz w:val="24"/>
          <w:szCs w:val="24"/>
        </w:rPr>
        <w:t>Tyng CJ</w:t>
      </w:r>
      <w:r w:rsidRPr="00D022DE">
        <w:rPr>
          <w:rFonts w:ascii="Book Antiqua" w:eastAsia="宋体" w:hAnsi="Book Antiqua" w:cs="宋体"/>
          <w:sz w:val="24"/>
          <w:szCs w:val="24"/>
        </w:rPr>
        <w:t>, Bitencourt AG, Martins EB, Pinto PN, Chojniak R. Technical note: CT-guided paravertebral adrenal biopsy using hydrodissection--a safe and technically easy approach. </w:t>
      </w:r>
      <w:r w:rsidRPr="00D022DE">
        <w:rPr>
          <w:rFonts w:ascii="Book Antiqua" w:eastAsia="宋体" w:hAnsi="Book Antiqua" w:cs="宋体"/>
          <w:i/>
          <w:iCs/>
          <w:sz w:val="24"/>
          <w:szCs w:val="24"/>
        </w:rPr>
        <w:t>Br J Radiol</w:t>
      </w:r>
      <w:r w:rsidRPr="00D022DE">
        <w:rPr>
          <w:rFonts w:ascii="Book Antiqua" w:eastAsia="宋体" w:hAnsi="Book Antiqua" w:cs="宋体"/>
          <w:sz w:val="24"/>
          <w:szCs w:val="24"/>
        </w:rPr>
        <w:t> 2012; </w:t>
      </w:r>
      <w:r w:rsidRPr="00D022DE">
        <w:rPr>
          <w:rFonts w:ascii="Book Antiqua" w:eastAsia="宋体" w:hAnsi="Book Antiqua" w:cs="宋体"/>
          <w:b/>
          <w:bCs/>
          <w:sz w:val="24"/>
          <w:szCs w:val="24"/>
        </w:rPr>
        <w:t>85</w:t>
      </w:r>
      <w:r w:rsidRPr="00D022DE">
        <w:rPr>
          <w:rFonts w:ascii="Book Antiqua" w:eastAsia="宋体" w:hAnsi="Book Antiqua" w:cs="宋体"/>
          <w:sz w:val="24"/>
          <w:szCs w:val="24"/>
        </w:rPr>
        <w:t>: e339-e342 [PMID: 21937619 DOI: 10.1259/bjr/16118679]</w:t>
      </w:r>
    </w:p>
    <w:p w:rsidR="00676D23" w:rsidRPr="00D022DE" w:rsidRDefault="00676D23" w:rsidP="00676D23">
      <w:pPr>
        <w:spacing w:line="360" w:lineRule="auto"/>
        <w:jc w:val="both"/>
        <w:rPr>
          <w:rFonts w:ascii="Book Antiqua" w:eastAsia="宋体" w:hAnsi="Book Antiqua" w:cs="宋体"/>
          <w:sz w:val="24"/>
          <w:szCs w:val="24"/>
        </w:rPr>
      </w:pPr>
      <w:r>
        <w:rPr>
          <w:rFonts w:ascii="Book Antiqua" w:eastAsia="宋体" w:hAnsi="Book Antiqua" w:cs="宋体"/>
          <w:sz w:val="24"/>
          <w:szCs w:val="24"/>
        </w:rPr>
        <w:t>20</w:t>
      </w:r>
      <w:r w:rsidRPr="00D022DE">
        <w:rPr>
          <w:rFonts w:ascii="Book Antiqua" w:eastAsia="宋体" w:hAnsi="Book Antiqua" w:cs="宋体"/>
          <w:b/>
          <w:sz w:val="24"/>
          <w:szCs w:val="24"/>
        </w:rPr>
        <w:t xml:space="preserve"> Tyng CJ,</w:t>
      </w:r>
      <w:r w:rsidRPr="00D022DE">
        <w:rPr>
          <w:rFonts w:ascii="Book Antiqua" w:eastAsia="宋体" w:hAnsi="Book Antiqua" w:cs="宋体"/>
          <w:sz w:val="24"/>
          <w:szCs w:val="24"/>
        </w:rPr>
        <w:t xml:space="preserve"> Bitencourt AGV, Almeida MFA, Barbosa PNV, Martins EBL, Junior JPKM, Chojniak R, Coimbra FJF. Computed tomography-guided percutaneous biopsy of pancreatic masses using pneumodissection. </w:t>
      </w:r>
      <w:r w:rsidRPr="00D022DE">
        <w:rPr>
          <w:rFonts w:ascii="Book Antiqua" w:eastAsia="宋体" w:hAnsi="Book Antiqua" w:cs="宋体"/>
          <w:i/>
          <w:sz w:val="24"/>
          <w:szCs w:val="24"/>
        </w:rPr>
        <w:t>Radiol Bras</w:t>
      </w:r>
      <w:r w:rsidRPr="00D022DE">
        <w:rPr>
          <w:rFonts w:ascii="Book Antiqua" w:eastAsia="宋体" w:hAnsi="Book Antiqua" w:cs="宋体"/>
          <w:sz w:val="24"/>
          <w:szCs w:val="24"/>
        </w:rPr>
        <w:t xml:space="preserve"> 2013; </w:t>
      </w:r>
      <w:r w:rsidRPr="00D022DE">
        <w:rPr>
          <w:rFonts w:ascii="Book Antiqua" w:eastAsia="宋体" w:hAnsi="Book Antiqua" w:cs="宋体"/>
          <w:b/>
          <w:sz w:val="24"/>
          <w:szCs w:val="24"/>
        </w:rPr>
        <w:t>46</w:t>
      </w:r>
      <w:r w:rsidRPr="00D022DE">
        <w:rPr>
          <w:rFonts w:ascii="Book Antiqua" w:eastAsia="宋体" w:hAnsi="Book Antiqua" w:cs="宋体"/>
          <w:sz w:val="24"/>
          <w:szCs w:val="24"/>
        </w:rPr>
        <w:t>: 139–</w:t>
      </w:r>
      <w:r>
        <w:rPr>
          <w:rFonts w:ascii="Book Antiqua" w:eastAsia="宋体" w:hAnsi="Book Antiqua" w:cs="宋体" w:hint="eastAsia"/>
          <w:sz w:val="24"/>
          <w:szCs w:val="24"/>
        </w:rPr>
        <w:t>1</w:t>
      </w:r>
      <w:r w:rsidRPr="00D022DE">
        <w:rPr>
          <w:rFonts w:ascii="Book Antiqua" w:eastAsia="宋体" w:hAnsi="Book Antiqua" w:cs="宋体"/>
          <w:sz w:val="24"/>
          <w:szCs w:val="24"/>
        </w:rPr>
        <w:t>42 [DOI: 10.1590/S0100-39842013000300006]</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21 </w:t>
      </w:r>
      <w:r w:rsidRPr="00D022DE">
        <w:rPr>
          <w:rFonts w:ascii="Book Antiqua" w:eastAsia="宋体" w:hAnsi="Book Antiqua" w:cs="宋体"/>
          <w:b/>
          <w:bCs/>
          <w:sz w:val="24"/>
          <w:szCs w:val="24"/>
        </w:rPr>
        <w:t>Meier-Meitinger M</w:t>
      </w:r>
      <w:r w:rsidRPr="00D022DE">
        <w:rPr>
          <w:rFonts w:ascii="Book Antiqua" w:eastAsia="宋体" w:hAnsi="Book Antiqua" w:cs="宋体"/>
          <w:sz w:val="24"/>
          <w:szCs w:val="24"/>
        </w:rPr>
        <w:t>, Anders K, Alibek S, Uder M, Baum U. CT-guided biopsies of pancreatic lesions: impact of contrast application prior to versus following needle placement. </w:t>
      </w:r>
      <w:r w:rsidRPr="00D022DE">
        <w:rPr>
          <w:rFonts w:ascii="Book Antiqua" w:eastAsia="宋体" w:hAnsi="Book Antiqua" w:cs="宋体"/>
          <w:i/>
          <w:iCs/>
          <w:sz w:val="24"/>
          <w:szCs w:val="24"/>
        </w:rPr>
        <w:t>Acad Radiol</w:t>
      </w:r>
      <w:r w:rsidRPr="00D022DE">
        <w:rPr>
          <w:rFonts w:ascii="Book Antiqua" w:eastAsia="宋体" w:hAnsi="Book Antiqua" w:cs="宋体"/>
          <w:sz w:val="24"/>
          <w:szCs w:val="24"/>
        </w:rPr>
        <w:t> 2009; </w:t>
      </w:r>
      <w:r w:rsidRPr="00D022DE">
        <w:rPr>
          <w:rFonts w:ascii="Book Antiqua" w:eastAsia="宋体" w:hAnsi="Book Antiqua" w:cs="宋体"/>
          <w:b/>
          <w:bCs/>
          <w:sz w:val="24"/>
          <w:szCs w:val="24"/>
        </w:rPr>
        <w:t>16</w:t>
      </w:r>
      <w:r w:rsidRPr="00D022DE">
        <w:rPr>
          <w:rFonts w:ascii="Book Antiqua" w:eastAsia="宋体" w:hAnsi="Book Antiqua" w:cs="宋体"/>
          <w:sz w:val="24"/>
          <w:szCs w:val="24"/>
        </w:rPr>
        <w:t>: 1386-1392 [PMID: 19643636 DOI: 10.1016/j.acra.2009.04.013]</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22 </w:t>
      </w:r>
      <w:r w:rsidRPr="00D022DE">
        <w:rPr>
          <w:rFonts w:ascii="Book Antiqua" w:eastAsia="宋体" w:hAnsi="Book Antiqua" w:cs="宋体"/>
          <w:b/>
          <w:bCs/>
          <w:sz w:val="24"/>
          <w:szCs w:val="24"/>
        </w:rPr>
        <w:t>Lundstedt C</w:t>
      </w:r>
      <w:r w:rsidRPr="00D022DE">
        <w:rPr>
          <w:rFonts w:ascii="Book Antiqua" w:eastAsia="宋体" w:hAnsi="Book Antiqua" w:cs="宋体"/>
          <w:sz w:val="24"/>
          <w:szCs w:val="24"/>
        </w:rPr>
        <w:t>, Stridbeck H, Andersson R, Tranberg KG, Andrén-Sandberg A. Tumor seeding occurring after fine-needle biopsy of abdominal malignancies. </w:t>
      </w:r>
      <w:r w:rsidRPr="00D022DE">
        <w:rPr>
          <w:rFonts w:ascii="Book Antiqua" w:eastAsia="宋体" w:hAnsi="Book Antiqua" w:cs="宋体"/>
          <w:i/>
          <w:iCs/>
          <w:sz w:val="24"/>
          <w:szCs w:val="24"/>
        </w:rPr>
        <w:t>Acta Radiol</w:t>
      </w:r>
      <w:r w:rsidRPr="00D022DE">
        <w:rPr>
          <w:rFonts w:ascii="Book Antiqua" w:eastAsia="宋体" w:hAnsi="Book Antiqua" w:cs="宋体"/>
          <w:sz w:val="24"/>
          <w:szCs w:val="24"/>
        </w:rPr>
        <w:t> 1991; </w:t>
      </w:r>
      <w:r w:rsidRPr="00D022DE">
        <w:rPr>
          <w:rFonts w:ascii="Book Antiqua" w:eastAsia="宋体" w:hAnsi="Book Antiqua" w:cs="宋体"/>
          <w:b/>
          <w:bCs/>
          <w:sz w:val="24"/>
          <w:szCs w:val="24"/>
        </w:rPr>
        <w:t>32</w:t>
      </w:r>
      <w:r w:rsidRPr="00D022DE">
        <w:rPr>
          <w:rFonts w:ascii="Book Antiqua" w:eastAsia="宋体" w:hAnsi="Book Antiqua" w:cs="宋体"/>
          <w:sz w:val="24"/>
          <w:szCs w:val="24"/>
        </w:rPr>
        <w:t>: 518-520 [PMID: 1742134]</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23 </w:t>
      </w:r>
      <w:r w:rsidRPr="00D022DE">
        <w:rPr>
          <w:rFonts w:ascii="Book Antiqua" w:eastAsia="宋体" w:hAnsi="Book Antiqua" w:cs="宋体"/>
          <w:b/>
          <w:bCs/>
          <w:sz w:val="24"/>
          <w:szCs w:val="24"/>
        </w:rPr>
        <w:t>Caturelli E</w:t>
      </w:r>
      <w:r w:rsidRPr="00D022DE">
        <w:rPr>
          <w:rFonts w:ascii="Book Antiqua" w:eastAsia="宋体" w:hAnsi="Book Antiqua" w:cs="宋体"/>
          <w:sz w:val="24"/>
          <w:szCs w:val="24"/>
        </w:rPr>
        <w:t>, Rapaccini GL, Anti M, Fabiano A, Fedeli G. Malignant seeding after fine-needle aspiration biopsy of the pancreas. </w:t>
      </w:r>
      <w:r w:rsidRPr="00D022DE">
        <w:rPr>
          <w:rFonts w:ascii="Book Antiqua" w:eastAsia="宋体" w:hAnsi="Book Antiqua" w:cs="宋体"/>
          <w:i/>
          <w:iCs/>
          <w:sz w:val="24"/>
          <w:szCs w:val="24"/>
        </w:rPr>
        <w:t>Diagn Imaging Clin Med</w:t>
      </w:r>
      <w:r w:rsidRPr="00D022DE">
        <w:rPr>
          <w:rFonts w:ascii="Book Antiqua" w:eastAsia="宋体" w:hAnsi="Book Antiqua" w:cs="宋体"/>
          <w:sz w:val="24"/>
          <w:szCs w:val="24"/>
        </w:rPr>
        <w:t> 1985; </w:t>
      </w:r>
      <w:r w:rsidRPr="00D022DE">
        <w:rPr>
          <w:rFonts w:ascii="Book Antiqua" w:eastAsia="宋体" w:hAnsi="Book Antiqua" w:cs="宋体"/>
          <w:b/>
          <w:bCs/>
          <w:sz w:val="24"/>
          <w:szCs w:val="24"/>
        </w:rPr>
        <w:t>54</w:t>
      </w:r>
      <w:r w:rsidRPr="00D022DE">
        <w:rPr>
          <w:rFonts w:ascii="Book Antiqua" w:eastAsia="宋体" w:hAnsi="Book Antiqua" w:cs="宋体"/>
          <w:sz w:val="24"/>
          <w:szCs w:val="24"/>
        </w:rPr>
        <w:t>: 88-91 [PMID: 3886264]</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24 </w:t>
      </w:r>
      <w:r w:rsidRPr="00D022DE">
        <w:rPr>
          <w:rFonts w:ascii="Book Antiqua" w:eastAsia="宋体" w:hAnsi="Book Antiqua" w:cs="宋体"/>
          <w:b/>
          <w:bCs/>
          <w:sz w:val="24"/>
          <w:szCs w:val="24"/>
        </w:rPr>
        <w:t>Katanuma A</w:t>
      </w:r>
      <w:r w:rsidRPr="00D022DE">
        <w:rPr>
          <w:rFonts w:ascii="Book Antiqua" w:eastAsia="宋体" w:hAnsi="Book Antiqua" w:cs="宋体"/>
          <w:sz w:val="24"/>
          <w:szCs w:val="24"/>
        </w:rPr>
        <w:t>, Maguchi H, Hashigo S, Kaneko M, Kin T, Yane K, Kato R, Kato S, Harada R, Osanai M, Takahashi K, Shinohara T, Itoi T. Tumor seeding after endoscopic ultrasound-guided fine-needle aspiration of cancer in the body of the pancreas. </w:t>
      </w:r>
      <w:r w:rsidRPr="00D022DE">
        <w:rPr>
          <w:rFonts w:ascii="Book Antiqua" w:eastAsia="宋体" w:hAnsi="Book Antiqua" w:cs="宋体"/>
          <w:i/>
          <w:iCs/>
          <w:sz w:val="24"/>
          <w:szCs w:val="24"/>
        </w:rPr>
        <w:t>Endoscopy</w:t>
      </w:r>
      <w:r w:rsidRPr="00D022DE">
        <w:rPr>
          <w:rFonts w:ascii="Book Antiqua" w:eastAsia="宋体" w:hAnsi="Book Antiqua" w:cs="宋体"/>
          <w:sz w:val="24"/>
          <w:szCs w:val="24"/>
        </w:rPr>
        <w:t> 2012; </w:t>
      </w:r>
      <w:r w:rsidRPr="00D022DE">
        <w:rPr>
          <w:rFonts w:ascii="Book Antiqua" w:eastAsia="宋体" w:hAnsi="Book Antiqua" w:cs="宋体"/>
          <w:b/>
          <w:bCs/>
          <w:sz w:val="24"/>
          <w:szCs w:val="24"/>
        </w:rPr>
        <w:t xml:space="preserve">44 </w:t>
      </w:r>
      <w:r w:rsidRPr="00D022DE">
        <w:rPr>
          <w:rFonts w:ascii="Book Antiqua" w:eastAsia="宋体" w:hAnsi="Book Antiqua" w:cs="宋体"/>
          <w:bCs/>
          <w:sz w:val="24"/>
          <w:szCs w:val="24"/>
        </w:rPr>
        <w:t>Suppl 2 UCTN</w:t>
      </w:r>
      <w:r w:rsidRPr="00D022DE">
        <w:rPr>
          <w:rFonts w:ascii="Book Antiqua" w:eastAsia="宋体" w:hAnsi="Book Antiqua" w:cs="宋体"/>
          <w:sz w:val="24"/>
          <w:szCs w:val="24"/>
        </w:rPr>
        <w:t>: E160-E161 [PMID: 22622721 DOI: 10.1055/s-0031-1291716]</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lastRenderedPageBreak/>
        <w:t>25 </w:t>
      </w:r>
      <w:r w:rsidRPr="00D022DE">
        <w:rPr>
          <w:rFonts w:ascii="Book Antiqua" w:eastAsia="宋体" w:hAnsi="Book Antiqua" w:cs="宋体"/>
          <w:b/>
          <w:bCs/>
          <w:sz w:val="24"/>
          <w:szCs w:val="24"/>
        </w:rPr>
        <w:t>Maturen KE</w:t>
      </w:r>
      <w:r w:rsidRPr="00D022DE">
        <w:rPr>
          <w:rFonts w:ascii="Book Antiqua" w:eastAsia="宋体" w:hAnsi="Book Antiqua" w:cs="宋体"/>
          <w:sz w:val="24"/>
          <w:szCs w:val="24"/>
        </w:rPr>
        <w:t>, Nghiem HV, Marrero JA, Hussain HK, Higgins EG, Fox GA, Francis IR. Lack of tumor seeding of hepatocellular carcinoma after percutaneous needle biopsy using coaxial cutting needle technique. </w:t>
      </w:r>
      <w:r w:rsidRPr="00D022DE">
        <w:rPr>
          <w:rFonts w:ascii="Book Antiqua" w:eastAsia="宋体" w:hAnsi="Book Antiqua" w:cs="宋体"/>
          <w:i/>
          <w:iCs/>
          <w:sz w:val="24"/>
          <w:szCs w:val="24"/>
        </w:rPr>
        <w:t>AJR Am J Roentgenol</w:t>
      </w:r>
      <w:r w:rsidRPr="00D022DE">
        <w:rPr>
          <w:rFonts w:ascii="Book Antiqua" w:eastAsia="宋体" w:hAnsi="Book Antiqua" w:cs="宋体"/>
          <w:sz w:val="24"/>
          <w:szCs w:val="24"/>
        </w:rPr>
        <w:t> 2006; </w:t>
      </w:r>
      <w:r w:rsidRPr="00D022DE">
        <w:rPr>
          <w:rFonts w:ascii="Book Antiqua" w:eastAsia="宋体" w:hAnsi="Book Antiqua" w:cs="宋体"/>
          <w:b/>
          <w:bCs/>
          <w:sz w:val="24"/>
          <w:szCs w:val="24"/>
        </w:rPr>
        <w:t>187</w:t>
      </w:r>
      <w:r w:rsidRPr="00D022DE">
        <w:rPr>
          <w:rFonts w:ascii="Book Antiqua" w:eastAsia="宋体" w:hAnsi="Book Antiqua" w:cs="宋体"/>
          <w:sz w:val="24"/>
          <w:szCs w:val="24"/>
        </w:rPr>
        <w:t>: 1184-1187 [PMID: 17056903 DOI: 10.2214/AJR.05.1347]</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26 </w:t>
      </w:r>
      <w:r w:rsidRPr="00D022DE">
        <w:rPr>
          <w:rFonts w:ascii="Book Antiqua" w:eastAsia="宋体" w:hAnsi="Book Antiqua" w:cs="宋体"/>
          <w:b/>
          <w:bCs/>
          <w:sz w:val="24"/>
          <w:szCs w:val="24"/>
        </w:rPr>
        <w:t>Qian X</w:t>
      </w:r>
      <w:r w:rsidRPr="00D022DE">
        <w:rPr>
          <w:rFonts w:ascii="Book Antiqua" w:eastAsia="宋体" w:hAnsi="Book Antiqua" w:cs="宋体"/>
          <w:sz w:val="24"/>
          <w:szCs w:val="24"/>
        </w:rPr>
        <w:t>, Hecht JL. Pancreatic fine needle aspiration. A comparison of computed tomographic and endoscopic ultrasonographic guidance. </w:t>
      </w:r>
      <w:r w:rsidRPr="00D022DE">
        <w:rPr>
          <w:rFonts w:ascii="Book Antiqua" w:eastAsia="宋体" w:hAnsi="Book Antiqua" w:cs="宋体"/>
          <w:i/>
          <w:iCs/>
          <w:sz w:val="24"/>
          <w:szCs w:val="24"/>
        </w:rPr>
        <w:t>Acta Cytol</w:t>
      </w:r>
      <w:r w:rsidRPr="00D022DE">
        <w:rPr>
          <w:rFonts w:ascii="Book Antiqua" w:eastAsia="宋体" w:hAnsi="Book Antiqua" w:cs="宋体"/>
          <w:sz w:val="24"/>
          <w:szCs w:val="24"/>
        </w:rPr>
        <w:t> </w:t>
      </w:r>
      <w:r>
        <w:rPr>
          <w:rFonts w:ascii="Book Antiqua" w:eastAsia="宋体" w:hAnsi="Book Antiqua" w:cs="宋体" w:hint="eastAsia"/>
          <w:sz w:val="24"/>
          <w:szCs w:val="24"/>
        </w:rPr>
        <w:t>2014</w:t>
      </w:r>
      <w:r w:rsidRPr="00D022DE">
        <w:rPr>
          <w:rFonts w:ascii="Book Antiqua" w:eastAsia="宋体" w:hAnsi="Book Antiqua" w:cs="宋体"/>
          <w:sz w:val="24"/>
          <w:szCs w:val="24"/>
        </w:rPr>
        <w:t>; </w:t>
      </w:r>
      <w:r w:rsidRPr="00D022DE">
        <w:rPr>
          <w:rFonts w:ascii="Book Antiqua" w:eastAsia="宋体" w:hAnsi="Book Antiqua" w:cs="宋体"/>
          <w:b/>
          <w:bCs/>
          <w:sz w:val="24"/>
          <w:szCs w:val="24"/>
        </w:rPr>
        <w:t>47</w:t>
      </w:r>
      <w:r w:rsidRPr="00D022DE">
        <w:rPr>
          <w:rFonts w:ascii="Book Antiqua" w:eastAsia="宋体" w:hAnsi="Book Antiqua" w:cs="宋体"/>
          <w:sz w:val="24"/>
          <w:szCs w:val="24"/>
        </w:rPr>
        <w:t>: 723-726 [PMID: 14526668]</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27 </w:t>
      </w:r>
      <w:r w:rsidRPr="00D022DE">
        <w:rPr>
          <w:rFonts w:ascii="Book Antiqua" w:eastAsia="宋体" w:hAnsi="Book Antiqua" w:cs="宋体"/>
          <w:b/>
          <w:bCs/>
          <w:sz w:val="24"/>
          <w:szCs w:val="24"/>
        </w:rPr>
        <w:t>Brugge WR</w:t>
      </w:r>
      <w:r w:rsidRPr="00D022DE">
        <w:rPr>
          <w:rFonts w:ascii="Book Antiqua" w:eastAsia="宋体" w:hAnsi="Book Antiqua" w:cs="宋体"/>
          <w:sz w:val="24"/>
          <w:szCs w:val="24"/>
        </w:rPr>
        <w:t>. Fine needle aspiration of pancreatic masses: the clinical impact. </w:t>
      </w:r>
      <w:r w:rsidRPr="00D022DE">
        <w:rPr>
          <w:rFonts w:ascii="Book Antiqua" w:eastAsia="宋体" w:hAnsi="Book Antiqua" w:cs="宋体"/>
          <w:i/>
          <w:iCs/>
          <w:sz w:val="24"/>
          <w:szCs w:val="24"/>
        </w:rPr>
        <w:t>Am J Gastroenterol</w:t>
      </w:r>
      <w:r w:rsidRPr="00D022DE">
        <w:rPr>
          <w:rFonts w:ascii="Book Antiqua" w:eastAsia="宋体" w:hAnsi="Book Antiqua" w:cs="宋体"/>
          <w:sz w:val="24"/>
          <w:szCs w:val="24"/>
        </w:rPr>
        <w:t> 2002; </w:t>
      </w:r>
      <w:r w:rsidRPr="00D022DE">
        <w:rPr>
          <w:rFonts w:ascii="Book Antiqua" w:eastAsia="宋体" w:hAnsi="Book Antiqua" w:cs="宋体"/>
          <w:b/>
          <w:bCs/>
          <w:sz w:val="24"/>
          <w:szCs w:val="24"/>
        </w:rPr>
        <w:t>97</w:t>
      </w:r>
      <w:r w:rsidRPr="00D022DE">
        <w:rPr>
          <w:rFonts w:ascii="Book Antiqua" w:eastAsia="宋体" w:hAnsi="Book Antiqua" w:cs="宋体"/>
          <w:sz w:val="24"/>
          <w:szCs w:val="24"/>
        </w:rPr>
        <w:t>: 2701-2702 [PMID: 12425535 DOI: 10.1111/j.1572-0241.2002.07088.x]</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28 </w:t>
      </w:r>
      <w:r w:rsidRPr="00D022DE">
        <w:rPr>
          <w:rFonts w:ascii="Book Antiqua" w:eastAsia="宋体" w:hAnsi="Book Antiqua" w:cs="宋体"/>
          <w:b/>
          <w:bCs/>
          <w:sz w:val="24"/>
          <w:szCs w:val="24"/>
        </w:rPr>
        <w:t>Fritscher-Ravens A</w:t>
      </w:r>
      <w:r w:rsidRPr="00D022DE">
        <w:rPr>
          <w:rFonts w:ascii="Book Antiqua" w:eastAsia="宋体" w:hAnsi="Book Antiqua" w:cs="宋体"/>
          <w:sz w:val="24"/>
          <w:szCs w:val="24"/>
        </w:rPr>
        <w:t>, Izbicki JR, Sriram PV, Krause C, Knoefel WT, Topalidis T, Jaeckle S, Thonke F, Soehendra N. Endosonography-guided, fine-needle aspiration cytology extending the indication for organ-preserving pancreatic surgery. </w:t>
      </w:r>
      <w:r w:rsidRPr="00D022DE">
        <w:rPr>
          <w:rFonts w:ascii="Book Antiqua" w:eastAsia="宋体" w:hAnsi="Book Antiqua" w:cs="宋体"/>
          <w:i/>
          <w:iCs/>
          <w:sz w:val="24"/>
          <w:szCs w:val="24"/>
        </w:rPr>
        <w:t>Am J Gastroenterol</w:t>
      </w:r>
      <w:r w:rsidRPr="00D022DE">
        <w:rPr>
          <w:rFonts w:ascii="Book Antiqua" w:eastAsia="宋体" w:hAnsi="Book Antiqua" w:cs="宋体"/>
          <w:sz w:val="24"/>
          <w:szCs w:val="24"/>
        </w:rPr>
        <w:t> 2000; </w:t>
      </w:r>
      <w:r w:rsidRPr="00D022DE">
        <w:rPr>
          <w:rFonts w:ascii="Book Antiqua" w:eastAsia="宋体" w:hAnsi="Book Antiqua" w:cs="宋体"/>
          <w:b/>
          <w:bCs/>
          <w:sz w:val="24"/>
          <w:szCs w:val="24"/>
        </w:rPr>
        <w:t>95</w:t>
      </w:r>
      <w:r w:rsidRPr="00D022DE">
        <w:rPr>
          <w:rFonts w:ascii="Book Antiqua" w:eastAsia="宋体" w:hAnsi="Book Antiqua" w:cs="宋体"/>
          <w:sz w:val="24"/>
          <w:szCs w:val="24"/>
        </w:rPr>
        <w:t>: 2255-2260 [PMID: 11007226 DOI: 10.1111/j.1572-0241.2000.02311.x]</w:t>
      </w:r>
    </w:p>
    <w:p w:rsidR="00676D23" w:rsidRPr="00D022DE" w:rsidRDefault="00676D23" w:rsidP="00676D23">
      <w:pPr>
        <w:spacing w:line="360" w:lineRule="auto"/>
        <w:jc w:val="both"/>
        <w:rPr>
          <w:rFonts w:ascii="Book Antiqua" w:eastAsia="宋体" w:hAnsi="Book Antiqua" w:cs="宋体"/>
          <w:sz w:val="24"/>
          <w:szCs w:val="24"/>
        </w:rPr>
      </w:pPr>
      <w:r w:rsidRPr="00D022DE">
        <w:rPr>
          <w:rFonts w:ascii="Book Antiqua" w:eastAsia="宋体" w:hAnsi="Book Antiqua" w:cs="宋体"/>
          <w:sz w:val="24"/>
          <w:szCs w:val="24"/>
        </w:rPr>
        <w:t>29 </w:t>
      </w:r>
      <w:r w:rsidRPr="00D022DE">
        <w:rPr>
          <w:rFonts w:ascii="Book Antiqua" w:eastAsia="宋体" w:hAnsi="Book Antiqua" w:cs="宋体"/>
          <w:b/>
          <w:bCs/>
          <w:sz w:val="24"/>
          <w:szCs w:val="24"/>
        </w:rPr>
        <w:t>Volmar KE</w:t>
      </w:r>
      <w:r w:rsidRPr="00D022DE">
        <w:rPr>
          <w:rFonts w:ascii="Book Antiqua" w:eastAsia="宋体" w:hAnsi="Book Antiqua" w:cs="宋体"/>
          <w:sz w:val="24"/>
          <w:szCs w:val="24"/>
        </w:rPr>
        <w:t>, Vollmer RT, Jowell PS, Nelson RC, Xie HB. Pancreatic FNA in 1000 cases: a comparison of imaging modalities. </w:t>
      </w:r>
      <w:r w:rsidRPr="00D022DE">
        <w:rPr>
          <w:rFonts w:ascii="Book Antiqua" w:eastAsia="宋体" w:hAnsi="Book Antiqua" w:cs="宋体"/>
          <w:i/>
          <w:iCs/>
          <w:sz w:val="24"/>
          <w:szCs w:val="24"/>
        </w:rPr>
        <w:t>Gastrointest Endosc</w:t>
      </w:r>
      <w:r w:rsidRPr="00D022DE">
        <w:rPr>
          <w:rFonts w:ascii="Book Antiqua" w:eastAsia="宋体" w:hAnsi="Book Antiqua" w:cs="宋体"/>
          <w:sz w:val="24"/>
          <w:szCs w:val="24"/>
        </w:rPr>
        <w:t> 2005; </w:t>
      </w:r>
      <w:r w:rsidRPr="00D022DE">
        <w:rPr>
          <w:rFonts w:ascii="Book Antiqua" w:eastAsia="宋体" w:hAnsi="Book Antiqua" w:cs="宋体"/>
          <w:b/>
          <w:bCs/>
          <w:sz w:val="24"/>
          <w:szCs w:val="24"/>
        </w:rPr>
        <w:t>61</w:t>
      </w:r>
      <w:r w:rsidRPr="00D022DE">
        <w:rPr>
          <w:rFonts w:ascii="Book Antiqua" w:eastAsia="宋体" w:hAnsi="Book Antiqua" w:cs="宋体"/>
          <w:sz w:val="24"/>
          <w:szCs w:val="24"/>
        </w:rPr>
        <w:t>: 854-861 [PMID: 15933687]</w:t>
      </w:r>
    </w:p>
    <w:p w:rsidR="00676D23" w:rsidRPr="00D022DE" w:rsidRDefault="00676D23" w:rsidP="00676D23">
      <w:pPr>
        <w:spacing w:line="360" w:lineRule="auto"/>
        <w:jc w:val="both"/>
        <w:rPr>
          <w:rFonts w:ascii="Book Antiqua" w:hAnsi="Book Antiqua"/>
        </w:rPr>
      </w:pPr>
    </w:p>
    <w:p w:rsidR="009C2061" w:rsidRDefault="009C2061" w:rsidP="00E95D22">
      <w:pPr>
        <w:pStyle w:val="a4"/>
        <w:snapToGrid w:val="0"/>
        <w:spacing w:before="0" w:beforeAutospacing="0" w:after="0" w:afterAutospacing="0" w:line="360" w:lineRule="auto"/>
        <w:contextualSpacing/>
        <w:jc w:val="right"/>
        <w:rPr>
          <w:rFonts w:ascii="Book Antiqua" w:eastAsiaTheme="minorEastAsia" w:hAnsi="Book Antiqua"/>
          <w:b/>
          <w:sz w:val="24"/>
          <w:szCs w:val="24"/>
          <w:lang w:val="en-US" w:eastAsia="zh-CN"/>
        </w:rPr>
      </w:pPr>
      <w:r>
        <w:rPr>
          <w:rFonts w:ascii="Book Antiqua" w:hAnsi="Book Antiqua"/>
          <w:b/>
          <w:sz w:val="24"/>
          <w:szCs w:val="24"/>
          <w:lang w:val="en-US"/>
        </w:rPr>
        <w:t>P-Reviewer</w:t>
      </w:r>
      <w:r w:rsidR="00E95D22" w:rsidRPr="00297C09">
        <w:rPr>
          <w:rFonts w:ascii="Book Antiqua" w:hAnsi="Book Antiqua"/>
          <w:b/>
          <w:sz w:val="24"/>
          <w:szCs w:val="24"/>
          <w:lang w:val="en-US"/>
        </w:rPr>
        <w:t>:</w:t>
      </w:r>
      <w:r w:rsidRPr="009C2061">
        <w:t xml:space="preserve"> </w:t>
      </w:r>
      <w:proofErr w:type="spellStart"/>
      <w:r w:rsidRPr="009C2061">
        <w:rPr>
          <w:rFonts w:ascii="Book Antiqua" w:hAnsi="Book Antiqua"/>
          <w:sz w:val="24"/>
          <w:szCs w:val="24"/>
          <w:lang w:val="en-US"/>
        </w:rPr>
        <w:t>Bujanda</w:t>
      </w:r>
      <w:proofErr w:type="spellEnd"/>
      <w:r w:rsidRPr="009C2061">
        <w:rPr>
          <w:rFonts w:ascii="Book Antiqua" w:hAnsi="Book Antiqua"/>
          <w:sz w:val="24"/>
          <w:szCs w:val="24"/>
          <w:lang w:val="en-US"/>
        </w:rPr>
        <w:t xml:space="preserve"> L</w:t>
      </w:r>
      <w:r w:rsidRPr="009C2061">
        <w:rPr>
          <w:rFonts w:ascii="Book Antiqua" w:eastAsiaTheme="minorEastAsia" w:hAnsi="Book Antiqua" w:hint="eastAsia"/>
          <w:sz w:val="24"/>
          <w:szCs w:val="24"/>
          <w:lang w:val="en-US" w:eastAsia="zh-CN"/>
        </w:rPr>
        <w:t>,</w:t>
      </w:r>
      <w:r w:rsidR="00E95D22" w:rsidRPr="009C2061">
        <w:rPr>
          <w:rFonts w:ascii="Book Antiqua" w:hAnsi="Book Antiqua"/>
          <w:sz w:val="24"/>
          <w:szCs w:val="24"/>
          <w:lang w:val="en-US"/>
        </w:rPr>
        <w:t xml:space="preserve"> </w:t>
      </w:r>
      <w:r w:rsidRPr="009C2061">
        <w:rPr>
          <w:rFonts w:ascii="Book Antiqua" w:hAnsi="Book Antiqua"/>
          <w:sz w:val="24"/>
          <w:szCs w:val="24"/>
          <w:lang w:val="en-US"/>
        </w:rPr>
        <w:t>Ren CL</w:t>
      </w:r>
      <w:r w:rsidRPr="009C2061">
        <w:rPr>
          <w:rFonts w:ascii="Book Antiqua" w:eastAsiaTheme="minorEastAsia" w:hAnsi="Book Antiqua" w:hint="eastAsia"/>
          <w:sz w:val="24"/>
          <w:szCs w:val="24"/>
          <w:lang w:val="en-US" w:eastAsia="zh-CN"/>
        </w:rPr>
        <w:t>,</w:t>
      </w:r>
      <w:r w:rsidR="00E95D22" w:rsidRPr="009C2061">
        <w:rPr>
          <w:rFonts w:ascii="Book Antiqua" w:hAnsi="Book Antiqua"/>
          <w:sz w:val="24"/>
          <w:szCs w:val="24"/>
          <w:lang w:val="en-US"/>
        </w:rPr>
        <w:t xml:space="preserve"> </w:t>
      </w:r>
      <w:r w:rsidRPr="009C2061">
        <w:rPr>
          <w:rFonts w:ascii="Book Antiqua" w:hAnsi="Book Antiqua"/>
          <w:sz w:val="24"/>
          <w:szCs w:val="24"/>
          <w:lang w:val="en-US"/>
        </w:rPr>
        <w:t>Yokoyama N</w:t>
      </w:r>
      <w:r w:rsidRPr="009C2061">
        <w:rPr>
          <w:rFonts w:ascii="Book Antiqua" w:eastAsiaTheme="minorEastAsia" w:hAnsi="Book Antiqua" w:hint="eastAsia"/>
          <w:sz w:val="24"/>
          <w:szCs w:val="24"/>
          <w:lang w:val="en-US" w:eastAsia="zh-CN"/>
        </w:rPr>
        <w:t xml:space="preserve">, </w:t>
      </w:r>
      <w:r w:rsidRPr="009C2061">
        <w:rPr>
          <w:rFonts w:ascii="Book Antiqua" w:eastAsiaTheme="minorEastAsia" w:hAnsi="Book Antiqua"/>
          <w:sz w:val="24"/>
          <w:szCs w:val="24"/>
          <w:lang w:val="en-US" w:eastAsia="zh-CN"/>
        </w:rPr>
        <w:t>Zhu H</w:t>
      </w:r>
      <w:r>
        <w:rPr>
          <w:rFonts w:ascii="Book Antiqua" w:eastAsiaTheme="minorEastAsia" w:hAnsi="Book Antiqua" w:hint="eastAsia"/>
          <w:b/>
          <w:sz w:val="24"/>
          <w:szCs w:val="24"/>
          <w:lang w:val="en-US" w:eastAsia="zh-CN"/>
        </w:rPr>
        <w:t xml:space="preserve"> </w:t>
      </w:r>
      <w:r w:rsidR="00E95D22" w:rsidRPr="00297C09">
        <w:rPr>
          <w:rFonts w:ascii="Book Antiqua" w:hAnsi="Book Antiqua"/>
          <w:b/>
          <w:sz w:val="24"/>
          <w:szCs w:val="24"/>
          <w:lang w:val="en-US"/>
        </w:rPr>
        <w:t xml:space="preserve">S-Editor: </w:t>
      </w:r>
    </w:p>
    <w:p w:rsidR="00E95D22" w:rsidRPr="00297C09" w:rsidRDefault="00E95D22" w:rsidP="00E95D22">
      <w:pPr>
        <w:pStyle w:val="a4"/>
        <w:snapToGrid w:val="0"/>
        <w:spacing w:before="0" w:beforeAutospacing="0" w:after="0" w:afterAutospacing="0" w:line="360" w:lineRule="auto"/>
        <w:contextualSpacing/>
        <w:jc w:val="right"/>
        <w:rPr>
          <w:rFonts w:ascii="Book Antiqua" w:hAnsi="Book Antiqua"/>
          <w:b/>
          <w:sz w:val="24"/>
          <w:szCs w:val="24"/>
          <w:lang w:val="en-US"/>
        </w:rPr>
      </w:pPr>
      <w:r w:rsidRPr="00297C09">
        <w:rPr>
          <w:rFonts w:ascii="Book Antiqua" w:hAnsi="Book Antiqua"/>
          <w:b/>
          <w:sz w:val="24"/>
          <w:szCs w:val="24"/>
          <w:lang w:val="en-US"/>
        </w:rPr>
        <w:t>L-Editor:  E-Editor:</w:t>
      </w:r>
    </w:p>
    <w:p w:rsidR="00E95D22" w:rsidRPr="00297C09" w:rsidRDefault="00E95D22"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sz w:val="24"/>
          <w:szCs w:val="24"/>
          <w:lang w:val="en-US"/>
        </w:rPr>
        <w:br w:type="page"/>
      </w:r>
      <w:r w:rsidRPr="00297C09">
        <w:rPr>
          <w:rFonts w:ascii="Book Antiqua" w:hAnsi="Book Antiqua"/>
          <w:b/>
          <w:sz w:val="24"/>
          <w:szCs w:val="24"/>
          <w:lang w:val="en-US"/>
        </w:rPr>
        <w:lastRenderedPageBreak/>
        <w:t>Figure 1</w:t>
      </w:r>
      <w:r w:rsidRPr="00297C09">
        <w:rPr>
          <w:rFonts w:ascii="Book Antiqua" w:hAnsi="Book Antiqua"/>
          <w:b/>
          <w:sz w:val="24"/>
          <w:szCs w:val="24"/>
          <w:lang w:val="en-US" w:eastAsia="zh-CN"/>
        </w:rPr>
        <w:t xml:space="preserve"> </w:t>
      </w:r>
      <w:r w:rsidRPr="00297C09">
        <w:rPr>
          <w:rFonts w:ascii="Book Antiqua" w:hAnsi="Book Antiqua"/>
          <w:b/>
          <w:sz w:val="24"/>
          <w:szCs w:val="24"/>
          <w:lang w:val="en-US"/>
        </w:rPr>
        <w:t>Percutaneous</w:t>
      </w:r>
      <w:r w:rsidR="009C2061" w:rsidRPr="00297C09">
        <w:rPr>
          <w:rFonts w:ascii="Book Antiqua" w:hAnsi="Book Antiqua"/>
          <w:b/>
          <w:sz w:val="24"/>
          <w:szCs w:val="24"/>
          <w:lang w:val="en-US"/>
        </w:rPr>
        <w:t xml:space="preserve"> </w:t>
      </w:r>
      <w:r w:rsidR="009C2061" w:rsidRPr="009C2061">
        <w:rPr>
          <w:rFonts w:ascii="Book Antiqua" w:hAnsi="Book Antiqua"/>
          <w:b/>
          <w:sz w:val="24"/>
          <w:szCs w:val="24"/>
          <w:lang w:val="en-US"/>
        </w:rPr>
        <w:t xml:space="preserve">computed tomography </w:t>
      </w:r>
      <w:r w:rsidRPr="00297C09">
        <w:rPr>
          <w:rFonts w:ascii="Book Antiqua" w:hAnsi="Book Antiqua"/>
          <w:b/>
          <w:sz w:val="24"/>
          <w:szCs w:val="24"/>
          <w:lang w:val="en-US"/>
        </w:rPr>
        <w:t>-guided core needle biopsy of a pancreatic lesion using direct access.</w:t>
      </w:r>
      <w:r w:rsidRPr="00297C09">
        <w:rPr>
          <w:rFonts w:ascii="Book Antiqua" w:hAnsi="Book Antiqua"/>
          <w:sz w:val="24"/>
          <w:szCs w:val="24"/>
          <w:lang w:val="en-US"/>
        </w:rPr>
        <w:t xml:space="preserve"> Non-enhanced axial </w:t>
      </w:r>
      <w:r w:rsidR="001A1A00">
        <w:rPr>
          <w:rFonts w:ascii="Book Antiqua" w:hAnsi="Book Antiqua"/>
          <w:sz w:val="24"/>
          <w:szCs w:val="24"/>
          <w:lang w:val="en-US"/>
        </w:rPr>
        <w:t>computed tomography</w:t>
      </w:r>
      <w:r w:rsidR="00361694">
        <w:rPr>
          <w:rFonts w:ascii="Book Antiqua" w:eastAsiaTheme="minorEastAsia" w:hAnsi="Book Antiqua" w:hint="eastAsia"/>
          <w:sz w:val="24"/>
          <w:szCs w:val="24"/>
          <w:lang w:val="en-US" w:eastAsia="zh-CN"/>
        </w:rPr>
        <w:t xml:space="preserve"> </w:t>
      </w:r>
      <w:r w:rsidRPr="00297C09">
        <w:rPr>
          <w:rFonts w:ascii="Book Antiqua" w:hAnsi="Book Antiqua"/>
          <w:sz w:val="24"/>
          <w:szCs w:val="24"/>
          <w:lang w:val="en-US"/>
        </w:rPr>
        <w:t>of the upper abdomen showing an anteriorly inserted coaxial needle (17 G) that is placed directly over the lesion located at the head of the pancreas (arrow).</w:t>
      </w:r>
    </w:p>
    <w:p w:rsidR="00E95D22" w:rsidRPr="009C2061" w:rsidRDefault="009C2061" w:rsidP="00E95D22">
      <w:pPr>
        <w:pStyle w:val="a4"/>
        <w:snapToGrid w:val="0"/>
        <w:spacing w:before="0" w:beforeAutospacing="0" w:after="0" w:afterAutospacing="0" w:line="360" w:lineRule="auto"/>
        <w:contextualSpacing/>
        <w:rPr>
          <w:rFonts w:ascii="Book Antiqua" w:eastAsiaTheme="minorEastAsia" w:hAnsi="Book Antiqua"/>
          <w:b/>
          <w:sz w:val="24"/>
          <w:szCs w:val="24"/>
          <w:lang w:val="en-US" w:eastAsia="zh-CN"/>
        </w:rPr>
      </w:pPr>
      <w:r w:rsidRPr="00297C09">
        <w:rPr>
          <w:rFonts w:ascii="Book Antiqua" w:hAnsi="Book Antiqua"/>
          <w:b/>
          <w:noProof/>
          <w:sz w:val="24"/>
          <w:szCs w:val="24"/>
          <w:lang w:val="en-US" w:eastAsia="zh-CN"/>
        </w:rPr>
        <w:drawing>
          <wp:inline distT="0" distB="0" distL="0" distR="0" wp14:anchorId="747EE25F" wp14:editId="42BF3AB1">
            <wp:extent cx="3905250" cy="2924175"/>
            <wp:effectExtent l="0" t="0" r="0" b="9525"/>
            <wp:docPr id="7" name="图片 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r w:rsidRPr="009C2061">
        <w:rPr>
          <w:rFonts w:ascii="Book Antiqua" w:hAnsi="Book Antiqua"/>
          <w:b/>
          <w:noProof/>
          <w:sz w:val="24"/>
          <w:szCs w:val="24"/>
          <w:lang w:val="en-US" w:eastAsia="zh-CN"/>
        </w:rPr>
        <w:t xml:space="preserve"> </w:t>
      </w:r>
    </w:p>
    <w:p w:rsidR="009C2061" w:rsidRDefault="009C2061" w:rsidP="00E95D22">
      <w:pPr>
        <w:pStyle w:val="a4"/>
        <w:snapToGrid w:val="0"/>
        <w:spacing w:before="0" w:beforeAutospacing="0" w:after="0" w:afterAutospacing="0" w:line="360" w:lineRule="auto"/>
        <w:contextualSpacing/>
        <w:jc w:val="both"/>
        <w:rPr>
          <w:rFonts w:ascii="Book Antiqua" w:eastAsiaTheme="minorEastAsia" w:hAnsi="Book Antiqua"/>
          <w:b/>
          <w:sz w:val="24"/>
          <w:szCs w:val="24"/>
          <w:lang w:val="en-US" w:eastAsia="zh-CN"/>
        </w:rPr>
      </w:pPr>
    </w:p>
    <w:p w:rsidR="009C2061" w:rsidRDefault="009C2061" w:rsidP="00E95D22">
      <w:pPr>
        <w:pStyle w:val="a4"/>
        <w:snapToGrid w:val="0"/>
        <w:spacing w:before="0" w:beforeAutospacing="0" w:after="0" w:afterAutospacing="0" w:line="360" w:lineRule="auto"/>
        <w:contextualSpacing/>
        <w:jc w:val="both"/>
        <w:rPr>
          <w:rFonts w:ascii="Book Antiqua" w:eastAsiaTheme="minorEastAsia" w:hAnsi="Book Antiqua"/>
          <w:b/>
          <w:sz w:val="24"/>
          <w:szCs w:val="24"/>
          <w:lang w:val="en-US" w:eastAsia="zh-CN"/>
        </w:rPr>
      </w:pPr>
    </w:p>
    <w:p w:rsidR="00E95D22" w:rsidRPr="00297C09" w:rsidRDefault="00E95D22"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sz w:val="24"/>
          <w:szCs w:val="24"/>
          <w:lang w:val="en-US"/>
        </w:rPr>
        <w:t>Figure 2</w:t>
      </w:r>
      <w:r w:rsidRPr="00297C09">
        <w:rPr>
          <w:rFonts w:ascii="Book Antiqua" w:hAnsi="Book Antiqua"/>
          <w:sz w:val="24"/>
          <w:szCs w:val="24"/>
          <w:lang w:val="en-US"/>
        </w:rPr>
        <w:t xml:space="preserve"> </w:t>
      </w:r>
      <w:r w:rsidRPr="00297C09">
        <w:rPr>
          <w:rFonts w:ascii="Book Antiqua" w:hAnsi="Book Antiqua"/>
          <w:b/>
          <w:sz w:val="24"/>
          <w:szCs w:val="24"/>
          <w:lang w:val="en-US"/>
        </w:rPr>
        <w:t xml:space="preserve">Percutaneous </w:t>
      </w:r>
      <w:r w:rsidR="009C2061" w:rsidRPr="009C2061">
        <w:rPr>
          <w:rFonts w:ascii="Book Antiqua" w:hAnsi="Book Antiqua"/>
          <w:b/>
          <w:sz w:val="24"/>
          <w:szCs w:val="24"/>
          <w:lang w:val="en-US"/>
        </w:rPr>
        <w:t>computed tomography</w:t>
      </w:r>
      <w:r w:rsidR="009C2061" w:rsidRPr="00297C09">
        <w:rPr>
          <w:rFonts w:ascii="Book Antiqua" w:hAnsi="Book Antiqua"/>
          <w:b/>
          <w:sz w:val="24"/>
          <w:szCs w:val="24"/>
          <w:lang w:val="en-US"/>
        </w:rPr>
        <w:t xml:space="preserve"> </w:t>
      </w:r>
      <w:r w:rsidRPr="00297C09">
        <w:rPr>
          <w:rFonts w:ascii="Book Antiqua" w:hAnsi="Book Antiqua"/>
          <w:b/>
          <w:sz w:val="24"/>
          <w:szCs w:val="24"/>
          <w:lang w:val="en-US"/>
        </w:rPr>
        <w:t xml:space="preserve">-guided core needle biopsy of a pancreatic lesion using </w:t>
      </w:r>
      <w:proofErr w:type="spellStart"/>
      <w:r w:rsidRPr="00297C09">
        <w:rPr>
          <w:rFonts w:ascii="Book Antiqua" w:hAnsi="Book Antiqua"/>
          <w:b/>
          <w:sz w:val="24"/>
          <w:szCs w:val="24"/>
          <w:lang w:val="en-US"/>
        </w:rPr>
        <w:t>hydrodissection</w:t>
      </w:r>
      <w:proofErr w:type="spellEnd"/>
      <w:r w:rsidRPr="00297C09">
        <w:rPr>
          <w:rFonts w:ascii="Book Antiqua" w:hAnsi="Book Antiqua"/>
          <w:b/>
          <w:sz w:val="24"/>
          <w:szCs w:val="24"/>
          <w:lang w:val="en-US"/>
        </w:rPr>
        <w:t>.</w:t>
      </w:r>
      <w:r w:rsidRPr="00297C09">
        <w:rPr>
          <w:rFonts w:ascii="Book Antiqua" w:hAnsi="Book Antiqua"/>
          <w:sz w:val="24"/>
          <w:szCs w:val="24"/>
          <w:lang w:val="en-US"/>
        </w:rPr>
        <w:t xml:space="preserve"> A</w:t>
      </w:r>
      <w:r w:rsidRPr="00297C09">
        <w:rPr>
          <w:rFonts w:ascii="Book Antiqua" w:hAnsi="Book Antiqua"/>
          <w:sz w:val="24"/>
          <w:szCs w:val="24"/>
          <w:lang w:val="en-US" w:eastAsia="zh-CN"/>
        </w:rPr>
        <w:t>:</w:t>
      </w:r>
      <w:r w:rsidRPr="00297C09">
        <w:rPr>
          <w:rFonts w:ascii="Book Antiqua" w:hAnsi="Book Antiqua"/>
          <w:sz w:val="24"/>
          <w:szCs w:val="24"/>
          <w:lang w:val="en-US"/>
        </w:rPr>
        <w:t xml:space="preserve"> Contrast-enhanced </w:t>
      </w:r>
      <w:r w:rsidR="009C2061" w:rsidRPr="009C2061">
        <w:rPr>
          <w:rFonts w:ascii="Book Antiqua" w:hAnsi="Book Antiqua"/>
          <w:sz w:val="24"/>
          <w:szCs w:val="24"/>
          <w:lang w:val="en-US"/>
        </w:rPr>
        <w:t xml:space="preserve">computed tomography </w:t>
      </w:r>
      <w:r w:rsidR="009C2061">
        <w:rPr>
          <w:rFonts w:ascii="Book Antiqua" w:eastAsiaTheme="minorEastAsia" w:hAnsi="Book Antiqua" w:hint="eastAsia"/>
          <w:sz w:val="24"/>
          <w:szCs w:val="24"/>
          <w:lang w:val="en-US" w:eastAsia="zh-CN"/>
        </w:rPr>
        <w:t>(</w:t>
      </w:r>
      <w:r w:rsidRPr="00297C09">
        <w:rPr>
          <w:rFonts w:ascii="Book Antiqua" w:hAnsi="Book Antiqua"/>
          <w:sz w:val="24"/>
          <w:szCs w:val="24"/>
          <w:lang w:val="en-US"/>
        </w:rPr>
        <w:t>CT</w:t>
      </w:r>
      <w:r w:rsidR="009C2061">
        <w:rPr>
          <w:rFonts w:ascii="Book Antiqua" w:eastAsiaTheme="minorEastAsia" w:hAnsi="Book Antiqua" w:hint="eastAsia"/>
          <w:sz w:val="24"/>
          <w:szCs w:val="24"/>
          <w:lang w:val="en-US" w:eastAsia="zh-CN"/>
        </w:rPr>
        <w:t>)</w:t>
      </w:r>
      <w:r w:rsidRPr="00297C09">
        <w:rPr>
          <w:rFonts w:ascii="Book Antiqua" w:hAnsi="Book Antiqua"/>
          <w:sz w:val="24"/>
          <w:szCs w:val="24"/>
          <w:lang w:val="en-US"/>
        </w:rPr>
        <w:t xml:space="preserve"> showing an expansive lesion in the tail of the pancreas (arrows). An anterior approach was considered difficult because of the interposition of the intestine in the supine position, therefore, a posterior approach was used</w:t>
      </w:r>
      <w:r w:rsidRPr="00297C09">
        <w:rPr>
          <w:rFonts w:ascii="Book Antiqua" w:hAnsi="Book Antiqua"/>
          <w:sz w:val="24"/>
          <w:szCs w:val="24"/>
          <w:lang w:val="en-US" w:eastAsia="zh-CN"/>
        </w:rPr>
        <w:t xml:space="preserve">; </w:t>
      </w:r>
      <w:r w:rsidRPr="00297C09">
        <w:rPr>
          <w:rFonts w:ascii="Book Antiqua" w:hAnsi="Book Antiqua"/>
          <w:sz w:val="24"/>
          <w:szCs w:val="24"/>
          <w:lang w:val="en-US"/>
        </w:rPr>
        <w:t>B</w:t>
      </w:r>
      <w:r w:rsidRPr="00297C09">
        <w:rPr>
          <w:rFonts w:ascii="Book Antiqua" w:hAnsi="Book Antiqua"/>
          <w:sz w:val="24"/>
          <w:szCs w:val="24"/>
          <w:lang w:val="en-US" w:eastAsia="zh-CN"/>
        </w:rPr>
        <w:t>:</w:t>
      </w:r>
      <w:r w:rsidRPr="00297C09">
        <w:rPr>
          <w:rFonts w:ascii="Book Antiqua" w:hAnsi="Book Antiqua"/>
          <w:sz w:val="24"/>
          <w:szCs w:val="24"/>
          <w:lang w:val="en-US"/>
        </w:rPr>
        <w:t xml:space="preserve"> Non-enhanced axial CT of the upper abdomen in the prone position showing a lesion located in the tail of the pancreas (arrow)</w:t>
      </w:r>
      <w:r w:rsidRPr="00297C09">
        <w:rPr>
          <w:rFonts w:ascii="Book Antiqua" w:hAnsi="Book Antiqua"/>
          <w:sz w:val="24"/>
          <w:szCs w:val="24"/>
          <w:lang w:val="en-US" w:eastAsia="zh-CN"/>
        </w:rPr>
        <w:t>;</w:t>
      </w:r>
      <w:r w:rsidRPr="00297C09">
        <w:rPr>
          <w:rFonts w:ascii="Book Antiqua" w:hAnsi="Book Antiqua"/>
          <w:sz w:val="24"/>
          <w:szCs w:val="24"/>
          <w:lang w:val="en-US"/>
        </w:rPr>
        <w:t xml:space="preserve"> C</w:t>
      </w:r>
      <w:r w:rsidRPr="00297C09">
        <w:rPr>
          <w:rFonts w:ascii="Book Antiqua" w:hAnsi="Book Antiqua"/>
          <w:sz w:val="24"/>
          <w:szCs w:val="24"/>
          <w:lang w:val="en-US" w:eastAsia="zh-CN"/>
        </w:rPr>
        <w:t>:</w:t>
      </w:r>
      <w:r w:rsidRPr="00297C09">
        <w:rPr>
          <w:rFonts w:ascii="Book Antiqua" w:hAnsi="Book Antiqua"/>
          <w:sz w:val="24"/>
          <w:szCs w:val="24"/>
          <w:lang w:val="en-US"/>
        </w:rPr>
        <w:t xml:space="preserve"> Coaxial needle (17 G) positioned in the pillar of the diaphragm, where saline solution was injected to enlarge the paravertebral space, enabling an unobstructed needle path</w:t>
      </w:r>
      <w:r w:rsidRPr="00297C09">
        <w:rPr>
          <w:rFonts w:ascii="Book Antiqua" w:hAnsi="Book Antiqua"/>
          <w:sz w:val="24"/>
          <w:szCs w:val="24"/>
          <w:lang w:val="en-US" w:eastAsia="zh-CN"/>
        </w:rPr>
        <w:t>;</w:t>
      </w:r>
      <w:r w:rsidRPr="00297C09">
        <w:rPr>
          <w:rFonts w:ascii="Book Antiqua" w:hAnsi="Book Antiqua"/>
          <w:sz w:val="24"/>
          <w:szCs w:val="24"/>
          <w:lang w:val="en-US"/>
        </w:rPr>
        <w:t xml:space="preserve"> D</w:t>
      </w:r>
      <w:r w:rsidRPr="00297C09">
        <w:rPr>
          <w:rFonts w:ascii="Book Antiqua" w:hAnsi="Book Antiqua"/>
          <w:sz w:val="24"/>
          <w:szCs w:val="24"/>
          <w:lang w:val="en-US" w:eastAsia="zh-CN"/>
        </w:rPr>
        <w:t>:</w:t>
      </w:r>
      <w:r w:rsidRPr="00297C09">
        <w:rPr>
          <w:rFonts w:ascii="Book Antiqua" w:hAnsi="Book Antiqua"/>
          <w:sz w:val="24"/>
          <w:szCs w:val="24"/>
          <w:lang w:val="en-US"/>
        </w:rPr>
        <w:t xml:space="preserve"> Biopsy needle (18 G) placed adjacent to the pancreatic lesion. </w:t>
      </w:r>
    </w:p>
    <w:p w:rsidR="00E95D22" w:rsidRPr="00297C09" w:rsidRDefault="009C2061"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noProof/>
          <w:sz w:val="24"/>
          <w:szCs w:val="24"/>
          <w:lang w:val="en-US" w:eastAsia="zh-CN"/>
        </w:rPr>
        <w:lastRenderedPageBreak/>
        <w:drawing>
          <wp:inline distT="0" distB="0" distL="0" distR="0" wp14:anchorId="3D3B6C98" wp14:editId="2BC1EA52">
            <wp:extent cx="5038725" cy="3590925"/>
            <wp:effectExtent l="0" t="0" r="9525" b="9525"/>
            <wp:docPr id="6" name="图片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3590925"/>
                    </a:xfrm>
                    <a:prstGeom prst="rect">
                      <a:avLst/>
                    </a:prstGeom>
                    <a:noFill/>
                    <a:ln>
                      <a:noFill/>
                    </a:ln>
                  </pic:spPr>
                </pic:pic>
              </a:graphicData>
            </a:graphic>
          </wp:inline>
        </w:drawing>
      </w:r>
    </w:p>
    <w:p w:rsidR="009C2061" w:rsidRDefault="009C2061" w:rsidP="00E95D22">
      <w:pPr>
        <w:snapToGrid w:val="0"/>
        <w:spacing w:after="0" w:line="360" w:lineRule="auto"/>
        <w:contextualSpacing/>
        <w:jc w:val="both"/>
        <w:rPr>
          <w:rFonts w:ascii="Book Antiqua" w:hAnsi="Book Antiqua" w:cs="Times New Roman"/>
          <w:b/>
          <w:color w:val="auto"/>
          <w:sz w:val="24"/>
          <w:szCs w:val="24"/>
          <w:lang w:val="en-US" w:eastAsia="zh-CN"/>
        </w:rPr>
      </w:pP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r w:rsidRPr="00297C09">
        <w:rPr>
          <w:rFonts w:ascii="Book Antiqua" w:hAnsi="Book Antiqua" w:cs="Times New Roman"/>
          <w:b/>
          <w:color w:val="auto"/>
          <w:sz w:val="24"/>
          <w:szCs w:val="24"/>
          <w:lang w:val="en-US"/>
        </w:rPr>
        <w:t>Figure 3</w:t>
      </w:r>
      <w:r w:rsidRPr="00297C09">
        <w:rPr>
          <w:rFonts w:ascii="Book Antiqua" w:hAnsi="Book Antiqua" w:cs="Times New Roman"/>
          <w:b/>
          <w:color w:val="auto"/>
          <w:sz w:val="24"/>
          <w:szCs w:val="24"/>
          <w:lang w:val="en-US" w:eastAsia="zh-CN"/>
        </w:rPr>
        <w:t xml:space="preserve"> </w:t>
      </w:r>
      <w:r w:rsidRPr="00297C09">
        <w:rPr>
          <w:rFonts w:ascii="Book Antiqua" w:hAnsi="Book Antiqua" w:cs="Times New Roman"/>
          <w:b/>
          <w:color w:val="auto"/>
          <w:sz w:val="24"/>
          <w:szCs w:val="24"/>
          <w:lang w:val="en-US"/>
        </w:rPr>
        <w:t xml:space="preserve">Percutaneous </w:t>
      </w:r>
      <w:r w:rsidR="009C2061" w:rsidRPr="009C2061">
        <w:rPr>
          <w:rFonts w:ascii="Book Antiqua" w:hAnsi="Book Antiqua"/>
          <w:b/>
          <w:sz w:val="24"/>
          <w:szCs w:val="24"/>
          <w:lang w:val="en-US"/>
        </w:rPr>
        <w:t>computed tomography</w:t>
      </w:r>
      <w:r w:rsidRPr="00297C09">
        <w:rPr>
          <w:rFonts w:ascii="Book Antiqua" w:hAnsi="Book Antiqua" w:cs="Times New Roman"/>
          <w:b/>
          <w:color w:val="auto"/>
          <w:sz w:val="24"/>
          <w:szCs w:val="24"/>
          <w:lang w:val="en-US"/>
        </w:rPr>
        <w:t xml:space="preserve">-guided core needle biopsy of a pancreatic lesion using </w:t>
      </w:r>
      <w:proofErr w:type="spellStart"/>
      <w:r w:rsidRPr="00297C09">
        <w:rPr>
          <w:rFonts w:ascii="Book Antiqua" w:hAnsi="Book Antiqua" w:cs="Times New Roman"/>
          <w:b/>
          <w:color w:val="auto"/>
          <w:sz w:val="24"/>
          <w:szCs w:val="24"/>
          <w:lang w:val="en-US"/>
        </w:rPr>
        <w:t>pneumodissection</w:t>
      </w:r>
      <w:proofErr w:type="spellEnd"/>
      <w:r w:rsidRPr="00297C09">
        <w:rPr>
          <w:rFonts w:ascii="Book Antiqua" w:hAnsi="Book Antiqua" w:cs="Times New Roman"/>
          <w:b/>
          <w:color w:val="auto"/>
          <w:sz w:val="24"/>
          <w:szCs w:val="24"/>
          <w:lang w:val="en-US"/>
        </w:rPr>
        <w:t>.</w:t>
      </w:r>
      <w:r w:rsidRPr="00297C09">
        <w:rPr>
          <w:rFonts w:ascii="Book Antiqua" w:hAnsi="Book Antiqua" w:cs="Times New Roman"/>
          <w:color w:val="auto"/>
          <w:sz w:val="24"/>
          <w:szCs w:val="24"/>
          <w:lang w:val="en-US"/>
        </w:rPr>
        <w:t xml:space="preserve"> A</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 xml:space="preserve"> Contrast-enhanced magnetic resonance axial image showing a heterogeneous lesion in the body of the pancreas (arrow). The anterior approach was considered difficult because of the interposition of the intestine in the supine position, therefore, a posterior approach was used</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 xml:space="preserve"> B</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 xml:space="preserve"> Non-enhanced axial </w:t>
      </w:r>
      <w:r w:rsidR="009C2061" w:rsidRPr="009C2061">
        <w:rPr>
          <w:rFonts w:ascii="Book Antiqua" w:hAnsi="Book Antiqua"/>
          <w:sz w:val="24"/>
          <w:szCs w:val="24"/>
          <w:lang w:val="en-US"/>
        </w:rPr>
        <w:t xml:space="preserve">computed tomography </w:t>
      </w:r>
      <w:r w:rsidRPr="00297C09">
        <w:rPr>
          <w:rFonts w:ascii="Book Antiqua" w:hAnsi="Book Antiqua" w:cs="Times New Roman"/>
          <w:color w:val="auto"/>
          <w:sz w:val="24"/>
          <w:szCs w:val="24"/>
          <w:lang w:val="en-US"/>
        </w:rPr>
        <w:t xml:space="preserve">in the prone position showing the pancreatic lesion (arrow) and the coaxial needle (17 G) positioned in the left </w:t>
      </w:r>
      <w:proofErr w:type="spellStart"/>
      <w:r w:rsidRPr="00297C09">
        <w:rPr>
          <w:rFonts w:ascii="Book Antiqua" w:hAnsi="Book Antiqua" w:cs="Times New Roman"/>
          <w:color w:val="auto"/>
          <w:sz w:val="24"/>
          <w:szCs w:val="24"/>
          <w:lang w:val="en-US"/>
        </w:rPr>
        <w:t>pararenal</w:t>
      </w:r>
      <w:proofErr w:type="spellEnd"/>
      <w:r w:rsidRPr="00297C09">
        <w:rPr>
          <w:rFonts w:ascii="Book Antiqua" w:hAnsi="Book Antiqua" w:cs="Times New Roman"/>
          <w:color w:val="auto"/>
          <w:sz w:val="24"/>
          <w:szCs w:val="24"/>
          <w:lang w:val="en-US"/>
        </w:rPr>
        <w:t xml:space="preserve"> space, where air was injected to displace the kidney and adjacent vessels</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 xml:space="preserve"> C</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 xml:space="preserve"> Biopsy needle (18 G) placed adjacent to the pancreatic lesion.</w:t>
      </w:r>
    </w:p>
    <w:p w:rsidR="00E95D22" w:rsidRPr="00297C09" w:rsidRDefault="009C2061"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noProof/>
          <w:sz w:val="24"/>
          <w:szCs w:val="24"/>
          <w:lang w:val="en-US" w:eastAsia="zh-CN"/>
        </w:rPr>
        <w:drawing>
          <wp:inline distT="0" distB="0" distL="0" distR="0" wp14:anchorId="4947233B" wp14:editId="491F674C">
            <wp:extent cx="5755640" cy="1497184"/>
            <wp:effectExtent l="0" t="0" r="0" b="8255"/>
            <wp:docPr id="5" name="图片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1497184"/>
                    </a:xfrm>
                    <a:prstGeom prst="rect">
                      <a:avLst/>
                    </a:prstGeom>
                    <a:noFill/>
                    <a:ln>
                      <a:noFill/>
                    </a:ln>
                  </pic:spPr>
                </pic:pic>
              </a:graphicData>
            </a:graphic>
          </wp:inline>
        </w:drawing>
      </w:r>
    </w:p>
    <w:p w:rsidR="009C2061" w:rsidRDefault="009C2061" w:rsidP="00E95D22">
      <w:pPr>
        <w:snapToGrid w:val="0"/>
        <w:spacing w:after="0" w:line="360" w:lineRule="auto"/>
        <w:contextualSpacing/>
        <w:jc w:val="both"/>
        <w:rPr>
          <w:rFonts w:ascii="Book Antiqua" w:hAnsi="Book Antiqua" w:cs="Times New Roman"/>
          <w:b/>
          <w:color w:val="auto"/>
          <w:sz w:val="24"/>
          <w:szCs w:val="24"/>
          <w:lang w:val="en-US" w:eastAsia="zh-CN"/>
        </w:rPr>
      </w:pPr>
    </w:p>
    <w:p w:rsidR="009C2061" w:rsidRDefault="009C2061">
      <w:pPr>
        <w:suppressAutoHyphens w:val="0"/>
        <w:spacing w:after="0" w:line="240" w:lineRule="auto"/>
        <w:rPr>
          <w:rFonts w:ascii="Book Antiqua" w:hAnsi="Book Antiqua" w:cs="Times New Roman"/>
          <w:b/>
          <w:color w:val="auto"/>
          <w:sz w:val="24"/>
          <w:szCs w:val="24"/>
          <w:lang w:val="en-US" w:eastAsia="zh-CN"/>
        </w:rPr>
      </w:pPr>
      <w:r>
        <w:rPr>
          <w:rFonts w:ascii="Book Antiqua" w:hAnsi="Book Antiqua" w:cs="Times New Roman"/>
          <w:b/>
          <w:color w:val="auto"/>
          <w:sz w:val="24"/>
          <w:szCs w:val="24"/>
          <w:lang w:val="en-US" w:eastAsia="zh-CN"/>
        </w:rPr>
        <w:br w:type="page"/>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r w:rsidRPr="00297C09">
        <w:rPr>
          <w:rFonts w:ascii="Book Antiqua" w:hAnsi="Book Antiqua" w:cs="Times New Roman"/>
          <w:b/>
          <w:color w:val="auto"/>
          <w:sz w:val="24"/>
          <w:szCs w:val="24"/>
          <w:lang w:val="en-US"/>
        </w:rPr>
        <w:lastRenderedPageBreak/>
        <w:t>Figure 4</w:t>
      </w:r>
      <w:r w:rsidRPr="00297C09">
        <w:rPr>
          <w:rFonts w:ascii="Book Antiqua" w:hAnsi="Book Antiqua" w:cs="Times New Roman"/>
          <w:color w:val="auto"/>
          <w:sz w:val="24"/>
          <w:szCs w:val="24"/>
          <w:lang w:val="en-US"/>
        </w:rPr>
        <w:t xml:space="preserve"> </w:t>
      </w:r>
      <w:r w:rsidRPr="00297C09">
        <w:rPr>
          <w:rFonts w:ascii="Book Antiqua" w:hAnsi="Book Antiqua" w:cs="Times New Roman"/>
          <w:b/>
          <w:color w:val="auto"/>
          <w:sz w:val="24"/>
          <w:szCs w:val="24"/>
          <w:lang w:val="en-US"/>
        </w:rPr>
        <w:t xml:space="preserve">Percutaneous </w:t>
      </w:r>
      <w:r w:rsidR="009C2061" w:rsidRPr="009C2061">
        <w:rPr>
          <w:rFonts w:ascii="Book Antiqua" w:hAnsi="Book Antiqua"/>
          <w:b/>
          <w:sz w:val="24"/>
          <w:szCs w:val="24"/>
          <w:lang w:val="en-US"/>
        </w:rPr>
        <w:t>computed tomography</w:t>
      </w:r>
      <w:r w:rsidRPr="00297C09">
        <w:rPr>
          <w:rFonts w:ascii="Book Antiqua" w:hAnsi="Book Antiqua" w:cs="Times New Roman"/>
          <w:b/>
          <w:color w:val="auto"/>
          <w:sz w:val="24"/>
          <w:szCs w:val="24"/>
          <w:lang w:val="en-US"/>
        </w:rPr>
        <w:t xml:space="preserve">-guided core needle biopsy of a pancreatic lesion using </w:t>
      </w:r>
      <w:proofErr w:type="spellStart"/>
      <w:r w:rsidRPr="00297C09">
        <w:rPr>
          <w:rFonts w:ascii="Book Antiqua" w:hAnsi="Book Antiqua" w:cs="Times New Roman"/>
          <w:b/>
          <w:color w:val="auto"/>
          <w:sz w:val="24"/>
          <w:szCs w:val="24"/>
          <w:lang w:val="en-US"/>
        </w:rPr>
        <w:t>transhepatic</w:t>
      </w:r>
      <w:proofErr w:type="spellEnd"/>
      <w:r w:rsidRPr="00297C09">
        <w:rPr>
          <w:rFonts w:ascii="Book Antiqua" w:hAnsi="Book Antiqua" w:cs="Times New Roman"/>
          <w:b/>
          <w:color w:val="auto"/>
          <w:sz w:val="24"/>
          <w:szCs w:val="24"/>
          <w:lang w:val="en-US"/>
        </w:rPr>
        <w:t xml:space="preserve"> access.</w:t>
      </w:r>
      <w:r w:rsidRPr="00297C09">
        <w:rPr>
          <w:rFonts w:ascii="Book Antiqua" w:hAnsi="Book Antiqua" w:cs="Times New Roman"/>
          <w:color w:val="auto"/>
          <w:sz w:val="24"/>
          <w:szCs w:val="24"/>
          <w:lang w:val="en-US"/>
        </w:rPr>
        <w:t xml:space="preserve"> A</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 xml:space="preserve"> Contrast-enhanced </w:t>
      </w:r>
      <w:r w:rsidR="000A7220">
        <w:rPr>
          <w:rFonts w:ascii="Book Antiqua" w:hAnsi="Book Antiqua"/>
          <w:sz w:val="24"/>
          <w:szCs w:val="24"/>
          <w:lang w:val="en-US"/>
        </w:rPr>
        <w:t>computed tomography</w:t>
      </w:r>
      <w:r w:rsidRPr="00297C09">
        <w:rPr>
          <w:rFonts w:ascii="Book Antiqua" w:hAnsi="Book Antiqua" w:cs="Times New Roman"/>
          <w:color w:val="auto"/>
          <w:sz w:val="24"/>
          <w:szCs w:val="24"/>
          <w:lang w:val="en-US"/>
        </w:rPr>
        <w:t xml:space="preserve"> showing an expansive lesion in the head and body of the pancreas (arrows). As the patient could not stay in the prone position, the posterior approach was not possible. Therefore, an anterior </w:t>
      </w:r>
      <w:proofErr w:type="spellStart"/>
      <w:r w:rsidRPr="00297C09">
        <w:rPr>
          <w:rFonts w:ascii="Book Antiqua" w:hAnsi="Book Antiqua" w:cs="Times New Roman"/>
          <w:color w:val="auto"/>
          <w:sz w:val="24"/>
          <w:szCs w:val="24"/>
          <w:lang w:val="en-US"/>
        </w:rPr>
        <w:t>transhepatic</w:t>
      </w:r>
      <w:proofErr w:type="spellEnd"/>
      <w:r w:rsidRPr="00297C09">
        <w:rPr>
          <w:rFonts w:ascii="Book Antiqua" w:hAnsi="Book Antiqua" w:cs="Times New Roman"/>
          <w:color w:val="auto"/>
          <w:sz w:val="24"/>
          <w:szCs w:val="24"/>
          <w:lang w:val="en-US"/>
        </w:rPr>
        <w:t xml:space="preserve"> approach was used</w:t>
      </w:r>
      <w:r w:rsidRPr="00297C09">
        <w:rPr>
          <w:rFonts w:ascii="Book Antiqua" w:hAnsi="Book Antiqua" w:cs="Times New Roman"/>
          <w:color w:val="auto"/>
          <w:sz w:val="24"/>
          <w:szCs w:val="24"/>
          <w:lang w:val="en-US" w:eastAsia="zh-CN"/>
        </w:rPr>
        <w:t>;</w:t>
      </w:r>
      <w:r w:rsidRPr="00297C09">
        <w:rPr>
          <w:rFonts w:ascii="Book Antiqua" w:hAnsi="Book Antiqua" w:cs="Times New Roman"/>
          <w:color w:val="auto"/>
          <w:sz w:val="24"/>
          <w:szCs w:val="24"/>
          <w:lang w:val="en-US"/>
        </w:rPr>
        <w:t xml:space="preserve"> </w:t>
      </w:r>
      <w:r w:rsidRPr="00297C09">
        <w:rPr>
          <w:rFonts w:ascii="Book Antiqua" w:hAnsi="Book Antiqua" w:cs="Times New Roman"/>
          <w:color w:val="auto"/>
          <w:sz w:val="24"/>
          <w:szCs w:val="24"/>
          <w:lang w:val="en-US" w:eastAsia="zh-CN"/>
        </w:rPr>
        <w:t xml:space="preserve">B: </w:t>
      </w:r>
      <w:r w:rsidRPr="00297C09">
        <w:rPr>
          <w:rFonts w:ascii="Book Antiqua" w:hAnsi="Book Antiqua" w:cs="Times New Roman"/>
          <w:color w:val="auto"/>
          <w:sz w:val="24"/>
          <w:szCs w:val="24"/>
          <w:lang w:val="en-US"/>
        </w:rPr>
        <w:t xml:space="preserve">Biopsy needle (18 G) tip placed adjacent to the pancreatic lesion through the left liver lobe. </w:t>
      </w:r>
    </w:p>
    <w:p w:rsidR="00E95D22" w:rsidRPr="00297C09" w:rsidRDefault="009C2061"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noProof/>
          <w:sz w:val="24"/>
          <w:szCs w:val="24"/>
          <w:lang w:val="en-US" w:eastAsia="zh-CN"/>
        </w:rPr>
        <w:drawing>
          <wp:inline distT="0" distB="0" distL="0" distR="0" wp14:anchorId="54CAB8C8" wp14:editId="001FB943">
            <wp:extent cx="5755640" cy="2330945"/>
            <wp:effectExtent l="0" t="0" r="0"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2330945"/>
                    </a:xfrm>
                    <a:prstGeom prst="rect">
                      <a:avLst/>
                    </a:prstGeom>
                    <a:noFill/>
                    <a:ln>
                      <a:noFill/>
                    </a:ln>
                  </pic:spPr>
                </pic:pic>
              </a:graphicData>
            </a:graphic>
          </wp:inline>
        </w:drawing>
      </w:r>
    </w:p>
    <w:p w:rsidR="009C2061" w:rsidRDefault="009C2061" w:rsidP="00E95D22">
      <w:pPr>
        <w:pStyle w:val="a4"/>
        <w:snapToGrid w:val="0"/>
        <w:spacing w:before="0" w:beforeAutospacing="0" w:after="0" w:afterAutospacing="0" w:line="360" w:lineRule="auto"/>
        <w:contextualSpacing/>
        <w:jc w:val="both"/>
        <w:rPr>
          <w:rFonts w:ascii="Book Antiqua" w:eastAsiaTheme="minorEastAsia" w:hAnsi="Book Antiqua"/>
          <w:b/>
          <w:sz w:val="24"/>
          <w:szCs w:val="24"/>
          <w:lang w:val="en-US" w:eastAsia="zh-CN"/>
        </w:rPr>
      </w:pPr>
    </w:p>
    <w:p w:rsidR="00E95D22" w:rsidRPr="00297C09" w:rsidRDefault="00E95D22"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sz w:val="24"/>
          <w:szCs w:val="24"/>
          <w:lang w:val="en-US"/>
        </w:rPr>
        <w:t>Figure 5</w:t>
      </w:r>
      <w:r w:rsidRPr="00297C09">
        <w:rPr>
          <w:rFonts w:ascii="Book Antiqua" w:hAnsi="Book Antiqua"/>
          <w:sz w:val="24"/>
          <w:szCs w:val="24"/>
          <w:lang w:val="en-US"/>
        </w:rPr>
        <w:t xml:space="preserve"> </w:t>
      </w:r>
      <w:r w:rsidRPr="00297C09">
        <w:rPr>
          <w:rFonts w:ascii="Book Antiqua" w:hAnsi="Book Antiqua"/>
          <w:b/>
          <w:sz w:val="24"/>
          <w:szCs w:val="24"/>
          <w:lang w:val="en-US"/>
        </w:rPr>
        <w:t xml:space="preserve">Percutaneous </w:t>
      </w:r>
      <w:r w:rsidR="009C2061" w:rsidRPr="009C2061">
        <w:rPr>
          <w:rFonts w:ascii="Book Antiqua" w:hAnsi="Book Antiqua"/>
          <w:b/>
          <w:sz w:val="24"/>
          <w:szCs w:val="24"/>
          <w:lang w:val="en-US"/>
        </w:rPr>
        <w:t>computed tomography</w:t>
      </w:r>
      <w:r w:rsidRPr="00297C09">
        <w:rPr>
          <w:rFonts w:ascii="Book Antiqua" w:hAnsi="Book Antiqua"/>
          <w:b/>
          <w:sz w:val="24"/>
          <w:szCs w:val="24"/>
          <w:lang w:val="en-US"/>
        </w:rPr>
        <w:t xml:space="preserve">-guided core needle biopsy of a pancreatic lesion using </w:t>
      </w:r>
      <w:proofErr w:type="spellStart"/>
      <w:r w:rsidRPr="00297C09">
        <w:rPr>
          <w:rFonts w:ascii="Book Antiqua" w:hAnsi="Book Antiqua"/>
          <w:b/>
          <w:sz w:val="24"/>
          <w:szCs w:val="24"/>
          <w:lang w:val="en-US"/>
        </w:rPr>
        <w:t>transgastric</w:t>
      </w:r>
      <w:proofErr w:type="spellEnd"/>
      <w:r w:rsidRPr="00297C09">
        <w:rPr>
          <w:rFonts w:ascii="Book Antiqua" w:hAnsi="Book Antiqua"/>
          <w:b/>
          <w:sz w:val="24"/>
          <w:szCs w:val="24"/>
          <w:lang w:val="en-US"/>
        </w:rPr>
        <w:t xml:space="preserve"> access.</w:t>
      </w:r>
      <w:r w:rsidRPr="00297C09">
        <w:rPr>
          <w:rFonts w:ascii="Book Antiqua" w:hAnsi="Book Antiqua"/>
          <w:sz w:val="24"/>
          <w:szCs w:val="24"/>
          <w:lang w:val="en-US"/>
        </w:rPr>
        <w:t xml:space="preserve"> A</w:t>
      </w:r>
      <w:r w:rsidRPr="00297C09">
        <w:rPr>
          <w:rFonts w:ascii="Book Antiqua" w:hAnsi="Book Antiqua"/>
          <w:sz w:val="24"/>
          <w:szCs w:val="24"/>
          <w:lang w:val="en-US" w:eastAsia="zh-CN"/>
        </w:rPr>
        <w:t>:</w:t>
      </w:r>
      <w:r w:rsidRPr="00297C09">
        <w:rPr>
          <w:rFonts w:ascii="Book Antiqua" w:hAnsi="Book Antiqua"/>
          <w:sz w:val="24"/>
          <w:szCs w:val="24"/>
          <w:lang w:val="en-US"/>
        </w:rPr>
        <w:t xml:space="preserve"> Non-enhanced </w:t>
      </w:r>
      <w:r w:rsidR="00AF1D34">
        <w:rPr>
          <w:rFonts w:ascii="Book Antiqua" w:hAnsi="Book Antiqua"/>
          <w:sz w:val="24"/>
          <w:szCs w:val="24"/>
          <w:lang w:val="en-US"/>
        </w:rPr>
        <w:t>computed tomography</w:t>
      </w:r>
      <w:r w:rsidRPr="00297C09">
        <w:rPr>
          <w:rFonts w:ascii="Book Antiqua" w:hAnsi="Book Antiqua"/>
          <w:sz w:val="24"/>
          <w:szCs w:val="24"/>
          <w:lang w:val="en-US"/>
        </w:rPr>
        <w:t xml:space="preserve"> showing a poorly defined nodule in the body of the pancreas (arrow). A posterior approach was considered difficult because of the interposition of large vessels in the needle path in the prone position, therefore, an anterior </w:t>
      </w:r>
      <w:proofErr w:type="spellStart"/>
      <w:r w:rsidRPr="00297C09">
        <w:rPr>
          <w:rFonts w:ascii="Book Antiqua" w:hAnsi="Book Antiqua"/>
          <w:sz w:val="24"/>
          <w:szCs w:val="24"/>
          <w:lang w:val="en-US"/>
        </w:rPr>
        <w:t>transgastric</w:t>
      </w:r>
      <w:proofErr w:type="spellEnd"/>
      <w:r w:rsidRPr="00297C09">
        <w:rPr>
          <w:rFonts w:ascii="Book Antiqua" w:hAnsi="Book Antiqua"/>
          <w:sz w:val="24"/>
          <w:szCs w:val="24"/>
          <w:lang w:val="en-US"/>
        </w:rPr>
        <w:t xml:space="preserve"> approach was used</w:t>
      </w:r>
      <w:r w:rsidRPr="00297C09">
        <w:rPr>
          <w:rFonts w:ascii="Book Antiqua" w:hAnsi="Book Antiqua"/>
          <w:sz w:val="24"/>
          <w:szCs w:val="24"/>
          <w:lang w:val="en-US" w:eastAsia="zh-CN"/>
        </w:rPr>
        <w:t>;</w:t>
      </w:r>
      <w:r w:rsidRPr="00297C09">
        <w:rPr>
          <w:rFonts w:ascii="Book Antiqua" w:hAnsi="Book Antiqua"/>
          <w:sz w:val="24"/>
          <w:szCs w:val="24"/>
          <w:lang w:val="en-US"/>
        </w:rPr>
        <w:t xml:space="preserve"> </w:t>
      </w:r>
      <w:r w:rsidRPr="00297C09">
        <w:rPr>
          <w:rFonts w:ascii="Book Antiqua" w:hAnsi="Book Antiqua"/>
          <w:sz w:val="24"/>
          <w:szCs w:val="24"/>
          <w:lang w:val="en-US" w:eastAsia="zh-CN"/>
        </w:rPr>
        <w:t>B:</w:t>
      </w:r>
      <w:r w:rsidRPr="00297C09">
        <w:rPr>
          <w:rFonts w:ascii="Book Antiqua" w:hAnsi="Book Antiqua"/>
          <w:sz w:val="24"/>
          <w:szCs w:val="24"/>
          <w:lang w:val="en-US"/>
        </w:rPr>
        <w:t xml:space="preserve"> Biopsy needle (20 G) placed adjacent to the pancreatic lesion through the stomach. </w:t>
      </w:r>
    </w:p>
    <w:p w:rsidR="00E95D22" w:rsidRPr="00297C09" w:rsidRDefault="009C2061"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noProof/>
          <w:sz w:val="24"/>
          <w:szCs w:val="24"/>
          <w:lang w:val="en-US" w:eastAsia="zh-CN"/>
        </w:rPr>
        <w:drawing>
          <wp:inline distT="0" distB="0" distL="0" distR="0" wp14:anchorId="5C12E254" wp14:editId="5B81AA0D">
            <wp:extent cx="5755640" cy="2044059"/>
            <wp:effectExtent l="0" t="0" r="0" b="0"/>
            <wp:docPr id="3" name="图片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640" cy="2044059"/>
                    </a:xfrm>
                    <a:prstGeom prst="rect">
                      <a:avLst/>
                    </a:prstGeom>
                    <a:noFill/>
                    <a:ln>
                      <a:noFill/>
                    </a:ln>
                  </pic:spPr>
                </pic:pic>
              </a:graphicData>
            </a:graphic>
          </wp:inline>
        </w:drawing>
      </w:r>
    </w:p>
    <w:p w:rsidR="00E95D22" w:rsidRPr="00297C09" w:rsidRDefault="00E95D22"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sz w:val="24"/>
          <w:szCs w:val="24"/>
          <w:lang w:val="en-US"/>
        </w:rPr>
        <w:lastRenderedPageBreak/>
        <w:t>Figure 6</w:t>
      </w:r>
      <w:r w:rsidRPr="00297C09">
        <w:rPr>
          <w:rFonts w:ascii="Book Antiqua" w:hAnsi="Book Antiqua"/>
          <w:sz w:val="24"/>
          <w:szCs w:val="24"/>
          <w:lang w:val="en-US"/>
        </w:rPr>
        <w:t xml:space="preserve"> </w:t>
      </w:r>
      <w:r w:rsidRPr="00297C09">
        <w:rPr>
          <w:rFonts w:ascii="Book Antiqua" w:hAnsi="Book Antiqua"/>
          <w:b/>
          <w:sz w:val="24"/>
          <w:szCs w:val="24"/>
          <w:lang w:val="en-US"/>
        </w:rPr>
        <w:t>Biopsied specimens of</w:t>
      </w:r>
      <w:r w:rsidRPr="00297C09">
        <w:rPr>
          <w:rFonts w:ascii="Book Antiqua" w:hAnsi="Book Antiqua"/>
          <w:sz w:val="24"/>
          <w:szCs w:val="24"/>
          <w:lang w:val="en-US"/>
        </w:rPr>
        <w:t xml:space="preserve"> </w:t>
      </w:r>
      <w:r w:rsidRPr="00297C09">
        <w:rPr>
          <w:rFonts w:ascii="Book Antiqua" w:hAnsi="Book Antiqua"/>
          <w:b/>
          <w:sz w:val="24"/>
          <w:szCs w:val="24"/>
          <w:lang w:val="en-US"/>
        </w:rPr>
        <w:t xml:space="preserve">a percutaneous </w:t>
      </w:r>
      <w:r w:rsidR="009C2061" w:rsidRPr="009C2061">
        <w:rPr>
          <w:rFonts w:ascii="Book Antiqua" w:hAnsi="Book Antiqua"/>
          <w:b/>
          <w:sz w:val="24"/>
          <w:szCs w:val="24"/>
          <w:lang w:val="en-US"/>
        </w:rPr>
        <w:t>computed tomography</w:t>
      </w:r>
      <w:r w:rsidRPr="00297C09">
        <w:rPr>
          <w:rFonts w:ascii="Book Antiqua" w:hAnsi="Book Antiqua"/>
          <w:b/>
          <w:sz w:val="24"/>
          <w:szCs w:val="24"/>
          <w:lang w:val="en-US"/>
        </w:rPr>
        <w:t>-guided core-needle biopsy of a pancreatic lesion.</w:t>
      </w:r>
      <w:r w:rsidRPr="00297C09">
        <w:rPr>
          <w:rFonts w:ascii="Book Antiqua" w:hAnsi="Book Antiqua"/>
          <w:sz w:val="24"/>
          <w:szCs w:val="24"/>
          <w:lang w:val="en-US"/>
        </w:rPr>
        <w:t xml:space="preserve"> </w:t>
      </w:r>
    </w:p>
    <w:p w:rsidR="00E95D22" w:rsidRPr="00297C09" w:rsidRDefault="009C2061" w:rsidP="00E95D22">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eastAsia="宋体" w:hAnsi="Book Antiqua"/>
          <w:b/>
          <w:noProof/>
          <w:sz w:val="24"/>
          <w:szCs w:val="24"/>
          <w:lang w:val="en-US" w:eastAsia="zh-CN"/>
        </w:rPr>
        <w:drawing>
          <wp:inline distT="0" distB="0" distL="0" distR="0" wp14:anchorId="18658E6A" wp14:editId="0B153C3F">
            <wp:extent cx="4114800" cy="2809875"/>
            <wp:effectExtent l="0" t="0" r="0" b="9525"/>
            <wp:docPr id="2" name="图片 2" descr="Figure f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r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809875"/>
                    </a:xfrm>
                    <a:prstGeom prst="rect">
                      <a:avLst/>
                    </a:prstGeom>
                    <a:noFill/>
                    <a:ln>
                      <a:noFill/>
                    </a:ln>
                  </pic:spPr>
                </pic:pic>
              </a:graphicData>
            </a:graphic>
          </wp:inline>
        </w:drawing>
      </w:r>
    </w:p>
    <w:p w:rsidR="009C2061" w:rsidRDefault="009C2061">
      <w:pPr>
        <w:suppressAutoHyphens w:val="0"/>
        <w:spacing w:after="0" w:line="240" w:lineRule="auto"/>
        <w:rPr>
          <w:rFonts w:ascii="Book Antiqua" w:eastAsia="MS Mincho" w:hAnsi="Book Antiqua" w:cs="Times New Roman"/>
          <w:b/>
          <w:color w:val="auto"/>
          <w:sz w:val="24"/>
          <w:szCs w:val="24"/>
          <w:lang w:val="en-US"/>
        </w:rPr>
      </w:pPr>
      <w:r>
        <w:rPr>
          <w:rFonts w:ascii="Book Antiqua" w:hAnsi="Book Antiqua"/>
          <w:b/>
          <w:sz w:val="24"/>
          <w:szCs w:val="24"/>
          <w:lang w:val="en-US"/>
        </w:rPr>
        <w:br w:type="page"/>
      </w:r>
    </w:p>
    <w:p w:rsidR="00E95D22" w:rsidRPr="00297C09" w:rsidRDefault="00E95D22" w:rsidP="009C2061">
      <w:pPr>
        <w:pStyle w:val="a4"/>
        <w:snapToGrid w:val="0"/>
        <w:spacing w:before="0" w:beforeAutospacing="0" w:after="0" w:afterAutospacing="0" w:line="360" w:lineRule="auto"/>
        <w:contextualSpacing/>
        <w:jc w:val="both"/>
        <w:rPr>
          <w:rFonts w:ascii="Book Antiqua" w:hAnsi="Book Antiqua"/>
          <w:sz w:val="24"/>
          <w:szCs w:val="24"/>
          <w:lang w:val="en-US"/>
        </w:rPr>
      </w:pPr>
      <w:r w:rsidRPr="00297C09">
        <w:rPr>
          <w:rFonts w:ascii="Book Antiqua" w:hAnsi="Book Antiqua"/>
          <w:b/>
          <w:sz w:val="24"/>
          <w:szCs w:val="24"/>
          <w:lang w:val="en-US"/>
        </w:rPr>
        <w:lastRenderedPageBreak/>
        <w:t>Figure 7</w:t>
      </w:r>
      <w:r w:rsidRPr="00297C09">
        <w:rPr>
          <w:rFonts w:ascii="Book Antiqua" w:hAnsi="Book Antiqua"/>
          <w:sz w:val="24"/>
          <w:szCs w:val="24"/>
          <w:lang w:val="en-US"/>
        </w:rPr>
        <w:t xml:space="preserve"> </w:t>
      </w:r>
      <w:r w:rsidRPr="00297C09">
        <w:rPr>
          <w:rFonts w:ascii="Book Antiqua" w:hAnsi="Book Antiqua"/>
          <w:b/>
          <w:sz w:val="24"/>
          <w:szCs w:val="24"/>
          <w:lang w:val="en-US"/>
        </w:rPr>
        <w:t xml:space="preserve">Pathologic and molecular analysis of a biopsied specimen. </w:t>
      </w:r>
      <w:r w:rsidRPr="00297C09">
        <w:rPr>
          <w:rFonts w:ascii="Book Antiqua" w:eastAsia="宋体" w:hAnsi="Book Antiqua"/>
          <w:sz w:val="24"/>
          <w:szCs w:val="24"/>
          <w:lang w:val="en-US" w:eastAsia="zh-CN"/>
        </w:rPr>
        <w:t>A: Panoramic view (</w:t>
      </w:r>
      <w:r w:rsidR="009C2061">
        <w:rPr>
          <w:rFonts w:ascii="Book Antiqua" w:eastAsia="宋体" w:hAnsi="Book Antiqua"/>
          <w:sz w:val="24"/>
          <w:szCs w:val="24"/>
          <w:lang w:val="en-US" w:eastAsia="zh-CN"/>
        </w:rPr>
        <w:sym w:font="Symbol" w:char="F0B4"/>
      </w:r>
      <w:r w:rsidR="009C2061">
        <w:rPr>
          <w:rFonts w:ascii="Book Antiqua" w:eastAsia="宋体" w:hAnsi="Book Antiqua" w:hint="eastAsia"/>
          <w:sz w:val="24"/>
          <w:szCs w:val="24"/>
          <w:lang w:val="en-US" w:eastAsia="zh-CN"/>
        </w:rPr>
        <w:t xml:space="preserve"> </w:t>
      </w:r>
      <w:r w:rsidRPr="00297C09">
        <w:rPr>
          <w:rFonts w:ascii="Book Antiqua" w:eastAsia="宋体" w:hAnsi="Book Antiqua"/>
          <w:sz w:val="24"/>
          <w:szCs w:val="24"/>
          <w:lang w:val="en-US" w:eastAsia="zh-CN"/>
        </w:rPr>
        <w:t>10) and B: High-power field (</w:t>
      </w:r>
      <w:r w:rsidR="009C2061">
        <w:rPr>
          <w:rFonts w:ascii="Book Antiqua" w:eastAsia="宋体" w:hAnsi="Book Antiqua"/>
          <w:sz w:val="24"/>
          <w:szCs w:val="24"/>
          <w:lang w:val="en-US" w:eastAsia="zh-CN"/>
        </w:rPr>
        <w:sym w:font="Symbol" w:char="F0B4"/>
      </w:r>
      <w:r w:rsidR="009C2061">
        <w:rPr>
          <w:rFonts w:ascii="Book Antiqua" w:eastAsia="宋体" w:hAnsi="Book Antiqua" w:hint="eastAsia"/>
          <w:sz w:val="24"/>
          <w:szCs w:val="24"/>
          <w:lang w:val="en-US" w:eastAsia="zh-CN"/>
        </w:rPr>
        <w:t xml:space="preserve"> </w:t>
      </w:r>
      <w:r w:rsidRPr="00297C09">
        <w:rPr>
          <w:rFonts w:ascii="Book Antiqua" w:eastAsia="宋体" w:hAnsi="Book Antiqua"/>
          <w:sz w:val="24"/>
          <w:szCs w:val="24"/>
          <w:lang w:val="en-US" w:eastAsia="zh-CN"/>
        </w:rPr>
        <w:t xml:space="preserve">40) of a pancreatic core biopsy with </w:t>
      </w:r>
      <w:proofErr w:type="spellStart"/>
      <w:r w:rsidRPr="00297C09">
        <w:rPr>
          <w:rFonts w:ascii="Book Antiqua" w:eastAsia="宋体" w:hAnsi="Book Antiqua"/>
          <w:sz w:val="24"/>
          <w:szCs w:val="24"/>
          <w:lang w:val="en-US" w:eastAsia="zh-CN"/>
        </w:rPr>
        <w:t>hematoxylin</w:t>
      </w:r>
      <w:proofErr w:type="spellEnd"/>
      <w:r w:rsidRPr="00297C09">
        <w:rPr>
          <w:rFonts w:ascii="Book Antiqua" w:eastAsia="宋体" w:hAnsi="Book Antiqua"/>
          <w:sz w:val="24"/>
          <w:szCs w:val="24"/>
          <w:lang w:val="en-US" w:eastAsia="zh-CN"/>
        </w:rPr>
        <w:t xml:space="preserve"> and eosin staining showing atypical and irregularly displayed ductal structures in a desmoplastic stroma compatible with the diagnosis of ductal adenocarcinoma of the pancreas; C: </w:t>
      </w:r>
      <w:proofErr w:type="spellStart"/>
      <w:r w:rsidRPr="00297C09">
        <w:rPr>
          <w:rFonts w:ascii="Book Antiqua" w:eastAsia="宋体" w:hAnsi="Book Antiqua"/>
          <w:sz w:val="24"/>
          <w:szCs w:val="24"/>
          <w:lang w:val="en-US" w:eastAsia="zh-CN"/>
        </w:rPr>
        <w:t>Pyrogram</w:t>
      </w:r>
      <w:proofErr w:type="spellEnd"/>
      <w:r w:rsidRPr="00297C09">
        <w:rPr>
          <w:rFonts w:ascii="Book Antiqua" w:eastAsia="宋体" w:hAnsi="Book Antiqua"/>
          <w:sz w:val="24"/>
          <w:szCs w:val="24"/>
          <w:lang w:val="en-US" w:eastAsia="zh-CN"/>
        </w:rPr>
        <w:t xml:space="preserve"> demonstrating a mutation in codon 12</w:t>
      </w:r>
      <w:r w:rsidR="009C2061">
        <w:rPr>
          <w:rFonts w:ascii="Book Antiqua" w:eastAsia="宋体" w:hAnsi="Book Antiqua" w:hint="eastAsia"/>
          <w:sz w:val="24"/>
          <w:szCs w:val="24"/>
          <w:lang w:val="en-US" w:eastAsia="zh-CN"/>
        </w:rPr>
        <w:t xml:space="preserve">. </w:t>
      </w:r>
      <w:r w:rsidRPr="00297C09">
        <w:rPr>
          <w:rFonts w:ascii="Book Antiqua" w:eastAsia="宋体" w:hAnsi="Book Antiqua"/>
          <w:sz w:val="24"/>
          <w:szCs w:val="24"/>
          <w:lang w:val="en-US" w:eastAsia="zh-CN"/>
        </w:rPr>
        <w:t xml:space="preserve"> </w:t>
      </w:r>
    </w:p>
    <w:p w:rsidR="00E95D22" w:rsidRPr="00297C09" w:rsidRDefault="00E95D22" w:rsidP="00E95D22">
      <w:pPr>
        <w:snapToGrid w:val="0"/>
        <w:spacing w:after="0" w:line="360" w:lineRule="auto"/>
        <w:contextualSpacing/>
        <w:jc w:val="both"/>
        <w:rPr>
          <w:rFonts w:ascii="Book Antiqua" w:hAnsi="Book Antiqua" w:cs="Times New Roman"/>
          <w:color w:val="auto"/>
          <w:sz w:val="24"/>
          <w:szCs w:val="24"/>
          <w:lang w:val="en-US"/>
        </w:rPr>
      </w:pPr>
    </w:p>
    <w:p w:rsidR="00E95D22" w:rsidRPr="00297C09" w:rsidRDefault="00E95D22" w:rsidP="00E95D22">
      <w:pPr>
        <w:snapToGrid w:val="0"/>
        <w:spacing w:after="0" w:line="360" w:lineRule="auto"/>
        <w:contextualSpacing/>
        <w:jc w:val="both"/>
        <w:rPr>
          <w:rFonts w:ascii="Book Antiqua" w:eastAsia="宋体" w:hAnsi="Book Antiqua"/>
          <w:color w:val="auto"/>
          <w:sz w:val="24"/>
          <w:szCs w:val="24"/>
          <w:lang w:val="en-US" w:eastAsia="zh-CN"/>
        </w:rPr>
      </w:pPr>
      <w:r w:rsidRPr="00297C09">
        <w:rPr>
          <w:rFonts w:ascii="Book Antiqua" w:hAnsi="Book Antiqua" w:cs="Times New Roman"/>
          <w:b/>
          <w:color w:val="auto"/>
          <w:sz w:val="24"/>
          <w:szCs w:val="24"/>
          <w:lang w:val="en-US"/>
        </w:rPr>
        <w:t xml:space="preserve"> </w:t>
      </w:r>
      <w:r w:rsidRPr="00297C09">
        <w:rPr>
          <w:rFonts w:ascii="Book Antiqua" w:eastAsia="宋体" w:hAnsi="Book Antiqua"/>
          <w:noProof/>
          <w:color w:val="auto"/>
          <w:sz w:val="24"/>
          <w:szCs w:val="24"/>
          <w:lang w:val="en-US" w:eastAsia="zh-CN"/>
        </w:rPr>
        <w:drawing>
          <wp:inline distT="0" distB="0" distL="0" distR="0" wp14:anchorId="48B4F828" wp14:editId="61A0E401">
            <wp:extent cx="4362450" cy="5619750"/>
            <wp:effectExtent l="0" t="0" r="0" b="0"/>
            <wp:docPr id="1" name="图片 1" descr="Figure p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pa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5619750"/>
                    </a:xfrm>
                    <a:prstGeom prst="rect">
                      <a:avLst/>
                    </a:prstGeom>
                    <a:noFill/>
                    <a:ln>
                      <a:noFill/>
                    </a:ln>
                  </pic:spPr>
                </pic:pic>
              </a:graphicData>
            </a:graphic>
          </wp:inline>
        </w:drawing>
      </w:r>
      <w:r w:rsidRPr="00297C09">
        <w:rPr>
          <w:rFonts w:ascii="Book Antiqua" w:eastAsia="宋体" w:hAnsi="Book Antiqua"/>
          <w:b/>
          <w:color w:val="auto"/>
          <w:sz w:val="24"/>
          <w:szCs w:val="24"/>
          <w:lang w:val="en-US" w:eastAsia="zh-CN"/>
        </w:rPr>
        <w:br w:type="page"/>
      </w:r>
      <w:r w:rsidRPr="00297C09">
        <w:rPr>
          <w:rFonts w:ascii="Book Antiqua" w:eastAsia="宋体" w:hAnsi="Book Antiqua"/>
          <w:b/>
          <w:color w:val="auto"/>
          <w:sz w:val="24"/>
          <w:szCs w:val="24"/>
          <w:lang w:val="en-US" w:eastAsia="zh-CN"/>
        </w:rPr>
        <w:lastRenderedPageBreak/>
        <w:t>Table 1 Patient and lesion characteristics for biopsies with and without complications</w:t>
      </w:r>
    </w:p>
    <w:tbl>
      <w:tblPr>
        <w:tblW w:w="0" w:type="auto"/>
        <w:tblInd w:w="250" w:type="dxa"/>
        <w:tblBorders>
          <w:top w:val="single" w:sz="4" w:space="0" w:color="auto"/>
          <w:bottom w:val="single" w:sz="4" w:space="0" w:color="auto"/>
        </w:tblBorders>
        <w:tblLook w:val="04A0" w:firstRow="1" w:lastRow="0" w:firstColumn="1" w:lastColumn="0" w:noHBand="0" w:noVBand="1"/>
      </w:tblPr>
      <w:tblGrid>
        <w:gridCol w:w="2652"/>
        <w:gridCol w:w="2584"/>
        <w:gridCol w:w="2585"/>
        <w:gridCol w:w="973"/>
      </w:tblGrid>
      <w:tr w:rsidR="00E95D22" w:rsidRPr="00297C09" w:rsidTr="009C2061">
        <w:trPr>
          <w:trHeight w:val="882"/>
        </w:trPr>
        <w:tc>
          <w:tcPr>
            <w:tcW w:w="2652" w:type="dxa"/>
            <w:tcBorders>
              <w:top w:val="single" w:sz="4" w:space="0" w:color="auto"/>
              <w:bottom w:val="single" w:sz="4" w:space="0" w:color="auto"/>
            </w:tcBorders>
            <w:shd w:val="clear" w:color="auto" w:fill="auto"/>
            <w:vAlign w:val="center"/>
          </w:tcPr>
          <w:p w:rsidR="00E95D22" w:rsidRPr="00297C09" w:rsidRDefault="00E95D22" w:rsidP="00322A1A">
            <w:pPr>
              <w:spacing w:after="0" w:line="240" w:lineRule="auto"/>
              <w:contextualSpacing/>
              <w:jc w:val="both"/>
              <w:rPr>
                <w:rFonts w:ascii="Book Antiqua" w:hAnsi="Book Antiqua"/>
                <w:b/>
                <w:color w:val="auto"/>
                <w:sz w:val="24"/>
                <w:szCs w:val="24"/>
                <w:lang w:val="en-US"/>
              </w:rPr>
            </w:pPr>
            <w:r w:rsidRPr="00297C09">
              <w:rPr>
                <w:rFonts w:ascii="Book Antiqua" w:hAnsi="Book Antiqua"/>
                <w:b/>
                <w:color w:val="auto"/>
                <w:sz w:val="24"/>
                <w:szCs w:val="24"/>
                <w:lang w:val="en-US"/>
              </w:rPr>
              <w:t>Variable</w:t>
            </w:r>
          </w:p>
        </w:tc>
        <w:tc>
          <w:tcPr>
            <w:tcW w:w="2584" w:type="dxa"/>
            <w:tcBorders>
              <w:top w:val="single" w:sz="4" w:space="0" w:color="auto"/>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b/>
                <w:color w:val="auto"/>
                <w:sz w:val="24"/>
                <w:szCs w:val="24"/>
                <w:lang w:val="en-US"/>
              </w:rPr>
            </w:pPr>
            <w:r w:rsidRPr="00297C09">
              <w:rPr>
                <w:rFonts w:ascii="Book Antiqua" w:hAnsi="Book Antiqua"/>
                <w:b/>
                <w:color w:val="auto"/>
                <w:sz w:val="24"/>
                <w:szCs w:val="24"/>
                <w:lang w:val="en-US"/>
              </w:rPr>
              <w:t>Without complications</w:t>
            </w:r>
          </w:p>
          <w:p w:rsidR="00E95D22" w:rsidRPr="00297C09" w:rsidRDefault="00E95D22" w:rsidP="00322A1A">
            <w:pPr>
              <w:spacing w:after="0" w:line="240" w:lineRule="auto"/>
              <w:contextualSpacing/>
              <w:jc w:val="center"/>
              <w:rPr>
                <w:rFonts w:ascii="Book Antiqua" w:hAnsi="Book Antiqua"/>
                <w:b/>
                <w:color w:val="auto"/>
                <w:sz w:val="24"/>
                <w:szCs w:val="24"/>
                <w:lang w:val="en-US"/>
              </w:rPr>
            </w:pPr>
            <w:r w:rsidRPr="00297C09">
              <w:rPr>
                <w:rFonts w:ascii="Book Antiqua" w:hAnsi="Book Antiqua"/>
                <w:b/>
                <w:color w:val="auto"/>
                <w:sz w:val="24"/>
                <w:szCs w:val="24"/>
                <w:lang w:val="en-US"/>
              </w:rPr>
              <w:t>(</w:t>
            </w:r>
            <w:r w:rsidRPr="00297C09">
              <w:rPr>
                <w:rFonts w:ascii="Book Antiqua" w:hAnsi="Book Antiqua"/>
                <w:b/>
                <w:i/>
                <w:color w:val="auto"/>
                <w:sz w:val="24"/>
                <w:szCs w:val="24"/>
                <w:lang w:val="en-US"/>
              </w:rPr>
              <w:t>n</w:t>
            </w:r>
            <w:r w:rsidRPr="00297C09">
              <w:rPr>
                <w:rFonts w:ascii="Book Antiqua" w:hAnsi="Book Antiqua"/>
                <w:b/>
                <w:color w:val="auto"/>
                <w:sz w:val="24"/>
                <w:szCs w:val="24"/>
                <w:lang w:val="en-US"/>
              </w:rPr>
              <w:t xml:space="preserve"> = 94)</w:t>
            </w:r>
          </w:p>
        </w:tc>
        <w:tc>
          <w:tcPr>
            <w:tcW w:w="2585" w:type="dxa"/>
            <w:tcBorders>
              <w:top w:val="single" w:sz="4" w:space="0" w:color="auto"/>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b/>
                <w:color w:val="auto"/>
                <w:sz w:val="24"/>
                <w:szCs w:val="24"/>
                <w:lang w:val="en-US"/>
              </w:rPr>
            </w:pPr>
            <w:r w:rsidRPr="00297C09">
              <w:rPr>
                <w:rFonts w:ascii="Book Antiqua" w:hAnsi="Book Antiqua"/>
                <w:b/>
                <w:color w:val="auto"/>
                <w:sz w:val="24"/>
                <w:szCs w:val="24"/>
                <w:lang w:val="en-US"/>
              </w:rPr>
              <w:t>With complications</w:t>
            </w:r>
          </w:p>
          <w:p w:rsidR="00E95D22" w:rsidRPr="00297C09" w:rsidRDefault="00E95D22" w:rsidP="00322A1A">
            <w:pPr>
              <w:spacing w:after="0" w:line="240" w:lineRule="auto"/>
              <w:contextualSpacing/>
              <w:jc w:val="center"/>
              <w:rPr>
                <w:rFonts w:ascii="Book Antiqua" w:hAnsi="Book Antiqua"/>
                <w:b/>
                <w:color w:val="auto"/>
                <w:sz w:val="24"/>
                <w:szCs w:val="24"/>
                <w:lang w:val="en-US"/>
              </w:rPr>
            </w:pPr>
            <w:r w:rsidRPr="00297C09">
              <w:rPr>
                <w:rFonts w:ascii="Book Antiqua" w:hAnsi="Book Antiqua"/>
                <w:b/>
                <w:color w:val="auto"/>
                <w:sz w:val="24"/>
                <w:szCs w:val="24"/>
                <w:lang w:val="en-US"/>
              </w:rPr>
              <w:t>(</w:t>
            </w:r>
            <w:r w:rsidRPr="00297C09">
              <w:rPr>
                <w:rFonts w:ascii="Book Antiqua" w:hAnsi="Book Antiqua"/>
                <w:b/>
                <w:i/>
                <w:color w:val="auto"/>
                <w:sz w:val="24"/>
                <w:szCs w:val="24"/>
                <w:lang w:val="en-US"/>
              </w:rPr>
              <w:t>n</w:t>
            </w:r>
            <w:r w:rsidRPr="00297C09">
              <w:rPr>
                <w:rFonts w:ascii="Book Antiqua" w:hAnsi="Book Antiqua"/>
                <w:b/>
                <w:color w:val="auto"/>
                <w:sz w:val="24"/>
                <w:szCs w:val="24"/>
                <w:lang w:val="en-US"/>
              </w:rPr>
              <w:t xml:space="preserve"> = 9)</w:t>
            </w:r>
          </w:p>
        </w:tc>
        <w:tc>
          <w:tcPr>
            <w:tcW w:w="973" w:type="dxa"/>
            <w:tcBorders>
              <w:top w:val="single" w:sz="4" w:space="0" w:color="auto"/>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b/>
                <w:i/>
                <w:color w:val="auto"/>
                <w:sz w:val="24"/>
                <w:szCs w:val="24"/>
                <w:lang w:val="en-US"/>
              </w:rPr>
            </w:pPr>
            <w:r w:rsidRPr="00297C09">
              <w:rPr>
                <w:rFonts w:ascii="Book Antiqua" w:hAnsi="Book Antiqua"/>
                <w:b/>
                <w:i/>
                <w:color w:val="auto"/>
                <w:sz w:val="24"/>
                <w:szCs w:val="24"/>
                <w:lang w:val="en-US"/>
              </w:rPr>
              <w:t>P</w:t>
            </w:r>
          </w:p>
        </w:tc>
      </w:tr>
      <w:tr w:rsidR="00E95D22" w:rsidRPr="00297C09" w:rsidTr="009C2061">
        <w:trPr>
          <w:trHeight w:val="439"/>
        </w:trPr>
        <w:tc>
          <w:tcPr>
            <w:tcW w:w="2652" w:type="dxa"/>
            <w:tcBorders>
              <w:top w:val="single" w:sz="4" w:space="0" w:color="auto"/>
              <w:bottom w:val="nil"/>
            </w:tcBorders>
            <w:shd w:val="clear" w:color="auto" w:fill="auto"/>
            <w:vAlign w:val="center"/>
          </w:tcPr>
          <w:p w:rsidR="00E95D22" w:rsidRPr="00297C09" w:rsidRDefault="00E95D22" w:rsidP="00322A1A">
            <w:pPr>
              <w:spacing w:after="0" w:line="240" w:lineRule="auto"/>
              <w:contextualSpacing/>
              <w:jc w:val="both"/>
              <w:rPr>
                <w:rFonts w:ascii="Book Antiqua" w:hAnsi="Book Antiqua"/>
                <w:color w:val="auto"/>
                <w:sz w:val="24"/>
                <w:szCs w:val="24"/>
                <w:lang w:val="en-US" w:eastAsia="zh-CN"/>
              </w:rPr>
            </w:pPr>
            <w:r w:rsidRPr="00297C09">
              <w:rPr>
                <w:rFonts w:ascii="Book Antiqua" w:hAnsi="Book Antiqua"/>
                <w:color w:val="auto"/>
                <w:sz w:val="24"/>
                <w:szCs w:val="24"/>
                <w:lang w:val="en-US"/>
              </w:rPr>
              <w:t xml:space="preserve">Patient age, </w:t>
            </w:r>
            <w:proofErr w:type="spellStart"/>
            <w:r w:rsidRPr="00297C09">
              <w:rPr>
                <w:rFonts w:ascii="Book Antiqua" w:hAnsi="Book Antiqua"/>
                <w:color w:val="auto"/>
                <w:sz w:val="24"/>
                <w:szCs w:val="24"/>
                <w:lang w:val="en-US"/>
              </w:rPr>
              <w:t>y</w:t>
            </w:r>
            <w:r w:rsidR="009C2061">
              <w:rPr>
                <w:rFonts w:ascii="Book Antiqua" w:hAnsi="Book Antiqua" w:hint="eastAsia"/>
                <w:color w:val="auto"/>
                <w:sz w:val="24"/>
                <w:szCs w:val="24"/>
                <w:lang w:val="en-US" w:eastAsia="zh-CN"/>
              </w:rPr>
              <w:t>r</w:t>
            </w:r>
            <w:proofErr w:type="spellEnd"/>
          </w:p>
        </w:tc>
        <w:tc>
          <w:tcPr>
            <w:tcW w:w="2584" w:type="dxa"/>
            <w:tcBorders>
              <w:top w:val="single" w:sz="4" w:space="0" w:color="auto"/>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 xml:space="preserve">64.9 ± 12.9 </w:t>
            </w:r>
          </w:p>
        </w:tc>
        <w:tc>
          <w:tcPr>
            <w:tcW w:w="2585" w:type="dxa"/>
            <w:tcBorders>
              <w:top w:val="single" w:sz="4" w:space="0" w:color="auto"/>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64.1 ± 12.3</w:t>
            </w:r>
          </w:p>
        </w:tc>
        <w:tc>
          <w:tcPr>
            <w:tcW w:w="973" w:type="dxa"/>
            <w:tcBorders>
              <w:top w:val="single" w:sz="4" w:space="0" w:color="auto"/>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0.86</w:t>
            </w:r>
          </w:p>
        </w:tc>
      </w:tr>
      <w:tr w:rsidR="00E95D22" w:rsidRPr="00297C09" w:rsidTr="009C2061">
        <w:trPr>
          <w:trHeight w:val="425"/>
        </w:trPr>
        <w:tc>
          <w:tcPr>
            <w:tcW w:w="2652" w:type="dxa"/>
            <w:tcBorders>
              <w:top w:val="nil"/>
              <w:bottom w:val="nil"/>
            </w:tcBorders>
            <w:shd w:val="clear" w:color="auto" w:fill="auto"/>
            <w:vAlign w:val="center"/>
          </w:tcPr>
          <w:p w:rsidR="00E95D22" w:rsidRPr="00297C09" w:rsidRDefault="00E95D22" w:rsidP="00322A1A">
            <w:pPr>
              <w:spacing w:after="0" w:line="24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Lesion size, mm</w:t>
            </w:r>
          </w:p>
        </w:tc>
        <w:tc>
          <w:tcPr>
            <w:tcW w:w="2584"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 xml:space="preserve">46.4 ± 25.9 </w:t>
            </w:r>
          </w:p>
        </w:tc>
        <w:tc>
          <w:tcPr>
            <w:tcW w:w="2585"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 xml:space="preserve">35.5 ± 14.2 </w:t>
            </w:r>
          </w:p>
        </w:tc>
        <w:tc>
          <w:tcPr>
            <w:tcW w:w="973"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0.25</w:t>
            </w:r>
          </w:p>
        </w:tc>
      </w:tr>
      <w:tr w:rsidR="00E95D22" w:rsidRPr="00297C09" w:rsidTr="009C2061">
        <w:trPr>
          <w:trHeight w:val="439"/>
        </w:trPr>
        <w:tc>
          <w:tcPr>
            <w:tcW w:w="2652" w:type="dxa"/>
            <w:tcBorders>
              <w:top w:val="nil"/>
              <w:bottom w:val="single" w:sz="4" w:space="0" w:color="auto"/>
            </w:tcBorders>
            <w:shd w:val="clear" w:color="auto" w:fill="auto"/>
            <w:vAlign w:val="center"/>
          </w:tcPr>
          <w:p w:rsidR="00E95D22" w:rsidRPr="00297C09" w:rsidRDefault="00E95D22" w:rsidP="00322A1A">
            <w:pPr>
              <w:spacing w:after="0" w:line="24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Lesion-skin distance, mm</w:t>
            </w:r>
          </w:p>
        </w:tc>
        <w:tc>
          <w:tcPr>
            <w:tcW w:w="2584" w:type="dxa"/>
            <w:tcBorders>
              <w:top w:val="nil"/>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83.1 ± 31.5</w:t>
            </w:r>
          </w:p>
        </w:tc>
        <w:tc>
          <w:tcPr>
            <w:tcW w:w="2585" w:type="dxa"/>
            <w:tcBorders>
              <w:top w:val="nil"/>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 xml:space="preserve">97.1 ± 30.2 </w:t>
            </w:r>
          </w:p>
        </w:tc>
        <w:tc>
          <w:tcPr>
            <w:tcW w:w="973" w:type="dxa"/>
            <w:tcBorders>
              <w:top w:val="nil"/>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0.20</w:t>
            </w:r>
          </w:p>
        </w:tc>
      </w:tr>
    </w:tbl>
    <w:p w:rsidR="00E95D22" w:rsidRPr="00297C09" w:rsidRDefault="00E95D22" w:rsidP="00E95D22">
      <w:pPr>
        <w:snapToGrid w:val="0"/>
        <w:spacing w:after="0" w:line="360" w:lineRule="auto"/>
        <w:contextualSpacing/>
        <w:jc w:val="both"/>
        <w:rPr>
          <w:rFonts w:ascii="Book Antiqua" w:eastAsia="宋体" w:hAnsi="Book Antiqua"/>
          <w:color w:val="auto"/>
          <w:sz w:val="24"/>
          <w:szCs w:val="24"/>
          <w:lang w:val="en-US" w:eastAsia="zh-CN"/>
        </w:rPr>
      </w:pPr>
      <w:r w:rsidRPr="00297C09">
        <w:rPr>
          <w:rFonts w:ascii="Book Antiqua" w:eastAsia="宋体" w:hAnsi="Book Antiqua"/>
          <w:b/>
          <w:color w:val="auto"/>
          <w:sz w:val="24"/>
          <w:szCs w:val="24"/>
          <w:lang w:val="en-US" w:eastAsia="zh-CN"/>
        </w:rPr>
        <w:br w:type="page"/>
      </w:r>
      <w:r w:rsidRPr="00297C09">
        <w:rPr>
          <w:rFonts w:ascii="Book Antiqua" w:eastAsia="宋体" w:hAnsi="Book Antiqua"/>
          <w:b/>
          <w:color w:val="auto"/>
          <w:sz w:val="24"/>
          <w:szCs w:val="24"/>
          <w:lang w:val="en-US" w:eastAsia="zh-CN"/>
        </w:rPr>
        <w:lastRenderedPageBreak/>
        <w:t xml:space="preserve">Table 2 Incidence of complications after </w:t>
      </w:r>
      <w:r w:rsidR="00A07BCC" w:rsidRPr="00A07BCC">
        <w:rPr>
          <w:rFonts w:ascii="Book Antiqua" w:eastAsia="宋体" w:hAnsi="Book Antiqua"/>
          <w:b/>
          <w:color w:val="auto"/>
          <w:sz w:val="24"/>
          <w:szCs w:val="24"/>
          <w:lang w:val="en-US" w:eastAsia="zh-CN"/>
        </w:rPr>
        <w:t>computed tomography</w:t>
      </w:r>
      <w:r w:rsidRPr="00297C09">
        <w:rPr>
          <w:rFonts w:ascii="Book Antiqua" w:eastAsia="宋体" w:hAnsi="Book Antiqua"/>
          <w:b/>
          <w:color w:val="auto"/>
          <w:sz w:val="24"/>
          <w:szCs w:val="24"/>
          <w:lang w:val="en-US" w:eastAsia="zh-CN"/>
        </w:rPr>
        <w:t>-guided biopsy of pancreatic lesions</w:t>
      </w:r>
      <w:r w:rsidR="008E79DF" w:rsidRPr="008E79DF">
        <w:rPr>
          <w:rFonts w:ascii="Book Antiqua" w:hAnsi="Book Antiqua"/>
          <w:b/>
          <w:i/>
          <w:color w:val="auto"/>
          <w:sz w:val="24"/>
          <w:szCs w:val="24"/>
          <w:lang w:val="en-US"/>
        </w:rPr>
        <w:t xml:space="preserve"> </w:t>
      </w:r>
      <w:r w:rsidR="008E79DF" w:rsidRPr="00297C09">
        <w:rPr>
          <w:rFonts w:ascii="Book Antiqua" w:hAnsi="Book Antiqua"/>
          <w:b/>
          <w:i/>
          <w:color w:val="auto"/>
          <w:sz w:val="24"/>
          <w:szCs w:val="24"/>
          <w:lang w:val="en-US"/>
        </w:rPr>
        <w:t>n</w:t>
      </w:r>
      <w:r w:rsidR="008E79DF" w:rsidRPr="00297C09">
        <w:rPr>
          <w:rFonts w:ascii="Book Antiqua" w:hAnsi="Book Antiqua"/>
          <w:b/>
          <w:color w:val="auto"/>
          <w:sz w:val="24"/>
          <w:szCs w:val="24"/>
          <w:lang w:val="en-US"/>
        </w:rPr>
        <w:t xml:space="preserve"> (%)</w:t>
      </w:r>
    </w:p>
    <w:tbl>
      <w:tblPr>
        <w:tblW w:w="0" w:type="auto"/>
        <w:tblInd w:w="250" w:type="dxa"/>
        <w:tblBorders>
          <w:top w:val="single" w:sz="4" w:space="0" w:color="auto"/>
          <w:bottom w:val="single" w:sz="4" w:space="0" w:color="auto"/>
        </w:tblBorders>
        <w:tblLook w:val="04A0" w:firstRow="1" w:lastRow="0" w:firstColumn="1" w:lastColumn="0" w:noHBand="0" w:noVBand="1"/>
      </w:tblPr>
      <w:tblGrid>
        <w:gridCol w:w="3515"/>
        <w:gridCol w:w="2140"/>
        <w:gridCol w:w="1068"/>
      </w:tblGrid>
      <w:tr w:rsidR="00E95D22" w:rsidRPr="00297C09" w:rsidTr="009C2061">
        <w:trPr>
          <w:trHeight w:val="672"/>
        </w:trPr>
        <w:tc>
          <w:tcPr>
            <w:tcW w:w="3515" w:type="dxa"/>
            <w:tcBorders>
              <w:top w:val="single" w:sz="4" w:space="0" w:color="auto"/>
              <w:bottom w:val="single" w:sz="4" w:space="0" w:color="auto"/>
            </w:tcBorders>
            <w:shd w:val="clear" w:color="auto" w:fill="auto"/>
            <w:vAlign w:val="center"/>
          </w:tcPr>
          <w:p w:rsidR="00E95D22" w:rsidRPr="00297C09" w:rsidRDefault="00E95D22" w:rsidP="00322A1A">
            <w:pPr>
              <w:spacing w:after="0" w:line="240" w:lineRule="auto"/>
              <w:contextualSpacing/>
              <w:jc w:val="both"/>
              <w:rPr>
                <w:rFonts w:ascii="Book Antiqua" w:hAnsi="Book Antiqua"/>
                <w:b/>
                <w:color w:val="auto"/>
                <w:sz w:val="24"/>
                <w:szCs w:val="24"/>
                <w:lang w:val="en-US"/>
              </w:rPr>
            </w:pPr>
            <w:r w:rsidRPr="00297C09">
              <w:rPr>
                <w:rFonts w:ascii="Book Antiqua" w:hAnsi="Book Antiqua"/>
                <w:b/>
                <w:color w:val="auto"/>
                <w:sz w:val="24"/>
                <w:szCs w:val="24"/>
                <w:lang w:val="en-US"/>
              </w:rPr>
              <w:t>Variable</w:t>
            </w:r>
          </w:p>
        </w:tc>
        <w:tc>
          <w:tcPr>
            <w:tcW w:w="2140" w:type="dxa"/>
            <w:tcBorders>
              <w:top w:val="single" w:sz="4" w:space="0" w:color="auto"/>
              <w:bottom w:val="single" w:sz="4" w:space="0" w:color="auto"/>
            </w:tcBorders>
            <w:shd w:val="clear" w:color="auto" w:fill="auto"/>
            <w:vAlign w:val="center"/>
          </w:tcPr>
          <w:p w:rsidR="00E95D22" w:rsidRPr="00297C09" w:rsidRDefault="00E95D22" w:rsidP="008E79DF">
            <w:pPr>
              <w:spacing w:after="0" w:line="240" w:lineRule="auto"/>
              <w:contextualSpacing/>
              <w:jc w:val="center"/>
              <w:rPr>
                <w:rFonts w:ascii="Book Antiqua" w:hAnsi="Book Antiqua"/>
                <w:b/>
                <w:color w:val="auto"/>
                <w:sz w:val="24"/>
                <w:szCs w:val="24"/>
                <w:lang w:val="en-US" w:eastAsia="zh-CN"/>
              </w:rPr>
            </w:pPr>
            <w:r w:rsidRPr="00297C09">
              <w:rPr>
                <w:rFonts w:ascii="Book Antiqua" w:hAnsi="Book Antiqua"/>
                <w:b/>
                <w:color w:val="auto"/>
                <w:sz w:val="24"/>
                <w:szCs w:val="24"/>
                <w:lang w:val="en-US"/>
              </w:rPr>
              <w:t>Complications</w:t>
            </w:r>
          </w:p>
        </w:tc>
        <w:tc>
          <w:tcPr>
            <w:tcW w:w="1068" w:type="dxa"/>
            <w:tcBorders>
              <w:top w:val="single" w:sz="4" w:space="0" w:color="auto"/>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b/>
                <w:i/>
                <w:color w:val="auto"/>
                <w:sz w:val="24"/>
                <w:szCs w:val="24"/>
                <w:lang w:val="en-US"/>
              </w:rPr>
            </w:pPr>
            <w:r w:rsidRPr="00297C09">
              <w:rPr>
                <w:rFonts w:ascii="Book Antiqua" w:hAnsi="Book Antiqua"/>
                <w:b/>
                <w:i/>
                <w:color w:val="auto"/>
                <w:sz w:val="24"/>
                <w:szCs w:val="24"/>
                <w:lang w:val="en-US"/>
              </w:rPr>
              <w:t>P</w:t>
            </w:r>
          </w:p>
        </w:tc>
      </w:tr>
      <w:tr w:rsidR="00E95D22" w:rsidRPr="00297C09" w:rsidTr="009C2061">
        <w:trPr>
          <w:trHeight w:val="344"/>
        </w:trPr>
        <w:tc>
          <w:tcPr>
            <w:tcW w:w="3515" w:type="dxa"/>
            <w:tcBorders>
              <w:top w:val="single" w:sz="4" w:space="0" w:color="auto"/>
              <w:bottom w:val="nil"/>
            </w:tcBorders>
            <w:shd w:val="clear" w:color="auto" w:fill="auto"/>
            <w:vAlign w:val="center"/>
          </w:tcPr>
          <w:p w:rsidR="00E95D22" w:rsidRPr="00297C09" w:rsidRDefault="00E95D22" w:rsidP="00322A1A">
            <w:pPr>
              <w:spacing w:after="0" w:line="24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Lesion location</w:t>
            </w:r>
          </w:p>
        </w:tc>
        <w:tc>
          <w:tcPr>
            <w:tcW w:w="2140" w:type="dxa"/>
            <w:tcBorders>
              <w:top w:val="single" w:sz="4" w:space="0" w:color="auto"/>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c>
          <w:tcPr>
            <w:tcW w:w="1068" w:type="dxa"/>
            <w:tcBorders>
              <w:top w:val="single" w:sz="4" w:space="0" w:color="auto"/>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r>
      <w:tr w:rsidR="00E95D22" w:rsidRPr="00297C09" w:rsidTr="009C2061">
        <w:trPr>
          <w:trHeight w:val="672"/>
        </w:trPr>
        <w:tc>
          <w:tcPr>
            <w:tcW w:w="3515" w:type="dxa"/>
            <w:tcBorders>
              <w:top w:val="nil"/>
              <w:bottom w:val="nil"/>
            </w:tcBorders>
            <w:shd w:val="clear" w:color="auto" w:fill="auto"/>
            <w:vAlign w:val="center"/>
          </w:tcPr>
          <w:p w:rsidR="00E95D22" w:rsidRPr="00297C09" w:rsidRDefault="00E95D22" w:rsidP="00322A1A">
            <w:pPr>
              <w:spacing w:after="0" w:line="240" w:lineRule="auto"/>
              <w:ind w:left="317"/>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Head/</w:t>
            </w:r>
            <w:proofErr w:type="spellStart"/>
            <w:r w:rsidRPr="00297C09">
              <w:rPr>
                <w:rFonts w:ascii="Book Antiqua" w:hAnsi="Book Antiqua"/>
                <w:color w:val="auto"/>
                <w:sz w:val="24"/>
                <w:szCs w:val="24"/>
                <w:lang w:val="en-US"/>
              </w:rPr>
              <w:t>uncinate</w:t>
            </w:r>
            <w:proofErr w:type="spellEnd"/>
            <w:r w:rsidRPr="00297C09">
              <w:rPr>
                <w:rFonts w:ascii="Book Antiqua" w:hAnsi="Book Antiqua"/>
                <w:color w:val="auto"/>
                <w:sz w:val="24"/>
                <w:szCs w:val="24"/>
                <w:lang w:val="en-US"/>
              </w:rPr>
              <w:t xml:space="preserve"> process</w:t>
            </w:r>
          </w:p>
          <w:p w:rsidR="00E95D22" w:rsidRPr="00297C09" w:rsidRDefault="00E95D22" w:rsidP="00322A1A">
            <w:pPr>
              <w:spacing w:after="0" w:line="240" w:lineRule="auto"/>
              <w:ind w:left="317"/>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Body/Tail</w:t>
            </w:r>
          </w:p>
        </w:tc>
        <w:tc>
          <w:tcPr>
            <w:tcW w:w="2140" w:type="dxa"/>
            <w:tcBorders>
              <w:top w:val="nil"/>
              <w:bottom w:val="nil"/>
            </w:tcBorders>
            <w:shd w:val="clear" w:color="auto" w:fill="auto"/>
            <w:vAlign w:val="center"/>
          </w:tcPr>
          <w:p w:rsidR="00E95D22" w:rsidRPr="00297C09" w:rsidRDefault="009C2061" w:rsidP="00322A1A">
            <w:pPr>
              <w:spacing w:after="0" w:line="240" w:lineRule="auto"/>
              <w:contextualSpacing/>
              <w:jc w:val="center"/>
              <w:rPr>
                <w:rFonts w:ascii="Book Antiqua" w:hAnsi="Book Antiqua"/>
                <w:color w:val="auto"/>
                <w:sz w:val="24"/>
                <w:szCs w:val="24"/>
                <w:lang w:val="en-US"/>
              </w:rPr>
            </w:pPr>
            <w:r>
              <w:rPr>
                <w:rFonts w:ascii="Book Antiqua" w:hAnsi="Book Antiqua"/>
                <w:color w:val="auto"/>
                <w:sz w:val="24"/>
                <w:szCs w:val="24"/>
                <w:lang w:val="en-US"/>
              </w:rPr>
              <w:t>8 (12.3</w:t>
            </w:r>
            <w:r w:rsidR="00E95D22" w:rsidRPr="00297C09">
              <w:rPr>
                <w:rFonts w:ascii="Book Antiqua" w:hAnsi="Book Antiqua"/>
                <w:color w:val="auto"/>
                <w:sz w:val="24"/>
                <w:szCs w:val="24"/>
                <w:lang w:val="en-US"/>
              </w:rPr>
              <w:t>)</w:t>
            </w:r>
          </w:p>
          <w:p w:rsidR="00E95D22" w:rsidRPr="00297C09" w:rsidRDefault="009C2061" w:rsidP="00322A1A">
            <w:pPr>
              <w:spacing w:after="0" w:line="240" w:lineRule="auto"/>
              <w:contextualSpacing/>
              <w:jc w:val="center"/>
              <w:rPr>
                <w:rFonts w:ascii="Book Antiqua" w:hAnsi="Book Antiqua"/>
                <w:color w:val="auto"/>
                <w:sz w:val="24"/>
                <w:szCs w:val="24"/>
                <w:lang w:val="en-US"/>
              </w:rPr>
            </w:pPr>
            <w:r>
              <w:rPr>
                <w:rFonts w:ascii="Book Antiqua" w:hAnsi="Book Antiqua"/>
                <w:color w:val="auto"/>
                <w:sz w:val="24"/>
                <w:szCs w:val="24"/>
                <w:lang w:val="en-US"/>
              </w:rPr>
              <w:t>1 (2.6</w:t>
            </w:r>
            <w:r w:rsidR="00E95D22" w:rsidRPr="00297C09">
              <w:rPr>
                <w:rFonts w:ascii="Book Antiqua" w:hAnsi="Book Antiqua"/>
                <w:color w:val="auto"/>
                <w:sz w:val="24"/>
                <w:szCs w:val="24"/>
                <w:lang w:val="en-US"/>
              </w:rPr>
              <w:t>)</w:t>
            </w:r>
          </w:p>
        </w:tc>
        <w:tc>
          <w:tcPr>
            <w:tcW w:w="1068"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0.15</w:t>
            </w:r>
          </w:p>
        </w:tc>
      </w:tr>
      <w:tr w:rsidR="00E95D22" w:rsidRPr="00297C09" w:rsidTr="009C2061">
        <w:trPr>
          <w:trHeight w:val="344"/>
        </w:trPr>
        <w:tc>
          <w:tcPr>
            <w:tcW w:w="3515" w:type="dxa"/>
            <w:tcBorders>
              <w:top w:val="nil"/>
              <w:bottom w:val="nil"/>
            </w:tcBorders>
            <w:shd w:val="clear" w:color="auto" w:fill="auto"/>
            <w:vAlign w:val="center"/>
          </w:tcPr>
          <w:p w:rsidR="00E95D22" w:rsidRPr="00297C09" w:rsidRDefault="00E95D22" w:rsidP="00322A1A">
            <w:pPr>
              <w:spacing w:after="0" w:line="24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Biopsy technique</w:t>
            </w:r>
          </w:p>
        </w:tc>
        <w:tc>
          <w:tcPr>
            <w:tcW w:w="2140"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c>
          <w:tcPr>
            <w:tcW w:w="1068"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r>
      <w:tr w:rsidR="00E95D22" w:rsidRPr="00297C09" w:rsidTr="009C2061">
        <w:trPr>
          <w:trHeight w:val="672"/>
        </w:trPr>
        <w:tc>
          <w:tcPr>
            <w:tcW w:w="3515" w:type="dxa"/>
            <w:tcBorders>
              <w:top w:val="nil"/>
              <w:bottom w:val="nil"/>
            </w:tcBorders>
            <w:shd w:val="clear" w:color="auto" w:fill="auto"/>
            <w:vAlign w:val="center"/>
          </w:tcPr>
          <w:p w:rsidR="00E95D22" w:rsidRPr="00297C09" w:rsidRDefault="00E95D22" w:rsidP="00322A1A">
            <w:pPr>
              <w:spacing w:after="0" w:line="240" w:lineRule="auto"/>
              <w:ind w:left="317"/>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 xml:space="preserve">Direct </w:t>
            </w:r>
          </w:p>
          <w:p w:rsidR="00E95D22" w:rsidRPr="00297C09" w:rsidRDefault="00E95D22" w:rsidP="00322A1A">
            <w:pPr>
              <w:spacing w:after="0" w:line="240" w:lineRule="auto"/>
              <w:ind w:left="317"/>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 xml:space="preserve">Indirect </w:t>
            </w:r>
          </w:p>
        </w:tc>
        <w:tc>
          <w:tcPr>
            <w:tcW w:w="2140" w:type="dxa"/>
            <w:tcBorders>
              <w:top w:val="nil"/>
              <w:bottom w:val="nil"/>
            </w:tcBorders>
            <w:shd w:val="clear" w:color="auto" w:fill="auto"/>
            <w:vAlign w:val="center"/>
          </w:tcPr>
          <w:p w:rsidR="00E95D22" w:rsidRPr="00297C09" w:rsidRDefault="009C2061" w:rsidP="00322A1A">
            <w:pPr>
              <w:spacing w:after="0" w:line="240" w:lineRule="auto"/>
              <w:contextualSpacing/>
              <w:jc w:val="center"/>
              <w:rPr>
                <w:rFonts w:ascii="Book Antiqua" w:hAnsi="Book Antiqua"/>
                <w:color w:val="auto"/>
                <w:sz w:val="24"/>
                <w:szCs w:val="24"/>
                <w:lang w:val="en-US"/>
              </w:rPr>
            </w:pPr>
            <w:r>
              <w:rPr>
                <w:rFonts w:ascii="Book Antiqua" w:hAnsi="Book Antiqua"/>
                <w:color w:val="auto"/>
                <w:sz w:val="24"/>
                <w:szCs w:val="24"/>
                <w:lang w:val="en-US"/>
              </w:rPr>
              <w:t>4 (5.4</w:t>
            </w:r>
            <w:r w:rsidR="00E95D22" w:rsidRPr="00297C09">
              <w:rPr>
                <w:rFonts w:ascii="Book Antiqua" w:hAnsi="Book Antiqua"/>
                <w:color w:val="auto"/>
                <w:sz w:val="24"/>
                <w:szCs w:val="24"/>
                <w:lang w:val="en-US"/>
              </w:rPr>
              <w:t>)</w:t>
            </w:r>
          </w:p>
          <w:p w:rsidR="00E95D22" w:rsidRPr="00297C09" w:rsidRDefault="009C2061" w:rsidP="00322A1A">
            <w:pPr>
              <w:spacing w:after="0" w:line="240" w:lineRule="auto"/>
              <w:contextualSpacing/>
              <w:jc w:val="center"/>
              <w:rPr>
                <w:rFonts w:ascii="Book Antiqua" w:hAnsi="Book Antiqua"/>
                <w:color w:val="auto"/>
                <w:sz w:val="24"/>
                <w:szCs w:val="24"/>
                <w:lang w:val="en-US"/>
              </w:rPr>
            </w:pPr>
            <w:r>
              <w:rPr>
                <w:rFonts w:ascii="Book Antiqua" w:hAnsi="Book Antiqua"/>
                <w:color w:val="auto"/>
                <w:sz w:val="24"/>
                <w:szCs w:val="24"/>
                <w:lang w:val="en-US"/>
              </w:rPr>
              <w:t>5 (17.2</w:t>
            </w:r>
            <w:r w:rsidR="00E95D22" w:rsidRPr="00297C09">
              <w:rPr>
                <w:rFonts w:ascii="Book Antiqua" w:hAnsi="Book Antiqua"/>
                <w:color w:val="auto"/>
                <w:sz w:val="24"/>
                <w:szCs w:val="24"/>
                <w:lang w:val="en-US"/>
              </w:rPr>
              <w:t>)</w:t>
            </w:r>
          </w:p>
        </w:tc>
        <w:tc>
          <w:tcPr>
            <w:tcW w:w="1068"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0.11</w:t>
            </w:r>
          </w:p>
        </w:tc>
      </w:tr>
      <w:tr w:rsidR="00E95D22" w:rsidRPr="00297C09" w:rsidTr="009C2061">
        <w:trPr>
          <w:trHeight w:val="344"/>
        </w:trPr>
        <w:tc>
          <w:tcPr>
            <w:tcW w:w="3515" w:type="dxa"/>
            <w:tcBorders>
              <w:top w:val="nil"/>
              <w:bottom w:val="nil"/>
            </w:tcBorders>
            <w:shd w:val="clear" w:color="auto" w:fill="auto"/>
            <w:vAlign w:val="center"/>
          </w:tcPr>
          <w:p w:rsidR="00E95D22" w:rsidRPr="00297C09" w:rsidRDefault="00E95D22" w:rsidP="00322A1A">
            <w:pPr>
              <w:spacing w:after="0" w:line="24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Access type</w:t>
            </w:r>
          </w:p>
        </w:tc>
        <w:tc>
          <w:tcPr>
            <w:tcW w:w="2140"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c>
          <w:tcPr>
            <w:tcW w:w="1068"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r>
      <w:tr w:rsidR="00E95D22" w:rsidRPr="00297C09" w:rsidTr="009C2061">
        <w:trPr>
          <w:trHeight w:val="672"/>
        </w:trPr>
        <w:tc>
          <w:tcPr>
            <w:tcW w:w="3515" w:type="dxa"/>
            <w:tcBorders>
              <w:top w:val="nil"/>
              <w:bottom w:val="nil"/>
            </w:tcBorders>
            <w:shd w:val="clear" w:color="auto" w:fill="auto"/>
            <w:vAlign w:val="center"/>
          </w:tcPr>
          <w:p w:rsidR="00E95D22" w:rsidRPr="00297C09" w:rsidRDefault="00E95D22" w:rsidP="00322A1A">
            <w:pPr>
              <w:spacing w:after="0" w:line="240" w:lineRule="auto"/>
              <w:ind w:left="317"/>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Anterior</w:t>
            </w:r>
          </w:p>
          <w:p w:rsidR="00E95D22" w:rsidRPr="00297C09" w:rsidRDefault="00E95D22" w:rsidP="00322A1A">
            <w:pPr>
              <w:spacing w:after="0" w:line="240" w:lineRule="auto"/>
              <w:ind w:left="317"/>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Posterior/Paravertebral</w:t>
            </w:r>
          </w:p>
        </w:tc>
        <w:tc>
          <w:tcPr>
            <w:tcW w:w="2140" w:type="dxa"/>
            <w:tcBorders>
              <w:top w:val="nil"/>
              <w:bottom w:val="nil"/>
            </w:tcBorders>
            <w:shd w:val="clear" w:color="auto" w:fill="auto"/>
            <w:vAlign w:val="center"/>
          </w:tcPr>
          <w:p w:rsidR="00E95D22" w:rsidRPr="00297C09" w:rsidRDefault="009C2061" w:rsidP="00322A1A">
            <w:pPr>
              <w:spacing w:after="0" w:line="240" w:lineRule="auto"/>
              <w:contextualSpacing/>
              <w:jc w:val="center"/>
              <w:rPr>
                <w:rFonts w:ascii="Book Antiqua" w:hAnsi="Book Antiqua"/>
                <w:color w:val="auto"/>
                <w:sz w:val="24"/>
                <w:szCs w:val="24"/>
                <w:lang w:val="en-US"/>
              </w:rPr>
            </w:pPr>
            <w:r>
              <w:rPr>
                <w:rFonts w:ascii="Book Antiqua" w:hAnsi="Book Antiqua"/>
                <w:color w:val="auto"/>
                <w:sz w:val="24"/>
                <w:szCs w:val="24"/>
                <w:lang w:val="en-US"/>
              </w:rPr>
              <w:t>8 (10.0</w:t>
            </w:r>
            <w:r w:rsidR="00E95D22" w:rsidRPr="00297C09">
              <w:rPr>
                <w:rFonts w:ascii="Book Antiqua" w:hAnsi="Book Antiqua"/>
                <w:color w:val="auto"/>
                <w:sz w:val="24"/>
                <w:szCs w:val="24"/>
                <w:lang w:val="en-US"/>
              </w:rPr>
              <w:t>)</w:t>
            </w:r>
          </w:p>
          <w:p w:rsidR="00E95D22" w:rsidRPr="00297C09" w:rsidRDefault="009C2061" w:rsidP="00322A1A">
            <w:pPr>
              <w:spacing w:after="0" w:line="240" w:lineRule="auto"/>
              <w:contextualSpacing/>
              <w:jc w:val="center"/>
              <w:rPr>
                <w:rFonts w:ascii="Book Antiqua" w:hAnsi="Book Antiqua"/>
                <w:color w:val="auto"/>
                <w:sz w:val="24"/>
                <w:szCs w:val="24"/>
                <w:lang w:val="en-US"/>
              </w:rPr>
            </w:pPr>
            <w:r>
              <w:rPr>
                <w:rFonts w:ascii="Book Antiqua" w:hAnsi="Book Antiqua"/>
                <w:color w:val="auto"/>
                <w:sz w:val="24"/>
                <w:szCs w:val="24"/>
                <w:lang w:val="en-US"/>
              </w:rPr>
              <w:t>1 (6.7</w:t>
            </w:r>
            <w:r w:rsidR="00E95D22" w:rsidRPr="00297C09">
              <w:rPr>
                <w:rFonts w:ascii="Book Antiqua" w:hAnsi="Book Antiqua"/>
                <w:color w:val="auto"/>
                <w:sz w:val="24"/>
                <w:szCs w:val="24"/>
                <w:lang w:val="en-US"/>
              </w:rPr>
              <w:t>)</w:t>
            </w:r>
          </w:p>
        </w:tc>
        <w:tc>
          <w:tcPr>
            <w:tcW w:w="1068"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0.60</w:t>
            </w:r>
          </w:p>
        </w:tc>
      </w:tr>
      <w:tr w:rsidR="00E95D22" w:rsidRPr="00297C09" w:rsidTr="009C2061">
        <w:trPr>
          <w:trHeight w:val="344"/>
        </w:trPr>
        <w:tc>
          <w:tcPr>
            <w:tcW w:w="3515" w:type="dxa"/>
            <w:tcBorders>
              <w:top w:val="nil"/>
              <w:bottom w:val="nil"/>
            </w:tcBorders>
            <w:shd w:val="clear" w:color="auto" w:fill="auto"/>
            <w:vAlign w:val="center"/>
          </w:tcPr>
          <w:p w:rsidR="00E95D22" w:rsidRPr="00297C09" w:rsidRDefault="00E95D22" w:rsidP="00322A1A">
            <w:pPr>
              <w:spacing w:after="0" w:line="240" w:lineRule="auto"/>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Needle Caliber</w:t>
            </w:r>
          </w:p>
        </w:tc>
        <w:tc>
          <w:tcPr>
            <w:tcW w:w="2140"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c>
          <w:tcPr>
            <w:tcW w:w="1068" w:type="dxa"/>
            <w:tcBorders>
              <w:top w:val="nil"/>
              <w:bottom w:val="nil"/>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p>
        </w:tc>
      </w:tr>
      <w:tr w:rsidR="00E95D22" w:rsidRPr="00297C09" w:rsidTr="009C2061">
        <w:trPr>
          <w:trHeight w:val="344"/>
        </w:trPr>
        <w:tc>
          <w:tcPr>
            <w:tcW w:w="3515" w:type="dxa"/>
            <w:tcBorders>
              <w:top w:val="nil"/>
              <w:bottom w:val="single" w:sz="4" w:space="0" w:color="auto"/>
            </w:tcBorders>
            <w:shd w:val="clear" w:color="auto" w:fill="auto"/>
            <w:vAlign w:val="center"/>
          </w:tcPr>
          <w:p w:rsidR="00E95D22" w:rsidRPr="00297C09" w:rsidRDefault="00E95D22" w:rsidP="00322A1A">
            <w:pPr>
              <w:spacing w:after="0" w:line="240" w:lineRule="auto"/>
              <w:ind w:left="317"/>
              <w:contextualSpacing/>
              <w:jc w:val="both"/>
              <w:rPr>
                <w:rFonts w:ascii="Book Antiqua" w:hAnsi="Book Antiqua"/>
                <w:color w:val="auto"/>
                <w:sz w:val="24"/>
                <w:szCs w:val="24"/>
                <w:lang w:val="en-US"/>
              </w:rPr>
            </w:pPr>
            <w:r w:rsidRPr="00297C09">
              <w:rPr>
                <w:rFonts w:ascii="Book Antiqua" w:hAnsi="Book Antiqua"/>
                <w:color w:val="auto"/>
                <w:sz w:val="24"/>
                <w:szCs w:val="24"/>
                <w:lang w:val="en-US"/>
              </w:rPr>
              <w:t>18 G</w:t>
            </w:r>
          </w:p>
        </w:tc>
        <w:tc>
          <w:tcPr>
            <w:tcW w:w="2140" w:type="dxa"/>
            <w:tcBorders>
              <w:top w:val="nil"/>
              <w:bottom w:val="single" w:sz="4" w:space="0" w:color="auto"/>
            </w:tcBorders>
            <w:shd w:val="clear" w:color="auto" w:fill="auto"/>
            <w:vAlign w:val="center"/>
          </w:tcPr>
          <w:p w:rsidR="00E95D22" w:rsidRPr="00297C09" w:rsidRDefault="009C2061" w:rsidP="00322A1A">
            <w:pPr>
              <w:spacing w:after="0" w:line="240" w:lineRule="auto"/>
              <w:contextualSpacing/>
              <w:jc w:val="center"/>
              <w:rPr>
                <w:rFonts w:ascii="Book Antiqua" w:hAnsi="Book Antiqua"/>
                <w:color w:val="auto"/>
                <w:sz w:val="24"/>
                <w:szCs w:val="24"/>
                <w:lang w:val="en-US"/>
              </w:rPr>
            </w:pPr>
            <w:r>
              <w:rPr>
                <w:rFonts w:ascii="Book Antiqua" w:hAnsi="Book Antiqua"/>
                <w:color w:val="auto"/>
                <w:sz w:val="24"/>
                <w:szCs w:val="24"/>
                <w:lang w:val="en-US"/>
              </w:rPr>
              <w:t>9 (9.0</w:t>
            </w:r>
            <w:r w:rsidR="00E95D22" w:rsidRPr="00297C09">
              <w:rPr>
                <w:rFonts w:ascii="Book Antiqua" w:hAnsi="Book Antiqua"/>
                <w:color w:val="auto"/>
                <w:sz w:val="24"/>
                <w:szCs w:val="24"/>
                <w:lang w:val="en-US"/>
              </w:rPr>
              <w:t>)</w:t>
            </w:r>
          </w:p>
        </w:tc>
        <w:tc>
          <w:tcPr>
            <w:tcW w:w="1068" w:type="dxa"/>
            <w:tcBorders>
              <w:top w:val="nil"/>
              <w:bottom w:val="single" w:sz="4" w:space="0" w:color="auto"/>
            </w:tcBorders>
            <w:shd w:val="clear" w:color="auto" w:fill="auto"/>
            <w:vAlign w:val="center"/>
          </w:tcPr>
          <w:p w:rsidR="00E95D22" w:rsidRPr="00297C09" w:rsidRDefault="00E95D22" w:rsidP="00322A1A">
            <w:pPr>
              <w:spacing w:after="0" w:line="24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0.86</w:t>
            </w:r>
          </w:p>
        </w:tc>
      </w:tr>
    </w:tbl>
    <w:p w:rsidR="00E95D22" w:rsidRPr="00297C09" w:rsidRDefault="00E95D22" w:rsidP="00E95D22">
      <w:pPr>
        <w:snapToGrid w:val="0"/>
        <w:spacing w:after="0" w:line="360" w:lineRule="auto"/>
        <w:contextualSpacing/>
        <w:jc w:val="both"/>
        <w:rPr>
          <w:rFonts w:ascii="Book Antiqua" w:eastAsia="宋体" w:hAnsi="Book Antiqua"/>
          <w:b/>
          <w:color w:val="auto"/>
          <w:sz w:val="24"/>
          <w:szCs w:val="24"/>
          <w:lang w:val="en-US" w:eastAsia="zh-CN"/>
        </w:rPr>
      </w:pPr>
      <w:r w:rsidRPr="00297C09">
        <w:rPr>
          <w:rFonts w:ascii="Book Antiqua" w:eastAsia="宋体" w:hAnsi="Book Antiqua"/>
          <w:b/>
          <w:color w:val="auto"/>
          <w:sz w:val="24"/>
          <w:szCs w:val="24"/>
          <w:lang w:val="en-US" w:eastAsia="zh-CN"/>
        </w:rPr>
        <w:br w:type="page"/>
      </w:r>
      <w:r w:rsidRPr="00297C09">
        <w:rPr>
          <w:rFonts w:ascii="Book Antiqua" w:eastAsia="宋体" w:hAnsi="Book Antiqua"/>
          <w:b/>
          <w:color w:val="auto"/>
          <w:sz w:val="24"/>
          <w:szCs w:val="24"/>
          <w:lang w:val="en-US" w:eastAsia="zh-CN"/>
        </w:rPr>
        <w:lastRenderedPageBreak/>
        <w:t>Table 3 Accuracy and complications of image-guided percutaneous needle biopsy of pancreatic lesions</w:t>
      </w:r>
    </w:p>
    <w:tbl>
      <w:tblPr>
        <w:tblW w:w="0" w:type="auto"/>
        <w:tblBorders>
          <w:top w:val="single" w:sz="4" w:space="0" w:color="auto"/>
          <w:bottom w:val="single" w:sz="4" w:space="0" w:color="auto"/>
        </w:tblBorders>
        <w:tblLook w:val="04A0" w:firstRow="1" w:lastRow="0" w:firstColumn="1" w:lastColumn="0" w:noHBand="0" w:noVBand="1"/>
      </w:tblPr>
      <w:tblGrid>
        <w:gridCol w:w="2955"/>
        <w:gridCol w:w="763"/>
        <w:gridCol w:w="2102"/>
        <w:gridCol w:w="1330"/>
        <w:gridCol w:w="1865"/>
      </w:tblGrid>
      <w:tr w:rsidR="00E95D22" w:rsidRPr="00297C09" w:rsidTr="00A07BCC">
        <w:trPr>
          <w:trHeight w:val="730"/>
        </w:trPr>
        <w:tc>
          <w:tcPr>
            <w:tcW w:w="2955" w:type="dxa"/>
            <w:tcBorders>
              <w:top w:val="single" w:sz="4" w:space="0" w:color="auto"/>
              <w:bottom w:val="single" w:sz="4" w:space="0" w:color="auto"/>
            </w:tcBorders>
            <w:shd w:val="clear" w:color="auto" w:fill="auto"/>
            <w:vAlign w:val="center"/>
          </w:tcPr>
          <w:p w:rsidR="00E95D22" w:rsidRPr="00297C09" w:rsidRDefault="00E95D22" w:rsidP="00A07BCC">
            <w:pPr>
              <w:spacing w:after="0" w:line="360" w:lineRule="auto"/>
              <w:contextualSpacing/>
              <w:rPr>
                <w:rFonts w:ascii="Book Antiqua" w:hAnsi="Book Antiqua"/>
                <w:b/>
                <w:color w:val="auto"/>
                <w:sz w:val="24"/>
                <w:szCs w:val="24"/>
                <w:lang w:val="en-US" w:eastAsia="zh-CN"/>
              </w:rPr>
            </w:pPr>
            <w:r w:rsidRPr="00297C09">
              <w:rPr>
                <w:rFonts w:ascii="Book Antiqua" w:hAnsi="Book Antiqua"/>
                <w:b/>
                <w:color w:val="auto"/>
                <w:sz w:val="24"/>
                <w:szCs w:val="24"/>
                <w:lang w:val="en-US"/>
              </w:rPr>
              <w:t>Ref</w:t>
            </w:r>
            <w:r w:rsidR="00A07BCC">
              <w:rPr>
                <w:rFonts w:ascii="Book Antiqua" w:hAnsi="Book Antiqua" w:hint="eastAsia"/>
                <w:b/>
                <w:color w:val="auto"/>
                <w:sz w:val="24"/>
                <w:szCs w:val="24"/>
                <w:lang w:val="en-US" w:eastAsia="zh-CN"/>
              </w:rPr>
              <w:t>.</w:t>
            </w:r>
          </w:p>
        </w:tc>
        <w:tc>
          <w:tcPr>
            <w:tcW w:w="763" w:type="dxa"/>
            <w:tcBorders>
              <w:top w:val="single" w:sz="4" w:space="0" w:color="auto"/>
              <w:bottom w:val="single" w:sz="4" w:space="0" w:color="auto"/>
            </w:tcBorders>
            <w:shd w:val="clear" w:color="auto" w:fill="auto"/>
            <w:vAlign w:val="center"/>
          </w:tcPr>
          <w:p w:rsidR="00E95D22" w:rsidRPr="00297C09" w:rsidRDefault="00E95D22" w:rsidP="00A07BCC">
            <w:pPr>
              <w:spacing w:after="0" w:line="360" w:lineRule="auto"/>
              <w:contextualSpacing/>
              <w:jc w:val="center"/>
              <w:rPr>
                <w:rFonts w:ascii="Book Antiqua" w:hAnsi="Book Antiqua"/>
                <w:b/>
                <w:i/>
                <w:color w:val="auto"/>
                <w:sz w:val="24"/>
                <w:szCs w:val="24"/>
                <w:lang w:val="en-US"/>
              </w:rPr>
            </w:pPr>
            <w:r w:rsidRPr="00297C09">
              <w:rPr>
                <w:rFonts w:ascii="Book Antiqua" w:hAnsi="Book Antiqua"/>
                <w:b/>
                <w:i/>
                <w:color w:val="auto"/>
                <w:sz w:val="24"/>
                <w:szCs w:val="24"/>
                <w:lang w:val="en-US"/>
              </w:rPr>
              <w:t>n</w:t>
            </w:r>
          </w:p>
        </w:tc>
        <w:tc>
          <w:tcPr>
            <w:tcW w:w="2102" w:type="dxa"/>
            <w:tcBorders>
              <w:top w:val="single" w:sz="4" w:space="0" w:color="auto"/>
              <w:bottom w:val="single" w:sz="4" w:space="0" w:color="auto"/>
            </w:tcBorders>
            <w:shd w:val="clear" w:color="auto" w:fill="auto"/>
            <w:vAlign w:val="center"/>
          </w:tcPr>
          <w:p w:rsidR="00E95D22" w:rsidRPr="00297C09" w:rsidRDefault="00E95D22" w:rsidP="00A07BCC">
            <w:pPr>
              <w:spacing w:after="0" w:line="360" w:lineRule="auto"/>
              <w:contextualSpacing/>
              <w:jc w:val="center"/>
              <w:rPr>
                <w:rFonts w:ascii="Book Antiqua" w:hAnsi="Book Antiqua"/>
                <w:b/>
                <w:color w:val="auto"/>
                <w:sz w:val="24"/>
                <w:szCs w:val="24"/>
                <w:lang w:val="en-US"/>
              </w:rPr>
            </w:pPr>
            <w:r w:rsidRPr="00297C09">
              <w:rPr>
                <w:rFonts w:ascii="Book Antiqua" w:hAnsi="Book Antiqua"/>
                <w:b/>
                <w:color w:val="auto"/>
                <w:sz w:val="24"/>
                <w:szCs w:val="24"/>
                <w:lang w:val="en-US"/>
              </w:rPr>
              <w:t>Imaging method</w:t>
            </w:r>
          </w:p>
        </w:tc>
        <w:tc>
          <w:tcPr>
            <w:tcW w:w="1330" w:type="dxa"/>
            <w:tcBorders>
              <w:top w:val="single" w:sz="4" w:space="0" w:color="auto"/>
              <w:bottom w:val="single" w:sz="4" w:space="0" w:color="auto"/>
            </w:tcBorders>
            <w:shd w:val="clear" w:color="auto" w:fill="auto"/>
            <w:vAlign w:val="center"/>
          </w:tcPr>
          <w:p w:rsidR="00E95D22" w:rsidRPr="00297C09" w:rsidRDefault="00E95D22" w:rsidP="00361694">
            <w:pPr>
              <w:spacing w:after="0" w:line="360" w:lineRule="auto"/>
              <w:contextualSpacing/>
              <w:jc w:val="center"/>
              <w:rPr>
                <w:rFonts w:ascii="Book Antiqua" w:hAnsi="Book Antiqua"/>
                <w:b/>
                <w:color w:val="auto"/>
                <w:sz w:val="24"/>
                <w:szCs w:val="24"/>
                <w:lang w:val="en-US" w:eastAsia="zh-CN"/>
              </w:rPr>
            </w:pPr>
            <w:r w:rsidRPr="00297C09">
              <w:rPr>
                <w:rFonts w:ascii="Book Antiqua" w:hAnsi="Book Antiqua"/>
                <w:b/>
                <w:color w:val="auto"/>
                <w:sz w:val="24"/>
                <w:szCs w:val="24"/>
                <w:lang w:val="en-US"/>
              </w:rPr>
              <w:t>Accuracy</w:t>
            </w:r>
          </w:p>
        </w:tc>
        <w:tc>
          <w:tcPr>
            <w:tcW w:w="1865" w:type="dxa"/>
            <w:tcBorders>
              <w:top w:val="single" w:sz="4" w:space="0" w:color="auto"/>
              <w:bottom w:val="single" w:sz="4" w:space="0" w:color="auto"/>
            </w:tcBorders>
            <w:shd w:val="clear" w:color="auto" w:fill="auto"/>
            <w:vAlign w:val="center"/>
          </w:tcPr>
          <w:p w:rsidR="00E95D22" w:rsidRPr="00297C09" w:rsidRDefault="00E95D22" w:rsidP="00361694">
            <w:pPr>
              <w:spacing w:after="0" w:line="360" w:lineRule="auto"/>
              <w:contextualSpacing/>
              <w:jc w:val="center"/>
              <w:rPr>
                <w:rFonts w:ascii="Book Antiqua" w:hAnsi="Book Antiqua"/>
                <w:b/>
                <w:color w:val="auto"/>
                <w:sz w:val="24"/>
                <w:szCs w:val="24"/>
                <w:lang w:val="en-US" w:eastAsia="zh-CN"/>
              </w:rPr>
            </w:pPr>
            <w:r w:rsidRPr="00297C09">
              <w:rPr>
                <w:rFonts w:ascii="Book Antiqua" w:hAnsi="Book Antiqua"/>
                <w:b/>
                <w:color w:val="auto"/>
                <w:sz w:val="24"/>
                <w:szCs w:val="24"/>
                <w:lang w:val="en-US"/>
              </w:rPr>
              <w:t>Complications</w:t>
            </w:r>
          </w:p>
        </w:tc>
      </w:tr>
      <w:tr w:rsidR="00E95D22" w:rsidRPr="00297C09" w:rsidTr="00A07BCC">
        <w:trPr>
          <w:trHeight w:val="372"/>
        </w:trPr>
        <w:tc>
          <w:tcPr>
            <w:tcW w:w="2955" w:type="dxa"/>
            <w:tcBorders>
              <w:top w:val="single" w:sz="4" w:space="0" w:color="auto"/>
            </w:tcBorders>
            <w:shd w:val="clear" w:color="auto" w:fill="auto"/>
            <w:vAlign w:val="center"/>
          </w:tcPr>
          <w:p w:rsidR="00E95D22" w:rsidRPr="00297C09" w:rsidRDefault="00E95D22" w:rsidP="00A07BCC">
            <w:pPr>
              <w:spacing w:after="0" w:line="360" w:lineRule="auto"/>
              <w:contextualSpacing/>
              <w:rPr>
                <w:rFonts w:ascii="Book Antiqua" w:hAnsi="Book Antiqua"/>
                <w:color w:val="auto"/>
                <w:sz w:val="24"/>
                <w:szCs w:val="24"/>
                <w:vertAlign w:val="superscript"/>
                <w:lang w:val="en-US"/>
              </w:rPr>
            </w:pPr>
            <w:r w:rsidRPr="00297C09">
              <w:rPr>
                <w:rFonts w:ascii="Book Antiqua" w:hAnsi="Book Antiqua"/>
                <w:color w:val="auto"/>
                <w:sz w:val="24"/>
                <w:szCs w:val="24"/>
                <w:lang w:val="en-US"/>
              </w:rPr>
              <w:t xml:space="preserve">Brandt </w:t>
            </w:r>
            <w:r w:rsidR="00A07BCC">
              <w:rPr>
                <w:rFonts w:ascii="Book Antiqua" w:hAnsi="Book Antiqua"/>
                <w:i/>
                <w:color w:val="auto"/>
                <w:sz w:val="24"/>
                <w:szCs w:val="24"/>
                <w:lang w:val="en-US"/>
              </w:rPr>
              <w:t>et al</w:t>
            </w:r>
            <w:r w:rsidRPr="00297C09">
              <w:rPr>
                <w:rFonts w:ascii="Book Antiqua" w:hAnsi="Book Antiqua"/>
                <w:color w:val="auto"/>
                <w:sz w:val="24"/>
                <w:szCs w:val="24"/>
                <w:vertAlign w:val="superscript"/>
                <w:lang w:val="en-US"/>
              </w:rPr>
              <w:t>[15]</w:t>
            </w:r>
          </w:p>
        </w:tc>
        <w:tc>
          <w:tcPr>
            <w:tcW w:w="763" w:type="dxa"/>
            <w:tcBorders>
              <w:top w:val="single" w:sz="4" w:space="0" w:color="auto"/>
            </w:tcBorders>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269</w:t>
            </w:r>
          </w:p>
        </w:tc>
        <w:tc>
          <w:tcPr>
            <w:tcW w:w="2102" w:type="dxa"/>
            <w:tcBorders>
              <w:top w:val="single" w:sz="4" w:space="0" w:color="auto"/>
            </w:tcBorders>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US and CT</w:t>
            </w:r>
          </w:p>
        </w:tc>
        <w:tc>
          <w:tcPr>
            <w:tcW w:w="1330" w:type="dxa"/>
            <w:tcBorders>
              <w:top w:val="single" w:sz="4" w:space="0" w:color="auto"/>
            </w:tcBorders>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93</w:t>
            </w:r>
            <w:r w:rsidR="00361694">
              <w:rPr>
                <w:rFonts w:ascii="Book Antiqua" w:hAnsi="Book Antiqua" w:hint="eastAsia"/>
                <w:color w:val="auto"/>
                <w:sz w:val="24"/>
                <w:szCs w:val="24"/>
                <w:lang w:val="en-US" w:eastAsia="zh-CN"/>
              </w:rPr>
              <w:t>%</w:t>
            </w:r>
          </w:p>
        </w:tc>
        <w:tc>
          <w:tcPr>
            <w:tcW w:w="1865" w:type="dxa"/>
            <w:tcBorders>
              <w:top w:val="single" w:sz="4" w:space="0" w:color="auto"/>
            </w:tcBorders>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1.1</w:t>
            </w:r>
            <w:r w:rsidR="00361694">
              <w:rPr>
                <w:rFonts w:ascii="Book Antiqua" w:hAnsi="Book Antiqua" w:hint="eastAsia"/>
                <w:color w:val="auto"/>
                <w:sz w:val="24"/>
                <w:szCs w:val="24"/>
                <w:lang w:val="en-US" w:eastAsia="zh-CN"/>
              </w:rPr>
              <w:t>%</w:t>
            </w:r>
          </w:p>
        </w:tc>
      </w:tr>
      <w:tr w:rsidR="00E95D22" w:rsidRPr="00297C09" w:rsidTr="00A07BCC">
        <w:trPr>
          <w:trHeight w:val="360"/>
        </w:trPr>
        <w:tc>
          <w:tcPr>
            <w:tcW w:w="2955" w:type="dxa"/>
            <w:shd w:val="clear" w:color="auto" w:fill="auto"/>
            <w:vAlign w:val="center"/>
          </w:tcPr>
          <w:p w:rsidR="00E95D22" w:rsidRPr="00297C09" w:rsidRDefault="00E95D22" w:rsidP="00A07BCC">
            <w:pPr>
              <w:spacing w:after="0" w:line="360" w:lineRule="auto"/>
              <w:contextualSpacing/>
              <w:rPr>
                <w:rFonts w:ascii="Book Antiqua" w:hAnsi="Book Antiqua"/>
                <w:color w:val="auto"/>
                <w:sz w:val="24"/>
                <w:szCs w:val="24"/>
                <w:vertAlign w:val="superscript"/>
                <w:lang w:val="en-US"/>
              </w:rPr>
            </w:pPr>
            <w:proofErr w:type="spellStart"/>
            <w:r w:rsidRPr="00297C09">
              <w:rPr>
                <w:rFonts w:ascii="Book Antiqua" w:hAnsi="Book Antiqua"/>
                <w:color w:val="auto"/>
                <w:sz w:val="24"/>
                <w:szCs w:val="24"/>
                <w:lang w:val="en-US"/>
              </w:rPr>
              <w:t>Karlson</w:t>
            </w:r>
            <w:proofErr w:type="spellEnd"/>
            <w:r w:rsidRPr="00297C09">
              <w:rPr>
                <w:rFonts w:ascii="Book Antiqua" w:hAnsi="Book Antiqua"/>
                <w:color w:val="auto"/>
                <w:sz w:val="24"/>
                <w:szCs w:val="24"/>
                <w:lang w:val="en-US"/>
              </w:rPr>
              <w:t xml:space="preserve"> </w:t>
            </w:r>
            <w:r w:rsidR="00A07BCC">
              <w:rPr>
                <w:rFonts w:ascii="Book Antiqua" w:hAnsi="Book Antiqua"/>
                <w:i/>
                <w:color w:val="auto"/>
                <w:sz w:val="24"/>
                <w:szCs w:val="24"/>
                <w:lang w:val="en-US"/>
              </w:rPr>
              <w:t>et al</w:t>
            </w:r>
            <w:r w:rsidRPr="00297C09">
              <w:rPr>
                <w:rFonts w:ascii="Book Antiqua" w:hAnsi="Book Antiqua"/>
                <w:color w:val="auto"/>
                <w:sz w:val="24"/>
                <w:szCs w:val="24"/>
                <w:vertAlign w:val="superscript"/>
                <w:lang w:val="en-US"/>
              </w:rPr>
              <w:t>[11]</w:t>
            </w:r>
          </w:p>
        </w:tc>
        <w:tc>
          <w:tcPr>
            <w:tcW w:w="763"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100</w:t>
            </w:r>
          </w:p>
        </w:tc>
        <w:tc>
          <w:tcPr>
            <w:tcW w:w="2102"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US</w:t>
            </w:r>
          </w:p>
        </w:tc>
        <w:tc>
          <w:tcPr>
            <w:tcW w:w="1330"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89</w:t>
            </w:r>
            <w:r w:rsidR="00361694">
              <w:rPr>
                <w:rFonts w:ascii="Book Antiqua" w:hAnsi="Book Antiqua" w:hint="eastAsia"/>
                <w:color w:val="auto"/>
                <w:sz w:val="24"/>
                <w:szCs w:val="24"/>
                <w:lang w:val="en-US" w:eastAsia="zh-CN"/>
              </w:rPr>
              <w:t>%</w:t>
            </w:r>
          </w:p>
        </w:tc>
        <w:tc>
          <w:tcPr>
            <w:tcW w:w="1865"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w:t>
            </w:r>
          </w:p>
        </w:tc>
      </w:tr>
      <w:tr w:rsidR="00E95D22" w:rsidRPr="00297C09" w:rsidTr="00A07BCC">
        <w:trPr>
          <w:trHeight w:val="360"/>
        </w:trPr>
        <w:tc>
          <w:tcPr>
            <w:tcW w:w="2955" w:type="dxa"/>
            <w:shd w:val="clear" w:color="auto" w:fill="auto"/>
            <w:vAlign w:val="center"/>
          </w:tcPr>
          <w:p w:rsidR="00E95D22" w:rsidRPr="00297C09" w:rsidRDefault="00E95D22" w:rsidP="00A07BCC">
            <w:pPr>
              <w:spacing w:after="0" w:line="360" w:lineRule="auto"/>
              <w:contextualSpacing/>
              <w:rPr>
                <w:rFonts w:ascii="Book Antiqua" w:hAnsi="Book Antiqua"/>
                <w:color w:val="auto"/>
                <w:sz w:val="24"/>
                <w:szCs w:val="24"/>
                <w:vertAlign w:val="superscript"/>
                <w:lang w:val="en-US"/>
              </w:rPr>
            </w:pPr>
            <w:r w:rsidRPr="00297C09">
              <w:rPr>
                <w:rFonts w:ascii="Book Antiqua" w:hAnsi="Book Antiqua"/>
                <w:color w:val="auto"/>
                <w:sz w:val="24"/>
                <w:szCs w:val="24"/>
                <w:lang w:val="en-US"/>
              </w:rPr>
              <w:t xml:space="preserve">Paulsen </w:t>
            </w:r>
            <w:r w:rsidR="00A07BCC">
              <w:rPr>
                <w:rFonts w:ascii="Book Antiqua" w:hAnsi="Book Antiqua"/>
                <w:i/>
                <w:color w:val="auto"/>
                <w:sz w:val="24"/>
                <w:szCs w:val="24"/>
                <w:lang w:val="en-US"/>
              </w:rPr>
              <w:t>et al</w:t>
            </w:r>
            <w:r w:rsidRPr="00297C09">
              <w:rPr>
                <w:rFonts w:ascii="Book Antiqua" w:hAnsi="Book Antiqua"/>
                <w:color w:val="auto"/>
                <w:sz w:val="24"/>
                <w:szCs w:val="24"/>
                <w:vertAlign w:val="superscript"/>
                <w:lang w:val="en-US"/>
              </w:rPr>
              <w:t>[5]</w:t>
            </w:r>
          </w:p>
        </w:tc>
        <w:tc>
          <w:tcPr>
            <w:tcW w:w="763"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107</w:t>
            </w:r>
          </w:p>
        </w:tc>
        <w:tc>
          <w:tcPr>
            <w:tcW w:w="2102"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US and CT</w:t>
            </w:r>
          </w:p>
        </w:tc>
        <w:tc>
          <w:tcPr>
            <w:tcW w:w="1330"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94.4</w:t>
            </w:r>
            <w:r w:rsidR="00361694">
              <w:rPr>
                <w:rFonts w:ascii="Book Antiqua" w:hAnsi="Book Antiqua" w:hint="eastAsia"/>
                <w:color w:val="auto"/>
                <w:sz w:val="24"/>
                <w:szCs w:val="24"/>
                <w:lang w:val="en-US" w:eastAsia="zh-CN"/>
              </w:rPr>
              <w:t>%</w:t>
            </w:r>
          </w:p>
        </w:tc>
        <w:tc>
          <w:tcPr>
            <w:tcW w:w="1865"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2.8</w:t>
            </w:r>
            <w:r w:rsidR="00361694">
              <w:rPr>
                <w:rFonts w:ascii="Book Antiqua" w:hAnsi="Book Antiqua" w:hint="eastAsia"/>
                <w:color w:val="auto"/>
                <w:sz w:val="24"/>
                <w:szCs w:val="24"/>
                <w:lang w:val="en-US" w:eastAsia="zh-CN"/>
              </w:rPr>
              <w:t>%</w:t>
            </w:r>
          </w:p>
        </w:tc>
      </w:tr>
      <w:tr w:rsidR="00E95D22" w:rsidRPr="00297C09" w:rsidTr="00A07BCC">
        <w:trPr>
          <w:trHeight w:val="360"/>
        </w:trPr>
        <w:tc>
          <w:tcPr>
            <w:tcW w:w="2955" w:type="dxa"/>
            <w:shd w:val="clear" w:color="auto" w:fill="auto"/>
            <w:vAlign w:val="center"/>
          </w:tcPr>
          <w:p w:rsidR="00E95D22" w:rsidRPr="00297C09" w:rsidRDefault="00E95D22" w:rsidP="00A07BCC">
            <w:pPr>
              <w:spacing w:after="0" w:line="360" w:lineRule="auto"/>
              <w:contextualSpacing/>
              <w:rPr>
                <w:rFonts w:ascii="Book Antiqua" w:hAnsi="Book Antiqua"/>
                <w:color w:val="auto"/>
                <w:sz w:val="24"/>
                <w:szCs w:val="24"/>
                <w:vertAlign w:val="superscript"/>
                <w:lang w:val="en-US"/>
              </w:rPr>
            </w:pPr>
            <w:r w:rsidRPr="00297C09">
              <w:rPr>
                <w:rFonts w:ascii="Book Antiqua" w:hAnsi="Book Antiqua"/>
                <w:color w:val="auto"/>
                <w:sz w:val="24"/>
                <w:szCs w:val="24"/>
                <w:lang w:val="en-US"/>
              </w:rPr>
              <w:t xml:space="preserve">Amin </w:t>
            </w:r>
            <w:r w:rsidR="00A07BCC">
              <w:rPr>
                <w:rFonts w:ascii="Book Antiqua" w:hAnsi="Book Antiqua"/>
                <w:i/>
                <w:color w:val="auto"/>
                <w:sz w:val="24"/>
                <w:szCs w:val="24"/>
                <w:lang w:val="en-US"/>
              </w:rPr>
              <w:t>et al</w:t>
            </w:r>
            <w:r w:rsidRPr="00297C09">
              <w:rPr>
                <w:rFonts w:ascii="Book Antiqua" w:hAnsi="Book Antiqua"/>
                <w:color w:val="auto"/>
                <w:sz w:val="24"/>
                <w:szCs w:val="24"/>
                <w:vertAlign w:val="superscript"/>
                <w:lang w:val="en-US"/>
              </w:rPr>
              <w:t>[2]</w:t>
            </w:r>
          </w:p>
        </w:tc>
        <w:tc>
          <w:tcPr>
            <w:tcW w:w="763"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372</w:t>
            </w:r>
          </w:p>
        </w:tc>
        <w:tc>
          <w:tcPr>
            <w:tcW w:w="2102"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US and CT</w:t>
            </w:r>
          </w:p>
        </w:tc>
        <w:tc>
          <w:tcPr>
            <w:tcW w:w="1330"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90</w:t>
            </w:r>
            <w:r w:rsidR="00361694">
              <w:rPr>
                <w:rFonts w:ascii="Book Antiqua" w:hAnsi="Book Antiqua" w:hint="eastAsia"/>
                <w:color w:val="auto"/>
                <w:sz w:val="24"/>
                <w:szCs w:val="24"/>
                <w:lang w:val="en-US" w:eastAsia="zh-CN"/>
              </w:rPr>
              <w:t>%</w:t>
            </w:r>
          </w:p>
        </w:tc>
        <w:tc>
          <w:tcPr>
            <w:tcW w:w="1865"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4.6</w:t>
            </w:r>
            <w:r w:rsidR="00361694">
              <w:rPr>
                <w:rFonts w:ascii="Book Antiqua" w:hAnsi="Book Antiqua" w:hint="eastAsia"/>
                <w:color w:val="auto"/>
                <w:sz w:val="24"/>
                <w:szCs w:val="24"/>
                <w:lang w:val="en-US" w:eastAsia="zh-CN"/>
              </w:rPr>
              <w:t>%</w:t>
            </w:r>
          </w:p>
        </w:tc>
      </w:tr>
      <w:tr w:rsidR="00E95D22" w:rsidRPr="00297C09" w:rsidTr="00A07BCC">
        <w:trPr>
          <w:trHeight w:val="372"/>
        </w:trPr>
        <w:tc>
          <w:tcPr>
            <w:tcW w:w="2955" w:type="dxa"/>
            <w:shd w:val="clear" w:color="auto" w:fill="auto"/>
            <w:vAlign w:val="center"/>
          </w:tcPr>
          <w:p w:rsidR="00E95D22" w:rsidRPr="00297C09" w:rsidRDefault="00E95D22" w:rsidP="00A07BCC">
            <w:pPr>
              <w:spacing w:after="0" w:line="360" w:lineRule="auto"/>
              <w:contextualSpacing/>
              <w:rPr>
                <w:rFonts w:ascii="Book Antiqua" w:hAnsi="Book Antiqua"/>
                <w:color w:val="auto"/>
                <w:sz w:val="24"/>
                <w:szCs w:val="24"/>
                <w:vertAlign w:val="superscript"/>
                <w:lang w:val="en-US"/>
              </w:rPr>
            </w:pPr>
            <w:r w:rsidRPr="00297C09">
              <w:rPr>
                <w:rFonts w:ascii="Book Antiqua" w:hAnsi="Book Antiqua"/>
                <w:color w:val="auto"/>
                <w:sz w:val="24"/>
                <w:szCs w:val="24"/>
                <w:lang w:val="en-US"/>
              </w:rPr>
              <w:t xml:space="preserve">Yu </w:t>
            </w:r>
            <w:r w:rsidR="00A07BCC">
              <w:rPr>
                <w:rFonts w:ascii="Book Antiqua" w:hAnsi="Book Antiqua"/>
                <w:i/>
                <w:color w:val="auto"/>
                <w:sz w:val="24"/>
                <w:szCs w:val="24"/>
                <w:lang w:val="en-US"/>
              </w:rPr>
              <w:t>et al</w:t>
            </w:r>
            <w:r w:rsidRPr="00297C09">
              <w:rPr>
                <w:rFonts w:ascii="Book Antiqua" w:hAnsi="Book Antiqua"/>
                <w:color w:val="auto"/>
                <w:sz w:val="24"/>
                <w:szCs w:val="24"/>
                <w:vertAlign w:val="superscript"/>
                <w:lang w:val="en-US"/>
              </w:rPr>
              <w:t>[12]</w:t>
            </w:r>
          </w:p>
        </w:tc>
        <w:tc>
          <w:tcPr>
            <w:tcW w:w="763"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43</w:t>
            </w:r>
          </w:p>
        </w:tc>
        <w:tc>
          <w:tcPr>
            <w:tcW w:w="2102"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CT</w:t>
            </w:r>
          </w:p>
        </w:tc>
        <w:tc>
          <w:tcPr>
            <w:tcW w:w="1330"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94.3</w:t>
            </w:r>
            <w:r w:rsidR="00361694">
              <w:rPr>
                <w:rFonts w:ascii="Book Antiqua" w:hAnsi="Book Antiqua" w:hint="eastAsia"/>
                <w:color w:val="auto"/>
                <w:sz w:val="24"/>
                <w:szCs w:val="24"/>
                <w:lang w:val="en-US" w:eastAsia="zh-CN"/>
              </w:rPr>
              <w:t>%</w:t>
            </w:r>
          </w:p>
        </w:tc>
        <w:tc>
          <w:tcPr>
            <w:tcW w:w="1865"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2.3</w:t>
            </w:r>
            <w:r w:rsidR="00361694">
              <w:rPr>
                <w:rFonts w:ascii="Book Antiqua" w:hAnsi="Book Antiqua" w:hint="eastAsia"/>
                <w:color w:val="auto"/>
                <w:sz w:val="24"/>
                <w:szCs w:val="24"/>
                <w:lang w:val="en-US" w:eastAsia="zh-CN"/>
              </w:rPr>
              <w:t>%</w:t>
            </w:r>
          </w:p>
        </w:tc>
      </w:tr>
      <w:tr w:rsidR="00E95D22" w:rsidRPr="00297C09" w:rsidTr="00A07BCC">
        <w:trPr>
          <w:trHeight w:val="360"/>
        </w:trPr>
        <w:tc>
          <w:tcPr>
            <w:tcW w:w="2955" w:type="dxa"/>
            <w:shd w:val="clear" w:color="auto" w:fill="auto"/>
            <w:vAlign w:val="center"/>
          </w:tcPr>
          <w:p w:rsidR="00E95D22" w:rsidRPr="00297C09" w:rsidRDefault="00E95D22" w:rsidP="00A07BCC">
            <w:pPr>
              <w:spacing w:after="0" w:line="360" w:lineRule="auto"/>
              <w:contextualSpacing/>
              <w:rPr>
                <w:rFonts w:ascii="Book Antiqua" w:hAnsi="Book Antiqua"/>
                <w:color w:val="auto"/>
                <w:sz w:val="24"/>
                <w:szCs w:val="24"/>
                <w:vertAlign w:val="superscript"/>
                <w:lang w:val="en-US"/>
              </w:rPr>
            </w:pPr>
            <w:r w:rsidRPr="00297C09">
              <w:rPr>
                <w:rFonts w:ascii="Book Antiqua" w:hAnsi="Book Antiqua"/>
                <w:color w:val="auto"/>
                <w:sz w:val="24"/>
                <w:szCs w:val="24"/>
                <w:lang w:val="en-US"/>
              </w:rPr>
              <w:t xml:space="preserve">Yang </w:t>
            </w:r>
            <w:r w:rsidR="00A07BCC">
              <w:rPr>
                <w:rFonts w:ascii="Book Antiqua" w:hAnsi="Book Antiqua"/>
                <w:i/>
                <w:color w:val="auto"/>
                <w:sz w:val="24"/>
                <w:szCs w:val="24"/>
                <w:lang w:val="en-US"/>
              </w:rPr>
              <w:t>et al</w:t>
            </w:r>
            <w:r w:rsidRPr="00297C09">
              <w:rPr>
                <w:rFonts w:ascii="Book Antiqua" w:hAnsi="Book Antiqua"/>
                <w:color w:val="auto"/>
                <w:sz w:val="24"/>
                <w:szCs w:val="24"/>
                <w:vertAlign w:val="superscript"/>
                <w:lang w:val="en-US"/>
              </w:rPr>
              <w:t>[13]</w:t>
            </w:r>
          </w:p>
        </w:tc>
        <w:tc>
          <w:tcPr>
            <w:tcW w:w="763"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88</w:t>
            </w:r>
          </w:p>
        </w:tc>
        <w:tc>
          <w:tcPr>
            <w:tcW w:w="2102"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US</w:t>
            </w:r>
          </w:p>
        </w:tc>
        <w:tc>
          <w:tcPr>
            <w:tcW w:w="1330"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93</w:t>
            </w:r>
            <w:r w:rsidR="00361694">
              <w:rPr>
                <w:rFonts w:ascii="Book Antiqua" w:hAnsi="Book Antiqua" w:hint="eastAsia"/>
                <w:color w:val="auto"/>
                <w:sz w:val="24"/>
                <w:szCs w:val="24"/>
                <w:lang w:val="en-US" w:eastAsia="zh-CN"/>
              </w:rPr>
              <w:t>%</w:t>
            </w:r>
          </w:p>
        </w:tc>
        <w:tc>
          <w:tcPr>
            <w:tcW w:w="1865"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w:t>
            </w:r>
          </w:p>
        </w:tc>
      </w:tr>
      <w:tr w:rsidR="00E95D22" w:rsidRPr="00297C09" w:rsidTr="00A07BCC">
        <w:trPr>
          <w:trHeight w:val="360"/>
        </w:trPr>
        <w:tc>
          <w:tcPr>
            <w:tcW w:w="2955" w:type="dxa"/>
            <w:shd w:val="clear" w:color="auto" w:fill="auto"/>
            <w:vAlign w:val="center"/>
          </w:tcPr>
          <w:p w:rsidR="00E95D22" w:rsidRPr="00297C09" w:rsidRDefault="00E95D22" w:rsidP="00A07BCC">
            <w:pPr>
              <w:spacing w:after="0" w:line="360" w:lineRule="auto"/>
              <w:contextualSpacing/>
              <w:rPr>
                <w:rFonts w:ascii="Book Antiqua" w:hAnsi="Book Antiqua"/>
                <w:color w:val="auto"/>
                <w:sz w:val="24"/>
                <w:szCs w:val="24"/>
                <w:lang w:val="en-US"/>
              </w:rPr>
            </w:pPr>
            <w:r w:rsidRPr="00297C09">
              <w:rPr>
                <w:rFonts w:ascii="Book Antiqua" w:hAnsi="Book Antiqua"/>
                <w:color w:val="auto"/>
                <w:sz w:val="24"/>
                <w:szCs w:val="24"/>
                <w:lang w:val="en-US"/>
              </w:rPr>
              <w:t>Current study</w:t>
            </w:r>
          </w:p>
        </w:tc>
        <w:tc>
          <w:tcPr>
            <w:tcW w:w="763"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103</w:t>
            </w:r>
          </w:p>
        </w:tc>
        <w:tc>
          <w:tcPr>
            <w:tcW w:w="2102"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rPr>
            </w:pPr>
            <w:r w:rsidRPr="00297C09">
              <w:rPr>
                <w:rFonts w:ascii="Book Antiqua" w:hAnsi="Book Antiqua"/>
                <w:color w:val="auto"/>
                <w:sz w:val="24"/>
                <w:szCs w:val="24"/>
                <w:lang w:val="en-US"/>
              </w:rPr>
              <w:t>CT</w:t>
            </w:r>
          </w:p>
        </w:tc>
        <w:tc>
          <w:tcPr>
            <w:tcW w:w="1330"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98.1</w:t>
            </w:r>
            <w:r w:rsidR="00361694">
              <w:rPr>
                <w:rFonts w:ascii="Book Antiqua" w:hAnsi="Book Antiqua" w:hint="eastAsia"/>
                <w:color w:val="auto"/>
                <w:sz w:val="24"/>
                <w:szCs w:val="24"/>
                <w:lang w:val="en-US" w:eastAsia="zh-CN"/>
              </w:rPr>
              <w:t>%</w:t>
            </w:r>
          </w:p>
        </w:tc>
        <w:tc>
          <w:tcPr>
            <w:tcW w:w="1865" w:type="dxa"/>
            <w:shd w:val="clear" w:color="auto" w:fill="auto"/>
            <w:vAlign w:val="center"/>
          </w:tcPr>
          <w:p w:rsidR="00E95D22" w:rsidRPr="00297C09" w:rsidRDefault="00E95D22" w:rsidP="00A07BCC">
            <w:pPr>
              <w:spacing w:after="0" w:line="360" w:lineRule="auto"/>
              <w:contextualSpacing/>
              <w:jc w:val="center"/>
              <w:rPr>
                <w:rFonts w:ascii="Book Antiqua" w:hAnsi="Book Antiqua"/>
                <w:color w:val="auto"/>
                <w:sz w:val="24"/>
                <w:szCs w:val="24"/>
                <w:lang w:val="en-US" w:eastAsia="zh-CN"/>
              </w:rPr>
            </w:pPr>
            <w:r w:rsidRPr="00297C09">
              <w:rPr>
                <w:rFonts w:ascii="Book Antiqua" w:hAnsi="Book Antiqua"/>
                <w:color w:val="auto"/>
                <w:sz w:val="24"/>
                <w:szCs w:val="24"/>
                <w:lang w:val="en-US"/>
              </w:rPr>
              <w:t>8.7</w:t>
            </w:r>
            <w:r w:rsidR="00361694">
              <w:rPr>
                <w:rFonts w:ascii="Book Antiqua" w:hAnsi="Book Antiqua" w:hint="eastAsia"/>
                <w:color w:val="auto"/>
                <w:sz w:val="24"/>
                <w:szCs w:val="24"/>
                <w:lang w:val="en-US" w:eastAsia="zh-CN"/>
              </w:rPr>
              <w:t>%</w:t>
            </w:r>
          </w:p>
        </w:tc>
      </w:tr>
    </w:tbl>
    <w:p w:rsidR="00E95D22" w:rsidRPr="00297C09" w:rsidRDefault="00A07BCC" w:rsidP="00E95D22">
      <w:pPr>
        <w:pStyle w:val="a4"/>
        <w:snapToGrid w:val="0"/>
        <w:spacing w:before="0" w:beforeAutospacing="0" w:after="0" w:afterAutospacing="0" w:line="360" w:lineRule="auto"/>
        <w:contextualSpacing/>
        <w:jc w:val="both"/>
        <w:rPr>
          <w:rFonts w:ascii="Book Antiqua" w:eastAsia="宋体" w:hAnsi="Book Antiqua"/>
          <w:sz w:val="24"/>
          <w:szCs w:val="24"/>
          <w:lang w:val="en-US" w:eastAsia="zh-CN"/>
        </w:rPr>
      </w:pPr>
      <w:r w:rsidRPr="00297C09">
        <w:rPr>
          <w:rFonts w:ascii="Book Antiqua" w:hAnsi="Book Antiqua"/>
          <w:sz w:val="24"/>
          <w:szCs w:val="24"/>
          <w:lang w:val="en-US"/>
        </w:rPr>
        <w:t>CT</w:t>
      </w:r>
      <w:r>
        <w:rPr>
          <w:rFonts w:ascii="Book Antiqua" w:eastAsia="宋体" w:hAnsi="Book Antiqua" w:hint="eastAsia"/>
          <w:sz w:val="24"/>
          <w:szCs w:val="24"/>
          <w:lang w:val="en-US" w:eastAsia="zh-CN"/>
        </w:rPr>
        <w:t xml:space="preserve">: </w:t>
      </w:r>
      <w:r w:rsidRPr="00A07BCC">
        <w:rPr>
          <w:rFonts w:ascii="Book Antiqua" w:eastAsia="宋体" w:hAnsi="Book Antiqua"/>
          <w:sz w:val="24"/>
          <w:szCs w:val="24"/>
          <w:lang w:val="en-US" w:eastAsia="zh-CN"/>
        </w:rPr>
        <w:t xml:space="preserve">Computed </w:t>
      </w:r>
      <w:r>
        <w:rPr>
          <w:rFonts w:ascii="Book Antiqua" w:eastAsia="宋体" w:hAnsi="Book Antiqua"/>
          <w:sz w:val="24"/>
          <w:szCs w:val="24"/>
          <w:lang w:val="en-US" w:eastAsia="zh-CN"/>
        </w:rPr>
        <w:t>tomography</w:t>
      </w:r>
      <w:r>
        <w:rPr>
          <w:rFonts w:ascii="Book Antiqua" w:eastAsia="宋体" w:hAnsi="Book Antiqua" w:hint="eastAsia"/>
          <w:sz w:val="24"/>
          <w:szCs w:val="24"/>
          <w:lang w:val="en-US" w:eastAsia="zh-CN"/>
        </w:rPr>
        <w:t xml:space="preserve">; </w:t>
      </w:r>
      <w:r w:rsidR="00E95D22" w:rsidRPr="00297C09">
        <w:rPr>
          <w:rFonts w:ascii="Book Antiqua" w:eastAsia="宋体" w:hAnsi="Book Antiqua"/>
          <w:sz w:val="24"/>
          <w:szCs w:val="24"/>
          <w:lang w:val="en-US" w:eastAsia="zh-CN"/>
        </w:rPr>
        <w:t>US: Ultrasound.</w:t>
      </w:r>
    </w:p>
    <w:p w:rsidR="00CC4BCF" w:rsidRPr="00297C09" w:rsidRDefault="00CC4BCF">
      <w:pPr>
        <w:rPr>
          <w:rFonts w:ascii="Book Antiqua" w:hAnsi="Book Antiqua"/>
          <w:sz w:val="24"/>
          <w:szCs w:val="24"/>
        </w:rPr>
      </w:pPr>
    </w:p>
    <w:sectPr w:rsidR="00CC4BCF" w:rsidRPr="00297C09" w:rsidSect="000C2032">
      <w:footerReference w:type="even" r:id="rId15"/>
      <w:footerReference w:type="default" r:id="rId16"/>
      <w:headerReference w:type="first" r:id="rId17"/>
      <w:pgSz w:w="11900" w:h="16840"/>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DAE" w:rsidRDefault="00551DAE">
      <w:pPr>
        <w:spacing w:after="0" w:line="240" w:lineRule="auto"/>
      </w:pPr>
      <w:r>
        <w:separator/>
      </w:r>
    </w:p>
    <w:p w:rsidR="00551DAE" w:rsidRDefault="00551DAE"/>
    <w:p w:rsidR="00551DAE" w:rsidRDefault="00551DAE" w:rsidP="000C5886"/>
  </w:endnote>
  <w:endnote w:type="continuationSeparator" w:id="0">
    <w:p w:rsidR="00551DAE" w:rsidRDefault="00551DAE">
      <w:pPr>
        <w:spacing w:after="0" w:line="240" w:lineRule="auto"/>
      </w:pPr>
      <w:r>
        <w:continuationSeparator/>
      </w:r>
    </w:p>
    <w:p w:rsidR="00551DAE" w:rsidRDefault="00551DAE"/>
    <w:p w:rsidR="00551DAE" w:rsidRDefault="00551DAE" w:rsidP="000C5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Roman">
    <w:altName w:val="Times New Roman"/>
    <w:charset w:val="00"/>
    <w:family w:val="roman"/>
    <w:pitch w:val="default"/>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2B" w:rsidRDefault="00E95D22" w:rsidP="00F47C24">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39462B" w:rsidRDefault="00551DAE" w:rsidP="00AB2F2F">
    <w:pPr>
      <w:pStyle w:val="a9"/>
      <w:ind w:right="-7"/>
    </w:pPr>
  </w:p>
  <w:p w:rsidR="0039462B" w:rsidRDefault="00551DAE"/>
  <w:p w:rsidR="0039462B" w:rsidRDefault="00551DAE" w:rsidP="002C0687"/>
  <w:p w:rsidR="0039462B" w:rsidRDefault="00551DAE" w:rsidP="00A76130"/>
  <w:p w:rsidR="0039462B" w:rsidRDefault="00551DAE" w:rsidP="00A76130"/>
  <w:p w:rsidR="0039462B" w:rsidRDefault="00551DAE" w:rsidP="001C7143"/>
  <w:p w:rsidR="0039462B" w:rsidRDefault="00551DAE" w:rsidP="001C7143"/>
  <w:p w:rsidR="0039462B" w:rsidRDefault="00551DAE" w:rsidP="00910B39"/>
  <w:p w:rsidR="0039462B" w:rsidRDefault="00551DAE" w:rsidP="00244F13"/>
  <w:p w:rsidR="0039462B" w:rsidRDefault="00551DAE" w:rsidP="00244F13"/>
  <w:p w:rsidR="0039462B" w:rsidRDefault="00551DAE" w:rsidP="00367E41"/>
  <w:p w:rsidR="0039462B" w:rsidRDefault="00551DAE" w:rsidP="00D23549"/>
  <w:p w:rsidR="0039462B" w:rsidRDefault="00551DAE" w:rsidP="003F240D"/>
  <w:p w:rsidR="0039462B" w:rsidRDefault="00551DAE" w:rsidP="00723B38"/>
  <w:p w:rsidR="0039462B" w:rsidRDefault="00551DAE" w:rsidP="00A6577B"/>
  <w:p w:rsidR="0039462B" w:rsidRDefault="00551DAE" w:rsidP="00A6577B"/>
  <w:p w:rsidR="0039462B" w:rsidRDefault="00551DAE" w:rsidP="00A6577B"/>
  <w:p w:rsidR="0039462B" w:rsidRDefault="00551DAE" w:rsidP="00A6577B"/>
  <w:p w:rsidR="0039462B" w:rsidRDefault="00551DAE" w:rsidP="00A6577B"/>
  <w:p w:rsidR="0039462B" w:rsidRDefault="00551DAE" w:rsidP="00B56A6A"/>
  <w:p w:rsidR="0039462B" w:rsidRDefault="00551DAE" w:rsidP="004661E4"/>
  <w:p w:rsidR="0039462B" w:rsidRDefault="00551DAE" w:rsidP="001F0C34"/>
  <w:p w:rsidR="006C2C71" w:rsidRDefault="006C2C71"/>
  <w:p w:rsidR="006C2C71" w:rsidRDefault="006C2C71" w:rsidP="000C588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2B" w:rsidRDefault="00551DAE" w:rsidP="00297C09">
    <w:pPr>
      <w:pStyle w:val="ab"/>
      <w:pBdr>
        <w:bottom w:val="single" w:sz="6" w:space="0" w:color="auto"/>
      </w:pBdr>
      <w:jc w:val="left"/>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DAE" w:rsidRDefault="00551DAE">
      <w:pPr>
        <w:spacing w:after="0" w:line="240" w:lineRule="auto"/>
      </w:pPr>
      <w:r>
        <w:separator/>
      </w:r>
    </w:p>
    <w:p w:rsidR="00551DAE" w:rsidRDefault="00551DAE"/>
    <w:p w:rsidR="00551DAE" w:rsidRDefault="00551DAE" w:rsidP="000C5886"/>
  </w:footnote>
  <w:footnote w:type="continuationSeparator" w:id="0">
    <w:p w:rsidR="00551DAE" w:rsidRDefault="00551DAE">
      <w:pPr>
        <w:spacing w:after="0" w:line="240" w:lineRule="auto"/>
      </w:pPr>
      <w:r>
        <w:continuationSeparator/>
      </w:r>
    </w:p>
    <w:p w:rsidR="00551DAE" w:rsidRDefault="00551DAE"/>
    <w:p w:rsidR="00551DAE" w:rsidRDefault="00551DAE" w:rsidP="000C58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2B" w:rsidRDefault="00551DAE" w:rsidP="00D6131C">
    <w:pPr>
      <w:pStyle w:val="ab"/>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A83E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decimal"/>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2">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3"/>
    <w:multiLevelType w:val="multilevel"/>
    <w:tmpl w:val="894EE875"/>
    <w:lvl w:ilvl="0">
      <w:start w:val="1"/>
      <w:numFmt w:val="decimal"/>
      <w:lvlText w:val="%1."/>
      <w:lvlJc w:val="left"/>
      <w:rPr>
        <w:rFonts w:ascii="Arial" w:eastAsia="Arial" w:hAnsi="Arial" w:cs="Symbol" w:hint="default"/>
        <w:position w:val="0"/>
        <w:lang w:val="en-US"/>
      </w:rPr>
    </w:lvl>
    <w:lvl w:ilvl="1">
      <w:start w:val="1"/>
      <w:numFmt w:val="lowerLetter"/>
      <w:lvlText w:val="%2."/>
      <w:lvlJc w:val="left"/>
      <w:rPr>
        <w:rFonts w:ascii="Arial" w:eastAsia="Arial" w:hAnsi="Arial" w:cs="Symbol" w:hint="default"/>
        <w:position w:val="0"/>
        <w:lang w:val="en-US"/>
      </w:rPr>
    </w:lvl>
    <w:lvl w:ilvl="2">
      <w:start w:val="1"/>
      <w:numFmt w:val="lowerRoman"/>
      <w:lvlText w:val="%3."/>
      <w:lvlJc w:val="left"/>
      <w:rPr>
        <w:rFonts w:ascii="Arial" w:eastAsia="Arial" w:hAnsi="Arial" w:cs="Symbol" w:hint="default"/>
        <w:position w:val="0"/>
        <w:lang w:val="en-US"/>
      </w:rPr>
    </w:lvl>
    <w:lvl w:ilvl="3">
      <w:start w:val="1"/>
      <w:numFmt w:val="decimal"/>
      <w:lvlText w:val="%4."/>
      <w:lvlJc w:val="left"/>
      <w:rPr>
        <w:rFonts w:ascii="Arial" w:eastAsia="Arial" w:hAnsi="Arial" w:cs="Symbol" w:hint="default"/>
        <w:position w:val="0"/>
        <w:lang w:val="en-US"/>
      </w:rPr>
    </w:lvl>
    <w:lvl w:ilvl="4">
      <w:start w:val="1"/>
      <w:numFmt w:val="lowerLetter"/>
      <w:lvlText w:val="%5."/>
      <w:lvlJc w:val="left"/>
      <w:rPr>
        <w:rFonts w:ascii="Arial" w:eastAsia="Arial" w:hAnsi="Arial" w:cs="Symbol" w:hint="default"/>
        <w:position w:val="0"/>
        <w:lang w:val="en-US"/>
      </w:rPr>
    </w:lvl>
    <w:lvl w:ilvl="5">
      <w:start w:val="1"/>
      <w:numFmt w:val="lowerRoman"/>
      <w:lvlText w:val="%6."/>
      <w:lvlJc w:val="left"/>
      <w:rPr>
        <w:rFonts w:ascii="Arial" w:eastAsia="Arial" w:hAnsi="Arial" w:cs="Symbol" w:hint="default"/>
        <w:position w:val="0"/>
        <w:lang w:val="en-US"/>
      </w:rPr>
    </w:lvl>
    <w:lvl w:ilvl="6">
      <w:start w:val="1"/>
      <w:numFmt w:val="decimal"/>
      <w:lvlText w:val="%7."/>
      <w:lvlJc w:val="left"/>
      <w:rPr>
        <w:rFonts w:ascii="Arial" w:eastAsia="Arial" w:hAnsi="Arial" w:cs="Symbol" w:hint="default"/>
        <w:position w:val="0"/>
        <w:lang w:val="en-US"/>
      </w:rPr>
    </w:lvl>
    <w:lvl w:ilvl="7">
      <w:start w:val="1"/>
      <w:numFmt w:val="lowerLetter"/>
      <w:lvlText w:val="%8."/>
      <w:lvlJc w:val="left"/>
      <w:rPr>
        <w:rFonts w:ascii="Arial" w:eastAsia="Arial" w:hAnsi="Arial" w:cs="Symbol" w:hint="default"/>
        <w:position w:val="0"/>
        <w:lang w:val="en-US"/>
      </w:rPr>
    </w:lvl>
    <w:lvl w:ilvl="8">
      <w:start w:val="1"/>
      <w:numFmt w:val="lowerRoman"/>
      <w:lvlText w:val="%9."/>
      <w:lvlJc w:val="left"/>
      <w:rPr>
        <w:rFonts w:ascii="Arial" w:eastAsia="Arial" w:hAnsi="Arial" w:cs="Symbol" w:hint="default"/>
        <w:position w:val="0"/>
        <w:lang w:val="en-US"/>
      </w:rPr>
    </w:lvl>
  </w:abstractNum>
  <w:abstractNum w:abstractNumId="4">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2803C1"/>
    <w:multiLevelType w:val="hybridMultilevel"/>
    <w:tmpl w:val="F8509BC4"/>
    <w:lvl w:ilvl="0" w:tplc="6490782E">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701F294C"/>
    <w:multiLevelType w:val="multilevel"/>
    <w:tmpl w:val="894EE872"/>
    <w:lvl w:ilvl="0">
      <w:start w:val="1"/>
      <w:numFmt w:val="decimal"/>
      <w:lvlText w:val="%1."/>
      <w:lvlJc w:val="left"/>
      <w:rPr>
        <w:rFonts w:ascii="Arial" w:eastAsia="Arial" w:hAnsi="Arial" w:cs="Symbol" w:hint="default"/>
        <w:position w:val="0"/>
        <w:lang w:val="en-US"/>
      </w:rPr>
    </w:lvl>
    <w:lvl w:ilvl="1">
      <w:start w:val="1"/>
      <w:numFmt w:val="lowerLetter"/>
      <w:lvlText w:val="%2."/>
      <w:lvlJc w:val="left"/>
      <w:rPr>
        <w:rFonts w:ascii="Arial" w:eastAsia="Arial" w:hAnsi="Arial" w:cs="Symbol" w:hint="default"/>
        <w:position w:val="0"/>
        <w:lang w:val="en-US"/>
      </w:rPr>
    </w:lvl>
    <w:lvl w:ilvl="2">
      <w:start w:val="1"/>
      <w:numFmt w:val="lowerRoman"/>
      <w:lvlText w:val="%3."/>
      <w:lvlJc w:val="left"/>
      <w:rPr>
        <w:rFonts w:ascii="Arial" w:eastAsia="Arial" w:hAnsi="Arial" w:cs="Symbol" w:hint="default"/>
        <w:position w:val="0"/>
        <w:lang w:val="en-US"/>
      </w:rPr>
    </w:lvl>
    <w:lvl w:ilvl="3">
      <w:start w:val="1"/>
      <w:numFmt w:val="decimal"/>
      <w:lvlText w:val="%4."/>
      <w:lvlJc w:val="left"/>
      <w:rPr>
        <w:rFonts w:ascii="Arial" w:eastAsia="Arial" w:hAnsi="Arial" w:cs="Symbol" w:hint="default"/>
        <w:position w:val="0"/>
        <w:lang w:val="en-US"/>
      </w:rPr>
    </w:lvl>
    <w:lvl w:ilvl="4">
      <w:start w:val="1"/>
      <w:numFmt w:val="lowerLetter"/>
      <w:lvlText w:val="%5."/>
      <w:lvlJc w:val="left"/>
      <w:rPr>
        <w:rFonts w:ascii="Arial" w:eastAsia="Arial" w:hAnsi="Arial" w:cs="Symbol" w:hint="default"/>
        <w:position w:val="0"/>
        <w:lang w:val="en-US"/>
      </w:rPr>
    </w:lvl>
    <w:lvl w:ilvl="5">
      <w:start w:val="1"/>
      <w:numFmt w:val="lowerRoman"/>
      <w:lvlText w:val="%6."/>
      <w:lvlJc w:val="left"/>
      <w:rPr>
        <w:rFonts w:ascii="Arial" w:eastAsia="Arial" w:hAnsi="Arial" w:cs="Symbol" w:hint="default"/>
        <w:position w:val="0"/>
        <w:lang w:val="en-US"/>
      </w:rPr>
    </w:lvl>
    <w:lvl w:ilvl="6">
      <w:start w:val="1"/>
      <w:numFmt w:val="decimal"/>
      <w:lvlText w:val="%7."/>
      <w:lvlJc w:val="left"/>
      <w:rPr>
        <w:rFonts w:ascii="Arial" w:eastAsia="Arial" w:hAnsi="Arial" w:cs="Symbol" w:hint="default"/>
        <w:position w:val="0"/>
        <w:lang w:val="en-US"/>
      </w:rPr>
    </w:lvl>
    <w:lvl w:ilvl="7">
      <w:start w:val="1"/>
      <w:numFmt w:val="lowerLetter"/>
      <w:lvlText w:val="%8."/>
      <w:lvlJc w:val="left"/>
      <w:rPr>
        <w:rFonts w:ascii="Arial" w:eastAsia="Arial" w:hAnsi="Arial" w:cs="Symbol" w:hint="default"/>
        <w:position w:val="0"/>
        <w:lang w:val="en-US"/>
      </w:rPr>
    </w:lvl>
    <w:lvl w:ilvl="8">
      <w:start w:val="1"/>
      <w:numFmt w:val="lowerRoman"/>
      <w:lvlText w:val="%9."/>
      <w:lvlJc w:val="left"/>
      <w:rPr>
        <w:rFonts w:ascii="Arial" w:eastAsia="Arial" w:hAnsi="Arial" w:cs="Symbol" w:hint="default"/>
        <w:position w:val="0"/>
        <w:lang w:val="en-US"/>
      </w:rPr>
    </w:lvl>
  </w:abstractNum>
  <w:num w:numId="1">
    <w:abstractNumId w:val="8"/>
  </w:num>
  <w:num w:numId="2">
    <w:abstractNumId w:val="1"/>
  </w:num>
  <w:num w:numId="3">
    <w:abstractNumId w:val="2"/>
  </w:num>
  <w:num w:numId="4">
    <w:abstractNumId w:val="3"/>
  </w:num>
  <w:num w:numId="5">
    <w:abstractNumId w:val="4"/>
  </w:num>
  <w:num w:numId="6">
    <w:abstractNumId w:val="5"/>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D22"/>
    <w:rsid w:val="000A7220"/>
    <w:rsid w:val="000C5886"/>
    <w:rsid w:val="001A1A00"/>
    <w:rsid w:val="00297C09"/>
    <w:rsid w:val="0031732B"/>
    <w:rsid w:val="00344EFF"/>
    <w:rsid w:val="00361694"/>
    <w:rsid w:val="004B756B"/>
    <w:rsid w:val="00551DAE"/>
    <w:rsid w:val="00584D34"/>
    <w:rsid w:val="006318E2"/>
    <w:rsid w:val="00676D23"/>
    <w:rsid w:val="006C2C71"/>
    <w:rsid w:val="006F189A"/>
    <w:rsid w:val="00877548"/>
    <w:rsid w:val="008938D4"/>
    <w:rsid w:val="008E79DF"/>
    <w:rsid w:val="009C2061"/>
    <w:rsid w:val="009D0099"/>
    <w:rsid w:val="009D5A24"/>
    <w:rsid w:val="00A07BCC"/>
    <w:rsid w:val="00A9060E"/>
    <w:rsid w:val="00AB2F2F"/>
    <w:rsid w:val="00AB79C5"/>
    <w:rsid w:val="00AF1D34"/>
    <w:rsid w:val="00B74AD4"/>
    <w:rsid w:val="00C3171B"/>
    <w:rsid w:val="00C536D7"/>
    <w:rsid w:val="00CB33CC"/>
    <w:rsid w:val="00CC4BCF"/>
    <w:rsid w:val="00D44BC2"/>
    <w:rsid w:val="00D71D80"/>
    <w:rsid w:val="00DD655E"/>
    <w:rsid w:val="00E14043"/>
    <w:rsid w:val="00E95D22"/>
    <w:rsid w:val="00EF4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E95D22"/>
    <w:pPr>
      <w:suppressAutoHyphens/>
      <w:spacing w:after="200" w:line="276" w:lineRule="auto"/>
    </w:pPr>
    <w:rPr>
      <w:rFonts w:ascii="Trebuchet MS" w:eastAsia="Arial Unicode MS" w:hAnsi="Arial Unicode MS" w:cs="Arial Unicode MS"/>
      <w:color w:val="000000"/>
      <w:kern w:val="0"/>
      <w:sz w:val="22"/>
      <w:u w:color="000000"/>
      <w:lang w:val="pt-P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95D22"/>
    <w:rPr>
      <w:u w:val="single"/>
    </w:rPr>
  </w:style>
  <w:style w:type="paragraph" w:customStyle="1" w:styleId="CabealhoeRodap">
    <w:name w:val="Cabeçalho e Rodapé"/>
    <w:autoRedefine/>
    <w:rsid w:val="00E95D22"/>
    <w:pPr>
      <w:tabs>
        <w:tab w:val="right" w:pos="9020"/>
      </w:tabs>
    </w:pPr>
    <w:rPr>
      <w:rFonts w:ascii="Helvetica" w:eastAsia="Arial Unicode MS" w:hAnsi="Arial Unicode MS" w:cs="Arial Unicode MS"/>
      <w:color w:val="000000"/>
      <w:kern w:val="0"/>
      <w:sz w:val="24"/>
      <w:szCs w:val="24"/>
      <w:lang w:val="pt-BR" w:eastAsia="en-US"/>
    </w:rPr>
  </w:style>
  <w:style w:type="numbering" w:customStyle="1" w:styleId="List0">
    <w:name w:val="List 0"/>
    <w:basedOn w:val="EstiloImportado1"/>
    <w:semiHidden/>
    <w:rsid w:val="00E95D22"/>
  </w:style>
  <w:style w:type="numbering" w:customStyle="1" w:styleId="EstiloImportado1">
    <w:name w:val="Estilo Importado 1"/>
    <w:autoRedefine/>
    <w:rsid w:val="00E95D22"/>
  </w:style>
  <w:style w:type="numbering" w:customStyle="1" w:styleId="List1">
    <w:name w:val="List 1"/>
    <w:basedOn w:val="EstiloImportado1"/>
    <w:autoRedefine/>
    <w:semiHidden/>
    <w:rsid w:val="00E95D22"/>
  </w:style>
  <w:style w:type="paragraph" w:customStyle="1" w:styleId="NormalWeb1">
    <w:name w:val="Normal (Web)1"/>
    <w:rsid w:val="00E95D22"/>
    <w:rPr>
      <w:rFonts w:ascii="Times Roman" w:eastAsia="Arial Unicode MS" w:hAnsi="Arial Unicode MS" w:cs="Arial Unicode MS"/>
      <w:color w:val="000000"/>
      <w:kern w:val="0"/>
      <w:sz w:val="20"/>
      <w:szCs w:val="20"/>
      <w:u w:color="000000"/>
      <w:lang w:val="pt-PT" w:eastAsia="en-US"/>
    </w:rPr>
  </w:style>
  <w:style w:type="character" w:customStyle="1" w:styleId="Link">
    <w:name w:val="Link"/>
    <w:autoRedefine/>
    <w:rsid w:val="00E95D22"/>
    <w:rPr>
      <w:color w:val="0000FF"/>
      <w:u w:val="single" w:color="0000FF"/>
    </w:rPr>
  </w:style>
  <w:style w:type="character" w:customStyle="1" w:styleId="Hyperlink0">
    <w:name w:val="Hyperlink.0"/>
    <w:rsid w:val="00E95D22"/>
    <w:rPr>
      <w:rFonts w:ascii="Arial" w:eastAsia="Arial" w:hAnsi="Arial" w:cs="Arial"/>
      <w:sz w:val="22"/>
      <w:szCs w:val="22"/>
    </w:rPr>
  </w:style>
  <w:style w:type="paragraph" w:customStyle="1" w:styleId="Padro">
    <w:name w:val="Padrão"/>
    <w:rsid w:val="00E95D22"/>
    <w:rPr>
      <w:rFonts w:ascii="Helvetica" w:eastAsia="Arial Unicode MS" w:hAnsi="Arial Unicode MS" w:cs="Arial Unicode MS"/>
      <w:color w:val="000000"/>
      <w:kern w:val="0"/>
      <w:sz w:val="22"/>
      <w:lang w:val="nl-NL" w:eastAsia="en-US"/>
    </w:rPr>
  </w:style>
  <w:style w:type="character" w:customStyle="1" w:styleId="Hyperlink1">
    <w:name w:val="Hyperlink.1"/>
    <w:autoRedefine/>
    <w:rsid w:val="00E95D22"/>
  </w:style>
  <w:style w:type="character" w:customStyle="1" w:styleId="Hyperlink2">
    <w:name w:val="Hyperlink.2"/>
    <w:rsid w:val="00E95D22"/>
  </w:style>
  <w:style w:type="character" w:customStyle="1" w:styleId="Hyperlink3">
    <w:name w:val="Hyperlink.3"/>
    <w:autoRedefine/>
    <w:rsid w:val="00E95D22"/>
  </w:style>
  <w:style w:type="character" w:customStyle="1" w:styleId="Hyperlink4">
    <w:name w:val="Hyperlink.4"/>
    <w:rsid w:val="00E95D22"/>
  </w:style>
  <w:style w:type="character" w:customStyle="1" w:styleId="Hyperlink5">
    <w:name w:val="Hyperlink.5"/>
    <w:rsid w:val="00E95D22"/>
  </w:style>
  <w:style w:type="character" w:customStyle="1" w:styleId="Hyperlink6">
    <w:name w:val="Hyperlink.6"/>
    <w:rsid w:val="00E95D22"/>
  </w:style>
  <w:style w:type="character" w:customStyle="1" w:styleId="Hyperlink7">
    <w:name w:val="Hyperlink.7"/>
    <w:rsid w:val="00E95D22"/>
  </w:style>
  <w:style w:type="character" w:customStyle="1" w:styleId="Hyperlink8">
    <w:name w:val="Hyperlink.8"/>
    <w:rsid w:val="00E95D22"/>
  </w:style>
  <w:style w:type="character" w:customStyle="1" w:styleId="Hyperlink9">
    <w:name w:val="Hyperlink.9"/>
    <w:autoRedefine/>
    <w:rsid w:val="00E95D22"/>
  </w:style>
  <w:style w:type="character" w:customStyle="1" w:styleId="Hyperlink10">
    <w:name w:val="Hyperlink.10"/>
    <w:rsid w:val="00E95D22"/>
  </w:style>
  <w:style w:type="paragraph" w:styleId="a4">
    <w:name w:val="Normal (Web)"/>
    <w:basedOn w:val="a"/>
    <w:uiPriority w:val="99"/>
    <w:unhideWhenUsed/>
    <w:rsid w:val="00E95D22"/>
    <w:pPr>
      <w:suppressAutoHyphens w:val="0"/>
      <w:spacing w:before="100" w:beforeAutospacing="1" w:after="100" w:afterAutospacing="1" w:line="240" w:lineRule="auto"/>
    </w:pPr>
    <w:rPr>
      <w:rFonts w:ascii="Times" w:eastAsia="MS Mincho" w:hAnsi="Times" w:cs="Times New Roman"/>
      <w:color w:val="auto"/>
      <w:sz w:val="20"/>
      <w:szCs w:val="20"/>
      <w:lang w:val="pt-BR"/>
    </w:rPr>
  </w:style>
  <w:style w:type="character" w:styleId="a5">
    <w:name w:val="annotation reference"/>
    <w:rsid w:val="00E95D22"/>
    <w:rPr>
      <w:sz w:val="16"/>
      <w:szCs w:val="16"/>
    </w:rPr>
  </w:style>
  <w:style w:type="paragraph" w:styleId="a6">
    <w:name w:val="annotation text"/>
    <w:basedOn w:val="a"/>
    <w:link w:val="Char"/>
    <w:rsid w:val="00E95D22"/>
    <w:rPr>
      <w:rFonts w:cs="Times New Roman"/>
      <w:sz w:val="20"/>
      <w:szCs w:val="20"/>
      <w:lang w:eastAsia="x-none"/>
    </w:rPr>
  </w:style>
  <w:style w:type="character" w:customStyle="1" w:styleId="Char">
    <w:name w:val="批注文字 Char"/>
    <w:basedOn w:val="a0"/>
    <w:link w:val="a6"/>
    <w:rsid w:val="00E95D22"/>
    <w:rPr>
      <w:rFonts w:ascii="Trebuchet MS" w:eastAsia="Arial Unicode MS" w:hAnsi="Arial Unicode MS" w:cs="Times New Roman"/>
      <w:color w:val="000000"/>
      <w:kern w:val="0"/>
      <w:sz w:val="20"/>
      <w:szCs w:val="20"/>
      <w:u w:color="000000"/>
      <w:lang w:val="pt-PT" w:eastAsia="x-none"/>
    </w:rPr>
  </w:style>
  <w:style w:type="paragraph" w:styleId="a7">
    <w:name w:val="annotation subject"/>
    <w:basedOn w:val="a6"/>
    <w:next w:val="a6"/>
    <w:link w:val="Char0"/>
    <w:rsid w:val="00E95D22"/>
    <w:rPr>
      <w:b/>
      <w:bCs/>
    </w:rPr>
  </w:style>
  <w:style w:type="character" w:customStyle="1" w:styleId="Char0">
    <w:name w:val="批注主题 Char"/>
    <w:basedOn w:val="Char"/>
    <w:link w:val="a7"/>
    <w:rsid w:val="00E95D22"/>
    <w:rPr>
      <w:rFonts w:ascii="Trebuchet MS" w:eastAsia="Arial Unicode MS" w:hAnsi="Arial Unicode MS" w:cs="Times New Roman"/>
      <w:b/>
      <w:bCs/>
      <w:color w:val="000000"/>
      <w:kern w:val="0"/>
      <w:sz w:val="20"/>
      <w:szCs w:val="20"/>
      <w:u w:color="000000"/>
      <w:lang w:val="pt-PT" w:eastAsia="x-none"/>
    </w:rPr>
  </w:style>
  <w:style w:type="paragraph" w:styleId="a8">
    <w:name w:val="Balloon Text"/>
    <w:basedOn w:val="a"/>
    <w:link w:val="Char1"/>
    <w:rsid w:val="00E95D22"/>
    <w:pPr>
      <w:spacing w:after="0" w:line="240" w:lineRule="auto"/>
    </w:pPr>
    <w:rPr>
      <w:rFonts w:ascii="Segoe UI" w:hAnsi="Segoe UI" w:cs="Times New Roman"/>
      <w:sz w:val="18"/>
      <w:szCs w:val="18"/>
      <w:lang w:eastAsia="x-none"/>
    </w:rPr>
  </w:style>
  <w:style w:type="character" w:customStyle="1" w:styleId="Char1">
    <w:name w:val="批注框文本 Char"/>
    <w:basedOn w:val="a0"/>
    <w:link w:val="a8"/>
    <w:rsid w:val="00E95D22"/>
    <w:rPr>
      <w:rFonts w:ascii="Segoe UI" w:eastAsia="Arial Unicode MS" w:hAnsi="Segoe UI" w:cs="Times New Roman"/>
      <w:color w:val="000000"/>
      <w:kern w:val="0"/>
      <w:sz w:val="18"/>
      <w:szCs w:val="18"/>
      <w:u w:color="000000"/>
      <w:lang w:val="pt-PT" w:eastAsia="x-none"/>
    </w:rPr>
  </w:style>
  <w:style w:type="paragraph" w:customStyle="1" w:styleId="CorpoA">
    <w:name w:val="Corpo A"/>
    <w:rsid w:val="00E95D22"/>
    <w:rPr>
      <w:rFonts w:ascii="Times New Roman" w:eastAsia="Arial Unicode MS" w:hAnsi="Arial Unicode MS" w:cs="Arial Unicode MS"/>
      <w:color w:val="000000"/>
      <w:kern w:val="0"/>
      <w:sz w:val="24"/>
      <w:szCs w:val="24"/>
      <w:u w:color="000000"/>
      <w:lang w:eastAsia="en-US"/>
    </w:rPr>
  </w:style>
  <w:style w:type="paragraph" w:styleId="a9">
    <w:name w:val="footer"/>
    <w:basedOn w:val="a"/>
    <w:link w:val="Char2"/>
    <w:rsid w:val="00E95D22"/>
    <w:pPr>
      <w:tabs>
        <w:tab w:val="center" w:pos="4320"/>
        <w:tab w:val="right" w:pos="8640"/>
      </w:tabs>
    </w:pPr>
    <w:rPr>
      <w:rFonts w:cs="Times New Roman"/>
      <w:lang w:eastAsia="x-none"/>
    </w:rPr>
  </w:style>
  <w:style w:type="character" w:customStyle="1" w:styleId="Char2">
    <w:name w:val="页脚 Char"/>
    <w:basedOn w:val="a0"/>
    <w:link w:val="a9"/>
    <w:rsid w:val="00E95D22"/>
    <w:rPr>
      <w:rFonts w:ascii="Trebuchet MS" w:eastAsia="Arial Unicode MS" w:hAnsi="Arial Unicode MS" w:cs="Times New Roman"/>
      <w:color w:val="000000"/>
      <w:kern w:val="0"/>
      <w:sz w:val="22"/>
      <w:u w:color="000000"/>
      <w:lang w:val="pt-PT" w:eastAsia="x-none"/>
    </w:rPr>
  </w:style>
  <w:style w:type="character" w:styleId="aa">
    <w:name w:val="page number"/>
    <w:rsid w:val="00E95D22"/>
  </w:style>
  <w:style w:type="paragraph" w:styleId="ab">
    <w:name w:val="header"/>
    <w:basedOn w:val="a"/>
    <w:link w:val="Char3"/>
    <w:rsid w:val="00E95D22"/>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Char3">
    <w:name w:val="页眉 Char"/>
    <w:basedOn w:val="a0"/>
    <w:link w:val="ab"/>
    <w:rsid w:val="00E95D22"/>
    <w:rPr>
      <w:rFonts w:ascii="Trebuchet MS" w:eastAsia="Arial Unicode MS" w:hAnsi="Arial Unicode MS" w:cs="Times New Roman"/>
      <w:color w:val="000000"/>
      <w:kern w:val="0"/>
      <w:sz w:val="18"/>
      <w:szCs w:val="18"/>
      <w:u w:color="000000"/>
      <w:lang w:val="pt-PT" w:eastAsia="en-US"/>
    </w:rPr>
  </w:style>
  <w:style w:type="paragraph" w:customStyle="1" w:styleId="p0">
    <w:name w:val="p0"/>
    <w:basedOn w:val="a"/>
    <w:rsid w:val="00E95D22"/>
    <w:pPr>
      <w:suppressAutoHyphens w:val="0"/>
      <w:spacing w:after="0" w:line="240" w:lineRule="atLeast"/>
    </w:pPr>
    <w:rPr>
      <w:rFonts w:ascii="Century" w:eastAsia="宋体" w:hAnsi="Century" w:cs="宋体"/>
      <w:color w:val="auto"/>
      <w:sz w:val="21"/>
      <w:szCs w:val="21"/>
      <w:lang w:val="en-US" w:eastAsia="zh-CN"/>
    </w:rPr>
  </w:style>
  <w:style w:type="character" w:customStyle="1" w:styleId="Char10">
    <w:name w:val="批注文字 Char1"/>
    <w:semiHidden/>
    <w:rsid w:val="00E95D22"/>
    <w:rPr>
      <w:rFonts w:eastAsia="宋体"/>
      <w:kern w:val="2"/>
      <w:sz w:val="21"/>
      <w:szCs w:val="24"/>
      <w:lang w:val="en-US" w:eastAsia="zh-CN" w:bidi="ar-SA"/>
    </w:rPr>
  </w:style>
  <w:style w:type="character" w:customStyle="1" w:styleId="trans">
    <w:name w:val="trans"/>
    <w:basedOn w:val="a0"/>
    <w:rsid w:val="00E95D22"/>
  </w:style>
  <w:style w:type="table" w:styleId="ac">
    <w:name w:val="Table Grid"/>
    <w:basedOn w:val="a1"/>
    <w:uiPriority w:val="59"/>
    <w:rsid w:val="00E95D22"/>
    <w:rPr>
      <w:rFonts w:ascii="Cambria" w:eastAsia="MS Mincho" w:hAnsi="Cambria"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E95D22"/>
    <w:pPr>
      <w:suppressAutoHyphens/>
      <w:spacing w:after="200" w:line="276" w:lineRule="auto"/>
    </w:pPr>
    <w:rPr>
      <w:rFonts w:ascii="Trebuchet MS" w:eastAsia="Arial Unicode MS" w:hAnsi="Arial Unicode MS" w:cs="Arial Unicode MS"/>
      <w:color w:val="000000"/>
      <w:kern w:val="0"/>
      <w:sz w:val="22"/>
      <w:u w:color="000000"/>
      <w:lang w:val="pt-P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95D22"/>
    <w:rPr>
      <w:u w:val="single"/>
    </w:rPr>
  </w:style>
  <w:style w:type="paragraph" w:customStyle="1" w:styleId="CabealhoeRodap">
    <w:name w:val="Cabeçalho e Rodapé"/>
    <w:autoRedefine/>
    <w:rsid w:val="00E95D22"/>
    <w:pPr>
      <w:tabs>
        <w:tab w:val="right" w:pos="9020"/>
      </w:tabs>
    </w:pPr>
    <w:rPr>
      <w:rFonts w:ascii="Helvetica" w:eastAsia="Arial Unicode MS" w:hAnsi="Arial Unicode MS" w:cs="Arial Unicode MS"/>
      <w:color w:val="000000"/>
      <w:kern w:val="0"/>
      <w:sz w:val="24"/>
      <w:szCs w:val="24"/>
      <w:lang w:val="pt-BR" w:eastAsia="en-US"/>
    </w:rPr>
  </w:style>
  <w:style w:type="numbering" w:customStyle="1" w:styleId="List0">
    <w:name w:val="List 0"/>
    <w:basedOn w:val="EstiloImportado1"/>
    <w:semiHidden/>
    <w:rsid w:val="00E95D22"/>
  </w:style>
  <w:style w:type="numbering" w:customStyle="1" w:styleId="EstiloImportado1">
    <w:name w:val="Estilo Importado 1"/>
    <w:autoRedefine/>
    <w:rsid w:val="00E95D22"/>
  </w:style>
  <w:style w:type="numbering" w:customStyle="1" w:styleId="List1">
    <w:name w:val="List 1"/>
    <w:basedOn w:val="EstiloImportado1"/>
    <w:autoRedefine/>
    <w:semiHidden/>
    <w:rsid w:val="00E95D22"/>
  </w:style>
  <w:style w:type="paragraph" w:customStyle="1" w:styleId="NormalWeb1">
    <w:name w:val="Normal (Web)1"/>
    <w:rsid w:val="00E95D22"/>
    <w:rPr>
      <w:rFonts w:ascii="Times Roman" w:eastAsia="Arial Unicode MS" w:hAnsi="Arial Unicode MS" w:cs="Arial Unicode MS"/>
      <w:color w:val="000000"/>
      <w:kern w:val="0"/>
      <w:sz w:val="20"/>
      <w:szCs w:val="20"/>
      <w:u w:color="000000"/>
      <w:lang w:val="pt-PT" w:eastAsia="en-US"/>
    </w:rPr>
  </w:style>
  <w:style w:type="character" w:customStyle="1" w:styleId="Link">
    <w:name w:val="Link"/>
    <w:autoRedefine/>
    <w:rsid w:val="00E95D22"/>
    <w:rPr>
      <w:color w:val="0000FF"/>
      <w:u w:val="single" w:color="0000FF"/>
    </w:rPr>
  </w:style>
  <w:style w:type="character" w:customStyle="1" w:styleId="Hyperlink0">
    <w:name w:val="Hyperlink.0"/>
    <w:rsid w:val="00E95D22"/>
    <w:rPr>
      <w:rFonts w:ascii="Arial" w:eastAsia="Arial" w:hAnsi="Arial" w:cs="Arial"/>
      <w:sz w:val="22"/>
      <w:szCs w:val="22"/>
    </w:rPr>
  </w:style>
  <w:style w:type="paragraph" w:customStyle="1" w:styleId="Padro">
    <w:name w:val="Padrão"/>
    <w:rsid w:val="00E95D22"/>
    <w:rPr>
      <w:rFonts w:ascii="Helvetica" w:eastAsia="Arial Unicode MS" w:hAnsi="Arial Unicode MS" w:cs="Arial Unicode MS"/>
      <w:color w:val="000000"/>
      <w:kern w:val="0"/>
      <w:sz w:val="22"/>
      <w:lang w:val="nl-NL" w:eastAsia="en-US"/>
    </w:rPr>
  </w:style>
  <w:style w:type="character" w:customStyle="1" w:styleId="Hyperlink1">
    <w:name w:val="Hyperlink.1"/>
    <w:autoRedefine/>
    <w:rsid w:val="00E95D22"/>
  </w:style>
  <w:style w:type="character" w:customStyle="1" w:styleId="Hyperlink2">
    <w:name w:val="Hyperlink.2"/>
    <w:rsid w:val="00E95D22"/>
  </w:style>
  <w:style w:type="character" w:customStyle="1" w:styleId="Hyperlink3">
    <w:name w:val="Hyperlink.3"/>
    <w:autoRedefine/>
    <w:rsid w:val="00E95D22"/>
  </w:style>
  <w:style w:type="character" w:customStyle="1" w:styleId="Hyperlink4">
    <w:name w:val="Hyperlink.4"/>
    <w:rsid w:val="00E95D22"/>
  </w:style>
  <w:style w:type="character" w:customStyle="1" w:styleId="Hyperlink5">
    <w:name w:val="Hyperlink.5"/>
    <w:rsid w:val="00E95D22"/>
  </w:style>
  <w:style w:type="character" w:customStyle="1" w:styleId="Hyperlink6">
    <w:name w:val="Hyperlink.6"/>
    <w:rsid w:val="00E95D22"/>
  </w:style>
  <w:style w:type="character" w:customStyle="1" w:styleId="Hyperlink7">
    <w:name w:val="Hyperlink.7"/>
    <w:rsid w:val="00E95D22"/>
  </w:style>
  <w:style w:type="character" w:customStyle="1" w:styleId="Hyperlink8">
    <w:name w:val="Hyperlink.8"/>
    <w:rsid w:val="00E95D22"/>
  </w:style>
  <w:style w:type="character" w:customStyle="1" w:styleId="Hyperlink9">
    <w:name w:val="Hyperlink.9"/>
    <w:autoRedefine/>
    <w:rsid w:val="00E95D22"/>
  </w:style>
  <w:style w:type="character" w:customStyle="1" w:styleId="Hyperlink10">
    <w:name w:val="Hyperlink.10"/>
    <w:rsid w:val="00E95D22"/>
  </w:style>
  <w:style w:type="paragraph" w:styleId="a4">
    <w:name w:val="Normal (Web)"/>
    <w:basedOn w:val="a"/>
    <w:uiPriority w:val="99"/>
    <w:unhideWhenUsed/>
    <w:rsid w:val="00E95D22"/>
    <w:pPr>
      <w:suppressAutoHyphens w:val="0"/>
      <w:spacing w:before="100" w:beforeAutospacing="1" w:after="100" w:afterAutospacing="1" w:line="240" w:lineRule="auto"/>
    </w:pPr>
    <w:rPr>
      <w:rFonts w:ascii="Times" w:eastAsia="MS Mincho" w:hAnsi="Times" w:cs="Times New Roman"/>
      <w:color w:val="auto"/>
      <w:sz w:val="20"/>
      <w:szCs w:val="20"/>
      <w:lang w:val="pt-BR"/>
    </w:rPr>
  </w:style>
  <w:style w:type="character" w:styleId="a5">
    <w:name w:val="annotation reference"/>
    <w:rsid w:val="00E95D22"/>
    <w:rPr>
      <w:sz w:val="16"/>
      <w:szCs w:val="16"/>
    </w:rPr>
  </w:style>
  <w:style w:type="paragraph" w:styleId="a6">
    <w:name w:val="annotation text"/>
    <w:basedOn w:val="a"/>
    <w:link w:val="Char"/>
    <w:rsid w:val="00E95D22"/>
    <w:rPr>
      <w:rFonts w:cs="Times New Roman"/>
      <w:sz w:val="20"/>
      <w:szCs w:val="20"/>
      <w:lang w:eastAsia="x-none"/>
    </w:rPr>
  </w:style>
  <w:style w:type="character" w:customStyle="1" w:styleId="Char">
    <w:name w:val="批注文字 Char"/>
    <w:basedOn w:val="a0"/>
    <w:link w:val="a6"/>
    <w:rsid w:val="00E95D22"/>
    <w:rPr>
      <w:rFonts w:ascii="Trebuchet MS" w:eastAsia="Arial Unicode MS" w:hAnsi="Arial Unicode MS" w:cs="Times New Roman"/>
      <w:color w:val="000000"/>
      <w:kern w:val="0"/>
      <w:sz w:val="20"/>
      <w:szCs w:val="20"/>
      <w:u w:color="000000"/>
      <w:lang w:val="pt-PT" w:eastAsia="x-none"/>
    </w:rPr>
  </w:style>
  <w:style w:type="paragraph" w:styleId="a7">
    <w:name w:val="annotation subject"/>
    <w:basedOn w:val="a6"/>
    <w:next w:val="a6"/>
    <w:link w:val="Char0"/>
    <w:rsid w:val="00E95D22"/>
    <w:rPr>
      <w:b/>
      <w:bCs/>
    </w:rPr>
  </w:style>
  <w:style w:type="character" w:customStyle="1" w:styleId="Char0">
    <w:name w:val="批注主题 Char"/>
    <w:basedOn w:val="Char"/>
    <w:link w:val="a7"/>
    <w:rsid w:val="00E95D22"/>
    <w:rPr>
      <w:rFonts w:ascii="Trebuchet MS" w:eastAsia="Arial Unicode MS" w:hAnsi="Arial Unicode MS" w:cs="Times New Roman"/>
      <w:b/>
      <w:bCs/>
      <w:color w:val="000000"/>
      <w:kern w:val="0"/>
      <w:sz w:val="20"/>
      <w:szCs w:val="20"/>
      <w:u w:color="000000"/>
      <w:lang w:val="pt-PT" w:eastAsia="x-none"/>
    </w:rPr>
  </w:style>
  <w:style w:type="paragraph" w:styleId="a8">
    <w:name w:val="Balloon Text"/>
    <w:basedOn w:val="a"/>
    <w:link w:val="Char1"/>
    <w:rsid w:val="00E95D22"/>
    <w:pPr>
      <w:spacing w:after="0" w:line="240" w:lineRule="auto"/>
    </w:pPr>
    <w:rPr>
      <w:rFonts w:ascii="Segoe UI" w:hAnsi="Segoe UI" w:cs="Times New Roman"/>
      <w:sz w:val="18"/>
      <w:szCs w:val="18"/>
      <w:lang w:eastAsia="x-none"/>
    </w:rPr>
  </w:style>
  <w:style w:type="character" w:customStyle="1" w:styleId="Char1">
    <w:name w:val="批注框文本 Char"/>
    <w:basedOn w:val="a0"/>
    <w:link w:val="a8"/>
    <w:rsid w:val="00E95D22"/>
    <w:rPr>
      <w:rFonts w:ascii="Segoe UI" w:eastAsia="Arial Unicode MS" w:hAnsi="Segoe UI" w:cs="Times New Roman"/>
      <w:color w:val="000000"/>
      <w:kern w:val="0"/>
      <w:sz w:val="18"/>
      <w:szCs w:val="18"/>
      <w:u w:color="000000"/>
      <w:lang w:val="pt-PT" w:eastAsia="x-none"/>
    </w:rPr>
  </w:style>
  <w:style w:type="paragraph" w:customStyle="1" w:styleId="CorpoA">
    <w:name w:val="Corpo A"/>
    <w:rsid w:val="00E95D22"/>
    <w:rPr>
      <w:rFonts w:ascii="Times New Roman" w:eastAsia="Arial Unicode MS" w:hAnsi="Arial Unicode MS" w:cs="Arial Unicode MS"/>
      <w:color w:val="000000"/>
      <w:kern w:val="0"/>
      <w:sz w:val="24"/>
      <w:szCs w:val="24"/>
      <w:u w:color="000000"/>
      <w:lang w:eastAsia="en-US"/>
    </w:rPr>
  </w:style>
  <w:style w:type="paragraph" w:styleId="a9">
    <w:name w:val="footer"/>
    <w:basedOn w:val="a"/>
    <w:link w:val="Char2"/>
    <w:rsid w:val="00E95D22"/>
    <w:pPr>
      <w:tabs>
        <w:tab w:val="center" w:pos="4320"/>
        <w:tab w:val="right" w:pos="8640"/>
      </w:tabs>
    </w:pPr>
    <w:rPr>
      <w:rFonts w:cs="Times New Roman"/>
      <w:lang w:eastAsia="x-none"/>
    </w:rPr>
  </w:style>
  <w:style w:type="character" w:customStyle="1" w:styleId="Char2">
    <w:name w:val="页脚 Char"/>
    <w:basedOn w:val="a0"/>
    <w:link w:val="a9"/>
    <w:rsid w:val="00E95D22"/>
    <w:rPr>
      <w:rFonts w:ascii="Trebuchet MS" w:eastAsia="Arial Unicode MS" w:hAnsi="Arial Unicode MS" w:cs="Times New Roman"/>
      <w:color w:val="000000"/>
      <w:kern w:val="0"/>
      <w:sz w:val="22"/>
      <w:u w:color="000000"/>
      <w:lang w:val="pt-PT" w:eastAsia="x-none"/>
    </w:rPr>
  </w:style>
  <w:style w:type="character" w:styleId="aa">
    <w:name w:val="page number"/>
    <w:rsid w:val="00E95D22"/>
  </w:style>
  <w:style w:type="paragraph" w:styleId="ab">
    <w:name w:val="header"/>
    <w:basedOn w:val="a"/>
    <w:link w:val="Char3"/>
    <w:rsid w:val="00E95D22"/>
    <w:pPr>
      <w:pBdr>
        <w:bottom w:val="single" w:sz="6" w:space="1" w:color="auto"/>
      </w:pBdr>
      <w:tabs>
        <w:tab w:val="center" w:pos="4153"/>
        <w:tab w:val="right" w:pos="8306"/>
      </w:tabs>
      <w:snapToGrid w:val="0"/>
      <w:spacing w:line="240" w:lineRule="auto"/>
      <w:jc w:val="center"/>
    </w:pPr>
    <w:rPr>
      <w:rFonts w:cs="Times New Roman"/>
      <w:sz w:val="18"/>
      <w:szCs w:val="18"/>
    </w:rPr>
  </w:style>
  <w:style w:type="character" w:customStyle="1" w:styleId="Char3">
    <w:name w:val="页眉 Char"/>
    <w:basedOn w:val="a0"/>
    <w:link w:val="ab"/>
    <w:rsid w:val="00E95D22"/>
    <w:rPr>
      <w:rFonts w:ascii="Trebuchet MS" w:eastAsia="Arial Unicode MS" w:hAnsi="Arial Unicode MS" w:cs="Times New Roman"/>
      <w:color w:val="000000"/>
      <w:kern w:val="0"/>
      <w:sz w:val="18"/>
      <w:szCs w:val="18"/>
      <w:u w:color="000000"/>
      <w:lang w:val="pt-PT" w:eastAsia="en-US"/>
    </w:rPr>
  </w:style>
  <w:style w:type="paragraph" w:customStyle="1" w:styleId="p0">
    <w:name w:val="p0"/>
    <w:basedOn w:val="a"/>
    <w:rsid w:val="00E95D22"/>
    <w:pPr>
      <w:suppressAutoHyphens w:val="0"/>
      <w:spacing w:after="0" w:line="240" w:lineRule="atLeast"/>
    </w:pPr>
    <w:rPr>
      <w:rFonts w:ascii="Century" w:eastAsia="宋体" w:hAnsi="Century" w:cs="宋体"/>
      <w:color w:val="auto"/>
      <w:sz w:val="21"/>
      <w:szCs w:val="21"/>
      <w:lang w:val="en-US" w:eastAsia="zh-CN"/>
    </w:rPr>
  </w:style>
  <w:style w:type="character" w:customStyle="1" w:styleId="Char10">
    <w:name w:val="批注文字 Char1"/>
    <w:semiHidden/>
    <w:rsid w:val="00E95D22"/>
    <w:rPr>
      <w:rFonts w:eastAsia="宋体"/>
      <w:kern w:val="2"/>
      <w:sz w:val="21"/>
      <w:szCs w:val="24"/>
      <w:lang w:val="en-US" w:eastAsia="zh-CN" w:bidi="ar-SA"/>
    </w:rPr>
  </w:style>
  <w:style w:type="character" w:customStyle="1" w:styleId="trans">
    <w:name w:val="trans"/>
    <w:basedOn w:val="a0"/>
    <w:rsid w:val="00E95D22"/>
  </w:style>
  <w:style w:type="table" w:styleId="ac">
    <w:name w:val="Table Grid"/>
    <w:basedOn w:val="a1"/>
    <w:uiPriority w:val="59"/>
    <w:rsid w:val="00E95D22"/>
    <w:rPr>
      <w:rFonts w:ascii="Cambria" w:eastAsia="MS Mincho" w:hAnsi="Cambria"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21379</Words>
  <Characters>121866</Characters>
  <Application>Microsoft Office Word</Application>
  <DocSecurity>0</DocSecurity>
  <Lines>1015</Lines>
  <Paragraphs>285</Paragraphs>
  <ScaleCrop>false</ScaleCrop>
  <Company>Hewlett-Packard Company</Company>
  <LinksUpToDate>false</LinksUpToDate>
  <CharactersWithSpaces>142960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qiyuan</dc:creator>
  <cp:lastModifiedBy>LS Ma</cp:lastModifiedBy>
  <cp:revision>2</cp:revision>
  <dcterms:created xsi:type="dcterms:W3CDTF">2015-01-16T04:34:00Z</dcterms:created>
  <dcterms:modified xsi:type="dcterms:W3CDTF">2015-01-16T04:34:00Z</dcterms:modified>
</cp:coreProperties>
</file>